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3F" w:rsidRPr="009468E5" w:rsidRDefault="001E4F3F" w:rsidP="001E4F3F">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Ministru kabineta sēdes </w:t>
      </w:r>
      <w:proofErr w:type="spellStart"/>
      <w:r>
        <w:rPr>
          <w:rFonts w:ascii="Times New Roman" w:hAnsi="Times New Roman"/>
          <w:b/>
          <w:sz w:val="24"/>
          <w:szCs w:val="24"/>
        </w:rPr>
        <w:t>protokollēmuma</w:t>
      </w:r>
      <w:proofErr w:type="spellEnd"/>
      <w:r>
        <w:rPr>
          <w:rFonts w:ascii="Times New Roman" w:hAnsi="Times New Roman"/>
          <w:b/>
          <w:sz w:val="24"/>
          <w:szCs w:val="24"/>
        </w:rPr>
        <w:t xml:space="preserve"> projekta „</w:t>
      </w:r>
      <w:r w:rsidRPr="006961C3">
        <w:rPr>
          <w:rFonts w:ascii="Times New Roman" w:hAnsi="Times New Roman"/>
          <w:b/>
          <w:sz w:val="24"/>
          <w:szCs w:val="24"/>
        </w:rPr>
        <w:t xml:space="preserve">Par Ministru kabineta 2012.gada 13. marta sēdes </w:t>
      </w:r>
      <w:proofErr w:type="spellStart"/>
      <w:r w:rsidRPr="006961C3">
        <w:rPr>
          <w:rFonts w:ascii="Times New Roman" w:hAnsi="Times New Roman"/>
          <w:b/>
          <w:sz w:val="24"/>
          <w:szCs w:val="24"/>
        </w:rPr>
        <w:t>protokollēmuma</w:t>
      </w:r>
      <w:proofErr w:type="spellEnd"/>
      <w:r w:rsidRPr="006961C3">
        <w:rPr>
          <w:rFonts w:ascii="Times New Roman" w:hAnsi="Times New Roman"/>
          <w:b/>
          <w:sz w:val="24"/>
          <w:szCs w:val="24"/>
        </w:rPr>
        <w:t xml:space="preserve"> (prot. Nr.14 32.§) „Informatīvais ziņojums „Par darbības programmas „</w:t>
      </w:r>
      <w:r w:rsidRPr="009468E5">
        <w:rPr>
          <w:rFonts w:ascii="Times New Roman" w:hAnsi="Times New Roman" w:cs="Times New Roman"/>
          <w:b/>
          <w:sz w:val="24"/>
          <w:szCs w:val="24"/>
        </w:rPr>
        <w:t>Infrastruktūra un pakalpojumi” papildinājuma 3.1.1.1.aktivitātes „Mācību aprīkojuma modernizācija un infrastruktūras uzlabošana profesionālās izglītības programmu īstenošanai”</w:t>
      </w:r>
      <w:r>
        <w:rPr>
          <w:rFonts w:ascii="Times New Roman" w:hAnsi="Times New Roman" w:cs="Times New Roman"/>
          <w:b/>
          <w:sz w:val="24"/>
          <w:szCs w:val="24"/>
        </w:rPr>
        <w:t xml:space="preserve"> </w:t>
      </w:r>
      <w:r w:rsidRPr="009468E5">
        <w:rPr>
          <w:rFonts w:ascii="Times New Roman" w:hAnsi="Times New Roman" w:cs="Times New Roman"/>
          <w:b/>
          <w:sz w:val="24"/>
          <w:szCs w:val="24"/>
        </w:rPr>
        <w:t>ieviešanu””</w:t>
      </w:r>
      <w:r>
        <w:rPr>
          <w:rFonts w:ascii="Times New Roman" w:hAnsi="Times New Roman" w:cs="Times New Roman"/>
          <w:b/>
          <w:sz w:val="24"/>
          <w:szCs w:val="24"/>
        </w:rPr>
        <w:t>”</w:t>
      </w:r>
      <w:r w:rsidRPr="009468E5">
        <w:rPr>
          <w:rFonts w:ascii="Times New Roman" w:hAnsi="Times New Roman" w:cs="Times New Roman"/>
          <w:b/>
          <w:sz w:val="24"/>
          <w:szCs w:val="24"/>
        </w:rPr>
        <w:t xml:space="preserve"> 8.punktā dotā uzdevuma izpildi </w:t>
      </w:r>
      <w:r w:rsidRPr="009468E5">
        <w:rPr>
          <w:rFonts w:ascii="Times New Roman" w:hAnsi="Times New Roman" w:cs="Times New Roman"/>
          <w:b/>
          <w:bCs/>
          <w:sz w:val="24"/>
          <w:szCs w:val="24"/>
        </w:rPr>
        <w:t>(anotācija)</w:t>
      </w:r>
    </w:p>
    <w:p w:rsidR="00AB1C18" w:rsidRPr="00993E9D" w:rsidRDefault="00AB1C18" w:rsidP="00903CEA">
      <w:pPr>
        <w:spacing w:after="0" w:line="240" w:lineRule="auto"/>
        <w:jc w:val="center"/>
        <w:rPr>
          <w:rFonts w:ascii="Times New Roman" w:hAnsi="Times New Roman" w:cs="Times New Roman"/>
          <w:sz w:val="28"/>
          <w:szCs w:val="28"/>
          <w:lang w:eastAsia="lv-LV"/>
        </w:rPr>
      </w:pPr>
    </w:p>
    <w:tbl>
      <w:tblPr>
        <w:tblW w:w="4919"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6"/>
        <w:gridCol w:w="2551"/>
        <w:gridCol w:w="5813"/>
      </w:tblGrid>
      <w:tr w:rsidR="00AB1C18" w:rsidRPr="00F250E4">
        <w:tc>
          <w:tcPr>
            <w:tcW w:w="5000" w:type="pct"/>
            <w:gridSpan w:val="3"/>
            <w:tcBorders>
              <w:top w:val="outset" w:sz="6" w:space="0" w:color="000000"/>
              <w:bottom w:val="outset" w:sz="6" w:space="0" w:color="000000"/>
            </w:tcBorders>
            <w:vAlign w:val="center"/>
          </w:tcPr>
          <w:p w:rsidR="00AB1C18" w:rsidRPr="00F250E4" w:rsidRDefault="00AB1C18" w:rsidP="00903CEA">
            <w:pPr>
              <w:spacing w:after="0" w:line="240" w:lineRule="auto"/>
              <w:jc w:val="center"/>
              <w:rPr>
                <w:rFonts w:ascii="Times New Roman" w:hAnsi="Times New Roman" w:cs="Times New Roman"/>
                <w:b/>
                <w:bCs/>
                <w:sz w:val="24"/>
                <w:szCs w:val="24"/>
                <w:lang w:eastAsia="lv-LV"/>
              </w:rPr>
            </w:pPr>
            <w:r w:rsidRPr="00F250E4">
              <w:rPr>
                <w:rFonts w:ascii="Times New Roman" w:hAnsi="Times New Roman" w:cs="Times New Roman"/>
                <w:b/>
                <w:bCs/>
                <w:sz w:val="24"/>
                <w:szCs w:val="24"/>
                <w:lang w:eastAsia="lv-LV"/>
              </w:rPr>
              <w:t>I. Tiesību akta projekta izstrādes nepieciešamība</w:t>
            </w:r>
          </w:p>
        </w:tc>
      </w:tr>
      <w:tr w:rsidR="00AB1C18" w:rsidRPr="00F250E4">
        <w:tc>
          <w:tcPr>
            <w:tcW w:w="322" w:type="pct"/>
            <w:tcBorders>
              <w:top w:val="outset" w:sz="6" w:space="0" w:color="000000"/>
              <w:bottom w:val="outset" w:sz="6" w:space="0" w:color="000000"/>
              <w:right w:val="outset" w:sz="6" w:space="0" w:color="000000"/>
            </w:tcBorders>
          </w:tcPr>
          <w:p w:rsidR="00AB1C18" w:rsidRPr="00F250E4" w:rsidRDefault="00AB1C18" w:rsidP="00903CEA">
            <w:pPr>
              <w:spacing w:after="0" w:line="240" w:lineRule="auto"/>
              <w:ind w:left="150"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AB1C18" w:rsidRPr="00F250E4" w:rsidRDefault="00AB1C18" w:rsidP="00903CEA">
            <w:pPr>
              <w:spacing w:after="0" w:line="240" w:lineRule="auto"/>
              <w:ind w:left="141"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Pamatojums</w:t>
            </w:r>
          </w:p>
          <w:p w:rsidR="00AB1C18" w:rsidRPr="00F250E4" w:rsidRDefault="00AB1C18" w:rsidP="008E13AF">
            <w:pPr>
              <w:rPr>
                <w:rFonts w:ascii="Times New Roman" w:hAnsi="Times New Roman" w:cs="Times New Roman"/>
                <w:sz w:val="24"/>
                <w:szCs w:val="24"/>
                <w:lang w:eastAsia="lv-LV"/>
              </w:rPr>
            </w:pPr>
          </w:p>
          <w:p w:rsidR="00AB1C18" w:rsidRPr="00F250E4" w:rsidRDefault="00AB1C18" w:rsidP="008E13AF">
            <w:pPr>
              <w:rPr>
                <w:rFonts w:ascii="Times New Roman" w:hAnsi="Times New Roman" w:cs="Times New Roman"/>
                <w:sz w:val="24"/>
                <w:szCs w:val="24"/>
                <w:lang w:eastAsia="lv-LV"/>
              </w:rPr>
            </w:pPr>
          </w:p>
          <w:p w:rsidR="00AB1C18" w:rsidRPr="00F250E4" w:rsidRDefault="00AB1C18" w:rsidP="008E13AF">
            <w:pPr>
              <w:rPr>
                <w:rFonts w:ascii="Times New Roman" w:hAnsi="Times New Roman" w:cs="Times New Roman"/>
                <w:sz w:val="24"/>
                <w:szCs w:val="24"/>
                <w:lang w:eastAsia="lv-LV"/>
              </w:rPr>
            </w:pPr>
          </w:p>
          <w:p w:rsidR="00AB1C18" w:rsidRPr="00F250E4" w:rsidRDefault="00AB1C18" w:rsidP="008E13AF">
            <w:pPr>
              <w:rPr>
                <w:rFonts w:ascii="Times New Roman" w:hAnsi="Times New Roman" w:cs="Times New Roman"/>
                <w:sz w:val="24"/>
                <w:szCs w:val="24"/>
                <w:lang w:eastAsia="lv-LV"/>
              </w:rPr>
            </w:pPr>
          </w:p>
          <w:p w:rsidR="00AB1C18" w:rsidRPr="00F250E4" w:rsidRDefault="00AB1C18" w:rsidP="00805332">
            <w:pPr>
              <w:rPr>
                <w:rFonts w:ascii="Times New Roman" w:hAnsi="Times New Roman" w:cs="Times New Roman"/>
                <w:sz w:val="24"/>
                <w:szCs w:val="24"/>
                <w:lang w:eastAsia="lv-LV"/>
              </w:rPr>
            </w:pPr>
          </w:p>
        </w:tc>
        <w:tc>
          <w:tcPr>
            <w:tcW w:w="3251" w:type="pct"/>
            <w:tcBorders>
              <w:top w:val="outset" w:sz="6" w:space="0" w:color="000000"/>
              <w:left w:val="outset" w:sz="6" w:space="0" w:color="000000"/>
              <w:bottom w:val="outset" w:sz="6" w:space="0" w:color="000000"/>
            </w:tcBorders>
          </w:tcPr>
          <w:p w:rsidR="00AB1C18" w:rsidRPr="00F250E4" w:rsidRDefault="00B563F1" w:rsidP="006C76E0">
            <w:pPr>
              <w:jc w:val="both"/>
              <w:rPr>
                <w:rFonts w:ascii="Times New Roman" w:hAnsi="Times New Roman" w:cs="Times New Roman"/>
                <w:sz w:val="24"/>
                <w:szCs w:val="24"/>
                <w:lang w:eastAsia="lv-LV"/>
              </w:rPr>
            </w:pPr>
            <w:r w:rsidRPr="00F250E4">
              <w:rPr>
                <w:rFonts w:ascii="Times New Roman" w:hAnsi="Times New Roman" w:cs="Times New Roman"/>
                <w:color w:val="000000"/>
                <w:sz w:val="24"/>
                <w:szCs w:val="24"/>
              </w:rPr>
              <w:t xml:space="preserve">Lai izpildītu Ministru kabineta 2012.gada 13.marta sēdes </w:t>
            </w:r>
            <w:proofErr w:type="spellStart"/>
            <w:r w:rsidRPr="00F250E4">
              <w:rPr>
                <w:rFonts w:ascii="Times New Roman" w:hAnsi="Times New Roman" w:cs="Times New Roman"/>
                <w:color w:val="000000"/>
                <w:sz w:val="24"/>
                <w:szCs w:val="24"/>
              </w:rPr>
              <w:t>protokollēmuma</w:t>
            </w:r>
            <w:proofErr w:type="spellEnd"/>
            <w:r w:rsidRPr="00F250E4">
              <w:rPr>
                <w:rFonts w:ascii="Times New Roman" w:hAnsi="Times New Roman" w:cs="Times New Roman"/>
                <w:color w:val="000000"/>
                <w:sz w:val="24"/>
                <w:szCs w:val="24"/>
              </w:rPr>
              <w:t xml:space="preserve"> (</w:t>
            </w:r>
            <w:proofErr w:type="spellStart"/>
            <w:r w:rsidRPr="00F250E4">
              <w:rPr>
                <w:rFonts w:ascii="Times New Roman" w:hAnsi="Times New Roman" w:cs="Times New Roman"/>
                <w:color w:val="000000"/>
                <w:sz w:val="24"/>
                <w:szCs w:val="24"/>
                <w:lang w:val="en-US"/>
              </w:rPr>
              <w:t>prot</w:t>
            </w:r>
            <w:proofErr w:type="spellEnd"/>
            <w:r w:rsidRPr="00F250E4">
              <w:rPr>
                <w:rFonts w:ascii="Times New Roman" w:hAnsi="Times New Roman" w:cs="Times New Roman"/>
                <w:color w:val="000000"/>
                <w:sz w:val="24"/>
                <w:szCs w:val="24"/>
                <w:lang w:val="en-US"/>
              </w:rPr>
              <w:t xml:space="preserve">. Nr.14 32.§) </w:t>
            </w:r>
            <w:r w:rsidRPr="00F250E4">
              <w:rPr>
                <w:rFonts w:ascii="Times New Roman" w:hAnsi="Times New Roman" w:cs="Times New Roman"/>
                <w:sz w:val="24"/>
                <w:szCs w:val="24"/>
              </w:rPr>
              <w:t xml:space="preserve">„Informatīvais ziņojums „Par darbības programmas „Infrastruktūra un pakalpojumi” papildinājuma 3.1.1.1.aktivitātes „Mācību aprīkojuma modernizācija un infrastruktūras uzlabošana profesionālās izglītības programmu īstenošanai” ieviešanu”” (turpmāk – </w:t>
            </w:r>
            <w:proofErr w:type="spellStart"/>
            <w:r w:rsidRPr="00F250E4">
              <w:rPr>
                <w:rFonts w:ascii="Times New Roman" w:hAnsi="Times New Roman" w:cs="Times New Roman"/>
                <w:sz w:val="24"/>
                <w:szCs w:val="24"/>
              </w:rPr>
              <w:t>protokollēmums</w:t>
            </w:r>
            <w:proofErr w:type="spellEnd"/>
            <w:r w:rsidRPr="00F250E4">
              <w:rPr>
                <w:rFonts w:ascii="Times New Roman" w:hAnsi="Times New Roman" w:cs="Times New Roman"/>
                <w:sz w:val="24"/>
                <w:szCs w:val="24"/>
              </w:rPr>
              <w:t xml:space="preserve">) 8.punktā doto uzdevumu ir nepieciešams precizēt </w:t>
            </w:r>
            <w:proofErr w:type="spellStart"/>
            <w:r w:rsidRPr="00F250E4">
              <w:rPr>
                <w:rFonts w:ascii="Times New Roman" w:hAnsi="Times New Roman" w:cs="Times New Roman"/>
                <w:sz w:val="24"/>
                <w:szCs w:val="24"/>
              </w:rPr>
              <w:t>protokollēmumu</w:t>
            </w:r>
            <w:proofErr w:type="spellEnd"/>
            <w:r w:rsidRPr="00F250E4">
              <w:rPr>
                <w:rFonts w:ascii="Times New Roman" w:hAnsi="Times New Roman" w:cs="Times New Roman"/>
                <w:sz w:val="24"/>
                <w:szCs w:val="24"/>
              </w:rPr>
              <w:t>, palielinot otrai kārtai  pieejamo finansējumu profesionālās izglītības iestādēm būvdarbu tehniskās un iepirkumu dokumentācijas izstrādei ne vairāk kā 2% apmērā no otrajai kārtai p</w:t>
            </w:r>
            <w:r w:rsidR="006C76E0">
              <w:rPr>
                <w:rFonts w:ascii="Times New Roman" w:hAnsi="Times New Roman" w:cs="Times New Roman"/>
                <w:sz w:val="24"/>
                <w:szCs w:val="24"/>
              </w:rPr>
              <w:t>ieejamā finansējuma jeb 1 549 167</w:t>
            </w:r>
            <w:r w:rsidRPr="00F250E4">
              <w:rPr>
                <w:rFonts w:ascii="Times New Roman" w:hAnsi="Times New Roman" w:cs="Times New Roman"/>
                <w:sz w:val="24"/>
                <w:szCs w:val="24"/>
              </w:rPr>
              <w:t xml:space="preserve"> latiem, pamatojoties uz Ministru kabineta 2012.gada 8.maija sēdes </w:t>
            </w:r>
            <w:proofErr w:type="spellStart"/>
            <w:r w:rsidRPr="00F250E4">
              <w:rPr>
                <w:rFonts w:ascii="Times New Roman" w:hAnsi="Times New Roman" w:cs="Times New Roman"/>
                <w:sz w:val="24"/>
                <w:szCs w:val="24"/>
              </w:rPr>
              <w:t>protokollēmuma</w:t>
            </w:r>
            <w:proofErr w:type="spellEnd"/>
            <w:r w:rsidRPr="00F250E4">
              <w:rPr>
                <w:rFonts w:ascii="Times New Roman" w:hAnsi="Times New Roman" w:cs="Times New Roman"/>
                <w:sz w:val="24"/>
                <w:szCs w:val="24"/>
              </w:rPr>
              <w:t xml:space="preserve"> (prot. Nr.25 26.</w:t>
            </w:r>
            <w:r w:rsidRPr="00F250E4">
              <w:rPr>
                <w:rFonts w:ascii="Times New Roman" w:hAnsi="Times New Roman" w:cs="Times New Roman"/>
                <w:color w:val="000000"/>
                <w:sz w:val="24"/>
                <w:szCs w:val="24"/>
              </w:rPr>
              <w:t xml:space="preserve"> §) “Informatīvais ziņojums “Valsts budžeta </w:t>
            </w:r>
            <w:proofErr w:type="spellStart"/>
            <w:r w:rsidRPr="00F250E4">
              <w:rPr>
                <w:rFonts w:ascii="Times New Roman" w:hAnsi="Times New Roman" w:cs="Times New Roman"/>
                <w:color w:val="000000"/>
                <w:sz w:val="24"/>
                <w:szCs w:val="24"/>
              </w:rPr>
              <w:t>virssaistību</w:t>
            </w:r>
            <w:proofErr w:type="spellEnd"/>
            <w:r w:rsidRPr="00F250E4">
              <w:rPr>
                <w:rFonts w:ascii="Times New Roman" w:hAnsi="Times New Roman" w:cs="Times New Roman"/>
                <w:color w:val="000000"/>
                <w:sz w:val="24"/>
                <w:szCs w:val="24"/>
              </w:rPr>
              <w:t xml:space="preserve"> iespējas Eiropas Savienības struktūrfondu un Kohēzijas fonda 2007.-2013.gada plānošanas perioda aktivitātēs”” 3.2.punktu par papildus </w:t>
            </w:r>
            <w:proofErr w:type="spellStart"/>
            <w:r w:rsidRPr="00F250E4">
              <w:rPr>
                <w:rFonts w:ascii="Times New Roman" w:hAnsi="Times New Roman" w:cs="Times New Roman"/>
                <w:color w:val="000000"/>
                <w:sz w:val="24"/>
                <w:szCs w:val="24"/>
              </w:rPr>
              <w:t>virsaistību</w:t>
            </w:r>
            <w:proofErr w:type="spellEnd"/>
            <w:r w:rsidRPr="00F250E4">
              <w:rPr>
                <w:rFonts w:ascii="Times New Roman" w:hAnsi="Times New Roman" w:cs="Times New Roman"/>
                <w:color w:val="000000"/>
                <w:sz w:val="24"/>
                <w:szCs w:val="24"/>
              </w:rPr>
              <w:t xml:space="preserve"> uzņemšanos Izglītības un zinātnes ministrijas pārziņā esošajās aktivitātēs, tai skaitā 3.1.1.1.aktivitātē “Mācību aprīkojuma modernizācija un infrastruktūras uzlabošana profesionālās izglītības programmu īstenošanai” (turpmāk  - 3.1.1.1.aktivitāte) 31 195 566 latu apmērā. Līdz ar to 3.1.1.1.aktivitātes otrai kārtai pieejamais finansējums kopā ar</w:t>
            </w:r>
            <w:r w:rsidR="006C76E0">
              <w:rPr>
                <w:rFonts w:ascii="Times New Roman" w:hAnsi="Times New Roman" w:cs="Times New Roman"/>
                <w:color w:val="000000"/>
                <w:sz w:val="24"/>
                <w:szCs w:val="24"/>
              </w:rPr>
              <w:t xml:space="preserve"> </w:t>
            </w:r>
            <w:proofErr w:type="spellStart"/>
            <w:r w:rsidR="006C76E0">
              <w:rPr>
                <w:rFonts w:ascii="Times New Roman" w:hAnsi="Times New Roman" w:cs="Times New Roman"/>
                <w:color w:val="000000"/>
                <w:sz w:val="24"/>
                <w:szCs w:val="24"/>
              </w:rPr>
              <w:t>virssaistībām</w:t>
            </w:r>
            <w:proofErr w:type="spellEnd"/>
            <w:r w:rsidR="006C76E0">
              <w:rPr>
                <w:rFonts w:ascii="Times New Roman" w:hAnsi="Times New Roman" w:cs="Times New Roman"/>
                <w:color w:val="000000"/>
                <w:sz w:val="24"/>
                <w:szCs w:val="24"/>
              </w:rPr>
              <w:t xml:space="preserve"> būs 77 458 382</w:t>
            </w:r>
            <w:r w:rsidRPr="00F250E4">
              <w:rPr>
                <w:rFonts w:ascii="Times New Roman" w:hAnsi="Times New Roman" w:cs="Times New Roman"/>
                <w:color w:val="000000"/>
                <w:sz w:val="24"/>
                <w:szCs w:val="24"/>
              </w:rPr>
              <w:t xml:space="preserve"> lati.</w:t>
            </w:r>
            <w:r w:rsidR="00934B71" w:rsidRPr="00F250E4">
              <w:rPr>
                <w:rFonts w:ascii="Times New Roman" w:hAnsi="Times New Roman" w:cs="Times New Roman"/>
                <w:sz w:val="24"/>
                <w:szCs w:val="24"/>
              </w:rPr>
              <w:t xml:space="preserve"> </w:t>
            </w:r>
          </w:p>
        </w:tc>
      </w:tr>
      <w:tr w:rsidR="00AB1C18" w:rsidRPr="00F250E4">
        <w:tc>
          <w:tcPr>
            <w:tcW w:w="322" w:type="pct"/>
            <w:tcBorders>
              <w:top w:val="outset" w:sz="6" w:space="0" w:color="000000"/>
              <w:bottom w:val="outset" w:sz="6" w:space="0" w:color="000000"/>
              <w:right w:val="outset" w:sz="6" w:space="0" w:color="000000"/>
            </w:tcBorders>
          </w:tcPr>
          <w:p w:rsidR="00AB1C18" w:rsidRPr="00F250E4" w:rsidRDefault="00AB1C18" w:rsidP="00903CEA">
            <w:pPr>
              <w:spacing w:after="0" w:line="240" w:lineRule="auto"/>
              <w:ind w:left="150"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2.</w:t>
            </w:r>
          </w:p>
        </w:tc>
        <w:tc>
          <w:tcPr>
            <w:tcW w:w="1427" w:type="pct"/>
            <w:tcBorders>
              <w:top w:val="outset" w:sz="6" w:space="0" w:color="000000"/>
              <w:left w:val="outset" w:sz="6" w:space="0" w:color="000000"/>
              <w:bottom w:val="outset" w:sz="6" w:space="0" w:color="000000"/>
              <w:right w:val="outset" w:sz="6" w:space="0" w:color="000000"/>
            </w:tcBorders>
          </w:tcPr>
          <w:p w:rsidR="00AB1C18" w:rsidRPr="00F250E4" w:rsidRDefault="00AB1C18" w:rsidP="00903CEA">
            <w:pPr>
              <w:spacing w:after="0" w:line="240" w:lineRule="auto"/>
              <w:ind w:left="150" w:right="156"/>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Pašreizējā situācija un problēmas</w:t>
            </w:r>
          </w:p>
          <w:p w:rsidR="00AB1C18" w:rsidRPr="00F250E4" w:rsidRDefault="00AB1C18" w:rsidP="00903CEA">
            <w:pPr>
              <w:spacing w:after="0" w:line="240" w:lineRule="auto"/>
              <w:ind w:left="150" w:right="156"/>
              <w:rPr>
                <w:rFonts w:ascii="Times New Roman" w:hAnsi="Times New Roman" w:cs="Times New Roman"/>
                <w:sz w:val="24"/>
                <w:szCs w:val="24"/>
                <w:lang w:eastAsia="lv-LV"/>
              </w:rPr>
            </w:pPr>
          </w:p>
        </w:tc>
        <w:tc>
          <w:tcPr>
            <w:tcW w:w="3251" w:type="pct"/>
            <w:tcBorders>
              <w:top w:val="outset" w:sz="6" w:space="0" w:color="000000"/>
              <w:left w:val="outset" w:sz="6" w:space="0" w:color="000000"/>
              <w:bottom w:val="outset" w:sz="6" w:space="0" w:color="000000"/>
            </w:tcBorders>
          </w:tcPr>
          <w:p w:rsidR="00E616BF" w:rsidRDefault="00E616BF" w:rsidP="00E616BF">
            <w:pPr>
              <w:ind w:firstLine="720"/>
              <w:jc w:val="both"/>
              <w:rPr>
                <w:rFonts w:ascii="Times New Roman" w:hAnsi="Times New Roman" w:cs="Times New Roman"/>
                <w:sz w:val="24"/>
                <w:szCs w:val="24"/>
              </w:rPr>
            </w:pPr>
            <w:r w:rsidRPr="00F250E4">
              <w:rPr>
                <w:rFonts w:ascii="Times New Roman" w:hAnsi="Times New Roman" w:cs="Times New Roman"/>
                <w:color w:val="000000"/>
                <w:sz w:val="24"/>
                <w:szCs w:val="24"/>
              </w:rPr>
              <w:t xml:space="preserve">Finansējums paredzēts </w:t>
            </w:r>
            <w:r w:rsidR="008A2171" w:rsidRPr="00F250E4">
              <w:rPr>
                <w:rFonts w:ascii="Times New Roman" w:hAnsi="Times New Roman" w:cs="Times New Roman"/>
                <w:color w:val="000000"/>
                <w:sz w:val="24"/>
                <w:szCs w:val="24"/>
              </w:rPr>
              <w:t xml:space="preserve">valsts budžeta finansētām </w:t>
            </w:r>
            <w:r w:rsidRPr="00F250E4">
              <w:rPr>
                <w:rFonts w:ascii="Times New Roman" w:hAnsi="Times New Roman" w:cs="Times New Roman"/>
                <w:color w:val="000000"/>
                <w:sz w:val="24"/>
                <w:szCs w:val="24"/>
              </w:rPr>
              <w:t xml:space="preserve">profesionālās izglītības iestādēm būvdarbu tehniskās un iepirkumu dokumentācijas izstrādei, kuras atbilstoši </w:t>
            </w:r>
            <w:proofErr w:type="spellStart"/>
            <w:r w:rsidRPr="00F250E4">
              <w:rPr>
                <w:rFonts w:ascii="Times New Roman" w:hAnsi="Times New Roman" w:cs="Times New Roman"/>
                <w:color w:val="000000"/>
                <w:sz w:val="24"/>
                <w:szCs w:val="24"/>
              </w:rPr>
              <w:t>protokollēmuma</w:t>
            </w:r>
            <w:proofErr w:type="spellEnd"/>
            <w:r w:rsidRPr="00F250E4">
              <w:rPr>
                <w:rFonts w:ascii="Times New Roman" w:hAnsi="Times New Roman" w:cs="Times New Roman"/>
                <w:color w:val="000000"/>
                <w:sz w:val="24"/>
                <w:szCs w:val="24"/>
              </w:rPr>
              <w:t xml:space="preserve"> 7.1.punktam tiks minētas pamatnostādnēs „Profesionālās izglītības iestāžu tīkla optimizācijas pamatnostādnēs 2010.-2015.gadam” (turpmāk –pamatnostādnes). </w:t>
            </w:r>
            <w:r w:rsidRPr="00F250E4">
              <w:rPr>
                <w:rFonts w:ascii="Times New Roman" w:hAnsi="Times New Roman" w:cs="Times New Roman"/>
                <w:sz w:val="24"/>
                <w:szCs w:val="24"/>
              </w:rPr>
              <w:t xml:space="preserve">Būvdarbu tehniskās un iepirkumu dokumentācijas izstrāde pirms projekta apspirināšanas nodrošinās projektu izstrādi augstā gatavības stadijā, </w:t>
            </w:r>
            <w:r w:rsidRPr="00F250E4">
              <w:rPr>
                <w:rFonts w:ascii="Times New Roman" w:hAnsi="Times New Roman" w:cs="Times New Roman"/>
                <w:sz w:val="24"/>
                <w:szCs w:val="24"/>
              </w:rPr>
              <w:lastRenderedPageBreak/>
              <w:t xml:space="preserve">samazinot iespējamo sadārdzinājuma un izmaksu neatbilstības risku. </w:t>
            </w:r>
            <w:r w:rsidRPr="00F250E4">
              <w:rPr>
                <w:rFonts w:ascii="Times New Roman" w:hAnsi="Times New Roman" w:cs="Times New Roman"/>
                <w:color w:val="000000"/>
                <w:sz w:val="24"/>
                <w:szCs w:val="24"/>
              </w:rPr>
              <w:t xml:space="preserve">Ministrija šīs izmaksas, kas būs radušās pirms projekta apstiprināšanas un saistītas ar projekta mērķa sasniegšanu, ir paredzējusi noteikt kā attiecināmās izmaksas Ministru kabineta noteikumos par 3.1.1.1.aktivitātes otrās </w:t>
            </w:r>
            <w:r w:rsidR="00934B71">
              <w:rPr>
                <w:rFonts w:ascii="Times New Roman" w:hAnsi="Times New Roman" w:cs="Times New Roman"/>
                <w:color w:val="000000"/>
                <w:sz w:val="24"/>
                <w:szCs w:val="24"/>
              </w:rPr>
              <w:t xml:space="preserve">ierobežotās </w:t>
            </w:r>
            <w:r w:rsidRPr="00F250E4">
              <w:rPr>
                <w:rFonts w:ascii="Times New Roman" w:hAnsi="Times New Roman" w:cs="Times New Roman"/>
                <w:color w:val="000000"/>
                <w:sz w:val="24"/>
                <w:szCs w:val="24"/>
              </w:rPr>
              <w:t xml:space="preserve">projektu iesniegumu atlases kārtas īstenošanu. Lai nodrošinātu šo iestāžu pirms projekta iesniegšanai nepieciešamo būvvaldē akceptēta tehniskā projekta izstrādi un veiktu būvdarbu iepirkumu procedūras, nepieciešams </w:t>
            </w:r>
            <w:r w:rsidR="00934B71">
              <w:rPr>
                <w:rFonts w:ascii="Times New Roman" w:hAnsi="Times New Roman" w:cs="Times New Roman"/>
                <w:color w:val="000000"/>
                <w:sz w:val="24"/>
                <w:szCs w:val="24"/>
              </w:rPr>
              <w:t>nodrošināt finansējumu no Izglītības un zinātnes ministrijas 62.06.00 apakšprogrammas „</w:t>
            </w:r>
            <w:r w:rsidR="00934B71" w:rsidRPr="00943DC2">
              <w:rPr>
                <w:rFonts w:ascii="Times New Roman" w:hAnsi="Times New Roman"/>
                <w:sz w:val="24"/>
                <w:szCs w:val="24"/>
              </w:rPr>
              <w:t>Eiropas Reģionālās attīstības fonda (ERAF) projekti (2007-2013)”</w:t>
            </w:r>
            <w:r w:rsidR="00934B71">
              <w:rPr>
                <w:rFonts w:ascii="Times New Roman" w:hAnsi="Times New Roman"/>
                <w:sz w:val="24"/>
                <w:szCs w:val="24"/>
              </w:rPr>
              <w:t xml:space="preserve"> vai nepieciešamības gadījumā </w:t>
            </w:r>
            <w:r w:rsidRPr="00F250E4">
              <w:rPr>
                <w:rFonts w:ascii="Times New Roman" w:hAnsi="Times New Roman" w:cs="Times New Roman"/>
                <w:color w:val="000000"/>
                <w:sz w:val="24"/>
                <w:szCs w:val="24"/>
              </w:rPr>
              <w:t xml:space="preserve">piešķirt valsts budžeta līdzekļus no </w:t>
            </w:r>
            <w:r w:rsidR="00934B71">
              <w:rPr>
                <w:rFonts w:ascii="Times New Roman" w:hAnsi="Times New Roman" w:cs="Times New Roman"/>
                <w:color w:val="000000"/>
                <w:sz w:val="24"/>
                <w:szCs w:val="24"/>
              </w:rPr>
              <w:t xml:space="preserve">Finanšu ministrijas </w:t>
            </w:r>
            <w:r w:rsidRPr="00F250E4">
              <w:rPr>
                <w:rFonts w:ascii="Times New Roman" w:hAnsi="Times New Roman" w:cs="Times New Roman"/>
                <w:color w:val="000000"/>
                <w:sz w:val="24"/>
                <w:szCs w:val="24"/>
              </w:rPr>
              <w:t>80.00.00 programmas</w:t>
            </w:r>
            <w:r w:rsidR="00934B71">
              <w:rPr>
                <w:rFonts w:ascii="Times New Roman" w:hAnsi="Times New Roman" w:cs="Times New Roman"/>
                <w:color w:val="000000"/>
                <w:sz w:val="24"/>
                <w:szCs w:val="24"/>
              </w:rPr>
              <w:t xml:space="preserve"> </w:t>
            </w:r>
            <w:r w:rsidR="00934B71" w:rsidRPr="006961C3">
              <w:rPr>
                <w:rFonts w:ascii="Times New Roman" w:hAnsi="Times New Roman"/>
                <w:sz w:val="24"/>
                <w:szCs w:val="24"/>
              </w:rPr>
              <w:t xml:space="preserve">„Nesadalītais finansējums Eiropas Savienības politiku instrumentu un pārējās ārvalstu finanšu palīdzības </w:t>
            </w:r>
            <w:proofErr w:type="spellStart"/>
            <w:r w:rsidR="00934B71" w:rsidRPr="006961C3">
              <w:rPr>
                <w:rFonts w:ascii="Times New Roman" w:hAnsi="Times New Roman"/>
                <w:sz w:val="24"/>
                <w:szCs w:val="24"/>
              </w:rPr>
              <w:t>līdzfinansēto</w:t>
            </w:r>
            <w:proofErr w:type="spellEnd"/>
            <w:r w:rsidR="00934B71" w:rsidRPr="006961C3">
              <w:rPr>
                <w:rFonts w:ascii="Times New Roman" w:hAnsi="Times New Roman"/>
                <w:sz w:val="24"/>
                <w:szCs w:val="24"/>
              </w:rPr>
              <w:t xml:space="preserve"> projektu un pasākumu īstenošanai”</w:t>
            </w:r>
            <w:r w:rsidRPr="00F250E4">
              <w:rPr>
                <w:rFonts w:ascii="Times New Roman" w:hAnsi="Times New Roman" w:cs="Times New Roman"/>
                <w:color w:val="000000"/>
                <w:sz w:val="24"/>
                <w:szCs w:val="24"/>
              </w:rPr>
              <w:t xml:space="preserve">, ņemot vērā, ka profesionālās izglītības iestādes ir valsts budžeta  iestādes, un tām nav pieejami citi finanšu resursi. </w:t>
            </w:r>
            <w:r w:rsidRPr="00F250E4">
              <w:rPr>
                <w:rFonts w:ascii="Times New Roman" w:hAnsi="Times New Roman" w:cs="Times New Roman"/>
                <w:sz w:val="24"/>
                <w:szCs w:val="24"/>
              </w:rPr>
              <w:t>Pastāvošais normatīvo aktu regulējums paredz valsts budžeta līdzekļu pieprasījuma iesniegšanu un piešķiršanu pēc tam, kad atbildīgā iestāde ir apstiprinājusi Eiropas Savienības fonda projekta iesniegumu, tai pat laikā, lai profesionālās izglītības iestādes varētu sagatavot projekta iesniegumu ir nepieciešams sagatavot būvdarbu tehnisko un iepirkumu dokumentāciju.</w:t>
            </w:r>
            <w:r w:rsidR="008A2171" w:rsidRPr="00F250E4">
              <w:rPr>
                <w:rFonts w:ascii="Times New Roman" w:hAnsi="Times New Roman" w:cs="Times New Roman"/>
                <w:sz w:val="24"/>
                <w:szCs w:val="24"/>
              </w:rPr>
              <w:t xml:space="preserve"> Ņemot vērā, ka 3.1.1.1. aktivitātes otrajai</w:t>
            </w:r>
            <w:r w:rsidR="000C13CF">
              <w:rPr>
                <w:rFonts w:ascii="Times New Roman" w:hAnsi="Times New Roman" w:cs="Times New Roman"/>
                <w:sz w:val="24"/>
                <w:szCs w:val="24"/>
              </w:rPr>
              <w:t xml:space="preserve"> ierobežotai</w:t>
            </w:r>
            <w:r w:rsidR="008A2171" w:rsidRPr="00F250E4">
              <w:rPr>
                <w:rFonts w:ascii="Times New Roman" w:hAnsi="Times New Roman" w:cs="Times New Roman"/>
                <w:sz w:val="24"/>
                <w:szCs w:val="24"/>
              </w:rPr>
              <w:t xml:space="preserve"> projektu iesniegumu atlases kārtai kvalificējas arī viena pašvaldības iestāde, tad finansējums, kas nepieciešams būvdarbu tehniskās un iepirkumu dokumentācijas izstrādei </w:t>
            </w:r>
            <w:r w:rsidR="00F250E4" w:rsidRPr="00F250E4">
              <w:rPr>
                <w:rFonts w:ascii="Times New Roman" w:hAnsi="Times New Roman" w:cs="Times New Roman"/>
                <w:sz w:val="24"/>
                <w:szCs w:val="24"/>
              </w:rPr>
              <w:t xml:space="preserve">tai </w:t>
            </w:r>
            <w:r w:rsidR="008A2171" w:rsidRPr="00F250E4">
              <w:rPr>
                <w:rFonts w:ascii="Times New Roman" w:hAnsi="Times New Roman" w:cs="Times New Roman"/>
                <w:sz w:val="24"/>
                <w:szCs w:val="24"/>
              </w:rPr>
              <w:t>ir jāsedz no pašvaldības budžeta.</w:t>
            </w:r>
          </w:p>
          <w:p w:rsidR="00AB1C18" w:rsidRDefault="00E616BF" w:rsidP="00E616BF">
            <w:pPr>
              <w:jc w:val="both"/>
              <w:rPr>
                <w:rFonts w:ascii="Times New Roman" w:hAnsi="Times New Roman" w:cs="Times New Roman"/>
                <w:sz w:val="24"/>
                <w:szCs w:val="24"/>
              </w:rPr>
            </w:pPr>
            <w:r w:rsidRPr="00F250E4">
              <w:rPr>
                <w:rFonts w:ascii="Times New Roman" w:hAnsi="Times New Roman" w:cs="Times New Roman"/>
                <w:color w:val="000000"/>
                <w:sz w:val="24"/>
                <w:szCs w:val="24"/>
              </w:rPr>
              <w:tab/>
              <w:t xml:space="preserve">Ņemot vērā Finanšu ministrijas viedokli par nepieciešamību pamatnostādnēs minētās profesionālās izglītības iestādes identificēt kā finansējuma saņēmēju projektu īstenošanai, tad  Izglītības un zinātnes ministrija informē, </w:t>
            </w:r>
            <w:r w:rsidR="00491DAD">
              <w:rPr>
                <w:rFonts w:ascii="Times New Roman" w:hAnsi="Times New Roman" w:cs="Times New Roman"/>
                <w:color w:val="000000"/>
                <w:sz w:val="24"/>
                <w:szCs w:val="24"/>
              </w:rPr>
              <w:t xml:space="preserve">ka </w:t>
            </w:r>
            <w:r w:rsidR="00865079">
              <w:rPr>
                <w:rFonts w:ascii="Times New Roman" w:hAnsi="Times New Roman" w:cs="Times New Roman"/>
                <w:color w:val="000000"/>
                <w:sz w:val="24"/>
                <w:szCs w:val="24"/>
              </w:rPr>
              <w:t>pamatojoties uz Eiropas Savienības struktūrfondu un Kohēzijas fonda vadības likuma 6.pantu, ja iepriekš ir zināms ierobežotas Eiropas Savienības fonda projektu iesniedzēju loks, kurus uzaicina sniegt projekta iesniegumu, tad</w:t>
            </w:r>
            <w:r w:rsidR="00491DAD">
              <w:rPr>
                <w:rFonts w:ascii="Times New Roman" w:hAnsi="Times New Roman" w:cs="Times New Roman"/>
                <w:color w:val="000000"/>
                <w:sz w:val="24"/>
                <w:szCs w:val="24"/>
              </w:rPr>
              <w:t xml:space="preserve"> šajā gadījumā</w:t>
            </w:r>
            <w:r w:rsidR="00865079">
              <w:rPr>
                <w:rFonts w:ascii="Times New Roman" w:hAnsi="Times New Roman" w:cs="Times New Roman"/>
                <w:color w:val="000000"/>
                <w:sz w:val="24"/>
                <w:szCs w:val="24"/>
              </w:rPr>
              <w:t xml:space="preserve"> apstiprina un finansē visus Eiropas Savienības fonda projektu iesniegumus</w:t>
            </w:r>
            <w:r w:rsidR="00F54763">
              <w:rPr>
                <w:rFonts w:ascii="Times New Roman" w:hAnsi="Times New Roman" w:cs="Times New Roman"/>
                <w:color w:val="000000"/>
                <w:sz w:val="24"/>
                <w:szCs w:val="24"/>
              </w:rPr>
              <w:t xml:space="preserve">, kuri atbilst Eiropas Savienības fondu projektu iesniegumu vērtēšanas </w:t>
            </w:r>
            <w:r w:rsidR="00F54763">
              <w:rPr>
                <w:rFonts w:ascii="Times New Roman" w:hAnsi="Times New Roman" w:cs="Times New Roman"/>
                <w:color w:val="000000"/>
                <w:sz w:val="24"/>
                <w:szCs w:val="24"/>
              </w:rPr>
              <w:lastRenderedPageBreak/>
              <w:t>kritērijiem. Līdz ar</w:t>
            </w:r>
            <w:r w:rsidR="00491DAD">
              <w:rPr>
                <w:rFonts w:ascii="Times New Roman" w:hAnsi="Times New Roman" w:cs="Times New Roman"/>
                <w:color w:val="000000"/>
                <w:sz w:val="24"/>
                <w:szCs w:val="24"/>
              </w:rPr>
              <w:t xml:space="preserve"> </w:t>
            </w:r>
            <w:r w:rsidR="00F54763">
              <w:rPr>
                <w:rFonts w:ascii="Times New Roman" w:hAnsi="Times New Roman" w:cs="Times New Roman"/>
                <w:color w:val="000000"/>
                <w:sz w:val="24"/>
                <w:szCs w:val="24"/>
              </w:rPr>
              <w:t xml:space="preserve">to </w:t>
            </w:r>
            <w:r w:rsidRPr="00F250E4">
              <w:rPr>
                <w:rFonts w:ascii="Times New Roman" w:hAnsi="Times New Roman" w:cs="Times New Roman"/>
                <w:color w:val="000000"/>
                <w:sz w:val="24"/>
                <w:szCs w:val="24"/>
              </w:rPr>
              <w:t>pamatnostādnēs</w:t>
            </w:r>
            <w:r w:rsidRPr="00F250E4">
              <w:rPr>
                <w:rFonts w:ascii="Times New Roman" w:hAnsi="Times New Roman" w:cs="Times New Roman"/>
                <w:sz w:val="24"/>
                <w:szCs w:val="24"/>
              </w:rPr>
              <w:t xml:space="preserve"> minētās profesionālās izglītības iestādes uzskatāmas par Eiropas Savienības fonda finansējuma saņēmēju Ministru Kabineta 2011.gada 9.novembra noteikumu Nr.1041 „Kārtība, kādā paredzami valsts budžeta līdzekļi Eiropas savienības struktūrfondu un Kohēzijas fonda </w:t>
            </w:r>
            <w:proofErr w:type="spellStart"/>
            <w:r w:rsidRPr="00F250E4">
              <w:rPr>
                <w:rFonts w:ascii="Times New Roman" w:hAnsi="Times New Roman" w:cs="Times New Roman"/>
                <w:sz w:val="24"/>
                <w:szCs w:val="24"/>
              </w:rPr>
              <w:t>līdzfinansēto</w:t>
            </w:r>
            <w:proofErr w:type="spellEnd"/>
            <w:r w:rsidRPr="00F250E4">
              <w:rPr>
                <w:rFonts w:ascii="Times New Roman" w:hAnsi="Times New Roman" w:cs="Times New Roman"/>
                <w:sz w:val="24"/>
                <w:szCs w:val="24"/>
              </w:rPr>
              <w:t xml:space="preserve"> projektu īstenošanai, kā arī maksājumu veikšanas un izdevumu deklarācijas sagatavošanas kārtība” izpratnē, lai varētu piešķirt finansējumu no 80.00.00 programmas. Šīs profesionālās izglītības iestādes atbilstoši informatīvā ziņojuma 3.pielikumā minētajiem vērtēšanas kritērijiem ir ieguvušas visaugstāko punktu skaitu un </w:t>
            </w:r>
            <w:r w:rsidR="00F54763">
              <w:rPr>
                <w:rFonts w:ascii="Times New Roman" w:hAnsi="Times New Roman" w:cs="Times New Roman"/>
                <w:sz w:val="24"/>
                <w:szCs w:val="24"/>
              </w:rPr>
              <w:t>kvalificējas dalībai</w:t>
            </w:r>
            <w:r w:rsidRPr="00F250E4">
              <w:rPr>
                <w:rFonts w:ascii="Times New Roman" w:hAnsi="Times New Roman" w:cs="Times New Roman"/>
                <w:sz w:val="24"/>
                <w:szCs w:val="24"/>
              </w:rPr>
              <w:t xml:space="preserve"> 3.1.1.1. aktivitātes otrās</w:t>
            </w:r>
            <w:r w:rsidR="00491DAD">
              <w:rPr>
                <w:rFonts w:ascii="Times New Roman" w:hAnsi="Times New Roman" w:cs="Times New Roman"/>
                <w:sz w:val="24"/>
                <w:szCs w:val="24"/>
              </w:rPr>
              <w:t xml:space="preserve"> ierobežotās</w:t>
            </w:r>
            <w:r w:rsidRPr="00F250E4">
              <w:rPr>
                <w:rFonts w:ascii="Times New Roman" w:hAnsi="Times New Roman" w:cs="Times New Roman"/>
                <w:sz w:val="24"/>
                <w:szCs w:val="24"/>
              </w:rPr>
              <w:t xml:space="preserve"> projektu iesniegumu atlases kārtā. </w:t>
            </w:r>
          </w:p>
          <w:p w:rsidR="00F54763" w:rsidRPr="00F250E4" w:rsidRDefault="00F54763" w:rsidP="00F54763">
            <w:pPr>
              <w:ind w:firstLine="720"/>
              <w:jc w:val="both"/>
              <w:rPr>
                <w:rFonts w:ascii="Times New Roman" w:hAnsi="Times New Roman" w:cs="Times New Roman"/>
                <w:sz w:val="24"/>
                <w:szCs w:val="24"/>
              </w:rPr>
            </w:pPr>
            <w:r w:rsidRPr="00F250E4">
              <w:rPr>
                <w:rFonts w:ascii="Times New Roman" w:hAnsi="Times New Roman" w:cs="Times New Roman"/>
                <w:color w:val="000000"/>
                <w:sz w:val="24"/>
                <w:szCs w:val="24"/>
              </w:rPr>
              <w:t>Vienlaikus pastāv risks, ka projekta iesniedzējs var iesniegt projekta iesniegumu, kas ir noraidāms pēc vērtēšanas kritērijiem vai būvdarbu iepirkumu rezultātā 3.1.1.1.aktivitātes otrās</w:t>
            </w:r>
            <w:r w:rsidR="000C13CF">
              <w:rPr>
                <w:rFonts w:ascii="Times New Roman" w:hAnsi="Times New Roman" w:cs="Times New Roman"/>
                <w:color w:val="000000"/>
                <w:sz w:val="24"/>
                <w:szCs w:val="24"/>
              </w:rPr>
              <w:t xml:space="preserve"> ierobežotās</w:t>
            </w:r>
            <w:r w:rsidRPr="00F250E4">
              <w:rPr>
                <w:rFonts w:ascii="Times New Roman" w:hAnsi="Times New Roman" w:cs="Times New Roman"/>
                <w:color w:val="000000"/>
                <w:sz w:val="24"/>
                <w:szCs w:val="24"/>
              </w:rPr>
              <w:t xml:space="preserve"> projektu iesniegumu atlases kārtā paredzētais finansējums ir nepietiekošs, lai īstenotu visus projektus, kuriem ir izstrādāta </w:t>
            </w:r>
            <w:r w:rsidRPr="00F250E4">
              <w:rPr>
                <w:rFonts w:ascii="Times New Roman" w:hAnsi="Times New Roman" w:cs="Times New Roman"/>
                <w:sz w:val="24"/>
                <w:szCs w:val="24"/>
              </w:rPr>
              <w:t>būvdarbu tehniskā dokumentācija</w:t>
            </w:r>
            <w:r w:rsidRPr="00F250E4">
              <w:rPr>
                <w:rFonts w:ascii="Times New Roman" w:hAnsi="Times New Roman" w:cs="Times New Roman"/>
                <w:color w:val="000000"/>
                <w:sz w:val="24"/>
                <w:szCs w:val="24"/>
              </w:rPr>
              <w:t xml:space="preserve">, kā rezultātā </w:t>
            </w:r>
            <w:r w:rsidR="005C7E3E">
              <w:rPr>
                <w:rFonts w:ascii="Times New Roman" w:hAnsi="Times New Roman" w:cs="Times New Roman"/>
                <w:color w:val="000000"/>
                <w:sz w:val="24"/>
                <w:szCs w:val="24"/>
              </w:rPr>
              <w:t>valsts budžeta līdzfinansējums konkrētā projekta īstenošanai var būt lielāks nekā sākotnēji plānots. Lai novērstu minēto risku Valsts izglītības attīstības aģentūra veiks iepirkumu</w:t>
            </w:r>
            <w:r w:rsidR="004437F3">
              <w:rPr>
                <w:rFonts w:ascii="Times New Roman" w:hAnsi="Times New Roman" w:cs="Times New Roman"/>
                <w:color w:val="000000"/>
                <w:sz w:val="24"/>
                <w:szCs w:val="24"/>
              </w:rPr>
              <w:t xml:space="preserve"> dokumentācijas</w:t>
            </w:r>
            <w:r w:rsidR="005C7E3E">
              <w:rPr>
                <w:rFonts w:ascii="Times New Roman" w:hAnsi="Times New Roman" w:cs="Times New Roman"/>
                <w:color w:val="000000"/>
                <w:sz w:val="24"/>
                <w:szCs w:val="24"/>
              </w:rPr>
              <w:t xml:space="preserve"> </w:t>
            </w:r>
            <w:proofErr w:type="spellStart"/>
            <w:r w:rsidR="005C7E3E">
              <w:rPr>
                <w:rFonts w:ascii="Times New Roman" w:hAnsi="Times New Roman" w:cs="Times New Roman"/>
                <w:color w:val="000000"/>
                <w:sz w:val="24"/>
                <w:szCs w:val="24"/>
              </w:rPr>
              <w:t>pirmspārbaudi</w:t>
            </w:r>
            <w:proofErr w:type="spellEnd"/>
            <w:r w:rsidR="004437F3">
              <w:rPr>
                <w:rFonts w:ascii="Times New Roman" w:hAnsi="Times New Roman" w:cs="Times New Roman"/>
                <w:color w:val="000000"/>
                <w:sz w:val="24"/>
                <w:szCs w:val="24"/>
              </w:rPr>
              <w:t xml:space="preserve">, kā arī Izglītības un zinātnes ministrija saskaņos tehnisko projektu, tādējādi kontrolējot un laicīgi novēršot iespējamo nepamatoto būvdarbu sadārdzinājumu. Vērtējot izmaksu pamatotību tiks piesaistīti neatkarīgi </w:t>
            </w:r>
            <w:proofErr w:type="spellStart"/>
            <w:r w:rsidR="004437F3">
              <w:rPr>
                <w:rFonts w:ascii="Times New Roman" w:hAnsi="Times New Roman" w:cs="Times New Roman"/>
                <w:color w:val="000000"/>
                <w:sz w:val="24"/>
                <w:szCs w:val="24"/>
              </w:rPr>
              <w:t>būveksperti</w:t>
            </w:r>
            <w:proofErr w:type="spellEnd"/>
            <w:r w:rsidR="004437F3">
              <w:rPr>
                <w:rFonts w:ascii="Times New Roman" w:hAnsi="Times New Roman" w:cs="Times New Roman"/>
                <w:color w:val="000000"/>
                <w:sz w:val="24"/>
                <w:szCs w:val="24"/>
              </w:rPr>
              <w:t>.</w:t>
            </w:r>
          </w:p>
          <w:p w:rsidR="00865079" w:rsidRPr="00F250E4" w:rsidRDefault="00865079" w:rsidP="00F54763">
            <w:pPr>
              <w:jc w:val="both"/>
              <w:rPr>
                <w:rFonts w:ascii="Times New Roman" w:hAnsi="Times New Roman" w:cs="Times New Roman"/>
                <w:sz w:val="24"/>
                <w:szCs w:val="24"/>
              </w:rPr>
            </w:pPr>
          </w:p>
        </w:tc>
      </w:tr>
      <w:tr w:rsidR="00AB1C18" w:rsidRPr="00F250E4">
        <w:tc>
          <w:tcPr>
            <w:tcW w:w="322" w:type="pct"/>
            <w:tcBorders>
              <w:top w:val="outset" w:sz="6" w:space="0" w:color="000000"/>
              <w:bottom w:val="outset" w:sz="6" w:space="0" w:color="000000"/>
              <w:right w:val="outset" w:sz="6" w:space="0" w:color="000000"/>
            </w:tcBorders>
          </w:tcPr>
          <w:p w:rsidR="00AB1C18" w:rsidRPr="00F250E4" w:rsidRDefault="00AB1C18" w:rsidP="00903CEA">
            <w:pPr>
              <w:spacing w:after="0" w:line="240" w:lineRule="auto"/>
              <w:ind w:right="156"/>
              <w:jc w:val="center"/>
              <w:rPr>
                <w:rFonts w:ascii="Times New Roman" w:hAnsi="Times New Roman" w:cs="Times New Roman"/>
                <w:sz w:val="24"/>
                <w:szCs w:val="24"/>
                <w:lang w:eastAsia="lv-LV"/>
              </w:rPr>
            </w:pPr>
            <w:r w:rsidRPr="00F250E4">
              <w:rPr>
                <w:rFonts w:ascii="Times New Roman" w:hAnsi="Times New Roman" w:cs="Times New Roman"/>
                <w:sz w:val="24"/>
                <w:szCs w:val="24"/>
                <w:lang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AB1C18" w:rsidRPr="00F250E4" w:rsidRDefault="00AB1C18" w:rsidP="00903CEA">
            <w:pPr>
              <w:spacing w:after="0" w:line="240" w:lineRule="auto"/>
              <w:ind w:left="141" w:right="156"/>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Saistītie politikas ietekmes novērtējumi un pētījumi</w:t>
            </w:r>
          </w:p>
        </w:tc>
        <w:tc>
          <w:tcPr>
            <w:tcW w:w="3251" w:type="pct"/>
            <w:tcBorders>
              <w:top w:val="outset" w:sz="6" w:space="0" w:color="000000"/>
              <w:left w:val="outset" w:sz="6" w:space="0" w:color="000000"/>
              <w:bottom w:val="outset" w:sz="6" w:space="0" w:color="000000"/>
            </w:tcBorders>
          </w:tcPr>
          <w:p w:rsidR="00DB3419" w:rsidRPr="00F250E4" w:rsidRDefault="00DB3419" w:rsidP="00DB3419">
            <w:pPr>
              <w:spacing w:after="0" w:line="240" w:lineRule="auto"/>
              <w:ind w:right="148" w:hanging="30"/>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Projekts šo jomu neskar.</w:t>
            </w:r>
          </w:p>
          <w:p w:rsidR="00C869E8" w:rsidRPr="00F250E4" w:rsidRDefault="00C869E8" w:rsidP="00A20E74">
            <w:pPr>
              <w:spacing w:after="0" w:line="240" w:lineRule="auto"/>
              <w:ind w:right="143"/>
              <w:rPr>
                <w:rFonts w:ascii="Times New Roman" w:hAnsi="Times New Roman" w:cs="Times New Roman"/>
                <w:sz w:val="24"/>
                <w:szCs w:val="24"/>
              </w:rPr>
            </w:pPr>
          </w:p>
          <w:p w:rsidR="00C869E8" w:rsidRPr="00F250E4" w:rsidRDefault="005710D7" w:rsidP="005710D7">
            <w:pPr>
              <w:tabs>
                <w:tab w:val="left" w:pos="1275"/>
              </w:tabs>
              <w:spacing w:after="0" w:line="240" w:lineRule="auto"/>
              <w:ind w:right="143"/>
              <w:rPr>
                <w:rFonts w:ascii="Times New Roman" w:hAnsi="Times New Roman" w:cs="Times New Roman"/>
                <w:sz w:val="24"/>
                <w:szCs w:val="24"/>
              </w:rPr>
            </w:pPr>
            <w:r w:rsidRPr="00F250E4">
              <w:rPr>
                <w:rFonts w:ascii="Times New Roman" w:hAnsi="Times New Roman" w:cs="Times New Roman"/>
                <w:sz w:val="24"/>
                <w:szCs w:val="24"/>
              </w:rPr>
              <w:tab/>
            </w:r>
          </w:p>
          <w:p w:rsidR="00C869E8" w:rsidRPr="00F250E4" w:rsidRDefault="00C869E8" w:rsidP="00A20E74">
            <w:pPr>
              <w:spacing w:after="0" w:line="240" w:lineRule="auto"/>
              <w:ind w:right="143"/>
              <w:rPr>
                <w:rFonts w:ascii="Times New Roman" w:hAnsi="Times New Roman" w:cs="Times New Roman"/>
                <w:sz w:val="24"/>
                <w:szCs w:val="24"/>
              </w:rPr>
            </w:pPr>
          </w:p>
          <w:p w:rsidR="00C869E8" w:rsidRPr="00F250E4" w:rsidRDefault="00C869E8" w:rsidP="00A20E74">
            <w:pPr>
              <w:spacing w:after="0" w:line="240" w:lineRule="auto"/>
              <w:ind w:right="143"/>
              <w:rPr>
                <w:rFonts w:ascii="Times New Roman" w:hAnsi="Times New Roman" w:cs="Times New Roman"/>
                <w:sz w:val="24"/>
                <w:szCs w:val="24"/>
                <w:highlight w:val="yellow"/>
              </w:rPr>
            </w:pPr>
          </w:p>
        </w:tc>
      </w:tr>
      <w:tr w:rsidR="00AB1C18" w:rsidRPr="00F250E4">
        <w:tc>
          <w:tcPr>
            <w:tcW w:w="322" w:type="pct"/>
            <w:tcBorders>
              <w:top w:val="outset" w:sz="6" w:space="0" w:color="000000"/>
              <w:bottom w:val="outset" w:sz="6" w:space="0" w:color="000000"/>
              <w:right w:val="outset" w:sz="6" w:space="0" w:color="000000"/>
            </w:tcBorders>
          </w:tcPr>
          <w:p w:rsidR="00AB1C18" w:rsidRPr="00F250E4" w:rsidRDefault="00AB1C18" w:rsidP="00903CEA">
            <w:pPr>
              <w:spacing w:after="0" w:line="240" w:lineRule="auto"/>
              <w:ind w:left="150"/>
              <w:rPr>
                <w:rFonts w:ascii="Times New Roman" w:hAnsi="Times New Roman" w:cs="Times New Roman"/>
                <w:sz w:val="24"/>
                <w:szCs w:val="24"/>
                <w:lang w:eastAsia="lv-LV"/>
              </w:rPr>
            </w:pPr>
            <w:r w:rsidRPr="00F250E4">
              <w:rPr>
                <w:rFonts w:ascii="Times New Roman" w:hAnsi="Times New Roman" w:cs="Times New Roman"/>
                <w:sz w:val="24"/>
                <w:szCs w:val="24"/>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AB1C18" w:rsidRPr="00F250E4" w:rsidRDefault="00AB1C18" w:rsidP="00903CEA">
            <w:pPr>
              <w:spacing w:after="0" w:line="240" w:lineRule="auto"/>
              <w:ind w:left="141" w:right="142"/>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Tiesiskā regulējuma mērķis un būtība</w:t>
            </w:r>
          </w:p>
        </w:tc>
        <w:tc>
          <w:tcPr>
            <w:tcW w:w="3251" w:type="pct"/>
            <w:tcBorders>
              <w:top w:val="outset" w:sz="6" w:space="0" w:color="000000"/>
              <w:left w:val="outset" w:sz="6" w:space="0" w:color="000000"/>
              <w:bottom w:val="outset" w:sz="6" w:space="0" w:color="000000"/>
            </w:tcBorders>
          </w:tcPr>
          <w:p w:rsidR="00AB1C18" w:rsidRPr="00F250E4" w:rsidRDefault="007F1FAC" w:rsidP="007F1FAC">
            <w:pPr>
              <w:spacing w:after="0" w:line="240" w:lineRule="auto"/>
              <w:ind w:left="-2" w:right="143"/>
              <w:jc w:val="both"/>
              <w:rPr>
                <w:rFonts w:ascii="Times New Roman" w:hAnsi="Times New Roman" w:cs="Times New Roman"/>
                <w:sz w:val="24"/>
                <w:szCs w:val="24"/>
                <w:highlight w:val="yellow"/>
              </w:rPr>
            </w:pPr>
            <w:r>
              <w:rPr>
                <w:rFonts w:ascii="Times New Roman" w:hAnsi="Times New Roman" w:cs="Times New Roman"/>
                <w:sz w:val="24"/>
                <w:szCs w:val="24"/>
              </w:rPr>
              <w:t>Finansējuma avots ir pieejamais Eiropas Reģionālās attīstības fonda finansējums un valsts budžeta finansējums.</w:t>
            </w:r>
          </w:p>
        </w:tc>
      </w:tr>
      <w:tr w:rsidR="00AB1C18" w:rsidRPr="00F250E4">
        <w:tc>
          <w:tcPr>
            <w:tcW w:w="322" w:type="pct"/>
            <w:tcBorders>
              <w:top w:val="outset" w:sz="6" w:space="0" w:color="000000"/>
              <w:bottom w:val="outset" w:sz="6" w:space="0" w:color="000000"/>
              <w:right w:val="outset" w:sz="6" w:space="0" w:color="000000"/>
            </w:tcBorders>
          </w:tcPr>
          <w:p w:rsidR="00AB1C18" w:rsidRPr="00F250E4" w:rsidRDefault="00AB1C18" w:rsidP="00903CEA">
            <w:pPr>
              <w:spacing w:after="0" w:line="240" w:lineRule="auto"/>
              <w:ind w:left="150"/>
              <w:rPr>
                <w:rFonts w:ascii="Times New Roman" w:hAnsi="Times New Roman" w:cs="Times New Roman"/>
                <w:sz w:val="24"/>
                <w:szCs w:val="24"/>
                <w:lang w:eastAsia="lv-LV"/>
              </w:rPr>
            </w:pPr>
            <w:r w:rsidRPr="00F250E4">
              <w:rPr>
                <w:rFonts w:ascii="Times New Roman" w:hAnsi="Times New Roman" w:cs="Times New Roman"/>
                <w:sz w:val="24"/>
                <w:szCs w:val="24"/>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AB1C18" w:rsidRPr="00F250E4" w:rsidRDefault="00AB1C18" w:rsidP="00903CEA">
            <w:pPr>
              <w:spacing w:after="0" w:line="240" w:lineRule="auto"/>
              <w:ind w:left="150" w:right="142"/>
              <w:rPr>
                <w:rFonts w:ascii="Times New Roman" w:hAnsi="Times New Roman" w:cs="Times New Roman"/>
                <w:sz w:val="24"/>
                <w:szCs w:val="24"/>
                <w:lang w:eastAsia="lv-LV"/>
              </w:rPr>
            </w:pPr>
            <w:r w:rsidRPr="00F250E4">
              <w:rPr>
                <w:rFonts w:ascii="Times New Roman" w:hAnsi="Times New Roman" w:cs="Times New Roman"/>
                <w:sz w:val="24"/>
                <w:szCs w:val="24"/>
                <w:lang w:eastAsia="lv-LV"/>
              </w:rPr>
              <w:t>Projekta izstrādē iesaistītās institūcijas</w:t>
            </w:r>
          </w:p>
        </w:tc>
        <w:tc>
          <w:tcPr>
            <w:tcW w:w="3251" w:type="pct"/>
            <w:tcBorders>
              <w:top w:val="outset" w:sz="6" w:space="0" w:color="000000"/>
              <w:left w:val="outset" w:sz="6" w:space="0" w:color="000000"/>
              <w:bottom w:val="outset" w:sz="6" w:space="0" w:color="000000"/>
            </w:tcBorders>
          </w:tcPr>
          <w:p w:rsidR="00DB3419" w:rsidRPr="00F250E4" w:rsidRDefault="00DB3419" w:rsidP="00DB3419">
            <w:pPr>
              <w:spacing w:after="0" w:line="240" w:lineRule="auto"/>
              <w:ind w:right="148" w:hanging="30"/>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Projekts šo jomu neskar.</w:t>
            </w:r>
          </w:p>
          <w:p w:rsidR="00AB1C18" w:rsidRPr="00F250E4" w:rsidRDefault="00AB1C18" w:rsidP="00024558">
            <w:pPr>
              <w:pStyle w:val="Footer"/>
              <w:tabs>
                <w:tab w:val="clear" w:pos="4153"/>
                <w:tab w:val="clear" w:pos="8306"/>
                <w:tab w:val="center" w:pos="-2"/>
                <w:tab w:val="right" w:pos="9072"/>
              </w:tabs>
              <w:ind w:left="720" w:right="143"/>
              <w:jc w:val="both"/>
              <w:rPr>
                <w:rFonts w:ascii="Times New Roman" w:hAnsi="Times New Roman" w:cs="Times New Roman"/>
                <w:sz w:val="24"/>
                <w:szCs w:val="24"/>
              </w:rPr>
            </w:pPr>
          </w:p>
        </w:tc>
      </w:tr>
      <w:tr w:rsidR="00AB1C18" w:rsidRPr="00F250E4">
        <w:tc>
          <w:tcPr>
            <w:tcW w:w="322" w:type="pct"/>
            <w:tcBorders>
              <w:top w:val="outset" w:sz="6" w:space="0" w:color="000000"/>
              <w:bottom w:val="outset" w:sz="6" w:space="0" w:color="000000"/>
              <w:right w:val="outset" w:sz="6" w:space="0" w:color="000000"/>
            </w:tcBorders>
          </w:tcPr>
          <w:p w:rsidR="00AB1C18" w:rsidRPr="00F250E4" w:rsidRDefault="00AB1C18" w:rsidP="00903CEA">
            <w:pPr>
              <w:spacing w:after="0" w:line="240" w:lineRule="auto"/>
              <w:jc w:val="center"/>
              <w:rPr>
                <w:rFonts w:ascii="Times New Roman" w:hAnsi="Times New Roman" w:cs="Times New Roman"/>
                <w:sz w:val="24"/>
                <w:szCs w:val="24"/>
                <w:lang w:eastAsia="lv-LV"/>
              </w:rPr>
            </w:pPr>
            <w:r w:rsidRPr="00F250E4">
              <w:rPr>
                <w:rFonts w:ascii="Times New Roman" w:hAnsi="Times New Roman" w:cs="Times New Roman"/>
                <w:sz w:val="24"/>
                <w:szCs w:val="24"/>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AB1C18" w:rsidRPr="006B1676" w:rsidRDefault="00AB1C18" w:rsidP="00903CEA">
            <w:pPr>
              <w:spacing w:after="0" w:line="240" w:lineRule="auto"/>
              <w:ind w:left="141" w:right="142"/>
              <w:jc w:val="both"/>
              <w:rPr>
                <w:rFonts w:ascii="Times New Roman" w:hAnsi="Times New Roman" w:cs="Times New Roman"/>
                <w:sz w:val="24"/>
                <w:szCs w:val="24"/>
                <w:highlight w:val="yellow"/>
                <w:lang w:eastAsia="lv-LV"/>
              </w:rPr>
            </w:pPr>
            <w:r w:rsidRPr="00B3493C">
              <w:rPr>
                <w:rFonts w:ascii="Times New Roman" w:hAnsi="Times New Roman" w:cs="Times New Roman"/>
                <w:sz w:val="24"/>
                <w:szCs w:val="24"/>
                <w:lang w:eastAsia="lv-LV"/>
              </w:rPr>
              <w:t xml:space="preserve">Iemesli, kādēļ netika </w:t>
            </w:r>
            <w:r w:rsidRPr="00B3493C">
              <w:rPr>
                <w:rFonts w:ascii="Times New Roman" w:hAnsi="Times New Roman" w:cs="Times New Roman"/>
                <w:sz w:val="24"/>
                <w:szCs w:val="24"/>
                <w:lang w:eastAsia="lv-LV"/>
              </w:rPr>
              <w:lastRenderedPageBreak/>
              <w:t>nodrošināta sabiedrības līdzdalība</w:t>
            </w:r>
          </w:p>
        </w:tc>
        <w:tc>
          <w:tcPr>
            <w:tcW w:w="3251" w:type="pct"/>
            <w:tcBorders>
              <w:top w:val="outset" w:sz="6" w:space="0" w:color="000000"/>
              <w:left w:val="outset" w:sz="6" w:space="0" w:color="000000"/>
              <w:bottom w:val="outset" w:sz="6" w:space="0" w:color="000000"/>
            </w:tcBorders>
          </w:tcPr>
          <w:p w:rsidR="00AB1C18" w:rsidRPr="006B1676" w:rsidRDefault="00B3493C" w:rsidP="00CC3E73">
            <w:pPr>
              <w:pStyle w:val="Footer"/>
              <w:tabs>
                <w:tab w:val="clear" w:pos="4153"/>
                <w:tab w:val="clear" w:pos="8306"/>
                <w:tab w:val="center" w:pos="-2"/>
                <w:tab w:val="right" w:pos="9072"/>
              </w:tabs>
              <w:ind w:left="-2" w:right="143"/>
              <w:jc w:val="both"/>
              <w:rPr>
                <w:rFonts w:ascii="Times New Roman" w:hAnsi="Times New Roman" w:cs="Times New Roman"/>
                <w:sz w:val="24"/>
                <w:szCs w:val="24"/>
                <w:highlight w:val="yellow"/>
              </w:rPr>
            </w:pPr>
            <w:r w:rsidRPr="004349D7">
              <w:rPr>
                <w:rFonts w:ascii="Times New Roman" w:hAnsi="Times New Roman"/>
                <w:color w:val="000000"/>
                <w:sz w:val="24"/>
                <w:szCs w:val="24"/>
              </w:rPr>
              <w:lastRenderedPageBreak/>
              <w:t xml:space="preserve">Noteikumu projekts tiešā veidā neietekmē sabiedrības </w:t>
            </w:r>
            <w:r w:rsidRPr="004349D7">
              <w:rPr>
                <w:rFonts w:ascii="Times New Roman" w:hAnsi="Times New Roman"/>
                <w:color w:val="000000"/>
                <w:sz w:val="24"/>
                <w:szCs w:val="24"/>
              </w:rPr>
              <w:lastRenderedPageBreak/>
              <w:t>intereses.</w:t>
            </w:r>
          </w:p>
        </w:tc>
      </w:tr>
      <w:tr w:rsidR="00AB1C18" w:rsidRPr="00F250E4">
        <w:tc>
          <w:tcPr>
            <w:tcW w:w="322" w:type="pct"/>
            <w:tcBorders>
              <w:top w:val="outset" w:sz="6" w:space="0" w:color="000000"/>
              <w:bottom w:val="outset" w:sz="6" w:space="0" w:color="000000"/>
              <w:right w:val="outset" w:sz="6" w:space="0" w:color="000000"/>
            </w:tcBorders>
          </w:tcPr>
          <w:p w:rsidR="00AB1C18" w:rsidRPr="00F250E4" w:rsidRDefault="00AB1C18" w:rsidP="00903CEA">
            <w:pPr>
              <w:spacing w:after="0" w:line="240" w:lineRule="auto"/>
              <w:ind w:left="150"/>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lastRenderedPageBreak/>
              <w:t>7.</w:t>
            </w:r>
          </w:p>
        </w:tc>
        <w:tc>
          <w:tcPr>
            <w:tcW w:w="1427" w:type="pct"/>
            <w:tcBorders>
              <w:top w:val="outset" w:sz="6" w:space="0" w:color="000000"/>
              <w:left w:val="outset" w:sz="6" w:space="0" w:color="000000"/>
              <w:bottom w:val="outset" w:sz="6" w:space="0" w:color="000000"/>
              <w:right w:val="outset" w:sz="6" w:space="0" w:color="000000"/>
            </w:tcBorders>
          </w:tcPr>
          <w:p w:rsidR="00AB1C18" w:rsidRPr="00F250E4" w:rsidRDefault="00AB1C18" w:rsidP="00903CEA">
            <w:pPr>
              <w:spacing w:after="0" w:line="240" w:lineRule="auto"/>
              <w:ind w:left="150"/>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Cita informācija</w:t>
            </w:r>
          </w:p>
        </w:tc>
        <w:tc>
          <w:tcPr>
            <w:tcW w:w="3251" w:type="pct"/>
            <w:tcBorders>
              <w:top w:val="outset" w:sz="6" w:space="0" w:color="000000"/>
              <w:left w:val="outset" w:sz="6" w:space="0" w:color="000000"/>
              <w:bottom w:val="outset" w:sz="6" w:space="0" w:color="000000"/>
            </w:tcBorders>
          </w:tcPr>
          <w:p w:rsidR="00AB1C18" w:rsidRPr="00F250E4" w:rsidRDefault="00AB1C18" w:rsidP="00113542">
            <w:pPr>
              <w:tabs>
                <w:tab w:val="center" w:pos="141"/>
              </w:tabs>
              <w:spacing w:after="0" w:line="240" w:lineRule="auto"/>
              <w:ind w:left="142" w:right="143"/>
              <w:rPr>
                <w:rFonts w:ascii="Times New Roman" w:hAnsi="Times New Roman" w:cs="Times New Roman"/>
                <w:sz w:val="24"/>
                <w:szCs w:val="24"/>
              </w:rPr>
            </w:pPr>
            <w:r w:rsidRPr="00F250E4">
              <w:rPr>
                <w:rFonts w:ascii="Times New Roman" w:hAnsi="Times New Roman" w:cs="Times New Roman"/>
                <w:sz w:val="24"/>
                <w:szCs w:val="24"/>
              </w:rPr>
              <w:t>Nav.</w:t>
            </w:r>
          </w:p>
        </w:tc>
      </w:tr>
    </w:tbl>
    <w:p w:rsidR="00AB1C18" w:rsidRPr="0079228C" w:rsidRDefault="00AB1C18" w:rsidP="00903CEA">
      <w:pPr>
        <w:spacing w:after="0" w:line="240" w:lineRule="auto"/>
        <w:rPr>
          <w:rFonts w:ascii="Times New Roman" w:hAnsi="Times New Roman" w:cs="Times New Roman"/>
          <w:sz w:val="26"/>
          <w:szCs w:val="26"/>
          <w:lang w:eastAsia="lv-LV"/>
        </w:rPr>
      </w:pPr>
    </w:p>
    <w:p w:rsidR="00AB1C18" w:rsidRPr="0079228C" w:rsidRDefault="00AB1C18" w:rsidP="00903CEA">
      <w:pPr>
        <w:spacing w:after="0" w:line="240" w:lineRule="auto"/>
        <w:rPr>
          <w:rFonts w:ascii="Times New Roman" w:hAnsi="Times New Roman" w:cs="Times New Roman"/>
          <w:sz w:val="26"/>
          <w:szCs w:val="26"/>
          <w:lang w:eastAsia="lv-LV"/>
        </w:rPr>
      </w:pPr>
    </w:p>
    <w:tbl>
      <w:tblPr>
        <w:tblW w:w="4995"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5"/>
        <w:gridCol w:w="2551"/>
        <w:gridCol w:w="5952"/>
      </w:tblGrid>
      <w:tr w:rsidR="00AB1C18" w:rsidRPr="00F250E4" w:rsidTr="00B563F1">
        <w:tc>
          <w:tcPr>
            <w:tcW w:w="5000" w:type="pct"/>
            <w:gridSpan w:val="3"/>
            <w:tcBorders>
              <w:top w:val="outset" w:sz="6" w:space="0" w:color="000000"/>
              <w:bottom w:val="outset" w:sz="6" w:space="0" w:color="000000"/>
            </w:tcBorders>
            <w:vAlign w:val="center"/>
          </w:tcPr>
          <w:p w:rsidR="00AB1C18" w:rsidRPr="00F250E4" w:rsidRDefault="00AB1C18" w:rsidP="003F6B57">
            <w:pPr>
              <w:spacing w:after="0" w:line="240" w:lineRule="auto"/>
              <w:jc w:val="center"/>
              <w:rPr>
                <w:rFonts w:ascii="Times New Roman" w:hAnsi="Times New Roman" w:cs="Times New Roman"/>
                <w:b/>
                <w:bCs/>
                <w:sz w:val="24"/>
                <w:szCs w:val="24"/>
                <w:lang w:eastAsia="lv-LV"/>
              </w:rPr>
            </w:pPr>
            <w:r w:rsidRPr="00F250E4">
              <w:rPr>
                <w:rFonts w:ascii="Times New Roman" w:hAnsi="Times New Roman" w:cs="Times New Roman"/>
                <w:b/>
                <w:bCs/>
                <w:sz w:val="24"/>
                <w:szCs w:val="24"/>
                <w:lang w:eastAsia="lv-LV"/>
              </w:rPr>
              <w:t> II. Tiesību akta projekta ietekme uz sabiedrību</w:t>
            </w:r>
          </w:p>
        </w:tc>
      </w:tr>
      <w:tr w:rsidR="00AB1C18" w:rsidRPr="00F250E4" w:rsidTr="00B563F1">
        <w:tc>
          <w:tcPr>
            <w:tcW w:w="317" w:type="pct"/>
            <w:tcBorders>
              <w:top w:val="outset" w:sz="6" w:space="0" w:color="000000"/>
              <w:bottom w:val="outset" w:sz="6" w:space="0" w:color="000000"/>
              <w:right w:val="outset" w:sz="6" w:space="0" w:color="000000"/>
            </w:tcBorders>
          </w:tcPr>
          <w:p w:rsidR="00AB1C18" w:rsidRPr="00F250E4" w:rsidRDefault="00AB1C18" w:rsidP="003F6B57">
            <w:pPr>
              <w:spacing w:after="0" w:line="240" w:lineRule="auto"/>
              <w:ind w:left="150"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B1C18" w:rsidRPr="00F250E4" w:rsidRDefault="00AB1C18" w:rsidP="007A3429">
            <w:pPr>
              <w:spacing w:after="0" w:line="240" w:lineRule="auto"/>
              <w:ind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 xml:space="preserve">Sabiedrības </w:t>
            </w:r>
            <w:proofErr w:type="spellStart"/>
            <w:r w:rsidRPr="00F250E4">
              <w:rPr>
                <w:rFonts w:ascii="Times New Roman" w:hAnsi="Times New Roman" w:cs="Times New Roman"/>
                <w:sz w:val="24"/>
                <w:szCs w:val="24"/>
                <w:lang w:eastAsia="lv-LV"/>
              </w:rPr>
              <w:t>mērķgrupa</w:t>
            </w:r>
            <w:proofErr w:type="spellEnd"/>
          </w:p>
        </w:tc>
        <w:tc>
          <w:tcPr>
            <w:tcW w:w="3278" w:type="pct"/>
            <w:tcBorders>
              <w:top w:val="outset" w:sz="6" w:space="0" w:color="000000"/>
              <w:left w:val="outset" w:sz="6" w:space="0" w:color="000000"/>
              <w:bottom w:val="outset" w:sz="6" w:space="0" w:color="000000"/>
            </w:tcBorders>
          </w:tcPr>
          <w:p w:rsidR="00AB1C18" w:rsidRPr="00F250E4" w:rsidRDefault="00AB1C18" w:rsidP="008B2B91">
            <w:pPr>
              <w:pStyle w:val="Footer"/>
              <w:tabs>
                <w:tab w:val="clear" w:pos="4153"/>
                <w:tab w:val="clear" w:pos="8306"/>
                <w:tab w:val="center" w:pos="141"/>
                <w:tab w:val="left" w:pos="5656"/>
                <w:tab w:val="right" w:pos="9072"/>
              </w:tabs>
              <w:jc w:val="both"/>
              <w:rPr>
                <w:rFonts w:ascii="Times New Roman" w:hAnsi="Times New Roman" w:cs="Times New Roman"/>
                <w:sz w:val="24"/>
                <w:szCs w:val="24"/>
              </w:rPr>
            </w:pPr>
            <w:r w:rsidRPr="00F250E4">
              <w:rPr>
                <w:rFonts w:ascii="Times New Roman" w:hAnsi="Times New Roman" w:cs="Times New Roman"/>
                <w:sz w:val="24"/>
                <w:szCs w:val="24"/>
                <w:lang w:eastAsia="lv-LV"/>
              </w:rPr>
              <w:t xml:space="preserve">Rīkojuma projekts attiecas uz </w:t>
            </w:r>
            <w:r w:rsidR="00202C8D" w:rsidRPr="00F250E4">
              <w:rPr>
                <w:rFonts w:ascii="Times New Roman" w:hAnsi="Times New Roman" w:cs="Times New Roman"/>
                <w:sz w:val="24"/>
                <w:szCs w:val="24"/>
                <w:lang w:eastAsia="lv-LV"/>
              </w:rPr>
              <w:t>profesionālās izglītības iestādēm.</w:t>
            </w:r>
          </w:p>
        </w:tc>
      </w:tr>
      <w:tr w:rsidR="00AB1C18" w:rsidRPr="00F250E4" w:rsidTr="00B563F1">
        <w:tc>
          <w:tcPr>
            <w:tcW w:w="317" w:type="pct"/>
            <w:tcBorders>
              <w:top w:val="outset" w:sz="6" w:space="0" w:color="000000"/>
              <w:bottom w:val="outset" w:sz="6" w:space="0" w:color="000000"/>
              <w:right w:val="outset" w:sz="6" w:space="0" w:color="000000"/>
            </w:tcBorders>
          </w:tcPr>
          <w:p w:rsidR="00AB1C18" w:rsidRPr="00F250E4" w:rsidRDefault="00AB1C18" w:rsidP="004868E3">
            <w:pPr>
              <w:spacing w:after="0" w:line="240" w:lineRule="auto"/>
              <w:ind w:left="150"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AB1C18" w:rsidRPr="00F250E4" w:rsidRDefault="00AB1C18" w:rsidP="004868E3">
            <w:pPr>
              <w:spacing w:after="0" w:line="240" w:lineRule="auto"/>
              <w:rPr>
                <w:rFonts w:ascii="Times New Roman" w:hAnsi="Times New Roman" w:cs="Times New Roman"/>
                <w:sz w:val="24"/>
                <w:szCs w:val="24"/>
                <w:lang w:eastAsia="lv-LV"/>
              </w:rPr>
            </w:pPr>
            <w:r w:rsidRPr="00F250E4">
              <w:rPr>
                <w:rFonts w:ascii="Times New Roman" w:hAnsi="Times New Roman" w:cs="Times New Roman"/>
                <w:sz w:val="24"/>
                <w:szCs w:val="24"/>
                <w:lang w:eastAsia="lv-LV"/>
              </w:rPr>
              <w:t xml:space="preserve"> Citas sabiedrības grupas (bez </w:t>
            </w:r>
            <w:proofErr w:type="spellStart"/>
            <w:r w:rsidRPr="00F250E4">
              <w:rPr>
                <w:rFonts w:ascii="Times New Roman" w:hAnsi="Times New Roman" w:cs="Times New Roman"/>
                <w:sz w:val="24"/>
                <w:szCs w:val="24"/>
                <w:lang w:eastAsia="lv-LV"/>
              </w:rPr>
              <w:t>mērķgrupas</w:t>
            </w:r>
            <w:proofErr w:type="spellEnd"/>
            <w:r w:rsidRPr="00F250E4">
              <w:rPr>
                <w:rFonts w:ascii="Times New Roman" w:hAnsi="Times New Roman" w:cs="Times New Roman"/>
                <w:sz w:val="24"/>
                <w:szCs w:val="24"/>
                <w:lang w:eastAsia="lv-LV"/>
              </w:rPr>
              <w:t>), kuras tiesiskais regulējums arī ietekmē vai varētu ietekmēt</w:t>
            </w:r>
          </w:p>
        </w:tc>
        <w:tc>
          <w:tcPr>
            <w:tcW w:w="3278" w:type="pct"/>
            <w:tcBorders>
              <w:top w:val="outset" w:sz="6" w:space="0" w:color="000000"/>
              <w:left w:val="outset" w:sz="6" w:space="0" w:color="000000"/>
              <w:bottom w:val="outset" w:sz="6" w:space="0" w:color="000000"/>
            </w:tcBorders>
          </w:tcPr>
          <w:p w:rsidR="00DB3419" w:rsidRPr="00F250E4" w:rsidRDefault="00DB3419" w:rsidP="00DB3419">
            <w:pPr>
              <w:spacing w:after="0" w:line="240" w:lineRule="auto"/>
              <w:ind w:right="148" w:hanging="30"/>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Projekts šo jomu neskar.</w:t>
            </w:r>
          </w:p>
          <w:p w:rsidR="00A11F85" w:rsidRPr="00F250E4" w:rsidRDefault="00A11F85" w:rsidP="0020439F">
            <w:pPr>
              <w:tabs>
                <w:tab w:val="center" w:pos="141"/>
                <w:tab w:val="left" w:pos="5656"/>
              </w:tabs>
              <w:spacing w:after="0" w:line="240" w:lineRule="auto"/>
              <w:jc w:val="both"/>
              <w:rPr>
                <w:rFonts w:ascii="Times New Roman" w:hAnsi="Times New Roman" w:cs="Times New Roman"/>
                <w:sz w:val="24"/>
                <w:szCs w:val="24"/>
                <w:lang w:eastAsia="lv-LV"/>
              </w:rPr>
            </w:pPr>
          </w:p>
        </w:tc>
      </w:tr>
      <w:tr w:rsidR="00AB1C18" w:rsidRPr="00F250E4" w:rsidTr="00B563F1">
        <w:tc>
          <w:tcPr>
            <w:tcW w:w="317" w:type="pct"/>
            <w:tcBorders>
              <w:top w:val="outset" w:sz="6" w:space="0" w:color="000000"/>
              <w:bottom w:val="outset" w:sz="6" w:space="0" w:color="000000"/>
              <w:right w:val="outset" w:sz="6" w:space="0" w:color="000000"/>
            </w:tcBorders>
          </w:tcPr>
          <w:p w:rsidR="00AB1C18" w:rsidRPr="00F250E4" w:rsidRDefault="00AB1C18" w:rsidP="004868E3">
            <w:pPr>
              <w:spacing w:after="0" w:line="240" w:lineRule="auto"/>
              <w:ind w:left="150"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3.</w:t>
            </w:r>
          </w:p>
        </w:tc>
        <w:tc>
          <w:tcPr>
            <w:tcW w:w="1405" w:type="pct"/>
            <w:tcBorders>
              <w:top w:val="outset" w:sz="6" w:space="0" w:color="000000"/>
              <w:left w:val="outset" w:sz="6" w:space="0" w:color="000000"/>
              <w:bottom w:val="outset" w:sz="6" w:space="0" w:color="000000"/>
              <w:right w:val="outset" w:sz="6" w:space="0" w:color="000000"/>
            </w:tcBorders>
          </w:tcPr>
          <w:p w:rsidR="00AB1C18" w:rsidRPr="00F250E4" w:rsidRDefault="00AB1C18" w:rsidP="004868E3">
            <w:pPr>
              <w:spacing w:after="0" w:line="240" w:lineRule="auto"/>
              <w:rPr>
                <w:rFonts w:ascii="Times New Roman" w:hAnsi="Times New Roman" w:cs="Times New Roman"/>
                <w:sz w:val="24"/>
                <w:szCs w:val="24"/>
                <w:lang w:eastAsia="lv-LV"/>
              </w:rPr>
            </w:pPr>
            <w:r w:rsidRPr="00F250E4">
              <w:rPr>
                <w:rFonts w:ascii="Times New Roman" w:hAnsi="Times New Roman" w:cs="Times New Roman"/>
                <w:sz w:val="24"/>
                <w:szCs w:val="24"/>
                <w:lang w:eastAsia="lv-LV"/>
              </w:rPr>
              <w:t> Tiesiskā regulējuma finansiālā ietekme</w:t>
            </w:r>
          </w:p>
        </w:tc>
        <w:tc>
          <w:tcPr>
            <w:tcW w:w="3278" w:type="pct"/>
            <w:tcBorders>
              <w:top w:val="outset" w:sz="6" w:space="0" w:color="000000"/>
              <w:left w:val="outset" w:sz="6" w:space="0" w:color="000000"/>
              <w:bottom w:val="outset" w:sz="6" w:space="0" w:color="000000"/>
            </w:tcBorders>
          </w:tcPr>
          <w:p w:rsidR="00DB3419" w:rsidRPr="00F250E4" w:rsidRDefault="00DB3419" w:rsidP="00DB3419">
            <w:pPr>
              <w:spacing w:after="0" w:line="240" w:lineRule="auto"/>
              <w:ind w:right="148" w:hanging="30"/>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Projekts šo jomu neskar.</w:t>
            </w:r>
          </w:p>
          <w:p w:rsidR="00AB1C18" w:rsidRPr="00F250E4" w:rsidRDefault="00AB1C18" w:rsidP="00E04170">
            <w:pPr>
              <w:tabs>
                <w:tab w:val="center" w:pos="141"/>
                <w:tab w:val="left" w:pos="5656"/>
              </w:tabs>
              <w:spacing w:after="120"/>
              <w:rPr>
                <w:rFonts w:ascii="Times New Roman" w:hAnsi="Times New Roman" w:cs="Times New Roman"/>
                <w:sz w:val="24"/>
                <w:szCs w:val="24"/>
                <w:lang w:eastAsia="lv-LV"/>
              </w:rPr>
            </w:pPr>
          </w:p>
        </w:tc>
      </w:tr>
      <w:tr w:rsidR="00AB1C18" w:rsidRPr="00F250E4" w:rsidTr="00B563F1">
        <w:tc>
          <w:tcPr>
            <w:tcW w:w="317" w:type="pct"/>
            <w:tcBorders>
              <w:top w:val="outset" w:sz="6" w:space="0" w:color="000000"/>
              <w:bottom w:val="outset" w:sz="6" w:space="0" w:color="000000"/>
              <w:right w:val="outset" w:sz="6" w:space="0" w:color="000000"/>
            </w:tcBorders>
          </w:tcPr>
          <w:p w:rsidR="00AB1C18" w:rsidRPr="00F250E4" w:rsidRDefault="00AB1C18" w:rsidP="004868E3">
            <w:pPr>
              <w:spacing w:after="0" w:line="240" w:lineRule="auto"/>
              <w:ind w:left="150"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AB1C18" w:rsidRPr="00F250E4" w:rsidRDefault="00AB1C18" w:rsidP="004868E3">
            <w:pPr>
              <w:spacing w:after="0" w:line="240" w:lineRule="auto"/>
              <w:rPr>
                <w:rFonts w:ascii="Times New Roman" w:hAnsi="Times New Roman" w:cs="Times New Roman"/>
                <w:sz w:val="24"/>
                <w:szCs w:val="24"/>
                <w:lang w:eastAsia="lv-LV"/>
              </w:rPr>
            </w:pPr>
            <w:r w:rsidRPr="00F250E4">
              <w:rPr>
                <w:rFonts w:ascii="Times New Roman" w:hAnsi="Times New Roman" w:cs="Times New Roman"/>
                <w:sz w:val="24"/>
                <w:szCs w:val="24"/>
                <w:lang w:eastAsia="lv-LV"/>
              </w:rPr>
              <w:t> Tiesiskā regulējuma nefinansiālā ietekme</w:t>
            </w:r>
          </w:p>
        </w:tc>
        <w:tc>
          <w:tcPr>
            <w:tcW w:w="3278" w:type="pct"/>
            <w:tcBorders>
              <w:top w:val="outset" w:sz="6" w:space="0" w:color="000000"/>
              <w:left w:val="outset" w:sz="6" w:space="0" w:color="000000"/>
              <w:bottom w:val="outset" w:sz="6" w:space="0" w:color="000000"/>
            </w:tcBorders>
          </w:tcPr>
          <w:p w:rsidR="00DB3419" w:rsidRPr="00F250E4" w:rsidRDefault="00DB3419" w:rsidP="00DB3419">
            <w:pPr>
              <w:spacing w:after="0" w:line="240" w:lineRule="auto"/>
              <w:ind w:right="148" w:hanging="30"/>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Projekts šo jomu neskar.</w:t>
            </w:r>
          </w:p>
          <w:p w:rsidR="00A11F85" w:rsidRPr="00F250E4" w:rsidRDefault="00A11F85" w:rsidP="00443361">
            <w:pPr>
              <w:tabs>
                <w:tab w:val="center" w:pos="141"/>
                <w:tab w:val="left" w:pos="5656"/>
              </w:tabs>
              <w:spacing w:after="0" w:line="240" w:lineRule="auto"/>
              <w:jc w:val="both"/>
              <w:rPr>
                <w:rFonts w:ascii="Times New Roman" w:hAnsi="Times New Roman" w:cs="Times New Roman"/>
                <w:sz w:val="24"/>
                <w:szCs w:val="24"/>
                <w:lang w:eastAsia="lv-LV"/>
              </w:rPr>
            </w:pPr>
          </w:p>
        </w:tc>
      </w:tr>
      <w:tr w:rsidR="00AB1C18" w:rsidRPr="00F250E4" w:rsidTr="00B563F1">
        <w:tc>
          <w:tcPr>
            <w:tcW w:w="317" w:type="pct"/>
            <w:tcBorders>
              <w:top w:val="outset" w:sz="6" w:space="0" w:color="000000"/>
              <w:bottom w:val="outset" w:sz="6" w:space="0" w:color="000000"/>
              <w:right w:val="outset" w:sz="6" w:space="0" w:color="000000"/>
            </w:tcBorders>
          </w:tcPr>
          <w:p w:rsidR="00AB1C18" w:rsidRPr="00F250E4" w:rsidRDefault="00AB1C18" w:rsidP="004868E3">
            <w:pPr>
              <w:spacing w:after="0" w:line="240" w:lineRule="auto"/>
              <w:ind w:left="150"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5.</w:t>
            </w:r>
          </w:p>
        </w:tc>
        <w:tc>
          <w:tcPr>
            <w:tcW w:w="1405" w:type="pct"/>
            <w:tcBorders>
              <w:top w:val="outset" w:sz="6" w:space="0" w:color="000000"/>
              <w:left w:val="outset" w:sz="6" w:space="0" w:color="000000"/>
              <w:bottom w:val="outset" w:sz="6" w:space="0" w:color="000000"/>
              <w:right w:val="outset" w:sz="6" w:space="0" w:color="000000"/>
            </w:tcBorders>
          </w:tcPr>
          <w:p w:rsidR="00AB1C18" w:rsidRPr="00F250E4" w:rsidRDefault="00AB1C18" w:rsidP="004868E3">
            <w:pPr>
              <w:spacing w:after="0" w:line="240" w:lineRule="auto"/>
              <w:rPr>
                <w:rFonts w:ascii="Times New Roman" w:hAnsi="Times New Roman" w:cs="Times New Roman"/>
                <w:sz w:val="24"/>
                <w:szCs w:val="24"/>
                <w:lang w:eastAsia="lv-LV"/>
              </w:rPr>
            </w:pPr>
            <w:r w:rsidRPr="00F250E4">
              <w:rPr>
                <w:rFonts w:ascii="Times New Roman" w:hAnsi="Times New Roman" w:cs="Times New Roman"/>
                <w:sz w:val="24"/>
                <w:szCs w:val="24"/>
                <w:lang w:eastAsia="lv-LV"/>
              </w:rPr>
              <w:t> Administratīvās procedūras raksturojums</w:t>
            </w:r>
          </w:p>
        </w:tc>
        <w:tc>
          <w:tcPr>
            <w:tcW w:w="3278" w:type="pct"/>
            <w:tcBorders>
              <w:top w:val="outset" w:sz="6" w:space="0" w:color="000000"/>
              <w:left w:val="outset" w:sz="6" w:space="0" w:color="000000"/>
              <w:bottom w:val="outset" w:sz="6" w:space="0" w:color="000000"/>
            </w:tcBorders>
          </w:tcPr>
          <w:p w:rsidR="00DB3419" w:rsidRPr="00F250E4" w:rsidRDefault="00DB3419" w:rsidP="00DB3419">
            <w:pPr>
              <w:spacing w:after="0" w:line="240" w:lineRule="auto"/>
              <w:ind w:right="148" w:hanging="30"/>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Projekts šo jomu neskar.</w:t>
            </w:r>
          </w:p>
          <w:p w:rsidR="00AB1C18" w:rsidRPr="00F250E4" w:rsidRDefault="00AB1C18" w:rsidP="007E064B">
            <w:pPr>
              <w:tabs>
                <w:tab w:val="center" w:pos="141"/>
                <w:tab w:val="left" w:pos="5656"/>
              </w:tabs>
              <w:spacing w:after="120"/>
              <w:rPr>
                <w:rFonts w:ascii="Times New Roman" w:hAnsi="Times New Roman" w:cs="Times New Roman"/>
                <w:sz w:val="24"/>
                <w:szCs w:val="24"/>
                <w:lang w:eastAsia="lv-LV"/>
              </w:rPr>
            </w:pPr>
          </w:p>
        </w:tc>
      </w:tr>
      <w:tr w:rsidR="00AB1C18" w:rsidRPr="00F250E4" w:rsidTr="00B563F1">
        <w:tc>
          <w:tcPr>
            <w:tcW w:w="317" w:type="pct"/>
            <w:tcBorders>
              <w:top w:val="outset" w:sz="6" w:space="0" w:color="000000"/>
              <w:bottom w:val="outset" w:sz="6" w:space="0" w:color="000000"/>
              <w:right w:val="outset" w:sz="6" w:space="0" w:color="000000"/>
            </w:tcBorders>
          </w:tcPr>
          <w:p w:rsidR="00AB1C18" w:rsidRPr="00F250E4" w:rsidRDefault="00AB1C18" w:rsidP="004868E3">
            <w:pPr>
              <w:spacing w:after="0" w:line="240" w:lineRule="auto"/>
              <w:ind w:left="150"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AB1C18" w:rsidRPr="00F250E4" w:rsidRDefault="00AB1C18" w:rsidP="004868E3">
            <w:pPr>
              <w:spacing w:after="0" w:line="240" w:lineRule="auto"/>
              <w:rPr>
                <w:rFonts w:ascii="Times New Roman" w:hAnsi="Times New Roman" w:cs="Times New Roman"/>
                <w:sz w:val="24"/>
                <w:szCs w:val="24"/>
                <w:lang w:eastAsia="lv-LV"/>
              </w:rPr>
            </w:pPr>
            <w:r w:rsidRPr="00F250E4">
              <w:rPr>
                <w:rFonts w:ascii="Times New Roman" w:hAnsi="Times New Roman" w:cs="Times New Roman"/>
                <w:sz w:val="24"/>
                <w:szCs w:val="24"/>
                <w:lang w:eastAsia="lv-LV"/>
              </w:rPr>
              <w:t> Administratīvo izmaksu monetārs novērtējums</w:t>
            </w:r>
          </w:p>
        </w:tc>
        <w:tc>
          <w:tcPr>
            <w:tcW w:w="3278" w:type="pct"/>
            <w:tcBorders>
              <w:top w:val="outset" w:sz="6" w:space="0" w:color="000000"/>
              <w:left w:val="outset" w:sz="6" w:space="0" w:color="000000"/>
              <w:bottom w:val="outset" w:sz="6" w:space="0" w:color="000000"/>
            </w:tcBorders>
          </w:tcPr>
          <w:p w:rsidR="00DB3419" w:rsidRPr="00F250E4" w:rsidRDefault="00DB3419" w:rsidP="00DB3419">
            <w:pPr>
              <w:spacing w:after="0" w:line="240" w:lineRule="auto"/>
              <w:ind w:right="148" w:hanging="30"/>
              <w:jc w:val="both"/>
              <w:rPr>
                <w:rFonts w:ascii="Times New Roman" w:hAnsi="Times New Roman" w:cs="Times New Roman"/>
                <w:sz w:val="24"/>
                <w:szCs w:val="24"/>
                <w:lang w:eastAsia="lv-LV"/>
              </w:rPr>
            </w:pPr>
            <w:r w:rsidRPr="00F250E4">
              <w:rPr>
                <w:rFonts w:ascii="Times New Roman" w:hAnsi="Times New Roman" w:cs="Times New Roman"/>
                <w:sz w:val="24"/>
                <w:szCs w:val="24"/>
                <w:lang w:eastAsia="lv-LV"/>
              </w:rPr>
              <w:t>Projekts šo jomu neskar.</w:t>
            </w:r>
          </w:p>
          <w:p w:rsidR="00AB1C18" w:rsidRPr="00F250E4" w:rsidRDefault="00AB1C18" w:rsidP="007E064B">
            <w:pPr>
              <w:tabs>
                <w:tab w:val="center" w:pos="141"/>
                <w:tab w:val="left" w:pos="5656"/>
              </w:tabs>
              <w:spacing w:after="120"/>
              <w:rPr>
                <w:rFonts w:ascii="Times New Roman" w:hAnsi="Times New Roman" w:cs="Times New Roman"/>
                <w:sz w:val="24"/>
                <w:szCs w:val="24"/>
                <w:lang w:eastAsia="lv-LV"/>
              </w:rPr>
            </w:pPr>
          </w:p>
        </w:tc>
      </w:tr>
      <w:tr w:rsidR="00AB1C18" w:rsidRPr="00F250E4" w:rsidTr="00B563F1">
        <w:tc>
          <w:tcPr>
            <w:tcW w:w="317" w:type="pct"/>
            <w:tcBorders>
              <w:top w:val="outset" w:sz="6" w:space="0" w:color="000000"/>
              <w:bottom w:val="outset" w:sz="6" w:space="0" w:color="000000"/>
              <w:right w:val="outset" w:sz="6" w:space="0" w:color="000000"/>
            </w:tcBorders>
          </w:tcPr>
          <w:p w:rsidR="00AB1C18" w:rsidRPr="00F250E4" w:rsidRDefault="00AB1C18" w:rsidP="004868E3">
            <w:pPr>
              <w:spacing w:after="0" w:line="240" w:lineRule="auto"/>
              <w:ind w:left="150" w:right="156"/>
              <w:rPr>
                <w:rFonts w:ascii="Times New Roman" w:hAnsi="Times New Roman" w:cs="Times New Roman"/>
                <w:sz w:val="24"/>
                <w:szCs w:val="24"/>
                <w:lang w:eastAsia="lv-LV"/>
              </w:rPr>
            </w:pPr>
            <w:r w:rsidRPr="00F250E4">
              <w:rPr>
                <w:rFonts w:ascii="Times New Roman" w:hAnsi="Times New Roman" w:cs="Times New Roman"/>
                <w:sz w:val="24"/>
                <w:szCs w:val="24"/>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B1C18" w:rsidRPr="00F250E4" w:rsidRDefault="00AB1C18" w:rsidP="004868E3">
            <w:pPr>
              <w:spacing w:after="0" w:line="240" w:lineRule="auto"/>
              <w:rPr>
                <w:rFonts w:ascii="Times New Roman" w:hAnsi="Times New Roman" w:cs="Times New Roman"/>
                <w:sz w:val="24"/>
                <w:szCs w:val="24"/>
                <w:lang w:eastAsia="lv-LV"/>
              </w:rPr>
            </w:pPr>
            <w:r w:rsidRPr="00F250E4">
              <w:rPr>
                <w:rFonts w:ascii="Times New Roman" w:hAnsi="Times New Roman" w:cs="Times New Roman"/>
                <w:sz w:val="24"/>
                <w:szCs w:val="24"/>
                <w:lang w:eastAsia="lv-LV"/>
              </w:rPr>
              <w:t> Cita informācija</w:t>
            </w:r>
          </w:p>
        </w:tc>
        <w:tc>
          <w:tcPr>
            <w:tcW w:w="3278" w:type="pct"/>
            <w:tcBorders>
              <w:top w:val="outset" w:sz="6" w:space="0" w:color="000000"/>
              <w:left w:val="outset" w:sz="6" w:space="0" w:color="000000"/>
              <w:bottom w:val="outset" w:sz="6" w:space="0" w:color="000000"/>
            </w:tcBorders>
          </w:tcPr>
          <w:p w:rsidR="00AB1C18" w:rsidRPr="00F250E4" w:rsidRDefault="00AB1C18" w:rsidP="007E064B">
            <w:pPr>
              <w:tabs>
                <w:tab w:val="center" w:pos="141"/>
                <w:tab w:val="left" w:pos="5656"/>
              </w:tabs>
              <w:spacing w:after="120"/>
              <w:rPr>
                <w:rFonts w:ascii="Times New Roman" w:hAnsi="Times New Roman" w:cs="Times New Roman"/>
                <w:sz w:val="24"/>
                <w:szCs w:val="24"/>
                <w:lang w:eastAsia="lv-LV"/>
              </w:rPr>
            </w:pPr>
            <w:r w:rsidRPr="00F250E4">
              <w:rPr>
                <w:rFonts w:ascii="Times New Roman" w:hAnsi="Times New Roman" w:cs="Times New Roman"/>
                <w:sz w:val="24"/>
                <w:szCs w:val="24"/>
              </w:rPr>
              <w:t>Nav.</w:t>
            </w:r>
          </w:p>
        </w:tc>
      </w:tr>
    </w:tbl>
    <w:p w:rsidR="00AB1C18" w:rsidRDefault="00AB1C18" w:rsidP="00903CEA">
      <w:pPr>
        <w:spacing w:after="0" w:line="240" w:lineRule="auto"/>
        <w:rPr>
          <w:rFonts w:ascii="Times New Roman" w:hAnsi="Times New Roman" w:cs="Times New Roman"/>
          <w:sz w:val="26"/>
          <w:szCs w:val="26"/>
          <w:lang w:eastAsia="lv-LV"/>
        </w:rPr>
      </w:pPr>
    </w:p>
    <w:tbl>
      <w:tblPr>
        <w:tblW w:w="49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0"/>
        <w:gridCol w:w="1394"/>
        <w:gridCol w:w="1449"/>
        <w:gridCol w:w="1486"/>
        <w:gridCol w:w="1495"/>
        <w:gridCol w:w="1333"/>
      </w:tblGrid>
      <w:tr w:rsidR="00B563F1" w:rsidRPr="008A41E4" w:rsidTr="00B563F1">
        <w:trPr>
          <w:trHeight w:val="652"/>
        </w:trPr>
        <w:tc>
          <w:tcPr>
            <w:tcW w:w="5000" w:type="pct"/>
            <w:gridSpan w:val="6"/>
            <w:hideMark/>
          </w:tcPr>
          <w:p w:rsidR="00B563F1" w:rsidRPr="008A41E4" w:rsidRDefault="00B563F1" w:rsidP="00B563F1">
            <w:pPr>
              <w:spacing w:before="100" w:after="100"/>
              <w:ind w:left="34" w:hanging="34"/>
              <w:jc w:val="center"/>
              <w:rPr>
                <w:rFonts w:ascii="Times New Roman" w:hAnsi="Times New Roman" w:cs="Times New Roman"/>
                <w:b/>
                <w:bCs/>
                <w:sz w:val="24"/>
                <w:szCs w:val="24"/>
              </w:rPr>
            </w:pPr>
            <w:r w:rsidRPr="008A41E4">
              <w:rPr>
                <w:rFonts w:ascii="Times New Roman" w:hAnsi="Times New Roman" w:cs="Times New Roman"/>
                <w:b/>
                <w:bCs/>
                <w:sz w:val="24"/>
                <w:szCs w:val="24"/>
              </w:rPr>
              <w:t>III. Tiesību akta projekta ietekme uz valsts budžetu un pašvaldību budžetiem</w:t>
            </w:r>
          </w:p>
        </w:tc>
      </w:tr>
      <w:tr w:rsidR="00B563F1" w:rsidRPr="008A41E4" w:rsidTr="00B563F1">
        <w:tc>
          <w:tcPr>
            <w:tcW w:w="1113" w:type="pct"/>
            <w:vMerge w:val="restar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w:t>
            </w:r>
            <w:r w:rsidRPr="008A41E4">
              <w:rPr>
                <w:rFonts w:ascii="Times New Roman" w:hAnsi="Times New Roman" w:cs="Times New Roman"/>
                <w:b/>
                <w:bCs/>
                <w:sz w:val="24"/>
                <w:szCs w:val="24"/>
              </w:rPr>
              <w:t>Rādītāji</w:t>
            </w:r>
          </w:p>
        </w:tc>
        <w:tc>
          <w:tcPr>
            <w:tcW w:w="1544" w:type="pct"/>
            <w:gridSpan w:val="2"/>
            <w:vMerge w:val="restart"/>
            <w:hideMark/>
          </w:tcPr>
          <w:p w:rsidR="00B563F1" w:rsidRPr="008A41E4" w:rsidRDefault="00B563F1" w:rsidP="007F1FAC">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w:t>
            </w:r>
            <w:r w:rsidRPr="008A41E4">
              <w:rPr>
                <w:rFonts w:ascii="Times New Roman" w:hAnsi="Times New Roman" w:cs="Times New Roman"/>
                <w:b/>
                <w:bCs/>
                <w:sz w:val="24"/>
                <w:szCs w:val="24"/>
              </w:rPr>
              <w:t>201</w:t>
            </w:r>
            <w:r w:rsidR="007F1FAC">
              <w:rPr>
                <w:rFonts w:ascii="Times New Roman" w:hAnsi="Times New Roman" w:cs="Times New Roman"/>
                <w:b/>
                <w:bCs/>
                <w:sz w:val="24"/>
                <w:szCs w:val="24"/>
              </w:rPr>
              <w:t>2</w:t>
            </w:r>
            <w:r w:rsidRPr="008A41E4">
              <w:rPr>
                <w:rFonts w:ascii="Times New Roman" w:hAnsi="Times New Roman" w:cs="Times New Roman"/>
                <w:b/>
                <w:bCs/>
                <w:sz w:val="24"/>
                <w:szCs w:val="24"/>
              </w:rPr>
              <w:t>.gads</w:t>
            </w:r>
          </w:p>
        </w:tc>
        <w:tc>
          <w:tcPr>
            <w:tcW w:w="2343" w:type="pct"/>
            <w:gridSpan w:val="3"/>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Turpmākie trīs gadi (tūkst. latu)</w:t>
            </w:r>
          </w:p>
        </w:tc>
      </w:tr>
      <w:tr w:rsidR="00B563F1" w:rsidRPr="008A41E4" w:rsidTr="00B563F1">
        <w:tc>
          <w:tcPr>
            <w:tcW w:w="1113" w:type="pct"/>
            <w:vMerge/>
            <w:hideMark/>
          </w:tcPr>
          <w:p w:rsidR="00B563F1" w:rsidRPr="008A41E4" w:rsidRDefault="00B563F1" w:rsidP="00B563F1">
            <w:pPr>
              <w:ind w:left="34" w:hanging="34"/>
              <w:rPr>
                <w:rFonts w:ascii="Times New Roman" w:hAnsi="Times New Roman" w:cs="Times New Roman"/>
                <w:sz w:val="24"/>
                <w:szCs w:val="24"/>
              </w:rPr>
            </w:pPr>
          </w:p>
        </w:tc>
        <w:tc>
          <w:tcPr>
            <w:tcW w:w="1544" w:type="pct"/>
            <w:gridSpan w:val="2"/>
            <w:vMerge/>
            <w:hideMark/>
          </w:tcPr>
          <w:p w:rsidR="00B563F1" w:rsidRPr="008A41E4" w:rsidRDefault="00B563F1" w:rsidP="00B563F1">
            <w:pPr>
              <w:ind w:left="34" w:hanging="34"/>
              <w:rPr>
                <w:rFonts w:ascii="Times New Roman" w:hAnsi="Times New Roman" w:cs="Times New Roman"/>
                <w:sz w:val="24"/>
                <w:szCs w:val="24"/>
              </w:rPr>
            </w:pPr>
          </w:p>
        </w:tc>
        <w:tc>
          <w:tcPr>
            <w:tcW w:w="807" w:type="pct"/>
            <w:hideMark/>
          </w:tcPr>
          <w:p w:rsidR="00B563F1" w:rsidRPr="008A41E4" w:rsidRDefault="00B563F1" w:rsidP="007F1FAC">
            <w:pPr>
              <w:spacing w:before="100" w:after="100"/>
              <w:ind w:left="34" w:hanging="34"/>
              <w:jc w:val="center"/>
              <w:rPr>
                <w:rFonts w:ascii="Times New Roman" w:hAnsi="Times New Roman" w:cs="Times New Roman"/>
                <w:b/>
                <w:bCs/>
                <w:sz w:val="24"/>
                <w:szCs w:val="24"/>
              </w:rPr>
            </w:pPr>
            <w:r w:rsidRPr="008A41E4">
              <w:rPr>
                <w:rFonts w:ascii="Times New Roman" w:hAnsi="Times New Roman" w:cs="Times New Roman"/>
                <w:b/>
                <w:bCs/>
                <w:sz w:val="24"/>
                <w:szCs w:val="24"/>
              </w:rPr>
              <w:t> 201</w:t>
            </w:r>
            <w:r w:rsidR="007F1FAC">
              <w:rPr>
                <w:rFonts w:ascii="Times New Roman" w:hAnsi="Times New Roman" w:cs="Times New Roman"/>
                <w:b/>
                <w:bCs/>
                <w:sz w:val="24"/>
                <w:szCs w:val="24"/>
              </w:rPr>
              <w:t>3</w:t>
            </w:r>
            <w:r w:rsidRPr="008A41E4">
              <w:rPr>
                <w:rFonts w:ascii="Times New Roman" w:hAnsi="Times New Roman" w:cs="Times New Roman"/>
                <w:b/>
                <w:bCs/>
                <w:sz w:val="24"/>
                <w:szCs w:val="24"/>
              </w:rPr>
              <w:t>.</w:t>
            </w:r>
          </w:p>
        </w:tc>
        <w:tc>
          <w:tcPr>
            <w:tcW w:w="812" w:type="pct"/>
            <w:hideMark/>
          </w:tcPr>
          <w:p w:rsidR="00B563F1" w:rsidRPr="008A41E4" w:rsidRDefault="00B563F1" w:rsidP="007F1FAC">
            <w:pPr>
              <w:spacing w:before="100" w:after="100"/>
              <w:ind w:left="34" w:hanging="34"/>
              <w:jc w:val="center"/>
              <w:rPr>
                <w:rFonts w:ascii="Times New Roman" w:hAnsi="Times New Roman" w:cs="Times New Roman"/>
                <w:b/>
                <w:bCs/>
                <w:sz w:val="24"/>
                <w:szCs w:val="24"/>
              </w:rPr>
            </w:pPr>
            <w:r w:rsidRPr="008A41E4">
              <w:rPr>
                <w:rFonts w:ascii="Times New Roman" w:hAnsi="Times New Roman" w:cs="Times New Roman"/>
                <w:b/>
                <w:bCs/>
                <w:sz w:val="24"/>
                <w:szCs w:val="24"/>
              </w:rPr>
              <w:t> 201</w:t>
            </w:r>
            <w:r w:rsidR="007F1FAC">
              <w:rPr>
                <w:rFonts w:ascii="Times New Roman" w:hAnsi="Times New Roman" w:cs="Times New Roman"/>
                <w:b/>
                <w:bCs/>
                <w:sz w:val="24"/>
                <w:szCs w:val="24"/>
              </w:rPr>
              <w:t>4</w:t>
            </w:r>
            <w:r w:rsidRPr="008A41E4">
              <w:rPr>
                <w:rFonts w:ascii="Times New Roman" w:hAnsi="Times New Roman" w:cs="Times New Roman"/>
                <w:b/>
                <w:bCs/>
                <w:sz w:val="24"/>
                <w:szCs w:val="24"/>
              </w:rPr>
              <w:t>.</w:t>
            </w:r>
          </w:p>
        </w:tc>
        <w:tc>
          <w:tcPr>
            <w:tcW w:w="724" w:type="pct"/>
            <w:hideMark/>
          </w:tcPr>
          <w:p w:rsidR="00B563F1" w:rsidRPr="008A41E4" w:rsidRDefault="00B563F1" w:rsidP="007F1FAC">
            <w:pPr>
              <w:spacing w:before="100" w:after="100"/>
              <w:ind w:left="34" w:hanging="34"/>
              <w:jc w:val="center"/>
              <w:rPr>
                <w:rFonts w:ascii="Times New Roman" w:hAnsi="Times New Roman" w:cs="Times New Roman"/>
                <w:b/>
                <w:bCs/>
                <w:sz w:val="24"/>
                <w:szCs w:val="24"/>
              </w:rPr>
            </w:pPr>
            <w:r w:rsidRPr="008A41E4">
              <w:rPr>
                <w:rFonts w:ascii="Times New Roman" w:hAnsi="Times New Roman" w:cs="Times New Roman"/>
                <w:b/>
                <w:bCs/>
                <w:sz w:val="24"/>
                <w:szCs w:val="24"/>
              </w:rPr>
              <w:t> 201</w:t>
            </w:r>
            <w:r w:rsidR="007F1FAC">
              <w:rPr>
                <w:rFonts w:ascii="Times New Roman" w:hAnsi="Times New Roman" w:cs="Times New Roman"/>
                <w:b/>
                <w:bCs/>
                <w:sz w:val="24"/>
                <w:szCs w:val="24"/>
              </w:rPr>
              <w:t>5</w:t>
            </w:r>
            <w:r w:rsidRPr="008A41E4">
              <w:rPr>
                <w:rFonts w:ascii="Times New Roman" w:hAnsi="Times New Roman" w:cs="Times New Roman"/>
                <w:b/>
                <w:bCs/>
                <w:sz w:val="24"/>
                <w:szCs w:val="24"/>
              </w:rPr>
              <w:t>.</w:t>
            </w:r>
          </w:p>
        </w:tc>
      </w:tr>
      <w:tr w:rsidR="00B563F1" w:rsidRPr="008A41E4" w:rsidTr="00B563F1">
        <w:tc>
          <w:tcPr>
            <w:tcW w:w="1113" w:type="pct"/>
            <w:vMerge/>
            <w:hideMark/>
          </w:tcPr>
          <w:p w:rsidR="00B563F1" w:rsidRPr="008A41E4" w:rsidRDefault="00B563F1" w:rsidP="00B563F1">
            <w:pPr>
              <w:ind w:left="34" w:hanging="34"/>
              <w:rPr>
                <w:rFonts w:ascii="Times New Roman" w:hAnsi="Times New Roman" w:cs="Times New Roman"/>
                <w:sz w:val="24"/>
                <w:szCs w:val="24"/>
              </w:rPr>
            </w:pPr>
          </w:p>
        </w:tc>
        <w:tc>
          <w:tcPr>
            <w:tcW w:w="757"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Saskaņā ar valsts budžetu kārtējam gadam</w:t>
            </w:r>
          </w:p>
        </w:tc>
        <w:tc>
          <w:tcPr>
            <w:tcW w:w="787"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Izmaiņas kārtējā gadā, salīdzinot ar budžetu kārtējam gadam</w:t>
            </w:r>
          </w:p>
        </w:tc>
        <w:tc>
          <w:tcPr>
            <w:tcW w:w="807"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Izmaiņas, salīdzinot ar kārtējo (n) gadu</w:t>
            </w:r>
          </w:p>
        </w:tc>
        <w:tc>
          <w:tcPr>
            <w:tcW w:w="812"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Izmaiņas, salīdzinot ar kārtējo (n) gadu</w:t>
            </w:r>
          </w:p>
        </w:tc>
        <w:tc>
          <w:tcPr>
            <w:tcW w:w="724"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Izmaiņas, salīdzinot ar kārtējo (n) gadu</w:t>
            </w:r>
          </w:p>
        </w:tc>
      </w:tr>
      <w:tr w:rsidR="00B563F1" w:rsidRPr="008A41E4" w:rsidTr="00B563F1">
        <w:trPr>
          <w:trHeight w:val="313"/>
        </w:trPr>
        <w:tc>
          <w:tcPr>
            <w:tcW w:w="1113"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1</w:t>
            </w:r>
          </w:p>
        </w:tc>
        <w:tc>
          <w:tcPr>
            <w:tcW w:w="757"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2</w:t>
            </w:r>
          </w:p>
        </w:tc>
        <w:tc>
          <w:tcPr>
            <w:tcW w:w="787"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3</w:t>
            </w:r>
          </w:p>
        </w:tc>
        <w:tc>
          <w:tcPr>
            <w:tcW w:w="807"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4</w:t>
            </w:r>
          </w:p>
        </w:tc>
        <w:tc>
          <w:tcPr>
            <w:tcW w:w="812"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5</w:t>
            </w:r>
          </w:p>
        </w:tc>
        <w:tc>
          <w:tcPr>
            <w:tcW w:w="724"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 6</w:t>
            </w:r>
          </w:p>
        </w:tc>
      </w:tr>
      <w:tr w:rsidR="00B563F1" w:rsidRPr="008A41E4" w:rsidTr="00B563F1">
        <w:trPr>
          <w:trHeight w:val="588"/>
        </w:trPr>
        <w:tc>
          <w:tcPr>
            <w:tcW w:w="1113" w:type="pct"/>
            <w:hideMark/>
          </w:tcPr>
          <w:p w:rsidR="00B563F1" w:rsidRPr="008A41E4" w:rsidRDefault="00B563F1"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1. Budžeta ieņēmumi:</w:t>
            </w:r>
          </w:p>
        </w:tc>
        <w:tc>
          <w:tcPr>
            <w:tcW w:w="757" w:type="pct"/>
            <w:hideMark/>
          </w:tcPr>
          <w:p w:rsidR="00B563F1" w:rsidRPr="008A41E4" w:rsidRDefault="00B563F1" w:rsidP="00B563F1">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87" w:type="pct"/>
            <w:hideMark/>
          </w:tcPr>
          <w:p w:rsidR="00B563F1" w:rsidRPr="008A41E4" w:rsidRDefault="0014394D" w:rsidP="00B563F1">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B563F1"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B563F1"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B563F1"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xml:space="preserve"> 1.1. valsts pamatbudžets, tai skaitā ieņēmumi </w:t>
            </w:r>
            <w:r w:rsidRPr="008A41E4">
              <w:rPr>
                <w:rFonts w:ascii="Times New Roman" w:hAnsi="Times New Roman" w:cs="Times New Roman"/>
                <w:sz w:val="24"/>
                <w:szCs w:val="24"/>
              </w:rPr>
              <w:lastRenderedPageBreak/>
              <w:t>no maksas pakalpo-jumiem un citi pašu ieņēmumi</w:t>
            </w:r>
          </w:p>
        </w:tc>
        <w:tc>
          <w:tcPr>
            <w:tcW w:w="757" w:type="pct"/>
            <w:hideMark/>
          </w:tcPr>
          <w:p w:rsidR="0014394D" w:rsidRPr="008A41E4" w:rsidRDefault="00E04E28" w:rsidP="00D44CEE">
            <w:pPr>
              <w:ind w:left="34" w:hanging="34"/>
              <w:jc w:val="center"/>
              <w:rPr>
                <w:rFonts w:ascii="Times New Roman" w:hAnsi="Times New Roman" w:cs="Times New Roman"/>
                <w:sz w:val="24"/>
                <w:szCs w:val="24"/>
              </w:rPr>
            </w:pPr>
            <w:r>
              <w:rPr>
                <w:rFonts w:ascii="Times New Roman" w:hAnsi="Times New Roman" w:cs="Times New Roman"/>
                <w:sz w:val="24"/>
                <w:szCs w:val="24"/>
              </w:rPr>
              <w:lastRenderedPageBreak/>
              <w:t>1 549</w:t>
            </w:r>
            <w:r w:rsidRPr="008A41E4">
              <w:rPr>
                <w:rFonts w:ascii="Times New Roman" w:hAnsi="Times New Roman" w:cs="Times New Roman"/>
                <w:sz w:val="24"/>
                <w:szCs w:val="24"/>
              </w:rPr>
              <w:t>,</w:t>
            </w:r>
            <w:r>
              <w:rPr>
                <w:rFonts w:ascii="Times New Roman" w:hAnsi="Times New Roman" w:cs="Times New Roman"/>
                <w:sz w:val="24"/>
                <w:szCs w:val="24"/>
              </w:rPr>
              <w:t>2</w:t>
            </w:r>
          </w:p>
        </w:tc>
        <w:tc>
          <w:tcPr>
            <w:tcW w:w="78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lastRenderedPageBreak/>
              <w:t> 1.2. valsts speciālais budžets</w:t>
            </w:r>
          </w:p>
        </w:tc>
        <w:tc>
          <w:tcPr>
            <w:tcW w:w="75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8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1.3. pašvaldību budžets</w:t>
            </w:r>
          </w:p>
        </w:tc>
        <w:tc>
          <w:tcPr>
            <w:tcW w:w="75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8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14394D">
        <w:trPr>
          <w:trHeight w:val="856"/>
        </w:trPr>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2. Budžeta izdevumi:</w:t>
            </w:r>
          </w:p>
        </w:tc>
        <w:tc>
          <w:tcPr>
            <w:tcW w:w="757" w:type="pct"/>
            <w:hideMark/>
          </w:tcPr>
          <w:p w:rsidR="0014394D" w:rsidRPr="008A41E4" w:rsidRDefault="003933D0" w:rsidP="00D44CEE">
            <w:pPr>
              <w:ind w:left="34" w:hanging="34"/>
              <w:jc w:val="center"/>
              <w:rPr>
                <w:rFonts w:ascii="Times New Roman" w:hAnsi="Times New Roman" w:cs="Times New Roman"/>
                <w:sz w:val="24"/>
                <w:szCs w:val="24"/>
              </w:rPr>
            </w:pPr>
            <w:r>
              <w:rPr>
                <w:rFonts w:ascii="Times New Roman" w:hAnsi="Times New Roman" w:cs="Times New Roman"/>
                <w:sz w:val="24"/>
                <w:szCs w:val="24"/>
              </w:rPr>
              <w:t>1 549</w:t>
            </w:r>
            <w:r w:rsidRPr="008A41E4">
              <w:rPr>
                <w:rFonts w:ascii="Times New Roman" w:hAnsi="Times New Roman" w:cs="Times New Roman"/>
                <w:sz w:val="24"/>
                <w:szCs w:val="24"/>
              </w:rPr>
              <w:t>,</w:t>
            </w:r>
            <w:r>
              <w:rPr>
                <w:rFonts w:ascii="Times New Roman" w:hAnsi="Times New Roman" w:cs="Times New Roman"/>
                <w:sz w:val="24"/>
                <w:szCs w:val="24"/>
              </w:rPr>
              <w:t>2</w:t>
            </w:r>
          </w:p>
        </w:tc>
        <w:tc>
          <w:tcPr>
            <w:tcW w:w="787" w:type="pct"/>
            <w:hideMark/>
          </w:tcPr>
          <w:p w:rsidR="0014394D" w:rsidRPr="008A41E4" w:rsidRDefault="003933D0" w:rsidP="006C76E0">
            <w:pPr>
              <w:ind w:left="34" w:hanging="34"/>
              <w:jc w:val="center"/>
              <w:rPr>
                <w:rFonts w:ascii="Times New Roman" w:hAnsi="Times New Roman" w:cs="Times New Roman"/>
                <w:sz w:val="24"/>
                <w:szCs w:val="24"/>
              </w:rPr>
            </w:pPr>
            <w:r>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2.1. valsts pamatbudžets</w:t>
            </w:r>
          </w:p>
        </w:tc>
        <w:tc>
          <w:tcPr>
            <w:tcW w:w="757" w:type="pct"/>
            <w:hideMark/>
          </w:tcPr>
          <w:p w:rsidR="0014394D" w:rsidRPr="008A41E4" w:rsidRDefault="003933D0" w:rsidP="00D44CEE">
            <w:pPr>
              <w:ind w:left="34" w:hanging="34"/>
              <w:jc w:val="center"/>
              <w:rPr>
                <w:rFonts w:ascii="Times New Roman" w:hAnsi="Times New Roman" w:cs="Times New Roman"/>
                <w:sz w:val="24"/>
                <w:szCs w:val="24"/>
              </w:rPr>
            </w:pPr>
            <w:r>
              <w:rPr>
                <w:rFonts w:ascii="Times New Roman" w:hAnsi="Times New Roman" w:cs="Times New Roman"/>
                <w:sz w:val="24"/>
                <w:szCs w:val="24"/>
              </w:rPr>
              <w:t>1 549</w:t>
            </w:r>
            <w:r w:rsidRPr="008A41E4">
              <w:rPr>
                <w:rFonts w:ascii="Times New Roman" w:hAnsi="Times New Roman" w:cs="Times New Roman"/>
                <w:sz w:val="24"/>
                <w:szCs w:val="24"/>
              </w:rPr>
              <w:t>,</w:t>
            </w:r>
            <w:r>
              <w:rPr>
                <w:rFonts w:ascii="Times New Roman" w:hAnsi="Times New Roman" w:cs="Times New Roman"/>
                <w:sz w:val="24"/>
                <w:szCs w:val="24"/>
              </w:rPr>
              <w:t>2</w:t>
            </w:r>
          </w:p>
        </w:tc>
        <w:tc>
          <w:tcPr>
            <w:tcW w:w="787" w:type="pct"/>
            <w:hideMark/>
          </w:tcPr>
          <w:p w:rsidR="0014394D" w:rsidRPr="008A41E4" w:rsidRDefault="003933D0" w:rsidP="00D44CEE">
            <w:pPr>
              <w:ind w:left="34" w:hanging="34"/>
              <w:jc w:val="center"/>
              <w:rPr>
                <w:rFonts w:ascii="Times New Roman" w:hAnsi="Times New Roman" w:cs="Times New Roman"/>
                <w:sz w:val="24"/>
                <w:szCs w:val="24"/>
              </w:rPr>
            </w:pPr>
            <w:r>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2.2. valsts speciālais budžets</w:t>
            </w:r>
          </w:p>
        </w:tc>
        <w:tc>
          <w:tcPr>
            <w:tcW w:w="75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8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2.3. pašvaldību budžets</w:t>
            </w:r>
          </w:p>
        </w:tc>
        <w:tc>
          <w:tcPr>
            <w:tcW w:w="75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8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3. Finansiālā ietekme:</w:t>
            </w:r>
          </w:p>
        </w:tc>
        <w:tc>
          <w:tcPr>
            <w:tcW w:w="757" w:type="pct"/>
            <w:hideMark/>
          </w:tcPr>
          <w:p w:rsidR="0014394D" w:rsidRPr="008A41E4" w:rsidRDefault="00E04E28" w:rsidP="00D44CEE">
            <w:pPr>
              <w:ind w:left="34" w:hanging="34"/>
              <w:jc w:val="center"/>
              <w:rPr>
                <w:rFonts w:ascii="Times New Roman" w:hAnsi="Times New Roman" w:cs="Times New Roman"/>
                <w:sz w:val="24"/>
                <w:szCs w:val="24"/>
              </w:rPr>
            </w:pPr>
            <w:r>
              <w:rPr>
                <w:rFonts w:ascii="Times New Roman" w:hAnsi="Times New Roman" w:cs="Times New Roman"/>
                <w:sz w:val="24"/>
                <w:szCs w:val="24"/>
              </w:rPr>
              <w:t>0</w:t>
            </w:r>
          </w:p>
        </w:tc>
        <w:tc>
          <w:tcPr>
            <w:tcW w:w="78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3.1. valsts pamatbudžets</w:t>
            </w:r>
          </w:p>
        </w:tc>
        <w:tc>
          <w:tcPr>
            <w:tcW w:w="757" w:type="pct"/>
            <w:hideMark/>
          </w:tcPr>
          <w:p w:rsidR="0014394D" w:rsidRPr="008A41E4" w:rsidRDefault="00E04E28" w:rsidP="00D44CEE">
            <w:pPr>
              <w:ind w:left="34" w:hanging="34"/>
              <w:jc w:val="center"/>
              <w:rPr>
                <w:rFonts w:ascii="Times New Roman" w:hAnsi="Times New Roman" w:cs="Times New Roman"/>
                <w:sz w:val="24"/>
                <w:szCs w:val="24"/>
              </w:rPr>
            </w:pPr>
            <w:r>
              <w:rPr>
                <w:rFonts w:ascii="Times New Roman" w:hAnsi="Times New Roman" w:cs="Times New Roman"/>
                <w:sz w:val="24"/>
                <w:szCs w:val="24"/>
              </w:rPr>
              <w:t>0</w:t>
            </w:r>
          </w:p>
        </w:tc>
        <w:tc>
          <w:tcPr>
            <w:tcW w:w="78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3.2. speciālais budžets</w:t>
            </w:r>
          </w:p>
        </w:tc>
        <w:tc>
          <w:tcPr>
            <w:tcW w:w="75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8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3.3. pašvaldību budžets</w:t>
            </w:r>
          </w:p>
        </w:tc>
        <w:tc>
          <w:tcPr>
            <w:tcW w:w="75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87" w:type="pct"/>
            <w:hideMark/>
          </w:tcPr>
          <w:p w:rsidR="0014394D" w:rsidRPr="008A41E4" w:rsidRDefault="0014394D" w:rsidP="00D44CEE">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B563F1" w:rsidRPr="008A41E4" w:rsidTr="00B563F1">
        <w:tc>
          <w:tcPr>
            <w:tcW w:w="1113" w:type="pct"/>
            <w:vMerge w:val="restart"/>
            <w:hideMark/>
          </w:tcPr>
          <w:p w:rsidR="00B563F1" w:rsidRPr="008A41E4" w:rsidRDefault="00B563F1"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4. Finanšu līdzekļi papildu izde</w:t>
            </w:r>
            <w:r w:rsidRPr="008A41E4">
              <w:rPr>
                <w:rFonts w:ascii="Times New Roman" w:hAnsi="Times New Roman" w:cs="Times New Roman"/>
                <w:sz w:val="24"/>
                <w:szCs w:val="24"/>
              </w:rPr>
              <w:softHyphen/>
              <w:t>vumu finansēšanai (kompensējošu izdevumu samazinājumu norāda ar "+" zīmi)</w:t>
            </w:r>
          </w:p>
        </w:tc>
        <w:tc>
          <w:tcPr>
            <w:tcW w:w="757" w:type="pct"/>
            <w:vMerge w:val="restart"/>
            <w:hideMark/>
          </w:tcPr>
          <w:p w:rsidR="00B563F1" w:rsidRPr="008A41E4" w:rsidRDefault="006C76E0" w:rsidP="00B563F1">
            <w:pPr>
              <w:ind w:left="34" w:hanging="34"/>
              <w:jc w:val="center"/>
              <w:rPr>
                <w:rFonts w:ascii="Times New Roman" w:hAnsi="Times New Roman" w:cs="Times New Roman"/>
                <w:sz w:val="24"/>
                <w:szCs w:val="24"/>
              </w:rPr>
            </w:pPr>
            <w:r>
              <w:rPr>
                <w:rFonts w:ascii="Times New Roman" w:hAnsi="Times New Roman" w:cs="Times New Roman"/>
                <w:sz w:val="24"/>
                <w:szCs w:val="24"/>
              </w:rPr>
              <w:t>0</w:t>
            </w:r>
          </w:p>
        </w:tc>
        <w:tc>
          <w:tcPr>
            <w:tcW w:w="787" w:type="pct"/>
            <w:hideMark/>
          </w:tcPr>
          <w:p w:rsidR="00B563F1" w:rsidRPr="008A41E4" w:rsidRDefault="00B563F1" w:rsidP="00B563F1">
            <w:pPr>
              <w:ind w:left="34" w:hanging="34"/>
              <w:jc w:val="center"/>
              <w:rPr>
                <w:rFonts w:ascii="Times New Roman" w:hAnsi="Times New Roman" w:cs="Times New Roman"/>
                <w:sz w:val="24"/>
                <w:szCs w:val="24"/>
              </w:rPr>
            </w:pPr>
          </w:p>
        </w:tc>
        <w:tc>
          <w:tcPr>
            <w:tcW w:w="807" w:type="pct"/>
            <w:hideMark/>
          </w:tcPr>
          <w:p w:rsidR="00B563F1" w:rsidRPr="008A41E4" w:rsidRDefault="00B563F1" w:rsidP="00DB3419">
            <w:pPr>
              <w:ind w:left="34" w:hanging="34"/>
              <w:jc w:val="center"/>
              <w:rPr>
                <w:rFonts w:ascii="Times New Roman" w:hAnsi="Times New Roman" w:cs="Times New Roman"/>
                <w:sz w:val="24"/>
                <w:szCs w:val="24"/>
              </w:rPr>
            </w:pPr>
          </w:p>
        </w:tc>
        <w:tc>
          <w:tcPr>
            <w:tcW w:w="812" w:type="pct"/>
            <w:hideMark/>
          </w:tcPr>
          <w:p w:rsidR="00B563F1" w:rsidRPr="008A41E4" w:rsidRDefault="00B563F1" w:rsidP="00DB3419">
            <w:pPr>
              <w:ind w:left="34" w:hanging="34"/>
              <w:jc w:val="center"/>
              <w:rPr>
                <w:rFonts w:ascii="Times New Roman" w:hAnsi="Times New Roman" w:cs="Times New Roman"/>
                <w:sz w:val="24"/>
                <w:szCs w:val="24"/>
              </w:rPr>
            </w:pPr>
          </w:p>
        </w:tc>
        <w:tc>
          <w:tcPr>
            <w:tcW w:w="724" w:type="pct"/>
            <w:hideMark/>
          </w:tcPr>
          <w:p w:rsidR="00B563F1" w:rsidRPr="008A41E4" w:rsidRDefault="00B563F1" w:rsidP="00DB3419">
            <w:pPr>
              <w:ind w:left="34" w:hanging="34"/>
              <w:jc w:val="center"/>
              <w:rPr>
                <w:rFonts w:ascii="Times New Roman" w:hAnsi="Times New Roman" w:cs="Times New Roman"/>
                <w:sz w:val="24"/>
                <w:szCs w:val="24"/>
              </w:rPr>
            </w:pPr>
          </w:p>
        </w:tc>
      </w:tr>
      <w:tr w:rsidR="00B563F1" w:rsidRPr="008A41E4" w:rsidTr="00B563F1">
        <w:tc>
          <w:tcPr>
            <w:tcW w:w="1113" w:type="pct"/>
            <w:vMerge/>
            <w:hideMark/>
          </w:tcPr>
          <w:p w:rsidR="00B563F1" w:rsidRPr="008A41E4" w:rsidRDefault="00B563F1" w:rsidP="00B563F1">
            <w:pPr>
              <w:ind w:left="34" w:hanging="34"/>
              <w:rPr>
                <w:rFonts w:ascii="Times New Roman" w:hAnsi="Times New Roman" w:cs="Times New Roman"/>
                <w:sz w:val="24"/>
                <w:szCs w:val="24"/>
              </w:rPr>
            </w:pPr>
          </w:p>
        </w:tc>
        <w:tc>
          <w:tcPr>
            <w:tcW w:w="757" w:type="pct"/>
            <w:vMerge/>
            <w:hideMark/>
          </w:tcPr>
          <w:p w:rsidR="00B563F1" w:rsidRPr="008A41E4" w:rsidRDefault="00B563F1" w:rsidP="00B563F1">
            <w:pPr>
              <w:ind w:left="34" w:hanging="34"/>
              <w:jc w:val="center"/>
              <w:rPr>
                <w:rFonts w:ascii="Times New Roman" w:hAnsi="Times New Roman" w:cs="Times New Roman"/>
                <w:sz w:val="24"/>
                <w:szCs w:val="24"/>
              </w:rPr>
            </w:pPr>
          </w:p>
        </w:tc>
        <w:tc>
          <w:tcPr>
            <w:tcW w:w="787" w:type="pct"/>
            <w:hideMark/>
          </w:tcPr>
          <w:p w:rsidR="00B563F1" w:rsidRPr="008A41E4" w:rsidRDefault="00B563F1" w:rsidP="00B563F1">
            <w:pPr>
              <w:spacing w:before="50" w:after="50"/>
              <w:ind w:left="34" w:hanging="34"/>
              <w:jc w:val="center"/>
              <w:rPr>
                <w:rFonts w:ascii="Times New Roman" w:hAnsi="Times New Roman" w:cs="Times New Roman"/>
                <w:sz w:val="24"/>
                <w:szCs w:val="24"/>
              </w:rPr>
            </w:pPr>
          </w:p>
        </w:tc>
        <w:tc>
          <w:tcPr>
            <w:tcW w:w="807" w:type="pct"/>
            <w:hideMark/>
          </w:tcPr>
          <w:p w:rsidR="00B563F1" w:rsidRPr="008A41E4" w:rsidRDefault="00B563F1" w:rsidP="00DB3419">
            <w:pPr>
              <w:ind w:left="34" w:hanging="34"/>
              <w:jc w:val="center"/>
              <w:rPr>
                <w:rFonts w:ascii="Times New Roman" w:hAnsi="Times New Roman" w:cs="Times New Roman"/>
                <w:sz w:val="24"/>
                <w:szCs w:val="24"/>
              </w:rPr>
            </w:pPr>
          </w:p>
        </w:tc>
        <w:tc>
          <w:tcPr>
            <w:tcW w:w="812" w:type="pct"/>
            <w:hideMark/>
          </w:tcPr>
          <w:p w:rsidR="00B563F1" w:rsidRPr="008A41E4" w:rsidRDefault="00B563F1" w:rsidP="00DB3419">
            <w:pPr>
              <w:ind w:left="34" w:hanging="34"/>
              <w:jc w:val="center"/>
              <w:rPr>
                <w:rFonts w:ascii="Times New Roman" w:hAnsi="Times New Roman" w:cs="Times New Roman"/>
                <w:sz w:val="24"/>
                <w:szCs w:val="24"/>
              </w:rPr>
            </w:pPr>
          </w:p>
        </w:tc>
        <w:tc>
          <w:tcPr>
            <w:tcW w:w="724" w:type="pct"/>
            <w:hideMark/>
          </w:tcPr>
          <w:p w:rsidR="00B563F1" w:rsidRPr="008A41E4" w:rsidRDefault="00B563F1" w:rsidP="00DB3419">
            <w:pPr>
              <w:ind w:left="34" w:hanging="34"/>
              <w:jc w:val="center"/>
              <w:rPr>
                <w:rFonts w:ascii="Times New Roman" w:hAnsi="Times New Roman" w:cs="Times New Roman"/>
                <w:sz w:val="24"/>
                <w:szCs w:val="24"/>
              </w:rPr>
            </w:pPr>
          </w:p>
        </w:tc>
      </w:tr>
      <w:tr w:rsidR="00B563F1" w:rsidRPr="008A41E4" w:rsidTr="00B563F1">
        <w:tc>
          <w:tcPr>
            <w:tcW w:w="1113" w:type="pct"/>
            <w:vMerge/>
            <w:hideMark/>
          </w:tcPr>
          <w:p w:rsidR="00B563F1" w:rsidRPr="008A41E4" w:rsidRDefault="00B563F1" w:rsidP="00B563F1">
            <w:pPr>
              <w:ind w:left="34" w:hanging="34"/>
              <w:rPr>
                <w:rFonts w:ascii="Times New Roman" w:hAnsi="Times New Roman" w:cs="Times New Roman"/>
                <w:sz w:val="24"/>
                <w:szCs w:val="24"/>
              </w:rPr>
            </w:pPr>
          </w:p>
        </w:tc>
        <w:tc>
          <w:tcPr>
            <w:tcW w:w="757" w:type="pct"/>
            <w:vMerge/>
            <w:hideMark/>
          </w:tcPr>
          <w:p w:rsidR="00B563F1" w:rsidRPr="008A41E4" w:rsidRDefault="00B563F1" w:rsidP="00B563F1">
            <w:pPr>
              <w:ind w:left="34" w:hanging="34"/>
              <w:jc w:val="center"/>
              <w:rPr>
                <w:rFonts w:ascii="Times New Roman" w:hAnsi="Times New Roman" w:cs="Times New Roman"/>
                <w:sz w:val="24"/>
                <w:szCs w:val="24"/>
              </w:rPr>
            </w:pPr>
          </w:p>
        </w:tc>
        <w:tc>
          <w:tcPr>
            <w:tcW w:w="787" w:type="pct"/>
            <w:hideMark/>
          </w:tcPr>
          <w:p w:rsidR="00B563F1" w:rsidRPr="008A41E4" w:rsidRDefault="0014394D"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B563F1"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B563F1"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B563F1"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5. Precizēta finansiālā ietekme:</w:t>
            </w:r>
          </w:p>
        </w:tc>
        <w:tc>
          <w:tcPr>
            <w:tcW w:w="757" w:type="pct"/>
            <w:vMerge w:val="restart"/>
            <w:hideMark/>
          </w:tcPr>
          <w:p w:rsidR="0014394D" w:rsidRPr="008A41E4" w:rsidRDefault="00E04E28" w:rsidP="00B563F1">
            <w:pPr>
              <w:spacing w:before="50" w:after="50"/>
              <w:ind w:left="34" w:hanging="34"/>
              <w:jc w:val="center"/>
              <w:rPr>
                <w:rFonts w:ascii="Times New Roman" w:hAnsi="Times New Roman" w:cs="Times New Roman"/>
                <w:sz w:val="24"/>
                <w:szCs w:val="24"/>
              </w:rPr>
            </w:pPr>
            <w:r>
              <w:rPr>
                <w:rFonts w:ascii="Times New Roman" w:hAnsi="Times New Roman" w:cs="Times New Roman"/>
                <w:sz w:val="24"/>
                <w:szCs w:val="24"/>
              </w:rPr>
              <w:t>0</w:t>
            </w:r>
          </w:p>
        </w:tc>
        <w:tc>
          <w:tcPr>
            <w:tcW w:w="787" w:type="pct"/>
            <w:hideMark/>
          </w:tcPr>
          <w:p w:rsidR="0014394D" w:rsidRPr="008A41E4" w:rsidRDefault="0075461E" w:rsidP="00D44CEE">
            <w:pPr>
              <w:ind w:left="34" w:hanging="34"/>
              <w:jc w:val="center"/>
              <w:rPr>
                <w:rFonts w:ascii="Times New Roman" w:hAnsi="Times New Roman" w:cs="Times New Roman"/>
                <w:sz w:val="24"/>
                <w:szCs w:val="24"/>
              </w:rPr>
            </w:pPr>
            <w:r>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00</w:t>
            </w:r>
          </w:p>
        </w:tc>
      </w:tr>
      <w:tr w:rsidR="0014394D" w:rsidRPr="008A41E4" w:rsidTr="00B563F1">
        <w:tc>
          <w:tcPr>
            <w:tcW w:w="1113" w:type="pct"/>
            <w:hideMark/>
          </w:tcPr>
          <w:p w:rsidR="0014394D" w:rsidRPr="008A41E4" w:rsidRDefault="0014394D"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xml:space="preserve"> 5.1. valsts </w:t>
            </w:r>
            <w:r w:rsidRPr="008A41E4">
              <w:rPr>
                <w:rFonts w:ascii="Times New Roman" w:hAnsi="Times New Roman" w:cs="Times New Roman"/>
                <w:sz w:val="24"/>
                <w:szCs w:val="24"/>
              </w:rPr>
              <w:lastRenderedPageBreak/>
              <w:t>pamatbudžets</w:t>
            </w:r>
          </w:p>
        </w:tc>
        <w:tc>
          <w:tcPr>
            <w:tcW w:w="757" w:type="pct"/>
            <w:vMerge/>
            <w:hideMark/>
          </w:tcPr>
          <w:p w:rsidR="0014394D" w:rsidRPr="008A41E4" w:rsidRDefault="0014394D" w:rsidP="00B563F1">
            <w:pPr>
              <w:ind w:left="34" w:hanging="34"/>
              <w:rPr>
                <w:rFonts w:ascii="Times New Roman" w:hAnsi="Times New Roman" w:cs="Times New Roman"/>
                <w:sz w:val="24"/>
                <w:szCs w:val="24"/>
              </w:rPr>
            </w:pPr>
          </w:p>
        </w:tc>
        <w:tc>
          <w:tcPr>
            <w:tcW w:w="787" w:type="pct"/>
            <w:hideMark/>
          </w:tcPr>
          <w:p w:rsidR="0014394D" w:rsidRPr="008A41E4" w:rsidRDefault="0075461E" w:rsidP="00D44CEE">
            <w:pPr>
              <w:ind w:left="34" w:hanging="34"/>
              <w:jc w:val="center"/>
              <w:rPr>
                <w:rFonts w:ascii="Times New Roman" w:hAnsi="Times New Roman" w:cs="Times New Roman"/>
                <w:sz w:val="24"/>
                <w:szCs w:val="24"/>
              </w:rPr>
            </w:pPr>
            <w:r>
              <w:rPr>
                <w:rFonts w:ascii="Times New Roman" w:hAnsi="Times New Roman" w:cs="Times New Roman"/>
                <w:sz w:val="24"/>
                <w:szCs w:val="24"/>
              </w:rPr>
              <w:t>0</w:t>
            </w:r>
          </w:p>
        </w:tc>
        <w:tc>
          <w:tcPr>
            <w:tcW w:w="807"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14394D"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B563F1" w:rsidRPr="008A41E4" w:rsidTr="00B563F1">
        <w:tc>
          <w:tcPr>
            <w:tcW w:w="1113" w:type="pct"/>
            <w:hideMark/>
          </w:tcPr>
          <w:p w:rsidR="00B563F1" w:rsidRPr="008A41E4" w:rsidRDefault="00B563F1"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lastRenderedPageBreak/>
              <w:t> 5.2. speciālais budžets</w:t>
            </w:r>
          </w:p>
        </w:tc>
        <w:tc>
          <w:tcPr>
            <w:tcW w:w="757" w:type="pct"/>
            <w:vMerge/>
            <w:hideMark/>
          </w:tcPr>
          <w:p w:rsidR="00B563F1" w:rsidRPr="008A41E4" w:rsidRDefault="00B563F1" w:rsidP="00B563F1">
            <w:pPr>
              <w:ind w:left="34" w:hanging="34"/>
              <w:rPr>
                <w:rFonts w:ascii="Times New Roman" w:hAnsi="Times New Roman" w:cs="Times New Roman"/>
                <w:sz w:val="24"/>
                <w:szCs w:val="24"/>
              </w:rPr>
            </w:pPr>
          </w:p>
        </w:tc>
        <w:tc>
          <w:tcPr>
            <w:tcW w:w="787" w:type="pct"/>
            <w:hideMark/>
          </w:tcPr>
          <w:p w:rsidR="00B563F1" w:rsidRPr="008A41E4" w:rsidRDefault="0014394D"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B563F1"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B563F1"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B563F1" w:rsidRPr="008A41E4" w:rsidRDefault="0014394D" w:rsidP="00DB3419">
            <w:pPr>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B563F1" w:rsidRPr="008A41E4" w:rsidTr="00B563F1">
        <w:trPr>
          <w:trHeight w:val="614"/>
        </w:trPr>
        <w:tc>
          <w:tcPr>
            <w:tcW w:w="1113" w:type="pct"/>
            <w:hideMark/>
          </w:tcPr>
          <w:p w:rsidR="00B563F1" w:rsidRPr="008A41E4" w:rsidRDefault="00B563F1"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5.3. pašvaldību budžets</w:t>
            </w:r>
          </w:p>
        </w:tc>
        <w:tc>
          <w:tcPr>
            <w:tcW w:w="757" w:type="pct"/>
            <w:vMerge/>
            <w:hideMark/>
          </w:tcPr>
          <w:p w:rsidR="00B563F1" w:rsidRPr="008A41E4" w:rsidRDefault="00B563F1" w:rsidP="00B563F1">
            <w:pPr>
              <w:ind w:left="34" w:hanging="34"/>
              <w:rPr>
                <w:rFonts w:ascii="Times New Roman" w:hAnsi="Times New Roman" w:cs="Times New Roman"/>
                <w:sz w:val="24"/>
                <w:szCs w:val="24"/>
              </w:rPr>
            </w:pPr>
          </w:p>
        </w:tc>
        <w:tc>
          <w:tcPr>
            <w:tcW w:w="787" w:type="pct"/>
            <w:hideMark/>
          </w:tcPr>
          <w:p w:rsidR="00B563F1" w:rsidRPr="008A41E4" w:rsidRDefault="0014394D" w:rsidP="00B563F1">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07" w:type="pct"/>
            <w:hideMark/>
          </w:tcPr>
          <w:p w:rsidR="00B563F1" w:rsidRPr="008A41E4" w:rsidRDefault="0014394D" w:rsidP="00DB3419">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812" w:type="pct"/>
            <w:hideMark/>
          </w:tcPr>
          <w:p w:rsidR="00B563F1" w:rsidRPr="008A41E4" w:rsidRDefault="0014394D" w:rsidP="00DB3419">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c>
          <w:tcPr>
            <w:tcW w:w="724" w:type="pct"/>
            <w:hideMark/>
          </w:tcPr>
          <w:p w:rsidR="00B563F1" w:rsidRPr="008A41E4" w:rsidRDefault="0014394D" w:rsidP="00DB3419">
            <w:pPr>
              <w:spacing w:before="50" w:after="50"/>
              <w:ind w:left="34" w:hanging="34"/>
              <w:jc w:val="center"/>
              <w:rPr>
                <w:rFonts w:ascii="Times New Roman" w:hAnsi="Times New Roman" w:cs="Times New Roman"/>
                <w:sz w:val="24"/>
                <w:szCs w:val="24"/>
              </w:rPr>
            </w:pPr>
            <w:r w:rsidRPr="008A41E4">
              <w:rPr>
                <w:rFonts w:ascii="Times New Roman" w:hAnsi="Times New Roman" w:cs="Times New Roman"/>
                <w:sz w:val="24"/>
                <w:szCs w:val="24"/>
              </w:rPr>
              <w:t>0</w:t>
            </w:r>
          </w:p>
        </w:tc>
      </w:tr>
      <w:tr w:rsidR="00B563F1" w:rsidRPr="008A41E4" w:rsidTr="00B563F1">
        <w:trPr>
          <w:trHeight w:val="2837"/>
        </w:trPr>
        <w:tc>
          <w:tcPr>
            <w:tcW w:w="1113" w:type="pct"/>
            <w:hideMark/>
          </w:tcPr>
          <w:p w:rsidR="00B563F1" w:rsidRPr="008A41E4" w:rsidRDefault="00B563F1"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6. Detalizēts ieņēmumu un izdevu</w:t>
            </w:r>
            <w:r w:rsidRPr="008A41E4">
              <w:rPr>
                <w:rFonts w:ascii="Times New Roman" w:hAnsi="Times New Roman" w:cs="Times New Roman"/>
                <w:sz w:val="24"/>
                <w:szCs w:val="24"/>
              </w:rPr>
              <w:softHyphen/>
              <w:t>mu aprēķins (ja nepieciešams, detalizētu ieņēmumu un izdevumu aprēķinu var pievienot anotācijas pielikumā):</w:t>
            </w:r>
          </w:p>
        </w:tc>
        <w:tc>
          <w:tcPr>
            <w:tcW w:w="3887" w:type="pct"/>
            <w:gridSpan w:val="5"/>
            <w:vMerge w:val="restart"/>
            <w:hideMark/>
          </w:tcPr>
          <w:p w:rsidR="00B563F1" w:rsidRPr="008A41E4" w:rsidRDefault="0014394D" w:rsidP="002676CA">
            <w:pPr>
              <w:ind w:left="34" w:hanging="34"/>
              <w:rPr>
                <w:rFonts w:ascii="Times New Roman" w:hAnsi="Times New Roman" w:cs="Times New Roman"/>
                <w:sz w:val="24"/>
                <w:szCs w:val="24"/>
              </w:rPr>
            </w:pPr>
            <w:r w:rsidRPr="008A41E4">
              <w:rPr>
                <w:rFonts w:ascii="Times New Roman" w:hAnsi="Times New Roman" w:cs="Times New Roman"/>
                <w:sz w:val="24"/>
                <w:szCs w:val="24"/>
              </w:rPr>
              <w:t>Lai profesionālās izglītības iestādes izstrādātu būvdarbu tehnisku un iepirkumu dokumen</w:t>
            </w:r>
            <w:r w:rsidR="006C76E0">
              <w:rPr>
                <w:rFonts w:ascii="Times New Roman" w:hAnsi="Times New Roman" w:cs="Times New Roman"/>
                <w:sz w:val="24"/>
                <w:szCs w:val="24"/>
              </w:rPr>
              <w:t xml:space="preserve">tāciju ir nepieciešams 1 549 167 </w:t>
            </w:r>
            <w:r w:rsidRPr="008A41E4">
              <w:rPr>
                <w:rFonts w:ascii="Times New Roman" w:hAnsi="Times New Roman" w:cs="Times New Roman"/>
                <w:sz w:val="24"/>
                <w:szCs w:val="24"/>
              </w:rPr>
              <w:t>latu</w:t>
            </w:r>
            <w:r w:rsidR="006C76E0">
              <w:rPr>
                <w:rFonts w:ascii="Times New Roman" w:hAnsi="Times New Roman" w:cs="Times New Roman"/>
                <w:sz w:val="24"/>
                <w:szCs w:val="24"/>
              </w:rPr>
              <w:t xml:space="preserve"> apmērā, kas ir ne vairāk kā 2% no </w:t>
            </w:r>
            <w:r w:rsidR="000B1E57">
              <w:rPr>
                <w:rFonts w:ascii="Times New Roman" w:hAnsi="Times New Roman" w:cs="Times New Roman"/>
                <w:sz w:val="24"/>
                <w:szCs w:val="24"/>
              </w:rPr>
              <w:t xml:space="preserve">3.1.1.1.aktivitātes </w:t>
            </w:r>
            <w:r w:rsidR="006C76E0">
              <w:rPr>
                <w:rFonts w:ascii="Times New Roman" w:hAnsi="Times New Roman" w:cs="Times New Roman"/>
                <w:sz w:val="24"/>
                <w:szCs w:val="24"/>
              </w:rPr>
              <w:t xml:space="preserve">otrai kārtai pieejamā finansējuma </w:t>
            </w:r>
            <w:r w:rsidR="002676CA">
              <w:rPr>
                <w:rFonts w:ascii="Times New Roman" w:hAnsi="Times New Roman" w:cs="Times New Roman"/>
                <w:sz w:val="24"/>
                <w:szCs w:val="24"/>
              </w:rPr>
              <w:t>(o</w:t>
            </w:r>
            <w:r w:rsidR="006C76E0">
              <w:rPr>
                <w:rFonts w:ascii="Times New Roman" w:hAnsi="Times New Roman" w:cs="Times New Roman"/>
                <w:sz w:val="24"/>
                <w:szCs w:val="24"/>
              </w:rPr>
              <w:t>trās kārtas finansējums ir 77 458 382 lati</w:t>
            </w:r>
            <w:r w:rsidR="002676CA">
              <w:rPr>
                <w:rFonts w:ascii="Times New Roman" w:hAnsi="Times New Roman" w:cs="Times New Roman"/>
                <w:sz w:val="24"/>
                <w:szCs w:val="24"/>
              </w:rPr>
              <w:t>).</w:t>
            </w:r>
            <w:r w:rsidR="000B1E57">
              <w:rPr>
                <w:rFonts w:ascii="Times New Roman" w:hAnsi="Times New Roman" w:cs="Times New Roman"/>
                <w:sz w:val="24"/>
                <w:szCs w:val="24"/>
              </w:rPr>
              <w:t xml:space="preserve"> Finansējums tiks segts no Izglītības un zinātnes ministrijas apakšprogrammas 62.06.00 </w:t>
            </w:r>
            <w:r w:rsidR="00A53F67">
              <w:rPr>
                <w:rFonts w:ascii="Times New Roman" w:hAnsi="Times New Roman" w:cs="Times New Roman"/>
                <w:sz w:val="24"/>
                <w:szCs w:val="24"/>
              </w:rPr>
              <w:t>„Eiropas Reģionālās attīstības fonda (ERAF) projekti”.</w:t>
            </w:r>
          </w:p>
        </w:tc>
      </w:tr>
      <w:tr w:rsidR="00B563F1" w:rsidRPr="008A41E4" w:rsidTr="00B563F1">
        <w:tc>
          <w:tcPr>
            <w:tcW w:w="1113" w:type="pct"/>
            <w:hideMark/>
          </w:tcPr>
          <w:p w:rsidR="00B563F1" w:rsidRPr="008A41E4" w:rsidRDefault="00B563F1"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6.1. detalizēts ieņēmumu aprēķins</w:t>
            </w:r>
          </w:p>
        </w:tc>
        <w:tc>
          <w:tcPr>
            <w:tcW w:w="3887" w:type="pct"/>
            <w:gridSpan w:val="5"/>
            <w:vMerge/>
            <w:hideMark/>
          </w:tcPr>
          <w:p w:rsidR="00B563F1" w:rsidRPr="008A41E4" w:rsidRDefault="00B563F1" w:rsidP="00B563F1">
            <w:pPr>
              <w:ind w:left="34" w:hanging="34"/>
              <w:rPr>
                <w:rFonts w:ascii="Times New Roman" w:hAnsi="Times New Roman" w:cs="Times New Roman"/>
                <w:sz w:val="24"/>
                <w:szCs w:val="24"/>
              </w:rPr>
            </w:pPr>
          </w:p>
        </w:tc>
      </w:tr>
      <w:tr w:rsidR="00B563F1" w:rsidRPr="008A41E4" w:rsidTr="00B563F1">
        <w:tc>
          <w:tcPr>
            <w:tcW w:w="1113" w:type="pct"/>
            <w:hideMark/>
          </w:tcPr>
          <w:p w:rsidR="00B563F1" w:rsidRPr="008A41E4" w:rsidRDefault="00B563F1"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6.2. detalizēts izdevumu aprēķins</w:t>
            </w:r>
          </w:p>
        </w:tc>
        <w:tc>
          <w:tcPr>
            <w:tcW w:w="3887" w:type="pct"/>
            <w:gridSpan w:val="5"/>
            <w:vMerge/>
            <w:hideMark/>
          </w:tcPr>
          <w:p w:rsidR="00B563F1" w:rsidRPr="008A41E4" w:rsidRDefault="00B563F1" w:rsidP="00B563F1">
            <w:pPr>
              <w:ind w:left="34" w:hanging="34"/>
              <w:rPr>
                <w:rFonts w:ascii="Times New Roman" w:hAnsi="Times New Roman" w:cs="Times New Roman"/>
                <w:sz w:val="24"/>
                <w:szCs w:val="24"/>
              </w:rPr>
            </w:pPr>
          </w:p>
        </w:tc>
      </w:tr>
      <w:tr w:rsidR="00B563F1" w:rsidRPr="008A41E4" w:rsidTr="00B563F1">
        <w:tc>
          <w:tcPr>
            <w:tcW w:w="1113" w:type="pct"/>
            <w:hideMark/>
          </w:tcPr>
          <w:p w:rsidR="00B563F1" w:rsidRPr="008A41E4" w:rsidRDefault="00B563F1" w:rsidP="00B563F1">
            <w:pPr>
              <w:spacing w:before="50" w:after="50"/>
              <w:ind w:left="34" w:hanging="34"/>
              <w:rPr>
                <w:rFonts w:ascii="Times New Roman" w:hAnsi="Times New Roman" w:cs="Times New Roman"/>
                <w:sz w:val="24"/>
                <w:szCs w:val="24"/>
              </w:rPr>
            </w:pPr>
            <w:r w:rsidRPr="008A41E4">
              <w:rPr>
                <w:rFonts w:ascii="Times New Roman" w:hAnsi="Times New Roman" w:cs="Times New Roman"/>
                <w:sz w:val="24"/>
                <w:szCs w:val="24"/>
              </w:rPr>
              <w:t> 7. Cita informācija</w:t>
            </w:r>
          </w:p>
        </w:tc>
        <w:tc>
          <w:tcPr>
            <w:tcW w:w="3887" w:type="pct"/>
            <w:gridSpan w:val="5"/>
            <w:hideMark/>
          </w:tcPr>
          <w:p w:rsidR="00B563F1" w:rsidRPr="00B3573D" w:rsidRDefault="00B3573D" w:rsidP="00B563F1">
            <w:pPr>
              <w:ind w:left="34" w:hanging="34"/>
              <w:jc w:val="both"/>
              <w:rPr>
                <w:rFonts w:ascii="Times New Roman" w:hAnsi="Times New Roman" w:cs="Times New Roman"/>
                <w:color w:val="000000"/>
                <w:sz w:val="24"/>
                <w:szCs w:val="24"/>
              </w:rPr>
            </w:pPr>
            <w:r w:rsidRPr="00B3573D">
              <w:rPr>
                <w:rFonts w:ascii="Times New Roman" w:hAnsi="Times New Roman" w:cs="Times New Roman"/>
                <w:sz w:val="24"/>
                <w:szCs w:val="24"/>
              </w:rPr>
              <w:t>Saskaņā ar informatīvajā ziņojumā „Par darbības programmas „Infrastruktūra un pakalpojumi” papildinājuma 3.1.1.1.aktivitātes „Mācību aprīkojuma modernizācija un infrastruktūras uzlabošana profesionālās izglītības programmu īstenošanai” ieviešanu” minēto, lai nodrošinātu augstu projektu gatavību, kā arī Eiropas Reģionālās attīstības fonda līdzekļu apguvi ES fondu plānošanas perioda 2007.–2013.gadam ietvaros, termiņš projektu iesniegšanai 3.1.1.1.aktivitātes  otrās atlases kārtas ietvaros būtu nosakāms ne vēlāk kā līdz 2013.gada 31.martam.”</w:t>
            </w:r>
          </w:p>
        </w:tc>
      </w:tr>
      <w:tr w:rsidR="00B563F1" w:rsidRPr="008A41E4" w:rsidTr="00B563F1">
        <w:tc>
          <w:tcPr>
            <w:tcW w:w="1113" w:type="pct"/>
          </w:tcPr>
          <w:p w:rsidR="00B563F1" w:rsidRPr="008A41E4" w:rsidRDefault="00B563F1" w:rsidP="00B563F1">
            <w:pPr>
              <w:spacing w:before="50" w:after="50"/>
              <w:ind w:left="34" w:hanging="34"/>
              <w:rPr>
                <w:rFonts w:ascii="Times New Roman" w:hAnsi="Times New Roman" w:cs="Times New Roman"/>
                <w:sz w:val="24"/>
                <w:szCs w:val="24"/>
              </w:rPr>
            </w:pPr>
          </w:p>
        </w:tc>
        <w:tc>
          <w:tcPr>
            <w:tcW w:w="3887" w:type="pct"/>
            <w:gridSpan w:val="5"/>
          </w:tcPr>
          <w:p w:rsidR="00B563F1" w:rsidRPr="008A41E4" w:rsidRDefault="00B563F1" w:rsidP="00B563F1">
            <w:pPr>
              <w:ind w:left="34" w:hanging="34"/>
              <w:jc w:val="both"/>
              <w:rPr>
                <w:rFonts w:ascii="Times New Roman" w:hAnsi="Times New Roman" w:cs="Times New Roman"/>
                <w:color w:val="000000"/>
                <w:sz w:val="24"/>
                <w:szCs w:val="24"/>
              </w:rPr>
            </w:pPr>
          </w:p>
        </w:tc>
      </w:tr>
    </w:tbl>
    <w:p w:rsidR="00B563F1" w:rsidRDefault="00B563F1" w:rsidP="00903CEA">
      <w:pPr>
        <w:spacing w:after="0" w:line="240" w:lineRule="auto"/>
        <w:rPr>
          <w:rFonts w:ascii="Times New Roman" w:hAnsi="Times New Roman" w:cs="Times New Roman"/>
          <w:sz w:val="26"/>
          <w:szCs w:val="26"/>
          <w:lang w:eastAsia="lv-LV"/>
        </w:rPr>
      </w:pPr>
    </w:p>
    <w:p w:rsidR="00AB1C18" w:rsidRPr="008A41E4" w:rsidRDefault="0014394D" w:rsidP="00903CEA">
      <w:pPr>
        <w:spacing w:after="0" w:line="240" w:lineRule="auto"/>
        <w:rPr>
          <w:rFonts w:ascii="Times New Roman" w:hAnsi="Times New Roman" w:cs="Times New Roman"/>
          <w:sz w:val="24"/>
          <w:szCs w:val="24"/>
          <w:lang w:eastAsia="lv-LV"/>
        </w:rPr>
      </w:pPr>
      <w:r w:rsidRPr="008A41E4">
        <w:rPr>
          <w:rFonts w:ascii="Times New Roman" w:hAnsi="Times New Roman" w:cs="Times New Roman"/>
          <w:sz w:val="24"/>
          <w:szCs w:val="24"/>
          <w:lang w:eastAsia="lv-LV"/>
        </w:rPr>
        <w:t>Anotācijas</w:t>
      </w:r>
      <w:r w:rsidR="00AB1C18" w:rsidRPr="008A41E4">
        <w:rPr>
          <w:rFonts w:ascii="Times New Roman" w:hAnsi="Times New Roman" w:cs="Times New Roman"/>
          <w:sz w:val="24"/>
          <w:szCs w:val="24"/>
          <w:lang w:eastAsia="lv-LV"/>
        </w:rPr>
        <w:t xml:space="preserve"> IV, V un VI sadaļa – </w:t>
      </w:r>
      <w:r w:rsidR="00AB1C18" w:rsidRPr="008A41E4">
        <w:rPr>
          <w:rFonts w:ascii="Times New Roman" w:hAnsi="Times New Roman" w:cs="Times New Roman"/>
          <w:sz w:val="24"/>
          <w:szCs w:val="24"/>
        </w:rPr>
        <w:t>projekts šīs jomas neskar</w:t>
      </w:r>
      <w:r w:rsidR="00AB1C18" w:rsidRPr="008A41E4">
        <w:rPr>
          <w:rFonts w:ascii="Times New Roman" w:hAnsi="Times New Roman" w:cs="Times New Roman"/>
          <w:sz w:val="24"/>
          <w:szCs w:val="24"/>
          <w:lang w:eastAsia="lv-LV"/>
        </w:rPr>
        <w:t>.</w:t>
      </w:r>
    </w:p>
    <w:p w:rsidR="00AB1C18" w:rsidRPr="0079228C" w:rsidRDefault="00AB1C18" w:rsidP="00903CEA">
      <w:pPr>
        <w:spacing w:after="0" w:line="240" w:lineRule="auto"/>
        <w:rPr>
          <w:rFonts w:ascii="Times New Roman" w:hAnsi="Times New Roman" w:cs="Times New Roman"/>
          <w:sz w:val="26"/>
          <w:szCs w:val="26"/>
          <w:lang w:eastAsia="lv-LV"/>
        </w:rPr>
      </w:pPr>
    </w:p>
    <w:tbl>
      <w:tblPr>
        <w:tblW w:w="5000"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574"/>
        <w:gridCol w:w="4424"/>
        <w:gridCol w:w="4089"/>
      </w:tblGrid>
      <w:tr w:rsidR="00AB1C18" w:rsidRPr="008A41E4">
        <w:tc>
          <w:tcPr>
            <w:tcW w:w="0" w:type="auto"/>
            <w:gridSpan w:val="3"/>
            <w:tcBorders>
              <w:top w:val="outset" w:sz="6" w:space="0" w:color="000000"/>
              <w:bottom w:val="outset" w:sz="6" w:space="0" w:color="000000"/>
            </w:tcBorders>
          </w:tcPr>
          <w:p w:rsidR="00AB1C18" w:rsidRPr="008A41E4" w:rsidRDefault="00AB1C18" w:rsidP="00903CEA">
            <w:pPr>
              <w:spacing w:after="0" w:line="240" w:lineRule="auto"/>
              <w:jc w:val="center"/>
              <w:rPr>
                <w:rFonts w:ascii="Times New Roman" w:hAnsi="Times New Roman" w:cs="Times New Roman"/>
                <w:b/>
                <w:bCs/>
                <w:sz w:val="24"/>
                <w:szCs w:val="24"/>
                <w:lang w:eastAsia="lv-LV"/>
              </w:rPr>
            </w:pPr>
            <w:r w:rsidRPr="008A41E4">
              <w:rPr>
                <w:rFonts w:ascii="Times New Roman" w:hAnsi="Times New Roman" w:cs="Times New Roman"/>
                <w:b/>
                <w:bCs/>
                <w:sz w:val="24"/>
                <w:szCs w:val="24"/>
                <w:lang w:eastAsia="lv-LV"/>
              </w:rPr>
              <w:t>VII. Tiesību akta projekta izpildes nodrošināšana un tās ietekme uz institūcijām</w:t>
            </w:r>
          </w:p>
        </w:tc>
      </w:tr>
      <w:tr w:rsidR="00AB1C18" w:rsidRPr="008A41E4">
        <w:tc>
          <w:tcPr>
            <w:tcW w:w="316" w:type="pct"/>
            <w:tcBorders>
              <w:top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rPr>
                <w:rFonts w:ascii="Times New Roman" w:hAnsi="Times New Roman" w:cs="Times New Roman"/>
                <w:sz w:val="24"/>
                <w:szCs w:val="24"/>
                <w:lang w:eastAsia="lv-LV"/>
              </w:rPr>
            </w:pPr>
            <w:r w:rsidRPr="008A41E4">
              <w:rPr>
                <w:rFonts w:ascii="Times New Roman" w:hAnsi="Times New Roman" w:cs="Times New Roman"/>
                <w:sz w:val="24"/>
                <w:szCs w:val="24"/>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Projekta izpildē iesaistītās institūcijas</w:t>
            </w:r>
          </w:p>
        </w:tc>
        <w:tc>
          <w:tcPr>
            <w:tcW w:w="2250" w:type="pct"/>
            <w:tcBorders>
              <w:top w:val="outset" w:sz="6" w:space="0" w:color="000000"/>
              <w:left w:val="outset" w:sz="6" w:space="0" w:color="000000"/>
              <w:bottom w:val="outset" w:sz="6" w:space="0" w:color="000000"/>
            </w:tcBorders>
          </w:tcPr>
          <w:p w:rsidR="00AB1C18" w:rsidRPr="008A41E4" w:rsidRDefault="0014394D" w:rsidP="00602061">
            <w:pPr>
              <w:spacing w:after="0" w:line="240" w:lineRule="auto"/>
              <w:ind w:right="148"/>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Izglītības un zinātnes ministrija, Finanšu ministrija</w:t>
            </w:r>
          </w:p>
          <w:p w:rsidR="00AB1C18" w:rsidRPr="008A41E4" w:rsidRDefault="00AB1C18" w:rsidP="00602061">
            <w:pPr>
              <w:spacing w:after="0" w:line="240" w:lineRule="auto"/>
              <w:ind w:left="113" w:right="148" w:hanging="113"/>
              <w:jc w:val="both"/>
              <w:rPr>
                <w:rFonts w:ascii="Times New Roman" w:hAnsi="Times New Roman" w:cs="Times New Roman"/>
                <w:sz w:val="24"/>
                <w:szCs w:val="24"/>
                <w:lang w:eastAsia="lv-LV"/>
              </w:rPr>
            </w:pPr>
          </w:p>
        </w:tc>
      </w:tr>
      <w:tr w:rsidR="00AB1C18" w:rsidRPr="008A41E4">
        <w:tc>
          <w:tcPr>
            <w:tcW w:w="316" w:type="pct"/>
            <w:tcBorders>
              <w:top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rPr>
                <w:rFonts w:ascii="Times New Roman" w:hAnsi="Times New Roman" w:cs="Times New Roman"/>
                <w:sz w:val="24"/>
                <w:szCs w:val="24"/>
                <w:lang w:eastAsia="lv-LV"/>
              </w:rPr>
            </w:pPr>
            <w:r w:rsidRPr="008A41E4">
              <w:rPr>
                <w:rFonts w:ascii="Times New Roman" w:hAnsi="Times New Roman" w:cs="Times New Roman"/>
                <w:sz w:val="24"/>
                <w:szCs w:val="24"/>
                <w:lang w:eastAsia="lv-LV"/>
              </w:rPr>
              <w:lastRenderedPageBreak/>
              <w:t>2.</w:t>
            </w:r>
          </w:p>
        </w:tc>
        <w:tc>
          <w:tcPr>
            <w:tcW w:w="2434" w:type="pct"/>
            <w:tcBorders>
              <w:top w:val="outset" w:sz="6" w:space="0" w:color="000000"/>
              <w:left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Projekta izpildes ietekme uz pārvaldes funkcijām</w:t>
            </w:r>
          </w:p>
        </w:tc>
        <w:tc>
          <w:tcPr>
            <w:tcW w:w="2250" w:type="pct"/>
            <w:tcBorders>
              <w:top w:val="outset" w:sz="6" w:space="0" w:color="000000"/>
              <w:left w:val="outset" w:sz="6" w:space="0" w:color="000000"/>
              <w:bottom w:val="outset" w:sz="6" w:space="0" w:color="000000"/>
            </w:tcBorders>
          </w:tcPr>
          <w:p w:rsidR="00AB1C18" w:rsidRPr="008A41E4" w:rsidRDefault="0014394D" w:rsidP="00602061">
            <w:pPr>
              <w:spacing w:after="0" w:line="240" w:lineRule="auto"/>
              <w:ind w:right="148" w:hanging="30"/>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Projekts šo jomu neskar.</w:t>
            </w:r>
          </w:p>
          <w:p w:rsidR="00AB1C18" w:rsidRPr="008A41E4" w:rsidRDefault="00AB1C18" w:rsidP="00602061">
            <w:pPr>
              <w:spacing w:after="0" w:line="240" w:lineRule="auto"/>
              <w:ind w:left="113" w:right="148" w:hanging="113"/>
              <w:jc w:val="both"/>
              <w:rPr>
                <w:rFonts w:ascii="Times New Roman" w:hAnsi="Times New Roman" w:cs="Times New Roman"/>
                <w:sz w:val="24"/>
                <w:szCs w:val="24"/>
                <w:lang w:eastAsia="lv-LV"/>
              </w:rPr>
            </w:pPr>
          </w:p>
        </w:tc>
      </w:tr>
      <w:tr w:rsidR="00AB1C18" w:rsidRPr="008A41E4">
        <w:tc>
          <w:tcPr>
            <w:tcW w:w="316" w:type="pct"/>
            <w:tcBorders>
              <w:top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rPr>
                <w:rFonts w:ascii="Times New Roman" w:hAnsi="Times New Roman" w:cs="Times New Roman"/>
                <w:sz w:val="24"/>
                <w:szCs w:val="24"/>
                <w:lang w:eastAsia="lv-LV"/>
              </w:rPr>
            </w:pPr>
            <w:r w:rsidRPr="008A41E4">
              <w:rPr>
                <w:rFonts w:ascii="Times New Roman" w:hAnsi="Times New Roman" w:cs="Times New Roman"/>
                <w:sz w:val="24"/>
                <w:szCs w:val="24"/>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tcBorders>
          </w:tcPr>
          <w:p w:rsidR="0014394D" w:rsidRPr="008A41E4" w:rsidRDefault="0014394D" w:rsidP="0014394D">
            <w:pPr>
              <w:spacing w:after="0" w:line="240" w:lineRule="auto"/>
              <w:ind w:right="148" w:hanging="30"/>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Projekts šo jomu neskar.</w:t>
            </w:r>
          </w:p>
          <w:p w:rsidR="00AB1C18" w:rsidRPr="008A41E4" w:rsidRDefault="00AB1C18" w:rsidP="00DD3719">
            <w:pPr>
              <w:spacing w:after="0" w:line="240" w:lineRule="auto"/>
              <w:ind w:left="113" w:right="148" w:hanging="113"/>
              <w:rPr>
                <w:rFonts w:ascii="Times New Roman" w:hAnsi="Times New Roman" w:cs="Times New Roman"/>
                <w:sz w:val="24"/>
                <w:szCs w:val="24"/>
                <w:lang w:eastAsia="lv-LV"/>
              </w:rPr>
            </w:pPr>
          </w:p>
        </w:tc>
      </w:tr>
      <w:tr w:rsidR="00AB1C18" w:rsidRPr="008A41E4">
        <w:tc>
          <w:tcPr>
            <w:tcW w:w="316" w:type="pct"/>
            <w:tcBorders>
              <w:top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rPr>
                <w:rFonts w:ascii="Times New Roman" w:hAnsi="Times New Roman" w:cs="Times New Roman"/>
                <w:sz w:val="24"/>
                <w:szCs w:val="24"/>
                <w:lang w:eastAsia="lv-LV"/>
              </w:rPr>
            </w:pPr>
            <w:r w:rsidRPr="008A41E4">
              <w:rPr>
                <w:rFonts w:ascii="Times New Roman" w:hAnsi="Times New Roman" w:cs="Times New Roman"/>
                <w:sz w:val="24"/>
                <w:szCs w:val="24"/>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tcBorders>
          </w:tcPr>
          <w:p w:rsidR="0014394D" w:rsidRPr="008A41E4" w:rsidRDefault="0014394D" w:rsidP="0014394D">
            <w:pPr>
              <w:spacing w:after="0" w:line="240" w:lineRule="auto"/>
              <w:ind w:right="148" w:hanging="30"/>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Projekts šo jomu neskar.</w:t>
            </w:r>
          </w:p>
          <w:p w:rsidR="00AB1C18" w:rsidRPr="008A41E4" w:rsidRDefault="00AB1C18" w:rsidP="00DD3719">
            <w:pPr>
              <w:spacing w:after="0" w:line="240" w:lineRule="auto"/>
              <w:ind w:left="113" w:right="148" w:hanging="113"/>
              <w:rPr>
                <w:rFonts w:ascii="Times New Roman" w:hAnsi="Times New Roman" w:cs="Times New Roman"/>
                <w:sz w:val="24"/>
                <w:szCs w:val="24"/>
                <w:lang w:eastAsia="lv-LV"/>
              </w:rPr>
            </w:pPr>
          </w:p>
        </w:tc>
      </w:tr>
      <w:tr w:rsidR="00AB1C18" w:rsidRPr="008A41E4">
        <w:tc>
          <w:tcPr>
            <w:tcW w:w="316" w:type="pct"/>
            <w:tcBorders>
              <w:top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rPr>
                <w:rFonts w:ascii="Times New Roman" w:hAnsi="Times New Roman" w:cs="Times New Roman"/>
                <w:sz w:val="24"/>
                <w:szCs w:val="24"/>
                <w:lang w:eastAsia="lv-LV"/>
              </w:rPr>
            </w:pPr>
            <w:r w:rsidRPr="008A41E4">
              <w:rPr>
                <w:rFonts w:ascii="Times New Roman" w:hAnsi="Times New Roman" w:cs="Times New Roman"/>
                <w:sz w:val="24"/>
                <w:szCs w:val="24"/>
                <w:lang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tcBorders>
          </w:tcPr>
          <w:p w:rsidR="0014394D" w:rsidRPr="008A41E4" w:rsidRDefault="0014394D" w:rsidP="0014394D">
            <w:pPr>
              <w:spacing w:after="0" w:line="240" w:lineRule="auto"/>
              <w:ind w:right="148" w:hanging="30"/>
              <w:jc w:val="both"/>
              <w:rPr>
                <w:rFonts w:ascii="Times New Roman" w:hAnsi="Times New Roman" w:cs="Times New Roman"/>
                <w:sz w:val="24"/>
                <w:szCs w:val="24"/>
                <w:lang w:eastAsia="lv-LV"/>
              </w:rPr>
            </w:pPr>
            <w:r w:rsidRPr="008A41E4">
              <w:rPr>
                <w:rFonts w:ascii="Times New Roman" w:hAnsi="Times New Roman" w:cs="Times New Roman"/>
                <w:sz w:val="24"/>
                <w:szCs w:val="24"/>
                <w:lang w:eastAsia="lv-LV"/>
              </w:rPr>
              <w:t>Projekts šo jomu neskar.</w:t>
            </w:r>
          </w:p>
          <w:p w:rsidR="00AB1C18" w:rsidRPr="008A41E4" w:rsidRDefault="00AB1C18" w:rsidP="00DD3719">
            <w:pPr>
              <w:spacing w:after="0" w:line="240" w:lineRule="auto"/>
              <w:ind w:left="113" w:right="148" w:hanging="113"/>
              <w:rPr>
                <w:rFonts w:ascii="Times New Roman" w:hAnsi="Times New Roman" w:cs="Times New Roman"/>
                <w:sz w:val="24"/>
                <w:szCs w:val="24"/>
                <w:lang w:eastAsia="lv-LV"/>
              </w:rPr>
            </w:pPr>
          </w:p>
        </w:tc>
      </w:tr>
      <w:tr w:rsidR="00AB1C18" w:rsidRPr="008A41E4">
        <w:tc>
          <w:tcPr>
            <w:tcW w:w="316" w:type="pct"/>
            <w:tcBorders>
              <w:top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rPr>
                <w:rFonts w:ascii="Times New Roman" w:hAnsi="Times New Roman" w:cs="Times New Roman"/>
                <w:sz w:val="24"/>
                <w:szCs w:val="24"/>
                <w:lang w:eastAsia="lv-LV"/>
              </w:rPr>
            </w:pPr>
            <w:r w:rsidRPr="008A41E4">
              <w:rPr>
                <w:rFonts w:ascii="Times New Roman" w:hAnsi="Times New Roman" w:cs="Times New Roman"/>
                <w:sz w:val="24"/>
                <w:szCs w:val="24"/>
                <w:lang w:eastAsia="lv-LV"/>
              </w:rPr>
              <w:t>6.</w:t>
            </w:r>
          </w:p>
        </w:tc>
        <w:tc>
          <w:tcPr>
            <w:tcW w:w="2434" w:type="pct"/>
            <w:tcBorders>
              <w:top w:val="outset" w:sz="6" w:space="0" w:color="000000"/>
              <w:left w:val="outset" w:sz="6" w:space="0" w:color="000000"/>
              <w:bottom w:val="outset" w:sz="6" w:space="0" w:color="000000"/>
              <w:right w:val="outset" w:sz="6" w:space="0" w:color="000000"/>
            </w:tcBorders>
          </w:tcPr>
          <w:p w:rsidR="00AB1C18" w:rsidRPr="008A41E4" w:rsidRDefault="00AB1C18" w:rsidP="00903CEA">
            <w:pPr>
              <w:spacing w:after="0" w:line="240" w:lineRule="auto"/>
              <w:ind w:left="150" w:right="170"/>
              <w:rPr>
                <w:rFonts w:ascii="Times New Roman" w:hAnsi="Times New Roman" w:cs="Times New Roman"/>
                <w:sz w:val="24"/>
                <w:szCs w:val="24"/>
                <w:lang w:eastAsia="lv-LV"/>
              </w:rPr>
            </w:pPr>
            <w:r w:rsidRPr="008A41E4">
              <w:rPr>
                <w:rFonts w:ascii="Times New Roman" w:hAnsi="Times New Roman" w:cs="Times New Roman"/>
                <w:sz w:val="24"/>
                <w:szCs w:val="24"/>
                <w:lang w:eastAsia="lv-LV"/>
              </w:rPr>
              <w:t>Cita informācija</w:t>
            </w:r>
          </w:p>
        </w:tc>
        <w:tc>
          <w:tcPr>
            <w:tcW w:w="2250" w:type="pct"/>
            <w:tcBorders>
              <w:top w:val="outset" w:sz="6" w:space="0" w:color="000000"/>
              <w:left w:val="outset" w:sz="6" w:space="0" w:color="000000"/>
              <w:bottom w:val="outset" w:sz="6" w:space="0" w:color="000000"/>
            </w:tcBorders>
          </w:tcPr>
          <w:p w:rsidR="00AB1C18" w:rsidRPr="008A41E4" w:rsidRDefault="00AB1C18" w:rsidP="009A08EF">
            <w:pPr>
              <w:spacing w:after="0" w:line="240" w:lineRule="auto"/>
              <w:ind w:left="113" w:right="148"/>
              <w:jc w:val="both"/>
              <w:rPr>
                <w:rFonts w:ascii="Times New Roman" w:hAnsi="Times New Roman" w:cs="Times New Roman"/>
                <w:sz w:val="24"/>
                <w:szCs w:val="24"/>
                <w:lang w:eastAsia="lv-LV"/>
              </w:rPr>
            </w:pPr>
            <w:r w:rsidRPr="008A41E4">
              <w:rPr>
                <w:rFonts w:ascii="Times New Roman" w:hAnsi="Times New Roman" w:cs="Times New Roman"/>
                <w:sz w:val="24"/>
                <w:szCs w:val="24"/>
              </w:rPr>
              <w:t xml:space="preserve">Nav </w:t>
            </w:r>
          </w:p>
        </w:tc>
      </w:tr>
    </w:tbl>
    <w:p w:rsidR="00AB1C18" w:rsidRPr="0079228C" w:rsidRDefault="00AB1C18" w:rsidP="00C97D9A">
      <w:pPr>
        <w:spacing w:after="0" w:line="20" w:lineRule="atLeast"/>
        <w:ind w:right="49" w:firstLine="709"/>
        <w:jc w:val="both"/>
        <w:rPr>
          <w:rFonts w:ascii="Times New Roman" w:hAnsi="Times New Roman" w:cs="Times New Roman"/>
          <w:sz w:val="26"/>
          <w:szCs w:val="26"/>
        </w:rPr>
      </w:pPr>
    </w:p>
    <w:p w:rsidR="00AB1C18" w:rsidRDefault="00AB1C18" w:rsidP="00C97D9A">
      <w:pPr>
        <w:spacing w:after="0" w:line="20" w:lineRule="atLeast"/>
        <w:ind w:right="49" w:firstLine="709"/>
        <w:jc w:val="both"/>
        <w:rPr>
          <w:rFonts w:ascii="Times New Roman" w:hAnsi="Times New Roman" w:cs="Times New Roman"/>
          <w:sz w:val="26"/>
          <w:szCs w:val="26"/>
        </w:rPr>
      </w:pPr>
    </w:p>
    <w:p w:rsidR="00AB1C18" w:rsidRPr="0079228C" w:rsidRDefault="00AB1C18" w:rsidP="00C97D9A">
      <w:pPr>
        <w:spacing w:after="0" w:line="20" w:lineRule="atLeast"/>
        <w:ind w:right="49" w:firstLine="709"/>
        <w:jc w:val="both"/>
        <w:rPr>
          <w:rFonts w:ascii="Times New Roman" w:hAnsi="Times New Roman" w:cs="Times New Roman"/>
          <w:sz w:val="26"/>
          <w:szCs w:val="26"/>
        </w:rPr>
      </w:pPr>
    </w:p>
    <w:p w:rsidR="002F1E13" w:rsidRDefault="002F1E13" w:rsidP="00C97D9A">
      <w:pPr>
        <w:spacing w:after="0" w:line="20" w:lineRule="atLeast"/>
        <w:ind w:right="49" w:firstLine="709"/>
        <w:jc w:val="both"/>
        <w:rPr>
          <w:rFonts w:ascii="Times New Roman" w:hAnsi="Times New Roman" w:cs="Times New Roman"/>
          <w:sz w:val="26"/>
          <w:szCs w:val="26"/>
        </w:rPr>
      </w:pPr>
      <w:r>
        <w:rPr>
          <w:rFonts w:ascii="Times New Roman" w:hAnsi="Times New Roman" w:cs="Times New Roman"/>
          <w:sz w:val="26"/>
          <w:szCs w:val="26"/>
        </w:rPr>
        <w:t>Ekonomikas ministrs,</w:t>
      </w:r>
    </w:p>
    <w:p w:rsidR="002F1E13" w:rsidRDefault="002F1E13" w:rsidP="00C97D9A">
      <w:pPr>
        <w:spacing w:after="0" w:line="20" w:lineRule="atLeast"/>
        <w:ind w:right="49" w:firstLine="709"/>
        <w:jc w:val="both"/>
        <w:rPr>
          <w:rFonts w:ascii="Times New Roman" w:hAnsi="Times New Roman" w:cs="Times New Roman"/>
          <w:sz w:val="26"/>
          <w:szCs w:val="26"/>
        </w:rPr>
      </w:pPr>
      <w:r>
        <w:rPr>
          <w:rFonts w:ascii="Times New Roman" w:hAnsi="Times New Roman" w:cs="Times New Roman"/>
          <w:sz w:val="26"/>
          <w:szCs w:val="26"/>
        </w:rPr>
        <w:t xml:space="preserve">Izglītības un zinātnes ministra </w:t>
      </w:r>
    </w:p>
    <w:p w:rsidR="00AB1C18" w:rsidRPr="0079228C" w:rsidRDefault="002F1E13" w:rsidP="00C97D9A">
      <w:pPr>
        <w:spacing w:after="0" w:line="20" w:lineRule="atLeast"/>
        <w:ind w:right="49" w:firstLine="709"/>
        <w:jc w:val="both"/>
        <w:rPr>
          <w:rFonts w:ascii="Times New Roman" w:hAnsi="Times New Roman" w:cs="Times New Roman"/>
          <w:sz w:val="26"/>
          <w:szCs w:val="26"/>
        </w:rPr>
      </w:pPr>
      <w:r>
        <w:rPr>
          <w:rFonts w:ascii="Times New Roman" w:hAnsi="Times New Roman" w:cs="Times New Roman"/>
          <w:sz w:val="26"/>
          <w:szCs w:val="26"/>
        </w:rPr>
        <w:t>pienākumu izpildītājs</w:t>
      </w:r>
      <w:r w:rsidR="00AB1C18" w:rsidRPr="0079228C">
        <w:rPr>
          <w:rFonts w:ascii="Times New Roman" w:hAnsi="Times New Roman" w:cs="Times New Roman"/>
          <w:sz w:val="26"/>
          <w:szCs w:val="26"/>
        </w:rPr>
        <w:tab/>
      </w:r>
      <w:r w:rsidR="00AB1C18" w:rsidRPr="0079228C">
        <w:rPr>
          <w:rFonts w:ascii="Times New Roman" w:hAnsi="Times New Roman" w:cs="Times New Roman"/>
          <w:sz w:val="26"/>
          <w:szCs w:val="26"/>
        </w:rPr>
        <w:tab/>
      </w:r>
      <w:r w:rsidR="00AB1C18" w:rsidRPr="0079228C">
        <w:rPr>
          <w:rFonts w:ascii="Times New Roman" w:hAnsi="Times New Roman" w:cs="Times New Roman"/>
          <w:sz w:val="26"/>
          <w:szCs w:val="26"/>
        </w:rPr>
        <w:tab/>
      </w:r>
      <w:r w:rsidR="00AB1C18" w:rsidRPr="0079228C">
        <w:rPr>
          <w:rFonts w:ascii="Times New Roman" w:hAnsi="Times New Roman" w:cs="Times New Roman"/>
          <w:sz w:val="26"/>
          <w:szCs w:val="26"/>
        </w:rPr>
        <w:tab/>
      </w:r>
      <w:r w:rsidR="00AB1C18" w:rsidRPr="0079228C">
        <w:rPr>
          <w:rFonts w:ascii="Times New Roman" w:hAnsi="Times New Roman" w:cs="Times New Roman"/>
          <w:sz w:val="26"/>
          <w:szCs w:val="26"/>
        </w:rPr>
        <w:tab/>
      </w:r>
      <w:r>
        <w:rPr>
          <w:rFonts w:ascii="Times New Roman" w:hAnsi="Times New Roman" w:cs="Times New Roman"/>
          <w:sz w:val="26"/>
          <w:szCs w:val="26"/>
        </w:rPr>
        <w:t xml:space="preserve">          </w:t>
      </w:r>
      <w:proofErr w:type="spellStart"/>
      <w:r>
        <w:rPr>
          <w:rFonts w:ascii="Times New Roman" w:hAnsi="Times New Roman" w:cs="Times New Roman"/>
          <w:sz w:val="26"/>
          <w:szCs w:val="26"/>
        </w:rPr>
        <w:t>D.Pavļuts</w:t>
      </w:r>
      <w:proofErr w:type="spellEnd"/>
    </w:p>
    <w:p w:rsidR="00AB1C18" w:rsidRPr="0079228C" w:rsidRDefault="00AB1C18" w:rsidP="00C97D9A">
      <w:pPr>
        <w:spacing w:after="0" w:line="20" w:lineRule="atLeast"/>
        <w:ind w:firstLine="709"/>
        <w:rPr>
          <w:rFonts w:ascii="Times New Roman" w:hAnsi="Times New Roman" w:cs="Times New Roman"/>
          <w:sz w:val="26"/>
          <w:szCs w:val="26"/>
        </w:rPr>
      </w:pPr>
    </w:p>
    <w:p w:rsidR="00AB1C18" w:rsidRPr="0079228C" w:rsidRDefault="00AB1C18" w:rsidP="00C97D9A">
      <w:pPr>
        <w:spacing w:after="0" w:line="20" w:lineRule="atLeast"/>
        <w:ind w:firstLine="709"/>
        <w:rPr>
          <w:rFonts w:ascii="Times New Roman" w:hAnsi="Times New Roman" w:cs="Times New Roman"/>
          <w:sz w:val="26"/>
          <w:szCs w:val="26"/>
        </w:rPr>
      </w:pPr>
    </w:p>
    <w:p w:rsidR="00AB1C18" w:rsidRPr="0079228C" w:rsidRDefault="00AB1C18" w:rsidP="0048018E">
      <w:pPr>
        <w:spacing w:after="0" w:line="240" w:lineRule="auto"/>
        <w:ind w:right="-1" w:firstLine="720"/>
        <w:jc w:val="both"/>
        <w:rPr>
          <w:rFonts w:ascii="Times New Roman" w:hAnsi="Times New Roman" w:cs="Times New Roman"/>
          <w:sz w:val="26"/>
          <w:szCs w:val="26"/>
        </w:rPr>
      </w:pPr>
      <w:r w:rsidRPr="0079228C">
        <w:rPr>
          <w:rFonts w:ascii="Times New Roman" w:hAnsi="Times New Roman" w:cs="Times New Roman"/>
          <w:sz w:val="26"/>
          <w:szCs w:val="26"/>
        </w:rPr>
        <w:t xml:space="preserve">Vizē: </w:t>
      </w:r>
    </w:p>
    <w:p w:rsidR="00024558" w:rsidRDefault="00C3518F" w:rsidP="0048018E">
      <w:pPr>
        <w:spacing w:after="0" w:line="240" w:lineRule="auto"/>
        <w:rPr>
          <w:rFonts w:ascii="Times New Roman" w:hAnsi="Times New Roman" w:cs="Times New Roman"/>
          <w:sz w:val="26"/>
          <w:szCs w:val="26"/>
        </w:rPr>
      </w:pPr>
      <w:r>
        <w:rPr>
          <w:rFonts w:ascii="Times New Roman" w:hAnsi="Times New Roman" w:cs="Times New Roman"/>
          <w:sz w:val="26"/>
          <w:szCs w:val="26"/>
        </w:rPr>
        <w:tab/>
        <w:t>Valsts sekretāra vietniece</w:t>
      </w:r>
      <w:r w:rsidR="00024558">
        <w:rPr>
          <w:rFonts w:ascii="Times New Roman" w:hAnsi="Times New Roman" w:cs="Times New Roman"/>
          <w:sz w:val="26"/>
          <w:szCs w:val="26"/>
        </w:rPr>
        <w:t>,</w:t>
      </w:r>
    </w:p>
    <w:p w:rsidR="00AB1C18" w:rsidRPr="0079228C" w:rsidRDefault="00AB1C18" w:rsidP="00024558">
      <w:pPr>
        <w:tabs>
          <w:tab w:val="left" w:pos="567"/>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sidR="00024558">
        <w:rPr>
          <w:rFonts w:ascii="Times New Roman" w:hAnsi="Times New Roman" w:cs="Times New Roman"/>
          <w:sz w:val="26"/>
          <w:szCs w:val="26"/>
        </w:rPr>
        <w:t>valsts sekretāra pienākumu izpildītāja</w:t>
      </w:r>
      <w:r>
        <w:rPr>
          <w:rFonts w:ascii="Times New Roman" w:hAnsi="Times New Roman" w:cs="Times New Roman"/>
          <w:sz w:val="26"/>
          <w:szCs w:val="26"/>
        </w:rPr>
        <w:tab/>
      </w:r>
      <w:r>
        <w:rPr>
          <w:rFonts w:ascii="Times New Roman" w:hAnsi="Times New Roman" w:cs="Times New Roman"/>
          <w:sz w:val="26"/>
          <w:szCs w:val="26"/>
        </w:rPr>
        <w:tab/>
      </w:r>
      <w:r w:rsidR="00C3518F">
        <w:rPr>
          <w:rFonts w:ascii="Times New Roman" w:hAnsi="Times New Roman" w:cs="Times New Roman"/>
          <w:sz w:val="26"/>
          <w:szCs w:val="26"/>
        </w:rPr>
        <w:t xml:space="preserve">                      L.Sīka</w:t>
      </w:r>
      <w:r>
        <w:rPr>
          <w:rFonts w:ascii="Times New Roman" w:hAnsi="Times New Roman" w:cs="Times New Roman"/>
          <w:sz w:val="26"/>
          <w:szCs w:val="26"/>
        </w:rPr>
        <w:tab/>
      </w:r>
      <w:r>
        <w:rPr>
          <w:rFonts w:ascii="Times New Roman" w:hAnsi="Times New Roman" w:cs="Times New Roman"/>
          <w:sz w:val="26"/>
          <w:szCs w:val="26"/>
        </w:rPr>
        <w:tab/>
      </w:r>
    </w:p>
    <w:p w:rsidR="00AB1C18" w:rsidRPr="0079228C" w:rsidRDefault="00AB1C18" w:rsidP="00903CEA">
      <w:pPr>
        <w:spacing w:after="0" w:line="240" w:lineRule="auto"/>
        <w:rPr>
          <w:rFonts w:ascii="Times New Roman" w:hAnsi="Times New Roman" w:cs="Times New Roman"/>
          <w:sz w:val="26"/>
          <w:szCs w:val="26"/>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AB1C18" w:rsidP="00903CEA">
      <w:pPr>
        <w:spacing w:after="0" w:line="240" w:lineRule="auto"/>
        <w:rPr>
          <w:rFonts w:ascii="Times New Roman" w:hAnsi="Times New Roman" w:cs="Times New Roman"/>
          <w:sz w:val="28"/>
          <w:szCs w:val="28"/>
        </w:rPr>
      </w:pPr>
    </w:p>
    <w:p w:rsidR="00AB1C18" w:rsidRPr="00993E9D" w:rsidRDefault="007A57A4" w:rsidP="007A57A4">
      <w:pPr>
        <w:tabs>
          <w:tab w:val="left" w:pos="510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B1C18" w:rsidRPr="00993E9D" w:rsidRDefault="00AB1C18" w:rsidP="00903CEA">
      <w:pPr>
        <w:spacing w:after="0" w:line="240" w:lineRule="auto"/>
        <w:rPr>
          <w:rFonts w:ascii="Times New Roman" w:hAnsi="Times New Roman" w:cs="Times New Roman"/>
          <w:sz w:val="28"/>
          <w:szCs w:val="28"/>
        </w:rPr>
      </w:pPr>
    </w:p>
    <w:p w:rsidR="00AB1C18" w:rsidRPr="00F84940" w:rsidRDefault="006A3433" w:rsidP="00903CEA">
      <w:pPr>
        <w:tabs>
          <w:tab w:val="center" w:pos="0"/>
        </w:tabs>
        <w:spacing w:after="0" w:line="240" w:lineRule="auto"/>
        <w:ind w:right="-108" w:firstLine="709"/>
        <w:jc w:val="both"/>
        <w:rPr>
          <w:rFonts w:ascii="Times New Roman" w:hAnsi="Times New Roman" w:cs="Times New Roman"/>
          <w:sz w:val="20"/>
          <w:szCs w:val="20"/>
        </w:rPr>
      </w:pPr>
      <w:r w:rsidRPr="00F84940">
        <w:rPr>
          <w:rFonts w:ascii="Times New Roman" w:hAnsi="Times New Roman" w:cs="Times New Roman"/>
          <w:sz w:val="20"/>
          <w:szCs w:val="20"/>
        </w:rPr>
        <w:fldChar w:fldCharType="begin"/>
      </w:r>
      <w:r w:rsidR="00AB1C18" w:rsidRPr="00F84940">
        <w:rPr>
          <w:rFonts w:ascii="Times New Roman" w:hAnsi="Times New Roman" w:cs="Times New Roman"/>
          <w:sz w:val="20"/>
          <w:szCs w:val="20"/>
        </w:rPr>
        <w:instrText xml:space="preserve"> TIME \@ "dd.MM.yyyy" </w:instrText>
      </w:r>
      <w:r w:rsidRPr="00F84940">
        <w:rPr>
          <w:rFonts w:ascii="Times New Roman" w:hAnsi="Times New Roman" w:cs="Times New Roman"/>
          <w:sz w:val="20"/>
          <w:szCs w:val="20"/>
        </w:rPr>
        <w:fldChar w:fldCharType="separate"/>
      </w:r>
      <w:r w:rsidR="00C3518F">
        <w:rPr>
          <w:rFonts w:ascii="Times New Roman" w:hAnsi="Times New Roman" w:cs="Times New Roman"/>
          <w:noProof/>
          <w:sz w:val="20"/>
          <w:szCs w:val="20"/>
        </w:rPr>
        <w:t>11.06.2012</w:t>
      </w:r>
      <w:r w:rsidRPr="00F84940">
        <w:rPr>
          <w:rFonts w:ascii="Times New Roman" w:hAnsi="Times New Roman" w:cs="Times New Roman"/>
          <w:sz w:val="20"/>
          <w:szCs w:val="20"/>
        </w:rPr>
        <w:fldChar w:fldCharType="end"/>
      </w:r>
      <w:r w:rsidR="00AB1C18" w:rsidRPr="00F84940">
        <w:rPr>
          <w:rFonts w:ascii="Times New Roman" w:hAnsi="Times New Roman" w:cs="Times New Roman"/>
          <w:sz w:val="20"/>
          <w:szCs w:val="20"/>
        </w:rPr>
        <w:t xml:space="preserve"> </w:t>
      </w:r>
      <w:r w:rsidR="00AB1C18">
        <w:rPr>
          <w:rFonts w:ascii="Times New Roman" w:hAnsi="Times New Roman" w:cs="Times New Roman"/>
          <w:sz w:val="20"/>
          <w:szCs w:val="20"/>
        </w:rPr>
        <w:t xml:space="preserve"> 9:58</w:t>
      </w:r>
    </w:p>
    <w:p w:rsidR="00AB1C18" w:rsidRPr="00F84940" w:rsidRDefault="008A41E4" w:rsidP="00903CEA">
      <w:pPr>
        <w:tabs>
          <w:tab w:val="center" w:pos="0"/>
        </w:tabs>
        <w:spacing w:after="0" w:line="240" w:lineRule="auto"/>
        <w:ind w:right="-108" w:firstLine="709"/>
        <w:jc w:val="both"/>
        <w:rPr>
          <w:rFonts w:ascii="Times New Roman" w:hAnsi="Times New Roman" w:cs="Times New Roman"/>
          <w:sz w:val="20"/>
          <w:szCs w:val="20"/>
        </w:rPr>
      </w:pPr>
      <w:r>
        <w:rPr>
          <w:rFonts w:ascii="Times New Roman" w:hAnsi="Times New Roman" w:cs="Times New Roman"/>
          <w:sz w:val="20"/>
          <w:szCs w:val="20"/>
        </w:rPr>
        <w:t>1</w:t>
      </w:r>
      <w:r w:rsidR="002F1E13">
        <w:rPr>
          <w:rFonts w:ascii="Times New Roman" w:hAnsi="Times New Roman" w:cs="Times New Roman"/>
          <w:sz w:val="20"/>
          <w:szCs w:val="20"/>
        </w:rPr>
        <w:t>293</w:t>
      </w:r>
    </w:p>
    <w:p w:rsidR="00AB1C18" w:rsidRPr="00F84940" w:rsidRDefault="00A11F85" w:rsidP="00903CEA">
      <w:pPr>
        <w:tabs>
          <w:tab w:val="center" w:pos="0"/>
        </w:tabs>
        <w:spacing w:after="0" w:line="240" w:lineRule="auto"/>
        <w:ind w:right="-108" w:firstLine="709"/>
        <w:jc w:val="both"/>
        <w:rPr>
          <w:rFonts w:ascii="Times New Roman" w:hAnsi="Times New Roman" w:cs="Times New Roman"/>
          <w:sz w:val="20"/>
          <w:szCs w:val="20"/>
        </w:rPr>
      </w:pPr>
      <w:r>
        <w:rPr>
          <w:rFonts w:ascii="Times New Roman" w:hAnsi="Times New Roman" w:cs="Times New Roman"/>
          <w:sz w:val="20"/>
          <w:szCs w:val="20"/>
        </w:rPr>
        <w:t>I.</w:t>
      </w:r>
      <w:r w:rsidR="0014394D">
        <w:rPr>
          <w:rFonts w:ascii="Times New Roman" w:hAnsi="Times New Roman" w:cs="Times New Roman"/>
          <w:sz w:val="20"/>
          <w:szCs w:val="20"/>
        </w:rPr>
        <w:t>Kārkliņa</w:t>
      </w:r>
    </w:p>
    <w:p w:rsidR="00AB1C18" w:rsidRPr="00F84940" w:rsidRDefault="00AB1C18" w:rsidP="00903CEA">
      <w:pPr>
        <w:tabs>
          <w:tab w:val="center" w:pos="0"/>
        </w:tabs>
        <w:spacing w:after="0" w:line="240" w:lineRule="auto"/>
        <w:ind w:right="-108" w:firstLine="709"/>
        <w:jc w:val="both"/>
        <w:rPr>
          <w:rFonts w:ascii="Times New Roman" w:hAnsi="Times New Roman" w:cs="Times New Roman"/>
          <w:sz w:val="20"/>
          <w:szCs w:val="20"/>
        </w:rPr>
      </w:pPr>
      <w:r w:rsidRPr="00F84940">
        <w:rPr>
          <w:rFonts w:ascii="Times New Roman" w:hAnsi="Times New Roman" w:cs="Times New Roman"/>
          <w:sz w:val="20"/>
          <w:szCs w:val="20"/>
        </w:rPr>
        <w:t>6704</w:t>
      </w:r>
      <w:r w:rsidR="0014394D">
        <w:rPr>
          <w:rFonts w:ascii="Times New Roman" w:hAnsi="Times New Roman" w:cs="Times New Roman"/>
          <w:sz w:val="20"/>
          <w:szCs w:val="20"/>
        </w:rPr>
        <w:t>7977, ilze.karklina</w:t>
      </w:r>
      <w:r w:rsidR="00A11F85">
        <w:rPr>
          <w:rFonts w:ascii="Times New Roman" w:hAnsi="Times New Roman" w:cs="Times New Roman"/>
          <w:sz w:val="20"/>
          <w:szCs w:val="20"/>
        </w:rPr>
        <w:t>@izm.gov.lv</w:t>
      </w:r>
    </w:p>
    <w:sectPr w:rsidR="00AB1C18" w:rsidRPr="00F84940" w:rsidSect="00DF06E1">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7D" w:rsidRDefault="0030097D" w:rsidP="00AB4555">
      <w:pPr>
        <w:spacing w:after="0" w:line="240" w:lineRule="auto"/>
      </w:pPr>
      <w:r>
        <w:separator/>
      </w:r>
    </w:p>
  </w:endnote>
  <w:endnote w:type="continuationSeparator" w:id="0">
    <w:p w:rsidR="0030097D" w:rsidRDefault="0030097D"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Pr="00631605" w:rsidRDefault="00A422B3" w:rsidP="009F2B2B">
    <w:pPr>
      <w:pStyle w:val="Footer"/>
      <w:jc w:val="both"/>
    </w:pPr>
    <w:r>
      <w:rPr>
        <w:rFonts w:ascii="Times New Roman" w:hAnsi="Times New Roman" w:cs="Times New Roman"/>
        <w:sz w:val="24"/>
        <w:szCs w:val="24"/>
      </w:rPr>
      <w:t>IZMAnot_11</w:t>
    </w:r>
    <w:r w:rsidR="00B861E2">
      <w:rPr>
        <w:rFonts w:ascii="Times New Roman" w:hAnsi="Times New Roman" w:cs="Times New Roman"/>
        <w:sz w:val="24"/>
        <w:szCs w:val="24"/>
      </w:rPr>
      <w:t>06</w:t>
    </w:r>
    <w:r w:rsidR="001909C0" w:rsidRPr="001909C0">
      <w:rPr>
        <w:rFonts w:ascii="Times New Roman" w:hAnsi="Times New Roman" w:cs="Times New Roman"/>
        <w:sz w:val="24"/>
        <w:szCs w:val="24"/>
      </w:rPr>
      <w:t>12</w:t>
    </w:r>
    <w:r w:rsidR="001909C0">
      <w:rPr>
        <w:rFonts w:ascii="Times New Roman" w:hAnsi="Times New Roman" w:cs="Times New Roman"/>
        <w:sz w:val="24"/>
        <w:szCs w:val="24"/>
      </w:rPr>
      <w:t>_fin</w:t>
    </w:r>
    <w:r w:rsidR="001909C0" w:rsidRPr="001909C0">
      <w:rPr>
        <w:rFonts w:ascii="Times New Roman" w:hAnsi="Times New Roman" w:cs="Times New Roman"/>
        <w:sz w:val="24"/>
        <w:szCs w:val="24"/>
      </w:rPr>
      <w:t xml:space="preserve">; </w:t>
    </w:r>
    <w:r w:rsidR="001909C0" w:rsidRPr="001909C0">
      <w:rPr>
        <w:rFonts w:ascii="Times New Roman" w:hAnsi="Times New Roman"/>
        <w:sz w:val="24"/>
        <w:szCs w:val="24"/>
      </w:rPr>
      <w:t xml:space="preserve">Par Ministru kabineta 2012.gada 13. marta sēdes </w:t>
    </w:r>
    <w:proofErr w:type="spellStart"/>
    <w:r w:rsidR="001909C0" w:rsidRPr="001909C0">
      <w:rPr>
        <w:rFonts w:ascii="Times New Roman" w:hAnsi="Times New Roman"/>
        <w:sz w:val="24"/>
        <w:szCs w:val="24"/>
      </w:rPr>
      <w:t>protokollēmuma</w:t>
    </w:r>
    <w:proofErr w:type="spellEnd"/>
    <w:r w:rsidR="001909C0" w:rsidRPr="001909C0">
      <w:rPr>
        <w:rFonts w:ascii="Times New Roman" w:hAnsi="Times New Roman"/>
        <w:sz w:val="24"/>
        <w:szCs w:val="24"/>
      </w:rPr>
      <w:t xml:space="preserve"> (prot. Nr.14 32.§) „Informatīvais ziņojums „Par darbības programmas „Infrastruktūra un pakalpojumi” papildinājuma 3.1.1.1.aktivitātes „Mācību aprīkojuma modernizācija un infrastruktūras uzlabošana profesionālās izglītības programmu </w:t>
    </w:r>
    <w:proofErr w:type="spellStart"/>
    <w:r w:rsidR="001909C0" w:rsidRPr="001909C0">
      <w:rPr>
        <w:rFonts w:ascii="Times New Roman" w:hAnsi="Times New Roman"/>
        <w:sz w:val="24"/>
        <w:szCs w:val="24"/>
      </w:rPr>
      <w:t>īstenošanai”ieviešanu</w:t>
    </w:r>
    <w:proofErr w:type="spellEnd"/>
    <w:r w:rsidR="001909C0" w:rsidRPr="001909C0">
      <w:rPr>
        <w:rFonts w:ascii="Times New Roman" w:hAnsi="Times New Roman"/>
        <w:sz w:val="24"/>
        <w:szCs w:val="24"/>
      </w:rPr>
      <w:t>”” 8.punktā dotā uzdevuma izpildi</w:t>
    </w:r>
    <w:r w:rsidR="001909C0">
      <w:rPr>
        <w:rFonts w:ascii="Times New Roman" w:hAnsi="Times New Roman"/>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C0" w:rsidRPr="001909C0" w:rsidRDefault="00A422B3" w:rsidP="001909C0">
    <w:pPr>
      <w:spacing w:after="0" w:line="240" w:lineRule="auto"/>
      <w:jc w:val="both"/>
      <w:rPr>
        <w:rFonts w:ascii="Times New Roman" w:hAnsi="Times New Roman"/>
        <w:sz w:val="24"/>
        <w:szCs w:val="24"/>
      </w:rPr>
    </w:pPr>
    <w:r>
      <w:rPr>
        <w:rFonts w:ascii="Times New Roman" w:hAnsi="Times New Roman" w:cs="Times New Roman"/>
        <w:sz w:val="24"/>
        <w:szCs w:val="24"/>
      </w:rPr>
      <w:t>IZMAnot_11</w:t>
    </w:r>
    <w:r w:rsidR="00B861E2">
      <w:rPr>
        <w:rFonts w:ascii="Times New Roman" w:hAnsi="Times New Roman" w:cs="Times New Roman"/>
        <w:sz w:val="24"/>
        <w:szCs w:val="24"/>
      </w:rPr>
      <w:t>06</w:t>
    </w:r>
    <w:r w:rsidR="00AB1C18" w:rsidRPr="001909C0">
      <w:rPr>
        <w:rFonts w:ascii="Times New Roman" w:hAnsi="Times New Roman" w:cs="Times New Roman"/>
        <w:sz w:val="24"/>
        <w:szCs w:val="24"/>
      </w:rPr>
      <w:t>12</w:t>
    </w:r>
    <w:r w:rsidR="001909C0">
      <w:rPr>
        <w:rFonts w:ascii="Times New Roman" w:hAnsi="Times New Roman" w:cs="Times New Roman"/>
        <w:sz w:val="24"/>
        <w:szCs w:val="24"/>
      </w:rPr>
      <w:t>_fin</w:t>
    </w:r>
    <w:r w:rsidR="00AB1C18" w:rsidRPr="001909C0">
      <w:rPr>
        <w:rFonts w:ascii="Times New Roman" w:hAnsi="Times New Roman" w:cs="Times New Roman"/>
        <w:sz w:val="24"/>
        <w:szCs w:val="24"/>
      </w:rPr>
      <w:t xml:space="preserve">; </w:t>
    </w:r>
    <w:r w:rsidR="001909C0" w:rsidRPr="001909C0">
      <w:rPr>
        <w:rFonts w:ascii="Times New Roman" w:hAnsi="Times New Roman"/>
        <w:sz w:val="24"/>
        <w:szCs w:val="24"/>
      </w:rPr>
      <w:t xml:space="preserve">Par Ministru kabineta 2012.gada 13. marta sēdes </w:t>
    </w:r>
    <w:proofErr w:type="spellStart"/>
    <w:r w:rsidR="001909C0" w:rsidRPr="001909C0">
      <w:rPr>
        <w:rFonts w:ascii="Times New Roman" w:hAnsi="Times New Roman"/>
        <w:sz w:val="24"/>
        <w:szCs w:val="24"/>
      </w:rPr>
      <w:t>protokollēmuma</w:t>
    </w:r>
    <w:proofErr w:type="spellEnd"/>
    <w:r w:rsidR="001909C0" w:rsidRPr="001909C0">
      <w:rPr>
        <w:rFonts w:ascii="Times New Roman" w:hAnsi="Times New Roman"/>
        <w:sz w:val="24"/>
        <w:szCs w:val="24"/>
      </w:rPr>
      <w:t xml:space="preserve"> (prot. Nr.14 32.§) „Informatīvais ziņojums „Par darbības programmas „Infrastruktūra un pakalpojumi” papildinājuma 3.1.1.1.aktivitātes „Mācību aprīkojuma modernizācija un infrastruktūras uzlabošana profesionālās izglītības programmu </w:t>
    </w:r>
    <w:proofErr w:type="spellStart"/>
    <w:r w:rsidR="001909C0" w:rsidRPr="001909C0">
      <w:rPr>
        <w:rFonts w:ascii="Times New Roman" w:hAnsi="Times New Roman"/>
        <w:sz w:val="24"/>
        <w:szCs w:val="24"/>
      </w:rPr>
      <w:t>īstenošanai”ieviešanu</w:t>
    </w:r>
    <w:proofErr w:type="spellEnd"/>
    <w:r w:rsidR="001909C0" w:rsidRPr="001909C0">
      <w:rPr>
        <w:rFonts w:ascii="Times New Roman" w:hAnsi="Times New Roman"/>
        <w:sz w:val="24"/>
        <w:szCs w:val="24"/>
      </w:rPr>
      <w:t>”” 8.punktā dotā uzdevuma izpildi</w:t>
    </w:r>
    <w:r w:rsidR="001909C0">
      <w:rPr>
        <w:rFonts w:ascii="Times New Roman" w:hAnsi="Times New Roman"/>
        <w:sz w:val="24"/>
        <w:szCs w:val="24"/>
      </w:rPr>
      <w:t xml:space="preserve"> (anotācija)</w:t>
    </w:r>
  </w:p>
  <w:p w:rsidR="00AB1C18" w:rsidRPr="001909C0" w:rsidRDefault="001909C0" w:rsidP="001909C0">
    <w:pPr>
      <w:pStyle w:val="Footer"/>
      <w:tabs>
        <w:tab w:val="clear" w:pos="8306"/>
        <w:tab w:val="right" w:pos="9072"/>
      </w:tabs>
      <w:jc w:val="both"/>
      <w:rPr>
        <w:rFonts w:ascii="Times New Roman" w:hAnsi="Times New Roman" w:cs="Times New Roman"/>
        <w:sz w:val="24"/>
        <w:szCs w:val="24"/>
      </w:rPr>
    </w:pPr>
    <w:r w:rsidRPr="001909C0">
      <w:rPr>
        <w:bCs/>
        <w:sz w:val="26"/>
        <w:szCs w:val="26"/>
      </w:rPr>
      <w:t xml:space="preserve"> </w:t>
    </w:r>
  </w:p>
  <w:p w:rsidR="00AB1C18" w:rsidRPr="008E13AF" w:rsidRDefault="00AB1C18" w:rsidP="008E1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7D" w:rsidRDefault="0030097D" w:rsidP="00AB4555">
      <w:pPr>
        <w:spacing w:after="0" w:line="240" w:lineRule="auto"/>
      </w:pPr>
      <w:r>
        <w:separator/>
      </w:r>
    </w:p>
  </w:footnote>
  <w:footnote w:type="continuationSeparator" w:id="0">
    <w:p w:rsidR="0030097D" w:rsidRDefault="0030097D"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18" w:rsidRPr="00FD7B17" w:rsidRDefault="006A3433">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AB1C1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C3518F">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p w:rsidR="00AB1C18" w:rsidRDefault="00AB1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5ABD"/>
    <w:multiLevelType w:val="hybridMultilevel"/>
    <w:tmpl w:val="B8F642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C64B4E"/>
    <w:multiLevelType w:val="hybridMultilevel"/>
    <w:tmpl w:val="60CABAC0"/>
    <w:lvl w:ilvl="0" w:tplc="F462D7E8">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4A4F7DBE"/>
    <w:multiLevelType w:val="hybridMultilevel"/>
    <w:tmpl w:val="822A050A"/>
    <w:lvl w:ilvl="0" w:tplc="9A02E12A">
      <w:start w:val="1"/>
      <w:numFmt w:val="decimal"/>
      <w:lvlText w:val="%1."/>
      <w:lvlJc w:val="left"/>
      <w:pPr>
        <w:ind w:left="1210" w:hanging="360"/>
      </w:pPr>
      <w:rPr>
        <w:rFonts w:hint="default"/>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start w:val="1"/>
      <w:numFmt w:val="decimal"/>
      <w:lvlText w:val="%4."/>
      <w:lvlJc w:val="left"/>
      <w:pPr>
        <w:ind w:left="3370" w:hanging="360"/>
      </w:pPr>
    </w:lvl>
    <w:lvl w:ilvl="4" w:tplc="04260019">
      <w:start w:val="1"/>
      <w:numFmt w:val="lowerLetter"/>
      <w:lvlText w:val="%5."/>
      <w:lvlJc w:val="left"/>
      <w:pPr>
        <w:ind w:left="4090" w:hanging="360"/>
      </w:pPr>
    </w:lvl>
    <w:lvl w:ilvl="5" w:tplc="0426001B">
      <w:start w:val="1"/>
      <w:numFmt w:val="lowerRoman"/>
      <w:lvlText w:val="%6."/>
      <w:lvlJc w:val="right"/>
      <w:pPr>
        <w:ind w:left="4810" w:hanging="180"/>
      </w:pPr>
    </w:lvl>
    <w:lvl w:ilvl="6" w:tplc="0426000F">
      <w:start w:val="1"/>
      <w:numFmt w:val="decimal"/>
      <w:lvlText w:val="%7."/>
      <w:lvlJc w:val="left"/>
      <w:pPr>
        <w:ind w:left="5530" w:hanging="360"/>
      </w:pPr>
    </w:lvl>
    <w:lvl w:ilvl="7" w:tplc="04260019">
      <w:start w:val="1"/>
      <w:numFmt w:val="lowerLetter"/>
      <w:lvlText w:val="%8."/>
      <w:lvlJc w:val="left"/>
      <w:pPr>
        <w:ind w:left="6250" w:hanging="360"/>
      </w:pPr>
    </w:lvl>
    <w:lvl w:ilvl="8" w:tplc="0426001B">
      <w:start w:val="1"/>
      <w:numFmt w:val="lowerRoman"/>
      <w:lvlText w:val="%9."/>
      <w:lvlJc w:val="right"/>
      <w:pPr>
        <w:ind w:left="6970" w:hanging="180"/>
      </w:pPr>
    </w:lvl>
  </w:abstractNum>
  <w:abstractNum w:abstractNumId="3">
    <w:nsid w:val="591F52EB"/>
    <w:multiLevelType w:val="hybridMultilevel"/>
    <w:tmpl w:val="4EF69E58"/>
    <w:lvl w:ilvl="0" w:tplc="A4887E7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62A81AC3"/>
    <w:multiLevelType w:val="hybridMultilevel"/>
    <w:tmpl w:val="B0CAAB04"/>
    <w:lvl w:ilvl="0" w:tplc="4C0828C4">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6CC342E8"/>
    <w:multiLevelType w:val="hybridMultilevel"/>
    <w:tmpl w:val="F9A4BC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A23537"/>
    <w:multiLevelType w:val="hybridMultilevel"/>
    <w:tmpl w:val="F01E53AA"/>
    <w:lvl w:ilvl="0" w:tplc="204205E6">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79A15894"/>
    <w:multiLevelType w:val="hybridMultilevel"/>
    <w:tmpl w:val="6232A08C"/>
    <w:lvl w:ilvl="0" w:tplc="B5E4847A">
      <w:start w:val="1"/>
      <w:numFmt w:val="decimal"/>
      <w:lvlText w:val="%1."/>
      <w:lvlJc w:val="left"/>
      <w:pPr>
        <w:tabs>
          <w:tab w:val="num" w:pos="720"/>
        </w:tabs>
        <w:ind w:left="720"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7EF25C14"/>
    <w:multiLevelType w:val="multilevel"/>
    <w:tmpl w:val="FC641C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7"/>
  </w:num>
  <w:num w:numId="3">
    <w:abstractNumId w:val="6"/>
  </w:num>
  <w:num w:numId="4">
    <w:abstractNumId w:val="8"/>
  </w:num>
  <w:num w:numId="5">
    <w:abstractNumId w:val="4"/>
  </w:num>
  <w:num w:numId="6">
    <w:abstractNumId w:val="2"/>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E8399E"/>
    <w:rsid w:val="000002F6"/>
    <w:rsid w:val="00004670"/>
    <w:rsid w:val="00006B6B"/>
    <w:rsid w:val="0001068D"/>
    <w:rsid w:val="000111C8"/>
    <w:rsid w:val="0001179B"/>
    <w:rsid w:val="00012911"/>
    <w:rsid w:val="00013B3B"/>
    <w:rsid w:val="000207E8"/>
    <w:rsid w:val="0002366D"/>
    <w:rsid w:val="00023769"/>
    <w:rsid w:val="00023BE8"/>
    <w:rsid w:val="00023CE6"/>
    <w:rsid w:val="00024558"/>
    <w:rsid w:val="000256FF"/>
    <w:rsid w:val="0002748B"/>
    <w:rsid w:val="00027F96"/>
    <w:rsid w:val="00030F5A"/>
    <w:rsid w:val="00031157"/>
    <w:rsid w:val="00031712"/>
    <w:rsid w:val="00031824"/>
    <w:rsid w:val="00031C87"/>
    <w:rsid w:val="00032F99"/>
    <w:rsid w:val="0003656C"/>
    <w:rsid w:val="00040C59"/>
    <w:rsid w:val="0004101D"/>
    <w:rsid w:val="00045477"/>
    <w:rsid w:val="0004596D"/>
    <w:rsid w:val="000521A9"/>
    <w:rsid w:val="0005255F"/>
    <w:rsid w:val="000528E2"/>
    <w:rsid w:val="000531BF"/>
    <w:rsid w:val="000532D1"/>
    <w:rsid w:val="00056A9E"/>
    <w:rsid w:val="000573F1"/>
    <w:rsid w:val="00066A91"/>
    <w:rsid w:val="00066B3E"/>
    <w:rsid w:val="00071F2A"/>
    <w:rsid w:val="00072262"/>
    <w:rsid w:val="00072569"/>
    <w:rsid w:val="00072BD5"/>
    <w:rsid w:val="00072C5D"/>
    <w:rsid w:val="00077349"/>
    <w:rsid w:val="0007798E"/>
    <w:rsid w:val="0008299F"/>
    <w:rsid w:val="000829B0"/>
    <w:rsid w:val="00084486"/>
    <w:rsid w:val="000859B3"/>
    <w:rsid w:val="00087922"/>
    <w:rsid w:val="000921E3"/>
    <w:rsid w:val="00094B72"/>
    <w:rsid w:val="00095F2A"/>
    <w:rsid w:val="00096AA2"/>
    <w:rsid w:val="000A0440"/>
    <w:rsid w:val="000A2C2E"/>
    <w:rsid w:val="000A447E"/>
    <w:rsid w:val="000A590B"/>
    <w:rsid w:val="000A7D2D"/>
    <w:rsid w:val="000B1E57"/>
    <w:rsid w:val="000B7C32"/>
    <w:rsid w:val="000C00BF"/>
    <w:rsid w:val="000C13CF"/>
    <w:rsid w:val="000C22B3"/>
    <w:rsid w:val="000C22E8"/>
    <w:rsid w:val="000C23A3"/>
    <w:rsid w:val="000C3AD7"/>
    <w:rsid w:val="000C50E1"/>
    <w:rsid w:val="000C656E"/>
    <w:rsid w:val="000C6D5D"/>
    <w:rsid w:val="000D0F1C"/>
    <w:rsid w:val="000D2949"/>
    <w:rsid w:val="000E0B42"/>
    <w:rsid w:val="000E2C73"/>
    <w:rsid w:val="000E315F"/>
    <w:rsid w:val="000E3E85"/>
    <w:rsid w:val="000E5EB8"/>
    <w:rsid w:val="000E622C"/>
    <w:rsid w:val="000E6290"/>
    <w:rsid w:val="000F5F7C"/>
    <w:rsid w:val="000F6242"/>
    <w:rsid w:val="000F77CA"/>
    <w:rsid w:val="001020C3"/>
    <w:rsid w:val="00104488"/>
    <w:rsid w:val="0010638D"/>
    <w:rsid w:val="00113542"/>
    <w:rsid w:val="0011375D"/>
    <w:rsid w:val="00113E92"/>
    <w:rsid w:val="0011797C"/>
    <w:rsid w:val="00122C80"/>
    <w:rsid w:val="00125895"/>
    <w:rsid w:val="00132168"/>
    <w:rsid w:val="00134464"/>
    <w:rsid w:val="001345EE"/>
    <w:rsid w:val="00134F8A"/>
    <w:rsid w:val="00135080"/>
    <w:rsid w:val="001368A7"/>
    <w:rsid w:val="00137231"/>
    <w:rsid w:val="0013728B"/>
    <w:rsid w:val="0014394D"/>
    <w:rsid w:val="00145282"/>
    <w:rsid w:val="00147740"/>
    <w:rsid w:val="00152F49"/>
    <w:rsid w:val="001546E9"/>
    <w:rsid w:val="00156130"/>
    <w:rsid w:val="00156263"/>
    <w:rsid w:val="001563FE"/>
    <w:rsid w:val="00156E18"/>
    <w:rsid w:val="001615A0"/>
    <w:rsid w:val="001636D0"/>
    <w:rsid w:val="00163F52"/>
    <w:rsid w:val="001653EA"/>
    <w:rsid w:val="00165832"/>
    <w:rsid w:val="00171BC4"/>
    <w:rsid w:val="00175A54"/>
    <w:rsid w:val="00176D00"/>
    <w:rsid w:val="001771F1"/>
    <w:rsid w:val="00182771"/>
    <w:rsid w:val="001848FA"/>
    <w:rsid w:val="00185411"/>
    <w:rsid w:val="00190818"/>
    <w:rsid w:val="001909C0"/>
    <w:rsid w:val="001914BC"/>
    <w:rsid w:val="00191E68"/>
    <w:rsid w:val="00192631"/>
    <w:rsid w:val="00193348"/>
    <w:rsid w:val="00193DF9"/>
    <w:rsid w:val="00196F5D"/>
    <w:rsid w:val="001A0A1A"/>
    <w:rsid w:val="001A2297"/>
    <w:rsid w:val="001A765D"/>
    <w:rsid w:val="001B2BB5"/>
    <w:rsid w:val="001B43F9"/>
    <w:rsid w:val="001B7E41"/>
    <w:rsid w:val="001C1339"/>
    <w:rsid w:val="001C16E3"/>
    <w:rsid w:val="001C3284"/>
    <w:rsid w:val="001C39AD"/>
    <w:rsid w:val="001C68B6"/>
    <w:rsid w:val="001C6D06"/>
    <w:rsid w:val="001D0C7D"/>
    <w:rsid w:val="001D3EB4"/>
    <w:rsid w:val="001D44C3"/>
    <w:rsid w:val="001D6DD2"/>
    <w:rsid w:val="001E097C"/>
    <w:rsid w:val="001E2B2A"/>
    <w:rsid w:val="001E4F3F"/>
    <w:rsid w:val="001E5B50"/>
    <w:rsid w:val="001E61DE"/>
    <w:rsid w:val="001E6342"/>
    <w:rsid w:val="001E7992"/>
    <w:rsid w:val="001F2203"/>
    <w:rsid w:val="001F2605"/>
    <w:rsid w:val="001F30B4"/>
    <w:rsid w:val="001F4C1B"/>
    <w:rsid w:val="001F7796"/>
    <w:rsid w:val="00200592"/>
    <w:rsid w:val="00202C8D"/>
    <w:rsid w:val="00203782"/>
    <w:rsid w:val="0020439F"/>
    <w:rsid w:val="00205F44"/>
    <w:rsid w:val="00207F68"/>
    <w:rsid w:val="00210DA2"/>
    <w:rsid w:val="002118F1"/>
    <w:rsid w:val="00212A44"/>
    <w:rsid w:val="00216B55"/>
    <w:rsid w:val="0021729A"/>
    <w:rsid w:val="00222F4A"/>
    <w:rsid w:val="00224232"/>
    <w:rsid w:val="00230948"/>
    <w:rsid w:val="00234A60"/>
    <w:rsid w:val="00234ECD"/>
    <w:rsid w:val="00240BA9"/>
    <w:rsid w:val="0024164B"/>
    <w:rsid w:val="00245657"/>
    <w:rsid w:val="0024585F"/>
    <w:rsid w:val="00245D72"/>
    <w:rsid w:val="00245F6D"/>
    <w:rsid w:val="00247312"/>
    <w:rsid w:val="00247D8B"/>
    <w:rsid w:val="0025043A"/>
    <w:rsid w:val="00251BA6"/>
    <w:rsid w:val="00255451"/>
    <w:rsid w:val="00257E01"/>
    <w:rsid w:val="0026256F"/>
    <w:rsid w:val="002638F0"/>
    <w:rsid w:val="00266D1B"/>
    <w:rsid w:val="002676CA"/>
    <w:rsid w:val="002713CB"/>
    <w:rsid w:val="002722B6"/>
    <w:rsid w:val="002730C3"/>
    <w:rsid w:val="00275C85"/>
    <w:rsid w:val="00276C75"/>
    <w:rsid w:val="0028410B"/>
    <w:rsid w:val="00285C72"/>
    <w:rsid w:val="00286965"/>
    <w:rsid w:val="002913A2"/>
    <w:rsid w:val="002955E3"/>
    <w:rsid w:val="00297895"/>
    <w:rsid w:val="00297FE4"/>
    <w:rsid w:val="002A5EF4"/>
    <w:rsid w:val="002B02C9"/>
    <w:rsid w:val="002B42F3"/>
    <w:rsid w:val="002B5428"/>
    <w:rsid w:val="002C382C"/>
    <w:rsid w:val="002C45A6"/>
    <w:rsid w:val="002C4DEE"/>
    <w:rsid w:val="002C59B1"/>
    <w:rsid w:val="002D09D7"/>
    <w:rsid w:val="002D24A2"/>
    <w:rsid w:val="002D4CA1"/>
    <w:rsid w:val="002D6DA5"/>
    <w:rsid w:val="002E0A4A"/>
    <w:rsid w:val="002E2592"/>
    <w:rsid w:val="002E271B"/>
    <w:rsid w:val="002E7513"/>
    <w:rsid w:val="002F120A"/>
    <w:rsid w:val="002F1E13"/>
    <w:rsid w:val="002F49F4"/>
    <w:rsid w:val="002F65A6"/>
    <w:rsid w:val="002F78EF"/>
    <w:rsid w:val="002F7BA6"/>
    <w:rsid w:val="0030097D"/>
    <w:rsid w:val="003042EE"/>
    <w:rsid w:val="00304987"/>
    <w:rsid w:val="00307846"/>
    <w:rsid w:val="003129F8"/>
    <w:rsid w:val="00315BD7"/>
    <w:rsid w:val="00315C35"/>
    <w:rsid w:val="00316E1C"/>
    <w:rsid w:val="00317DA2"/>
    <w:rsid w:val="00321177"/>
    <w:rsid w:val="003219C6"/>
    <w:rsid w:val="003241A9"/>
    <w:rsid w:val="00325A6F"/>
    <w:rsid w:val="0032700C"/>
    <w:rsid w:val="00327789"/>
    <w:rsid w:val="003279EF"/>
    <w:rsid w:val="003309F1"/>
    <w:rsid w:val="00331BDF"/>
    <w:rsid w:val="00332554"/>
    <w:rsid w:val="003337CC"/>
    <w:rsid w:val="00335BBC"/>
    <w:rsid w:val="003365D5"/>
    <w:rsid w:val="00344D76"/>
    <w:rsid w:val="0035198D"/>
    <w:rsid w:val="00355399"/>
    <w:rsid w:val="003555DA"/>
    <w:rsid w:val="003559C6"/>
    <w:rsid w:val="00356825"/>
    <w:rsid w:val="0036017A"/>
    <w:rsid w:val="00361FC8"/>
    <w:rsid w:val="00364437"/>
    <w:rsid w:val="00365594"/>
    <w:rsid w:val="00365B5C"/>
    <w:rsid w:val="00365D3F"/>
    <w:rsid w:val="003664D3"/>
    <w:rsid w:val="00371F66"/>
    <w:rsid w:val="00372309"/>
    <w:rsid w:val="00374FEE"/>
    <w:rsid w:val="003760A7"/>
    <w:rsid w:val="003837D3"/>
    <w:rsid w:val="00386FCA"/>
    <w:rsid w:val="003879A2"/>
    <w:rsid w:val="00387E4C"/>
    <w:rsid w:val="00390EB4"/>
    <w:rsid w:val="003924BE"/>
    <w:rsid w:val="003933D0"/>
    <w:rsid w:val="003953F5"/>
    <w:rsid w:val="00396722"/>
    <w:rsid w:val="003A1950"/>
    <w:rsid w:val="003A4313"/>
    <w:rsid w:val="003A61EB"/>
    <w:rsid w:val="003A6510"/>
    <w:rsid w:val="003B497A"/>
    <w:rsid w:val="003B4E16"/>
    <w:rsid w:val="003B623E"/>
    <w:rsid w:val="003B7B65"/>
    <w:rsid w:val="003C0F37"/>
    <w:rsid w:val="003C5349"/>
    <w:rsid w:val="003C66D4"/>
    <w:rsid w:val="003C6F75"/>
    <w:rsid w:val="003C7A3A"/>
    <w:rsid w:val="003D09CB"/>
    <w:rsid w:val="003D1467"/>
    <w:rsid w:val="003D6D12"/>
    <w:rsid w:val="003E69BC"/>
    <w:rsid w:val="003E7407"/>
    <w:rsid w:val="003F17F8"/>
    <w:rsid w:val="003F215D"/>
    <w:rsid w:val="003F2C6D"/>
    <w:rsid w:val="003F2F50"/>
    <w:rsid w:val="003F6B57"/>
    <w:rsid w:val="003F75FC"/>
    <w:rsid w:val="003F793B"/>
    <w:rsid w:val="00403B61"/>
    <w:rsid w:val="004060C0"/>
    <w:rsid w:val="0040763D"/>
    <w:rsid w:val="00407DE3"/>
    <w:rsid w:val="00411732"/>
    <w:rsid w:val="00411A63"/>
    <w:rsid w:val="00412017"/>
    <w:rsid w:val="0041313B"/>
    <w:rsid w:val="00413B7F"/>
    <w:rsid w:val="00420A60"/>
    <w:rsid w:val="00421627"/>
    <w:rsid w:val="0042514C"/>
    <w:rsid w:val="004254E8"/>
    <w:rsid w:val="00427329"/>
    <w:rsid w:val="0042739E"/>
    <w:rsid w:val="00427EE7"/>
    <w:rsid w:val="00430C06"/>
    <w:rsid w:val="00431877"/>
    <w:rsid w:val="00431917"/>
    <w:rsid w:val="004326EF"/>
    <w:rsid w:val="0043313F"/>
    <w:rsid w:val="0043653A"/>
    <w:rsid w:val="00436C01"/>
    <w:rsid w:val="0044184B"/>
    <w:rsid w:val="00442B4F"/>
    <w:rsid w:val="00443361"/>
    <w:rsid w:val="004437F3"/>
    <w:rsid w:val="00444B1F"/>
    <w:rsid w:val="00451809"/>
    <w:rsid w:val="00452835"/>
    <w:rsid w:val="00453E6F"/>
    <w:rsid w:val="00454AFC"/>
    <w:rsid w:val="00457D65"/>
    <w:rsid w:val="00457FEE"/>
    <w:rsid w:val="004604B1"/>
    <w:rsid w:val="00461461"/>
    <w:rsid w:val="00464EFB"/>
    <w:rsid w:val="004653D5"/>
    <w:rsid w:val="004656A2"/>
    <w:rsid w:val="00467BAF"/>
    <w:rsid w:val="00467CA4"/>
    <w:rsid w:val="00470D9D"/>
    <w:rsid w:val="00471607"/>
    <w:rsid w:val="00477C0C"/>
    <w:rsid w:val="00477DFD"/>
    <w:rsid w:val="0048018E"/>
    <w:rsid w:val="004810E7"/>
    <w:rsid w:val="00486072"/>
    <w:rsid w:val="004868E3"/>
    <w:rsid w:val="00491BBC"/>
    <w:rsid w:val="00491CBB"/>
    <w:rsid w:val="00491DAD"/>
    <w:rsid w:val="004960BE"/>
    <w:rsid w:val="004A5115"/>
    <w:rsid w:val="004A650C"/>
    <w:rsid w:val="004A65AE"/>
    <w:rsid w:val="004B0BF1"/>
    <w:rsid w:val="004B1135"/>
    <w:rsid w:val="004B2205"/>
    <w:rsid w:val="004B43C6"/>
    <w:rsid w:val="004B576C"/>
    <w:rsid w:val="004B5D5D"/>
    <w:rsid w:val="004B60FC"/>
    <w:rsid w:val="004B64D3"/>
    <w:rsid w:val="004B65E2"/>
    <w:rsid w:val="004C08C2"/>
    <w:rsid w:val="004C096F"/>
    <w:rsid w:val="004C4F5B"/>
    <w:rsid w:val="004C527C"/>
    <w:rsid w:val="004C5A3B"/>
    <w:rsid w:val="004C6D33"/>
    <w:rsid w:val="004D1E60"/>
    <w:rsid w:val="004D2431"/>
    <w:rsid w:val="004D4550"/>
    <w:rsid w:val="004D4D0F"/>
    <w:rsid w:val="004D6BBC"/>
    <w:rsid w:val="004E1306"/>
    <w:rsid w:val="004E1AE2"/>
    <w:rsid w:val="004E2842"/>
    <w:rsid w:val="004E5C8B"/>
    <w:rsid w:val="004E6BB9"/>
    <w:rsid w:val="004F040A"/>
    <w:rsid w:val="004F068B"/>
    <w:rsid w:val="004F4E88"/>
    <w:rsid w:val="004F5CF2"/>
    <w:rsid w:val="004F6847"/>
    <w:rsid w:val="004F7FA0"/>
    <w:rsid w:val="00501599"/>
    <w:rsid w:val="00503869"/>
    <w:rsid w:val="0050404F"/>
    <w:rsid w:val="00504152"/>
    <w:rsid w:val="00504CF6"/>
    <w:rsid w:val="00511A62"/>
    <w:rsid w:val="00511C15"/>
    <w:rsid w:val="00512541"/>
    <w:rsid w:val="005125B8"/>
    <w:rsid w:val="0051679A"/>
    <w:rsid w:val="00516C4B"/>
    <w:rsid w:val="00524FBF"/>
    <w:rsid w:val="00525891"/>
    <w:rsid w:val="00525C70"/>
    <w:rsid w:val="0052767A"/>
    <w:rsid w:val="00530976"/>
    <w:rsid w:val="00535DB0"/>
    <w:rsid w:val="00536451"/>
    <w:rsid w:val="00537521"/>
    <w:rsid w:val="005401E2"/>
    <w:rsid w:val="00544A80"/>
    <w:rsid w:val="00544F95"/>
    <w:rsid w:val="00546BC9"/>
    <w:rsid w:val="00546D7F"/>
    <w:rsid w:val="00553168"/>
    <w:rsid w:val="005546FC"/>
    <w:rsid w:val="005569CF"/>
    <w:rsid w:val="00557F0B"/>
    <w:rsid w:val="005603C8"/>
    <w:rsid w:val="0056201B"/>
    <w:rsid w:val="00564720"/>
    <w:rsid w:val="00565B1F"/>
    <w:rsid w:val="00570E25"/>
    <w:rsid w:val="005710D7"/>
    <w:rsid w:val="005751C2"/>
    <w:rsid w:val="005768FE"/>
    <w:rsid w:val="00580B53"/>
    <w:rsid w:val="00581A30"/>
    <w:rsid w:val="00583084"/>
    <w:rsid w:val="00584879"/>
    <w:rsid w:val="005857C0"/>
    <w:rsid w:val="00586181"/>
    <w:rsid w:val="00592871"/>
    <w:rsid w:val="0059307C"/>
    <w:rsid w:val="005965FF"/>
    <w:rsid w:val="00596A5A"/>
    <w:rsid w:val="005A1C34"/>
    <w:rsid w:val="005A3196"/>
    <w:rsid w:val="005A522B"/>
    <w:rsid w:val="005A6E7B"/>
    <w:rsid w:val="005A77A5"/>
    <w:rsid w:val="005B046E"/>
    <w:rsid w:val="005B414C"/>
    <w:rsid w:val="005B5A7B"/>
    <w:rsid w:val="005C19C5"/>
    <w:rsid w:val="005C3DC4"/>
    <w:rsid w:val="005C4378"/>
    <w:rsid w:val="005C48DB"/>
    <w:rsid w:val="005C4CE9"/>
    <w:rsid w:val="005C5073"/>
    <w:rsid w:val="005C578D"/>
    <w:rsid w:val="005C7E3E"/>
    <w:rsid w:val="005D2C2A"/>
    <w:rsid w:val="005D36EA"/>
    <w:rsid w:val="005D6D99"/>
    <w:rsid w:val="005D7D6A"/>
    <w:rsid w:val="005E002C"/>
    <w:rsid w:val="005E24E5"/>
    <w:rsid w:val="005E32A2"/>
    <w:rsid w:val="005F066D"/>
    <w:rsid w:val="005F0D58"/>
    <w:rsid w:val="005F26E2"/>
    <w:rsid w:val="005F3AD0"/>
    <w:rsid w:val="005F4DB3"/>
    <w:rsid w:val="006001FC"/>
    <w:rsid w:val="00600D96"/>
    <w:rsid w:val="00601EA2"/>
    <w:rsid w:val="00602061"/>
    <w:rsid w:val="00603053"/>
    <w:rsid w:val="00605D5C"/>
    <w:rsid w:val="00607EC5"/>
    <w:rsid w:val="0061150B"/>
    <w:rsid w:val="00611F76"/>
    <w:rsid w:val="00613360"/>
    <w:rsid w:val="00616373"/>
    <w:rsid w:val="0062108F"/>
    <w:rsid w:val="00622F4E"/>
    <w:rsid w:val="00624DD5"/>
    <w:rsid w:val="00625773"/>
    <w:rsid w:val="00631605"/>
    <w:rsid w:val="006319FB"/>
    <w:rsid w:val="00631A93"/>
    <w:rsid w:val="00635C32"/>
    <w:rsid w:val="006423A8"/>
    <w:rsid w:val="006426FB"/>
    <w:rsid w:val="00643C94"/>
    <w:rsid w:val="00646231"/>
    <w:rsid w:val="006473AB"/>
    <w:rsid w:val="0065376C"/>
    <w:rsid w:val="00653B6D"/>
    <w:rsid w:val="00653BDC"/>
    <w:rsid w:val="006543D0"/>
    <w:rsid w:val="00654664"/>
    <w:rsid w:val="00654E16"/>
    <w:rsid w:val="00655D67"/>
    <w:rsid w:val="00656EB8"/>
    <w:rsid w:val="00665990"/>
    <w:rsid w:val="00665B52"/>
    <w:rsid w:val="00665DE9"/>
    <w:rsid w:val="00666666"/>
    <w:rsid w:val="0067031C"/>
    <w:rsid w:val="00670D53"/>
    <w:rsid w:val="0067116E"/>
    <w:rsid w:val="00674216"/>
    <w:rsid w:val="006747D2"/>
    <w:rsid w:val="00674DB2"/>
    <w:rsid w:val="006767D9"/>
    <w:rsid w:val="00681851"/>
    <w:rsid w:val="00683402"/>
    <w:rsid w:val="00684614"/>
    <w:rsid w:val="006861F1"/>
    <w:rsid w:val="00686C22"/>
    <w:rsid w:val="0069078D"/>
    <w:rsid w:val="006918E8"/>
    <w:rsid w:val="0069537C"/>
    <w:rsid w:val="00695DA1"/>
    <w:rsid w:val="00697555"/>
    <w:rsid w:val="006A0851"/>
    <w:rsid w:val="006A3433"/>
    <w:rsid w:val="006A428D"/>
    <w:rsid w:val="006A4B07"/>
    <w:rsid w:val="006A69CD"/>
    <w:rsid w:val="006A7BF4"/>
    <w:rsid w:val="006B0A43"/>
    <w:rsid w:val="006B1676"/>
    <w:rsid w:val="006C133A"/>
    <w:rsid w:val="006C27A9"/>
    <w:rsid w:val="006C29D1"/>
    <w:rsid w:val="006C3AF6"/>
    <w:rsid w:val="006C4598"/>
    <w:rsid w:val="006C4839"/>
    <w:rsid w:val="006C76E0"/>
    <w:rsid w:val="006C7F5A"/>
    <w:rsid w:val="006D08C0"/>
    <w:rsid w:val="006D2CAE"/>
    <w:rsid w:val="006D3712"/>
    <w:rsid w:val="006D476F"/>
    <w:rsid w:val="006D492C"/>
    <w:rsid w:val="006D6FBB"/>
    <w:rsid w:val="006E03EF"/>
    <w:rsid w:val="006E152D"/>
    <w:rsid w:val="006E20BE"/>
    <w:rsid w:val="006E3FE3"/>
    <w:rsid w:val="006E59B3"/>
    <w:rsid w:val="006E74FB"/>
    <w:rsid w:val="006F0975"/>
    <w:rsid w:val="006F0DA8"/>
    <w:rsid w:val="006F37DE"/>
    <w:rsid w:val="006F480A"/>
    <w:rsid w:val="006F562F"/>
    <w:rsid w:val="00700B19"/>
    <w:rsid w:val="00700B8D"/>
    <w:rsid w:val="0070312D"/>
    <w:rsid w:val="00703AA2"/>
    <w:rsid w:val="00704809"/>
    <w:rsid w:val="00705273"/>
    <w:rsid w:val="00705A52"/>
    <w:rsid w:val="007063ED"/>
    <w:rsid w:val="007104C9"/>
    <w:rsid w:val="00712E9C"/>
    <w:rsid w:val="007141A7"/>
    <w:rsid w:val="00716048"/>
    <w:rsid w:val="00716DBE"/>
    <w:rsid w:val="007170D6"/>
    <w:rsid w:val="00717D5A"/>
    <w:rsid w:val="00721687"/>
    <w:rsid w:val="007220CA"/>
    <w:rsid w:val="00723326"/>
    <w:rsid w:val="00723E60"/>
    <w:rsid w:val="0072579B"/>
    <w:rsid w:val="00725A00"/>
    <w:rsid w:val="00726091"/>
    <w:rsid w:val="00730D57"/>
    <w:rsid w:val="00734B20"/>
    <w:rsid w:val="00734CC4"/>
    <w:rsid w:val="00735964"/>
    <w:rsid w:val="0073680E"/>
    <w:rsid w:val="00743E2B"/>
    <w:rsid w:val="00753C5A"/>
    <w:rsid w:val="0075461E"/>
    <w:rsid w:val="00754BAB"/>
    <w:rsid w:val="007560FE"/>
    <w:rsid w:val="0075739E"/>
    <w:rsid w:val="007608C6"/>
    <w:rsid w:val="00766E36"/>
    <w:rsid w:val="007676E0"/>
    <w:rsid w:val="0076777F"/>
    <w:rsid w:val="00774DE8"/>
    <w:rsid w:val="007775A4"/>
    <w:rsid w:val="00777A4B"/>
    <w:rsid w:val="00780094"/>
    <w:rsid w:val="00780AD9"/>
    <w:rsid w:val="007815AC"/>
    <w:rsid w:val="007852FB"/>
    <w:rsid w:val="007856A1"/>
    <w:rsid w:val="00785DC4"/>
    <w:rsid w:val="00786F34"/>
    <w:rsid w:val="007876AC"/>
    <w:rsid w:val="00787A4E"/>
    <w:rsid w:val="0079228C"/>
    <w:rsid w:val="00794AD5"/>
    <w:rsid w:val="00796B65"/>
    <w:rsid w:val="007A0C70"/>
    <w:rsid w:val="007A0CE0"/>
    <w:rsid w:val="007A2976"/>
    <w:rsid w:val="007A3429"/>
    <w:rsid w:val="007A4179"/>
    <w:rsid w:val="007A4D88"/>
    <w:rsid w:val="007A57A4"/>
    <w:rsid w:val="007B36C9"/>
    <w:rsid w:val="007B3777"/>
    <w:rsid w:val="007B401E"/>
    <w:rsid w:val="007B671B"/>
    <w:rsid w:val="007B70AC"/>
    <w:rsid w:val="007C010E"/>
    <w:rsid w:val="007C72AE"/>
    <w:rsid w:val="007D63C5"/>
    <w:rsid w:val="007D7DAC"/>
    <w:rsid w:val="007E064B"/>
    <w:rsid w:val="007E09CC"/>
    <w:rsid w:val="007E0D10"/>
    <w:rsid w:val="007E664D"/>
    <w:rsid w:val="007F0F23"/>
    <w:rsid w:val="007F1593"/>
    <w:rsid w:val="007F1FAC"/>
    <w:rsid w:val="007F257E"/>
    <w:rsid w:val="007F39AE"/>
    <w:rsid w:val="0080202A"/>
    <w:rsid w:val="00802486"/>
    <w:rsid w:val="00802861"/>
    <w:rsid w:val="00805332"/>
    <w:rsid w:val="00806260"/>
    <w:rsid w:val="00806A20"/>
    <w:rsid w:val="008149E8"/>
    <w:rsid w:val="00816100"/>
    <w:rsid w:val="0081784A"/>
    <w:rsid w:val="008211B9"/>
    <w:rsid w:val="0082273F"/>
    <w:rsid w:val="008230A6"/>
    <w:rsid w:val="00823854"/>
    <w:rsid w:val="00825597"/>
    <w:rsid w:val="008258E3"/>
    <w:rsid w:val="00825FB3"/>
    <w:rsid w:val="008323CD"/>
    <w:rsid w:val="00836F6D"/>
    <w:rsid w:val="008375ED"/>
    <w:rsid w:val="00837F64"/>
    <w:rsid w:val="00840532"/>
    <w:rsid w:val="00847FEF"/>
    <w:rsid w:val="00851FD8"/>
    <w:rsid w:val="00854B14"/>
    <w:rsid w:val="0086008F"/>
    <w:rsid w:val="00860B2B"/>
    <w:rsid w:val="0086167B"/>
    <w:rsid w:val="00864EBE"/>
    <w:rsid w:val="00864FDE"/>
    <w:rsid w:val="00865079"/>
    <w:rsid w:val="00865207"/>
    <w:rsid w:val="0086706D"/>
    <w:rsid w:val="00867C46"/>
    <w:rsid w:val="00875FE6"/>
    <w:rsid w:val="00876F24"/>
    <w:rsid w:val="00877339"/>
    <w:rsid w:val="00880D7A"/>
    <w:rsid w:val="0088167E"/>
    <w:rsid w:val="008824B1"/>
    <w:rsid w:val="008853EB"/>
    <w:rsid w:val="008918B2"/>
    <w:rsid w:val="008922A2"/>
    <w:rsid w:val="008922F2"/>
    <w:rsid w:val="00892D4C"/>
    <w:rsid w:val="00893464"/>
    <w:rsid w:val="0089509F"/>
    <w:rsid w:val="008968AF"/>
    <w:rsid w:val="008A2171"/>
    <w:rsid w:val="008A34D1"/>
    <w:rsid w:val="008A41E4"/>
    <w:rsid w:val="008A6389"/>
    <w:rsid w:val="008B15B1"/>
    <w:rsid w:val="008B2A41"/>
    <w:rsid w:val="008B2B91"/>
    <w:rsid w:val="008B47C6"/>
    <w:rsid w:val="008B47E9"/>
    <w:rsid w:val="008B5B41"/>
    <w:rsid w:val="008B663B"/>
    <w:rsid w:val="008B6784"/>
    <w:rsid w:val="008B7414"/>
    <w:rsid w:val="008C6A4C"/>
    <w:rsid w:val="008C6C48"/>
    <w:rsid w:val="008C7C69"/>
    <w:rsid w:val="008C7C77"/>
    <w:rsid w:val="008C7DC1"/>
    <w:rsid w:val="008D41B7"/>
    <w:rsid w:val="008D58BD"/>
    <w:rsid w:val="008E078A"/>
    <w:rsid w:val="008E13AF"/>
    <w:rsid w:val="008E1B2A"/>
    <w:rsid w:val="008E27DA"/>
    <w:rsid w:val="008E353B"/>
    <w:rsid w:val="008E4F2A"/>
    <w:rsid w:val="008E547D"/>
    <w:rsid w:val="008E5E6A"/>
    <w:rsid w:val="008F3105"/>
    <w:rsid w:val="008F4810"/>
    <w:rsid w:val="008F65D3"/>
    <w:rsid w:val="008F7335"/>
    <w:rsid w:val="008F7502"/>
    <w:rsid w:val="0090171E"/>
    <w:rsid w:val="00903CEA"/>
    <w:rsid w:val="00905C91"/>
    <w:rsid w:val="009126A8"/>
    <w:rsid w:val="0091300D"/>
    <w:rsid w:val="00916516"/>
    <w:rsid w:val="0091729A"/>
    <w:rsid w:val="00922E09"/>
    <w:rsid w:val="00924CF7"/>
    <w:rsid w:val="00926B4B"/>
    <w:rsid w:val="00934B71"/>
    <w:rsid w:val="00935712"/>
    <w:rsid w:val="00940E66"/>
    <w:rsid w:val="00941CFC"/>
    <w:rsid w:val="0094421C"/>
    <w:rsid w:val="00944D07"/>
    <w:rsid w:val="00945899"/>
    <w:rsid w:val="009468E5"/>
    <w:rsid w:val="009518FD"/>
    <w:rsid w:val="00952E3C"/>
    <w:rsid w:val="00954550"/>
    <w:rsid w:val="009600C4"/>
    <w:rsid w:val="00960EFC"/>
    <w:rsid w:val="00963DBF"/>
    <w:rsid w:val="009649C2"/>
    <w:rsid w:val="00965192"/>
    <w:rsid w:val="0096540A"/>
    <w:rsid w:val="00965D42"/>
    <w:rsid w:val="009670E0"/>
    <w:rsid w:val="009676C3"/>
    <w:rsid w:val="00967916"/>
    <w:rsid w:val="00972019"/>
    <w:rsid w:val="00972133"/>
    <w:rsid w:val="009746FB"/>
    <w:rsid w:val="00977F5D"/>
    <w:rsid w:val="00981A01"/>
    <w:rsid w:val="0098366C"/>
    <w:rsid w:val="00986994"/>
    <w:rsid w:val="00986E57"/>
    <w:rsid w:val="00987368"/>
    <w:rsid w:val="0099276C"/>
    <w:rsid w:val="00993E9D"/>
    <w:rsid w:val="009965E6"/>
    <w:rsid w:val="009A08EF"/>
    <w:rsid w:val="009A1CA5"/>
    <w:rsid w:val="009A1E27"/>
    <w:rsid w:val="009A3E0B"/>
    <w:rsid w:val="009A690B"/>
    <w:rsid w:val="009A6DB1"/>
    <w:rsid w:val="009A7557"/>
    <w:rsid w:val="009B03E6"/>
    <w:rsid w:val="009B041E"/>
    <w:rsid w:val="009B055E"/>
    <w:rsid w:val="009B2570"/>
    <w:rsid w:val="009B427D"/>
    <w:rsid w:val="009B56D5"/>
    <w:rsid w:val="009B580E"/>
    <w:rsid w:val="009C412C"/>
    <w:rsid w:val="009C4223"/>
    <w:rsid w:val="009C6876"/>
    <w:rsid w:val="009C7843"/>
    <w:rsid w:val="009D0225"/>
    <w:rsid w:val="009D0BB8"/>
    <w:rsid w:val="009D1F23"/>
    <w:rsid w:val="009D27AB"/>
    <w:rsid w:val="009D409C"/>
    <w:rsid w:val="009E1A8C"/>
    <w:rsid w:val="009E27B5"/>
    <w:rsid w:val="009E3EA5"/>
    <w:rsid w:val="009F2B2B"/>
    <w:rsid w:val="009F58C7"/>
    <w:rsid w:val="00A012B1"/>
    <w:rsid w:val="00A015B9"/>
    <w:rsid w:val="00A047AC"/>
    <w:rsid w:val="00A10684"/>
    <w:rsid w:val="00A11F85"/>
    <w:rsid w:val="00A124EC"/>
    <w:rsid w:val="00A14342"/>
    <w:rsid w:val="00A1545C"/>
    <w:rsid w:val="00A17408"/>
    <w:rsid w:val="00A20766"/>
    <w:rsid w:val="00A20E74"/>
    <w:rsid w:val="00A222D2"/>
    <w:rsid w:val="00A244A3"/>
    <w:rsid w:val="00A25E78"/>
    <w:rsid w:val="00A26F58"/>
    <w:rsid w:val="00A273D7"/>
    <w:rsid w:val="00A304F6"/>
    <w:rsid w:val="00A32F98"/>
    <w:rsid w:val="00A33529"/>
    <w:rsid w:val="00A35277"/>
    <w:rsid w:val="00A35F77"/>
    <w:rsid w:val="00A363BD"/>
    <w:rsid w:val="00A36675"/>
    <w:rsid w:val="00A36FB3"/>
    <w:rsid w:val="00A37261"/>
    <w:rsid w:val="00A41BD0"/>
    <w:rsid w:val="00A422B3"/>
    <w:rsid w:val="00A42BD1"/>
    <w:rsid w:val="00A44828"/>
    <w:rsid w:val="00A46B31"/>
    <w:rsid w:val="00A517A1"/>
    <w:rsid w:val="00A53F67"/>
    <w:rsid w:val="00A5450F"/>
    <w:rsid w:val="00A5704A"/>
    <w:rsid w:val="00A603A2"/>
    <w:rsid w:val="00A624B0"/>
    <w:rsid w:val="00A64C57"/>
    <w:rsid w:val="00A7135C"/>
    <w:rsid w:val="00A72293"/>
    <w:rsid w:val="00A72C2B"/>
    <w:rsid w:val="00A76AA2"/>
    <w:rsid w:val="00A80FCF"/>
    <w:rsid w:val="00A83592"/>
    <w:rsid w:val="00A85E58"/>
    <w:rsid w:val="00A8718F"/>
    <w:rsid w:val="00A9093C"/>
    <w:rsid w:val="00A92B01"/>
    <w:rsid w:val="00A92B1C"/>
    <w:rsid w:val="00A93CAB"/>
    <w:rsid w:val="00A953C1"/>
    <w:rsid w:val="00A95D9D"/>
    <w:rsid w:val="00A9692B"/>
    <w:rsid w:val="00AA12F1"/>
    <w:rsid w:val="00AA3209"/>
    <w:rsid w:val="00AA67F6"/>
    <w:rsid w:val="00AB0DE2"/>
    <w:rsid w:val="00AB1C18"/>
    <w:rsid w:val="00AB44B2"/>
    <w:rsid w:val="00AB4555"/>
    <w:rsid w:val="00AB6FE7"/>
    <w:rsid w:val="00AB7291"/>
    <w:rsid w:val="00AB7BB6"/>
    <w:rsid w:val="00AB7FA6"/>
    <w:rsid w:val="00AC44BD"/>
    <w:rsid w:val="00AC6E44"/>
    <w:rsid w:val="00AD04A9"/>
    <w:rsid w:val="00AD0974"/>
    <w:rsid w:val="00AD1AE9"/>
    <w:rsid w:val="00AD3D9D"/>
    <w:rsid w:val="00AD43F6"/>
    <w:rsid w:val="00AD4F95"/>
    <w:rsid w:val="00AE1A1C"/>
    <w:rsid w:val="00AE3150"/>
    <w:rsid w:val="00AE3F68"/>
    <w:rsid w:val="00AE41F4"/>
    <w:rsid w:val="00AE44E1"/>
    <w:rsid w:val="00AE7416"/>
    <w:rsid w:val="00AF2A28"/>
    <w:rsid w:val="00B01497"/>
    <w:rsid w:val="00B014C5"/>
    <w:rsid w:val="00B01A18"/>
    <w:rsid w:val="00B024AB"/>
    <w:rsid w:val="00B04A47"/>
    <w:rsid w:val="00B065B0"/>
    <w:rsid w:val="00B06F9A"/>
    <w:rsid w:val="00B1122A"/>
    <w:rsid w:val="00B13752"/>
    <w:rsid w:val="00B138D8"/>
    <w:rsid w:val="00B13B89"/>
    <w:rsid w:val="00B15F45"/>
    <w:rsid w:val="00B1622C"/>
    <w:rsid w:val="00B17EAA"/>
    <w:rsid w:val="00B24F1D"/>
    <w:rsid w:val="00B277ED"/>
    <w:rsid w:val="00B31CEF"/>
    <w:rsid w:val="00B3297A"/>
    <w:rsid w:val="00B3390B"/>
    <w:rsid w:val="00B34212"/>
    <w:rsid w:val="00B3493C"/>
    <w:rsid w:val="00B3573D"/>
    <w:rsid w:val="00B43444"/>
    <w:rsid w:val="00B454D0"/>
    <w:rsid w:val="00B47E9A"/>
    <w:rsid w:val="00B55444"/>
    <w:rsid w:val="00B563F1"/>
    <w:rsid w:val="00B57F2C"/>
    <w:rsid w:val="00B629D8"/>
    <w:rsid w:val="00B62B5E"/>
    <w:rsid w:val="00B62DDC"/>
    <w:rsid w:val="00B63C64"/>
    <w:rsid w:val="00B675F4"/>
    <w:rsid w:val="00B67D04"/>
    <w:rsid w:val="00B7062C"/>
    <w:rsid w:val="00B70EA6"/>
    <w:rsid w:val="00B725F9"/>
    <w:rsid w:val="00B732DF"/>
    <w:rsid w:val="00B73472"/>
    <w:rsid w:val="00B81CBA"/>
    <w:rsid w:val="00B861E2"/>
    <w:rsid w:val="00B871EC"/>
    <w:rsid w:val="00B90DAA"/>
    <w:rsid w:val="00B91E21"/>
    <w:rsid w:val="00B94484"/>
    <w:rsid w:val="00B95F15"/>
    <w:rsid w:val="00B96BB9"/>
    <w:rsid w:val="00BA6217"/>
    <w:rsid w:val="00BA77B9"/>
    <w:rsid w:val="00BB0082"/>
    <w:rsid w:val="00BB0BAD"/>
    <w:rsid w:val="00BB31ED"/>
    <w:rsid w:val="00BB36E4"/>
    <w:rsid w:val="00BB4830"/>
    <w:rsid w:val="00BB56AF"/>
    <w:rsid w:val="00BC039F"/>
    <w:rsid w:val="00BC5D2A"/>
    <w:rsid w:val="00BD12C8"/>
    <w:rsid w:val="00BD42EE"/>
    <w:rsid w:val="00BD5047"/>
    <w:rsid w:val="00BD7308"/>
    <w:rsid w:val="00BE1081"/>
    <w:rsid w:val="00BE29B6"/>
    <w:rsid w:val="00BE2BAD"/>
    <w:rsid w:val="00BE3C80"/>
    <w:rsid w:val="00BE6FAD"/>
    <w:rsid w:val="00BF001F"/>
    <w:rsid w:val="00BF399D"/>
    <w:rsid w:val="00BF5FA6"/>
    <w:rsid w:val="00BF6326"/>
    <w:rsid w:val="00BF6EDC"/>
    <w:rsid w:val="00C01535"/>
    <w:rsid w:val="00C01712"/>
    <w:rsid w:val="00C0525C"/>
    <w:rsid w:val="00C11E17"/>
    <w:rsid w:val="00C12BE6"/>
    <w:rsid w:val="00C12C5C"/>
    <w:rsid w:val="00C12D93"/>
    <w:rsid w:val="00C13F23"/>
    <w:rsid w:val="00C1593C"/>
    <w:rsid w:val="00C17D92"/>
    <w:rsid w:val="00C20927"/>
    <w:rsid w:val="00C23F86"/>
    <w:rsid w:val="00C262B8"/>
    <w:rsid w:val="00C26666"/>
    <w:rsid w:val="00C32EE2"/>
    <w:rsid w:val="00C335AF"/>
    <w:rsid w:val="00C3412B"/>
    <w:rsid w:val="00C3518F"/>
    <w:rsid w:val="00C3590C"/>
    <w:rsid w:val="00C36F88"/>
    <w:rsid w:val="00C4147C"/>
    <w:rsid w:val="00C4235A"/>
    <w:rsid w:val="00C430DB"/>
    <w:rsid w:val="00C4442A"/>
    <w:rsid w:val="00C54B96"/>
    <w:rsid w:val="00C5501E"/>
    <w:rsid w:val="00C64A66"/>
    <w:rsid w:val="00C65384"/>
    <w:rsid w:val="00C67774"/>
    <w:rsid w:val="00C67E31"/>
    <w:rsid w:val="00C70D92"/>
    <w:rsid w:val="00C714AB"/>
    <w:rsid w:val="00C71D66"/>
    <w:rsid w:val="00C7449F"/>
    <w:rsid w:val="00C82E4C"/>
    <w:rsid w:val="00C85070"/>
    <w:rsid w:val="00C86269"/>
    <w:rsid w:val="00C869E8"/>
    <w:rsid w:val="00C94219"/>
    <w:rsid w:val="00C96C3D"/>
    <w:rsid w:val="00C97D9A"/>
    <w:rsid w:val="00CA3892"/>
    <w:rsid w:val="00CA5F1A"/>
    <w:rsid w:val="00CA6B7E"/>
    <w:rsid w:val="00CA6D15"/>
    <w:rsid w:val="00CB23DF"/>
    <w:rsid w:val="00CB3A75"/>
    <w:rsid w:val="00CB4A70"/>
    <w:rsid w:val="00CB4D00"/>
    <w:rsid w:val="00CC3E73"/>
    <w:rsid w:val="00CC48BC"/>
    <w:rsid w:val="00CD19EE"/>
    <w:rsid w:val="00CD2326"/>
    <w:rsid w:val="00CD3EF1"/>
    <w:rsid w:val="00CD4378"/>
    <w:rsid w:val="00CD46B7"/>
    <w:rsid w:val="00CD4990"/>
    <w:rsid w:val="00CD4B2C"/>
    <w:rsid w:val="00CD601D"/>
    <w:rsid w:val="00CE15E4"/>
    <w:rsid w:val="00CE3759"/>
    <w:rsid w:val="00CE5C28"/>
    <w:rsid w:val="00CE60EC"/>
    <w:rsid w:val="00CE75C8"/>
    <w:rsid w:val="00CF2624"/>
    <w:rsid w:val="00CF3B50"/>
    <w:rsid w:val="00D02C04"/>
    <w:rsid w:val="00D033EB"/>
    <w:rsid w:val="00D03E47"/>
    <w:rsid w:val="00D07C97"/>
    <w:rsid w:val="00D1119E"/>
    <w:rsid w:val="00D113A2"/>
    <w:rsid w:val="00D1401F"/>
    <w:rsid w:val="00D16304"/>
    <w:rsid w:val="00D20E31"/>
    <w:rsid w:val="00D21607"/>
    <w:rsid w:val="00D2219C"/>
    <w:rsid w:val="00D25FA3"/>
    <w:rsid w:val="00D26BDA"/>
    <w:rsid w:val="00D31045"/>
    <w:rsid w:val="00D3181D"/>
    <w:rsid w:val="00D31EA0"/>
    <w:rsid w:val="00D32270"/>
    <w:rsid w:val="00D32C28"/>
    <w:rsid w:val="00D3308F"/>
    <w:rsid w:val="00D35528"/>
    <w:rsid w:val="00D35684"/>
    <w:rsid w:val="00D37415"/>
    <w:rsid w:val="00D4017C"/>
    <w:rsid w:val="00D42FC0"/>
    <w:rsid w:val="00D50C16"/>
    <w:rsid w:val="00D51005"/>
    <w:rsid w:val="00D518AD"/>
    <w:rsid w:val="00D51CE1"/>
    <w:rsid w:val="00D52190"/>
    <w:rsid w:val="00D54373"/>
    <w:rsid w:val="00D600E0"/>
    <w:rsid w:val="00D62DA1"/>
    <w:rsid w:val="00D63FA7"/>
    <w:rsid w:val="00D657DC"/>
    <w:rsid w:val="00D66F60"/>
    <w:rsid w:val="00D6748B"/>
    <w:rsid w:val="00D75170"/>
    <w:rsid w:val="00D778FE"/>
    <w:rsid w:val="00D77D30"/>
    <w:rsid w:val="00D80410"/>
    <w:rsid w:val="00D80DD5"/>
    <w:rsid w:val="00D847E7"/>
    <w:rsid w:val="00D9054E"/>
    <w:rsid w:val="00D926A2"/>
    <w:rsid w:val="00D945F2"/>
    <w:rsid w:val="00D94C5D"/>
    <w:rsid w:val="00D957EB"/>
    <w:rsid w:val="00DA2250"/>
    <w:rsid w:val="00DA6510"/>
    <w:rsid w:val="00DA7FAD"/>
    <w:rsid w:val="00DB01F1"/>
    <w:rsid w:val="00DB1FB9"/>
    <w:rsid w:val="00DB3419"/>
    <w:rsid w:val="00DB5734"/>
    <w:rsid w:val="00DC42A0"/>
    <w:rsid w:val="00DC6B90"/>
    <w:rsid w:val="00DD0DD9"/>
    <w:rsid w:val="00DD1249"/>
    <w:rsid w:val="00DD17DB"/>
    <w:rsid w:val="00DD1959"/>
    <w:rsid w:val="00DD3719"/>
    <w:rsid w:val="00DD3D76"/>
    <w:rsid w:val="00DD4036"/>
    <w:rsid w:val="00DD49F1"/>
    <w:rsid w:val="00DE008C"/>
    <w:rsid w:val="00DE31B6"/>
    <w:rsid w:val="00DE327E"/>
    <w:rsid w:val="00DE3516"/>
    <w:rsid w:val="00DE4448"/>
    <w:rsid w:val="00DE6407"/>
    <w:rsid w:val="00DE6C23"/>
    <w:rsid w:val="00DF06E1"/>
    <w:rsid w:val="00DF0D40"/>
    <w:rsid w:val="00DF1130"/>
    <w:rsid w:val="00DF4F8C"/>
    <w:rsid w:val="00E026C9"/>
    <w:rsid w:val="00E04170"/>
    <w:rsid w:val="00E04424"/>
    <w:rsid w:val="00E04E28"/>
    <w:rsid w:val="00E05148"/>
    <w:rsid w:val="00E122AC"/>
    <w:rsid w:val="00E15CCD"/>
    <w:rsid w:val="00E15D52"/>
    <w:rsid w:val="00E16A53"/>
    <w:rsid w:val="00E17DC8"/>
    <w:rsid w:val="00E21FFF"/>
    <w:rsid w:val="00E2670B"/>
    <w:rsid w:val="00E3238B"/>
    <w:rsid w:val="00E34142"/>
    <w:rsid w:val="00E36BE2"/>
    <w:rsid w:val="00E40C43"/>
    <w:rsid w:val="00E4155F"/>
    <w:rsid w:val="00E43A38"/>
    <w:rsid w:val="00E4544E"/>
    <w:rsid w:val="00E46D60"/>
    <w:rsid w:val="00E47EC0"/>
    <w:rsid w:val="00E509F6"/>
    <w:rsid w:val="00E51386"/>
    <w:rsid w:val="00E54EA7"/>
    <w:rsid w:val="00E56BE7"/>
    <w:rsid w:val="00E56F63"/>
    <w:rsid w:val="00E616BF"/>
    <w:rsid w:val="00E63280"/>
    <w:rsid w:val="00E65376"/>
    <w:rsid w:val="00E657C9"/>
    <w:rsid w:val="00E65D7C"/>
    <w:rsid w:val="00E662CF"/>
    <w:rsid w:val="00E67510"/>
    <w:rsid w:val="00E711D7"/>
    <w:rsid w:val="00E73EF7"/>
    <w:rsid w:val="00E74DEB"/>
    <w:rsid w:val="00E762E3"/>
    <w:rsid w:val="00E77236"/>
    <w:rsid w:val="00E80A17"/>
    <w:rsid w:val="00E8280A"/>
    <w:rsid w:val="00E8399E"/>
    <w:rsid w:val="00E857CF"/>
    <w:rsid w:val="00E90152"/>
    <w:rsid w:val="00E90300"/>
    <w:rsid w:val="00E91340"/>
    <w:rsid w:val="00E92A55"/>
    <w:rsid w:val="00E957E7"/>
    <w:rsid w:val="00E96E78"/>
    <w:rsid w:val="00EA04C1"/>
    <w:rsid w:val="00EA5EAB"/>
    <w:rsid w:val="00EB1C0B"/>
    <w:rsid w:val="00EB26BF"/>
    <w:rsid w:val="00EB3D71"/>
    <w:rsid w:val="00EB5482"/>
    <w:rsid w:val="00EC2080"/>
    <w:rsid w:val="00EC2FF3"/>
    <w:rsid w:val="00EC4A2D"/>
    <w:rsid w:val="00EC4BED"/>
    <w:rsid w:val="00EC5173"/>
    <w:rsid w:val="00EC6AC8"/>
    <w:rsid w:val="00EC7115"/>
    <w:rsid w:val="00EC763F"/>
    <w:rsid w:val="00ED0817"/>
    <w:rsid w:val="00ED2FA0"/>
    <w:rsid w:val="00ED591B"/>
    <w:rsid w:val="00ED7C5A"/>
    <w:rsid w:val="00EE1D0D"/>
    <w:rsid w:val="00EE2672"/>
    <w:rsid w:val="00EE4E50"/>
    <w:rsid w:val="00EE6D1D"/>
    <w:rsid w:val="00EF027A"/>
    <w:rsid w:val="00EF10A4"/>
    <w:rsid w:val="00EF437C"/>
    <w:rsid w:val="00EF7124"/>
    <w:rsid w:val="00F02095"/>
    <w:rsid w:val="00F02FC9"/>
    <w:rsid w:val="00F0391A"/>
    <w:rsid w:val="00F05969"/>
    <w:rsid w:val="00F06142"/>
    <w:rsid w:val="00F06C49"/>
    <w:rsid w:val="00F144F8"/>
    <w:rsid w:val="00F14E7F"/>
    <w:rsid w:val="00F16343"/>
    <w:rsid w:val="00F1663F"/>
    <w:rsid w:val="00F20016"/>
    <w:rsid w:val="00F23324"/>
    <w:rsid w:val="00F250E4"/>
    <w:rsid w:val="00F27898"/>
    <w:rsid w:val="00F30731"/>
    <w:rsid w:val="00F3149C"/>
    <w:rsid w:val="00F33E16"/>
    <w:rsid w:val="00F351C9"/>
    <w:rsid w:val="00F414F5"/>
    <w:rsid w:val="00F4219B"/>
    <w:rsid w:val="00F42435"/>
    <w:rsid w:val="00F437CD"/>
    <w:rsid w:val="00F46E03"/>
    <w:rsid w:val="00F472ED"/>
    <w:rsid w:val="00F47776"/>
    <w:rsid w:val="00F50062"/>
    <w:rsid w:val="00F50615"/>
    <w:rsid w:val="00F517C1"/>
    <w:rsid w:val="00F52197"/>
    <w:rsid w:val="00F54522"/>
    <w:rsid w:val="00F54763"/>
    <w:rsid w:val="00F54A53"/>
    <w:rsid w:val="00F55796"/>
    <w:rsid w:val="00F55E88"/>
    <w:rsid w:val="00F60E15"/>
    <w:rsid w:val="00F61FE8"/>
    <w:rsid w:val="00F64286"/>
    <w:rsid w:val="00F71567"/>
    <w:rsid w:val="00F718DA"/>
    <w:rsid w:val="00F72F02"/>
    <w:rsid w:val="00F73270"/>
    <w:rsid w:val="00F74883"/>
    <w:rsid w:val="00F76921"/>
    <w:rsid w:val="00F80B62"/>
    <w:rsid w:val="00F81C5F"/>
    <w:rsid w:val="00F84940"/>
    <w:rsid w:val="00F878BC"/>
    <w:rsid w:val="00F919AD"/>
    <w:rsid w:val="00F9281E"/>
    <w:rsid w:val="00F94FC7"/>
    <w:rsid w:val="00FA09D1"/>
    <w:rsid w:val="00FA169B"/>
    <w:rsid w:val="00FA1CA1"/>
    <w:rsid w:val="00FA48E8"/>
    <w:rsid w:val="00FA6B57"/>
    <w:rsid w:val="00FB2832"/>
    <w:rsid w:val="00FB2DDE"/>
    <w:rsid w:val="00FB3DC5"/>
    <w:rsid w:val="00FB3FB1"/>
    <w:rsid w:val="00FB4771"/>
    <w:rsid w:val="00FB7DFD"/>
    <w:rsid w:val="00FC155E"/>
    <w:rsid w:val="00FC33E2"/>
    <w:rsid w:val="00FC4AA4"/>
    <w:rsid w:val="00FC5F18"/>
    <w:rsid w:val="00FD1FBD"/>
    <w:rsid w:val="00FD4770"/>
    <w:rsid w:val="00FD670C"/>
    <w:rsid w:val="00FD7B17"/>
    <w:rsid w:val="00FD7D0E"/>
    <w:rsid w:val="00FD7D40"/>
    <w:rsid w:val="00FD7FE3"/>
    <w:rsid w:val="00FE183D"/>
    <w:rsid w:val="00FE2650"/>
    <w:rsid w:val="00FE499F"/>
    <w:rsid w:val="00FE6ED5"/>
    <w:rsid w:val="00FF6813"/>
    <w:rsid w:val="00FF6C8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E8399E"/>
  </w:style>
  <w:style w:type="paragraph" w:styleId="Footer">
    <w:name w:val="footer"/>
    <w:basedOn w:val="Normal"/>
    <w:link w:val="FooterChar"/>
    <w:uiPriority w:val="99"/>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8399E"/>
  </w:style>
  <w:style w:type="paragraph" w:styleId="BodyTextIndent">
    <w:name w:val="Body Text Indent"/>
    <w:basedOn w:val="Normal"/>
    <w:link w:val="BodyTextIndentChar"/>
    <w:uiPriority w:val="99"/>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locked/>
    <w:rsid w:val="00E8399E"/>
    <w:rPr>
      <w:rFonts w:ascii="Times New Roman" w:hAnsi="Times New Roman" w:cs="Times New Roman"/>
      <w:sz w:val="24"/>
      <w:szCs w:val="24"/>
      <w:lang w:eastAsia="lv-LV"/>
    </w:rPr>
  </w:style>
  <w:style w:type="character" w:styleId="Hyperlink">
    <w:name w:val="Hyperlink"/>
    <w:basedOn w:val="DefaultParagraphFont"/>
    <w:uiPriority w:val="99"/>
    <w:rsid w:val="00E8399E"/>
    <w:rPr>
      <w:color w:val="0000FF"/>
      <w:u w:val="single"/>
    </w:rPr>
  </w:style>
  <w:style w:type="paragraph" w:styleId="BodyText">
    <w:name w:val="Body Text"/>
    <w:basedOn w:val="Normal"/>
    <w:link w:val="BodyTextChar"/>
    <w:uiPriority w:val="99"/>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locked/>
    <w:rsid w:val="00E8399E"/>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B2C"/>
    <w:rPr>
      <w:rFonts w:ascii="Tahoma" w:hAnsi="Tahoma" w:cs="Tahoma"/>
      <w:sz w:val="16"/>
      <w:szCs w:val="16"/>
    </w:rPr>
  </w:style>
  <w:style w:type="table" w:styleId="TableGrid">
    <w:name w:val="Table Grid"/>
    <w:basedOn w:val="TableNormal"/>
    <w:uiPriority w:val="99"/>
    <w:rsid w:val="001615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uiPriority w:val="99"/>
    <w:rsid w:val="006A7BF4"/>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3042EE"/>
    <w:pPr>
      <w:ind w:left="720"/>
    </w:pPr>
  </w:style>
  <w:style w:type="paragraph" w:customStyle="1" w:styleId="naisf">
    <w:name w:val="naisf"/>
    <w:basedOn w:val="Normal"/>
    <w:uiPriority w:val="99"/>
    <w:rsid w:val="00723E6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pamatteksts">
    <w:name w:val="pamat_teksts"/>
    <w:basedOn w:val="BodyText"/>
    <w:uiPriority w:val="99"/>
    <w:rsid w:val="00F60E15"/>
    <w:pPr>
      <w:spacing w:after="240"/>
      <w:jc w:val="both"/>
    </w:pPr>
    <w:rPr>
      <w:lang w:eastAsia="en-US"/>
    </w:rPr>
  </w:style>
  <w:style w:type="paragraph" w:styleId="BodyTextIndent2">
    <w:name w:val="Body Text Indent 2"/>
    <w:basedOn w:val="Normal"/>
    <w:link w:val="BodyTextIndent2Char"/>
    <w:uiPriority w:val="99"/>
    <w:rsid w:val="0089509F"/>
    <w:pPr>
      <w:spacing w:after="120" w:line="480" w:lineRule="auto"/>
      <w:ind w:left="283"/>
    </w:pPr>
    <w:rPr>
      <w:rFonts w:cs="Times New Roman"/>
      <w:sz w:val="20"/>
      <w:szCs w:val="20"/>
      <w:lang w:val="en-AU"/>
    </w:rPr>
  </w:style>
  <w:style w:type="character" w:customStyle="1" w:styleId="BodyTextIndent2Char">
    <w:name w:val="Body Text Indent 2 Char"/>
    <w:basedOn w:val="DefaultParagraphFont"/>
    <w:link w:val="BodyTextIndent2"/>
    <w:uiPriority w:val="99"/>
    <w:locked/>
    <w:rsid w:val="0089509F"/>
    <w:rPr>
      <w:rFonts w:ascii="Times New Roman" w:eastAsia="Times New Roman" w:hAnsi="Times New Roman" w:cs="Times New Roman"/>
      <w:sz w:val="20"/>
      <w:szCs w:val="20"/>
      <w:lang w:val="en-AU"/>
    </w:rPr>
  </w:style>
  <w:style w:type="paragraph" w:styleId="BodyText3">
    <w:name w:val="Body Text 3"/>
    <w:basedOn w:val="Normal"/>
    <w:link w:val="BodyText3Char"/>
    <w:uiPriority w:val="99"/>
    <w:semiHidden/>
    <w:rsid w:val="0089509F"/>
    <w:pPr>
      <w:spacing w:after="120" w:line="240" w:lineRule="auto"/>
    </w:pPr>
    <w:rPr>
      <w:rFonts w:cs="Times New Roman"/>
      <w:sz w:val="16"/>
      <w:szCs w:val="16"/>
      <w:lang w:val="en-AU"/>
    </w:rPr>
  </w:style>
  <w:style w:type="character" w:customStyle="1" w:styleId="BodyText3Char">
    <w:name w:val="Body Text 3 Char"/>
    <w:basedOn w:val="DefaultParagraphFont"/>
    <w:link w:val="BodyText3"/>
    <w:uiPriority w:val="99"/>
    <w:semiHidden/>
    <w:locked/>
    <w:rsid w:val="0089509F"/>
    <w:rPr>
      <w:rFonts w:ascii="Times New Roman" w:eastAsia="Times New Roman" w:hAnsi="Times New Roman" w:cs="Times New Roman"/>
      <w:sz w:val="16"/>
      <w:szCs w:val="16"/>
      <w:lang w:val="en-AU"/>
    </w:rPr>
  </w:style>
  <w:style w:type="character" w:styleId="Emphasis">
    <w:name w:val="Emphasis"/>
    <w:basedOn w:val="DefaultParagraphFont"/>
    <w:uiPriority w:val="99"/>
    <w:qFormat/>
    <w:rsid w:val="00965192"/>
    <w:rPr>
      <w:b/>
      <w:bCs/>
    </w:rPr>
  </w:style>
  <w:style w:type="character" w:styleId="FootnoteReference">
    <w:name w:val="footnote reference"/>
    <w:basedOn w:val="DefaultParagraphFont"/>
    <w:uiPriority w:val="99"/>
    <w:semiHidden/>
    <w:rsid w:val="00CD19EE"/>
    <w:rPr>
      <w:vertAlign w:val="superscript"/>
    </w:rPr>
  </w:style>
  <w:style w:type="paragraph" w:styleId="FootnoteText">
    <w:name w:val="footnote text"/>
    <w:basedOn w:val="Normal"/>
    <w:link w:val="FootnoteTextChar"/>
    <w:uiPriority w:val="99"/>
    <w:semiHidden/>
    <w:rsid w:val="00DE327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E327E"/>
    <w:rPr>
      <w:sz w:val="20"/>
      <w:szCs w:val="20"/>
    </w:rPr>
  </w:style>
  <w:style w:type="paragraph" w:customStyle="1" w:styleId="naisvisr">
    <w:name w:val="naisvisr"/>
    <w:basedOn w:val="Normal"/>
    <w:rsid w:val="009468E5"/>
    <w:pPr>
      <w:spacing w:before="150" w:after="150" w:line="240" w:lineRule="auto"/>
      <w:jc w:val="center"/>
    </w:pPr>
    <w:rPr>
      <w:rFonts w:ascii="Times New Roman" w:eastAsia="Times New Roman" w:hAnsi="Times New Roman" w:cs="Times New Roman"/>
      <w:b/>
      <w:bCs/>
      <w:sz w:val="28"/>
      <w:szCs w:val="28"/>
      <w:lang w:eastAsia="lv-LV"/>
    </w:rPr>
  </w:style>
</w:styles>
</file>

<file path=word/webSettings.xml><?xml version="1.0" encoding="utf-8"?>
<w:webSettings xmlns:r="http://schemas.openxmlformats.org/officeDocument/2006/relationships" xmlns:w="http://schemas.openxmlformats.org/wordprocessingml/2006/main">
  <w:divs>
    <w:div w:id="310523504">
      <w:marLeft w:val="0"/>
      <w:marRight w:val="0"/>
      <w:marTop w:val="0"/>
      <w:marBottom w:val="0"/>
      <w:divBdr>
        <w:top w:val="none" w:sz="0" w:space="0" w:color="auto"/>
        <w:left w:val="none" w:sz="0" w:space="0" w:color="auto"/>
        <w:bottom w:val="none" w:sz="0" w:space="0" w:color="auto"/>
        <w:right w:val="none" w:sz="0" w:space="0" w:color="auto"/>
      </w:divBdr>
    </w:div>
    <w:div w:id="310523505">
      <w:marLeft w:val="0"/>
      <w:marRight w:val="0"/>
      <w:marTop w:val="0"/>
      <w:marBottom w:val="0"/>
      <w:divBdr>
        <w:top w:val="none" w:sz="0" w:space="0" w:color="auto"/>
        <w:left w:val="none" w:sz="0" w:space="0" w:color="auto"/>
        <w:bottom w:val="none" w:sz="0" w:space="0" w:color="auto"/>
        <w:right w:val="none" w:sz="0" w:space="0" w:color="auto"/>
      </w:divBdr>
    </w:div>
    <w:div w:id="310523506">
      <w:marLeft w:val="0"/>
      <w:marRight w:val="0"/>
      <w:marTop w:val="0"/>
      <w:marBottom w:val="0"/>
      <w:divBdr>
        <w:top w:val="none" w:sz="0" w:space="0" w:color="auto"/>
        <w:left w:val="none" w:sz="0" w:space="0" w:color="auto"/>
        <w:bottom w:val="none" w:sz="0" w:space="0" w:color="auto"/>
        <w:right w:val="none" w:sz="0" w:space="0" w:color="auto"/>
      </w:divBdr>
    </w:div>
    <w:div w:id="529612327">
      <w:bodyDiv w:val="1"/>
      <w:marLeft w:val="45"/>
      <w:marRight w:val="45"/>
      <w:marTop w:val="90"/>
      <w:marBottom w:val="90"/>
      <w:divBdr>
        <w:top w:val="none" w:sz="0" w:space="0" w:color="auto"/>
        <w:left w:val="none" w:sz="0" w:space="0" w:color="auto"/>
        <w:bottom w:val="none" w:sz="0" w:space="0" w:color="auto"/>
        <w:right w:val="none" w:sz="0" w:space="0" w:color="auto"/>
      </w:divBdr>
      <w:divsChild>
        <w:div w:id="147694823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6776</Words>
  <Characters>3863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s;edes protokollēmuma projekta</vt:lpstr>
    </vt:vector>
  </TitlesOfParts>
  <Company>LR Izglītības un zinātnes ministrija</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sēdesdes protokollēmuma projekta</dc:title>
  <dc:subject>anotācija</dc:subject>
  <dc:creator>Kārkliņa</dc:creator>
  <cp:keywords>1293</cp:keywords>
  <dc:description>Kārkliņa, 67047977</dc:description>
  <cp:lastModifiedBy>itarvide</cp:lastModifiedBy>
  <cp:revision>3</cp:revision>
  <cp:lastPrinted>2012-06-08T05:39:00Z</cp:lastPrinted>
  <dcterms:created xsi:type="dcterms:W3CDTF">2012-06-11T11:10:00Z</dcterms:created>
  <dcterms:modified xsi:type="dcterms:W3CDTF">2012-06-11T14:49:00Z</dcterms:modified>
  <cp:category>IZM</cp:category>
</cp:coreProperties>
</file>