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9B2F21" w:rsidRDefault="005D6B8A" w:rsidP="005D6B8A">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5D6B8A" w:rsidP="009B2F21">
      <w:pPr>
        <w:pStyle w:val="BodyText"/>
        <w:jc w:val="center"/>
        <w:rPr>
          <w:b/>
          <w:sz w:val="28"/>
          <w:szCs w:val="28"/>
        </w:rPr>
      </w:pPr>
      <w:r w:rsidRPr="009B2F21">
        <w:rPr>
          <w:b/>
          <w:sz w:val="28"/>
          <w:szCs w:val="28"/>
        </w:rPr>
        <w:t>„</w:t>
      </w:r>
      <w:r w:rsidR="000805C1" w:rsidRPr="000805C1">
        <w:rPr>
          <w:b/>
          <w:sz w:val="28"/>
          <w:szCs w:val="28"/>
        </w:rPr>
        <w:t>Par Murjāņu sporta ģimnāzijas esošo būvju rekonstrukcijas projekta izstrādei paredzētā finansējuma pārdali</w:t>
      </w:r>
      <w:r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D731A4" w:rsidRDefault="00935E8C" w:rsidP="00935E8C">
            <w:pPr>
              <w:ind w:left="142" w:right="127"/>
              <w:jc w:val="both"/>
              <w:rPr>
                <w:sz w:val="26"/>
                <w:szCs w:val="26"/>
              </w:rPr>
            </w:pPr>
            <w:r>
              <w:rPr>
                <w:sz w:val="26"/>
                <w:szCs w:val="26"/>
              </w:rPr>
              <w:tab/>
            </w:r>
            <w:r w:rsidR="00CA0DC0">
              <w:rPr>
                <w:sz w:val="26"/>
                <w:szCs w:val="26"/>
              </w:rPr>
              <w:t>Nepieciešamība steidzami veikt pasākumus, lai</w:t>
            </w:r>
            <w:r w:rsidR="00D731A4">
              <w:rPr>
                <w:sz w:val="26"/>
                <w:szCs w:val="26"/>
              </w:rPr>
              <w:t>:</w:t>
            </w:r>
          </w:p>
          <w:p w:rsidR="00466E6C" w:rsidRDefault="00CA0DC0" w:rsidP="00D731A4">
            <w:pPr>
              <w:pStyle w:val="ListParagraph"/>
              <w:numPr>
                <w:ilvl w:val="0"/>
                <w:numId w:val="7"/>
              </w:numPr>
              <w:ind w:right="127"/>
              <w:jc w:val="both"/>
              <w:rPr>
                <w:sz w:val="26"/>
                <w:szCs w:val="26"/>
              </w:rPr>
            </w:pPr>
            <w:r w:rsidRPr="00D731A4">
              <w:rPr>
                <w:sz w:val="26"/>
                <w:szCs w:val="26"/>
              </w:rPr>
              <w:t xml:space="preserve">Murjāņu sporta ģimnāzija (turpmāk </w:t>
            </w:r>
            <w:r w:rsidR="00935E8C" w:rsidRPr="00D731A4">
              <w:rPr>
                <w:sz w:val="26"/>
                <w:szCs w:val="26"/>
              </w:rPr>
              <w:t>– Ģimnāzija)</w:t>
            </w:r>
            <w:r w:rsidRPr="00D731A4">
              <w:rPr>
                <w:sz w:val="26"/>
                <w:szCs w:val="26"/>
              </w:rPr>
              <w:t xml:space="preserve"> nezaudētu Ģimnāzijas ēku kompleksa rekonstrukcijas un renovācijas projekta </w:t>
            </w:r>
            <w:r w:rsidR="009277F4" w:rsidRPr="00D731A4">
              <w:rPr>
                <w:sz w:val="26"/>
                <w:szCs w:val="26"/>
              </w:rPr>
              <w:t xml:space="preserve">(turpmāk – Projekts) </w:t>
            </w:r>
            <w:r w:rsidR="00935E8C" w:rsidRPr="00D731A4">
              <w:rPr>
                <w:sz w:val="26"/>
                <w:szCs w:val="26"/>
              </w:rPr>
              <w:t xml:space="preserve">ietvaros paredzētā esošo būvju rekonstrukcijas projekta (turpmāk – Rekonstrukcijas projekts) izstrādei </w:t>
            </w:r>
            <w:r w:rsidRPr="00D731A4">
              <w:rPr>
                <w:sz w:val="26"/>
                <w:szCs w:val="26"/>
              </w:rPr>
              <w:t xml:space="preserve">2012.gadā </w:t>
            </w:r>
            <w:r w:rsidR="00935E8C" w:rsidRPr="00D731A4">
              <w:rPr>
                <w:sz w:val="26"/>
                <w:szCs w:val="26"/>
              </w:rPr>
              <w:t>piešķirtos</w:t>
            </w:r>
            <w:r w:rsidRPr="00D731A4">
              <w:rPr>
                <w:sz w:val="26"/>
                <w:szCs w:val="26"/>
              </w:rPr>
              <w:t xml:space="preserve"> valsts budžeta līdzekļus 72 600 latu apmērā, vienlaikus nodrošinot (1) Rekonstrukcijas projekta izstrādi un (2) neatstājot negatīvo fiskālo ietekmi uz valsts budžeta izde</w:t>
            </w:r>
            <w:r w:rsidR="00D731A4">
              <w:rPr>
                <w:sz w:val="26"/>
                <w:szCs w:val="26"/>
              </w:rPr>
              <w:t>vumiem gan 2012., gan 2013.gadā;</w:t>
            </w:r>
          </w:p>
          <w:p w:rsidR="00D731A4" w:rsidRPr="00D731A4" w:rsidRDefault="00D731A4" w:rsidP="00D731A4">
            <w:pPr>
              <w:pStyle w:val="ListParagraph"/>
              <w:numPr>
                <w:ilvl w:val="0"/>
                <w:numId w:val="7"/>
              </w:numPr>
              <w:ind w:right="127"/>
              <w:jc w:val="both"/>
              <w:rPr>
                <w:sz w:val="26"/>
                <w:szCs w:val="26"/>
              </w:rPr>
            </w:pPr>
            <w:r w:rsidRPr="00D731A4">
              <w:rPr>
                <w:sz w:val="26"/>
                <w:szCs w:val="26"/>
              </w:rPr>
              <w:t xml:space="preserve">neradītu risku </w:t>
            </w:r>
            <w:r>
              <w:rPr>
                <w:sz w:val="26"/>
                <w:szCs w:val="26"/>
              </w:rPr>
              <w:t xml:space="preserve">Projekta ietvaros plānoto </w:t>
            </w:r>
            <w:r w:rsidRPr="00D731A4">
              <w:rPr>
                <w:sz w:val="26"/>
                <w:szCs w:val="26"/>
              </w:rPr>
              <w:t>būvdarbu veikšanai 2013.gadā paredzēto valsts budžeta līdzekļu (1 002 595 latu apmērā) savlaicīgai apguvei</w:t>
            </w:r>
            <w:r>
              <w:rPr>
                <w:sz w:val="26"/>
                <w:szCs w:val="26"/>
              </w:rPr>
              <w:t>.</w:t>
            </w:r>
          </w:p>
        </w:tc>
      </w:tr>
      <w:tr w:rsidR="00585B7B" w:rsidRPr="00C13B05" w:rsidTr="00973598">
        <w:trPr>
          <w:trHeight w:val="4248"/>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973598" w:rsidRDefault="00973598" w:rsidP="00973598">
            <w:pPr>
              <w:ind w:firstLine="720"/>
              <w:rPr>
                <w:b/>
                <w:sz w:val="26"/>
                <w:szCs w:val="26"/>
              </w:rPr>
            </w:pPr>
            <w:r w:rsidRPr="008954F9">
              <w:rPr>
                <w:b/>
                <w:sz w:val="26"/>
                <w:szCs w:val="26"/>
              </w:rPr>
              <w:t xml:space="preserve">1. </w:t>
            </w:r>
            <w:r>
              <w:rPr>
                <w:b/>
                <w:sz w:val="26"/>
                <w:szCs w:val="26"/>
              </w:rPr>
              <w:t>Esošās situācijas raksturojums</w:t>
            </w:r>
          </w:p>
          <w:p w:rsidR="00973598" w:rsidRDefault="00973598" w:rsidP="00935E8C">
            <w:pPr>
              <w:ind w:left="142" w:right="127" w:firstLine="578"/>
              <w:jc w:val="both"/>
              <w:rPr>
                <w:sz w:val="26"/>
                <w:szCs w:val="26"/>
              </w:rPr>
            </w:pPr>
          </w:p>
          <w:p w:rsidR="00935E8C" w:rsidRDefault="00935E8C" w:rsidP="00935E8C">
            <w:pPr>
              <w:ind w:left="142" w:right="127" w:firstLine="578"/>
              <w:jc w:val="both"/>
              <w:rPr>
                <w:sz w:val="26"/>
                <w:szCs w:val="26"/>
              </w:rPr>
            </w:pPr>
            <w:r w:rsidRPr="008954F9">
              <w:rPr>
                <w:sz w:val="26"/>
                <w:szCs w:val="26"/>
              </w:rPr>
              <w:t>Ministru kabineta 20</w:t>
            </w:r>
            <w:r>
              <w:rPr>
                <w:sz w:val="26"/>
                <w:szCs w:val="26"/>
              </w:rPr>
              <w:t>12.gada</w:t>
            </w:r>
            <w:r w:rsidRPr="008954F9">
              <w:rPr>
                <w:sz w:val="26"/>
                <w:szCs w:val="26"/>
              </w:rPr>
              <w:t xml:space="preserve"> </w:t>
            </w:r>
            <w:r>
              <w:rPr>
                <w:sz w:val="26"/>
                <w:szCs w:val="26"/>
              </w:rPr>
              <w:t>26.jūnija sēdē, izskatot Izglītības un zinātnes ministrijas (turpmāk – ministrija) izstrādāto informatīvo ziņojumu</w:t>
            </w:r>
            <w:r w:rsidRPr="00E01CEF">
              <w:rPr>
                <w:sz w:val="26"/>
                <w:szCs w:val="26"/>
              </w:rPr>
              <w:t xml:space="preserve"> </w:t>
            </w:r>
            <w:r>
              <w:rPr>
                <w:sz w:val="26"/>
                <w:szCs w:val="26"/>
              </w:rPr>
              <w:t>„</w:t>
            </w:r>
            <w:r w:rsidRPr="002B0000">
              <w:rPr>
                <w:sz w:val="26"/>
                <w:szCs w:val="26"/>
              </w:rPr>
              <w:t>Par valsts īpašumā esošajās sporta bāzēs neatliekami veicamajiem darbiem un tiem nepieciešamo finansējumu</w:t>
            </w:r>
            <w:r>
              <w:rPr>
                <w:sz w:val="26"/>
                <w:szCs w:val="26"/>
              </w:rPr>
              <w:t xml:space="preserve">”, tika atbalstīta </w:t>
            </w:r>
            <w:r w:rsidRPr="008954F9">
              <w:rPr>
                <w:sz w:val="26"/>
                <w:szCs w:val="26"/>
              </w:rPr>
              <w:t>(prot.</w:t>
            </w:r>
            <w:r>
              <w:rPr>
                <w:sz w:val="26"/>
                <w:szCs w:val="26"/>
              </w:rPr>
              <w:t xml:space="preserve"> </w:t>
            </w:r>
            <w:r w:rsidRPr="008954F9">
              <w:rPr>
                <w:sz w:val="26"/>
                <w:szCs w:val="26"/>
              </w:rPr>
              <w:t>Nr.</w:t>
            </w:r>
            <w:r>
              <w:rPr>
                <w:sz w:val="26"/>
                <w:szCs w:val="26"/>
              </w:rPr>
              <w:t>36</w:t>
            </w:r>
            <w:r w:rsidRPr="008954F9">
              <w:rPr>
                <w:sz w:val="26"/>
                <w:szCs w:val="26"/>
              </w:rPr>
              <w:t xml:space="preserve"> </w:t>
            </w:r>
            <w:r>
              <w:rPr>
                <w:sz w:val="26"/>
                <w:szCs w:val="26"/>
              </w:rPr>
              <w:t>68</w:t>
            </w:r>
            <w:r w:rsidRPr="008954F9">
              <w:rPr>
                <w:sz w:val="26"/>
                <w:szCs w:val="26"/>
              </w:rPr>
              <w:t xml:space="preserve">.§, </w:t>
            </w:r>
            <w:r>
              <w:rPr>
                <w:sz w:val="26"/>
                <w:szCs w:val="26"/>
              </w:rPr>
              <w:t xml:space="preserve">2.punkts un 3.2.apakšpunkts) ministrijas padotībā esošās valsts dibinātās </w:t>
            </w:r>
            <w:r w:rsidRPr="00D066BA">
              <w:rPr>
                <w:sz w:val="26"/>
                <w:szCs w:val="26"/>
              </w:rPr>
              <w:t>vispārējās izglītības un sporta izglītības iestād</w:t>
            </w:r>
            <w:r>
              <w:rPr>
                <w:sz w:val="26"/>
                <w:szCs w:val="26"/>
              </w:rPr>
              <w:t xml:space="preserve">es – Ģimnāzijas Projekta </w:t>
            </w:r>
            <w:r w:rsidRPr="00D066BA">
              <w:rPr>
                <w:sz w:val="26"/>
                <w:szCs w:val="26"/>
              </w:rPr>
              <w:t>īstenošana</w:t>
            </w:r>
            <w:r>
              <w:rPr>
                <w:sz w:val="26"/>
                <w:szCs w:val="26"/>
              </w:rPr>
              <w:t xml:space="preserve"> 2012. – 2015.gadā. </w:t>
            </w:r>
            <w:r w:rsidRPr="008954F9">
              <w:rPr>
                <w:sz w:val="26"/>
                <w:szCs w:val="26"/>
              </w:rPr>
              <w:t>Ministru kabineta 20</w:t>
            </w:r>
            <w:r>
              <w:rPr>
                <w:sz w:val="26"/>
                <w:szCs w:val="26"/>
              </w:rPr>
              <w:t>12.gada</w:t>
            </w:r>
            <w:r w:rsidRPr="008954F9">
              <w:rPr>
                <w:sz w:val="26"/>
                <w:szCs w:val="26"/>
              </w:rPr>
              <w:t xml:space="preserve"> </w:t>
            </w:r>
            <w:r>
              <w:rPr>
                <w:sz w:val="26"/>
                <w:szCs w:val="26"/>
              </w:rPr>
              <w:t xml:space="preserve">10.jūlija sēdē, izskatot </w:t>
            </w:r>
            <w:r w:rsidRPr="00F03BD8">
              <w:rPr>
                <w:sz w:val="26"/>
                <w:szCs w:val="26"/>
              </w:rPr>
              <w:t>ministriju un citu centrālo valsts iestāžu iesniegt</w:t>
            </w:r>
            <w:r>
              <w:rPr>
                <w:sz w:val="26"/>
                <w:szCs w:val="26"/>
              </w:rPr>
              <w:t xml:space="preserve">os priekšlikumus likumprojektam „Grozījumi likumā „Par valsts budžetu 2012.gadam””, tika atbalstīta </w:t>
            </w:r>
            <w:r w:rsidRPr="008954F9">
              <w:rPr>
                <w:sz w:val="26"/>
                <w:szCs w:val="26"/>
              </w:rPr>
              <w:t>(prot.</w:t>
            </w:r>
            <w:r>
              <w:rPr>
                <w:sz w:val="26"/>
                <w:szCs w:val="26"/>
              </w:rPr>
              <w:t xml:space="preserve"> </w:t>
            </w:r>
            <w:r w:rsidRPr="008954F9">
              <w:rPr>
                <w:sz w:val="26"/>
                <w:szCs w:val="26"/>
              </w:rPr>
              <w:t>Nr.</w:t>
            </w:r>
            <w:r>
              <w:rPr>
                <w:sz w:val="26"/>
                <w:szCs w:val="26"/>
              </w:rPr>
              <w:t>39</w:t>
            </w:r>
            <w:r w:rsidRPr="008954F9">
              <w:rPr>
                <w:sz w:val="26"/>
                <w:szCs w:val="26"/>
              </w:rPr>
              <w:t xml:space="preserve"> </w:t>
            </w:r>
            <w:r>
              <w:rPr>
                <w:sz w:val="26"/>
                <w:szCs w:val="26"/>
              </w:rPr>
              <w:t>51</w:t>
            </w:r>
            <w:r w:rsidRPr="008954F9">
              <w:rPr>
                <w:sz w:val="26"/>
                <w:szCs w:val="26"/>
              </w:rPr>
              <w:t xml:space="preserve">.§, </w:t>
            </w:r>
            <w:r>
              <w:rPr>
                <w:sz w:val="26"/>
                <w:szCs w:val="26"/>
              </w:rPr>
              <w:t>17.1.apakšpunkts) papildus finanšu līdzekļu 72 600 latu apmērā piešķiršana ministrijai, lai nodrošinātu Ģ</w:t>
            </w:r>
            <w:r w:rsidRPr="00F03BD8">
              <w:rPr>
                <w:sz w:val="26"/>
                <w:szCs w:val="26"/>
              </w:rPr>
              <w:t>imnāzijas infrastruktūras attīstīb</w:t>
            </w:r>
            <w:r>
              <w:rPr>
                <w:sz w:val="26"/>
                <w:szCs w:val="26"/>
              </w:rPr>
              <w:t xml:space="preserve">u (Rekonstrukcijas projekta </w:t>
            </w:r>
            <w:r w:rsidRPr="00CA7ED4">
              <w:rPr>
                <w:sz w:val="26"/>
                <w:szCs w:val="26"/>
              </w:rPr>
              <w:t>izstrādi</w:t>
            </w:r>
            <w:r>
              <w:rPr>
                <w:sz w:val="26"/>
                <w:szCs w:val="26"/>
              </w:rPr>
              <w:t>). Attiecīgu priekšlikumu vēlāk atbalstīja arī Saeima, 2012.gada 13.septembrī pieņemot likumu „Grozījumi likumā „Par valsts budžetu 2012.gadam””.</w:t>
            </w:r>
          </w:p>
          <w:p w:rsidR="00935E8C" w:rsidRDefault="00935E8C" w:rsidP="00935E8C">
            <w:pPr>
              <w:ind w:left="142" w:right="127" w:firstLine="578"/>
              <w:jc w:val="both"/>
              <w:rPr>
                <w:sz w:val="26"/>
                <w:szCs w:val="26"/>
              </w:rPr>
            </w:pPr>
            <w:r>
              <w:rPr>
                <w:sz w:val="26"/>
                <w:szCs w:val="26"/>
              </w:rPr>
              <w:t>2012.gada 2.novembrī Ģimnāzija izsludināja atklātu konkursu „</w:t>
            </w:r>
            <w:r w:rsidRPr="007963C0">
              <w:rPr>
                <w:sz w:val="26"/>
                <w:szCs w:val="26"/>
              </w:rPr>
              <w:t>Murjāņu sporta ģimnāzijas esošo būvju rekonstrukcijas tehniskā projekta izstrā</w:t>
            </w:r>
            <w:r>
              <w:rPr>
                <w:sz w:val="26"/>
                <w:szCs w:val="26"/>
              </w:rPr>
              <w:t>de” (identifikācijas Nr.MSĢ 2012/9) (turpmāk – Konkurss).</w:t>
            </w:r>
          </w:p>
          <w:p w:rsidR="00935E8C" w:rsidRDefault="00935E8C" w:rsidP="00935E8C">
            <w:pPr>
              <w:ind w:left="142" w:right="127" w:firstLine="578"/>
              <w:jc w:val="both"/>
              <w:rPr>
                <w:sz w:val="26"/>
                <w:szCs w:val="26"/>
              </w:rPr>
            </w:pPr>
            <w:r>
              <w:rPr>
                <w:sz w:val="26"/>
                <w:szCs w:val="26"/>
              </w:rPr>
              <w:t>2012.gada 14.novembrī Ģimnāzija izsludināja Grozījumus Konkursa nolikumā.</w:t>
            </w:r>
          </w:p>
          <w:p w:rsidR="00935E8C" w:rsidRDefault="00935E8C" w:rsidP="00935E8C">
            <w:pPr>
              <w:ind w:left="142" w:right="127" w:firstLine="578"/>
              <w:jc w:val="both"/>
              <w:rPr>
                <w:sz w:val="26"/>
                <w:szCs w:val="26"/>
              </w:rPr>
            </w:pPr>
            <w:r>
              <w:rPr>
                <w:sz w:val="26"/>
                <w:szCs w:val="26"/>
              </w:rPr>
              <w:lastRenderedPageBreak/>
              <w:t>2012.gada 23.novembrī Iepirkumu uzraudzības birojā tika saņemta SIA „Jonika” (Reģ.Nr.40003061401) sūdzība par Konkursa nolikumu. Ievērojot minēto, kā arī pamatojoties uz Publisko iepirkumu likuma 83.panta 5</w:t>
            </w:r>
            <w:r w:rsidRPr="00120980">
              <w:rPr>
                <w:sz w:val="26"/>
                <w:szCs w:val="26"/>
                <w:vertAlign w:val="superscript"/>
              </w:rPr>
              <w:t>1</w:t>
            </w:r>
            <w:r>
              <w:rPr>
                <w:sz w:val="26"/>
                <w:szCs w:val="26"/>
              </w:rPr>
              <w:t>.daļā noteikto, piedāvājumu atvēršanas sanāksme tika atcelta un iesniegtie piedāvājumi atvērti netika.</w:t>
            </w:r>
          </w:p>
          <w:p w:rsidR="00935E8C" w:rsidRDefault="00935E8C" w:rsidP="00935E8C">
            <w:pPr>
              <w:ind w:left="142" w:right="127" w:firstLine="578"/>
              <w:jc w:val="both"/>
              <w:rPr>
                <w:sz w:val="26"/>
                <w:szCs w:val="26"/>
              </w:rPr>
            </w:pPr>
            <w:r>
              <w:rPr>
                <w:sz w:val="26"/>
                <w:szCs w:val="26"/>
              </w:rPr>
              <w:t xml:space="preserve">2012.gada 30.novembrī Ģimnāzija izsludināja Grozījumus Konkursa nolikumā, vienlaikus pagarinot piedāvājuma iesniegšanas termiņu līdz 2013.gada 7.janvārim. </w:t>
            </w:r>
          </w:p>
          <w:p w:rsidR="00935E8C" w:rsidRDefault="00935E8C" w:rsidP="00935E8C">
            <w:pPr>
              <w:ind w:left="142" w:right="127" w:firstLine="578"/>
              <w:jc w:val="both"/>
              <w:rPr>
                <w:sz w:val="26"/>
                <w:szCs w:val="26"/>
              </w:rPr>
            </w:pPr>
            <w:r>
              <w:rPr>
                <w:sz w:val="26"/>
                <w:szCs w:val="26"/>
              </w:rPr>
              <w:t xml:space="preserve">Ievērojot minēto, </w:t>
            </w:r>
            <w:r w:rsidRPr="00F338A6">
              <w:rPr>
                <w:sz w:val="26"/>
                <w:szCs w:val="26"/>
              </w:rPr>
              <w:t>201</w:t>
            </w:r>
            <w:r>
              <w:rPr>
                <w:sz w:val="26"/>
                <w:szCs w:val="26"/>
              </w:rPr>
              <w:t>2</w:t>
            </w:r>
            <w:r w:rsidRPr="00F338A6">
              <w:rPr>
                <w:sz w:val="26"/>
                <w:szCs w:val="26"/>
              </w:rPr>
              <w:t xml:space="preserve">.gada valsts budžeta programmas 09.00.00 „Sports” apakšprogrammā 09.10.00 „Murjāņu sporta ģimnāzija” </w:t>
            </w:r>
            <w:r>
              <w:rPr>
                <w:sz w:val="26"/>
                <w:szCs w:val="26"/>
              </w:rPr>
              <w:t xml:space="preserve">Rekonstrukcijas projekta izstrādei paredzētos </w:t>
            </w:r>
            <w:r w:rsidRPr="006953C9">
              <w:rPr>
                <w:sz w:val="26"/>
                <w:szCs w:val="26"/>
                <w:u w:val="single"/>
              </w:rPr>
              <w:t>valsts budžeta līdzekļus 72 600 latu apmērā minētam mērķim izlietot līdz 2012.gada beigām nav iespējams</w:t>
            </w:r>
            <w:r>
              <w:rPr>
                <w:sz w:val="26"/>
                <w:szCs w:val="26"/>
              </w:rPr>
              <w:t>.</w:t>
            </w:r>
          </w:p>
          <w:p w:rsidR="00935E8C" w:rsidRDefault="00935E8C" w:rsidP="00935E8C">
            <w:pPr>
              <w:ind w:left="142" w:right="127" w:firstLine="578"/>
              <w:jc w:val="both"/>
              <w:rPr>
                <w:sz w:val="26"/>
                <w:szCs w:val="26"/>
              </w:rPr>
            </w:pPr>
            <w:r w:rsidRPr="005F5C57">
              <w:rPr>
                <w:sz w:val="26"/>
                <w:szCs w:val="26"/>
              </w:rPr>
              <w:t>Saskaņā ar Likuma par budžetu un finanšu vadību</w:t>
            </w:r>
            <w:r>
              <w:rPr>
                <w:sz w:val="26"/>
                <w:szCs w:val="26"/>
              </w:rPr>
              <w:t xml:space="preserve"> 9.panta ceturto daļu v</w:t>
            </w:r>
            <w:r w:rsidRPr="00182215">
              <w:rPr>
                <w:sz w:val="26"/>
                <w:szCs w:val="26"/>
              </w:rPr>
              <w:t>isas apropriācijas zaudē spēku saimnieciskā gada beigās</w:t>
            </w:r>
            <w:r>
              <w:rPr>
                <w:sz w:val="26"/>
                <w:szCs w:val="26"/>
              </w:rPr>
              <w:t xml:space="preserve">. Tāpat saskaņā ar minētā likuma 27.panta otro daļu </w:t>
            </w:r>
            <w:r w:rsidRPr="00182215">
              <w:rPr>
                <w:sz w:val="26"/>
                <w:szCs w:val="26"/>
              </w:rPr>
              <w:t>Valsts kase katru gadu 31.decembrī slēdz visus atbilstoši kārtējā saimnieciskā gada valsts budžeta likumam atvērtos valsts pamatbudžeta kontus.</w:t>
            </w:r>
            <w:r>
              <w:rPr>
                <w:sz w:val="26"/>
                <w:szCs w:val="26"/>
              </w:rPr>
              <w:t xml:space="preserve"> Tādejādi Rekonstrukcijas projekta izstrādei </w:t>
            </w:r>
            <w:r w:rsidRPr="00F338A6">
              <w:rPr>
                <w:sz w:val="26"/>
                <w:szCs w:val="26"/>
              </w:rPr>
              <w:t>201</w:t>
            </w:r>
            <w:r>
              <w:rPr>
                <w:sz w:val="26"/>
                <w:szCs w:val="26"/>
              </w:rPr>
              <w:t>2</w:t>
            </w:r>
            <w:r w:rsidRPr="00F338A6">
              <w:rPr>
                <w:sz w:val="26"/>
                <w:szCs w:val="26"/>
              </w:rPr>
              <w:t xml:space="preserve">.gada valsts budžeta programmas 09.00.00 „Sports” apakšprogrammā 09.10.00 „Murjāņu sporta ģimnāzija” </w:t>
            </w:r>
            <w:r>
              <w:rPr>
                <w:sz w:val="26"/>
                <w:szCs w:val="26"/>
              </w:rPr>
              <w:t xml:space="preserve">paredzētos </w:t>
            </w:r>
            <w:r w:rsidRPr="006953C9">
              <w:rPr>
                <w:sz w:val="26"/>
                <w:szCs w:val="26"/>
                <w:u w:val="single"/>
              </w:rPr>
              <w:t>valsts budžeta līdzekļus 72 600 latu apmērā nebūs iespējams izmantot arī 2013.gadā</w:t>
            </w:r>
            <w:r>
              <w:rPr>
                <w:sz w:val="26"/>
                <w:szCs w:val="26"/>
              </w:rPr>
              <w:t>.</w:t>
            </w:r>
          </w:p>
          <w:p w:rsidR="00935E8C" w:rsidRDefault="00935E8C" w:rsidP="00935E8C">
            <w:pPr>
              <w:ind w:left="142" w:right="127" w:firstLine="578"/>
              <w:jc w:val="both"/>
              <w:rPr>
                <w:sz w:val="26"/>
                <w:szCs w:val="26"/>
              </w:rPr>
            </w:pPr>
            <w:r>
              <w:rPr>
                <w:sz w:val="26"/>
                <w:szCs w:val="26"/>
              </w:rPr>
              <w:t>2013.gada</w:t>
            </w:r>
            <w:r w:rsidRPr="00A92BF1">
              <w:rPr>
                <w:sz w:val="26"/>
                <w:szCs w:val="26"/>
              </w:rPr>
              <w:t xml:space="preserve"> </w:t>
            </w:r>
            <w:r w:rsidRPr="00F338A6">
              <w:rPr>
                <w:sz w:val="26"/>
                <w:szCs w:val="26"/>
              </w:rPr>
              <w:t>valsts budžeta programmas 09.00.00 „Sports” apakšprogrammā 09.10.00 „Murjāņu sporta ģimnāzija”</w:t>
            </w:r>
            <w:r>
              <w:rPr>
                <w:sz w:val="26"/>
                <w:szCs w:val="26"/>
              </w:rPr>
              <w:t xml:space="preserve"> Projekta īstenošanai kopumā paredzēti 1 112 595 lati. Lielākā daļa no minētās summas (1 002 595 lati) paredzēti dažādiem būvdarbiem, kuri tiešā veidā ir saistīti ar Rekonstrukcijas projekta izstrādi, proti, tie paredz Rekonstrukcijas projektā ietveramo būvdarbu veikšanu. Bez normatīvajos aktos noteiktā kārtībā izstrādāta un saskaņota Rekonstrukcija projekta nav iespējams izsludināt arī konkursu par būvdarbu veikšanu. Tādejādi Rekonstrukcija projekta neesamība </w:t>
            </w:r>
            <w:r w:rsidRPr="00D3197B">
              <w:rPr>
                <w:sz w:val="26"/>
                <w:szCs w:val="26"/>
                <w:u w:val="single"/>
              </w:rPr>
              <w:t>rada risku arī būvdarbu veikšanai 2013.gadā paredzēto valsts budžeta līdzekļu (1 002 595 latu apmērā) savlaicīgai apguvei</w:t>
            </w:r>
            <w:r>
              <w:rPr>
                <w:sz w:val="26"/>
                <w:szCs w:val="26"/>
              </w:rPr>
              <w:t>.</w:t>
            </w:r>
          </w:p>
          <w:p w:rsidR="00935E8C" w:rsidRDefault="00935E8C" w:rsidP="00935E8C">
            <w:pPr>
              <w:ind w:left="142" w:right="127" w:firstLine="578"/>
              <w:jc w:val="both"/>
              <w:rPr>
                <w:sz w:val="26"/>
                <w:szCs w:val="26"/>
              </w:rPr>
            </w:pPr>
            <w:r w:rsidRPr="005F5C57">
              <w:rPr>
                <w:sz w:val="26"/>
                <w:szCs w:val="26"/>
              </w:rPr>
              <w:t xml:space="preserve">Saskaņā ar Likuma par budžetu un finanšu vadību 46.panta pirmo daļu budžeta finansētu institūciju vadītāji ir atbildīgi par likumā noteiktās kārtības un prasību ievērošanu, izpildi un kontroli, kā arī par budžeta līdzekļu efektīvu un ekonomisku izlietošanu atbilstoši paredzētajiem mērķiem. Izglītības iestādes vadītāja atbildību par iestādes finanšu un materiālo līdzekļu racionālo izmantošanu nosaka arī Izglītības likuma </w:t>
            </w:r>
            <w:r w:rsidRPr="005F5C57">
              <w:rPr>
                <w:sz w:val="26"/>
                <w:szCs w:val="26"/>
              </w:rPr>
              <w:lastRenderedPageBreak/>
              <w:t>30.panta pirmā daļa un Vispārējās izglītības likuma 11.panta otrās daļas 5.punkts.</w:t>
            </w:r>
          </w:p>
          <w:p w:rsidR="00935E8C" w:rsidRDefault="00935E8C" w:rsidP="00935E8C">
            <w:pPr>
              <w:ind w:left="142" w:right="127" w:firstLine="578"/>
              <w:jc w:val="both"/>
              <w:rPr>
                <w:sz w:val="26"/>
                <w:szCs w:val="26"/>
              </w:rPr>
            </w:pPr>
            <w:r>
              <w:rPr>
                <w:sz w:val="26"/>
                <w:szCs w:val="26"/>
              </w:rPr>
              <w:t xml:space="preserve">2012.gada 13.decembrī ministrijā tika saņemta Ģimnāzijas 2012.gada 12.decembra vēstule Nr.1-19/224, kurā lūgts rast iespēju Rekonstrukcijas projekta izstrādei paredzētos valsts budžeta līdzekļus 72 600 latu apmērā atļaut izmantot </w:t>
            </w:r>
            <w:r w:rsidRPr="00130653">
              <w:rPr>
                <w:sz w:val="26"/>
                <w:szCs w:val="26"/>
              </w:rPr>
              <w:t xml:space="preserve">avansa maksājumiem par </w:t>
            </w:r>
            <w:r>
              <w:rPr>
                <w:sz w:val="26"/>
                <w:szCs w:val="26"/>
              </w:rPr>
              <w:t xml:space="preserve">dažādām </w:t>
            </w:r>
            <w:r w:rsidRPr="00130653">
              <w:rPr>
                <w:sz w:val="26"/>
                <w:szCs w:val="26"/>
              </w:rPr>
              <w:t>Ģimnāzijas</w:t>
            </w:r>
            <w:r>
              <w:rPr>
                <w:sz w:val="26"/>
                <w:szCs w:val="26"/>
              </w:rPr>
              <w:t xml:space="preserve"> un tās teritoriālo struktūrvienību </w:t>
            </w:r>
            <w:r w:rsidRPr="00130653">
              <w:rPr>
                <w:sz w:val="26"/>
                <w:szCs w:val="26"/>
              </w:rPr>
              <w:t>darbības nodrošināšanai nepieciešamajām precēm un pakalpojumiem</w:t>
            </w:r>
            <w:r>
              <w:rPr>
                <w:sz w:val="26"/>
                <w:szCs w:val="26"/>
              </w:rPr>
              <w:t>: (</w:t>
            </w:r>
            <w:r w:rsidRPr="00E75693">
              <w:rPr>
                <w:sz w:val="26"/>
                <w:szCs w:val="26"/>
              </w:rPr>
              <w:t>1</w:t>
            </w:r>
            <w:r>
              <w:rPr>
                <w:sz w:val="26"/>
                <w:szCs w:val="26"/>
              </w:rPr>
              <w:t>)</w:t>
            </w:r>
            <w:r w:rsidRPr="00E75693">
              <w:rPr>
                <w:sz w:val="26"/>
                <w:szCs w:val="26"/>
              </w:rPr>
              <w:t xml:space="preserve"> </w:t>
            </w:r>
            <w:r>
              <w:rPr>
                <w:sz w:val="26"/>
                <w:szCs w:val="26"/>
              </w:rPr>
              <w:t xml:space="preserve">par </w:t>
            </w:r>
            <w:r w:rsidRPr="00E75693">
              <w:rPr>
                <w:sz w:val="26"/>
                <w:szCs w:val="26"/>
              </w:rPr>
              <w:t>AS „Latvijas Gāze” sniegtajiem pakalpojumiem – 50 000 latu</w:t>
            </w:r>
            <w:r>
              <w:rPr>
                <w:sz w:val="26"/>
                <w:szCs w:val="26"/>
              </w:rPr>
              <w:t xml:space="preserve">, (2) par </w:t>
            </w:r>
            <w:r w:rsidRPr="00E75693">
              <w:rPr>
                <w:sz w:val="26"/>
                <w:szCs w:val="26"/>
              </w:rPr>
              <w:t>AS „Latvenergo” sniegta</w:t>
            </w:r>
            <w:r>
              <w:rPr>
                <w:sz w:val="26"/>
                <w:szCs w:val="26"/>
              </w:rPr>
              <w:t xml:space="preserve">jiem pakalpojumiem – 9 600 latu, (3) par </w:t>
            </w:r>
            <w:r w:rsidRPr="00E75693">
              <w:rPr>
                <w:sz w:val="26"/>
                <w:szCs w:val="26"/>
              </w:rPr>
              <w:t>SIA „Bobsleja un kamaniņu trase „Sigulda”” sniegtajiem pakalpojumiem – 10 000 latu</w:t>
            </w:r>
            <w:r>
              <w:rPr>
                <w:sz w:val="26"/>
                <w:szCs w:val="26"/>
              </w:rPr>
              <w:t xml:space="preserve"> un (2) par </w:t>
            </w:r>
            <w:r w:rsidRPr="00E75693">
              <w:rPr>
                <w:sz w:val="26"/>
                <w:szCs w:val="26"/>
              </w:rPr>
              <w:t>kurināmo (oglēm) – 3 000 latu.</w:t>
            </w:r>
            <w:r>
              <w:rPr>
                <w:sz w:val="26"/>
                <w:szCs w:val="26"/>
              </w:rPr>
              <w:t xml:space="preserve"> Būtiski ir atzīmēt, ka Ģimnāzija ir veikusi pārrunas ar attiecīgajiem preču un pakalpojumu piegādātājiem, kuri piekrituši avansa maksājumu veikšanai. Vienlaikus Ģimnāzija norāda, ka attiecīgas atļaujas saņemšanas gadījumā </w:t>
            </w:r>
            <w:r w:rsidRPr="00130653">
              <w:rPr>
                <w:sz w:val="26"/>
                <w:szCs w:val="26"/>
              </w:rPr>
              <w:t xml:space="preserve">ar </w:t>
            </w:r>
            <w:r>
              <w:rPr>
                <w:sz w:val="26"/>
                <w:szCs w:val="26"/>
              </w:rPr>
              <w:t>R</w:t>
            </w:r>
            <w:r w:rsidRPr="00130653">
              <w:rPr>
                <w:sz w:val="26"/>
                <w:szCs w:val="26"/>
              </w:rPr>
              <w:t>ekonstruk</w:t>
            </w:r>
            <w:r>
              <w:rPr>
                <w:sz w:val="26"/>
                <w:szCs w:val="26"/>
              </w:rPr>
              <w:t>cijas projekta izstrādi saistītie</w:t>
            </w:r>
            <w:r w:rsidRPr="00130653">
              <w:rPr>
                <w:sz w:val="26"/>
                <w:szCs w:val="26"/>
              </w:rPr>
              <w:t xml:space="preserve"> izdevum</w:t>
            </w:r>
            <w:r>
              <w:rPr>
                <w:sz w:val="26"/>
                <w:szCs w:val="26"/>
              </w:rPr>
              <w:t>i</w:t>
            </w:r>
            <w:r w:rsidRPr="00130653">
              <w:rPr>
                <w:sz w:val="26"/>
                <w:szCs w:val="26"/>
              </w:rPr>
              <w:t xml:space="preserve"> 72 600 latu apmērā </w:t>
            </w:r>
            <w:r>
              <w:rPr>
                <w:sz w:val="26"/>
                <w:szCs w:val="26"/>
              </w:rPr>
              <w:t>tiks segti no Ģimnāzijas 2013.gada budžeta (</w:t>
            </w:r>
            <w:r w:rsidRPr="00130653">
              <w:rPr>
                <w:sz w:val="26"/>
                <w:szCs w:val="26"/>
              </w:rPr>
              <w:t>2013.gada valsts budžeta programmas 09.00.00 „Sports” apakšprogramm</w:t>
            </w:r>
            <w:r>
              <w:rPr>
                <w:sz w:val="26"/>
                <w:szCs w:val="26"/>
              </w:rPr>
              <w:t>as</w:t>
            </w:r>
            <w:r w:rsidRPr="00130653">
              <w:rPr>
                <w:sz w:val="26"/>
                <w:szCs w:val="26"/>
              </w:rPr>
              <w:t xml:space="preserve"> 09.10.00 „Murjāņu sporta ģimnāzija”</w:t>
            </w:r>
            <w:r>
              <w:rPr>
                <w:sz w:val="26"/>
                <w:szCs w:val="26"/>
              </w:rPr>
              <w:t>)</w:t>
            </w:r>
            <w:r w:rsidRPr="00130653">
              <w:rPr>
                <w:sz w:val="26"/>
                <w:szCs w:val="26"/>
              </w:rPr>
              <w:t>.</w:t>
            </w:r>
          </w:p>
          <w:p w:rsidR="00935E8C" w:rsidRDefault="00935E8C" w:rsidP="00935E8C">
            <w:pPr>
              <w:ind w:left="142" w:right="127" w:firstLine="578"/>
              <w:jc w:val="both"/>
              <w:rPr>
                <w:sz w:val="26"/>
                <w:szCs w:val="26"/>
              </w:rPr>
            </w:pPr>
            <w:r>
              <w:rPr>
                <w:sz w:val="26"/>
                <w:szCs w:val="26"/>
              </w:rPr>
              <w:t>Ar Ministru kabineta 2012.gada 10.jūlija sēdes protokollēmuma „Informatīvais ziņojums „</w:t>
            </w:r>
            <w:r w:rsidRPr="00710C08">
              <w:rPr>
                <w:sz w:val="26"/>
                <w:szCs w:val="26"/>
              </w:rPr>
              <w:t>Par ministriju un citu centrālo valsts iestāžu iesniegtajiem priekšlikumiem likumpro</w:t>
            </w:r>
            <w:r>
              <w:rPr>
                <w:sz w:val="26"/>
                <w:szCs w:val="26"/>
              </w:rPr>
              <w:t>jektam „</w:t>
            </w:r>
            <w:r w:rsidRPr="00710C08">
              <w:rPr>
                <w:sz w:val="26"/>
                <w:szCs w:val="26"/>
              </w:rPr>
              <w:t xml:space="preserve">Grozījumi likumā </w:t>
            </w:r>
            <w:r>
              <w:rPr>
                <w:sz w:val="26"/>
                <w:szCs w:val="26"/>
              </w:rPr>
              <w:t>„</w:t>
            </w:r>
            <w:r w:rsidRPr="00710C08">
              <w:rPr>
                <w:sz w:val="26"/>
                <w:szCs w:val="26"/>
              </w:rPr>
              <w:t>Par valsts budžetu 2012.gadam</w:t>
            </w:r>
            <w:r>
              <w:rPr>
                <w:sz w:val="26"/>
                <w:szCs w:val="26"/>
              </w:rPr>
              <w:t>””””</w:t>
            </w:r>
            <w:r w:rsidRPr="00710C08">
              <w:rPr>
                <w:sz w:val="26"/>
                <w:szCs w:val="26"/>
              </w:rPr>
              <w:t xml:space="preserve"> </w:t>
            </w:r>
            <w:r w:rsidRPr="008954F9">
              <w:rPr>
                <w:sz w:val="26"/>
                <w:szCs w:val="26"/>
              </w:rPr>
              <w:t>(prot.</w:t>
            </w:r>
            <w:r>
              <w:rPr>
                <w:sz w:val="26"/>
                <w:szCs w:val="26"/>
              </w:rPr>
              <w:t xml:space="preserve"> </w:t>
            </w:r>
            <w:r w:rsidRPr="008954F9">
              <w:rPr>
                <w:sz w:val="26"/>
                <w:szCs w:val="26"/>
              </w:rPr>
              <w:t>Nr.</w:t>
            </w:r>
            <w:r>
              <w:rPr>
                <w:sz w:val="26"/>
                <w:szCs w:val="26"/>
              </w:rPr>
              <w:t>39</w:t>
            </w:r>
            <w:r w:rsidRPr="008954F9">
              <w:rPr>
                <w:sz w:val="26"/>
                <w:szCs w:val="26"/>
              </w:rPr>
              <w:t xml:space="preserve"> </w:t>
            </w:r>
            <w:r>
              <w:rPr>
                <w:sz w:val="26"/>
                <w:szCs w:val="26"/>
              </w:rPr>
              <w:t>51</w:t>
            </w:r>
            <w:r w:rsidRPr="008954F9">
              <w:rPr>
                <w:sz w:val="26"/>
                <w:szCs w:val="26"/>
              </w:rPr>
              <w:t>.§</w:t>
            </w:r>
            <w:r>
              <w:rPr>
                <w:sz w:val="26"/>
                <w:szCs w:val="26"/>
              </w:rPr>
              <w:t>) 52.punktu noteikts aizliegums ministrijām p</w:t>
            </w:r>
            <w:r w:rsidRPr="005D1448">
              <w:rPr>
                <w:sz w:val="26"/>
                <w:szCs w:val="26"/>
              </w:rPr>
              <w:t xml:space="preserve">ēc likuma „Grozījumi likumā „Par valsts budžetu 2012.gadam”” stāšanās spēkā </w:t>
            </w:r>
            <w:r>
              <w:rPr>
                <w:sz w:val="26"/>
                <w:szCs w:val="26"/>
              </w:rPr>
              <w:t>ies</w:t>
            </w:r>
            <w:r w:rsidRPr="005D1448">
              <w:rPr>
                <w:sz w:val="26"/>
                <w:szCs w:val="26"/>
              </w:rPr>
              <w:t>niegt priekšlikumus apropriācijas pārdalei no tām programmām (apakšprogrammām), kurās likumā „Grozījumi likumā „Par valsts budžetu 2012.gadam”” piešķirti papildu līdzekļi, izņemot gadījumu, ja ir pieņemts Ministru kabineta lēmums.</w:t>
            </w:r>
            <w:r>
              <w:rPr>
                <w:sz w:val="26"/>
                <w:szCs w:val="26"/>
              </w:rPr>
              <w:t xml:space="preserve"> Lai gan avansa maksājumu veikšana nav uzskatāma par apropriācijas pārdali, minētā Ministru kabineta lēmuma mērķis bija nodrošināt ar </w:t>
            </w:r>
            <w:r w:rsidRPr="005D1448">
              <w:rPr>
                <w:sz w:val="26"/>
                <w:szCs w:val="26"/>
              </w:rPr>
              <w:t>likum</w:t>
            </w:r>
            <w:r>
              <w:rPr>
                <w:sz w:val="26"/>
                <w:szCs w:val="26"/>
              </w:rPr>
              <w:t>u</w:t>
            </w:r>
            <w:r w:rsidRPr="005D1448">
              <w:rPr>
                <w:sz w:val="26"/>
                <w:szCs w:val="26"/>
              </w:rPr>
              <w:t xml:space="preserve"> „Grozījumi likumā „Par valsts budžetu 2012.gadam”” papildu </w:t>
            </w:r>
            <w:r>
              <w:rPr>
                <w:sz w:val="26"/>
                <w:szCs w:val="26"/>
              </w:rPr>
              <w:t xml:space="preserve">piešķirto </w:t>
            </w:r>
            <w:r w:rsidRPr="005D1448">
              <w:rPr>
                <w:sz w:val="26"/>
                <w:szCs w:val="26"/>
              </w:rPr>
              <w:t>līdzekļ</w:t>
            </w:r>
            <w:r>
              <w:rPr>
                <w:sz w:val="26"/>
                <w:szCs w:val="26"/>
              </w:rPr>
              <w:t>u izmantošanu atbilstoši Ministru kabinetā atbalstītajām prioritātēm un attiecīgi arī nepieļaut šo līdzekļu izmantošanu citiem mērķiem. Ievērojot minēto, attiecīgu lēmumu var pieņemt tikai Ministru kabinets.</w:t>
            </w:r>
          </w:p>
          <w:p w:rsidR="00935E8C" w:rsidRDefault="00935E8C" w:rsidP="00935E8C">
            <w:pPr>
              <w:pStyle w:val="NoSpacing"/>
              <w:ind w:left="142" w:right="127" w:firstLine="578"/>
              <w:rPr>
                <w:sz w:val="26"/>
                <w:szCs w:val="26"/>
              </w:rPr>
            </w:pPr>
            <w:r w:rsidRPr="006C6419">
              <w:rPr>
                <w:sz w:val="26"/>
                <w:szCs w:val="26"/>
              </w:rPr>
              <w:t xml:space="preserve">Ņemot vērā iepriekš minēto, kā arī, </w:t>
            </w:r>
            <w:r>
              <w:rPr>
                <w:sz w:val="26"/>
                <w:szCs w:val="26"/>
              </w:rPr>
              <w:t>apzinoties identificēto risku potenciāli negatīvo ietekmi ne tikai uz Ģimnāzijas turpmāko attīstību, bet arī uz piešķirto un turpmāko plānoto valsts budžeta līdzekļu izmantošanu atbilstoši tam paredzētam mērķim, nepieciešams steidzami meklēt piemērotāko risinājuma variantu.</w:t>
            </w:r>
          </w:p>
          <w:p w:rsidR="00973598" w:rsidRDefault="00973598" w:rsidP="00935E8C">
            <w:pPr>
              <w:pStyle w:val="NoSpacing"/>
              <w:ind w:left="142" w:right="127" w:firstLine="578"/>
              <w:rPr>
                <w:sz w:val="26"/>
                <w:szCs w:val="26"/>
              </w:rPr>
            </w:pPr>
          </w:p>
          <w:p w:rsidR="00973598" w:rsidRPr="008954F9" w:rsidRDefault="00973598" w:rsidP="00973598">
            <w:pPr>
              <w:ind w:firstLine="720"/>
              <w:rPr>
                <w:sz w:val="26"/>
                <w:szCs w:val="26"/>
              </w:rPr>
            </w:pPr>
            <w:r w:rsidRPr="008954F9">
              <w:rPr>
                <w:b/>
                <w:sz w:val="26"/>
                <w:szCs w:val="26"/>
              </w:rPr>
              <w:t xml:space="preserve">2. </w:t>
            </w:r>
            <w:r>
              <w:rPr>
                <w:b/>
                <w:sz w:val="26"/>
                <w:szCs w:val="26"/>
              </w:rPr>
              <w:t>Priekšlikumi turpmākai rīcībai</w:t>
            </w:r>
          </w:p>
          <w:p w:rsidR="00973598" w:rsidRPr="008954F9" w:rsidRDefault="00973598" w:rsidP="00973598">
            <w:pPr>
              <w:ind w:firstLine="720"/>
              <w:jc w:val="both"/>
              <w:rPr>
                <w:sz w:val="26"/>
                <w:szCs w:val="26"/>
              </w:rPr>
            </w:pPr>
          </w:p>
          <w:p w:rsidR="00973598" w:rsidRDefault="00973598" w:rsidP="00973598">
            <w:pPr>
              <w:pStyle w:val="NoSpacing"/>
              <w:ind w:left="142" w:right="127" w:firstLine="720"/>
              <w:rPr>
                <w:sz w:val="26"/>
                <w:szCs w:val="26"/>
              </w:rPr>
            </w:pPr>
            <w:r>
              <w:rPr>
                <w:sz w:val="26"/>
                <w:szCs w:val="26"/>
              </w:rPr>
              <w:t xml:space="preserve">Izvērtējot </w:t>
            </w:r>
            <w:r w:rsidRPr="005F5C57">
              <w:rPr>
                <w:sz w:val="26"/>
                <w:szCs w:val="26"/>
              </w:rPr>
              <w:t>Likum</w:t>
            </w:r>
            <w:r>
              <w:rPr>
                <w:sz w:val="26"/>
                <w:szCs w:val="26"/>
              </w:rPr>
              <w:t>ā</w:t>
            </w:r>
            <w:r w:rsidRPr="005F5C57">
              <w:rPr>
                <w:sz w:val="26"/>
                <w:szCs w:val="26"/>
              </w:rPr>
              <w:t xml:space="preserve"> par budžetu un finanšu vadību </w:t>
            </w:r>
            <w:r>
              <w:rPr>
                <w:sz w:val="26"/>
                <w:szCs w:val="26"/>
              </w:rPr>
              <w:t>un citos ar minēto likumu saistītajos normatīvajos aktos noteikto kārtību, secināms, ka vienīgais iespējamais risinājuma variants, lai Ģimnāzija nezaudētu Rekonstrukcijas projekta izstrādei 2012.gadā paredzētos valsts budžeta līdzekļus 72 600 latu apmērā, vienlaikus nodrošinot (1) Rekonstrukcijas projekta izstrādi un (2) neatstājot negatīvo fiskālo ietekmi uz valsts budžeta izdevumiem gan 2012., gan 2013.gadā, ir atļaut iepriekšminēto avansa maksājumu veikšanu, vienlaikus</w:t>
            </w:r>
            <w:r w:rsidRPr="00DC2052">
              <w:rPr>
                <w:sz w:val="26"/>
                <w:szCs w:val="26"/>
              </w:rPr>
              <w:t xml:space="preserve"> </w:t>
            </w:r>
            <w:r>
              <w:rPr>
                <w:sz w:val="26"/>
                <w:szCs w:val="26"/>
              </w:rPr>
              <w:t>nosakot pienākumu ar R</w:t>
            </w:r>
            <w:r w:rsidRPr="00130653">
              <w:rPr>
                <w:sz w:val="26"/>
                <w:szCs w:val="26"/>
              </w:rPr>
              <w:t>ekonstruk</w:t>
            </w:r>
            <w:r>
              <w:rPr>
                <w:sz w:val="26"/>
                <w:szCs w:val="26"/>
              </w:rPr>
              <w:t>cijas projekta izstrādi saistītos</w:t>
            </w:r>
            <w:r w:rsidRPr="00130653">
              <w:rPr>
                <w:sz w:val="26"/>
                <w:szCs w:val="26"/>
              </w:rPr>
              <w:t xml:space="preserve"> izdevum</w:t>
            </w:r>
            <w:r>
              <w:rPr>
                <w:sz w:val="26"/>
                <w:szCs w:val="26"/>
              </w:rPr>
              <w:t>us</w:t>
            </w:r>
            <w:r w:rsidRPr="00130653">
              <w:rPr>
                <w:sz w:val="26"/>
                <w:szCs w:val="26"/>
              </w:rPr>
              <w:t xml:space="preserve"> 72 600 latu apmērā </w:t>
            </w:r>
            <w:r>
              <w:rPr>
                <w:sz w:val="26"/>
                <w:szCs w:val="26"/>
              </w:rPr>
              <w:t>segt no Ģimnāzijas 2013.gada budžeta.</w:t>
            </w:r>
          </w:p>
          <w:p w:rsidR="00973598" w:rsidRDefault="00973598" w:rsidP="00973598">
            <w:pPr>
              <w:pStyle w:val="NoSpacing"/>
              <w:ind w:left="142" w:right="127" w:firstLine="720"/>
              <w:rPr>
                <w:sz w:val="26"/>
                <w:szCs w:val="26"/>
              </w:rPr>
            </w:pPr>
            <w:r>
              <w:rPr>
                <w:sz w:val="26"/>
                <w:szCs w:val="26"/>
              </w:rPr>
              <w:t>Kā alternatīva šim risinājuma variantam ir iespējama</w:t>
            </w:r>
            <w:r w:rsidRPr="00AF3EE9">
              <w:rPr>
                <w:sz w:val="26"/>
                <w:szCs w:val="26"/>
              </w:rPr>
              <w:t xml:space="preserve"> </w:t>
            </w:r>
            <w:r>
              <w:rPr>
                <w:sz w:val="26"/>
                <w:szCs w:val="26"/>
              </w:rPr>
              <w:t>ar R</w:t>
            </w:r>
            <w:r w:rsidRPr="00130653">
              <w:rPr>
                <w:sz w:val="26"/>
                <w:szCs w:val="26"/>
              </w:rPr>
              <w:t>ekonstruk</w:t>
            </w:r>
            <w:r>
              <w:rPr>
                <w:sz w:val="26"/>
                <w:szCs w:val="26"/>
              </w:rPr>
              <w:t>cijas projekta izstrādi saistīto</w:t>
            </w:r>
            <w:r w:rsidRPr="00130653">
              <w:rPr>
                <w:sz w:val="26"/>
                <w:szCs w:val="26"/>
              </w:rPr>
              <w:t xml:space="preserve"> izdevum</w:t>
            </w:r>
            <w:r>
              <w:rPr>
                <w:sz w:val="26"/>
                <w:szCs w:val="26"/>
              </w:rPr>
              <w:t xml:space="preserve">u segšana no likumā „Par valsts budžetu 2013.gadam” noteiktās apropriācijas rezerves (Finanšu ministrijas budžeta programma 01.00.00 „Apropriācijas rezerve”), ievērojot </w:t>
            </w:r>
            <w:r w:rsidRPr="005F5C57">
              <w:rPr>
                <w:sz w:val="26"/>
                <w:szCs w:val="26"/>
              </w:rPr>
              <w:t>Likum</w:t>
            </w:r>
            <w:r>
              <w:rPr>
                <w:sz w:val="26"/>
                <w:szCs w:val="26"/>
              </w:rPr>
              <w:t>a</w:t>
            </w:r>
            <w:r w:rsidRPr="005F5C57">
              <w:rPr>
                <w:sz w:val="26"/>
                <w:szCs w:val="26"/>
              </w:rPr>
              <w:t xml:space="preserve"> par budžetu un finanšu vadību</w:t>
            </w:r>
            <w:r>
              <w:rPr>
                <w:sz w:val="26"/>
                <w:szCs w:val="26"/>
              </w:rPr>
              <w:t xml:space="preserve"> 9.</w:t>
            </w:r>
            <w:r w:rsidRPr="00BD2340">
              <w:rPr>
                <w:sz w:val="26"/>
                <w:szCs w:val="26"/>
                <w:vertAlign w:val="superscript"/>
              </w:rPr>
              <w:t>1</w:t>
            </w:r>
            <w:r>
              <w:rPr>
                <w:sz w:val="26"/>
                <w:szCs w:val="26"/>
              </w:rPr>
              <w:t>pantā</w:t>
            </w:r>
            <w:r w:rsidRPr="00BD2340">
              <w:rPr>
                <w:sz w:val="26"/>
                <w:szCs w:val="26"/>
              </w:rPr>
              <w:t xml:space="preserve"> </w:t>
            </w:r>
            <w:r>
              <w:rPr>
                <w:sz w:val="26"/>
                <w:szCs w:val="26"/>
              </w:rPr>
              <w:t xml:space="preserve">un </w:t>
            </w:r>
            <w:r w:rsidRPr="00097E3F">
              <w:rPr>
                <w:sz w:val="26"/>
                <w:szCs w:val="26"/>
              </w:rPr>
              <w:t>Ministru kabineta 2007.gada 28.august</w:t>
            </w:r>
            <w:r>
              <w:rPr>
                <w:sz w:val="26"/>
                <w:szCs w:val="26"/>
              </w:rPr>
              <w:t>a</w:t>
            </w:r>
            <w:r w:rsidRPr="00097E3F">
              <w:rPr>
                <w:sz w:val="26"/>
                <w:szCs w:val="26"/>
              </w:rPr>
              <w:t xml:space="preserve"> noteikum</w:t>
            </w:r>
            <w:r>
              <w:rPr>
                <w:sz w:val="26"/>
                <w:szCs w:val="26"/>
              </w:rPr>
              <w:t>os</w:t>
            </w:r>
            <w:r w:rsidRPr="00097E3F">
              <w:rPr>
                <w:sz w:val="26"/>
                <w:szCs w:val="26"/>
              </w:rPr>
              <w:t xml:space="preserve"> Nr.594 </w:t>
            </w:r>
            <w:r>
              <w:rPr>
                <w:sz w:val="26"/>
                <w:szCs w:val="26"/>
              </w:rPr>
              <w:t>„</w:t>
            </w:r>
            <w:r w:rsidRPr="00097E3F">
              <w:rPr>
                <w:sz w:val="26"/>
                <w:szCs w:val="26"/>
              </w:rPr>
              <w:t>Noteikumi par valsts budžeta apropriācijas rezerves izmantošanu</w:t>
            </w:r>
            <w:r>
              <w:rPr>
                <w:sz w:val="26"/>
                <w:szCs w:val="26"/>
              </w:rPr>
              <w:t>” noteikto kārtību. Šāds risinājuma variants ir pamatojams ar to, ka iepriekšminēto Ministru kabineta noteikumu 5.punkts kā vienu no gadījumiem, kad</w:t>
            </w:r>
            <w:r w:rsidRPr="00965DF5">
              <w:rPr>
                <w:sz w:val="26"/>
                <w:szCs w:val="26"/>
              </w:rPr>
              <w:t xml:space="preserve"> </w:t>
            </w:r>
            <w:r w:rsidRPr="00590BBD">
              <w:rPr>
                <w:sz w:val="26"/>
                <w:szCs w:val="26"/>
              </w:rPr>
              <w:t>ministrijas var pieteikties</w:t>
            </w:r>
            <w:r>
              <w:rPr>
                <w:sz w:val="26"/>
                <w:szCs w:val="26"/>
              </w:rPr>
              <w:t xml:space="preserve"> uz </w:t>
            </w:r>
            <w:r w:rsidRPr="00590BBD">
              <w:rPr>
                <w:sz w:val="26"/>
                <w:szCs w:val="26"/>
              </w:rPr>
              <w:t>apropriācijas rezervi</w:t>
            </w:r>
            <w:r>
              <w:rPr>
                <w:sz w:val="26"/>
                <w:szCs w:val="26"/>
              </w:rPr>
              <w:t xml:space="preserve">, paredz situācijas, kad </w:t>
            </w:r>
            <w:r w:rsidRPr="00590BBD">
              <w:rPr>
                <w:sz w:val="26"/>
                <w:szCs w:val="26"/>
              </w:rPr>
              <w:t>bija uzsākta un netik</w:t>
            </w:r>
            <w:r>
              <w:rPr>
                <w:sz w:val="26"/>
                <w:szCs w:val="26"/>
              </w:rPr>
              <w:t xml:space="preserve">a pabeigta iepirkumu procedūra, kas tiešā veidā ir attiecināms uz šo konkrēto situāciju. Tomēr šajā gadījumā jautājums ir saistīts ar valsts budžeta līdzekļu samazinājumu 2013.gada Finanšu ministrijas budžeta programmā 01.00.00 „Apropriācijas rezerve”. Turklāt, nav iespējams prognozēt termiņu, kādā pēc attiecīga ministrijas pieteikuma varētu tikt veikts </w:t>
            </w:r>
            <w:r w:rsidRPr="003419F0">
              <w:rPr>
                <w:sz w:val="26"/>
                <w:szCs w:val="26"/>
              </w:rPr>
              <w:t>apropriācijas rezerves asignējums</w:t>
            </w:r>
            <w:r>
              <w:rPr>
                <w:sz w:val="26"/>
                <w:szCs w:val="26"/>
              </w:rPr>
              <w:t xml:space="preserve">, tādejādi radot risku </w:t>
            </w:r>
            <w:r w:rsidRPr="0032046C">
              <w:rPr>
                <w:sz w:val="26"/>
                <w:szCs w:val="26"/>
              </w:rPr>
              <w:t>būvdarbu veikšanai 2013.gadā paredzēto valsts budžeta līdzekļu savlaicīgai apguvei.</w:t>
            </w:r>
          </w:p>
          <w:p w:rsidR="00973598" w:rsidRPr="00130653" w:rsidRDefault="00973598" w:rsidP="00973598">
            <w:pPr>
              <w:pStyle w:val="NoSpacing"/>
              <w:ind w:left="142" w:right="127" w:firstLine="720"/>
              <w:rPr>
                <w:sz w:val="26"/>
                <w:szCs w:val="26"/>
              </w:rPr>
            </w:pPr>
            <w:r w:rsidRPr="006C6419">
              <w:rPr>
                <w:sz w:val="26"/>
                <w:szCs w:val="26"/>
              </w:rPr>
              <w:t>Ņemot vērā iepriekš minēto</w:t>
            </w:r>
            <w:r>
              <w:rPr>
                <w:sz w:val="26"/>
                <w:szCs w:val="26"/>
              </w:rPr>
              <w:t>, ministrija par piemērotāko atzīt pirmo risinājuma variantu un lūdz a</w:t>
            </w:r>
            <w:r w:rsidRPr="00130653">
              <w:rPr>
                <w:sz w:val="26"/>
                <w:szCs w:val="26"/>
              </w:rPr>
              <w:t xml:space="preserve">tļaut </w:t>
            </w:r>
            <w:r>
              <w:rPr>
                <w:sz w:val="26"/>
                <w:szCs w:val="26"/>
              </w:rPr>
              <w:t>Ģi</w:t>
            </w:r>
            <w:r w:rsidRPr="00130653">
              <w:rPr>
                <w:sz w:val="26"/>
                <w:szCs w:val="26"/>
              </w:rPr>
              <w:t xml:space="preserve">mnāzijai 2012.gada valsts budžeta programmas 09.00.00 „Sports” apakšprogrammā 09.10.00 „Murjāņu sporta ģimnāzija” </w:t>
            </w:r>
            <w:r>
              <w:rPr>
                <w:sz w:val="26"/>
                <w:szCs w:val="26"/>
              </w:rPr>
              <w:t>P</w:t>
            </w:r>
            <w:r w:rsidRPr="00130653">
              <w:rPr>
                <w:sz w:val="26"/>
                <w:szCs w:val="26"/>
              </w:rPr>
              <w:t xml:space="preserve">rojekta ietvaros 2012.gadā paredzētā </w:t>
            </w:r>
            <w:r>
              <w:rPr>
                <w:sz w:val="26"/>
                <w:szCs w:val="26"/>
              </w:rPr>
              <w:t>R</w:t>
            </w:r>
            <w:r w:rsidRPr="00130653">
              <w:rPr>
                <w:sz w:val="26"/>
                <w:szCs w:val="26"/>
              </w:rPr>
              <w:t>ekonstrukcijas projekta izstrādei piešķirtos finanšu līdzekļus</w:t>
            </w:r>
            <w:r>
              <w:rPr>
                <w:sz w:val="26"/>
                <w:szCs w:val="26"/>
              </w:rPr>
              <w:t xml:space="preserve"> </w:t>
            </w:r>
            <w:r w:rsidRPr="00130653">
              <w:rPr>
                <w:sz w:val="26"/>
                <w:szCs w:val="26"/>
              </w:rPr>
              <w:t xml:space="preserve">72 600 latu apmērā novirzīt avansa maksājumiem par šādām Ģimnāzijas </w:t>
            </w:r>
            <w:r>
              <w:rPr>
                <w:sz w:val="26"/>
                <w:szCs w:val="26"/>
              </w:rPr>
              <w:t xml:space="preserve">un tās teritoriālo struktūrvienību </w:t>
            </w:r>
            <w:r w:rsidRPr="00130653">
              <w:rPr>
                <w:sz w:val="26"/>
                <w:szCs w:val="26"/>
              </w:rPr>
              <w:t>darbības nodrošināšanai nepieciešamajām precēm un pakalpojumiem:</w:t>
            </w:r>
          </w:p>
          <w:p w:rsidR="00973598" w:rsidRPr="00130653" w:rsidRDefault="00973598" w:rsidP="00973598">
            <w:pPr>
              <w:pStyle w:val="NoSpacing"/>
              <w:ind w:left="142" w:right="127" w:firstLine="720"/>
              <w:rPr>
                <w:sz w:val="26"/>
                <w:szCs w:val="26"/>
              </w:rPr>
            </w:pPr>
            <w:r>
              <w:rPr>
                <w:sz w:val="26"/>
                <w:szCs w:val="26"/>
              </w:rPr>
              <w:lastRenderedPageBreak/>
              <w:t>(</w:t>
            </w:r>
            <w:r w:rsidRPr="00130653">
              <w:rPr>
                <w:sz w:val="26"/>
                <w:szCs w:val="26"/>
              </w:rPr>
              <w:t>1</w:t>
            </w:r>
            <w:r>
              <w:rPr>
                <w:sz w:val="26"/>
                <w:szCs w:val="26"/>
              </w:rPr>
              <w:t>)</w:t>
            </w:r>
            <w:r w:rsidRPr="00130653">
              <w:rPr>
                <w:sz w:val="26"/>
                <w:szCs w:val="26"/>
              </w:rPr>
              <w:t xml:space="preserve"> AS „Latvijas Gāze” sniegtajiem pakalpojumiem – 50 000 latu;</w:t>
            </w:r>
          </w:p>
          <w:p w:rsidR="00973598" w:rsidRPr="00130653" w:rsidRDefault="00973598" w:rsidP="00973598">
            <w:pPr>
              <w:pStyle w:val="NoSpacing"/>
              <w:ind w:left="142" w:right="127" w:firstLine="720"/>
              <w:rPr>
                <w:sz w:val="26"/>
                <w:szCs w:val="26"/>
              </w:rPr>
            </w:pPr>
            <w:r>
              <w:rPr>
                <w:sz w:val="26"/>
                <w:szCs w:val="26"/>
              </w:rPr>
              <w:t>(</w:t>
            </w:r>
            <w:r w:rsidRPr="00130653">
              <w:rPr>
                <w:sz w:val="26"/>
                <w:szCs w:val="26"/>
              </w:rPr>
              <w:t>2</w:t>
            </w:r>
            <w:r>
              <w:rPr>
                <w:sz w:val="26"/>
                <w:szCs w:val="26"/>
              </w:rPr>
              <w:t>)</w:t>
            </w:r>
            <w:r w:rsidRPr="00130653">
              <w:rPr>
                <w:sz w:val="26"/>
                <w:szCs w:val="26"/>
              </w:rPr>
              <w:t xml:space="preserve"> AS „Latvenergo” sniegtajiem pakalpojumiem – 9 600 latu;</w:t>
            </w:r>
          </w:p>
          <w:p w:rsidR="00973598" w:rsidRPr="00130653" w:rsidRDefault="00973598" w:rsidP="00973598">
            <w:pPr>
              <w:pStyle w:val="NoSpacing"/>
              <w:ind w:left="142" w:right="127" w:firstLine="720"/>
              <w:rPr>
                <w:sz w:val="26"/>
                <w:szCs w:val="26"/>
              </w:rPr>
            </w:pPr>
            <w:r>
              <w:rPr>
                <w:sz w:val="26"/>
                <w:szCs w:val="26"/>
              </w:rPr>
              <w:t>(</w:t>
            </w:r>
            <w:r w:rsidRPr="00130653">
              <w:rPr>
                <w:sz w:val="26"/>
                <w:szCs w:val="26"/>
              </w:rPr>
              <w:t>3</w:t>
            </w:r>
            <w:r>
              <w:rPr>
                <w:sz w:val="26"/>
                <w:szCs w:val="26"/>
              </w:rPr>
              <w:t>)</w:t>
            </w:r>
            <w:r w:rsidRPr="00130653">
              <w:rPr>
                <w:sz w:val="26"/>
                <w:szCs w:val="26"/>
              </w:rPr>
              <w:t xml:space="preserve"> SIA „Bobsleja un kamaniņu trase „Sigulda”” sniegtajiem pakalpojumiem – 10 000 latu;</w:t>
            </w:r>
          </w:p>
          <w:p w:rsidR="00973598" w:rsidRPr="00130653" w:rsidRDefault="00973598" w:rsidP="00973598">
            <w:pPr>
              <w:pStyle w:val="NoSpacing"/>
              <w:ind w:left="142" w:right="127" w:firstLine="720"/>
              <w:rPr>
                <w:sz w:val="26"/>
                <w:szCs w:val="26"/>
              </w:rPr>
            </w:pPr>
            <w:r>
              <w:rPr>
                <w:sz w:val="26"/>
                <w:szCs w:val="26"/>
              </w:rPr>
              <w:t>(</w:t>
            </w:r>
            <w:r w:rsidRPr="00130653">
              <w:rPr>
                <w:sz w:val="26"/>
                <w:szCs w:val="26"/>
              </w:rPr>
              <w:t>4</w:t>
            </w:r>
            <w:r>
              <w:rPr>
                <w:sz w:val="26"/>
                <w:szCs w:val="26"/>
              </w:rPr>
              <w:t>)</w:t>
            </w:r>
            <w:r w:rsidRPr="00130653">
              <w:rPr>
                <w:sz w:val="26"/>
                <w:szCs w:val="26"/>
              </w:rPr>
              <w:t xml:space="preserve"> kurināmo (oglēm) – 3 000 latu.</w:t>
            </w:r>
          </w:p>
          <w:p w:rsidR="00973598" w:rsidRDefault="00973598" w:rsidP="00973598">
            <w:pPr>
              <w:pStyle w:val="NoSpacing"/>
              <w:ind w:left="142" w:right="127" w:firstLine="720"/>
              <w:rPr>
                <w:sz w:val="26"/>
                <w:szCs w:val="26"/>
              </w:rPr>
            </w:pPr>
            <w:r>
              <w:rPr>
                <w:sz w:val="26"/>
                <w:szCs w:val="26"/>
              </w:rPr>
              <w:t>Vienlaikus nepieciešams paredzēt uzdevumu m</w:t>
            </w:r>
            <w:r w:rsidRPr="00130653">
              <w:rPr>
                <w:sz w:val="26"/>
                <w:szCs w:val="26"/>
              </w:rPr>
              <w:t xml:space="preserve">inistrijai (Ģimnāzijai) nodrošināt ar </w:t>
            </w:r>
            <w:r>
              <w:rPr>
                <w:sz w:val="26"/>
                <w:szCs w:val="26"/>
              </w:rPr>
              <w:t>P</w:t>
            </w:r>
            <w:r w:rsidRPr="00130653">
              <w:rPr>
                <w:sz w:val="26"/>
                <w:szCs w:val="26"/>
              </w:rPr>
              <w:t xml:space="preserve">rojekta ietvaros paredzētā </w:t>
            </w:r>
            <w:r>
              <w:rPr>
                <w:sz w:val="26"/>
                <w:szCs w:val="26"/>
              </w:rPr>
              <w:t>R</w:t>
            </w:r>
            <w:r w:rsidRPr="00130653">
              <w:rPr>
                <w:sz w:val="26"/>
                <w:szCs w:val="26"/>
              </w:rPr>
              <w:t>ekonstrukcijas projekta izstrādi saistīto izdevumu 72 600 latu apmērā segšanu no 2013.gada valsts budžeta programmas 09.00.00 „Sports” apakšprogrammā 09.10.00 „Murjāņu sporta ģimnāzija” piešķirtajiem finanšu līdzekļiem.</w:t>
            </w:r>
          </w:p>
          <w:p w:rsidR="00973598" w:rsidRDefault="00973598" w:rsidP="00973598">
            <w:pPr>
              <w:pStyle w:val="NoSpacing"/>
              <w:ind w:left="142" w:right="127" w:firstLine="720"/>
              <w:rPr>
                <w:sz w:val="26"/>
                <w:szCs w:val="26"/>
              </w:rPr>
            </w:pPr>
          </w:p>
          <w:p w:rsidR="004E12FF" w:rsidRPr="00C13B05" w:rsidRDefault="00973598" w:rsidP="00973598">
            <w:pPr>
              <w:pStyle w:val="NoSpacing"/>
              <w:ind w:left="142" w:right="127" w:firstLine="720"/>
              <w:rPr>
                <w:sz w:val="26"/>
                <w:szCs w:val="26"/>
              </w:rPr>
            </w:pPr>
            <w:r>
              <w:rPr>
                <w:sz w:val="26"/>
                <w:szCs w:val="26"/>
              </w:rPr>
              <w:t xml:space="preserve">Ievērojot minēto, ministrija ir sagatavojusi </w:t>
            </w:r>
            <w:r w:rsidR="00935E8C">
              <w:rPr>
                <w:sz w:val="26"/>
                <w:szCs w:val="26"/>
              </w:rPr>
              <w:t>Ministru kabineta rīkojuma projektu</w:t>
            </w:r>
            <w:r>
              <w:rPr>
                <w:sz w:val="26"/>
                <w:szCs w:val="26"/>
              </w:rPr>
              <w:t xml:space="preserve"> „</w:t>
            </w:r>
            <w:r w:rsidRPr="00973598">
              <w:rPr>
                <w:sz w:val="26"/>
                <w:szCs w:val="26"/>
              </w:rPr>
              <w:t>Par Murjāņu sporta ģimnāzijas esošo būvju rekonstrukcijas projekta izstrādei paredzētā finansējuma pārdali</w:t>
            </w:r>
            <w:r>
              <w:rPr>
                <w:sz w:val="26"/>
                <w:szCs w:val="26"/>
              </w:rPr>
              <w:t>” (turpmāk – Rīkojuma projekts)</w:t>
            </w:r>
            <w:r w:rsidR="00935E8C">
              <w:rPr>
                <w:sz w:val="26"/>
                <w:szCs w:val="26"/>
              </w:rPr>
              <w:t>.</w:t>
            </w: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973598">
        <w:trPr>
          <w:trHeight w:val="4578"/>
        </w:trPr>
        <w:tc>
          <w:tcPr>
            <w:tcW w:w="998" w:type="dxa"/>
          </w:tcPr>
          <w:p w:rsidR="00585B7B" w:rsidRPr="00C13B05" w:rsidRDefault="00585B7B" w:rsidP="00973598">
            <w:pPr>
              <w:pStyle w:val="naiskr"/>
              <w:spacing w:before="0" w:after="0"/>
              <w:jc w:val="center"/>
              <w:rPr>
                <w:sz w:val="26"/>
                <w:szCs w:val="26"/>
              </w:rPr>
            </w:pPr>
            <w:r w:rsidRPr="00C13B05">
              <w:rPr>
                <w:sz w:val="26"/>
                <w:szCs w:val="26"/>
              </w:rPr>
              <w:t>4</w:t>
            </w:r>
            <w:r w:rsidR="00973598">
              <w:rPr>
                <w:sz w:val="26"/>
                <w:szCs w:val="26"/>
              </w:rPr>
              <w:t>.</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7A0D97" w:rsidRDefault="00B96B6E" w:rsidP="00073118">
            <w:pPr>
              <w:ind w:left="82" w:right="141"/>
              <w:jc w:val="both"/>
              <w:rPr>
                <w:rFonts w:eastAsia="Times New Roman"/>
                <w:color w:val="000000"/>
                <w:sz w:val="26"/>
                <w:szCs w:val="26"/>
              </w:rPr>
            </w:pPr>
            <w:r w:rsidRPr="00C13B05">
              <w:rPr>
                <w:rFonts w:eastAsia="Times New Roman"/>
                <w:color w:val="000000"/>
                <w:sz w:val="26"/>
                <w:szCs w:val="26"/>
              </w:rPr>
              <w:t>Rīkojuma projekts paredz</w:t>
            </w:r>
            <w:r w:rsidR="007A0D97">
              <w:rPr>
                <w:rFonts w:eastAsia="Times New Roman"/>
                <w:color w:val="000000"/>
                <w:sz w:val="26"/>
                <w:szCs w:val="26"/>
              </w:rPr>
              <w:t>:</w:t>
            </w:r>
          </w:p>
          <w:p w:rsidR="00935E8C" w:rsidRPr="00935E8C" w:rsidRDefault="00935E8C" w:rsidP="00935E8C">
            <w:pPr>
              <w:ind w:left="142" w:right="127"/>
              <w:jc w:val="both"/>
              <w:rPr>
                <w:sz w:val="26"/>
                <w:szCs w:val="26"/>
              </w:rPr>
            </w:pPr>
            <w:r>
              <w:rPr>
                <w:sz w:val="26"/>
                <w:szCs w:val="26"/>
              </w:rPr>
              <w:t xml:space="preserve">(1) </w:t>
            </w:r>
            <w:r w:rsidRPr="00935E8C">
              <w:rPr>
                <w:sz w:val="26"/>
                <w:szCs w:val="26"/>
              </w:rPr>
              <w:t xml:space="preserve">Atļaut </w:t>
            </w:r>
            <w:r>
              <w:rPr>
                <w:sz w:val="26"/>
                <w:szCs w:val="26"/>
              </w:rPr>
              <w:t xml:space="preserve">Ģimnāzijai </w:t>
            </w:r>
            <w:r w:rsidRPr="00935E8C">
              <w:rPr>
                <w:sz w:val="26"/>
                <w:szCs w:val="26"/>
              </w:rPr>
              <w:t xml:space="preserve">2012.gada valsts budžeta programmas 09.00.00 „Sports” apakšprogrammā 09.10.00 „Murjāņu sporta ģimnāzija” </w:t>
            </w:r>
            <w:r>
              <w:rPr>
                <w:sz w:val="26"/>
                <w:szCs w:val="26"/>
              </w:rPr>
              <w:t>P</w:t>
            </w:r>
            <w:r w:rsidRPr="00935E8C">
              <w:rPr>
                <w:sz w:val="26"/>
                <w:szCs w:val="26"/>
              </w:rPr>
              <w:t xml:space="preserve">rojekta ietvaros 2012.gadā paredzētā </w:t>
            </w:r>
            <w:r>
              <w:rPr>
                <w:sz w:val="26"/>
                <w:szCs w:val="26"/>
              </w:rPr>
              <w:t>R</w:t>
            </w:r>
            <w:r w:rsidRPr="00935E8C">
              <w:rPr>
                <w:sz w:val="26"/>
                <w:szCs w:val="26"/>
              </w:rPr>
              <w:t>ekonstrukcijas projekta izstrādei piešķirtos finanšu līdzekļus 72 600 latu apmērā novirzīt avansa maksājumiem par šādām Ģimnāzijas un tās teritoriālo struktūrvienību darbības nodrošināšanai nepieciešamajām precēm un pakalpojumiem</w:t>
            </w:r>
            <w:r>
              <w:rPr>
                <w:sz w:val="26"/>
                <w:szCs w:val="26"/>
              </w:rPr>
              <w:t>.</w:t>
            </w:r>
          </w:p>
          <w:p w:rsidR="00935E8C" w:rsidRPr="00C13B05" w:rsidRDefault="00935E8C" w:rsidP="00935E8C">
            <w:pPr>
              <w:ind w:left="142" w:right="127"/>
              <w:jc w:val="both"/>
              <w:rPr>
                <w:sz w:val="26"/>
                <w:szCs w:val="26"/>
              </w:rPr>
            </w:pPr>
            <w:r>
              <w:rPr>
                <w:sz w:val="26"/>
                <w:szCs w:val="26"/>
              </w:rPr>
              <w:t xml:space="preserve">(2) Uzdevumu </w:t>
            </w:r>
            <w:r w:rsidRPr="00935E8C">
              <w:rPr>
                <w:sz w:val="26"/>
                <w:szCs w:val="26"/>
              </w:rPr>
              <w:t xml:space="preserve">ministrijai (Ģimnāzijai) nodrošināt ar </w:t>
            </w:r>
            <w:r>
              <w:rPr>
                <w:sz w:val="26"/>
                <w:szCs w:val="26"/>
              </w:rPr>
              <w:t>R</w:t>
            </w:r>
            <w:r w:rsidRPr="00935E8C">
              <w:rPr>
                <w:sz w:val="26"/>
                <w:szCs w:val="26"/>
              </w:rPr>
              <w:t>ekonstrukcijas projekta izstrādi saistīto izdevumu 72 600 latu apmērā segšanu no 2013.gada valsts budžeta programmas 09.00.00 „Sports” apakšprogrammā 09.10.00 „Murjāņu sporta ģimnāzija” piešķirtajiem finanšu līdzekļiem.</w:t>
            </w:r>
          </w:p>
          <w:p w:rsidR="00033013" w:rsidRPr="00C13B05" w:rsidRDefault="00033013" w:rsidP="00935E8C">
            <w:pPr>
              <w:pStyle w:val="ListParagraph"/>
              <w:ind w:left="442" w:right="141"/>
              <w:jc w:val="both"/>
              <w:rPr>
                <w:rFonts w:eastAsia="Times New Roman"/>
                <w:color w:val="000000"/>
                <w:sz w:val="26"/>
                <w:szCs w:val="26"/>
              </w:rPr>
            </w:pP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3905CA" w:rsidP="00935E8C">
            <w:pPr>
              <w:ind w:left="82" w:right="141"/>
              <w:jc w:val="both"/>
              <w:rPr>
                <w:sz w:val="26"/>
                <w:szCs w:val="26"/>
              </w:rPr>
            </w:pPr>
            <w:r>
              <w:rPr>
                <w:sz w:val="26"/>
                <w:szCs w:val="26"/>
              </w:rPr>
              <w:t>M</w:t>
            </w:r>
            <w:r w:rsidR="00033013" w:rsidRPr="00C13B05">
              <w:rPr>
                <w:sz w:val="26"/>
                <w:szCs w:val="26"/>
              </w:rPr>
              <w:t>inistrija</w:t>
            </w:r>
            <w:r w:rsidR="000805C1">
              <w:rPr>
                <w:sz w:val="26"/>
                <w:szCs w:val="26"/>
              </w:rPr>
              <w:t xml:space="preserve"> un Ģimnāzija</w:t>
            </w:r>
            <w:r>
              <w:rPr>
                <w:sz w:val="26"/>
                <w:szCs w:val="26"/>
              </w:rPr>
              <w:t>.</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973598" w:rsidP="00973598">
            <w:pPr>
              <w:pStyle w:val="FootnoteText"/>
              <w:ind w:left="142" w:right="127"/>
              <w:jc w:val="both"/>
              <w:rPr>
                <w:sz w:val="26"/>
                <w:szCs w:val="26"/>
              </w:rPr>
            </w:pPr>
            <w:r>
              <w:rPr>
                <w:sz w:val="26"/>
                <w:szCs w:val="26"/>
              </w:rPr>
              <w:t>Sabiedrības līdzdalība nav nepieciešama, jo jautājums pēc būtības ir saistīts ar finanšu līdzekļu iekšēju pārdali, nekādā veidā neietekmējot Projekta sākotnējo īstenošanas mērķi – nodrošināt Ģimnāzijas attīstību.</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E5461A" w:rsidRPr="00C13B05" w:rsidRDefault="00E5461A" w:rsidP="00E5461A">
            <w:pPr>
              <w:ind w:left="142" w:right="127"/>
              <w:jc w:val="both"/>
              <w:rPr>
                <w:sz w:val="26"/>
                <w:szCs w:val="26"/>
              </w:rPr>
            </w:pPr>
            <w:r w:rsidRPr="00C13B05">
              <w:rPr>
                <w:sz w:val="26"/>
                <w:szCs w:val="26"/>
              </w:rPr>
              <w:t>Rīkojuma projekts tiešā veidā attiecas uz tūrisma, sporta un brīvā laika politiku.</w:t>
            </w:r>
          </w:p>
          <w:p w:rsidR="00585B7B" w:rsidRPr="00C13B05" w:rsidRDefault="00E5461A" w:rsidP="00973598">
            <w:pPr>
              <w:ind w:left="142" w:right="127"/>
              <w:jc w:val="both"/>
              <w:rPr>
                <w:sz w:val="26"/>
                <w:szCs w:val="26"/>
              </w:rPr>
            </w:pPr>
            <w:r w:rsidRPr="00C13B05">
              <w:rPr>
                <w:sz w:val="26"/>
                <w:szCs w:val="26"/>
              </w:rPr>
              <w:t xml:space="preserve">Pastarpināti Rīkojuma projekts attiecas uz budžeta un </w:t>
            </w:r>
            <w:r w:rsidRPr="00C13B05">
              <w:rPr>
                <w:sz w:val="26"/>
                <w:szCs w:val="26"/>
              </w:rPr>
              <w:lastRenderedPageBreak/>
              <w:t>finanšu politiku</w:t>
            </w:r>
            <w:r w:rsidR="006B76EE" w:rsidRPr="00C13B05">
              <w:rPr>
                <w:sz w:val="26"/>
                <w:szCs w:val="26"/>
              </w:rPr>
              <w:t>.</w:t>
            </w:r>
          </w:p>
        </w:tc>
      </w:tr>
    </w:tbl>
    <w:p w:rsidR="00506F79" w:rsidRDefault="00506F79" w:rsidP="005C3A56">
      <w:pPr>
        <w:pStyle w:val="naisf"/>
        <w:tabs>
          <w:tab w:val="left" w:pos="3819"/>
        </w:tabs>
        <w:spacing w:before="0" w:after="0"/>
        <w:rPr>
          <w:sz w:val="26"/>
          <w:szCs w:val="26"/>
        </w:rPr>
      </w:pPr>
    </w:p>
    <w:p w:rsidR="00506F79" w:rsidRDefault="00506F79" w:rsidP="00506F79">
      <w:pPr>
        <w:rPr>
          <w:sz w:val="26"/>
          <w:szCs w:val="26"/>
        </w:rPr>
      </w:pPr>
      <w:r w:rsidRPr="00C13B05">
        <w:rPr>
          <w:sz w:val="26"/>
          <w:szCs w:val="26"/>
        </w:rPr>
        <w:t>Anotācijas I</w:t>
      </w:r>
      <w:r>
        <w:rPr>
          <w:sz w:val="26"/>
          <w:szCs w:val="26"/>
        </w:rPr>
        <w:t>I</w:t>
      </w:r>
      <w:r w:rsidRPr="00C13B05">
        <w:rPr>
          <w:sz w:val="26"/>
          <w:szCs w:val="26"/>
        </w:rPr>
        <w:t xml:space="preserve"> sadaļa – Rīkojuma projekts </w:t>
      </w:r>
      <w:r>
        <w:rPr>
          <w:sz w:val="26"/>
          <w:szCs w:val="26"/>
        </w:rPr>
        <w:t xml:space="preserve">šo jumu </w:t>
      </w:r>
      <w:r w:rsidRPr="00C13B05">
        <w:rPr>
          <w:sz w:val="26"/>
          <w:szCs w:val="26"/>
        </w:rPr>
        <w:t>neskar.</w:t>
      </w:r>
    </w:p>
    <w:p w:rsidR="00973598" w:rsidRPr="00C13B05" w:rsidRDefault="00973598" w:rsidP="00506F79">
      <w:pPr>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0805C1">
        <w:trPr>
          <w:trHeight w:val="286"/>
          <w:jc w:val="center"/>
        </w:trPr>
        <w:tc>
          <w:tcPr>
            <w:tcW w:w="10077" w:type="dxa"/>
            <w:gridSpan w:val="6"/>
          </w:tcPr>
          <w:p w:rsidR="00DA30DA" w:rsidRPr="00C13B05" w:rsidRDefault="00DA30DA" w:rsidP="00916055">
            <w:pPr>
              <w:pStyle w:val="naisnod"/>
              <w:spacing w:before="0" w:after="0"/>
              <w:rPr>
                <w:i/>
                <w:sz w:val="26"/>
                <w:szCs w:val="26"/>
              </w:rPr>
            </w:pPr>
            <w:r w:rsidRPr="00C13B05">
              <w:rPr>
                <w:sz w:val="26"/>
                <w:szCs w:val="26"/>
              </w:rPr>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942D3A">
            <w:pPr>
              <w:pStyle w:val="naisf"/>
              <w:spacing w:before="0" w:after="0"/>
              <w:ind w:firstLine="0"/>
              <w:jc w:val="center"/>
              <w:rPr>
                <w:b/>
                <w:sz w:val="26"/>
                <w:szCs w:val="26"/>
              </w:rPr>
            </w:pPr>
            <w:r w:rsidRPr="00C13B05">
              <w:rPr>
                <w:b/>
                <w:sz w:val="26"/>
                <w:szCs w:val="26"/>
              </w:rPr>
              <w:t>201</w:t>
            </w:r>
            <w:r w:rsidR="00942D3A" w:rsidRPr="00C13B05">
              <w:rPr>
                <w:b/>
                <w:sz w:val="26"/>
                <w:szCs w:val="26"/>
              </w:rPr>
              <w:t>2</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3</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4</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5</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Saskaņā ar valsts 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Izmaiņas kārtējā 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w:t>
            </w:r>
            <w:r w:rsidR="00554CE1" w:rsidRPr="00C13B05">
              <w:rPr>
                <w:sz w:val="26"/>
                <w:szCs w:val="26"/>
              </w:rPr>
              <w:t>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903206" w:rsidP="009E39D6">
            <w:pPr>
              <w:pStyle w:val="naisf"/>
              <w:spacing w:before="0" w:after="0"/>
              <w:ind w:firstLine="0"/>
              <w:jc w:val="center"/>
              <w:rPr>
                <w:b/>
                <w:sz w:val="26"/>
                <w:szCs w:val="26"/>
              </w:rPr>
            </w:pPr>
            <w:r>
              <w:rPr>
                <w:b/>
                <w:sz w:val="26"/>
                <w:szCs w:val="26"/>
              </w:rPr>
              <w:t>0</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4821A5" w:rsidRDefault="00903206" w:rsidP="009E39D6">
            <w:pPr>
              <w:pStyle w:val="naisf"/>
              <w:spacing w:before="0" w:after="0"/>
              <w:ind w:firstLine="0"/>
              <w:jc w:val="center"/>
              <w:rPr>
                <w:sz w:val="26"/>
                <w:szCs w:val="26"/>
              </w:rPr>
            </w:pPr>
            <w:r>
              <w:rPr>
                <w:sz w:val="26"/>
                <w:szCs w:val="26"/>
              </w:rPr>
              <w:t>0</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2. Budžeta izdevumi:</w:t>
            </w:r>
          </w:p>
        </w:tc>
        <w:tc>
          <w:tcPr>
            <w:tcW w:w="1194" w:type="dxa"/>
          </w:tcPr>
          <w:p w:rsidR="00DA30DA" w:rsidRPr="00C13B05" w:rsidRDefault="00903206" w:rsidP="009E39D6">
            <w:pPr>
              <w:pStyle w:val="naisf"/>
              <w:spacing w:before="0" w:after="0"/>
              <w:ind w:firstLine="0"/>
              <w:jc w:val="center"/>
              <w:rPr>
                <w:b/>
                <w:sz w:val="26"/>
                <w:szCs w:val="26"/>
              </w:rPr>
            </w:pPr>
            <w:r>
              <w:rPr>
                <w:b/>
                <w:sz w:val="26"/>
                <w:szCs w:val="26"/>
              </w:rPr>
              <w:t>0</w:t>
            </w:r>
          </w:p>
        </w:tc>
        <w:tc>
          <w:tcPr>
            <w:tcW w:w="1509" w:type="dxa"/>
          </w:tcPr>
          <w:p w:rsidR="00DA30DA" w:rsidRPr="00326D04" w:rsidRDefault="00973598" w:rsidP="00903206">
            <w:pPr>
              <w:pStyle w:val="naisf"/>
              <w:spacing w:before="0" w:after="0"/>
              <w:ind w:firstLine="0"/>
              <w:jc w:val="center"/>
              <w:rPr>
                <w:b/>
                <w:sz w:val="26"/>
                <w:szCs w:val="26"/>
              </w:rPr>
            </w:pPr>
            <w:r>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4821A5" w:rsidRDefault="00903206" w:rsidP="00326D04">
            <w:pPr>
              <w:pStyle w:val="naisf"/>
              <w:spacing w:before="0" w:after="0"/>
              <w:ind w:firstLine="0"/>
              <w:jc w:val="center"/>
              <w:rPr>
                <w:sz w:val="26"/>
                <w:szCs w:val="26"/>
              </w:rPr>
            </w:pPr>
            <w:r>
              <w:rPr>
                <w:sz w:val="26"/>
                <w:szCs w:val="26"/>
              </w:rPr>
              <w:t>0</w:t>
            </w:r>
          </w:p>
        </w:tc>
        <w:tc>
          <w:tcPr>
            <w:tcW w:w="1509" w:type="dxa"/>
          </w:tcPr>
          <w:p w:rsidR="00B06326" w:rsidRPr="00326D04" w:rsidRDefault="00973598" w:rsidP="00903206">
            <w:pPr>
              <w:pStyle w:val="naisf"/>
              <w:spacing w:before="0" w:after="0"/>
              <w:ind w:firstLine="0"/>
              <w:jc w:val="center"/>
              <w:rPr>
                <w:sz w:val="26"/>
                <w:szCs w:val="26"/>
              </w:rPr>
            </w:pPr>
            <w:r>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973598" w:rsidP="00903206">
            <w:pPr>
              <w:jc w:val="center"/>
              <w:rPr>
                <w:b/>
                <w:sz w:val="26"/>
                <w:szCs w:val="26"/>
              </w:rPr>
            </w:pPr>
            <w:r>
              <w:rPr>
                <w:b/>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973598" w:rsidP="00246B67">
            <w:pPr>
              <w:jc w:val="center"/>
              <w:rPr>
                <w:sz w:val="26"/>
                <w:szCs w:val="26"/>
              </w:rPr>
            </w:pPr>
            <w:r>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4. Finanšu līdzekļi papildu izde</w:t>
            </w:r>
            <w:r w:rsidRPr="00C13B05">
              <w:rPr>
                <w:sz w:val="26"/>
                <w:szCs w:val="26"/>
              </w:rPr>
              <w:softHyphen/>
              <w:t>vumu finansēšanai (kompensējošu izdevumu samazinājumu 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326D04" w:rsidRDefault="00973598" w:rsidP="00903206">
            <w:pPr>
              <w:jc w:val="center"/>
              <w:rPr>
                <w:b/>
                <w:sz w:val="26"/>
                <w:szCs w:val="26"/>
              </w:rPr>
            </w:pPr>
            <w:r>
              <w:rPr>
                <w:b/>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 xml:space="preserve">mu aprēķins (ja nepieciešams, detalizētu ieņēmumu un izdevumu </w:t>
            </w:r>
            <w:r w:rsidRPr="00C13B05">
              <w:rPr>
                <w:sz w:val="26"/>
                <w:szCs w:val="26"/>
              </w:rPr>
              <w:lastRenderedPageBreak/>
              <w:t>aprēķinu var pievienot anotācijas pielikumā):</w:t>
            </w:r>
          </w:p>
        </w:tc>
        <w:tc>
          <w:tcPr>
            <w:tcW w:w="7224" w:type="dxa"/>
            <w:gridSpan w:val="5"/>
            <w:vMerge w:val="restart"/>
          </w:tcPr>
          <w:p w:rsidR="00C8314D" w:rsidRPr="00B70B33" w:rsidRDefault="000805C1" w:rsidP="000805C1">
            <w:pPr>
              <w:pStyle w:val="NoSpacing"/>
              <w:ind w:left="142" w:right="127" w:firstLine="720"/>
              <w:rPr>
                <w:sz w:val="26"/>
                <w:szCs w:val="26"/>
              </w:rPr>
            </w:pPr>
            <w:r>
              <w:rPr>
                <w:sz w:val="26"/>
                <w:szCs w:val="26"/>
              </w:rPr>
              <w:lastRenderedPageBreak/>
              <w:t>Nav.</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lastRenderedPageBreak/>
              <w:t>6.1. detalizēts ieņēmumu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3E6E62">
        <w:trPr>
          <w:trHeight w:val="1373"/>
          <w:jc w:val="center"/>
        </w:trPr>
        <w:tc>
          <w:tcPr>
            <w:tcW w:w="2853" w:type="dxa"/>
          </w:tcPr>
          <w:p w:rsidR="00DA30DA" w:rsidRPr="00C13B05" w:rsidRDefault="00DA30DA" w:rsidP="00831A72">
            <w:pPr>
              <w:rPr>
                <w:sz w:val="26"/>
                <w:szCs w:val="26"/>
              </w:rPr>
            </w:pPr>
            <w:r w:rsidRPr="00C13B05">
              <w:rPr>
                <w:sz w:val="26"/>
                <w:szCs w:val="26"/>
              </w:rPr>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7. Cita informācija</w:t>
            </w:r>
          </w:p>
        </w:tc>
        <w:tc>
          <w:tcPr>
            <w:tcW w:w="7224" w:type="dxa"/>
            <w:gridSpan w:val="5"/>
          </w:tcPr>
          <w:p w:rsidR="000805C1" w:rsidRDefault="000805C1" w:rsidP="000805C1">
            <w:pPr>
              <w:pStyle w:val="NoSpacing"/>
              <w:ind w:left="142" w:right="127" w:firstLine="720"/>
              <w:rPr>
                <w:sz w:val="26"/>
                <w:szCs w:val="26"/>
              </w:rPr>
            </w:pPr>
            <w:r>
              <w:rPr>
                <w:sz w:val="26"/>
                <w:szCs w:val="26"/>
              </w:rPr>
              <w:t>Rīkojuma projektam ir neitrāla fiskāla ietekme uz valsts budžeta izdevumiem gan 2012., gan 2013.gadā un turpmākos gados. Ņemot vērā to, ka Rekonstrukcijas projekta izstrādei plānotie finanšu līdzekļi 72 600 latu ir paredzēti Ģimnāzijas precēm un pakalpojumiem (EKK 2000), pirms avansa maksājumu veikšanas nebūs nepieciešams mainīt ekonomiskās klasifikācijas kodus, jo attiecīgie izdevumi</w:t>
            </w:r>
            <w:r w:rsidRPr="00130653">
              <w:rPr>
                <w:sz w:val="26"/>
                <w:szCs w:val="26"/>
              </w:rPr>
              <w:t xml:space="preserve"> </w:t>
            </w:r>
            <w:r>
              <w:rPr>
                <w:sz w:val="26"/>
                <w:szCs w:val="26"/>
              </w:rPr>
              <w:t xml:space="preserve">(par </w:t>
            </w:r>
            <w:r w:rsidRPr="00130653">
              <w:rPr>
                <w:sz w:val="26"/>
                <w:szCs w:val="26"/>
              </w:rPr>
              <w:t xml:space="preserve">Ģimnāzijas </w:t>
            </w:r>
            <w:r>
              <w:rPr>
                <w:sz w:val="26"/>
                <w:szCs w:val="26"/>
              </w:rPr>
              <w:t xml:space="preserve">un tās teritoriālo struktūrvienību </w:t>
            </w:r>
            <w:r w:rsidRPr="00130653">
              <w:rPr>
                <w:sz w:val="26"/>
                <w:szCs w:val="26"/>
              </w:rPr>
              <w:t>darbības nodrošināšanai nepieciešamajām precēm un pakalpojumiem</w:t>
            </w:r>
            <w:r>
              <w:rPr>
                <w:sz w:val="26"/>
                <w:szCs w:val="26"/>
              </w:rPr>
              <w:t>) arī ir attiecināmi uz šo pašu ekonomiskās klasifikācijas kodu.</w:t>
            </w:r>
          </w:p>
          <w:p w:rsidR="0016142A" w:rsidRPr="00C13B05" w:rsidRDefault="000805C1" w:rsidP="000805C1">
            <w:pPr>
              <w:pStyle w:val="naisf"/>
              <w:tabs>
                <w:tab w:val="left" w:pos="4644"/>
              </w:tabs>
              <w:spacing w:before="0" w:after="0"/>
              <w:ind w:firstLine="661"/>
              <w:rPr>
                <w:sz w:val="26"/>
                <w:szCs w:val="26"/>
              </w:rPr>
            </w:pPr>
            <w:r>
              <w:rPr>
                <w:sz w:val="26"/>
                <w:szCs w:val="26"/>
              </w:rPr>
              <w:t>Ar R</w:t>
            </w:r>
            <w:r w:rsidRPr="00130653">
              <w:rPr>
                <w:sz w:val="26"/>
                <w:szCs w:val="26"/>
              </w:rPr>
              <w:t>ekonstrukcijas projekta izstrādi saistīt</w:t>
            </w:r>
            <w:r>
              <w:rPr>
                <w:sz w:val="26"/>
                <w:szCs w:val="26"/>
              </w:rPr>
              <w:t>ie izdevumi</w:t>
            </w:r>
            <w:r>
              <w:rPr>
                <w:sz w:val="26"/>
                <w:szCs w:val="26"/>
              </w:rPr>
              <w:br/>
            </w:r>
            <w:r w:rsidRPr="00130653">
              <w:rPr>
                <w:sz w:val="26"/>
                <w:szCs w:val="26"/>
              </w:rPr>
              <w:t xml:space="preserve">72 600 latu apmērā </w:t>
            </w:r>
            <w:r>
              <w:rPr>
                <w:sz w:val="26"/>
                <w:szCs w:val="26"/>
              </w:rPr>
              <w:t xml:space="preserve">tiks segti no </w:t>
            </w:r>
            <w:r w:rsidRPr="00130653">
              <w:rPr>
                <w:sz w:val="26"/>
                <w:szCs w:val="26"/>
              </w:rPr>
              <w:t>2013.gada valsts budžeta programmas 09.00.00 „Sports” apakšprogrammā 09.10.00 „Murjāņu sporta ģimnāzija” piešķirtajiem finanšu līdzekļiem.</w:t>
            </w:r>
          </w:p>
        </w:tc>
      </w:tr>
    </w:tbl>
    <w:p w:rsidR="00DA30DA"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Default="00585B7B" w:rsidP="00D96FCD">
      <w:pPr>
        <w:rPr>
          <w:sz w:val="26"/>
          <w:szCs w:val="26"/>
        </w:rPr>
      </w:pPr>
    </w:p>
    <w:p w:rsidR="000805C1" w:rsidRDefault="000805C1" w:rsidP="00D96FCD">
      <w:pPr>
        <w:rPr>
          <w:sz w:val="26"/>
          <w:szCs w:val="26"/>
        </w:rPr>
      </w:pPr>
    </w:p>
    <w:p w:rsidR="000805C1" w:rsidRPr="00760C59" w:rsidRDefault="000805C1" w:rsidP="000805C1">
      <w:pPr>
        <w:pStyle w:val="BodyText2"/>
        <w:spacing w:after="0" w:line="240" w:lineRule="auto"/>
        <w:ind w:firstLine="720"/>
        <w:jc w:val="both"/>
        <w:rPr>
          <w:sz w:val="26"/>
          <w:szCs w:val="26"/>
        </w:rPr>
      </w:pPr>
      <w:r>
        <w:rPr>
          <w:sz w:val="26"/>
          <w:szCs w:val="26"/>
        </w:rPr>
        <w:t>V</w:t>
      </w:r>
      <w:r w:rsidRPr="00760C59">
        <w:rPr>
          <w:sz w:val="26"/>
          <w:szCs w:val="26"/>
        </w:rPr>
        <w:t>ides aizsardzības un reģionālās attīstības ministrs,</w:t>
      </w:r>
    </w:p>
    <w:p w:rsidR="000805C1" w:rsidRPr="00760C59" w:rsidRDefault="000805C1" w:rsidP="000805C1">
      <w:pPr>
        <w:pStyle w:val="BodyText2"/>
        <w:spacing w:after="0" w:line="240" w:lineRule="auto"/>
        <w:ind w:firstLine="720"/>
        <w:jc w:val="both"/>
        <w:rPr>
          <w:sz w:val="26"/>
          <w:szCs w:val="26"/>
        </w:rPr>
      </w:pPr>
      <w:r w:rsidRPr="00760C59">
        <w:rPr>
          <w:sz w:val="26"/>
          <w:szCs w:val="26"/>
        </w:rPr>
        <w:t>izglītības un zinātnes ministra</w:t>
      </w:r>
    </w:p>
    <w:p w:rsidR="000805C1" w:rsidRPr="00760C59" w:rsidRDefault="000805C1" w:rsidP="000805C1">
      <w:pPr>
        <w:pStyle w:val="BodyText2"/>
        <w:spacing w:after="0" w:line="240" w:lineRule="auto"/>
        <w:ind w:firstLine="720"/>
        <w:jc w:val="both"/>
        <w:rPr>
          <w:sz w:val="26"/>
          <w:szCs w:val="26"/>
        </w:rPr>
      </w:pPr>
      <w:r w:rsidRPr="00760C59">
        <w:rPr>
          <w:sz w:val="26"/>
          <w:szCs w:val="26"/>
        </w:rPr>
        <w:t>pienākumu izpildītājs</w:t>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t>E.Sprūdžs</w:t>
      </w:r>
    </w:p>
    <w:p w:rsidR="000805C1" w:rsidRPr="00760C59" w:rsidRDefault="000805C1" w:rsidP="000805C1">
      <w:pPr>
        <w:autoSpaceDE w:val="0"/>
        <w:autoSpaceDN w:val="0"/>
        <w:adjustRightInd w:val="0"/>
        <w:ind w:left="567"/>
        <w:jc w:val="both"/>
        <w:rPr>
          <w:color w:val="000000"/>
          <w:sz w:val="26"/>
          <w:szCs w:val="26"/>
        </w:rPr>
      </w:pPr>
      <w:r w:rsidRPr="00760C59">
        <w:rPr>
          <w:color w:val="000000"/>
          <w:sz w:val="26"/>
          <w:szCs w:val="26"/>
        </w:rPr>
        <w:t xml:space="preserve"> </w:t>
      </w:r>
    </w:p>
    <w:p w:rsidR="000805C1" w:rsidRPr="00760C59" w:rsidRDefault="000805C1" w:rsidP="000805C1">
      <w:pPr>
        <w:ind w:firstLine="720"/>
        <w:jc w:val="both"/>
        <w:rPr>
          <w:sz w:val="26"/>
          <w:szCs w:val="26"/>
        </w:rPr>
      </w:pPr>
      <w:r w:rsidRPr="00760C59">
        <w:rPr>
          <w:sz w:val="26"/>
          <w:szCs w:val="26"/>
        </w:rPr>
        <w:t>Vizē:</w:t>
      </w:r>
    </w:p>
    <w:p w:rsidR="000805C1" w:rsidRPr="00760C59" w:rsidRDefault="000805C1" w:rsidP="000805C1">
      <w:pPr>
        <w:autoSpaceDE w:val="0"/>
        <w:autoSpaceDN w:val="0"/>
        <w:adjustRightInd w:val="0"/>
        <w:ind w:firstLine="720"/>
        <w:rPr>
          <w:bCs/>
          <w:color w:val="000000"/>
          <w:sz w:val="26"/>
          <w:szCs w:val="26"/>
        </w:rPr>
      </w:pPr>
      <w:r w:rsidRPr="00760C59">
        <w:rPr>
          <w:bCs/>
          <w:color w:val="000000"/>
          <w:sz w:val="26"/>
          <w:szCs w:val="26"/>
        </w:rPr>
        <w:t>Valsts sekretāra vietniece</w:t>
      </w:r>
      <w:r w:rsidRPr="00760C59">
        <w:rPr>
          <w:bCs/>
          <w:color w:val="000000"/>
          <w:sz w:val="26"/>
          <w:szCs w:val="26"/>
        </w:rPr>
        <w:softHyphen/>
        <w:t xml:space="preserve"> –</w:t>
      </w:r>
      <w:bookmarkStart w:id="3" w:name="str06"/>
      <w:bookmarkEnd w:id="3"/>
    </w:p>
    <w:p w:rsidR="000805C1" w:rsidRPr="00760C59" w:rsidRDefault="000805C1" w:rsidP="000805C1">
      <w:pPr>
        <w:autoSpaceDE w:val="0"/>
        <w:autoSpaceDN w:val="0"/>
        <w:adjustRightInd w:val="0"/>
        <w:ind w:firstLine="720"/>
        <w:rPr>
          <w:bCs/>
          <w:kern w:val="36"/>
          <w:sz w:val="26"/>
          <w:szCs w:val="26"/>
        </w:rPr>
      </w:pPr>
      <w:r w:rsidRPr="00760C59">
        <w:rPr>
          <w:bCs/>
          <w:kern w:val="36"/>
          <w:sz w:val="26"/>
          <w:szCs w:val="26"/>
        </w:rPr>
        <w:t>Struktūrfondu un starptautisko finanšu</w:t>
      </w:r>
    </w:p>
    <w:p w:rsidR="000805C1" w:rsidRPr="00760C59" w:rsidRDefault="000805C1" w:rsidP="000805C1">
      <w:pPr>
        <w:autoSpaceDE w:val="0"/>
        <w:autoSpaceDN w:val="0"/>
        <w:adjustRightInd w:val="0"/>
        <w:ind w:firstLine="720"/>
        <w:rPr>
          <w:bCs/>
          <w:color w:val="000000"/>
          <w:sz w:val="26"/>
          <w:szCs w:val="26"/>
        </w:rPr>
      </w:pPr>
      <w:r w:rsidRPr="00760C59">
        <w:rPr>
          <w:bCs/>
          <w:kern w:val="36"/>
          <w:sz w:val="26"/>
          <w:szCs w:val="26"/>
        </w:rPr>
        <w:t>instrumentu  departamenta direktore,</w:t>
      </w:r>
    </w:p>
    <w:p w:rsidR="000805C1" w:rsidRPr="00760C59" w:rsidRDefault="000805C1" w:rsidP="000805C1">
      <w:pPr>
        <w:autoSpaceDE w:val="0"/>
        <w:autoSpaceDN w:val="0"/>
        <w:adjustRightInd w:val="0"/>
        <w:ind w:firstLine="720"/>
        <w:rPr>
          <w:bCs/>
          <w:color w:val="000000"/>
          <w:sz w:val="26"/>
          <w:szCs w:val="26"/>
        </w:rPr>
      </w:pPr>
      <w:r w:rsidRPr="00760C59">
        <w:rPr>
          <w:bCs/>
          <w:color w:val="000000"/>
          <w:sz w:val="26"/>
          <w:szCs w:val="26"/>
        </w:rPr>
        <w:t xml:space="preserve">valsts sekretāra pienākumu izpildītāja </w:t>
      </w:r>
      <w:r w:rsidRPr="00760C59">
        <w:rPr>
          <w:bCs/>
          <w:color w:val="000000"/>
          <w:sz w:val="26"/>
          <w:szCs w:val="26"/>
        </w:rPr>
        <w:tab/>
      </w:r>
      <w:r w:rsidRPr="00760C59">
        <w:rPr>
          <w:bCs/>
          <w:color w:val="000000"/>
          <w:sz w:val="26"/>
          <w:szCs w:val="26"/>
        </w:rPr>
        <w:tab/>
      </w:r>
      <w:r w:rsidRPr="00760C59">
        <w:rPr>
          <w:bCs/>
          <w:color w:val="000000"/>
          <w:sz w:val="26"/>
          <w:szCs w:val="26"/>
        </w:rPr>
        <w:tab/>
      </w:r>
      <w:r w:rsidRPr="00760C59">
        <w:rPr>
          <w:bCs/>
          <w:color w:val="000000"/>
          <w:sz w:val="26"/>
          <w:szCs w:val="26"/>
        </w:rPr>
        <w:tab/>
        <w:t>L. Sīka</w:t>
      </w:r>
    </w:p>
    <w:p w:rsidR="001F23A6" w:rsidRPr="00C13B05" w:rsidRDefault="001F23A6" w:rsidP="00D96FCD">
      <w:pPr>
        <w:rPr>
          <w:sz w:val="26"/>
          <w:szCs w:val="26"/>
        </w:rPr>
      </w:pPr>
    </w:p>
    <w:p w:rsidR="003E6E62" w:rsidRDefault="003E6E62" w:rsidP="00D96FCD">
      <w:pPr>
        <w:jc w:val="both"/>
        <w:rPr>
          <w:sz w:val="22"/>
          <w:szCs w:val="22"/>
        </w:rPr>
      </w:pPr>
    </w:p>
    <w:p w:rsidR="000805C1" w:rsidRDefault="000805C1" w:rsidP="00D96FCD">
      <w:pPr>
        <w:jc w:val="both"/>
        <w:rPr>
          <w:sz w:val="22"/>
          <w:szCs w:val="22"/>
        </w:rPr>
      </w:pPr>
    </w:p>
    <w:p w:rsidR="00D721D0" w:rsidRDefault="00D721D0" w:rsidP="00D96FCD">
      <w:pPr>
        <w:jc w:val="both"/>
        <w:rPr>
          <w:sz w:val="22"/>
          <w:szCs w:val="22"/>
        </w:rPr>
      </w:pPr>
    </w:p>
    <w:p w:rsidR="00D721D0" w:rsidRDefault="00D721D0" w:rsidP="00D96FCD">
      <w:pPr>
        <w:jc w:val="both"/>
        <w:rPr>
          <w:sz w:val="22"/>
          <w:szCs w:val="22"/>
        </w:rPr>
      </w:pPr>
    </w:p>
    <w:p w:rsidR="00C451CB" w:rsidRDefault="00C451CB" w:rsidP="00D96FCD">
      <w:pPr>
        <w:jc w:val="both"/>
        <w:rPr>
          <w:sz w:val="22"/>
          <w:szCs w:val="22"/>
        </w:rPr>
      </w:pPr>
    </w:p>
    <w:p w:rsidR="000805C1" w:rsidRPr="00760C59" w:rsidRDefault="000805C1" w:rsidP="000805C1">
      <w:pPr>
        <w:pStyle w:val="NoSpacing"/>
        <w:ind w:left="720"/>
        <w:rPr>
          <w:sz w:val="22"/>
        </w:rPr>
      </w:pPr>
      <w:r w:rsidRPr="00760C59">
        <w:rPr>
          <w:sz w:val="22"/>
        </w:rPr>
        <w:t>14.12.2012. 1</w:t>
      </w:r>
      <w:r w:rsidR="00F32F79">
        <w:rPr>
          <w:sz w:val="22"/>
        </w:rPr>
        <w:t>2</w:t>
      </w:r>
      <w:r w:rsidRPr="00760C59">
        <w:rPr>
          <w:sz w:val="22"/>
        </w:rPr>
        <w:t>:</w:t>
      </w:r>
      <w:r w:rsidR="00111341">
        <w:rPr>
          <w:sz w:val="22"/>
        </w:rPr>
        <w:t>28</w:t>
      </w:r>
    </w:p>
    <w:p w:rsidR="000805C1" w:rsidRPr="00760C59" w:rsidRDefault="00F32F79" w:rsidP="000805C1">
      <w:pPr>
        <w:pStyle w:val="NoSpacing"/>
        <w:ind w:left="720"/>
        <w:rPr>
          <w:sz w:val="22"/>
        </w:rPr>
      </w:pPr>
      <w:r>
        <w:rPr>
          <w:sz w:val="22"/>
        </w:rPr>
        <w:t>1803</w:t>
      </w:r>
    </w:p>
    <w:p w:rsidR="000805C1" w:rsidRPr="00760C59" w:rsidRDefault="000805C1" w:rsidP="000805C1">
      <w:pPr>
        <w:pStyle w:val="NoSpacing"/>
        <w:ind w:firstLine="720"/>
        <w:rPr>
          <w:b/>
          <w:sz w:val="22"/>
        </w:rPr>
      </w:pPr>
      <w:r>
        <w:rPr>
          <w:sz w:val="22"/>
        </w:rPr>
        <w:t>E.Severs</w:t>
      </w:r>
    </w:p>
    <w:p w:rsidR="000805C1" w:rsidRPr="00760C59" w:rsidRDefault="000805C1" w:rsidP="000805C1">
      <w:pPr>
        <w:pStyle w:val="NoSpacing"/>
        <w:ind w:left="720"/>
        <w:rPr>
          <w:sz w:val="22"/>
        </w:rPr>
      </w:pPr>
      <w:r w:rsidRPr="00760C59">
        <w:rPr>
          <w:sz w:val="22"/>
        </w:rPr>
        <w:t>6704793</w:t>
      </w:r>
      <w:r>
        <w:rPr>
          <w:sz w:val="22"/>
        </w:rPr>
        <w:t>5</w:t>
      </w:r>
      <w:r w:rsidRPr="00760C59">
        <w:rPr>
          <w:sz w:val="22"/>
        </w:rPr>
        <w:t xml:space="preserve">, </w:t>
      </w:r>
      <w:r>
        <w:rPr>
          <w:sz w:val="22"/>
        </w:rPr>
        <w:t>edgars</w:t>
      </w:r>
      <w:r w:rsidRPr="00760C59">
        <w:rPr>
          <w:sz w:val="22"/>
        </w:rPr>
        <w:t>.</w:t>
      </w:r>
      <w:r>
        <w:rPr>
          <w:sz w:val="22"/>
        </w:rPr>
        <w:t>severs</w:t>
      </w:r>
      <w:r w:rsidRPr="00760C59">
        <w:rPr>
          <w:sz w:val="22"/>
        </w:rPr>
        <w:t>@izm.gov.lv</w:t>
      </w:r>
    </w:p>
    <w:p w:rsidR="000912B2" w:rsidRPr="00055608" w:rsidRDefault="000912B2" w:rsidP="000805C1">
      <w:pPr>
        <w:jc w:val="both"/>
        <w:rPr>
          <w:sz w:val="22"/>
          <w:szCs w:val="22"/>
        </w:rPr>
      </w:pPr>
    </w:p>
    <w:sectPr w:rsidR="000912B2" w:rsidRPr="00055608" w:rsidSect="000805C1">
      <w:headerReference w:type="default" r:id="rId7"/>
      <w:footerReference w:type="default" r:id="rId8"/>
      <w:footerReference w:type="first" r:id="rId9"/>
      <w:pgSz w:w="11906" w:h="16838" w:code="9"/>
      <w:pgMar w:top="1134" w:right="1134" w:bottom="1134" w:left="1701" w:header="567" w:footer="3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38" w:rsidRDefault="00F15538" w:rsidP="00123E9B">
      <w:r>
        <w:separator/>
      </w:r>
    </w:p>
  </w:endnote>
  <w:endnote w:type="continuationSeparator" w:id="0">
    <w:p w:rsidR="00F15538" w:rsidRDefault="00F15538"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0805C1" w:rsidRDefault="000805C1" w:rsidP="000805C1">
    <w:pPr>
      <w:jc w:val="both"/>
      <w:rPr>
        <w:szCs w:val="22"/>
      </w:rPr>
    </w:pPr>
    <w:r>
      <w:rPr>
        <w:sz w:val="22"/>
        <w:szCs w:val="22"/>
      </w:rPr>
      <w:t>IZMAnot_141212</w:t>
    </w:r>
    <w:r w:rsidRPr="004816F6">
      <w:rPr>
        <w:sz w:val="22"/>
        <w:szCs w:val="22"/>
      </w:rPr>
      <w:t>_</w:t>
    </w:r>
    <w:r>
      <w:rPr>
        <w:sz w:val="22"/>
        <w:szCs w:val="22"/>
      </w:rPr>
      <w:t>murjani</w:t>
    </w:r>
    <w:r w:rsidRPr="004816F6">
      <w:rPr>
        <w:sz w:val="22"/>
        <w:szCs w:val="22"/>
      </w:rPr>
      <w:t>; Ministru kabineta rīkojuma projekta „</w:t>
    </w:r>
    <w:r w:rsidRPr="000805C1">
      <w:rPr>
        <w:sz w:val="22"/>
        <w:szCs w:val="22"/>
      </w:rPr>
      <w:t>Par Murjāņu sporta ģimnāzijas esošo būvju rekonstrukcijas projekta izstrādei paredzētā finansējuma pārdali</w:t>
    </w:r>
    <w:r w:rsidRPr="004816F6">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4816F6" w:rsidRDefault="00DE5411" w:rsidP="001D3147">
    <w:pPr>
      <w:jc w:val="both"/>
      <w:rPr>
        <w:sz w:val="22"/>
        <w:szCs w:val="22"/>
      </w:rPr>
    </w:pPr>
    <w:r>
      <w:rPr>
        <w:sz w:val="22"/>
        <w:szCs w:val="22"/>
      </w:rPr>
      <w:t>IZMAnot_</w:t>
    </w:r>
    <w:r w:rsidR="000805C1">
      <w:rPr>
        <w:sz w:val="22"/>
        <w:szCs w:val="22"/>
      </w:rPr>
      <w:t>141212</w:t>
    </w:r>
    <w:r w:rsidR="001D3147" w:rsidRPr="004816F6">
      <w:rPr>
        <w:sz w:val="22"/>
        <w:szCs w:val="22"/>
      </w:rPr>
      <w:t>_</w:t>
    </w:r>
    <w:r w:rsidR="000805C1">
      <w:rPr>
        <w:sz w:val="22"/>
        <w:szCs w:val="22"/>
      </w:rPr>
      <w:t>murjani</w:t>
    </w:r>
    <w:r w:rsidR="001D3147" w:rsidRPr="004816F6">
      <w:rPr>
        <w:sz w:val="22"/>
        <w:szCs w:val="22"/>
      </w:rPr>
      <w:t>; Ministru kabineta rīkojuma projekta „</w:t>
    </w:r>
    <w:r w:rsidR="000805C1" w:rsidRPr="000805C1">
      <w:rPr>
        <w:sz w:val="22"/>
        <w:szCs w:val="22"/>
      </w:rPr>
      <w:t>Par Murjāņu sporta ģimnāzijas esošo būvju rekonstrukcijas projekta izstrādei paredzētā finansējuma pārdali</w:t>
    </w:r>
    <w:r w:rsidR="001D3147" w:rsidRPr="004816F6">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38" w:rsidRDefault="00F15538" w:rsidP="00123E9B">
      <w:r>
        <w:separator/>
      </w:r>
    </w:p>
  </w:footnote>
  <w:footnote w:type="continuationSeparator" w:id="0">
    <w:p w:rsidR="00F15538" w:rsidRDefault="00F15538"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0223F5">
    <w:pPr>
      <w:pStyle w:val="Header"/>
      <w:jc w:val="center"/>
    </w:pPr>
    <w:r>
      <w:fldChar w:fldCharType="begin"/>
    </w:r>
    <w:r w:rsidR="008723BF">
      <w:instrText xml:space="preserve"> PAGE   \* MERGEFORMAT </w:instrText>
    </w:r>
    <w:r>
      <w:fldChar w:fldCharType="separate"/>
    </w:r>
    <w:r w:rsidR="00111341">
      <w:rPr>
        <w:noProof/>
      </w:rPr>
      <w:t>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07AE8"/>
    <w:multiLevelType w:val="hybridMultilevel"/>
    <w:tmpl w:val="3F0C306C"/>
    <w:lvl w:ilvl="0" w:tplc="96F850A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5">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2706"/>
  </w:hdrShapeDefaults>
  <w:footnotePr>
    <w:footnote w:id="-1"/>
    <w:footnote w:id="0"/>
  </w:footnotePr>
  <w:endnotePr>
    <w:endnote w:id="-1"/>
    <w:endnote w:id="0"/>
  </w:endnotePr>
  <w:compat/>
  <w:rsids>
    <w:rsidRoot w:val="00D96FCD"/>
    <w:rsid w:val="00000CE0"/>
    <w:rsid w:val="00000DEA"/>
    <w:rsid w:val="0000524B"/>
    <w:rsid w:val="00006D42"/>
    <w:rsid w:val="00010140"/>
    <w:rsid w:val="00010590"/>
    <w:rsid w:val="000120DA"/>
    <w:rsid w:val="00012EAE"/>
    <w:rsid w:val="000223F5"/>
    <w:rsid w:val="00027346"/>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5C1"/>
    <w:rsid w:val="00080CC1"/>
    <w:rsid w:val="00081477"/>
    <w:rsid w:val="00081CEB"/>
    <w:rsid w:val="00083AA0"/>
    <w:rsid w:val="000849C2"/>
    <w:rsid w:val="00084C38"/>
    <w:rsid w:val="00090BFF"/>
    <w:rsid w:val="000912B2"/>
    <w:rsid w:val="000934D5"/>
    <w:rsid w:val="00094F13"/>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341"/>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73FC"/>
    <w:rsid w:val="00172A25"/>
    <w:rsid w:val="0017384A"/>
    <w:rsid w:val="00174AEB"/>
    <w:rsid w:val="00175071"/>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70E39"/>
    <w:rsid w:val="00272248"/>
    <w:rsid w:val="00273D63"/>
    <w:rsid w:val="00274E8A"/>
    <w:rsid w:val="002761F4"/>
    <w:rsid w:val="002819CC"/>
    <w:rsid w:val="0028791A"/>
    <w:rsid w:val="002903DB"/>
    <w:rsid w:val="00290940"/>
    <w:rsid w:val="0029164A"/>
    <w:rsid w:val="002918AC"/>
    <w:rsid w:val="00291A48"/>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2022"/>
    <w:rsid w:val="0031483B"/>
    <w:rsid w:val="00314876"/>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7957"/>
    <w:rsid w:val="003705EF"/>
    <w:rsid w:val="00376CEF"/>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448"/>
    <w:rsid w:val="003B1A4F"/>
    <w:rsid w:val="003B2B5A"/>
    <w:rsid w:val="003B465C"/>
    <w:rsid w:val="003C691E"/>
    <w:rsid w:val="003D4908"/>
    <w:rsid w:val="003E6E62"/>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20504"/>
    <w:rsid w:val="00424E6F"/>
    <w:rsid w:val="0042540D"/>
    <w:rsid w:val="004310C7"/>
    <w:rsid w:val="004331E9"/>
    <w:rsid w:val="00443FE3"/>
    <w:rsid w:val="004475CC"/>
    <w:rsid w:val="00450BED"/>
    <w:rsid w:val="00451063"/>
    <w:rsid w:val="004513C2"/>
    <w:rsid w:val="00451ABA"/>
    <w:rsid w:val="00453435"/>
    <w:rsid w:val="00454E29"/>
    <w:rsid w:val="004560F5"/>
    <w:rsid w:val="004569F4"/>
    <w:rsid w:val="00456BC1"/>
    <w:rsid w:val="00463FD8"/>
    <w:rsid w:val="00466E6C"/>
    <w:rsid w:val="00467FEB"/>
    <w:rsid w:val="00471F37"/>
    <w:rsid w:val="00472637"/>
    <w:rsid w:val="0047336E"/>
    <w:rsid w:val="004763AC"/>
    <w:rsid w:val="00476508"/>
    <w:rsid w:val="004800CF"/>
    <w:rsid w:val="004804CE"/>
    <w:rsid w:val="00480A79"/>
    <w:rsid w:val="004816F6"/>
    <w:rsid w:val="004821A5"/>
    <w:rsid w:val="0048376B"/>
    <w:rsid w:val="00486A8A"/>
    <w:rsid w:val="004925F7"/>
    <w:rsid w:val="004940B7"/>
    <w:rsid w:val="0049673D"/>
    <w:rsid w:val="004A1976"/>
    <w:rsid w:val="004A1F56"/>
    <w:rsid w:val="004A2074"/>
    <w:rsid w:val="004A5933"/>
    <w:rsid w:val="004A6A93"/>
    <w:rsid w:val="004A6E2E"/>
    <w:rsid w:val="004B0198"/>
    <w:rsid w:val="004B3DE6"/>
    <w:rsid w:val="004B550F"/>
    <w:rsid w:val="004B617C"/>
    <w:rsid w:val="004C673C"/>
    <w:rsid w:val="004C6E14"/>
    <w:rsid w:val="004C7662"/>
    <w:rsid w:val="004D202D"/>
    <w:rsid w:val="004D40E3"/>
    <w:rsid w:val="004D6A71"/>
    <w:rsid w:val="004E12FF"/>
    <w:rsid w:val="004E4B60"/>
    <w:rsid w:val="004E607D"/>
    <w:rsid w:val="004F14C5"/>
    <w:rsid w:val="004F3806"/>
    <w:rsid w:val="004F3D0D"/>
    <w:rsid w:val="004F788C"/>
    <w:rsid w:val="00504DBF"/>
    <w:rsid w:val="00506F79"/>
    <w:rsid w:val="00514C25"/>
    <w:rsid w:val="00516733"/>
    <w:rsid w:val="0052372C"/>
    <w:rsid w:val="00524879"/>
    <w:rsid w:val="0052503E"/>
    <w:rsid w:val="00526BBC"/>
    <w:rsid w:val="005303DD"/>
    <w:rsid w:val="005306CD"/>
    <w:rsid w:val="00530EBE"/>
    <w:rsid w:val="005333E2"/>
    <w:rsid w:val="00533BE9"/>
    <w:rsid w:val="005344F2"/>
    <w:rsid w:val="00534712"/>
    <w:rsid w:val="00535B15"/>
    <w:rsid w:val="0054241F"/>
    <w:rsid w:val="005431CC"/>
    <w:rsid w:val="0054456F"/>
    <w:rsid w:val="00545639"/>
    <w:rsid w:val="005462AF"/>
    <w:rsid w:val="005511F9"/>
    <w:rsid w:val="00551AA8"/>
    <w:rsid w:val="00554CE1"/>
    <w:rsid w:val="00557E2F"/>
    <w:rsid w:val="00560101"/>
    <w:rsid w:val="005637B7"/>
    <w:rsid w:val="00564A7F"/>
    <w:rsid w:val="00565777"/>
    <w:rsid w:val="005714B2"/>
    <w:rsid w:val="00573C60"/>
    <w:rsid w:val="0057494E"/>
    <w:rsid w:val="00585B7B"/>
    <w:rsid w:val="00587C74"/>
    <w:rsid w:val="00590DD0"/>
    <w:rsid w:val="00591268"/>
    <w:rsid w:val="0059354C"/>
    <w:rsid w:val="00594DEF"/>
    <w:rsid w:val="005A02DC"/>
    <w:rsid w:val="005A03DE"/>
    <w:rsid w:val="005A077D"/>
    <w:rsid w:val="005A0EAC"/>
    <w:rsid w:val="005A518B"/>
    <w:rsid w:val="005A7608"/>
    <w:rsid w:val="005B1E9C"/>
    <w:rsid w:val="005B31E6"/>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82170"/>
    <w:rsid w:val="00685380"/>
    <w:rsid w:val="00693071"/>
    <w:rsid w:val="00693E2C"/>
    <w:rsid w:val="00697E73"/>
    <w:rsid w:val="006A20B2"/>
    <w:rsid w:val="006A5B29"/>
    <w:rsid w:val="006A7A10"/>
    <w:rsid w:val="006B01F8"/>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6F4B73"/>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72"/>
    <w:rsid w:val="0081704B"/>
    <w:rsid w:val="008212A7"/>
    <w:rsid w:val="0082231A"/>
    <w:rsid w:val="00831A72"/>
    <w:rsid w:val="00833325"/>
    <w:rsid w:val="00833D7A"/>
    <w:rsid w:val="00834B1C"/>
    <w:rsid w:val="0083519C"/>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AFB"/>
    <w:rsid w:val="00873ED2"/>
    <w:rsid w:val="0088273C"/>
    <w:rsid w:val="00887353"/>
    <w:rsid w:val="00892CEB"/>
    <w:rsid w:val="00892DC2"/>
    <w:rsid w:val="0089323C"/>
    <w:rsid w:val="00893CD2"/>
    <w:rsid w:val="008A17E9"/>
    <w:rsid w:val="008A60A4"/>
    <w:rsid w:val="008B27BF"/>
    <w:rsid w:val="008B53EA"/>
    <w:rsid w:val="008B55F4"/>
    <w:rsid w:val="008C06F7"/>
    <w:rsid w:val="008C28CD"/>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79FA"/>
    <w:rsid w:val="00920AFE"/>
    <w:rsid w:val="009212E2"/>
    <w:rsid w:val="00921F54"/>
    <w:rsid w:val="00923486"/>
    <w:rsid w:val="009254BE"/>
    <w:rsid w:val="009277F4"/>
    <w:rsid w:val="00930905"/>
    <w:rsid w:val="009321E2"/>
    <w:rsid w:val="009343C2"/>
    <w:rsid w:val="00935E8C"/>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67F8"/>
    <w:rsid w:val="00967D62"/>
    <w:rsid w:val="00970D16"/>
    <w:rsid w:val="00973598"/>
    <w:rsid w:val="00976CDB"/>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1FD4"/>
    <w:rsid w:val="00AB3339"/>
    <w:rsid w:val="00AB3A31"/>
    <w:rsid w:val="00AB7722"/>
    <w:rsid w:val="00AC2467"/>
    <w:rsid w:val="00AC4230"/>
    <w:rsid w:val="00AC624B"/>
    <w:rsid w:val="00AD02C1"/>
    <w:rsid w:val="00AD1E01"/>
    <w:rsid w:val="00AD32CE"/>
    <w:rsid w:val="00AD4066"/>
    <w:rsid w:val="00AD4674"/>
    <w:rsid w:val="00AD4F07"/>
    <w:rsid w:val="00AE3049"/>
    <w:rsid w:val="00AE38F5"/>
    <w:rsid w:val="00AE4B54"/>
    <w:rsid w:val="00AE5461"/>
    <w:rsid w:val="00AF0996"/>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36D8"/>
    <w:rsid w:val="00B34BFA"/>
    <w:rsid w:val="00B356A4"/>
    <w:rsid w:val="00B411EC"/>
    <w:rsid w:val="00B429CA"/>
    <w:rsid w:val="00B45EDD"/>
    <w:rsid w:val="00B45F3D"/>
    <w:rsid w:val="00B50F81"/>
    <w:rsid w:val="00B5360F"/>
    <w:rsid w:val="00B57455"/>
    <w:rsid w:val="00B61F69"/>
    <w:rsid w:val="00B6216C"/>
    <w:rsid w:val="00B70B33"/>
    <w:rsid w:val="00B80C47"/>
    <w:rsid w:val="00B81322"/>
    <w:rsid w:val="00B862CD"/>
    <w:rsid w:val="00B94951"/>
    <w:rsid w:val="00B95D33"/>
    <w:rsid w:val="00B96B6E"/>
    <w:rsid w:val="00B96CA3"/>
    <w:rsid w:val="00B97591"/>
    <w:rsid w:val="00BA006C"/>
    <w:rsid w:val="00BA20B0"/>
    <w:rsid w:val="00BA3159"/>
    <w:rsid w:val="00BA372F"/>
    <w:rsid w:val="00BA7940"/>
    <w:rsid w:val="00BB302C"/>
    <w:rsid w:val="00BC0D9F"/>
    <w:rsid w:val="00BC6786"/>
    <w:rsid w:val="00BC7009"/>
    <w:rsid w:val="00BD0B17"/>
    <w:rsid w:val="00BD1AD6"/>
    <w:rsid w:val="00BD1DB2"/>
    <w:rsid w:val="00BD41A8"/>
    <w:rsid w:val="00BD696A"/>
    <w:rsid w:val="00BD6CDF"/>
    <w:rsid w:val="00BE01B3"/>
    <w:rsid w:val="00BE072E"/>
    <w:rsid w:val="00BE13F2"/>
    <w:rsid w:val="00BE2B40"/>
    <w:rsid w:val="00BE3D54"/>
    <w:rsid w:val="00BE70E1"/>
    <w:rsid w:val="00BF0C10"/>
    <w:rsid w:val="00BF1719"/>
    <w:rsid w:val="00BF29D7"/>
    <w:rsid w:val="00BF3311"/>
    <w:rsid w:val="00BF4049"/>
    <w:rsid w:val="00BF482E"/>
    <w:rsid w:val="00BF48DB"/>
    <w:rsid w:val="00BF4B8B"/>
    <w:rsid w:val="00BF5486"/>
    <w:rsid w:val="00BF6FE8"/>
    <w:rsid w:val="00BF7C57"/>
    <w:rsid w:val="00C06955"/>
    <w:rsid w:val="00C13B05"/>
    <w:rsid w:val="00C221FB"/>
    <w:rsid w:val="00C23CCC"/>
    <w:rsid w:val="00C24859"/>
    <w:rsid w:val="00C25CDA"/>
    <w:rsid w:val="00C301CF"/>
    <w:rsid w:val="00C31183"/>
    <w:rsid w:val="00C31C0D"/>
    <w:rsid w:val="00C33847"/>
    <w:rsid w:val="00C40D08"/>
    <w:rsid w:val="00C41BA9"/>
    <w:rsid w:val="00C42121"/>
    <w:rsid w:val="00C451CB"/>
    <w:rsid w:val="00C46F8F"/>
    <w:rsid w:val="00C54FEB"/>
    <w:rsid w:val="00C55762"/>
    <w:rsid w:val="00C57732"/>
    <w:rsid w:val="00C60214"/>
    <w:rsid w:val="00C62163"/>
    <w:rsid w:val="00C6402C"/>
    <w:rsid w:val="00C7220E"/>
    <w:rsid w:val="00C7584C"/>
    <w:rsid w:val="00C758FD"/>
    <w:rsid w:val="00C77DF4"/>
    <w:rsid w:val="00C8314D"/>
    <w:rsid w:val="00C84C2B"/>
    <w:rsid w:val="00C85CD7"/>
    <w:rsid w:val="00C85EE2"/>
    <w:rsid w:val="00C87AEC"/>
    <w:rsid w:val="00C92FD7"/>
    <w:rsid w:val="00C93F04"/>
    <w:rsid w:val="00C94CAC"/>
    <w:rsid w:val="00C9721C"/>
    <w:rsid w:val="00C979E0"/>
    <w:rsid w:val="00CA0DC0"/>
    <w:rsid w:val="00CA2CEA"/>
    <w:rsid w:val="00CA41C9"/>
    <w:rsid w:val="00CA6985"/>
    <w:rsid w:val="00CA7F67"/>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4589"/>
    <w:rsid w:val="00CF465D"/>
    <w:rsid w:val="00CF60BA"/>
    <w:rsid w:val="00CF7601"/>
    <w:rsid w:val="00CF7C34"/>
    <w:rsid w:val="00D036B9"/>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51F2"/>
    <w:rsid w:val="00D61A7B"/>
    <w:rsid w:val="00D714BA"/>
    <w:rsid w:val="00D721D0"/>
    <w:rsid w:val="00D731A4"/>
    <w:rsid w:val="00D75260"/>
    <w:rsid w:val="00D75B70"/>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484B"/>
    <w:rsid w:val="00DF5003"/>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709C"/>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205C"/>
    <w:rsid w:val="00F15538"/>
    <w:rsid w:val="00F20565"/>
    <w:rsid w:val="00F20699"/>
    <w:rsid w:val="00F20B34"/>
    <w:rsid w:val="00F215C8"/>
    <w:rsid w:val="00F22FDF"/>
    <w:rsid w:val="00F30399"/>
    <w:rsid w:val="00F326C8"/>
    <w:rsid w:val="00F328BF"/>
    <w:rsid w:val="00F32F79"/>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E03"/>
    <w:rsid w:val="00FE3414"/>
    <w:rsid w:val="00FE3673"/>
    <w:rsid w:val="00FF02C3"/>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935E8C"/>
    <w:pPr>
      <w:jc w:val="both"/>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9193</Words>
  <Characters>5241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Murjāņu sporta ģimnāzijas esošo būvju rekonstrukcijas projekta izstrādei paredzētā finansējuma pārdali</vt:lpstr>
    </vt:vector>
  </TitlesOfParts>
  <Company>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Murjāņu sporta ģimnāzijas esošo būvju rekonstrukcijas projekta izstrādei paredzētā finansējuma pārdali</dc:title>
  <dc:subject>Sākotnējās ietekmes novērtējuma ziņojums (anotācija)</dc:subject>
  <dc:creator>Edgars Severs</dc:creator>
  <cp:keywords/>
  <dc:description>Izglītības un zinātnes ministrijas Sporta un jaunatnes departamenta direktora vietnieks sporta jomā E.Severs
Tel: 67047935
e-pasts: edgars.severs@izm.gov.lv
Fakss: 67047929</dc:description>
  <cp:lastModifiedBy>Edgars Severs</cp:lastModifiedBy>
  <cp:revision>14</cp:revision>
  <cp:lastPrinted>2012-12-14T09:35:00Z</cp:lastPrinted>
  <dcterms:created xsi:type="dcterms:W3CDTF">2012-12-14T08:55:00Z</dcterms:created>
  <dcterms:modified xsi:type="dcterms:W3CDTF">2012-12-14T10:28:00Z</dcterms:modified>
</cp:coreProperties>
</file>