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2E" w:rsidRPr="004C789E" w:rsidRDefault="00A44F2E" w:rsidP="009341A5">
      <w:pPr>
        <w:pStyle w:val="BodyText"/>
        <w:spacing w:after="0"/>
        <w:ind w:right="140"/>
        <w:jc w:val="center"/>
        <w:rPr>
          <w:b/>
          <w:bCs/>
          <w:sz w:val="28"/>
          <w:szCs w:val="28"/>
        </w:rPr>
      </w:pPr>
      <w:r w:rsidRPr="004C789E">
        <w:rPr>
          <w:b/>
          <w:bCs/>
          <w:sz w:val="28"/>
          <w:szCs w:val="28"/>
        </w:rPr>
        <w:t xml:space="preserve">Ministru kabineta rīkojuma projekta „Par </w:t>
      </w:r>
      <w:r w:rsidR="006E016D">
        <w:rPr>
          <w:b/>
          <w:bCs/>
          <w:sz w:val="28"/>
          <w:szCs w:val="28"/>
        </w:rPr>
        <w:t xml:space="preserve">valsts nekustamā īpašuma un </w:t>
      </w:r>
      <w:r w:rsidR="00F37EB8">
        <w:rPr>
          <w:b/>
          <w:bCs/>
          <w:sz w:val="28"/>
          <w:szCs w:val="28"/>
        </w:rPr>
        <w:t>apakšzemes inženierkomunikāciju</w:t>
      </w:r>
      <w:r w:rsidR="006E016D">
        <w:rPr>
          <w:b/>
          <w:bCs/>
          <w:sz w:val="28"/>
          <w:szCs w:val="28"/>
        </w:rPr>
        <w:t xml:space="preserve"> nodo</w:t>
      </w:r>
      <w:r w:rsidR="00F42A7A">
        <w:rPr>
          <w:b/>
          <w:bCs/>
          <w:sz w:val="28"/>
          <w:szCs w:val="28"/>
        </w:rPr>
        <w:t>šanu Priekuļu novada pašvaldības īpašumā</w:t>
      </w:r>
      <w:r w:rsidRPr="004C789E">
        <w:rPr>
          <w:b/>
          <w:bCs/>
          <w:sz w:val="28"/>
          <w:szCs w:val="28"/>
        </w:rPr>
        <w:t>”</w:t>
      </w:r>
      <w:r w:rsidR="002B5224" w:rsidRPr="004C789E">
        <w:rPr>
          <w:b/>
          <w:bCs/>
          <w:sz w:val="28"/>
          <w:szCs w:val="28"/>
        </w:rPr>
        <w:t xml:space="preserve"> </w:t>
      </w:r>
      <w:r w:rsidRPr="004C789E">
        <w:rPr>
          <w:b/>
          <w:sz w:val="28"/>
          <w:szCs w:val="28"/>
        </w:rPr>
        <w:t>sākotnējā</w:t>
      </w:r>
      <w:r w:rsidR="00933E29">
        <w:rPr>
          <w:b/>
          <w:sz w:val="28"/>
          <w:szCs w:val="28"/>
        </w:rPr>
        <w:t>s ietekmes</w:t>
      </w:r>
      <w:r w:rsidR="00F37EB8">
        <w:rPr>
          <w:b/>
          <w:sz w:val="28"/>
          <w:szCs w:val="28"/>
        </w:rPr>
        <w:t xml:space="preserve"> </w:t>
      </w:r>
      <w:r w:rsidR="005B4307" w:rsidRPr="004C789E">
        <w:rPr>
          <w:b/>
          <w:sz w:val="28"/>
          <w:szCs w:val="28"/>
        </w:rPr>
        <w:t>novērtējuma</w:t>
      </w:r>
      <w:r w:rsidR="00A81C5F" w:rsidRPr="004C789E">
        <w:rPr>
          <w:b/>
          <w:bCs/>
          <w:sz w:val="28"/>
          <w:szCs w:val="28"/>
        </w:rPr>
        <w:t xml:space="preserve"> </w:t>
      </w:r>
      <w:r w:rsidR="002B5224" w:rsidRPr="004C789E">
        <w:rPr>
          <w:b/>
          <w:sz w:val="28"/>
          <w:szCs w:val="28"/>
        </w:rPr>
        <w:t xml:space="preserve">ziņojums </w:t>
      </w:r>
      <w:r w:rsidRPr="004C789E">
        <w:rPr>
          <w:b/>
          <w:sz w:val="28"/>
          <w:szCs w:val="28"/>
        </w:rPr>
        <w:t>(anotācija)</w:t>
      </w:r>
    </w:p>
    <w:p w:rsidR="00A44F2E" w:rsidRPr="004C789E" w:rsidRDefault="00A44F2E" w:rsidP="00DA04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W w:w="5000" w:type="pct"/>
        <w:tblInd w:w="-11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9"/>
        <w:gridCol w:w="11"/>
        <w:gridCol w:w="558"/>
        <w:gridCol w:w="1617"/>
        <w:gridCol w:w="374"/>
        <w:gridCol w:w="849"/>
        <w:gridCol w:w="73"/>
        <w:gridCol w:w="1559"/>
        <w:gridCol w:w="1223"/>
        <w:gridCol w:w="1223"/>
        <w:gridCol w:w="1120"/>
        <w:gridCol w:w="371"/>
      </w:tblGrid>
      <w:tr w:rsidR="00A44F2E" w:rsidRPr="004C789E" w:rsidTr="00C66F14">
        <w:trPr>
          <w:gridBefore w:val="1"/>
          <w:wBefore w:w="60" w:type="pct"/>
        </w:trPr>
        <w:tc>
          <w:tcPr>
            <w:tcW w:w="4940" w:type="pct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F2E" w:rsidRPr="004C789E" w:rsidRDefault="00A44F2E" w:rsidP="004D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A44F2E" w:rsidRPr="004C789E" w:rsidTr="002071D0">
        <w:trPr>
          <w:gridBefore w:val="1"/>
          <w:wBefore w:w="60" w:type="pct"/>
        </w:trPr>
        <w:tc>
          <w:tcPr>
            <w:tcW w:w="3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C789E" w:rsidRDefault="00A44F2E" w:rsidP="004D59A3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0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C789E" w:rsidRDefault="00A44F2E" w:rsidP="004D59A3">
            <w:pPr>
              <w:spacing w:after="0" w:line="240" w:lineRule="auto"/>
              <w:ind w:left="141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531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33" w:rsidRPr="004C789E" w:rsidRDefault="00811233" w:rsidP="00D9679E">
            <w:pPr>
              <w:spacing w:after="0" w:line="20" w:lineRule="atLeast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89E">
              <w:rPr>
                <w:rFonts w:ascii="Times New Roman" w:hAnsi="Times New Roman" w:cs="Times New Roman"/>
                <w:sz w:val="28"/>
                <w:szCs w:val="28"/>
              </w:rPr>
              <w:t>Saskaņā ar Publiskas personas mantas atsavināšanas likuma 42.panta pirmo daļu valsts nekustamo īpašumu var nodot bez atlīdzības atvasinātas publiskas personas īpašumā.</w:t>
            </w:r>
          </w:p>
          <w:p w:rsidR="00F70850" w:rsidRPr="00F70850" w:rsidRDefault="00811233" w:rsidP="00F70850">
            <w:pPr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89E">
              <w:rPr>
                <w:rFonts w:ascii="Times New Roman" w:hAnsi="Times New Roman" w:cs="Times New Roman"/>
                <w:sz w:val="28"/>
                <w:szCs w:val="28"/>
              </w:rPr>
              <w:t>Atbilstoši Publiskas personas mantas atsavināšanas likuma 43.pantā norādītajam lēmumu par valsts nekustamā īpašuma nodošanu bez atlīdzības atvasinātas publiskas personas īpašumā pieņem Ministru kabinets.</w:t>
            </w:r>
          </w:p>
        </w:tc>
      </w:tr>
      <w:tr w:rsidR="00A44F2E" w:rsidRPr="004C789E" w:rsidTr="002071D0">
        <w:trPr>
          <w:gridBefore w:val="1"/>
          <w:wBefore w:w="60" w:type="pct"/>
        </w:trPr>
        <w:tc>
          <w:tcPr>
            <w:tcW w:w="3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C789E" w:rsidRDefault="00A44F2E" w:rsidP="004D59A3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0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C789E" w:rsidRDefault="00A44F2E" w:rsidP="004D59A3">
            <w:pPr>
              <w:spacing w:after="0" w:line="240" w:lineRule="auto"/>
              <w:ind w:left="150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</w:t>
            </w:r>
          </w:p>
          <w:p w:rsidR="00A44F2E" w:rsidRPr="004C789E" w:rsidRDefault="00A44F2E" w:rsidP="004D59A3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531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8F8" w:rsidRPr="00CC27FD" w:rsidRDefault="00976B51" w:rsidP="0043199A">
            <w:pPr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7FD">
              <w:rPr>
                <w:rFonts w:ascii="Times New Roman" w:hAnsi="Times New Roman" w:cs="Times New Roman"/>
                <w:sz w:val="28"/>
                <w:szCs w:val="28"/>
              </w:rPr>
              <w:t>Valsts nekustamais īpašums</w:t>
            </w:r>
            <w:r w:rsidR="00811233" w:rsidRPr="00CC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9CB" w:rsidRPr="00CC27FD">
              <w:rPr>
                <w:rFonts w:ascii="Times New Roman" w:hAnsi="Times New Roman" w:cs="Times New Roman"/>
                <w:sz w:val="28"/>
                <w:szCs w:val="28"/>
              </w:rPr>
              <w:t>(nekustamā īpašuma kadastra Nr.</w:t>
            </w:r>
            <w:r w:rsidR="006E016D" w:rsidRPr="00CC27FD">
              <w:rPr>
                <w:rFonts w:ascii="Times New Roman" w:eastAsia="Calibri" w:hAnsi="Times New Roman" w:cs="Times New Roman"/>
                <w:sz w:val="28"/>
                <w:szCs w:val="28"/>
              </w:rPr>
              <w:t>4272 502 0030</w:t>
            </w:r>
            <w:r w:rsidR="003A5F97" w:rsidRPr="00CC27F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D009D2" w:rsidRPr="00CC27F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A5F97" w:rsidRPr="00CC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E016D" w:rsidRPr="00CC27FD">
              <w:rPr>
                <w:rFonts w:ascii="Times New Roman" w:eastAsia="Calibri" w:hAnsi="Times New Roman" w:cs="Times New Roman"/>
                <w:sz w:val="28"/>
                <w:szCs w:val="28"/>
              </w:rPr>
              <w:t>Gaujas ielā 1, Jāņmuižā, Priekuļu pagastā, Priekuļu novadā</w:t>
            </w:r>
            <w:r w:rsidR="00A80EED" w:rsidRPr="00CC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(turpmāk – valsts nekustamais īpašums)</w:t>
            </w:r>
            <w:r w:rsidR="003A5F97" w:rsidRPr="00CC27F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F79CB" w:rsidRPr="00CC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494" w:rsidRPr="00CC27FD">
              <w:rPr>
                <w:rFonts w:ascii="Times New Roman" w:hAnsi="Times New Roman" w:cs="Times New Roman"/>
                <w:sz w:val="28"/>
                <w:szCs w:val="28"/>
              </w:rPr>
              <w:t xml:space="preserve">ir </w:t>
            </w:r>
            <w:r w:rsidR="001158F8" w:rsidRPr="00CC27FD">
              <w:rPr>
                <w:rFonts w:ascii="Times New Roman" w:hAnsi="Times New Roman" w:cs="Times New Roman"/>
                <w:sz w:val="28"/>
                <w:szCs w:val="28"/>
              </w:rPr>
              <w:t xml:space="preserve">ierakstīts </w:t>
            </w:r>
            <w:r w:rsidR="006E016D" w:rsidRPr="00CC27FD">
              <w:rPr>
                <w:rFonts w:ascii="Times New Roman" w:hAnsi="Times New Roman" w:cs="Times New Roman"/>
                <w:sz w:val="28"/>
                <w:szCs w:val="28"/>
              </w:rPr>
              <w:t>Cēsu</w:t>
            </w:r>
            <w:r w:rsidR="00F70850" w:rsidRPr="00CC27FD">
              <w:rPr>
                <w:rFonts w:ascii="Times New Roman" w:hAnsi="Times New Roman" w:cs="Times New Roman"/>
                <w:sz w:val="28"/>
                <w:szCs w:val="28"/>
              </w:rPr>
              <w:t xml:space="preserve"> rajona tiesas</w:t>
            </w:r>
            <w:r w:rsidR="00E37745" w:rsidRPr="00CC2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8F8" w:rsidRPr="00CC27FD">
              <w:rPr>
                <w:rFonts w:ascii="Times New Roman" w:hAnsi="Times New Roman" w:cs="Times New Roman"/>
                <w:sz w:val="28"/>
                <w:szCs w:val="28"/>
              </w:rPr>
              <w:t xml:space="preserve">zemesgrāmatu nodaļas </w:t>
            </w:r>
            <w:r w:rsidR="006E016D" w:rsidRPr="00CC27FD">
              <w:rPr>
                <w:rFonts w:ascii="Times New Roman" w:hAnsi="Times New Roman" w:cs="Times New Roman"/>
                <w:sz w:val="28"/>
                <w:szCs w:val="28"/>
              </w:rPr>
              <w:t>Priekuļu</w:t>
            </w:r>
            <w:r w:rsidR="00F70850" w:rsidRPr="00CC27FD">
              <w:rPr>
                <w:rFonts w:ascii="Times New Roman" w:hAnsi="Times New Roman" w:cs="Times New Roman"/>
                <w:sz w:val="28"/>
                <w:szCs w:val="28"/>
              </w:rPr>
              <w:t xml:space="preserve"> pagasta</w:t>
            </w:r>
            <w:r w:rsidR="001158F8" w:rsidRPr="00CC27FD">
              <w:rPr>
                <w:rFonts w:ascii="Times New Roman" w:hAnsi="Times New Roman" w:cs="Times New Roman"/>
                <w:sz w:val="28"/>
                <w:szCs w:val="28"/>
              </w:rPr>
              <w:t xml:space="preserve"> zemesgrāmatas nodalījumā Nr.</w:t>
            </w:r>
            <w:r w:rsidR="006E016D" w:rsidRPr="00CC27FD">
              <w:rPr>
                <w:rFonts w:ascii="Times New Roman" w:hAnsi="Times New Roman" w:cs="Times New Roman"/>
                <w:sz w:val="28"/>
                <w:szCs w:val="28"/>
              </w:rPr>
              <w:t>100000126319</w:t>
            </w:r>
            <w:r w:rsidR="001158F8" w:rsidRPr="00CC27FD">
              <w:rPr>
                <w:rFonts w:ascii="Times New Roman" w:hAnsi="Times New Roman" w:cs="Times New Roman"/>
                <w:sz w:val="28"/>
                <w:szCs w:val="28"/>
              </w:rPr>
              <w:t xml:space="preserve"> uz </w:t>
            </w:r>
            <w:r w:rsidR="005E27B7" w:rsidRPr="00CC27FD">
              <w:rPr>
                <w:rFonts w:ascii="Times New Roman" w:hAnsi="Times New Roman" w:cs="Times New Roman"/>
                <w:sz w:val="28"/>
                <w:szCs w:val="28"/>
              </w:rPr>
              <w:t xml:space="preserve">Latvijas </w:t>
            </w:r>
            <w:r w:rsidR="001158F8" w:rsidRPr="00CC27FD">
              <w:rPr>
                <w:rFonts w:ascii="Times New Roman" w:hAnsi="Times New Roman" w:cs="Times New Roman"/>
                <w:sz w:val="28"/>
                <w:szCs w:val="28"/>
              </w:rPr>
              <w:t xml:space="preserve">valsts vārda </w:t>
            </w:r>
            <w:r w:rsidR="003A5F97" w:rsidRPr="00CC27FD">
              <w:rPr>
                <w:rFonts w:ascii="Times New Roman" w:hAnsi="Times New Roman" w:cs="Times New Roman"/>
                <w:sz w:val="28"/>
                <w:szCs w:val="28"/>
              </w:rPr>
              <w:t xml:space="preserve">Izglītības un zinātnes ministrijas (turpmāk – </w:t>
            </w:r>
            <w:r w:rsidR="003A5F97" w:rsidRPr="00CC27FD">
              <w:rPr>
                <w:rFonts w:ascii="Times New Roman" w:eastAsia="Calibri" w:hAnsi="Times New Roman" w:cs="Times New Roman"/>
                <w:sz w:val="28"/>
                <w:szCs w:val="28"/>
              </w:rPr>
              <w:t>ministrij</w:t>
            </w:r>
            <w:r w:rsidR="003A5F97" w:rsidRPr="00CC27FD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="001158F8" w:rsidRPr="00CC27FD">
              <w:rPr>
                <w:rFonts w:ascii="Times New Roman" w:hAnsi="Times New Roman" w:cs="Times New Roman"/>
                <w:sz w:val="28"/>
                <w:szCs w:val="28"/>
              </w:rPr>
              <w:t xml:space="preserve"> personā.</w:t>
            </w:r>
          </w:p>
          <w:p w:rsidR="00BA3323" w:rsidRDefault="00114863" w:rsidP="0043199A">
            <w:pPr>
              <w:pStyle w:val="BodyText"/>
              <w:spacing w:after="0"/>
              <w:ind w:left="128" w:right="141" w:firstLine="581"/>
              <w:jc w:val="both"/>
              <w:rPr>
                <w:sz w:val="28"/>
                <w:szCs w:val="28"/>
              </w:rPr>
            </w:pPr>
            <w:r w:rsidRPr="00CC27FD">
              <w:rPr>
                <w:sz w:val="28"/>
                <w:szCs w:val="28"/>
              </w:rPr>
              <w:t xml:space="preserve">Atbilstoši Valsts zemes dienesta </w:t>
            </w:r>
            <w:r w:rsidR="000A43AC" w:rsidRPr="00CC27FD">
              <w:rPr>
                <w:sz w:val="28"/>
                <w:szCs w:val="28"/>
              </w:rPr>
              <w:t>K</w:t>
            </w:r>
            <w:r w:rsidRPr="00CC27FD">
              <w:rPr>
                <w:sz w:val="28"/>
                <w:szCs w:val="28"/>
              </w:rPr>
              <w:t xml:space="preserve">adastra informācijas sistēmas </w:t>
            </w:r>
            <w:r w:rsidR="00130E29" w:rsidRPr="00CC27FD">
              <w:rPr>
                <w:sz w:val="28"/>
                <w:szCs w:val="28"/>
              </w:rPr>
              <w:t xml:space="preserve">teksta </w:t>
            </w:r>
            <w:r w:rsidRPr="00CC27FD">
              <w:rPr>
                <w:sz w:val="28"/>
                <w:szCs w:val="28"/>
              </w:rPr>
              <w:t>datiem valsts nekustam</w:t>
            </w:r>
            <w:r w:rsidR="00A80EED" w:rsidRPr="00CC27FD">
              <w:rPr>
                <w:sz w:val="28"/>
                <w:szCs w:val="28"/>
              </w:rPr>
              <w:t>ais</w:t>
            </w:r>
            <w:r w:rsidRPr="00CC27FD">
              <w:rPr>
                <w:sz w:val="28"/>
                <w:szCs w:val="28"/>
              </w:rPr>
              <w:t xml:space="preserve"> īpašum</w:t>
            </w:r>
            <w:r w:rsidR="00A80EED" w:rsidRPr="00CC27FD">
              <w:rPr>
                <w:sz w:val="28"/>
                <w:szCs w:val="28"/>
              </w:rPr>
              <w:t>s</w:t>
            </w:r>
            <w:r w:rsidRPr="00CC27FD">
              <w:rPr>
                <w:sz w:val="28"/>
                <w:szCs w:val="28"/>
              </w:rPr>
              <w:t xml:space="preserve"> </w:t>
            </w:r>
            <w:r w:rsidR="00A80EED" w:rsidRPr="00CC27FD">
              <w:rPr>
                <w:sz w:val="28"/>
                <w:szCs w:val="28"/>
              </w:rPr>
              <w:t xml:space="preserve">sastāv no </w:t>
            </w:r>
            <w:r w:rsidR="00B7394F" w:rsidRPr="00CC27FD">
              <w:rPr>
                <w:sz w:val="28"/>
                <w:szCs w:val="28"/>
              </w:rPr>
              <w:t>divām būvēm – katlu mājas (būves kadastra apzīmējums 4272 002 0063 026 un šķūņa šķeldai (būves kadastra apzīmējums 4272 002 0063 027).</w:t>
            </w:r>
          </w:p>
          <w:p w:rsidR="00833DD2" w:rsidRDefault="003F2737" w:rsidP="0043199A">
            <w:pPr>
              <w:pStyle w:val="BodyText"/>
              <w:spacing w:after="0"/>
              <w:ind w:left="128" w:right="141" w:firstLine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Valsts nekustamais īpašums un </w:t>
            </w:r>
            <w:r w:rsidR="00F37EB8">
              <w:rPr>
                <w:sz w:val="28"/>
                <w:szCs w:val="28"/>
              </w:rPr>
              <w:t xml:space="preserve">apakšzemes inženierkomunikācijas – siltumtrases </w:t>
            </w:r>
            <w:r>
              <w:rPr>
                <w:sz w:val="28"/>
                <w:szCs w:val="28"/>
              </w:rPr>
              <w:t>(inventāra Nr.12114064, 0120010 un 12110205)</w:t>
            </w:r>
            <w:r w:rsidR="00C878F9" w:rsidRPr="00CC27FD">
              <w:rPr>
                <w:sz w:val="28"/>
                <w:szCs w:val="28"/>
              </w:rPr>
              <w:t>,</w:t>
            </w:r>
            <w:r w:rsidR="00421ADB" w:rsidRPr="00CC27FD">
              <w:rPr>
                <w:sz w:val="28"/>
                <w:szCs w:val="28"/>
              </w:rPr>
              <w:t xml:space="preserve"> </w:t>
            </w:r>
            <w:r w:rsidR="00C31E65" w:rsidRPr="00CC27FD">
              <w:rPr>
                <w:sz w:val="28"/>
                <w:szCs w:val="28"/>
              </w:rPr>
              <w:t xml:space="preserve">saskaņā ar </w:t>
            </w:r>
            <w:r>
              <w:rPr>
                <w:sz w:val="28"/>
                <w:szCs w:val="28"/>
              </w:rPr>
              <w:t>Priekuļu un Jāņmuižas Valsts tehnikuma pamatlīdzekļu uzs</w:t>
            </w:r>
            <w:r w:rsidR="00AD6DFD">
              <w:rPr>
                <w:sz w:val="28"/>
                <w:szCs w:val="28"/>
              </w:rPr>
              <w:t>kaites kartiņās nor</w:t>
            </w:r>
            <w:r w:rsidR="00C31E65" w:rsidRPr="00CC27FD">
              <w:rPr>
                <w:sz w:val="28"/>
                <w:szCs w:val="28"/>
              </w:rPr>
              <w:t>ādīto</w:t>
            </w:r>
            <w:r w:rsidR="00C878F9" w:rsidRPr="00CC27FD">
              <w:rPr>
                <w:sz w:val="28"/>
                <w:szCs w:val="28"/>
              </w:rPr>
              <w:t>,</w:t>
            </w:r>
            <w:r w:rsidR="00C31E65" w:rsidRPr="00CC27FD">
              <w:rPr>
                <w:sz w:val="28"/>
                <w:szCs w:val="28"/>
              </w:rPr>
              <w:t xml:space="preserve"> atrodas ministrijas padotībā esošās profesionālās izglītības iestādes – </w:t>
            </w:r>
            <w:r w:rsidR="00694811" w:rsidRPr="00CC27FD">
              <w:rPr>
                <w:sz w:val="28"/>
                <w:szCs w:val="28"/>
              </w:rPr>
              <w:t>Priekuļu un Jāņmuižas Valsts tehnikuma</w:t>
            </w:r>
            <w:r w:rsidR="00916A1D" w:rsidRPr="00CC27FD">
              <w:rPr>
                <w:sz w:val="28"/>
                <w:szCs w:val="28"/>
              </w:rPr>
              <w:t xml:space="preserve"> </w:t>
            </w:r>
            <w:r w:rsidR="00694811" w:rsidRPr="00CC27FD">
              <w:rPr>
                <w:sz w:val="28"/>
                <w:szCs w:val="28"/>
              </w:rPr>
              <w:t xml:space="preserve">(turpmāk – tehnikums) </w:t>
            </w:r>
            <w:r w:rsidR="00C31E65" w:rsidRPr="00CC27FD">
              <w:rPr>
                <w:sz w:val="28"/>
                <w:szCs w:val="28"/>
              </w:rPr>
              <w:t>– bilancē un kon</w:t>
            </w:r>
            <w:r w:rsidR="008C0CBD" w:rsidRPr="00CC27FD">
              <w:rPr>
                <w:sz w:val="28"/>
                <w:szCs w:val="28"/>
              </w:rPr>
              <w:t>solidētajā ministrijas bilancē.</w:t>
            </w:r>
          </w:p>
          <w:p w:rsidR="00BA3323" w:rsidRPr="00CC27FD" w:rsidRDefault="00BA3323" w:rsidP="00BA3323">
            <w:pPr>
              <w:pStyle w:val="BodyText"/>
              <w:spacing w:after="0"/>
              <w:ind w:left="128" w:right="141" w:firstLine="581"/>
              <w:jc w:val="both"/>
              <w:rPr>
                <w:sz w:val="28"/>
                <w:szCs w:val="28"/>
              </w:rPr>
            </w:pPr>
            <w:r w:rsidRPr="00CC27FD">
              <w:rPr>
                <w:sz w:val="28"/>
                <w:szCs w:val="28"/>
              </w:rPr>
              <w:t>Valsts nekustamais īpašums</w:t>
            </w:r>
            <w:r>
              <w:rPr>
                <w:sz w:val="28"/>
                <w:szCs w:val="28"/>
              </w:rPr>
              <w:t xml:space="preserve"> un </w:t>
            </w:r>
            <w:r w:rsidR="00F37EB8">
              <w:rPr>
                <w:sz w:val="28"/>
                <w:szCs w:val="28"/>
              </w:rPr>
              <w:t>apakšzemes inženierkomunikācijas</w:t>
            </w:r>
            <w:r w:rsidRPr="00CC27FD">
              <w:rPr>
                <w:sz w:val="28"/>
                <w:szCs w:val="28"/>
              </w:rPr>
              <w:t xml:space="preserve"> saistīt</w:t>
            </w:r>
            <w:r>
              <w:rPr>
                <w:sz w:val="28"/>
                <w:szCs w:val="28"/>
              </w:rPr>
              <w:t>as</w:t>
            </w:r>
            <w:r w:rsidRPr="00CC27FD">
              <w:rPr>
                <w:sz w:val="28"/>
                <w:szCs w:val="28"/>
              </w:rPr>
              <w:t xml:space="preserve"> ar fiziskai personai piederošu zemes vienību (zemes vienības kadastra apzīmējums 4272 002 0063), kas atrodas nekustamā īpašuma (nekustamā īpašuma kadastra Nr.4272 002 0063) „Vairogi”, Priekuļu pagastā</w:t>
            </w:r>
            <w:r w:rsidR="00FA6A84">
              <w:rPr>
                <w:sz w:val="28"/>
                <w:szCs w:val="28"/>
              </w:rPr>
              <w:t>,</w:t>
            </w:r>
            <w:r w:rsidRPr="00CC27FD">
              <w:rPr>
                <w:sz w:val="28"/>
                <w:szCs w:val="28"/>
              </w:rPr>
              <w:t xml:space="preserve"> Priekuļu novadā, </w:t>
            </w:r>
            <w:r w:rsidRPr="00CC27FD">
              <w:rPr>
                <w:sz w:val="28"/>
                <w:szCs w:val="28"/>
              </w:rPr>
              <w:lastRenderedPageBreak/>
              <w:t>sastāvā.</w:t>
            </w:r>
            <w:r>
              <w:rPr>
                <w:sz w:val="28"/>
                <w:szCs w:val="28"/>
              </w:rPr>
              <w:t xml:space="preserve"> Par zemes lietošanu 2011.gada 12.jūlijā starp Jāņmuižas Profesionālo vidusskolu </w:t>
            </w:r>
            <w:r w:rsidR="00FA6A84">
              <w:rPr>
                <w:sz w:val="28"/>
                <w:szCs w:val="28"/>
              </w:rPr>
              <w:t xml:space="preserve">(šobrīd – tehnikums) </w:t>
            </w:r>
            <w:r w:rsidR="00D004FB">
              <w:rPr>
                <w:sz w:val="28"/>
                <w:szCs w:val="28"/>
              </w:rPr>
              <w:t>un zemes īpašniekiem</w:t>
            </w:r>
            <w:r w:rsidR="009D3194">
              <w:rPr>
                <w:sz w:val="28"/>
                <w:szCs w:val="28"/>
              </w:rPr>
              <w:t xml:space="preserve"> ir noslēgts zemes nomas līgums ar termiņu līdz 2013.gada 12.jūlijam. Tā kā zemes nomas līguma termiņš ir beidzies, nomas attiecības turpinās Priekuļu novada pašvaldība.</w:t>
            </w:r>
          </w:p>
          <w:p w:rsidR="00C31E65" w:rsidRPr="00CC27FD" w:rsidRDefault="00E06A44" w:rsidP="0043199A">
            <w:pPr>
              <w:pStyle w:val="BodyText"/>
              <w:spacing w:after="0"/>
              <w:ind w:left="128" w:right="141" w:firstLine="581"/>
              <w:jc w:val="both"/>
              <w:rPr>
                <w:bCs/>
                <w:sz w:val="28"/>
                <w:szCs w:val="28"/>
              </w:rPr>
            </w:pPr>
            <w:r w:rsidRPr="00CC27FD">
              <w:rPr>
                <w:sz w:val="28"/>
                <w:szCs w:val="28"/>
              </w:rPr>
              <w:t xml:space="preserve">Pamatojoties uz </w:t>
            </w:r>
            <w:r w:rsidR="00C31E65" w:rsidRPr="00CC27FD">
              <w:rPr>
                <w:bCs/>
                <w:sz w:val="28"/>
                <w:szCs w:val="28"/>
              </w:rPr>
              <w:t>likuma „Par nekustamā īpašuma ierakstīšanu zemesgrāmatās” 19.pantu</w:t>
            </w:r>
            <w:r w:rsidRPr="00CC27FD">
              <w:rPr>
                <w:bCs/>
                <w:sz w:val="28"/>
                <w:szCs w:val="28"/>
              </w:rPr>
              <w:t>,</w:t>
            </w:r>
            <w:r w:rsidR="00C31E65" w:rsidRPr="00CC27FD">
              <w:rPr>
                <w:bCs/>
                <w:sz w:val="28"/>
                <w:szCs w:val="28"/>
              </w:rPr>
              <w:t xml:space="preserve"> </w:t>
            </w:r>
            <w:r w:rsidR="00C31E65" w:rsidRPr="00CC27FD">
              <w:rPr>
                <w:sz w:val="28"/>
                <w:szCs w:val="28"/>
              </w:rPr>
              <w:t xml:space="preserve">zemesgrāmatā </w:t>
            </w:r>
            <w:r w:rsidR="00A4730F" w:rsidRPr="00CC27FD">
              <w:rPr>
                <w:sz w:val="28"/>
                <w:szCs w:val="28"/>
              </w:rPr>
              <w:t>kā patstāvīgi īpašuma objekti nav ierakstāmas virszemes un apakšzemes inženierkomunikācijas, cauruļvadu trases, ceļi, ielas, stāvlaukumi un citas tamlīdzīgas būves.</w:t>
            </w:r>
            <w:r w:rsidR="00A4730F" w:rsidRPr="00CC27FD">
              <w:rPr>
                <w:bCs/>
                <w:sz w:val="28"/>
                <w:szCs w:val="28"/>
              </w:rPr>
              <w:t xml:space="preserve"> Ievērojot </w:t>
            </w:r>
            <w:r w:rsidR="00C31E65" w:rsidRPr="00CC27FD">
              <w:rPr>
                <w:bCs/>
                <w:sz w:val="28"/>
                <w:szCs w:val="28"/>
              </w:rPr>
              <w:t>likuma „Par nekustamā īpašuma ierakstīšanu zemesgrāmatās” 19.pant</w:t>
            </w:r>
            <w:r w:rsidR="00A4730F" w:rsidRPr="00CC27FD">
              <w:rPr>
                <w:bCs/>
                <w:sz w:val="28"/>
                <w:szCs w:val="28"/>
              </w:rPr>
              <w:t>ā norādīto,</w:t>
            </w:r>
            <w:r w:rsidR="00F37EB8">
              <w:rPr>
                <w:bCs/>
                <w:sz w:val="28"/>
                <w:szCs w:val="28"/>
              </w:rPr>
              <w:t xml:space="preserve"> apa</w:t>
            </w:r>
            <w:r w:rsidR="00605709">
              <w:rPr>
                <w:bCs/>
                <w:sz w:val="28"/>
                <w:szCs w:val="28"/>
              </w:rPr>
              <w:t xml:space="preserve">kšzemes inženierkomunikācijas – </w:t>
            </w:r>
            <w:r w:rsidR="00B72E19" w:rsidRPr="00CC27FD">
              <w:rPr>
                <w:sz w:val="28"/>
                <w:szCs w:val="28"/>
              </w:rPr>
              <w:t>siltumtrases</w:t>
            </w:r>
            <w:r w:rsidR="00C31E65" w:rsidRPr="00CC27FD">
              <w:rPr>
                <w:bCs/>
                <w:sz w:val="28"/>
                <w:szCs w:val="28"/>
              </w:rPr>
              <w:t xml:space="preserve"> nav ierakstāma</w:t>
            </w:r>
            <w:r w:rsidR="0011654D" w:rsidRPr="00CC27FD">
              <w:rPr>
                <w:bCs/>
                <w:sz w:val="28"/>
                <w:szCs w:val="28"/>
              </w:rPr>
              <w:t>s</w:t>
            </w:r>
            <w:r w:rsidR="00C31E65" w:rsidRPr="00CC27FD">
              <w:rPr>
                <w:bCs/>
                <w:sz w:val="28"/>
                <w:szCs w:val="28"/>
              </w:rPr>
              <w:t xml:space="preserve"> zemesgrāmatā.</w:t>
            </w:r>
          </w:p>
          <w:p w:rsidR="0011654D" w:rsidRPr="00CC27FD" w:rsidRDefault="003B3A29" w:rsidP="0043199A">
            <w:pPr>
              <w:pStyle w:val="BodyText"/>
              <w:spacing w:after="0"/>
              <w:ind w:left="128" w:right="141" w:firstLine="581"/>
              <w:jc w:val="both"/>
              <w:rPr>
                <w:sz w:val="28"/>
                <w:szCs w:val="28"/>
              </w:rPr>
            </w:pPr>
            <w:r w:rsidRPr="00CC27FD">
              <w:rPr>
                <w:rFonts w:eastAsia="Calibri"/>
                <w:sz w:val="28"/>
                <w:szCs w:val="28"/>
              </w:rPr>
              <w:t>V</w:t>
            </w:r>
            <w:r w:rsidR="006F27A6" w:rsidRPr="00CC27FD">
              <w:rPr>
                <w:sz w:val="28"/>
                <w:szCs w:val="28"/>
              </w:rPr>
              <w:t>alsts nekus</w:t>
            </w:r>
            <w:r w:rsidR="00A80EED" w:rsidRPr="00CC27FD">
              <w:rPr>
                <w:sz w:val="28"/>
                <w:szCs w:val="28"/>
              </w:rPr>
              <w:t>tam</w:t>
            </w:r>
            <w:r w:rsidR="008B20EC" w:rsidRPr="00CC27FD">
              <w:rPr>
                <w:sz w:val="28"/>
                <w:szCs w:val="28"/>
              </w:rPr>
              <w:t>ais</w:t>
            </w:r>
            <w:r w:rsidR="00A80EED" w:rsidRPr="00CC27FD">
              <w:rPr>
                <w:sz w:val="28"/>
                <w:szCs w:val="28"/>
              </w:rPr>
              <w:t xml:space="preserve"> īpašum</w:t>
            </w:r>
            <w:r w:rsidR="0011654D" w:rsidRPr="00CC27FD">
              <w:rPr>
                <w:sz w:val="28"/>
                <w:szCs w:val="28"/>
              </w:rPr>
              <w:t>s</w:t>
            </w:r>
            <w:r w:rsidR="00694811" w:rsidRPr="00CC27FD">
              <w:rPr>
                <w:sz w:val="28"/>
                <w:szCs w:val="28"/>
              </w:rPr>
              <w:t xml:space="preserve"> un </w:t>
            </w:r>
            <w:r w:rsidR="00F37EB8">
              <w:rPr>
                <w:sz w:val="28"/>
                <w:szCs w:val="28"/>
              </w:rPr>
              <w:t>apakšzemes inženierkomunikācijas</w:t>
            </w:r>
            <w:r w:rsidR="00805732" w:rsidRPr="00CC27FD">
              <w:rPr>
                <w:sz w:val="28"/>
                <w:szCs w:val="28"/>
              </w:rPr>
              <w:t>,</w:t>
            </w:r>
            <w:r w:rsidR="00694811" w:rsidRPr="00CC27FD">
              <w:rPr>
                <w:sz w:val="28"/>
                <w:szCs w:val="28"/>
              </w:rPr>
              <w:t xml:space="preserve"> turpmāk kopā – o</w:t>
            </w:r>
            <w:r w:rsidR="00487628" w:rsidRPr="00CC27FD">
              <w:rPr>
                <w:sz w:val="28"/>
                <w:szCs w:val="28"/>
              </w:rPr>
              <w:t>bjekti</w:t>
            </w:r>
            <w:r w:rsidR="00916A1D" w:rsidRPr="00CC27FD">
              <w:rPr>
                <w:sz w:val="28"/>
                <w:szCs w:val="28"/>
              </w:rPr>
              <w:t>.</w:t>
            </w:r>
          </w:p>
          <w:p w:rsidR="00AC42CD" w:rsidRPr="00CC27FD" w:rsidRDefault="00916A1D" w:rsidP="0043199A">
            <w:pPr>
              <w:pStyle w:val="BodyText"/>
              <w:spacing w:after="0"/>
              <w:ind w:left="128" w:right="141" w:firstLine="581"/>
              <w:jc w:val="both"/>
              <w:rPr>
                <w:sz w:val="28"/>
                <w:szCs w:val="28"/>
              </w:rPr>
            </w:pPr>
            <w:r w:rsidRPr="00CC27FD">
              <w:rPr>
                <w:sz w:val="28"/>
                <w:szCs w:val="28"/>
              </w:rPr>
              <w:t xml:space="preserve">Objektus šobrīd savu iespēju un pieejamo finanšu līdzekļu robežās apsaimnieko </w:t>
            </w:r>
            <w:r w:rsidR="00694811" w:rsidRPr="00CC27FD">
              <w:rPr>
                <w:sz w:val="28"/>
                <w:szCs w:val="28"/>
              </w:rPr>
              <w:t>tehnikums</w:t>
            </w:r>
            <w:r w:rsidRPr="00CC27FD">
              <w:rPr>
                <w:sz w:val="28"/>
                <w:szCs w:val="28"/>
              </w:rPr>
              <w:t xml:space="preserve">, tomēr tie </w:t>
            </w:r>
            <w:r w:rsidR="008B20EC" w:rsidRPr="00CC27FD">
              <w:rPr>
                <w:sz w:val="28"/>
                <w:szCs w:val="28"/>
              </w:rPr>
              <w:t xml:space="preserve">ministrijas </w:t>
            </w:r>
            <w:r w:rsidR="00235103" w:rsidRPr="00CC27FD">
              <w:rPr>
                <w:sz w:val="28"/>
                <w:szCs w:val="28"/>
              </w:rPr>
              <w:t>un</w:t>
            </w:r>
            <w:r w:rsidR="008B20EC" w:rsidRPr="00CC27FD">
              <w:rPr>
                <w:sz w:val="28"/>
                <w:szCs w:val="28"/>
              </w:rPr>
              <w:t xml:space="preserve"> tās padotībā esošo iestāžu funkciju nodrošināšanai</w:t>
            </w:r>
            <w:r w:rsidRPr="00CC27FD">
              <w:rPr>
                <w:sz w:val="28"/>
                <w:szCs w:val="28"/>
              </w:rPr>
              <w:t xml:space="preserve"> nav nepieciešami</w:t>
            </w:r>
            <w:r w:rsidR="008B20EC" w:rsidRPr="00CC27FD">
              <w:rPr>
                <w:sz w:val="28"/>
                <w:szCs w:val="28"/>
              </w:rPr>
              <w:t>.</w:t>
            </w:r>
          </w:p>
          <w:p w:rsidR="008B20EC" w:rsidRPr="00CC27FD" w:rsidRDefault="003A5F97" w:rsidP="0043199A">
            <w:pPr>
              <w:autoSpaceDE w:val="0"/>
              <w:autoSpaceDN w:val="0"/>
              <w:adjustRightInd w:val="0"/>
              <w:spacing w:after="0" w:line="240" w:lineRule="auto"/>
              <w:ind w:left="128" w:right="141" w:firstLine="5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7F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Saskaņā ar</w:t>
            </w:r>
            <w:r w:rsidR="00517932" w:rsidRPr="00CC27F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Priekuļu </w:t>
            </w:r>
            <w:r w:rsidR="00916A1D" w:rsidRPr="00CC27F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novada domes</w:t>
            </w:r>
            <w:r w:rsidRPr="00CC27F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201</w:t>
            </w:r>
            <w:r w:rsidR="00517932" w:rsidRPr="00CC27F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3</w:t>
            </w:r>
            <w:r w:rsidRPr="00CC27F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.gada </w:t>
            </w:r>
            <w:r w:rsidR="00517932" w:rsidRPr="00CC27F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23.maija</w:t>
            </w:r>
            <w:r w:rsidRPr="00CC27F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F879B3" w:rsidRPr="00CC27F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sēdes </w:t>
            </w:r>
            <w:r w:rsidR="008B20EC" w:rsidRPr="00CC27F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lēmum</w:t>
            </w:r>
            <w:r w:rsidR="00916A1D" w:rsidRPr="00CC27F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u</w:t>
            </w:r>
            <w:r w:rsidR="008B20EC" w:rsidRPr="00CC27F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(prot</w:t>
            </w:r>
            <w:r w:rsidR="00D33DCB" w:rsidRPr="00CC27F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okols</w:t>
            </w:r>
            <w:r w:rsidR="008B20EC" w:rsidRPr="00CC27F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Nr</w:t>
            </w:r>
            <w:r w:rsidR="00CC27FD" w:rsidRPr="00CC27F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.7</w:t>
            </w:r>
            <w:r w:rsidR="00916A1D" w:rsidRPr="00CC27F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="00CC27FD" w:rsidRPr="00CC27F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45.p.</w:t>
            </w:r>
            <w:r w:rsidR="008B20EC" w:rsidRPr="00CC27F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)</w:t>
            </w:r>
            <w:r w:rsidR="00CC27FD" w:rsidRPr="00CC27F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,</w:t>
            </w:r>
            <w:r w:rsidR="00487628" w:rsidRPr="00CC27FD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CC27FD" w:rsidRPr="00CC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Priekuļu novada dome nolēma </w:t>
            </w:r>
            <w:r w:rsidR="00CC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bez atlīdzības </w:t>
            </w:r>
            <w:r w:rsidR="00CC27FD" w:rsidRPr="00CC27FD">
              <w:rPr>
                <w:rFonts w:ascii="Times New Roman" w:eastAsia="Calibri" w:hAnsi="Times New Roman" w:cs="Times New Roman"/>
                <w:sz w:val="28"/>
                <w:szCs w:val="28"/>
              </w:rPr>
              <w:t>pārņemt o</w:t>
            </w:r>
            <w:r w:rsidR="00916A1D" w:rsidRPr="00CC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bjektus pašvaldības </w:t>
            </w:r>
            <w:r w:rsidR="00916A1D" w:rsidRPr="00CC27FD">
              <w:rPr>
                <w:rFonts w:ascii="Times New Roman" w:hAnsi="Times New Roman" w:cs="Times New Roman"/>
                <w:sz w:val="28"/>
                <w:szCs w:val="28"/>
              </w:rPr>
              <w:t xml:space="preserve">autonomās </w:t>
            </w:r>
            <w:r w:rsidR="00916A1D" w:rsidRPr="00CC27FD">
              <w:rPr>
                <w:rFonts w:ascii="Times New Roman" w:eastAsia="Calibri" w:hAnsi="Times New Roman" w:cs="Times New Roman"/>
                <w:sz w:val="28"/>
                <w:szCs w:val="28"/>
              </w:rPr>
              <w:t>funkcijas – organizēt iedzīvotājiem komunālos pakalpojumus (ūdensapgāde un kanalizācija, siltumapgāde, sadzīves atkritumu apsaimniekošana, notekūdeņu savākšana, novadīšana un attīrīšana)</w:t>
            </w:r>
            <w:r w:rsidR="00916A1D" w:rsidRPr="00CC27F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16A1D" w:rsidRPr="00CC27FD">
              <w:rPr>
                <w:rFonts w:ascii="Times New Roman" w:eastAsia="Calibri" w:hAnsi="Times New Roman" w:cs="Times New Roman"/>
                <w:sz w:val="28"/>
                <w:szCs w:val="28"/>
              </w:rPr>
              <w:t>īstenošanai</w:t>
            </w:r>
            <w:r w:rsidR="00916A1D" w:rsidRPr="00CC2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30D3" w:rsidRPr="00CC27FD" w:rsidRDefault="003A5F97" w:rsidP="00F37EB8">
            <w:pPr>
              <w:autoSpaceDE w:val="0"/>
              <w:autoSpaceDN w:val="0"/>
              <w:adjustRightInd w:val="0"/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7FD">
              <w:rPr>
                <w:rFonts w:ascii="Times New Roman" w:hAnsi="Times New Roman" w:cs="Times New Roman"/>
                <w:sz w:val="28"/>
                <w:szCs w:val="28"/>
              </w:rPr>
              <w:t xml:space="preserve">Ministrijas Nekustamā īpašuma un valsts mantas apsaimniekošanas komisijas </w:t>
            </w:r>
            <w:r w:rsidRPr="00CC27FD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CC27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C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.gada </w:t>
            </w:r>
            <w:r w:rsidR="00CC27FD">
              <w:rPr>
                <w:rFonts w:ascii="Times New Roman" w:eastAsia="Calibri" w:hAnsi="Times New Roman" w:cs="Times New Roman"/>
                <w:sz w:val="28"/>
                <w:szCs w:val="28"/>
              </w:rPr>
              <w:t>20.jūnija</w:t>
            </w:r>
            <w:r w:rsidR="003A6C0F" w:rsidRPr="00CC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sēdē tika pieņemts lēmums </w:t>
            </w:r>
            <w:r w:rsidR="00D33DCB" w:rsidRPr="00F37EB8">
              <w:rPr>
                <w:rFonts w:ascii="Times New Roman" w:eastAsia="Calibri" w:hAnsi="Times New Roman" w:cs="Times New Roman"/>
                <w:sz w:val="28"/>
                <w:szCs w:val="28"/>
              </w:rPr>
              <w:t>(protokols Nr.</w:t>
            </w:r>
            <w:r w:rsidR="00F37EB8" w:rsidRPr="00F37EB8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  <w:r w:rsidR="00D33DCB" w:rsidRPr="00F37E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F37EB8" w:rsidRPr="00F37EB8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916A1D" w:rsidRPr="00F37EB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F37EB8" w:rsidRPr="00F37EB8">
              <w:rPr>
                <w:rFonts w:ascii="Times New Roman" w:eastAsia="Calibri" w:hAnsi="Times New Roman" w:cs="Times New Roman"/>
                <w:sz w:val="28"/>
                <w:szCs w:val="28"/>
              </w:rPr>
              <w:t>apakš</w:t>
            </w:r>
            <w:r w:rsidR="00D33DCB" w:rsidRPr="00F37EB8">
              <w:rPr>
                <w:rFonts w:ascii="Times New Roman" w:eastAsia="Calibri" w:hAnsi="Times New Roman" w:cs="Times New Roman"/>
                <w:sz w:val="28"/>
                <w:szCs w:val="28"/>
              </w:rPr>
              <w:t>punkts)</w:t>
            </w:r>
            <w:r w:rsidR="00D33DCB" w:rsidRPr="00CC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atbalstīt </w:t>
            </w:r>
            <w:r w:rsidR="00CC27FD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916A1D" w:rsidRPr="00CC27FD">
              <w:rPr>
                <w:rFonts w:ascii="Times New Roman" w:eastAsia="Calibri" w:hAnsi="Times New Roman" w:cs="Times New Roman"/>
                <w:sz w:val="28"/>
                <w:szCs w:val="28"/>
              </w:rPr>
              <w:t>bjektu</w:t>
            </w:r>
            <w:r w:rsidR="00F870EE" w:rsidRPr="00CC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nodošanu </w:t>
            </w:r>
            <w:r w:rsidR="00CC27FD">
              <w:rPr>
                <w:rFonts w:ascii="Times New Roman" w:eastAsia="Calibri" w:hAnsi="Times New Roman" w:cs="Times New Roman"/>
                <w:sz w:val="28"/>
                <w:szCs w:val="28"/>
              </w:rPr>
              <w:t>Priekuļu</w:t>
            </w:r>
            <w:r w:rsidR="00916A1D" w:rsidRPr="00CC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novada</w:t>
            </w:r>
            <w:r w:rsidRPr="00CC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pašvaldības īpašumā bez atlīdzības</w:t>
            </w:r>
            <w:r w:rsidR="00CA4232" w:rsidRPr="00CC27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E4678" w:rsidRPr="00CC27FD">
              <w:rPr>
                <w:rFonts w:ascii="Times New Roman" w:hAnsi="Times New Roman" w:cs="Times New Roman"/>
                <w:sz w:val="28"/>
                <w:szCs w:val="28"/>
              </w:rPr>
              <w:t>likuma „Par pašvaldībām” 15.panta pirmās daļas 1.punktā noteiktās pašvaldības autonomās funkcijas nodrošināšanai</w:t>
            </w:r>
            <w:r w:rsidRPr="00CC27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44F2E" w:rsidRPr="004C789E" w:rsidTr="002071D0">
        <w:trPr>
          <w:gridBefore w:val="1"/>
          <w:wBefore w:w="60" w:type="pct"/>
        </w:trPr>
        <w:tc>
          <w:tcPr>
            <w:tcW w:w="3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C789E" w:rsidRDefault="00A44F2E" w:rsidP="004D59A3">
            <w:pPr>
              <w:spacing w:after="0" w:line="240" w:lineRule="auto"/>
              <w:ind w:right="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0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C789E" w:rsidRDefault="00A44F2E" w:rsidP="004D59A3">
            <w:pPr>
              <w:spacing w:after="0" w:line="240" w:lineRule="auto"/>
              <w:ind w:left="141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Saistītie politikas ietekmes novērtējumi un pētījumi</w:t>
            </w:r>
          </w:p>
        </w:tc>
        <w:tc>
          <w:tcPr>
            <w:tcW w:w="3531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CC27FD" w:rsidRDefault="0026209A" w:rsidP="00E848AB">
            <w:pPr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7FD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A44F2E" w:rsidRPr="004C789E" w:rsidTr="002071D0">
        <w:trPr>
          <w:gridBefore w:val="1"/>
          <w:wBefore w:w="60" w:type="pct"/>
        </w:trPr>
        <w:tc>
          <w:tcPr>
            <w:tcW w:w="3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C789E" w:rsidRDefault="00A44F2E" w:rsidP="004D59A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4.</w:t>
            </w:r>
          </w:p>
        </w:tc>
        <w:tc>
          <w:tcPr>
            <w:tcW w:w="10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C789E" w:rsidRDefault="00A44F2E" w:rsidP="004D59A3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mērķis un būtība</w:t>
            </w:r>
          </w:p>
        </w:tc>
        <w:tc>
          <w:tcPr>
            <w:tcW w:w="3531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59A3" w:rsidRPr="0013173C" w:rsidRDefault="004C3719" w:rsidP="00E848AB">
            <w:pPr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</w:t>
            </w:r>
            <w:r w:rsidR="00A44F2E"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īkojuma projekt</w:t>
            </w:r>
            <w:r w:rsidR="00D33DC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  <w:r w:rsidR="00A44F2E"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D33DC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paredz</w:t>
            </w:r>
            <w:r w:rsidR="00057BFD"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CC27FD"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bez atlīdzības </w:t>
            </w:r>
            <w:r w:rsidR="00057BFD"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nodot </w:t>
            </w:r>
            <w:r w:rsidR="00CC27F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objektus Priekuļu</w:t>
            </w:r>
            <w:r w:rsidR="0013173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novada</w:t>
            </w:r>
            <w:r w:rsidR="008B20EC"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057BFD"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pašvaldības īpašumā </w:t>
            </w:r>
            <w:r w:rsidR="00FD4EE5" w:rsidRPr="004C789E">
              <w:rPr>
                <w:rFonts w:ascii="Times New Roman" w:hAnsi="Times New Roman" w:cs="Times New Roman"/>
                <w:sz w:val="28"/>
                <w:szCs w:val="28"/>
              </w:rPr>
              <w:t>likum</w:t>
            </w:r>
            <w:r w:rsidR="004D53C8" w:rsidRPr="004C789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FD4EE5" w:rsidRPr="004C789E">
              <w:rPr>
                <w:rFonts w:ascii="Times New Roman" w:hAnsi="Times New Roman" w:cs="Times New Roman"/>
                <w:sz w:val="28"/>
                <w:szCs w:val="28"/>
              </w:rPr>
              <w:t xml:space="preserve"> „Par </w:t>
            </w:r>
            <w:r w:rsidR="003F5B40" w:rsidRPr="004C78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FD4EE5" w:rsidRPr="004C789E">
              <w:rPr>
                <w:rFonts w:ascii="Times New Roman" w:hAnsi="Times New Roman" w:cs="Times New Roman"/>
                <w:sz w:val="28"/>
                <w:szCs w:val="28"/>
              </w:rPr>
              <w:t xml:space="preserve">ašvaldībām” 15.panta </w:t>
            </w:r>
            <w:r w:rsidR="00B203CE" w:rsidRPr="004C789E">
              <w:rPr>
                <w:rFonts w:ascii="Times New Roman" w:hAnsi="Times New Roman" w:cs="Times New Roman"/>
                <w:sz w:val="28"/>
                <w:szCs w:val="28"/>
              </w:rPr>
              <w:t xml:space="preserve">pirmās daļas </w:t>
            </w:r>
            <w:r w:rsidR="00131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26C7" w:rsidRPr="004C7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20EC" w:rsidRPr="004C789E">
              <w:rPr>
                <w:rFonts w:ascii="Times New Roman" w:hAnsi="Times New Roman" w:cs="Times New Roman"/>
                <w:sz w:val="28"/>
                <w:szCs w:val="28"/>
              </w:rPr>
              <w:t xml:space="preserve">punktā </w:t>
            </w:r>
            <w:r w:rsidR="009211C6" w:rsidRPr="004C789E">
              <w:rPr>
                <w:rFonts w:ascii="Times New Roman" w:hAnsi="Times New Roman" w:cs="Times New Roman"/>
                <w:sz w:val="28"/>
                <w:szCs w:val="28"/>
              </w:rPr>
              <w:t>noteikt</w:t>
            </w:r>
            <w:r w:rsidR="002126C7" w:rsidRPr="004C789E">
              <w:rPr>
                <w:rFonts w:ascii="Times New Roman" w:hAnsi="Times New Roman" w:cs="Times New Roman"/>
                <w:sz w:val="28"/>
                <w:szCs w:val="28"/>
              </w:rPr>
              <w:t>ās</w:t>
            </w:r>
            <w:r w:rsidR="009211C6" w:rsidRPr="004C789E">
              <w:rPr>
                <w:rFonts w:ascii="Times New Roman" w:hAnsi="Times New Roman" w:cs="Times New Roman"/>
                <w:sz w:val="28"/>
                <w:szCs w:val="28"/>
              </w:rPr>
              <w:t xml:space="preserve"> pašvaldības autonom</w:t>
            </w:r>
            <w:r w:rsidR="002126C7" w:rsidRPr="004C789E">
              <w:rPr>
                <w:rFonts w:ascii="Times New Roman" w:hAnsi="Times New Roman" w:cs="Times New Roman"/>
                <w:sz w:val="28"/>
                <w:szCs w:val="28"/>
              </w:rPr>
              <w:t>ās</w:t>
            </w:r>
            <w:r w:rsidR="009211C6" w:rsidRPr="004C7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1C6" w:rsidRPr="0013173C">
              <w:rPr>
                <w:rFonts w:ascii="Times New Roman" w:hAnsi="Times New Roman" w:cs="Times New Roman"/>
                <w:sz w:val="28"/>
                <w:szCs w:val="28"/>
              </w:rPr>
              <w:t>funkcij</w:t>
            </w:r>
            <w:r w:rsidR="002126C7" w:rsidRPr="0013173C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9211C6" w:rsidRPr="00131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E18" w:rsidRPr="00916A1D">
              <w:rPr>
                <w:rFonts w:ascii="Times New Roman" w:eastAsia="Calibri" w:hAnsi="Times New Roman" w:cs="Times New Roman"/>
                <w:sz w:val="28"/>
                <w:szCs w:val="28"/>
              </w:rPr>
              <w:t>– organizēt iedzīvotājiem komunālos pakalpojumus (ūdensapgāde un kanalizācija, siltumapgāde, sadzīves atkritumu apsaimniekošana, notekūdeņu savākšana, novadīšana un attīrīšana)</w:t>
            </w:r>
            <w:r w:rsidR="00105E1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211C6" w:rsidRPr="0013173C">
              <w:rPr>
                <w:rFonts w:ascii="Times New Roman" w:hAnsi="Times New Roman" w:cs="Times New Roman"/>
                <w:sz w:val="28"/>
                <w:szCs w:val="28"/>
              </w:rPr>
              <w:t>nodrošināšanai</w:t>
            </w:r>
            <w:r w:rsidR="009211C6" w:rsidRPr="0013173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  <w:p w:rsidR="008A00EA" w:rsidRPr="0013173C" w:rsidRDefault="008A00EA" w:rsidP="00CC27FD">
            <w:pPr>
              <w:spacing w:after="0" w:line="240" w:lineRule="auto"/>
              <w:ind w:left="128" w:right="141" w:firstLine="581"/>
              <w:jc w:val="both"/>
              <w:rPr>
                <w:sz w:val="28"/>
                <w:szCs w:val="28"/>
              </w:rPr>
            </w:pPr>
            <w:r w:rsidRPr="0013173C">
              <w:rPr>
                <w:rFonts w:ascii="Times New Roman" w:hAnsi="Times New Roman" w:cs="Times New Roman"/>
                <w:sz w:val="28"/>
                <w:szCs w:val="28"/>
              </w:rPr>
              <w:t xml:space="preserve">Gadījumā, ja iestājas rīkojuma projekta 2.2.apakšpunktā minētais nosacījums, </w:t>
            </w:r>
            <w:r w:rsidR="00CC27F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Priekuļu</w:t>
            </w:r>
            <w:r w:rsidR="0013173C" w:rsidRPr="0013173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novada</w:t>
            </w:r>
            <w:r w:rsidRPr="0013173C">
              <w:rPr>
                <w:rFonts w:ascii="Times New Roman" w:hAnsi="Times New Roman" w:cs="Times New Roman"/>
                <w:sz w:val="28"/>
                <w:szCs w:val="28"/>
              </w:rPr>
              <w:t xml:space="preserve"> pašvaldībai </w:t>
            </w:r>
            <w:r w:rsidR="00D33DCB" w:rsidRPr="0013173C">
              <w:rPr>
                <w:rFonts w:ascii="Times New Roman" w:hAnsi="Times New Roman" w:cs="Times New Roman"/>
                <w:sz w:val="28"/>
                <w:szCs w:val="28"/>
              </w:rPr>
              <w:t xml:space="preserve">ir pienākums </w:t>
            </w:r>
            <w:r w:rsidR="00CC27FD">
              <w:rPr>
                <w:rFonts w:ascii="Times New Roman" w:hAnsi="Times New Roman" w:cs="Times New Roman"/>
                <w:sz w:val="28"/>
                <w:szCs w:val="28"/>
              </w:rPr>
              <w:t>objektus</w:t>
            </w:r>
            <w:r w:rsidR="0013173C" w:rsidRPr="00131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DCB" w:rsidRPr="0013173C">
              <w:rPr>
                <w:rFonts w:ascii="Times New Roman" w:hAnsi="Times New Roman" w:cs="Times New Roman"/>
                <w:sz w:val="28"/>
                <w:szCs w:val="28"/>
              </w:rPr>
              <w:t>nodot</w:t>
            </w:r>
            <w:r w:rsidRPr="0013173C">
              <w:rPr>
                <w:rFonts w:ascii="Times New Roman" w:hAnsi="Times New Roman" w:cs="Times New Roman"/>
                <w:sz w:val="28"/>
                <w:szCs w:val="28"/>
              </w:rPr>
              <w:t xml:space="preserve"> bez atlīdzības atpakaļ valstij</w:t>
            </w:r>
            <w:r w:rsidR="00D56D73" w:rsidRPr="0013173C">
              <w:rPr>
                <w:rFonts w:ascii="Times New Roman" w:hAnsi="Times New Roman" w:cs="Times New Roman"/>
                <w:sz w:val="28"/>
                <w:szCs w:val="28"/>
              </w:rPr>
              <w:t xml:space="preserve">, tādējādi paredzot iespēju valstij izvērtēt </w:t>
            </w:r>
            <w:r w:rsidR="0013173C">
              <w:rPr>
                <w:rFonts w:ascii="Times New Roman" w:hAnsi="Times New Roman" w:cs="Times New Roman"/>
                <w:sz w:val="28"/>
                <w:szCs w:val="28"/>
              </w:rPr>
              <w:t xml:space="preserve">objektu </w:t>
            </w:r>
            <w:r w:rsidR="00D56D73" w:rsidRPr="0013173C">
              <w:rPr>
                <w:rFonts w:ascii="Times New Roman" w:hAnsi="Times New Roman" w:cs="Times New Roman"/>
                <w:sz w:val="28"/>
                <w:szCs w:val="28"/>
              </w:rPr>
              <w:t>nepieciešamību tās funkciju nodrošināšanai.</w:t>
            </w:r>
          </w:p>
        </w:tc>
      </w:tr>
      <w:tr w:rsidR="00A44F2E" w:rsidRPr="004C789E" w:rsidTr="002071D0">
        <w:trPr>
          <w:gridBefore w:val="1"/>
          <w:wBefore w:w="60" w:type="pct"/>
        </w:trPr>
        <w:tc>
          <w:tcPr>
            <w:tcW w:w="3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C789E" w:rsidRDefault="00A44F2E" w:rsidP="004D59A3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0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C789E" w:rsidRDefault="00A44F2E" w:rsidP="004D59A3">
            <w:pPr>
              <w:spacing w:after="0" w:line="240" w:lineRule="auto"/>
              <w:ind w:left="150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531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C789E" w:rsidRDefault="00AF7900" w:rsidP="00E848AB">
            <w:pPr>
              <w:pStyle w:val="Footer"/>
              <w:tabs>
                <w:tab w:val="clear" w:pos="4153"/>
                <w:tab w:val="clear" w:pos="8306"/>
                <w:tab w:val="right" w:pos="9072"/>
              </w:tabs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Ministrija, Priekuļu novada pašvaldība</w:t>
            </w:r>
            <w:r w:rsidR="009E6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F2E" w:rsidRPr="004C789E" w:rsidTr="002071D0">
        <w:trPr>
          <w:gridBefore w:val="1"/>
          <w:wBefore w:w="60" w:type="pct"/>
        </w:trPr>
        <w:tc>
          <w:tcPr>
            <w:tcW w:w="3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C789E" w:rsidRDefault="00A44F2E" w:rsidP="004D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0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C789E" w:rsidRDefault="00A44F2E" w:rsidP="004D59A3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Iemesli, kādēļ netika nodrošināta sabiedrības līdzdalība</w:t>
            </w:r>
          </w:p>
        </w:tc>
        <w:tc>
          <w:tcPr>
            <w:tcW w:w="3531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C789E" w:rsidRDefault="00A868CD" w:rsidP="00CC27FD">
            <w:pPr>
              <w:pStyle w:val="Footer"/>
              <w:tabs>
                <w:tab w:val="clear" w:pos="4153"/>
                <w:tab w:val="clear" w:pos="8306"/>
                <w:tab w:val="right" w:pos="9072"/>
              </w:tabs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89E">
              <w:rPr>
                <w:rFonts w:ascii="Times New Roman" w:hAnsi="Times New Roman" w:cs="Times New Roman"/>
                <w:sz w:val="28"/>
                <w:szCs w:val="28"/>
              </w:rPr>
              <w:t>Jautājuma būtība ir saistīta ar ministrijas valdījumā esoš</w:t>
            </w:r>
            <w:r w:rsidR="004C789E" w:rsidRPr="004C789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4C7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7F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12202F">
              <w:rPr>
                <w:rFonts w:ascii="Times New Roman" w:hAnsi="Times New Roman" w:cs="Times New Roman"/>
                <w:sz w:val="28"/>
                <w:szCs w:val="28"/>
              </w:rPr>
              <w:t>bjektu</w:t>
            </w:r>
            <w:r w:rsidRPr="004C789E">
              <w:rPr>
                <w:rFonts w:ascii="Times New Roman" w:hAnsi="Times New Roman" w:cs="Times New Roman"/>
                <w:sz w:val="28"/>
                <w:szCs w:val="28"/>
              </w:rPr>
              <w:t xml:space="preserve"> īpašnieka maiņu un t</w:t>
            </w:r>
            <w:r w:rsidR="004C789E" w:rsidRPr="004C789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C76EC">
              <w:rPr>
                <w:rFonts w:ascii="Times New Roman" w:hAnsi="Times New Roman" w:cs="Times New Roman"/>
                <w:sz w:val="28"/>
                <w:szCs w:val="28"/>
              </w:rPr>
              <w:t xml:space="preserve"> tālāko</w:t>
            </w:r>
            <w:r w:rsidRPr="004C7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6EC">
              <w:rPr>
                <w:rFonts w:ascii="Times New Roman" w:hAnsi="Times New Roman" w:cs="Times New Roman"/>
                <w:sz w:val="28"/>
                <w:szCs w:val="28"/>
              </w:rPr>
              <w:t>pārvaldīšanu</w:t>
            </w:r>
            <w:r w:rsidRPr="004C789E">
              <w:rPr>
                <w:rFonts w:ascii="Times New Roman" w:hAnsi="Times New Roman" w:cs="Times New Roman"/>
                <w:sz w:val="28"/>
                <w:szCs w:val="28"/>
              </w:rPr>
              <w:t>. Līdz ar to šis jautājums neparedz ieviest tādas izmaiņas, kas varētu ietekmēt sabiedrības intereses.</w:t>
            </w:r>
          </w:p>
        </w:tc>
      </w:tr>
      <w:tr w:rsidR="00A44F2E" w:rsidRPr="004C789E" w:rsidTr="002071D0">
        <w:trPr>
          <w:gridBefore w:val="1"/>
          <w:wBefore w:w="60" w:type="pct"/>
        </w:trPr>
        <w:tc>
          <w:tcPr>
            <w:tcW w:w="3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C789E" w:rsidRDefault="00A44F2E" w:rsidP="004D59A3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0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C789E" w:rsidRDefault="00A44F2E" w:rsidP="004D59A3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531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C789E" w:rsidRDefault="00A44F2E" w:rsidP="00E848AB">
            <w:pPr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89E">
              <w:rPr>
                <w:rFonts w:ascii="Times New Roman" w:hAnsi="Times New Roman" w:cs="Times New Roman"/>
                <w:sz w:val="28"/>
                <w:szCs w:val="28"/>
              </w:rPr>
              <w:t>Nav.</w:t>
            </w:r>
          </w:p>
        </w:tc>
      </w:tr>
      <w:tr w:rsidR="00C66F14" w:rsidRPr="00B1119E" w:rsidTr="00C66F14">
        <w:trPr>
          <w:gridAfter w:val="1"/>
          <w:wAfter w:w="204" w:type="pct"/>
        </w:trPr>
        <w:tc>
          <w:tcPr>
            <w:tcW w:w="4796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C66F14" w:rsidRPr="00B1119E" w:rsidRDefault="00C66F14" w:rsidP="001E1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C66F14" w:rsidRPr="00B1119E" w:rsidRDefault="00C66F14" w:rsidP="00DB4E64">
            <w:pPr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C66F14" w:rsidRPr="00B1119E" w:rsidTr="001E4723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wBefore w:w="66" w:type="pct"/>
          <w:tblCellSpacing w:w="15" w:type="dxa"/>
        </w:trPr>
        <w:tc>
          <w:tcPr>
            <w:tcW w:w="4934" w:type="pct"/>
            <w:gridSpan w:val="10"/>
            <w:tcBorders>
              <w:top w:val="outset" w:sz="6" w:space="0" w:color="000000"/>
              <w:bottom w:val="outset" w:sz="6" w:space="0" w:color="000000"/>
            </w:tcBorders>
          </w:tcPr>
          <w:p w:rsidR="00C66F14" w:rsidRPr="00B1119E" w:rsidRDefault="00C66F14" w:rsidP="0011654D">
            <w:pPr>
              <w:tabs>
                <w:tab w:val="left" w:pos="218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B11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C66F14" w:rsidRPr="00B1119E" w:rsidTr="001E4723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wBefore w:w="66" w:type="pct"/>
          <w:tblCellSpacing w:w="15" w:type="dxa"/>
        </w:trPr>
        <w:tc>
          <w:tcPr>
            <w:tcW w:w="1197" w:type="pct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6F14" w:rsidRPr="00B1119E" w:rsidRDefault="00C66F14" w:rsidP="00116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Rādītāji</w:t>
            </w:r>
          </w:p>
        </w:tc>
        <w:tc>
          <w:tcPr>
            <w:tcW w:w="1571" w:type="pct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6F14" w:rsidRPr="00B1119E" w:rsidRDefault="00F03000" w:rsidP="00116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2013</w:t>
            </w:r>
            <w:r w:rsidR="00C66F14" w:rsidRPr="00B11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.gads</w:t>
            </w:r>
          </w:p>
        </w:tc>
        <w:tc>
          <w:tcPr>
            <w:tcW w:w="216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66F14" w:rsidRPr="00B1119E" w:rsidRDefault="00C66F14" w:rsidP="00116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Turpmākie trīs gadi (tūkst</w:t>
            </w:r>
            <w:smartTag w:uri="schemas-tilde-lv/tildestengine" w:element="currency2">
              <w:smartTagPr>
                <w:attr w:name="currency_text" w:val="latu"/>
                <w:attr w:name="currency_value" w:val="."/>
                <w:attr w:name="currency_key" w:val="LVL"/>
                <w:attr w:name="currency_id" w:val="48"/>
              </w:smartTagPr>
              <w:r w:rsidRPr="00B1119E">
                <w:rPr>
                  <w:rFonts w:ascii="Times New Roman" w:eastAsia="Times New Roman" w:hAnsi="Times New Roman" w:cs="Times New Roman"/>
                  <w:sz w:val="28"/>
                  <w:szCs w:val="28"/>
                  <w:lang w:eastAsia="lv-LV"/>
                </w:rPr>
                <w:t>. latu</w:t>
              </w:r>
            </w:smartTag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C66F14" w:rsidRPr="00B1119E" w:rsidTr="001E4723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wBefore w:w="66" w:type="pct"/>
          <w:tblCellSpacing w:w="15" w:type="dxa"/>
        </w:trPr>
        <w:tc>
          <w:tcPr>
            <w:tcW w:w="1197" w:type="pct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6F14" w:rsidRPr="00B1119E" w:rsidRDefault="00C66F14" w:rsidP="00116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571" w:type="pct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6F14" w:rsidRPr="00B1119E" w:rsidRDefault="00C66F14" w:rsidP="00116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6F14" w:rsidRPr="00B1119E" w:rsidRDefault="00F03000" w:rsidP="00116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2014</w:t>
            </w:r>
            <w:r w:rsidR="00C66F14" w:rsidRPr="00B11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6F14" w:rsidRPr="00B1119E" w:rsidRDefault="00F03000" w:rsidP="00116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2015</w:t>
            </w:r>
            <w:r w:rsidR="00C66F14" w:rsidRPr="00B11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8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66F14" w:rsidRPr="00B1119E" w:rsidRDefault="00F03000" w:rsidP="00116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2016</w:t>
            </w:r>
            <w:r w:rsidR="00C66F14" w:rsidRPr="00B11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</w:t>
            </w:r>
          </w:p>
        </w:tc>
      </w:tr>
      <w:tr w:rsidR="00C66F14" w:rsidRPr="00B1119E" w:rsidTr="001E4723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wBefore w:w="66" w:type="pct"/>
          <w:tblCellSpacing w:w="15" w:type="dxa"/>
        </w:trPr>
        <w:tc>
          <w:tcPr>
            <w:tcW w:w="1197" w:type="pct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6F14" w:rsidRPr="00B1119E" w:rsidRDefault="00C66F14" w:rsidP="00116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6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6F14" w:rsidRPr="00B1119E" w:rsidRDefault="00C66F14" w:rsidP="00116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Saskaņā ar valsts budžetu kārtējam gadam</w:t>
            </w:r>
          </w:p>
        </w:tc>
        <w:tc>
          <w:tcPr>
            <w:tcW w:w="8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6F14" w:rsidRPr="00B1119E" w:rsidRDefault="00C66F14" w:rsidP="00116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Izmaiņas kārtējā gadā, salīdzinot ar budžetu kārtējam gadam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6F14" w:rsidRPr="00B1119E" w:rsidRDefault="00C66F14" w:rsidP="009406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Izmaiņas, salīdzinot ar kārtējo (201</w:t>
            </w:r>
            <w:r w:rsidR="0094067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.) gadu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6F14" w:rsidRPr="00B1119E" w:rsidRDefault="00C66F14" w:rsidP="009406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Izmaiņas, salīdzinot ar kārtējo (201</w:t>
            </w:r>
            <w:r w:rsidR="0094067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.) gadu</w:t>
            </w:r>
          </w:p>
        </w:tc>
        <w:tc>
          <w:tcPr>
            <w:tcW w:w="8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66F14" w:rsidRPr="00B1119E" w:rsidRDefault="00C66F14" w:rsidP="009406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Izmaiņas, salīdzinot ar kārtējo (201</w:t>
            </w:r>
            <w:r w:rsidR="0094067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.) gadu</w:t>
            </w:r>
          </w:p>
        </w:tc>
      </w:tr>
      <w:tr w:rsidR="00C66F14" w:rsidRPr="00B1119E" w:rsidTr="001E4723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wBefore w:w="66" w:type="pct"/>
          <w:tblCellSpacing w:w="15" w:type="dxa"/>
        </w:trPr>
        <w:tc>
          <w:tcPr>
            <w:tcW w:w="119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6F14" w:rsidRPr="00B1119E" w:rsidRDefault="00C66F14" w:rsidP="00116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6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6F14" w:rsidRPr="00B1119E" w:rsidRDefault="00C66F14" w:rsidP="00116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8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6F14" w:rsidRPr="00B1119E" w:rsidRDefault="00C66F14" w:rsidP="00116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6F14" w:rsidRPr="00B1119E" w:rsidRDefault="00C66F14" w:rsidP="00116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6F14" w:rsidRPr="00B1119E" w:rsidRDefault="00C66F14" w:rsidP="00116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8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66F14" w:rsidRPr="00B1119E" w:rsidRDefault="00C66F14" w:rsidP="001165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C66F14" w:rsidRPr="00B1119E" w:rsidTr="001E4723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wBefore w:w="66" w:type="pct"/>
          <w:tblCellSpacing w:w="15" w:type="dxa"/>
        </w:trPr>
        <w:tc>
          <w:tcPr>
            <w:tcW w:w="119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 Budžeta ieņēmumi:</w:t>
            </w:r>
          </w:p>
        </w:tc>
        <w:tc>
          <w:tcPr>
            <w:tcW w:w="3737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C66F14" w:rsidRPr="00B1119E" w:rsidTr="001E4723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wBefore w:w="66" w:type="pct"/>
          <w:tblCellSpacing w:w="15" w:type="dxa"/>
        </w:trPr>
        <w:tc>
          <w:tcPr>
            <w:tcW w:w="119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1.1. valsts pamatbudžets, tai skaitā ieņēmumi no maksas pakalpojumiem un citi pašu ieņēmumi</w:t>
            </w:r>
          </w:p>
        </w:tc>
        <w:tc>
          <w:tcPr>
            <w:tcW w:w="3737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C66F14" w:rsidRPr="00B1119E" w:rsidTr="001E4723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wBefore w:w="66" w:type="pct"/>
          <w:tblCellSpacing w:w="15" w:type="dxa"/>
        </w:trPr>
        <w:tc>
          <w:tcPr>
            <w:tcW w:w="119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1.2. valsts speciālais budžets</w:t>
            </w:r>
          </w:p>
        </w:tc>
        <w:tc>
          <w:tcPr>
            <w:tcW w:w="3737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C66F14" w:rsidRPr="00B1119E" w:rsidTr="001E4723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wBefore w:w="66" w:type="pct"/>
          <w:tblCellSpacing w:w="15" w:type="dxa"/>
        </w:trPr>
        <w:tc>
          <w:tcPr>
            <w:tcW w:w="119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1.3. pašvaldību budžets</w:t>
            </w:r>
          </w:p>
        </w:tc>
        <w:tc>
          <w:tcPr>
            <w:tcW w:w="3737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C66F14" w:rsidRPr="00B1119E" w:rsidTr="001E4723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wBefore w:w="66" w:type="pct"/>
          <w:tblCellSpacing w:w="15" w:type="dxa"/>
        </w:trPr>
        <w:tc>
          <w:tcPr>
            <w:tcW w:w="119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 Budžeta izdevumi:</w:t>
            </w:r>
          </w:p>
        </w:tc>
        <w:tc>
          <w:tcPr>
            <w:tcW w:w="3737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C66F14" w:rsidRPr="00B1119E" w:rsidTr="001E4723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wBefore w:w="66" w:type="pct"/>
          <w:tblCellSpacing w:w="15" w:type="dxa"/>
        </w:trPr>
        <w:tc>
          <w:tcPr>
            <w:tcW w:w="119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2.1. valsts pamatbudžets</w:t>
            </w:r>
          </w:p>
        </w:tc>
        <w:tc>
          <w:tcPr>
            <w:tcW w:w="3737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C66F14" w:rsidRPr="00B1119E" w:rsidTr="001E4723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wBefore w:w="66" w:type="pct"/>
          <w:tblCellSpacing w:w="15" w:type="dxa"/>
        </w:trPr>
        <w:tc>
          <w:tcPr>
            <w:tcW w:w="119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2.2. valsts speciālais budžets</w:t>
            </w:r>
          </w:p>
        </w:tc>
        <w:tc>
          <w:tcPr>
            <w:tcW w:w="3737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C66F14" w:rsidRPr="00B1119E" w:rsidTr="001E4723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wBefore w:w="66" w:type="pct"/>
          <w:tblCellSpacing w:w="15" w:type="dxa"/>
        </w:trPr>
        <w:tc>
          <w:tcPr>
            <w:tcW w:w="119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2.3. pašvaldību budžets</w:t>
            </w:r>
          </w:p>
        </w:tc>
        <w:tc>
          <w:tcPr>
            <w:tcW w:w="3737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C66F14" w:rsidRPr="00B1119E" w:rsidTr="001E4723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wBefore w:w="66" w:type="pct"/>
          <w:tblCellSpacing w:w="15" w:type="dxa"/>
        </w:trPr>
        <w:tc>
          <w:tcPr>
            <w:tcW w:w="119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 Finansiālā ietekme:</w:t>
            </w:r>
          </w:p>
        </w:tc>
        <w:tc>
          <w:tcPr>
            <w:tcW w:w="3737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C66F14" w:rsidRPr="00B1119E" w:rsidTr="001E4723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wBefore w:w="66" w:type="pct"/>
          <w:tblCellSpacing w:w="15" w:type="dxa"/>
        </w:trPr>
        <w:tc>
          <w:tcPr>
            <w:tcW w:w="119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3.1. valsts pamatbudžets</w:t>
            </w:r>
          </w:p>
        </w:tc>
        <w:tc>
          <w:tcPr>
            <w:tcW w:w="3737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C66F14" w:rsidRPr="00B1119E" w:rsidTr="001E4723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wBefore w:w="66" w:type="pct"/>
          <w:tblCellSpacing w:w="15" w:type="dxa"/>
        </w:trPr>
        <w:tc>
          <w:tcPr>
            <w:tcW w:w="119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3.2. speciālais budžets</w:t>
            </w:r>
          </w:p>
        </w:tc>
        <w:tc>
          <w:tcPr>
            <w:tcW w:w="3737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C66F14" w:rsidRPr="00B1119E" w:rsidTr="001E4723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wBefore w:w="66" w:type="pct"/>
          <w:tblCellSpacing w:w="15" w:type="dxa"/>
        </w:trPr>
        <w:tc>
          <w:tcPr>
            <w:tcW w:w="119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3.3. pašvaldību budžets</w:t>
            </w:r>
          </w:p>
        </w:tc>
        <w:tc>
          <w:tcPr>
            <w:tcW w:w="3737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C66F14" w:rsidRPr="00B1119E" w:rsidTr="001E4723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wBefore w:w="66" w:type="pct"/>
          <w:trHeight w:val="664"/>
          <w:tblCellSpacing w:w="15" w:type="dxa"/>
        </w:trPr>
        <w:tc>
          <w:tcPr>
            <w:tcW w:w="119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 Finanšu līdzekļi papildu izdevumu finansēšanai (kompensējošu izdevumu samazinājumu norāda ar „+” zīmi)</w:t>
            </w:r>
          </w:p>
        </w:tc>
        <w:tc>
          <w:tcPr>
            <w:tcW w:w="71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3024" w:type="pct"/>
            <w:gridSpan w:val="5"/>
            <w:tcBorders>
              <w:top w:val="outset" w:sz="6" w:space="0" w:color="000000"/>
              <w:left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C66F14" w:rsidRPr="00B1119E" w:rsidTr="001E4723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wBefore w:w="66" w:type="pct"/>
          <w:tblCellSpacing w:w="15" w:type="dxa"/>
        </w:trPr>
        <w:tc>
          <w:tcPr>
            <w:tcW w:w="119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5. Precizēta finansiālā </w:t>
            </w: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ietekme:</w:t>
            </w:r>
          </w:p>
        </w:tc>
        <w:tc>
          <w:tcPr>
            <w:tcW w:w="713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X</w:t>
            </w:r>
          </w:p>
        </w:tc>
        <w:tc>
          <w:tcPr>
            <w:tcW w:w="302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C66F14" w:rsidRPr="00B1119E" w:rsidTr="001E4723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wBefore w:w="66" w:type="pct"/>
          <w:tblCellSpacing w:w="15" w:type="dxa"/>
        </w:trPr>
        <w:tc>
          <w:tcPr>
            <w:tcW w:w="119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5.1. valsts pamatbudžets</w:t>
            </w:r>
          </w:p>
        </w:tc>
        <w:tc>
          <w:tcPr>
            <w:tcW w:w="713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6F14" w:rsidRPr="00B1119E" w:rsidRDefault="00C66F14" w:rsidP="0011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02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C66F14" w:rsidRPr="00B1119E" w:rsidTr="001E4723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wBefore w:w="66" w:type="pct"/>
          <w:tblCellSpacing w:w="15" w:type="dxa"/>
        </w:trPr>
        <w:tc>
          <w:tcPr>
            <w:tcW w:w="119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5.2. speciālais budžets</w:t>
            </w:r>
          </w:p>
        </w:tc>
        <w:tc>
          <w:tcPr>
            <w:tcW w:w="713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6F14" w:rsidRPr="00B1119E" w:rsidRDefault="00C66F14" w:rsidP="0011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02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C66F14" w:rsidRPr="00B1119E" w:rsidTr="001E4723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wBefore w:w="66" w:type="pct"/>
          <w:tblCellSpacing w:w="15" w:type="dxa"/>
        </w:trPr>
        <w:tc>
          <w:tcPr>
            <w:tcW w:w="119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5.3. pašvaldību budžets</w:t>
            </w:r>
          </w:p>
        </w:tc>
        <w:tc>
          <w:tcPr>
            <w:tcW w:w="713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6F14" w:rsidRPr="00B1119E" w:rsidRDefault="00C66F14" w:rsidP="0011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02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C66F14" w:rsidRPr="00B1119E" w:rsidTr="001E4723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wBefore w:w="66" w:type="pct"/>
          <w:tblCellSpacing w:w="15" w:type="dxa"/>
        </w:trPr>
        <w:tc>
          <w:tcPr>
            <w:tcW w:w="119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F14" w:rsidRPr="00B1119E" w:rsidRDefault="00C66F14" w:rsidP="0011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3737" w:type="pct"/>
            <w:gridSpan w:val="8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66F14" w:rsidRPr="00B1119E" w:rsidRDefault="00C66F14" w:rsidP="0011654D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C66F14" w:rsidRPr="00B1119E" w:rsidTr="001E4723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wBefore w:w="66" w:type="pct"/>
          <w:tblCellSpacing w:w="15" w:type="dxa"/>
        </w:trPr>
        <w:tc>
          <w:tcPr>
            <w:tcW w:w="119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F14" w:rsidRPr="00B1119E" w:rsidRDefault="00C66F14" w:rsidP="0011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6.1. detalizēts ieņēmumu aprēķins</w:t>
            </w:r>
          </w:p>
        </w:tc>
        <w:tc>
          <w:tcPr>
            <w:tcW w:w="3737" w:type="pct"/>
            <w:gridSpan w:val="8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66F14" w:rsidRPr="00B1119E" w:rsidRDefault="00C66F14" w:rsidP="0011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C66F14" w:rsidRPr="00B1119E" w:rsidTr="001E4723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2"/>
          <w:wBefore w:w="66" w:type="pct"/>
          <w:tblCellSpacing w:w="15" w:type="dxa"/>
        </w:trPr>
        <w:tc>
          <w:tcPr>
            <w:tcW w:w="1197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F14" w:rsidRPr="00B1119E" w:rsidRDefault="00C66F14" w:rsidP="0011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6.2. detalizēts izdevumu aprēķins</w:t>
            </w:r>
          </w:p>
        </w:tc>
        <w:tc>
          <w:tcPr>
            <w:tcW w:w="3737" w:type="pct"/>
            <w:gridSpan w:val="8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66F14" w:rsidRPr="00B1119E" w:rsidRDefault="00C66F14" w:rsidP="0011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C66F14" w:rsidRPr="00B1119E" w:rsidTr="001E4723">
        <w:tblPrEx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wBefore w:w="66" w:type="pct"/>
          <w:tblCellSpacing w:w="15" w:type="dxa"/>
        </w:trPr>
        <w:tc>
          <w:tcPr>
            <w:tcW w:w="11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F14" w:rsidRPr="00B1119E" w:rsidRDefault="00C66F14" w:rsidP="0011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 Cita informācija</w:t>
            </w:r>
          </w:p>
        </w:tc>
        <w:tc>
          <w:tcPr>
            <w:tcW w:w="3737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F14" w:rsidRPr="00771934" w:rsidRDefault="00CC27FD" w:rsidP="00CC27FD">
            <w:pPr>
              <w:spacing w:after="0" w:line="240" w:lineRule="auto"/>
              <w:ind w:right="71" w:firstLine="394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Priekuļu</w:t>
            </w:r>
            <w:r w:rsidR="00F6058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novada</w:t>
            </w:r>
            <w:r w:rsidR="004C3719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pašvaldība </w:t>
            </w:r>
            <w:r w:rsidR="004C3719" w:rsidRPr="004C1FF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segs izdevumus</w:t>
            </w:r>
            <w:r w:rsidR="00C66F1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, kas saistīti ar</w:t>
            </w:r>
            <w:r w:rsidR="00C66F14" w:rsidRPr="00B81CE2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C66F1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īpašuma tiesību uz</w:t>
            </w:r>
            <w:r w:rsidR="00C66F14" w:rsidRPr="00B81CE2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C66F14">
              <w:rPr>
                <w:rFonts w:ascii="Times New Roman" w:hAnsi="Times New Roman" w:cs="Times New Roman"/>
                <w:sz w:val="28"/>
                <w:szCs w:val="28"/>
              </w:rPr>
              <w:t xml:space="preserve">valsts </w:t>
            </w:r>
            <w:r w:rsidR="000750E0" w:rsidRPr="0013173C">
              <w:rPr>
                <w:rFonts w:ascii="Times New Roman" w:hAnsi="Times New Roman" w:cs="Times New Roman"/>
                <w:sz w:val="28"/>
                <w:szCs w:val="28"/>
              </w:rPr>
              <w:t xml:space="preserve">nekustamo īpašumu </w:t>
            </w:r>
            <w:r w:rsidR="00C66F14">
              <w:rPr>
                <w:rFonts w:ascii="Times New Roman" w:hAnsi="Times New Roman" w:cs="Times New Roman"/>
                <w:sz w:val="28"/>
                <w:szCs w:val="28"/>
              </w:rPr>
              <w:t xml:space="preserve">pārreģistrēšanu </w:t>
            </w:r>
            <w:r w:rsidR="00C66F14" w:rsidRPr="00B81CE2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zemesgrāmatā uz 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Priekuļu</w:t>
            </w:r>
            <w:r w:rsidR="00F6058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novada</w:t>
            </w:r>
            <w:r w:rsidR="002071D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C66F1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pašvaldības vārda.</w:t>
            </w:r>
          </w:p>
        </w:tc>
      </w:tr>
    </w:tbl>
    <w:p w:rsidR="00C66F14" w:rsidRPr="00B1119E" w:rsidRDefault="00C66F14" w:rsidP="00D66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66F14" w:rsidRPr="00B1119E" w:rsidRDefault="00C66F14" w:rsidP="00D66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11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Anotācijas </w:t>
      </w:r>
      <w:r w:rsidR="00DB4E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II, </w:t>
      </w:r>
      <w:r w:rsidRPr="00B1119E">
        <w:rPr>
          <w:rFonts w:ascii="Times New Roman" w:eastAsia="Times New Roman" w:hAnsi="Times New Roman" w:cs="Times New Roman"/>
          <w:sz w:val="28"/>
          <w:szCs w:val="28"/>
          <w:lang w:eastAsia="lv-LV"/>
        </w:rPr>
        <w:t>IV, V un VI sadaļa – projekts šīs jomas neskar.</w:t>
      </w:r>
    </w:p>
    <w:p w:rsidR="00A44F2E" w:rsidRPr="004C789E" w:rsidRDefault="00A44F2E" w:rsidP="00D66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4998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18"/>
        <w:gridCol w:w="3542"/>
        <w:gridCol w:w="4823"/>
      </w:tblGrid>
      <w:tr w:rsidR="00A44F2E" w:rsidRPr="004C789E" w:rsidTr="00D56D73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C789E" w:rsidRDefault="00A44F2E" w:rsidP="004D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VII. </w:t>
            </w:r>
            <w:r w:rsidRPr="004C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Tiesību akta projekta izpildes nodrošināšana un tās ietekme uz institūcijām</w:t>
            </w:r>
          </w:p>
        </w:tc>
      </w:tr>
      <w:tr w:rsidR="00A44F2E" w:rsidRPr="004C789E" w:rsidTr="00D56D73"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C789E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C789E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C789E" w:rsidRDefault="00EA433B" w:rsidP="00CC27FD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Rīkojuma</w:t>
            </w:r>
            <w:r w:rsidR="00A44F2E"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projekta izpildi nodrošinās ministrija un </w:t>
            </w:r>
            <w:r w:rsidR="00CC27F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Priekuļu</w:t>
            </w:r>
            <w:r w:rsidR="00F605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novada</w:t>
            </w:r>
            <w:r w:rsidR="00FD4EE5"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pašvaldība.</w:t>
            </w:r>
          </w:p>
        </w:tc>
      </w:tr>
      <w:tr w:rsidR="00A44F2E" w:rsidRPr="004C789E" w:rsidTr="00D56D73"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C789E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C789E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funkcijām</w:t>
            </w:r>
          </w:p>
        </w:tc>
        <w:tc>
          <w:tcPr>
            <w:tcW w:w="2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C789E" w:rsidRDefault="00A44F2E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Esošās funkcijas un uzdevumi netiek paplašināti un netiek sašaurināti.</w:t>
            </w:r>
          </w:p>
        </w:tc>
      </w:tr>
      <w:tr w:rsidR="00A44F2E" w:rsidRPr="004C789E" w:rsidTr="00D56D73"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C789E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C789E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institucionālo struktūru. Jaunu institūciju izveide</w:t>
            </w:r>
          </w:p>
        </w:tc>
        <w:tc>
          <w:tcPr>
            <w:tcW w:w="2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C789E" w:rsidRDefault="00A44F2E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Jaunas valsts institūcijas netiek izveidotas.</w:t>
            </w:r>
          </w:p>
          <w:p w:rsidR="00A44F2E" w:rsidRPr="004C789E" w:rsidRDefault="00A44F2E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A44F2E" w:rsidRPr="004C789E" w:rsidTr="00D56D73"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C789E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C789E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institucionālo struktūru. Esošu institūciju likvidācija</w:t>
            </w:r>
          </w:p>
        </w:tc>
        <w:tc>
          <w:tcPr>
            <w:tcW w:w="2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C789E" w:rsidRDefault="0026209A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A44F2E" w:rsidRPr="004C789E" w:rsidTr="00D56D73"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C789E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C789E" w:rsidRDefault="00A44F2E" w:rsidP="004D59A3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institucionālo struktūru. Esošu institūciju reorganizācija</w:t>
            </w:r>
          </w:p>
        </w:tc>
        <w:tc>
          <w:tcPr>
            <w:tcW w:w="2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C789E" w:rsidRDefault="0026209A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A44F2E" w:rsidRPr="004C789E" w:rsidTr="00D56D73"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C789E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4C789E" w:rsidRDefault="00A44F2E" w:rsidP="004D59A3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4C789E" w:rsidRDefault="00A44F2E" w:rsidP="00AA1691">
            <w:pPr>
              <w:spacing w:after="0" w:line="240" w:lineRule="auto"/>
              <w:ind w:left="113" w:right="14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89E">
              <w:rPr>
                <w:rFonts w:ascii="Times New Roman" w:hAnsi="Times New Roman" w:cs="Times New Roman"/>
                <w:sz w:val="28"/>
                <w:szCs w:val="28"/>
              </w:rPr>
              <w:t>Iesniedzamajiem dokumentiem nav piešķirams lietojuma ierobežojuma statuss.</w:t>
            </w:r>
          </w:p>
          <w:p w:rsidR="00A44F2E" w:rsidRPr="004C789E" w:rsidRDefault="00A44F2E" w:rsidP="007B7C19">
            <w:pPr>
              <w:spacing w:after="0" w:line="240" w:lineRule="auto"/>
              <w:ind w:left="113" w:right="14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89E">
              <w:rPr>
                <w:rFonts w:ascii="Times New Roman" w:hAnsi="Times New Roman" w:cs="Times New Roman"/>
                <w:sz w:val="28"/>
                <w:szCs w:val="28"/>
              </w:rPr>
              <w:t xml:space="preserve">Rīkojuma projekts attiecas uz </w:t>
            </w:r>
            <w:r w:rsidR="00A23C70" w:rsidRPr="00A23C70">
              <w:rPr>
                <w:rFonts w:ascii="Times New Roman" w:hAnsi="Times New Roman" w:cs="Times New Roman"/>
                <w:sz w:val="28"/>
                <w:szCs w:val="28"/>
              </w:rPr>
              <w:t>publiskās pārvaldes</w:t>
            </w:r>
            <w:r w:rsidRPr="00A23C70">
              <w:rPr>
                <w:rFonts w:ascii="Times New Roman" w:hAnsi="Times New Roman" w:cs="Times New Roman"/>
                <w:sz w:val="28"/>
                <w:szCs w:val="28"/>
              </w:rPr>
              <w:t xml:space="preserve"> politiku</w:t>
            </w:r>
            <w:r w:rsidRPr="004C7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F2E" w:rsidRPr="004C789E" w:rsidRDefault="00A44F2E" w:rsidP="00F37EB8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789E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rīkojums </w:t>
            </w:r>
            <w:r w:rsidR="00863704"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„Par </w:t>
            </w:r>
            <w:r w:rsidR="00CC27F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valsts nekustamā īpašuma</w:t>
            </w:r>
            <w:r w:rsidR="0012202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</w:t>
            </w:r>
            <w:r w:rsidR="00F37EB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apakšzemes inženierkomunikāciju </w:t>
            </w:r>
            <w:r w:rsidR="00863704"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nodošanu </w:t>
            </w:r>
            <w:r w:rsidR="00F37EB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Priekuļu</w:t>
            </w:r>
            <w:r w:rsidR="0012202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novada</w:t>
            </w:r>
            <w:r w:rsidR="00863704" w:rsidRPr="004C78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pašvaldības īpašumā”</w:t>
            </w:r>
            <w:r w:rsidRPr="004C789E">
              <w:rPr>
                <w:rFonts w:ascii="Times New Roman" w:hAnsi="Times New Roman" w:cs="Times New Roman"/>
                <w:sz w:val="28"/>
                <w:szCs w:val="28"/>
              </w:rPr>
              <w:t xml:space="preserve"> pēc apstiprināšanas </w:t>
            </w:r>
            <w:r w:rsidR="00075D13" w:rsidRPr="00B1119E">
              <w:rPr>
                <w:rFonts w:ascii="Times New Roman" w:hAnsi="Times New Roman" w:cs="Times New Roman"/>
                <w:sz w:val="28"/>
                <w:szCs w:val="28"/>
              </w:rPr>
              <w:t>Ministru kabinetā tiks publicēts oficiālajā izdevumā „Latvijas Vēstnesis”.</w:t>
            </w:r>
          </w:p>
        </w:tc>
      </w:tr>
    </w:tbl>
    <w:p w:rsidR="00A44F2E" w:rsidRPr="004C789E" w:rsidRDefault="00A44F2E" w:rsidP="00AA1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E8399E" w:rsidRPr="004C789E" w:rsidRDefault="00E8399E" w:rsidP="00AA1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3DA" w:rsidRPr="004C789E" w:rsidRDefault="00B903DA" w:rsidP="00AA1691">
      <w:pPr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9E">
        <w:rPr>
          <w:rFonts w:ascii="Times New Roman" w:hAnsi="Times New Roman" w:cs="Times New Roman"/>
          <w:sz w:val="28"/>
          <w:szCs w:val="28"/>
        </w:rPr>
        <w:t>Izglītības un zinātnes</w:t>
      </w:r>
      <w:r w:rsidR="00771934">
        <w:rPr>
          <w:rFonts w:ascii="Times New Roman" w:hAnsi="Times New Roman" w:cs="Times New Roman"/>
          <w:sz w:val="28"/>
          <w:szCs w:val="28"/>
        </w:rPr>
        <w:t xml:space="preserve"> </w:t>
      </w:r>
      <w:r w:rsidRPr="004C789E">
        <w:rPr>
          <w:rFonts w:ascii="Times New Roman" w:hAnsi="Times New Roman" w:cs="Times New Roman"/>
          <w:sz w:val="28"/>
          <w:szCs w:val="28"/>
        </w:rPr>
        <w:t>ministr</w:t>
      </w:r>
      <w:r w:rsidR="00045AB1" w:rsidRPr="004C789E">
        <w:rPr>
          <w:rFonts w:ascii="Times New Roman" w:hAnsi="Times New Roman" w:cs="Times New Roman"/>
          <w:sz w:val="28"/>
          <w:szCs w:val="28"/>
        </w:rPr>
        <w:t>s</w:t>
      </w:r>
      <w:r w:rsidR="005D30D1" w:rsidRPr="004C789E">
        <w:rPr>
          <w:rFonts w:ascii="Times New Roman" w:hAnsi="Times New Roman" w:cs="Times New Roman"/>
          <w:sz w:val="28"/>
          <w:szCs w:val="28"/>
        </w:rPr>
        <w:tab/>
      </w:r>
      <w:r w:rsidR="005D30D1" w:rsidRPr="004C789E">
        <w:rPr>
          <w:rFonts w:ascii="Times New Roman" w:hAnsi="Times New Roman" w:cs="Times New Roman"/>
          <w:sz w:val="28"/>
          <w:szCs w:val="28"/>
        </w:rPr>
        <w:tab/>
      </w:r>
      <w:r w:rsidR="005D30D1" w:rsidRPr="004C789E">
        <w:rPr>
          <w:rFonts w:ascii="Times New Roman" w:hAnsi="Times New Roman" w:cs="Times New Roman"/>
          <w:sz w:val="28"/>
          <w:szCs w:val="28"/>
        </w:rPr>
        <w:tab/>
      </w:r>
      <w:r w:rsidR="005D30D1" w:rsidRPr="004C789E">
        <w:rPr>
          <w:rFonts w:ascii="Times New Roman" w:hAnsi="Times New Roman" w:cs="Times New Roman"/>
          <w:sz w:val="28"/>
          <w:szCs w:val="28"/>
        </w:rPr>
        <w:tab/>
      </w:r>
      <w:r w:rsidR="00A05346">
        <w:rPr>
          <w:rFonts w:ascii="Times New Roman" w:hAnsi="Times New Roman" w:cs="Times New Roman"/>
          <w:sz w:val="28"/>
          <w:szCs w:val="28"/>
        </w:rPr>
        <w:t>V</w:t>
      </w:r>
      <w:r w:rsidR="00CC27FD">
        <w:rPr>
          <w:rFonts w:ascii="Times New Roman" w:hAnsi="Times New Roman" w:cs="Times New Roman"/>
          <w:sz w:val="28"/>
          <w:szCs w:val="28"/>
        </w:rPr>
        <w:t>.Dombrovskis</w:t>
      </w:r>
    </w:p>
    <w:p w:rsidR="00B07564" w:rsidRPr="004C789E" w:rsidRDefault="00B07564" w:rsidP="00AA1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E0C" w:rsidRPr="004C789E" w:rsidRDefault="00986E0C" w:rsidP="00AA1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E0C" w:rsidRPr="004C789E" w:rsidRDefault="00986E0C" w:rsidP="00AA1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99E" w:rsidRPr="004C789E" w:rsidRDefault="00E8399E" w:rsidP="00AA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9E">
        <w:rPr>
          <w:rFonts w:ascii="Times New Roman" w:hAnsi="Times New Roman" w:cs="Times New Roman"/>
          <w:sz w:val="28"/>
          <w:szCs w:val="28"/>
        </w:rPr>
        <w:t>Vizē:</w:t>
      </w:r>
    </w:p>
    <w:p w:rsidR="00401405" w:rsidRDefault="00401405" w:rsidP="00AA16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Valsts sekretāre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S.Liepiņa</w:t>
      </w:r>
    </w:p>
    <w:p w:rsidR="002071D0" w:rsidRDefault="002071D0" w:rsidP="00AA1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B26" w:rsidRDefault="009F3B26" w:rsidP="00AA1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B26" w:rsidRDefault="009F3B26" w:rsidP="00AA1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B26" w:rsidRDefault="009F3B26" w:rsidP="00AA1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E0C" w:rsidRDefault="00986E0C" w:rsidP="00AA1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D0" w:rsidRDefault="002071D0" w:rsidP="00AA1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920" w:rsidRDefault="00E040E0" w:rsidP="00AA1691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1422C">
        <w:rPr>
          <w:rFonts w:ascii="Times New Roman" w:hAnsi="Times New Roman" w:cs="Times New Roman"/>
          <w:sz w:val="24"/>
          <w:szCs w:val="24"/>
        </w:rPr>
        <w:instrText xml:space="preserve"> TIME \@ "dd.MM.yyyy H:mm"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D52F7A">
        <w:rPr>
          <w:rFonts w:ascii="Times New Roman" w:hAnsi="Times New Roman" w:cs="Times New Roman"/>
          <w:noProof/>
          <w:sz w:val="24"/>
          <w:szCs w:val="24"/>
        </w:rPr>
        <w:t>15.08.2013 16:42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72F02" w:rsidRPr="00D01DC8" w:rsidRDefault="00E040E0" w:rsidP="00AA1691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DC8">
        <w:rPr>
          <w:rFonts w:ascii="Times New Roman" w:hAnsi="Times New Roman" w:cs="Times New Roman"/>
          <w:sz w:val="24"/>
          <w:szCs w:val="24"/>
        </w:rPr>
        <w:fldChar w:fldCharType="begin"/>
      </w:r>
      <w:r w:rsidR="00F72F02" w:rsidRPr="00D01DC8">
        <w:rPr>
          <w:rFonts w:ascii="Times New Roman" w:hAnsi="Times New Roman" w:cs="Times New Roman"/>
          <w:sz w:val="24"/>
          <w:szCs w:val="24"/>
        </w:rPr>
        <w:instrText xml:space="preserve"> NUMWORDS  \# "0"  \* MERGEFORMAT </w:instrText>
      </w:r>
      <w:r w:rsidRPr="00D01DC8">
        <w:rPr>
          <w:rFonts w:ascii="Times New Roman" w:hAnsi="Times New Roman" w:cs="Times New Roman"/>
          <w:sz w:val="24"/>
          <w:szCs w:val="24"/>
        </w:rPr>
        <w:fldChar w:fldCharType="separate"/>
      </w:r>
      <w:r w:rsidR="0084043D">
        <w:rPr>
          <w:rFonts w:ascii="Times New Roman" w:hAnsi="Times New Roman" w:cs="Times New Roman"/>
          <w:noProof/>
          <w:sz w:val="24"/>
          <w:szCs w:val="24"/>
        </w:rPr>
        <w:t>972</w:t>
      </w:r>
      <w:r w:rsidRPr="00D01D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1656CA" w:rsidRPr="001656CA" w:rsidRDefault="00CC27FD" w:rsidP="00AA16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I.Rozenštoka</w:t>
      </w:r>
    </w:p>
    <w:p w:rsidR="002D4CA1" w:rsidRPr="00D01DC8" w:rsidRDefault="008B68AF" w:rsidP="00AA16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67047</w:t>
      </w:r>
      <w:r w:rsidR="00CC27FD">
        <w:rPr>
          <w:rFonts w:ascii="Times New Roman" w:hAnsi="Times New Roman" w:cs="Times New Roman"/>
          <w:sz w:val="24"/>
          <w:szCs w:val="24"/>
        </w:rPr>
        <w:t>765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27FD">
        <w:rPr>
          <w:rFonts w:ascii="Times New Roman" w:hAnsi="Times New Roman" w:cs="Times New Roman"/>
          <w:sz w:val="24"/>
          <w:szCs w:val="24"/>
        </w:rPr>
        <w:t>Ilze.Rozenstoka</w:t>
      </w:r>
      <w:r w:rsidR="001656CA" w:rsidRPr="001656CA">
        <w:rPr>
          <w:rFonts w:ascii="Times New Roman" w:hAnsi="Times New Roman" w:cs="Times New Roman"/>
          <w:sz w:val="24"/>
          <w:szCs w:val="24"/>
        </w:rPr>
        <w:t>@izm.gov.lv</w:t>
      </w:r>
    </w:p>
    <w:sectPr w:rsidR="002D4CA1" w:rsidRPr="00D01DC8" w:rsidSect="00751B70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EF0" w:rsidRDefault="00D34EF0" w:rsidP="00AB4555">
      <w:pPr>
        <w:spacing w:after="0" w:line="240" w:lineRule="auto"/>
      </w:pPr>
      <w:r>
        <w:separator/>
      </w:r>
    </w:p>
  </w:endnote>
  <w:endnote w:type="continuationSeparator" w:id="0">
    <w:p w:rsidR="00D34EF0" w:rsidRDefault="00D34EF0" w:rsidP="00AB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FF" w:rsidRPr="004C789E" w:rsidRDefault="00E040E0" w:rsidP="005151FF">
    <w:pPr>
      <w:pStyle w:val="Footer"/>
      <w:tabs>
        <w:tab w:val="clear" w:pos="8306"/>
      </w:tabs>
      <w:ind w:right="140"/>
      <w:jc w:val="both"/>
      <w:rPr>
        <w:rFonts w:ascii="Times New Roman" w:hAnsi="Times New Roman" w:cs="Times New Roman"/>
        <w:sz w:val="24"/>
        <w:szCs w:val="24"/>
      </w:rPr>
    </w:pPr>
    <w:fldSimple w:instr=" FILENAME   \* MERGEFORMAT ">
      <w:r w:rsidR="00A07D12" w:rsidRPr="00A07D12">
        <w:rPr>
          <w:rFonts w:ascii="Times New Roman" w:hAnsi="Times New Roman" w:cs="Times New Roman"/>
          <w:noProof/>
          <w:sz w:val="24"/>
          <w:szCs w:val="24"/>
        </w:rPr>
        <w:t>IZMAnot_150813_Janmuiza</w:t>
      </w:r>
    </w:fldSimple>
    <w:r w:rsidR="005151FF" w:rsidRPr="0067538D">
      <w:rPr>
        <w:rFonts w:ascii="Times New Roman" w:hAnsi="Times New Roman" w:cs="Times New Roman"/>
        <w:sz w:val="24"/>
        <w:szCs w:val="24"/>
      </w:rPr>
      <w:t>; Ministru kabineta rīkojuma projekta „</w:t>
    </w:r>
    <w:r w:rsidR="005151FF" w:rsidRPr="00AB4555">
      <w:rPr>
        <w:rFonts w:ascii="Times New Roman" w:hAnsi="Times New Roman" w:cs="Times New Roman"/>
        <w:sz w:val="24"/>
        <w:szCs w:val="24"/>
      </w:rPr>
      <w:t xml:space="preserve">Par </w:t>
    </w:r>
    <w:r w:rsidR="005151FF">
      <w:rPr>
        <w:rFonts w:ascii="Times New Roman" w:hAnsi="Times New Roman" w:cs="Times New Roman"/>
        <w:sz w:val="24"/>
        <w:szCs w:val="24"/>
      </w:rPr>
      <w:t xml:space="preserve">valsts nekustamā īpašuma un </w:t>
    </w:r>
    <w:r w:rsidR="00F37EB8">
      <w:rPr>
        <w:rFonts w:ascii="Times New Roman" w:hAnsi="Times New Roman" w:cs="Times New Roman"/>
        <w:sz w:val="24"/>
        <w:szCs w:val="24"/>
      </w:rPr>
      <w:t>apakšzemes inženierkomunikāciju</w:t>
    </w:r>
    <w:r w:rsidR="005151FF">
      <w:rPr>
        <w:rFonts w:ascii="Times New Roman" w:hAnsi="Times New Roman" w:cs="Times New Roman"/>
        <w:sz w:val="24"/>
        <w:szCs w:val="24"/>
      </w:rPr>
      <w:t xml:space="preserve"> nodošanu Priekuļu novada pašvaldības īpašumā</w:t>
    </w:r>
    <w:r w:rsidR="005151FF" w:rsidRPr="0067538D">
      <w:rPr>
        <w:rFonts w:ascii="Times New Roman" w:hAnsi="Times New Roman" w:cs="Times New Roman"/>
        <w:sz w:val="24"/>
        <w:szCs w:val="24"/>
      </w:rPr>
      <w:t>”</w:t>
    </w:r>
    <w:r w:rsidR="005151FF">
      <w:rPr>
        <w:rFonts w:ascii="Times New Roman" w:hAnsi="Times New Roman" w:cs="Times New Roman"/>
        <w:sz w:val="24"/>
        <w:szCs w:val="24"/>
      </w:rPr>
      <w:t xml:space="preserve"> sākotnējās ietekmes novērtējuma ziņojums (anotācija)</w:t>
    </w:r>
  </w:p>
  <w:p w:rsidR="0013173C" w:rsidRPr="005151FF" w:rsidRDefault="0013173C" w:rsidP="005151FF">
    <w:pPr>
      <w:pStyle w:val="Footer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3C" w:rsidRPr="004C789E" w:rsidRDefault="00E040E0" w:rsidP="004D495D">
    <w:pPr>
      <w:pStyle w:val="Footer"/>
      <w:tabs>
        <w:tab w:val="clear" w:pos="8306"/>
      </w:tabs>
      <w:ind w:right="140"/>
      <w:jc w:val="both"/>
      <w:rPr>
        <w:rFonts w:ascii="Times New Roman" w:hAnsi="Times New Roman" w:cs="Times New Roman"/>
        <w:sz w:val="24"/>
        <w:szCs w:val="24"/>
      </w:rPr>
    </w:pPr>
    <w:fldSimple w:instr=" FILENAME   \* MERGEFORMAT ">
      <w:r w:rsidR="00A07D12" w:rsidRPr="00A07D12">
        <w:rPr>
          <w:rFonts w:ascii="Times New Roman" w:hAnsi="Times New Roman" w:cs="Times New Roman"/>
          <w:noProof/>
          <w:sz w:val="24"/>
          <w:szCs w:val="24"/>
        </w:rPr>
        <w:t>IZMAnot_150813_Janmuiza</w:t>
      </w:r>
    </w:fldSimple>
    <w:r w:rsidR="0013173C" w:rsidRPr="0067538D">
      <w:rPr>
        <w:rFonts w:ascii="Times New Roman" w:hAnsi="Times New Roman" w:cs="Times New Roman"/>
        <w:sz w:val="24"/>
        <w:szCs w:val="24"/>
      </w:rPr>
      <w:t xml:space="preserve">; </w:t>
    </w:r>
    <w:r w:rsidR="00D36AAC" w:rsidRPr="0067538D">
      <w:rPr>
        <w:rFonts w:ascii="Times New Roman" w:hAnsi="Times New Roman" w:cs="Times New Roman"/>
        <w:sz w:val="24"/>
        <w:szCs w:val="24"/>
      </w:rPr>
      <w:t>Ministru kabineta rīkojuma projekta „</w:t>
    </w:r>
    <w:r w:rsidR="00D36AAC" w:rsidRPr="00AB4555">
      <w:rPr>
        <w:rFonts w:ascii="Times New Roman" w:hAnsi="Times New Roman" w:cs="Times New Roman"/>
        <w:sz w:val="24"/>
        <w:szCs w:val="24"/>
      </w:rPr>
      <w:t xml:space="preserve">Par </w:t>
    </w:r>
    <w:r w:rsidR="005151FF">
      <w:rPr>
        <w:rFonts w:ascii="Times New Roman" w:hAnsi="Times New Roman" w:cs="Times New Roman"/>
        <w:sz w:val="24"/>
        <w:szCs w:val="24"/>
      </w:rPr>
      <w:t>valsts nekustamā īpašuma</w:t>
    </w:r>
    <w:r w:rsidR="00D36AAC">
      <w:rPr>
        <w:rFonts w:ascii="Times New Roman" w:hAnsi="Times New Roman" w:cs="Times New Roman"/>
        <w:sz w:val="24"/>
        <w:szCs w:val="24"/>
      </w:rPr>
      <w:t xml:space="preserve"> un </w:t>
    </w:r>
    <w:r w:rsidR="00F37EB8">
      <w:rPr>
        <w:rFonts w:ascii="Times New Roman" w:hAnsi="Times New Roman" w:cs="Times New Roman"/>
        <w:sz w:val="24"/>
        <w:szCs w:val="24"/>
      </w:rPr>
      <w:t>apakšzemes inženierkomunikāciju</w:t>
    </w:r>
    <w:r w:rsidR="00D36AAC">
      <w:rPr>
        <w:rFonts w:ascii="Times New Roman" w:hAnsi="Times New Roman" w:cs="Times New Roman"/>
        <w:sz w:val="24"/>
        <w:szCs w:val="24"/>
      </w:rPr>
      <w:t xml:space="preserve"> nodošanu </w:t>
    </w:r>
    <w:r w:rsidR="005151FF">
      <w:rPr>
        <w:rFonts w:ascii="Times New Roman" w:hAnsi="Times New Roman" w:cs="Times New Roman"/>
        <w:sz w:val="24"/>
        <w:szCs w:val="24"/>
      </w:rPr>
      <w:t>Priekuļu</w:t>
    </w:r>
    <w:r w:rsidR="00D36AAC">
      <w:rPr>
        <w:rFonts w:ascii="Times New Roman" w:hAnsi="Times New Roman" w:cs="Times New Roman"/>
        <w:sz w:val="24"/>
        <w:szCs w:val="24"/>
      </w:rPr>
      <w:t xml:space="preserve"> novada pašvaldības īpašumā</w:t>
    </w:r>
    <w:r w:rsidR="00D36AAC" w:rsidRPr="0067538D">
      <w:rPr>
        <w:rFonts w:ascii="Times New Roman" w:hAnsi="Times New Roman" w:cs="Times New Roman"/>
        <w:sz w:val="24"/>
        <w:szCs w:val="24"/>
      </w:rPr>
      <w:t>”</w:t>
    </w:r>
    <w:r w:rsidR="00D36AAC">
      <w:rPr>
        <w:rFonts w:ascii="Times New Roman" w:hAnsi="Times New Roman" w:cs="Times New Roman"/>
        <w:sz w:val="24"/>
        <w:szCs w:val="24"/>
      </w:rPr>
      <w:t xml:space="preserve">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EF0" w:rsidRDefault="00D34EF0" w:rsidP="00AB4555">
      <w:pPr>
        <w:spacing w:after="0" w:line="240" w:lineRule="auto"/>
      </w:pPr>
      <w:r>
        <w:separator/>
      </w:r>
    </w:p>
  </w:footnote>
  <w:footnote w:type="continuationSeparator" w:id="0">
    <w:p w:rsidR="00D34EF0" w:rsidRDefault="00D34EF0" w:rsidP="00AB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4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173C" w:rsidRPr="00FD7B17" w:rsidRDefault="00E040E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7B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173C" w:rsidRPr="00FD7B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7B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2F7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D7B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99E"/>
    <w:rsid w:val="000015C6"/>
    <w:rsid w:val="00001B0D"/>
    <w:rsid w:val="00001F2F"/>
    <w:rsid w:val="00003127"/>
    <w:rsid w:val="00005A20"/>
    <w:rsid w:val="000111C8"/>
    <w:rsid w:val="00012911"/>
    <w:rsid w:val="00012FE7"/>
    <w:rsid w:val="00013B3B"/>
    <w:rsid w:val="00014371"/>
    <w:rsid w:val="00015DF4"/>
    <w:rsid w:val="00040C59"/>
    <w:rsid w:val="00045477"/>
    <w:rsid w:val="00045AB1"/>
    <w:rsid w:val="00052096"/>
    <w:rsid w:val="00052E90"/>
    <w:rsid w:val="00055327"/>
    <w:rsid w:val="00057BFD"/>
    <w:rsid w:val="0006030B"/>
    <w:rsid w:val="0006311D"/>
    <w:rsid w:val="000667A1"/>
    <w:rsid w:val="000679F1"/>
    <w:rsid w:val="00072039"/>
    <w:rsid w:val="00072BD5"/>
    <w:rsid w:val="000750E0"/>
    <w:rsid w:val="00075D13"/>
    <w:rsid w:val="00076A76"/>
    <w:rsid w:val="00081F0A"/>
    <w:rsid w:val="000829B0"/>
    <w:rsid w:val="00083861"/>
    <w:rsid w:val="00083F6E"/>
    <w:rsid w:val="00085FE8"/>
    <w:rsid w:val="000933A9"/>
    <w:rsid w:val="00094B58"/>
    <w:rsid w:val="00094B72"/>
    <w:rsid w:val="00095EF5"/>
    <w:rsid w:val="00096871"/>
    <w:rsid w:val="00097C0B"/>
    <w:rsid w:val="000A06A3"/>
    <w:rsid w:val="000A4131"/>
    <w:rsid w:val="000A43AC"/>
    <w:rsid w:val="000A699C"/>
    <w:rsid w:val="000B24F2"/>
    <w:rsid w:val="000B2E0F"/>
    <w:rsid w:val="000B3C18"/>
    <w:rsid w:val="000B4E1F"/>
    <w:rsid w:val="000B59BD"/>
    <w:rsid w:val="000C1551"/>
    <w:rsid w:val="000C3AD7"/>
    <w:rsid w:val="000C6333"/>
    <w:rsid w:val="000C6C6C"/>
    <w:rsid w:val="000C75B0"/>
    <w:rsid w:val="000D0674"/>
    <w:rsid w:val="000D175E"/>
    <w:rsid w:val="000D2490"/>
    <w:rsid w:val="000D3D42"/>
    <w:rsid w:val="000D6DC8"/>
    <w:rsid w:val="000E073E"/>
    <w:rsid w:val="000E528B"/>
    <w:rsid w:val="000E7899"/>
    <w:rsid w:val="000F56F3"/>
    <w:rsid w:val="00100280"/>
    <w:rsid w:val="00100BBA"/>
    <w:rsid w:val="0010168C"/>
    <w:rsid w:val="00105E18"/>
    <w:rsid w:val="00114863"/>
    <w:rsid w:val="001152E3"/>
    <w:rsid w:val="001158F8"/>
    <w:rsid w:val="0011598E"/>
    <w:rsid w:val="0011654D"/>
    <w:rsid w:val="001206C7"/>
    <w:rsid w:val="0012202F"/>
    <w:rsid w:val="00126553"/>
    <w:rsid w:val="00126755"/>
    <w:rsid w:val="00130E29"/>
    <w:rsid w:val="0013173C"/>
    <w:rsid w:val="001418FD"/>
    <w:rsid w:val="001419E5"/>
    <w:rsid w:val="001419F3"/>
    <w:rsid w:val="00143AD0"/>
    <w:rsid w:val="0014416C"/>
    <w:rsid w:val="001455CC"/>
    <w:rsid w:val="00146C32"/>
    <w:rsid w:val="00155E50"/>
    <w:rsid w:val="001567A5"/>
    <w:rsid w:val="0016263D"/>
    <w:rsid w:val="0016324A"/>
    <w:rsid w:val="001656CA"/>
    <w:rsid w:val="00172DA6"/>
    <w:rsid w:val="001730D3"/>
    <w:rsid w:val="00177119"/>
    <w:rsid w:val="001774EA"/>
    <w:rsid w:val="00184F45"/>
    <w:rsid w:val="001852B3"/>
    <w:rsid w:val="001867DA"/>
    <w:rsid w:val="00192631"/>
    <w:rsid w:val="00192C24"/>
    <w:rsid w:val="00193748"/>
    <w:rsid w:val="00193C8F"/>
    <w:rsid w:val="0019684B"/>
    <w:rsid w:val="001A413D"/>
    <w:rsid w:val="001A6C49"/>
    <w:rsid w:val="001A7EF8"/>
    <w:rsid w:val="001B4A00"/>
    <w:rsid w:val="001B7ADF"/>
    <w:rsid w:val="001C1927"/>
    <w:rsid w:val="001C39AD"/>
    <w:rsid w:val="001C57DE"/>
    <w:rsid w:val="001D44C3"/>
    <w:rsid w:val="001D7920"/>
    <w:rsid w:val="001E0894"/>
    <w:rsid w:val="001E09A3"/>
    <w:rsid w:val="001E0F07"/>
    <w:rsid w:val="001E18F0"/>
    <w:rsid w:val="001E1FCB"/>
    <w:rsid w:val="001E2B2A"/>
    <w:rsid w:val="001E3E77"/>
    <w:rsid w:val="001E4723"/>
    <w:rsid w:val="001E5974"/>
    <w:rsid w:val="001E67A1"/>
    <w:rsid w:val="001E6C8E"/>
    <w:rsid w:val="001F2605"/>
    <w:rsid w:val="001F2C96"/>
    <w:rsid w:val="001F4C1B"/>
    <w:rsid w:val="00202944"/>
    <w:rsid w:val="002071D0"/>
    <w:rsid w:val="00211E37"/>
    <w:rsid w:val="002126C7"/>
    <w:rsid w:val="002207AF"/>
    <w:rsid w:val="0022511C"/>
    <w:rsid w:val="00232C78"/>
    <w:rsid w:val="00235103"/>
    <w:rsid w:val="00237F9A"/>
    <w:rsid w:val="00245B75"/>
    <w:rsid w:val="00245F6D"/>
    <w:rsid w:val="00246BB0"/>
    <w:rsid w:val="002470B7"/>
    <w:rsid w:val="00247A14"/>
    <w:rsid w:val="00252AA4"/>
    <w:rsid w:val="002540B2"/>
    <w:rsid w:val="0025532F"/>
    <w:rsid w:val="00260E35"/>
    <w:rsid w:val="0026209A"/>
    <w:rsid w:val="0026647B"/>
    <w:rsid w:val="00266D1B"/>
    <w:rsid w:val="00267200"/>
    <w:rsid w:val="002722B6"/>
    <w:rsid w:val="00281C0E"/>
    <w:rsid w:val="0028693D"/>
    <w:rsid w:val="00291413"/>
    <w:rsid w:val="00296C70"/>
    <w:rsid w:val="002A0318"/>
    <w:rsid w:val="002A205F"/>
    <w:rsid w:val="002A267F"/>
    <w:rsid w:val="002A34B6"/>
    <w:rsid w:val="002A3A5D"/>
    <w:rsid w:val="002A4C19"/>
    <w:rsid w:val="002A5A13"/>
    <w:rsid w:val="002A5ED0"/>
    <w:rsid w:val="002B047F"/>
    <w:rsid w:val="002B3DF8"/>
    <w:rsid w:val="002B3FB2"/>
    <w:rsid w:val="002B4040"/>
    <w:rsid w:val="002B5224"/>
    <w:rsid w:val="002C60C4"/>
    <w:rsid w:val="002D0972"/>
    <w:rsid w:val="002D09D7"/>
    <w:rsid w:val="002D32D4"/>
    <w:rsid w:val="002D44F6"/>
    <w:rsid w:val="002D4623"/>
    <w:rsid w:val="002D4CA1"/>
    <w:rsid w:val="002D76A2"/>
    <w:rsid w:val="002E16B5"/>
    <w:rsid w:val="002E1D99"/>
    <w:rsid w:val="002E2533"/>
    <w:rsid w:val="002E5C83"/>
    <w:rsid w:val="002E6CE2"/>
    <w:rsid w:val="002F2669"/>
    <w:rsid w:val="002F4345"/>
    <w:rsid w:val="002F49F4"/>
    <w:rsid w:val="003055E2"/>
    <w:rsid w:val="00305A81"/>
    <w:rsid w:val="003112BA"/>
    <w:rsid w:val="003117D2"/>
    <w:rsid w:val="00312621"/>
    <w:rsid w:val="00312A76"/>
    <w:rsid w:val="003247C9"/>
    <w:rsid w:val="003256D4"/>
    <w:rsid w:val="003309F1"/>
    <w:rsid w:val="00330BA1"/>
    <w:rsid w:val="00330E5A"/>
    <w:rsid w:val="003336B6"/>
    <w:rsid w:val="0033501C"/>
    <w:rsid w:val="00335822"/>
    <w:rsid w:val="003401B6"/>
    <w:rsid w:val="0034027D"/>
    <w:rsid w:val="00343EA2"/>
    <w:rsid w:val="00344B5B"/>
    <w:rsid w:val="00346714"/>
    <w:rsid w:val="00347F4E"/>
    <w:rsid w:val="00351AC7"/>
    <w:rsid w:val="003548DE"/>
    <w:rsid w:val="00357B0A"/>
    <w:rsid w:val="00361FC8"/>
    <w:rsid w:val="00363137"/>
    <w:rsid w:val="00364B50"/>
    <w:rsid w:val="0037471F"/>
    <w:rsid w:val="0037609D"/>
    <w:rsid w:val="003760A7"/>
    <w:rsid w:val="003837D3"/>
    <w:rsid w:val="0038410C"/>
    <w:rsid w:val="003867EC"/>
    <w:rsid w:val="00386C1A"/>
    <w:rsid w:val="003932EA"/>
    <w:rsid w:val="00395331"/>
    <w:rsid w:val="00396E30"/>
    <w:rsid w:val="003A0295"/>
    <w:rsid w:val="003A18F3"/>
    <w:rsid w:val="003A1A59"/>
    <w:rsid w:val="003A5F97"/>
    <w:rsid w:val="003A6C0F"/>
    <w:rsid w:val="003B165C"/>
    <w:rsid w:val="003B3A29"/>
    <w:rsid w:val="003B4AD1"/>
    <w:rsid w:val="003B7E1D"/>
    <w:rsid w:val="003C1F05"/>
    <w:rsid w:val="003C2B45"/>
    <w:rsid w:val="003C5349"/>
    <w:rsid w:val="003C7FD2"/>
    <w:rsid w:val="003D085E"/>
    <w:rsid w:val="003D2635"/>
    <w:rsid w:val="003D2C19"/>
    <w:rsid w:val="003D3425"/>
    <w:rsid w:val="003E025B"/>
    <w:rsid w:val="003E05A5"/>
    <w:rsid w:val="003E3501"/>
    <w:rsid w:val="003E4678"/>
    <w:rsid w:val="003F2737"/>
    <w:rsid w:val="003F3E50"/>
    <w:rsid w:val="003F482A"/>
    <w:rsid w:val="003F5B40"/>
    <w:rsid w:val="003F61A0"/>
    <w:rsid w:val="003F75FC"/>
    <w:rsid w:val="00400B88"/>
    <w:rsid w:val="00401405"/>
    <w:rsid w:val="00402925"/>
    <w:rsid w:val="00402A13"/>
    <w:rsid w:val="00402A54"/>
    <w:rsid w:val="0040398F"/>
    <w:rsid w:val="00406CEE"/>
    <w:rsid w:val="00412010"/>
    <w:rsid w:val="00412BF2"/>
    <w:rsid w:val="00415777"/>
    <w:rsid w:val="004209A8"/>
    <w:rsid w:val="00420A60"/>
    <w:rsid w:val="00420AF7"/>
    <w:rsid w:val="00421ADB"/>
    <w:rsid w:val="00424345"/>
    <w:rsid w:val="0043199A"/>
    <w:rsid w:val="004415DC"/>
    <w:rsid w:val="004438EF"/>
    <w:rsid w:val="004441FF"/>
    <w:rsid w:val="00447EFE"/>
    <w:rsid w:val="004544C0"/>
    <w:rsid w:val="00454AFC"/>
    <w:rsid w:val="00456590"/>
    <w:rsid w:val="004567E6"/>
    <w:rsid w:val="00457922"/>
    <w:rsid w:val="004605DD"/>
    <w:rsid w:val="00461E59"/>
    <w:rsid w:val="0046493D"/>
    <w:rsid w:val="00464DB1"/>
    <w:rsid w:val="00466FB9"/>
    <w:rsid w:val="00467473"/>
    <w:rsid w:val="00470C7E"/>
    <w:rsid w:val="00471B53"/>
    <w:rsid w:val="0047212B"/>
    <w:rsid w:val="00472181"/>
    <w:rsid w:val="00476FDA"/>
    <w:rsid w:val="00477282"/>
    <w:rsid w:val="00482B38"/>
    <w:rsid w:val="00482BE1"/>
    <w:rsid w:val="00484D49"/>
    <w:rsid w:val="00484E1B"/>
    <w:rsid w:val="00487628"/>
    <w:rsid w:val="004A33FF"/>
    <w:rsid w:val="004A50D2"/>
    <w:rsid w:val="004A54F6"/>
    <w:rsid w:val="004A629C"/>
    <w:rsid w:val="004B0CAB"/>
    <w:rsid w:val="004B2066"/>
    <w:rsid w:val="004B576C"/>
    <w:rsid w:val="004C0579"/>
    <w:rsid w:val="004C1FF6"/>
    <w:rsid w:val="004C2099"/>
    <w:rsid w:val="004C3423"/>
    <w:rsid w:val="004C3719"/>
    <w:rsid w:val="004C4FA0"/>
    <w:rsid w:val="004C521E"/>
    <w:rsid w:val="004C6118"/>
    <w:rsid w:val="004C789E"/>
    <w:rsid w:val="004C7F8A"/>
    <w:rsid w:val="004D495D"/>
    <w:rsid w:val="004D53C8"/>
    <w:rsid w:val="004D59A3"/>
    <w:rsid w:val="004D621A"/>
    <w:rsid w:val="004E1C4B"/>
    <w:rsid w:val="004E5098"/>
    <w:rsid w:val="004E5C8B"/>
    <w:rsid w:val="004E5E3A"/>
    <w:rsid w:val="004F068B"/>
    <w:rsid w:val="004F46FA"/>
    <w:rsid w:val="004F4C3A"/>
    <w:rsid w:val="004F5C94"/>
    <w:rsid w:val="004F5CF2"/>
    <w:rsid w:val="004F79CB"/>
    <w:rsid w:val="005000C9"/>
    <w:rsid w:val="00500899"/>
    <w:rsid w:val="0050404F"/>
    <w:rsid w:val="005043E5"/>
    <w:rsid w:val="00504E3D"/>
    <w:rsid w:val="00507E83"/>
    <w:rsid w:val="00511B28"/>
    <w:rsid w:val="005151FF"/>
    <w:rsid w:val="005164E1"/>
    <w:rsid w:val="00517932"/>
    <w:rsid w:val="005203CA"/>
    <w:rsid w:val="00521FBF"/>
    <w:rsid w:val="00522379"/>
    <w:rsid w:val="00525856"/>
    <w:rsid w:val="00530AE7"/>
    <w:rsid w:val="00533F7A"/>
    <w:rsid w:val="00536357"/>
    <w:rsid w:val="005442AF"/>
    <w:rsid w:val="0054723A"/>
    <w:rsid w:val="00552605"/>
    <w:rsid w:val="00556833"/>
    <w:rsid w:val="00557F0B"/>
    <w:rsid w:val="005631AA"/>
    <w:rsid w:val="0056446E"/>
    <w:rsid w:val="00566243"/>
    <w:rsid w:val="005673D6"/>
    <w:rsid w:val="00570CF8"/>
    <w:rsid w:val="00574D4E"/>
    <w:rsid w:val="0058256B"/>
    <w:rsid w:val="00583BD2"/>
    <w:rsid w:val="00584CC8"/>
    <w:rsid w:val="00585063"/>
    <w:rsid w:val="005857C0"/>
    <w:rsid w:val="00586181"/>
    <w:rsid w:val="0058730A"/>
    <w:rsid w:val="005875B2"/>
    <w:rsid w:val="00591B70"/>
    <w:rsid w:val="00591CB5"/>
    <w:rsid w:val="00593880"/>
    <w:rsid w:val="0059536B"/>
    <w:rsid w:val="00597F37"/>
    <w:rsid w:val="005A0738"/>
    <w:rsid w:val="005A1125"/>
    <w:rsid w:val="005A3196"/>
    <w:rsid w:val="005A33E7"/>
    <w:rsid w:val="005A453D"/>
    <w:rsid w:val="005A4D71"/>
    <w:rsid w:val="005A794C"/>
    <w:rsid w:val="005B0F73"/>
    <w:rsid w:val="005B4307"/>
    <w:rsid w:val="005B4437"/>
    <w:rsid w:val="005B7F4B"/>
    <w:rsid w:val="005C2733"/>
    <w:rsid w:val="005C5F36"/>
    <w:rsid w:val="005D30D1"/>
    <w:rsid w:val="005D33A3"/>
    <w:rsid w:val="005D3DFC"/>
    <w:rsid w:val="005D64F0"/>
    <w:rsid w:val="005D6912"/>
    <w:rsid w:val="005D7D6A"/>
    <w:rsid w:val="005E079D"/>
    <w:rsid w:val="005E0D2F"/>
    <w:rsid w:val="005E27B7"/>
    <w:rsid w:val="005E3D33"/>
    <w:rsid w:val="005F3AD0"/>
    <w:rsid w:val="006001FC"/>
    <w:rsid w:val="00601EA2"/>
    <w:rsid w:val="00605709"/>
    <w:rsid w:val="00607085"/>
    <w:rsid w:val="00613356"/>
    <w:rsid w:val="0062027A"/>
    <w:rsid w:val="00625961"/>
    <w:rsid w:val="0063053C"/>
    <w:rsid w:val="00631C3C"/>
    <w:rsid w:val="00634E0D"/>
    <w:rsid w:val="00643200"/>
    <w:rsid w:val="00644188"/>
    <w:rsid w:val="006470CF"/>
    <w:rsid w:val="00656564"/>
    <w:rsid w:val="00656A9F"/>
    <w:rsid w:val="00665990"/>
    <w:rsid w:val="00667A9A"/>
    <w:rsid w:val="006710D1"/>
    <w:rsid w:val="00673A6D"/>
    <w:rsid w:val="00673F79"/>
    <w:rsid w:val="00675ED5"/>
    <w:rsid w:val="00676A6A"/>
    <w:rsid w:val="006819A4"/>
    <w:rsid w:val="0069009D"/>
    <w:rsid w:val="00691051"/>
    <w:rsid w:val="006918E8"/>
    <w:rsid w:val="00694811"/>
    <w:rsid w:val="006963E9"/>
    <w:rsid w:val="00697555"/>
    <w:rsid w:val="006A69E4"/>
    <w:rsid w:val="006A6FC6"/>
    <w:rsid w:val="006B1199"/>
    <w:rsid w:val="006B380F"/>
    <w:rsid w:val="006B3992"/>
    <w:rsid w:val="006C136B"/>
    <w:rsid w:val="006C4839"/>
    <w:rsid w:val="006D0C64"/>
    <w:rsid w:val="006D4280"/>
    <w:rsid w:val="006D5DB6"/>
    <w:rsid w:val="006E016D"/>
    <w:rsid w:val="006E061F"/>
    <w:rsid w:val="006E526D"/>
    <w:rsid w:val="006E56A1"/>
    <w:rsid w:val="006F0798"/>
    <w:rsid w:val="006F27A6"/>
    <w:rsid w:val="006F3FCB"/>
    <w:rsid w:val="006F5B0B"/>
    <w:rsid w:val="006F7147"/>
    <w:rsid w:val="006F74C7"/>
    <w:rsid w:val="006F7BC3"/>
    <w:rsid w:val="007027B9"/>
    <w:rsid w:val="00704809"/>
    <w:rsid w:val="0070668A"/>
    <w:rsid w:val="00710FC3"/>
    <w:rsid w:val="007125D6"/>
    <w:rsid w:val="00715727"/>
    <w:rsid w:val="00715FB4"/>
    <w:rsid w:val="007170ED"/>
    <w:rsid w:val="007220CA"/>
    <w:rsid w:val="0072311E"/>
    <w:rsid w:val="00724995"/>
    <w:rsid w:val="0073310E"/>
    <w:rsid w:val="00734857"/>
    <w:rsid w:val="00734B21"/>
    <w:rsid w:val="007356E2"/>
    <w:rsid w:val="0073680E"/>
    <w:rsid w:val="00736E51"/>
    <w:rsid w:val="00740536"/>
    <w:rsid w:val="00743294"/>
    <w:rsid w:val="00747FAC"/>
    <w:rsid w:val="00750A60"/>
    <w:rsid w:val="00751B70"/>
    <w:rsid w:val="00753405"/>
    <w:rsid w:val="00756D38"/>
    <w:rsid w:val="007640D7"/>
    <w:rsid w:val="00767097"/>
    <w:rsid w:val="00771934"/>
    <w:rsid w:val="00773A66"/>
    <w:rsid w:val="0077457B"/>
    <w:rsid w:val="007758BB"/>
    <w:rsid w:val="00775EA1"/>
    <w:rsid w:val="007852FB"/>
    <w:rsid w:val="007856A1"/>
    <w:rsid w:val="00786F9A"/>
    <w:rsid w:val="00787E85"/>
    <w:rsid w:val="00791336"/>
    <w:rsid w:val="00792B12"/>
    <w:rsid w:val="0079381E"/>
    <w:rsid w:val="0079571E"/>
    <w:rsid w:val="007A012A"/>
    <w:rsid w:val="007A0CE0"/>
    <w:rsid w:val="007A2C40"/>
    <w:rsid w:val="007A55CD"/>
    <w:rsid w:val="007B1B11"/>
    <w:rsid w:val="007B401E"/>
    <w:rsid w:val="007B48CB"/>
    <w:rsid w:val="007B7472"/>
    <w:rsid w:val="007B7C19"/>
    <w:rsid w:val="007C2ECA"/>
    <w:rsid w:val="007C656B"/>
    <w:rsid w:val="007D748C"/>
    <w:rsid w:val="007D7E04"/>
    <w:rsid w:val="007E01FC"/>
    <w:rsid w:val="007E1EF2"/>
    <w:rsid w:val="007E2FCC"/>
    <w:rsid w:val="007E484F"/>
    <w:rsid w:val="007E567F"/>
    <w:rsid w:val="007F12B0"/>
    <w:rsid w:val="007F257E"/>
    <w:rsid w:val="007F2A02"/>
    <w:rsid w:val="007F2BB2"/>
    <w:rsid w:val="00801AA5"/>
    <w:rsid w:val="008020B6"/>
    <w:rsid w:val="008023DF"/>
    <w:rsid w:val="00805732"/>
    <w:rsid w:val="00806DB3"/>
    <w:rsid w:val="00810F0D"/>
    <w:rsid w:val="00811233"/>
    <w:rsid w:val="0081535F"/>
    <w:rsid w:val="0081687C"/>
    <w:rsid w:val="00823C2C"/>
    <w:rsid w:val="00832E3B"/>
    <w:rsid w:val="00833DD2"/>
    <w:rsid w:val="00833EF9"/>
    <w:rsid w:val="008341BA"/>
    <w:rsid w:val="00837F25"/>
    <w:rsid w:val="0084043D"/>
    <w:rsid w:val="00842D9B"/>
    <w:rsid w:val="008435AB"/>
    <w:rsid w:val="00853761"/>
    <w:rsid w:val="00853C79"/>
    <w:rsid w:val="00853CA7"/>
    <w:rsid w:val="00854B14"/>
    <w:rsid w:val="0085635B"/>
    <w:rsid w:val="00856E70"/>
    <w:rsid w:val="00863704"/>
    <w:rsid w:val="008655CB"/>
    <w:rsid w:val="00867BE4"/>
    <w:rsid w:val="00870C24"/>
    <w:rsid w:val="00873853"/>
    <w:rsid w:val="00876F24"/>
    <w:rsid w:val="00881114"/>
    <w:rsid w:val="008824B1"/>
    <w:rsid w:val="008873B9"/>
    <w:rsid w:val="008924A0"/>
    <w:rsid w:val="00896786"/>
    <w:rsid w:val="008A00EA"/>
    <w:rsid w:val="008A250B"/>
    <w:rsid w:val="008A2DF7"/>
    <w:rsid w:val="008A37D4"/>
    <w:rsid w:val="008B0FCE"/>
    <w:rsid w:val="008B20EC"/>
    <w:rsid w:val="008B3F40"/>
    <w:rsid w:val="008B68AF"/>
    <w:rsid w:val="008C0CBD"/>
    <w:rsid w:val="008C135E"/>
    <w:rsid w:val="008C2836"/>
    <w:rsid w:val="008C6349"/>
    <w:rsid w:val="008C6A4C"/>
    <w:rsid w:val="008D16DF"/>
    <w:rsid w:val="008D1CCB"/>
    <w:rsid w:val="008D2FEB"/>
    <w:rsid w:val="008D39BA"/>
    <w:rsid w:val="008D3BED"/>
    <w:rsid w:val="008D3C84"/>
    <w:rsid w:val="008D3D60"/>
    <w:rsid w:val="008D41B7"/>
    <w:rsid w:val="008D4734"/>
    <w:rsid w:val="008D58BD"/>
    <w:rsid w:val="008D68EA"/>
    <w:rsid w:val="008D6AC6"/>
    <w:rsid w:val="008E1B2A"/>
    <w:rsid w:val="008E262F"/>
    <w:rsid w:val="008E5BFC"/>
    <w:rsid w:val="008E7AF9"/>
    <w:rsid w:val="008F41C5"/>
    <w:rsid w:val="00901CAD"/>
    <w:rsid w:val="00902A81"/>
    <w:rsid w:val="00903A52"/>
    <w:rsid w:val="00905153"/>
    <w:rsid w:val="00905F9B"/>
    <w:rsid w:val="00906C2C"/>
    <w:rsid w:val="00907CCD"/>
    <w:rsid w:val="00912B62"/>
    <w:rsid w:val="009144E0"/>
    <w:rsid w:val="00915F6E"/>
    <w:rsid w:val="00916A1D"/>
    <w:rsid w:val="009174A4"/>
    <w:rsid w:val="009211C6"/>
    <w:rsid w:val="00921A96"/>
    <w:rsid w:val="00922962"/>
    <w:rsid w:val="009260A2"/>
    <w:rsid w:val="00926131"/>
    <w:rsid w:val="00926F05"/>
    <w:rsid w:val="00932683"/>
    <w:rsid w:val="00932C2E"/>
    <w:rsid w:val="00933E29"/>
    <w:rsid w:val="009341A5"/>
    <w:rsid w:val="009374A2"/>
    <w:rsid w:val="00940679"/>
    <w:rsid w:val="0094220B"/>
    <w:rsid w:val="0095087B"/>
    <w:rsid w:val="0095177A"/>
    <w:rsid w:val="009520BC"/>
    <w:rsid w:val="00952454"/>
    <w:rsid w:val="009551A0"/>
    <w:rsid w:val="00957BDC"/>
    <w:rsid w:val="009600C4"/>
    <w:rsid w:val="0096261C"/>
    <w:rsid w:val="00963A2D"/>
    <w:rsid w:val="00965BA7"/>
    <w:rsid w:val="00967916"/>
    <w:rsid w:val="00971788"/>
    <w:rsid w:val="00972019"/>
    <w:rsid w:val="0097526E"/>
    <w:rsid w:val="00976B51"/>
    <w:rsid w:val="00981051"/>
    <w:rsid w:val="009828F5"/>
    <w:rsid w:val="00983CD6"/>
    <w:rsid w:val="00986994"/>
    <w:rsid w:val="00986E0C"/>
    <w:rsid w:val="00986F85"/>
    <w:rsid w:val="00990E03"/>
    <w:rsid w:val="009A0E82"/>
    <w:rsid w:val="009A1353"/>
    <w:rsid w:val="009A229E"/>
    <w:rsid w:val="009A2C48"/>
    <w:rsid w:val="009A6736"/>
    <w:rsid w:val="009A7945"/>
    <w:rsid w:val="009B1B2D"/>
    <w:rsid w:val="009B2F68"/>
    <w:rsid w:val="009B6E03"/>
    <w:rsid w:val="009C76EB"/>
    <w:rsid w:val="009C76EC"/>
    <w:rsid w:val="009D0225"/>
    <w:rsid w:val="009D0AE2"/>
    <w:rsid w:val="009D2A1E"/>
    <w:rsid w:val="009D3194"/>
    <w:rsid w:val="009D48F5"/>
    <w:rsid w:val="009D5FBC"/>
    <w:rsid w:val="009E029D"/>
    <w:rsid w:val="009E1A88"/>
    <w:rsid w:val="009E23CF"/>
    <w:rsid w:val="009E2418"/>
    <w:rsid w:val="009E52FE"/>
    <w:rsid w:val="009E6FDE"/>
    <w:rsid w:val="009F1347"/>
    <w:rsid w:val="009F3B26"/>
    <w:rsid w:val="009F4C66"/>
    <w:rsid w:val="009F70B0"/>
    <w:rsid w:val="00A012B1"/>
    <w:rsid w:val="00A029F7"/>
    <w:rsid w:val="00A03340"/>
    <w:rsid w:val="00A03EB0"/>
    <w:rsid w:val="00A047AC"/>
    <w:rsid w:val="00A04F46"/>
    <w:rsid w:val="00A05346"/>
    <w:rsid w:val="00A05560"/>
    <w:rsid w:val="00A05753"/>
    <w:rsid w:val="00A0736A"/>
    <w:rsid w:val="00A075DA"/>
    <w:rsid w:val="00A07641"/>
    <w:rsid w:val="00A07D12"/>
    <w:rsid w:val="00A1039B"/>
    <w:rsid w:val="00A10684"/>
    <w:rsid w:val="00A13B1F"/>
    <w:rsid w:val="00A16C78"/>
    <w:rsid w:val="00A17AE9"/>
    <w:rsid w:val="00A17DA5"/>
    <w:rsid w:val="00A23951"/>
    <w:rsid w:val="00A23C70"/>
    <w:rsid w:val="00A30BCC"/>
    <w:rsid w:val="00A320FD"/>
    <w:rsid w:val="00A323D2"/>
    <w:rsid w:val="00A32D4D"/>
    <w:rsid w:val="00A34A77"/>
    <w:rsid w:val="00A34F1D"/>
    <w:rsid w:val="00A35194"/>
    <w:rsid w:val="00A42864"/>
    <w:rsid w:val="00A44F2E"/>
    <w:rsid w:val="00A4730F"/>
    <w:rsid w:val="00A473C3"/>
    <w:rsid w:val="00A50198"/>
    <w:rsid w:val="00A53663"/>
    <w:rsid w:val="00A539FB"/>
    <w:rsid w:val="00A60A87"/>
    <w:rsid w:val="00A62C69"/>
    <w:rsid w:val="00A64629"/>
    <w:rsid w:val="00A650CE"/>
    <w:rsid w:val="00A67E7F"/>
    <w:rsid w:val="00A7135C"/>
    <w:rsid w:val="00A72C2B"/>
    <w:rsid w:val="00A73421"/>
    <w:rsid w:val="00A746FB"/>
    <w:rsid w:val="00A7530F"/>
    <w:rsid w:val="00A772E7"/>
    <w:rsid w:val="00A80EED"/>
    <w:rsid w:val="00A80FCF"/>
    <w:rsid w:val="00A81C5F"/>
    <w:rsid w:val="00A868CD"/>
    <w:rsid w:val="00A86DA2"/>
    <w:rsid w:val="00A87ECB"/>
    <w:rsid w:val="00A906FF"/>
    <w:rsid w:val="00A9090D"/>
    <w:rsid w:val="00A937E4"/>
    <w:rsid w:val="00A9626D"/>
    <w:rsid w:val="00AA1691"/>
    <w:rsid w:val="00AA270A"/>
    <w:rsid w:val="00AA6337"/>
    <w:rsid w:val="00AB0615"/>
    <w:rsid w:val="00AB24F6"/>
    <w:rsid w:val="00AB4555"/>
    <w:rsid w:val="00AB5CE3"/>
    <w:rsid w:val="00AC0171"/>
    <w:rsid w:val="00AC2817"/>
    <w:rsid w:val="00AC3A93"/>
    <w:rsid w:val="00AC42CD"/>
    <w:rsid w:val="00AC4667"/>
    <w:rsid w:val="00AD248B"/>
    <w:rsid w:val="00AD33DC"/>
    <w:rsid w:val="00AD4A23"/>
    <w:rsid w:val="00AD5210"/>
    <w:rsid w:val="00AD6DFD"/>
    <w:rsid w:val="00AD6FC9"/>
    <w:rsid w:val="00AE0908"/>
    <w:rsid w:val="00AE218A"/>
    <w:rsid w:val="00AE4F0E"/>
    <w:rsid w:val="00AE7422"/>
    <w:rsid w:val="00AF01DD"/>
    <w:rsid w:val="00AF3174"/>
    <w:rsid w:val="00AF5A0A"/>
    <w:rsid w:val="00AF5C2D"/>
    <w:rsid w:val="00AF7900"/>
    <w:rsid w:val="00B04B6F"/>
    <w:rsid w:val="00B07564"/>
    <w:rsid w:val="00B11BC8"/>
    <w:rsid w:val="00B1561F"/>
    <w:rsid w:val="00B16936"/>
    <w:rsid w:val="00B201DD"/>
    <w:rsid w:val="00B203CE"/>
    <w:rsid w:val="00B23F87"/>
    <w:rsid w:val="00B271BB"/>
    <w:rsid w:val="00B27F8D"/>
    <w:rsid w:val="00B377BD"/>
    <w:rsid w:val="00B40E65"/>
    <w:rsid w:val="00B4396B"/>
    <w:rsid w:val="00B459A5"/>
    <w:rsid w:val="00B46873"/>
    <w:rsid w:val="00B47D69"/>
    <w:rsid w:val="00B52CBE"/>
    <w:rsid w:val="00B52D6F"/>
    <w:rsid w:val="00B53E07"/>
    <w:rsid w:val="00B53EFF"/>
    <w:rsid w:val="00B61004"/>
    <w:rsid w:val="00B62BE6"/>
    <w:rsid w:val="00B64E7F"/>
    <w:rsid w:val="00B6678A"/>
    <w:rsid w:val="00B672AC"/>
    <w:rsid w:val="00B673AB"/>
    <w:rsid w:val="00B7214E"/>
    <w:rsid w:val="00B72E19"/>
    <w:rsid w:val="00B73436"/>
    <w:rsid w:val="00B736AF"/>
    <w:rsid w:val="00B7394F"/>
    <w:rsid w:val="00B74C5C"/>
    <w:rsid w:val="00B76233"/>
    <w:rsid w:val="00B76746"/>
    <w:rsid w:val="00B801B2"/>
    <w:rsid w:val="00B80598"/>
    <w:rsid w:val="00B8099C"/>
    <w:rsid w:val="00B85ED8"/>
    <w:rsid w:val="00B8796F"/>
    <w:rsid w:val="00B903DA"/>
    <w:rsid w:val="00B95F15"/>
    <w:rsid w:val="00B969AC"/>
    <w:rsid w:val="00BA0585"/>
    <w:rsid w:val="00BA1DD7"/>
    <w:rsid w:val="00BA3323"/>
    <w:rsid w:val="00BA3E0A"/>
    <w:rsid w:val="00BA57F4"/>
    <w:rsid w:val="00BB0082"/>
    <w:rsid w:val="00BB22A2"/>
    <w:rsid w:val="00BB3F70"/>
    <w:rsid w:val="00BB4830"/>
    <w:rsid w:val="00BB6DB5"/>
    <w:rsid w:val="00BB7556"/>
    <w:rsid w:val="00BC3A54"/>
    <w:rsid w:val="00BC47B1"/>
    <w:rsid w:val="00BC5821"/>
    <w:rsid w:val="00BC5FD6"/>
    <w:rsid w:val="00BC6347"/>
    <w:rsid w:val="00BD14A0"/>
    <w:rsid w:val="00BD2974"/>
    <w:rsid w:val="00BE2434"/>
    <w:rsid w:val="00BE626B"/>
    <w:rsid w:val="00BE6AE3"/>
    <w:rsid w:val="00BE6C4A"/>
    <w:rsid w:val="00BF0E7A"/>
    <w:rsid w:val="00BF2983"/>
    <w:rsid w:val="00BF2CF0"/>
    <w:rsid w:val="00BF4B4D"/>
    <w:rsid w:val="00C02125"/>
    <w:rsid w:val="00C04520"/>
    <w:rsid w:val="00C04E0D"/>
    <w:rsid w:val="00C061BC"/>
    <w:rsid w:val="00C110F7"/>
    <w:rsid w:val="00C13F23"/>
    <w:rsid w:val="00C14517"/>
    <w:rsid w:val="00C167F2"/>
    <w:rsid w:val="00C17D92"/>
    <w:rsid w:val="00C2050E"/>
    <w:rsid w:val="00C214AF"/>
    <w:rsid w:val="00C2232D"/>
    <w:rsid w:val="00C23992"/>
    <w:rsid w:val="00C266F6"/>
    <w:rsid w:val="00C26BE5"/>
    <w:rsid w:val="00C31E65"/>
    <w:rsid w:val="00C337E1"/>
    <w:rsid w:val="00C343C2"/>
    <w:rsid w:val="00C3590C"/>
    <w:rsid w:val="00C36F52"/>
    <w:rsid w:val="00C41BE8"/>
    <w:rsid w:val="00C436AF"/>
    <w:rsid w:val="00C477BA"/>
    <w:rsid w:val="00C47984"/>
    <w:rsid w:val="00C50523"/>
    <w:rsid w:val="00C574DC"/>
    <w:rsid w:val="00C6023D"/>
    <w:rsid w:val="00C61ED9"/>
    <w:rsid w:val="00C62CC7"/>
    <w:rsid w:val="00C65384"/>
    <w:rsid w:val="00C657B3"/>
    <w:rsid w:val="00C66092"/>
    <w:rsid w:val="00C66F14"/>
    <w:rsid w:val="00C70325"/>
    <w:rsid w:val="00C70D92"/>
    <w:rsid w:val="00C7449F"/>
    <w:rsid w:val="00C801D7"/>
    <w:rsid w:val="00C8633C"/>
    <w:rsid w:val="00C878F9"/>
    <w:rsid w:val="00C94DAA"/>
    <w:rsid w:val="00C95099"/>
    <w:rsid w:val="00C96F0B"/>
    <w:rsid w:val="00CA0214"/>
    <w:rsid w:val="00CA32A9"/>
    <w:rsid w:val="00CA4232"/>
    <w:rsid w:val="00CB4ADC"/>
    <w:rsid w:val="00CB5E9D"/>
    <w:rsid w:val="00CC1F05"/>
    <w:rsid w:val="00CC27FD"/>
    <w:rsid w:val="00CC3BA3"/>
    <w:rsid w:val="00CC4DB4"/>
    <w:rsid w:val="00CC5C4E"/>
    <w:rsid w:val="00CD0A3B"/>
    <w:rsid w:val="00CD1ACE"/>
    <w:rsid w:val="00CD2326"/>
    <w:rsid w:val="00CD2714"/>
    <w:rsid w:val="00CD4B2C"/>
    <w:rsid w:val="00CD72FC"/>
    <w:rsid w:val="00CE1494"/>
    <w:rsid w:val="00CE4B9E"/>
    <w:rsid w:val="00CE75C8"/>
    <w:rsid w:val="00CF3B50"/>
    <w:rsid w:val="00CF4E1A"/>
    <w:rsid w:val="00CF52D0"/>
    <w:rsid w:val="00D004FB"/>
    <w:rsid w:val="00D009D2"/>
    <w:rsid w:val="00D00FE6"/>
    <w:rsid w:val="00D01DC8"/>
    <w:rsid w:val="00D0212F"/>
    <w:rsid w:val="00D04099"/>
    <w:rsid w:val="00D05B6F"/>
    <w:rsid w:val="00D16F32"/>
    <w:rsid w:val="00D22768"/>
    <w:rsid w:val="00D27B08"/>
    <w:rsid w:val="00D27D0D"/>
    <w:rsid w:val="00D32270"/>
    <w:rsid w:val="00D33DCB"/>
    <w:rsid w:val="00D33E86"/>
    <w:rsid w:val="00D3458C"/>
    <w:rsid w:val="00D34EF0"/>
    <w:rsid w:val="00D36AAC"/>
    <w:rsid w:val="00D40FE7"/>
    <w:rsid w:val="00D52F7A"/>
    <w:rsid w:val="00D53D0B"/>
    <w:rsid w:val="00D56D73"/>
    <w:rsid w:val="00D6115C"/>
    <w:rsid w:val="00D617E4"/>
    <w:rsid w:val="00D61929"/>
    <w:rsid w:val="00D6503C"/>
    <w:rsid w:val="00D6619A"/>
    <w:rsid w:val="00D7114C"/>
    <w:rsid w:val="00D71524"/>
    <w:rsid w:val="00D76313"/>
    <w:rsid w:val="00D81129"/>
    <w:rsid w:val="00D81C4D"/>
    <w:rsid w:val="00D8388D"/>
    <w:rsid w:val="00D865CF"/>
    <w:rsid w:val="00D90CCF"/>
    <w:rsid w:val="00D91F73"/>
    <w:rsid w:val="00D93D95"/>
    <w:rsid w:val="00D94083"/>
    <w:rsid w:val="00D94603"/>
    <w:rsid w:val="00D94A2F"/>
    <w:rsid w:val="00D95C80"/>
    <w:rsid w:val="00D9679E"/>
    <w:rsid w:val="00D96AD2"/>
    <w:rsid w:val="00D9704E"/>
    <w:rsid w:val="00D971C4"/>
    <w:rsid w:val="00D97573"/>
    <w:rsid w:val="00D97F0C"/>
    <w:rsid w:val="00DA043D"/>
    <w:rsid w:val="00DA4029"/>
    <w:rsid w:val="00DA4915"/>
    <w:rsid w:val="00DA5DAB"/>
    <w:rsid w:val="00DB1C1B"/>
    <w:rsid w:val="00DB2E58"/>
    <w:rsid w:val="00DB4C39"/>
    <w:rsid w:val="00DB4E64"/>
    <w:rsid w:val="00DC385E"/>
    <w:rsid w:val="00DD2452"/>
    <w:rsid w:val="00DD4D61"/>
    <w:rsid w:val="00DD5645"/>
    <w:rsid w:val="00DD5E59"/>
    <w:rsid w:val="00DD6E0D"/>
    <w:rsid w:val="00DE1923"/>
    <w:rsid w:val="00DE7D93"/>
    <w:rsid w:val="00DF2C86"/>
    <w:rsid w:val="00DF3266"/>
    <w:rsid w:val="00DF3BCB"/>
    <w:rsid w:val="00DF4F8C"/>
    <w:rsid w:val="00DF5428"/>
    <w:rsid w:val="00DF6C27"/>
    <w:rsid w:val="00E0330C"/>
    <w:rsid w:val="00E03E0B"/>
    <w:rsid w:val="00E040E0"/>
    <w:rsid w:val="00E05148"/>
    <w:rsid w:val="00E06A44"/>
    <w:rsid w:val="00E100A9"/>
    <w:rsid w:val="00E131BF"/>
    <w:rsid w:val="00E14980"/>
    <w:rsid w:val="00E16BDE"/>
    <w:rsid w:val="00E20FEB"/>
    <w:rsid w:val="00E22DB2"/>
    <w:rsid w:val="00E27161"/>
    <w:rsid w:val="00E302D6"/>
    <w:rsid w:val="00E30C5B"/>
    <w:rsid w:val="00E372C3"/>
    <w:rsid w:val="00E37745"/>
    <w:rsid w:val="00E37B8C"/>
    <w:rsid w:val="00E401DF"/>
    <w:rsid w:val="00E43FC6"/>
    <w:rsid w:val="00E4538B"/>
    <w:rsid w:val="00E540A8"/>
    <w:rsid w:val="00E54C8C"/>
    <w:rsid w:val="00E56916"/>
    <w:rsid w:val="00E56F63"/>
    <w:rsid w:val="00E572F4"/>
    <w:rsid w:val="00E62E21"/>
    <w:rsid w:val="00E63280"/>
    <w:rsid w:val="00E64ECF"/>
    <w:rsid w:val="00E66673"/>
    <w:rsid w:val="00E726AC"/>
    <w:rsid w:val="00E738F3"/>
    <w:rsid w:val="00E73C6E"/>
    <w:rsid w:val="00E748C6"/>
    <w:rsid w:val="00E754E5"/>
    <w:rsid w:val="00E75771"/>
    <w:rsid w:val="00E762E3"/>
    <w:rsid w:val="00E82C64"/>
    <w:rsid w:val="00E8399E"/>
    <w:rsid w:val="00E848AB"/>
    <w:rsid w:val="00E8699B"/>
    <w:rsid w:val="00E923A1"/>
    <w:rsid w:val="00E939C5"/>
    <w:rsid w:val="00EA01A8"/>
    <w:rsid w:val="00EA0DBB"/>
    <w:rsid w:val="00EA14DE"/>
    <w:rsid w:val="00EA3887"/>
    <w:rsid w:val="00EA433B"/>
    <w:rsid w:val="00EB049B"/>
    <w:rsid w:val="00EB2FC5"/>
    <w:rsid w:val="00EB3594"/>
    <w:rsid w:val="00EB3D71"/>
    <w:rsid w:val="00EB6CBD"/>
    <w:rsid w:val="00EB70DC"/>
    <w:rsid w:val="00EC25E2"/>
    <w:rsid w:val="00EC2FF3"/>
    <w:rsid w:val="00EC36CD"/>
    <w:rsid w:val="00EC619F"/>
    <w:rsid w:val="00EC660B"/>
    <w:rsid w:val="00EC6A4D"/>
    <w:rsid w:val="00EC6D61"/>
    <w:rsid w:val="00ED2151"/>
    <w:rsid w:val="00ED2235"/>
    <w:rsid w:val="00ED7C5A"/>
    <w:rsid w:val="00ED7CF7"/>
    <w:rsid w:val="00EE43F4"/>
    <w:rsid w:val="00EE7A25"/>
    <w:rsid w:val="00EF003D"/>
    <w:rsid w:val="00EF2DB0"/>
    <w:rsid w:val="00EF5E61"/>
    <w:rsid w:val="00F00447"/>
    <w:rsid w:val="00F00999"/>
    <w:rsid w:val="00F015F4"/>
    <w:rsid w:val="00F02095"/>
    <w:rsid w:val="00F03000"/>
    <w:rsid w:val="00F05969"/>
    <w:rsid w:val="00F06D00"/>
    <w:rsid w:val="00F12133"/>
    <w:rsid w:val="00F130B1"/>
    <w:rsid w:val="00F1422C"/>
    <w:rsid w:val="00F2039B"/>
    <w:rsid w:val="00F30731"/>
    <w:rsid w:val="00F32FC0"/>
    <w:rsid w:val="00F36179"/>
    <w:rsid w:val="00F37EB8"/>
    <w:rsid w:val="00F42435"/>
    <w:rsid w:val="00F42A7A"/>
    <w:rsid w:val="00F436EA"/>
    <w:rsid w:val="00F50007"/>
    <w:rsid w:val="00F50D2E"/>
    <w:rsid w:val="00F54AB3"/>
    <w:rsid w:val="00F57198"/>
    <w:rsid w:val="00F57D49"/>
    <w:rsid w:val="00F60581"/>
    <w:rsid w:val="00F61234"/>
    <w:rsid w:val="00F61E80"/>
    <w:rsid w:val="00F63F72"/>
    <w:rsid w:val="00F654C0"/>
    <w:rsid w:val="00F70850"/>
    <w:rsid w:val="00F710B9"/>
    <w:rsid w:val="00F72F02"/>
    <w:rsid w:val="00F72FF3"/>
    <w:rsid w:val="00F870EE"/>
    <w:rsid w:val="00F87779"/>
    <w:rsid w:val="00F879B3"/>
    <w:rsid w:val="00F918B7"/>
    <w:rsid w:val="00F93C6A"/>
    <w:rsid w:val="00F95425"/>
    <w:rsid w:val="00FA6A84"/>
    <w:rsid w:val="00FA7835"/>
    <w:rsid w:val="00FB149B"/>
    <w:rsid w:val="00FB2777"/>
    <w:rsid w:val="00FC554C"/>
    <w:rsid w:val="00FC574C"/>
    <w:rsid w:val="00FC5816"/>
    <w:rsid w:val="00FD2D5D"/>
    <w:rsid w:val="00FD3FCF"/>
    <w:rsid w:val="00FD4EE5"/>
    <w:rsid w:val="00FD670C"/>
    <w:rsid w:val="00FD776C"/>
    <w:rsid w:val="00FE0582"/>
    <w:rsid w:val="00FE2650"/>
    <w:rsid w:val="00FE68B3"/>
    <w:rsid w:val="00FF0192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99E"/>
  </w:style>
  <w:style w:type="paragraph" w:styleId="Footer">
    <w:name w:val="footer"/>
    <w:basedOn w:val="Normal"/>
    <w:link w:val="FooterChar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99E"/>
  </w:style>
  <w:style w:type="paragraph" w:styleId="BodyTextIndent">
    <w:name w:val="Body Text Indent"/>
    <w:basedOn w:val="Normal"/>
    <w:link w:val="BodyTextIndentChar"/>
    <w:unhideWhenUsed/>
    <w:rsid w:val="00E839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E8399E"/>
    <w:rPr>
      <w:color w:val="0000FF"/>
      <w:u w:val="single"/>
    </w:rPr>
  </w:style>
  <w:style w:type="paragraph" w:styleId="BodyText">
    <w:name w:val="Body Text"/>
    <w:basedOn w:val="Normal"/>
    <w:link w:val="BodyTextChar"/>
    <w:rsid w:val="00E83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2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D617E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Char1">
    <w:name w:val="Char Char1"/>
    <w:basedOn w:val="Normal"/>
    <w:rsid w:val="002B3FB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Web">
    <w:name w:val="Normal (Web)"/>
    <w:basedOn w:val="Normal"/>
    <w:rsid w:val="00C62CC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ize21">
    <w:name w:val="fontsize21"/>
    <w:basedOn w:val="DefaultParagraphFont"/>
    <w:rsid w:val="00591B70"/>
    <w:rPr>
      <w:i/>
      <w:iCs/>
      <w:sz w:val="15"/>
      <w:szCs w:val="15"/>
    </w:rPr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593880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ED20-5ABF-4007-B387-57758F19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5189</Words>
  <Characters>2958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valsts nekustamā īpašuma un apakšzemes inženierkomunikāciju nodošanu Priekuļu novada pašvaldības īpašumā” sākotnējās ietekmes novērtējuma ziņojums (anotācija)</vt:lpstr>
      <vt:lpstr>Ministru kabineta rīkojuma projekta „Par nekustamo īpašumu objektu un apakšzemes inženierkomunikāciju nodošanu Aglonas novada pašvaldības īpašumā” sākotnējās ietekmes novērtējuma ziņojums (anotācija)</vt:lpstr>
    </vt:vector>
  </TitlesOfParts>
  <Manager>Sandra Sidiki</Manager>
  <Company>Izglītības un zinātnes ministrija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valsts nekustamā īpašuma un apakšzemes inženierkomunikāciju nodošanu Priekuļu novada pašvaldības īpašumā” sākotnējās ietekmes novērtējuma ziņojums (anotācija)</dc:title>
  <dc:subject>IZMAnot_150813_Janmuiza</dc:subject>
  <dc:creator>I.Rozenštoka</dc:creator>
  <cp:keywords>Jāņmuiža</cp:keywords>
  <dc:description>Ilze.Rozenstoka@izm.gov.lv; 
67047765</dc:description>
  <cp:lastModifiedBy>irozenstoka</cp:lastModifiedBy>
  <cp:revision>2</cp:revision>
  <cp:lastPrinted>2013-02-27T08:16:00Z</cp:lastPrinted>
  <dcterms:created xsi:type="dcterms:W3CDTF">2013-08-15T13:42:00Z</dcterms:created>
  <dcterms:modified xsi:type="dcterms:W3CDTF">2013-08-15T13:42:00Z</dcterms:modified>
  <cp:category>Anotācija</cp:category>
</cp:coreProperties>
</file>