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E9" w:rsidRPr="00B22F46" w:rsidRDefault="005B2AE9" w:rsidP="00636FEF">
      <w:pPr>
        <w:ind w:firstLine="851"/>
        <w:jc w:val="center"/>
        <w:rPr>
          <w:b/>
          <w:bCs/>
          <w:sz w:val="26"/>
          <w:szCs w:val="26"/>
        </w:rPr>
      </w:pPr>
      <w:bookmarkStart w:id="0" w:name="OLE_LINK2"/>
      <w:bookmarkStart w:id="1" w:name="OLE_LINK3"/>
      <w:bookmarkStart w:id="2" w:name="OLE_LINK6"/>
      <w:r w:rsidRPr="00B22F46">
        <w:rPr>
          <w:b/>
          <w:bCs/>
          <w:sz w:val="26"/>
          <w:szCs w:val="26"/>
        </w:rPr>
        <w:t>Ministru kabineta noteikumu „</w:t>
      </w:r>
      <w:r w:rsidR="00636FEF" w:rsidRPr="00B22F46">
        <w:rPr>
          <w:rStyle w:val="Strong"/>
          <w:sz w:val="26"/>
          <w:szCs w:val="26"/>
        </w:rPr>
        <w:t>Grozījumi Ministru kabineta 2009.gada 22.decembra noteikumos Nr.1616 „</w:t>
      </w:r>
      <w:r w:rsidR="00636FEF" w:rsidRPr="00B22F46">
        <w:rPr>
          <w:b/>
          <w:bCs/>
          <w:sz w:val="26"/>
          <w:szCs w:val="26"/>
        </w:rPr>
        <w:t xml:space="preserve">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w:t>
      </w:r>
      <w:r w:rsidRPr="00B22F46">
        <w:rPr>
          <w:b/>
          <w:bCs/>
          <w:sz w:val="26"/>
          <w:szCs w:val="26"/>
        </w:rPr>
        <w:t xml:space="preserve">projekta </w:t>
      </w:r>
      <w:bookmarkStart w:id="3" w:name="OLE_LINK4"/>
      <w:bookmarkStart w:id="4" w:name="OLE_LINK5"/>
      <w:r w:rsidRPr="00B22F46">
        <w:rPr>
          <w:b/>
          <w:bCs/>
          <w:sz w:val="26"/>
          <w:szCs w:val="26"/>
        </w:rPr>
        <w:t>sākotnējās ietekmes novērtējuma ziņojums (anotācija)</w:t>
      </w:r>
      <w:bookmarkEnd w:id="3"/>
      <w:bookmarkEnd w:id="4"/>
    </w:p>
    <w:bookmarkEnd w:id="0"/>
    <w:bookmarkEnd w:id="1"/>
    <w:bookmarkEnd w:id="2"/>
    <w:p w:rsidR="005B2AE9" w:rsidRPr="00B22F46" w:rsidRDefault="005B2AE9" w:rsidP="00C359A0">
      <w:pPr>
        <w:spacing w:before="0" w:after="0"/>
        <w:jc w:val="center"/>
        <w:rPr>
          <w:b/>
          <w:bCs/>
          <w:sz w:val="26"/>
          <w:szCs w:val="26"/>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804"/>
      </w:tblGrid>
      <w:tr w:rsidR="005B2AE9" w:rsidRPr="00B22F46">
        <w:trPr>
          <w:tblCellSpacing w:w="0" w:type="dxa"/>
        </w:trPr>
        <w:tc>
          <w:tcPr>
            <w:tcW w:w="9281" w:type="dxa"/>
            <w:gridSpan w:val="3"/>
            <w:vAlign w:val="center"/>
          </w:tcPr>
          <w:p w:rsidR="005B2AE9" w:rsidRPr="00B22F46" w:rsidRDefault="005B2AE9" w:rsidP="00C359A0">
            <w:pPr>
              <w:pStyle w:val="naisnod"/>
              <w:spacing w:before="0" w:after="0"/>
              <w:rPr>
                <w:sz w:val="26"/>
                <w:szCs w:val="26"/>
              </w:rPr>
            </w:pPr>
            <w:r w:rsidRPr="00B22F46">
              <w:rPr>
                <w:sz w:val="26"/>
                <w:szCs w:val="26"/>
              </w:rPr>
              <w:t> I. Tiesību akta projekta izstrādes nepieciešamība</w:t>
            </w:r>
          </w:p>
        </w:tc>
      </w:tr>
      <w:tr w:rsidR="005B2AE9" w:rsidRPr="00B22F46">
        <w:trPr>
          <w:trHeight w:val="630"/>
          <w:tblCellSpacing w:w="0" w:type="dxa"/>
        </w:trPr>
        <w:tc>
          <w:tcPr>
            <w:tcW w:w="550" w:type="dxa"/>
            <w:vAlign w:val="center"/>
          </w:tcPr>
          <w:p w:rsidR="005B2AE9" w:rsidRPr="00B22F46" w:rsidRDefault="005B2AE9" w:rsidP="004A6518">
            <w:pPr>
              <w:pStyle w:val="naiskr"/>
              <w:spacing w:before="0" w:after="0"/>
              <w:ind w:left="180" w:hanging="180"/>
              <w:jc w:val="center"/>
              <w:rPr>
                <w:sz w:val="26"/>
                <w:szCs w:val="26"/>
              </w:rPr>
            </w:pPr>
            <w:r w:rsidRPr="00B22F46">
              <w:rPr>
                <w:sz w:val="26"/>
                <w:szCs w:val="26"/>
              </w:rPr>
              <w:t>1.</w:t>
            </w:r>
          </w:p>
        </w:tc>
        <w:tc>
          <w:tcPr>
            <w:tcW w:w="1927" w:type="dxa"/>
            <w:vAlign w:val="center"/>
          </w:tcPr>
          <w:p w:rsidR="005B2AE9" w:rsidRPr="00B22F46" w:rsidRDefault="005B2AE9" w:rsidP="00C359A0">
            <w:pPr>
              <w:pStyle w:val="naiskr"/>
              <w:spacing w:before="0" w:after="0"/>
              <w:rPr>
                <w:sz w:val="26"/>
                <w:szCs w:val="26"/>
              </w:rPr>
            </w:pPr>
            <w:r w:rsidRPr="00B22F46">
              <w:rPr>
                <w:sz w:val="26"/>
                <w:szCs w:val="26"/>
              </w:rPr>
              <w:t>Pamatojums</w:t>
            </w:r>
          </w:p>
        </w:tc>
        <w:tc>
          <w:tcPr>
            <w:tcW w:w="6804" w:type="dxa"/>
            <w:vAlign w:val="center"/>
          </w:tcPr>
          <w:p w:rsidR="005B2AE9" w:rsidRPr="00B22F46" w:rsidRDefault="005B2AE9" w:rsidP="00841B79">
            <w:pPr>
              <w:autoSpaceDE w:val="0"/>
              <w:autoSpaceDN w:val="0"/>
              <w:adjustRightInd w:val="0"/>
              <w:jc w:val="both"/>
              <w:rPr>
                <w:rFonts w:eastAsia="Calibri"/>
                <w:sz w:val="26"/>
                <w:szCs w:val="26"/>
              </w:rPr>
            </w:pPr>
            <w:r w:rsidRPr="00B22F46">
              <w:rPr>
                <w:sz w:val="26"/>
                <w:szCs w:val="26"/>
              </w:rPr>
              <w:t>Ministru kabineta noteikumu „</w:t>
            </w:r>
            <w:r w:rsidRPr="00B22F46">
              <w:rPr>
                <w:rStyle w:val="Strong"/>
                <w:b w:val="0"/>
                <w:bCs w:val="0"/>
                <w:sz w:val="26"/>
                <w:szCs w:val="26"/>
              </w:rPr>
              <w:t>Grozījumi Ministru kabineta 2009.gada 22.decembra noteikumos Nr.1616</w:t>
            </w:r>
            <w:r w:rsidRPr="00B22F46">
              <w:rPr>
                <w:rStyle w:val="Strong"/>
                <w:sz w:val="26"/>
                <w:szCs w:val="26"/>
              </w:rPr>
              <w:t xml:space="preserve"> </w:t>
            </w:r>
            <w:r w:rsidRPr="00B22F46">
              <w:rPr>
                <w:rStyle w:val="Strong"/>
                <w:b w:val="0"/>
                <w:bCs w:val="0"/>
                <w:sz w:val="26"/>
                <w:szCs w:val="26"/>
              </w:rPr>
              <w:t>„</w:t>
            </w:r>
            <w:r w:rsidRPr="00B22F46">
              <w:rPr>
                <w:sz w:val="26"/>
                <w:szCs w:val="26"/>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w:t>
            </w:r>
            <w:r w:rsidR="00A70D15" w:rsidRPr="00B22F46">
              <w:rPr>
                <w:sz w:val="26"/>
                <w:szCs w:val="26"/>
              </w:rPr>
              <w:t>ba samaksai”” projekts (turpmāk </w:t>
            </w:r>
            <w:r w:rsidR="004D21CD" w:rsidRPr="00B22F46">
              <w:rPr>
                <w:sz w:val="26"/>
                <w:szCs w:val="26"/>
              </w:rPr>
              <w:t>–</w:t>
            </w:r>
            <w:r w:rsidR="00A70D15" w:rsidRPr="00B22F46">
              <w:rPr>
                <w:sz w:val="26"/>
                <w:szCs w:val="26"/>
              </w:rPr>
              <w:t xml:space="preserve"> </w:t>
            </w:r>
            <w:r w:rsidRPr="00B22F46">
              <w:rPr>
                <w:sz w:val="26"/>
                <w:szCs w:val="26"/>
              </w:rPr>
              <w:t xml:space="preserve">projekts) izstrādāts, </w:t>
            </w:r>
            <w:r w:rsidR="00697028" w:rsidRPr="00B22F46">
              <w:rPr>
                <w:sz w:val="26"/>
                <w:szCs w:val="26"/>
              </w:rPr>
              <w:t xml:space="preserve">lai </w:t>
            </w:r>
            <w:r w:rsidR="00C80D3C" w:rsidRPr="00B22F46">
              <w:rPr>
                <w:sz w:val="26"/>
                <w:szCs w:val="26"/>
              </w:rPr>
              <w:t>nodrošinātu</w:t>
            </w:r>
            <w:r w:rsidR="003C5F39" w:rsidRPr="00B22F46">
              <w:rPr>
                <w:sz w:val="26"/>
                <w:szCs w:val="26"/>
              </w:rPr>
              <w:t xml:space="preserve"> </w:t>
            </w:r>
            <w:r w:rsidR="00A11583" w:rsidRPr="00B22F46">
              <w:rPr>
                <w:rFonts w:eastAsia="Calibri"/>
                <w:sz w:val="26"/>
                <w:szCs w:val="26"/>
              </w:rPr>
              <w:t xml:space="preserve">Ministru kabineta 2013.gada 28.maija sēdes </w:t>
            </w:r>
            <w:proofErr w:type="spellStart"/>
            <w:r w:rsidR="0080005F" w:rsidRPr="00B22F46">
              <w:rPr>
                <w:rFonts w:eastAsia="Calibri"/>
                <w:sz w:val="26"/>
                <w:szCs w:val="26"/>
              </w:rPr>
              <w:t>protokol</w:t>
            </w:r>
            <w:r w:rsidR="00A11583" w:rsidRPr="00B22F46">
              <w:rPr>
                <w:rFonts w:eastAsia="Calibri"/>
                <w:sz w:val="26"/>
                <w:szCs w:val="26"/>
              </w:rPr>
              <w:t>lēmuma</w:t>
            </w:r>
            <w:proofErr w:type="spellEnd"/>
            <w:r w:rsidR="00A11583" w:rsidRPr="00B22F46">
              <w:rPr>
                <w:rFonts w:eastAsia="Calibri"/>
                <w:sz w:val="26"/>
                <w:szCs w:val="26"/>
              </w:rPr>
              <w:t xml:space="preserve"> </w:t>
            </w:r>
            <w:r w:rsidR="005E2290" w:rsidRPr="00B22F46">
              <w:rPr>
                <w:rFonts w:eastAsia="Calibri"/>
                <w:sz w:val="26"/>
                <w:szCs w:val="26"/>
              </w:rPr>
              <w:t>(prot.</w:t>
            </w:r>
            <w:r w:rsidR="004D21CD" w:rsidRPr="00B22F46">
              <w:rPr>
                <w:rFonts w:eastAsia="Calibri"/>
                <w:sz w:val="26"/>
                <w:szCs w:val="26"/>
              </w:rPr>
              <w:t xml:space="preserve"> </w:t>
            </w:r>
            <w:r w:rsidR="00A11583" w:rsidRPr="00B22F46">
              <w:rPr>
                <w:rFonts w:eastAsia="Calibri"/>
                <w:sz w:val="26"/>
                <w:szCs w:val="26"/>
              </w:rPr>
              <w:t>Nr.32, 70.§.</w:t>
            </w:r>
            <w:r w:rsidR="004D21CD" w:rsidRPr="00B22F46">
              <w:rPr>
                <w:rFonts w:eastAsia="Calibri"/>
                <w:sz w:val="26"/>
                <w:szCs w:val="26"/>
              </w:rPr>
              <w:t xml:space="preserve">) 5.1.apakšpunkta izpildi, </w:t>
            </w:r>
            <w:r w:rsidR="00841B79" w:rsidRPr="00B22F46">
              <w:rPr>
                <w:rFonts w:eastAsia="Calibri"/>
                <w:sz w:val="26"/>
                <w:szCs w:val="26"/>
              </w:rPr>
              <w:t>kā arī pamatojoties uz sadarbības Memorandu, ko 2012.gada 4.jūlijā parakstīja Izglītības un zinātnes ministrija,  Latvijas izglītības un zinātnes darbinieku arodbiedrība un arodbiedrība "Latvijas izglītības vadītāju asociācija" (turpmāk – Memorands), un izstrādāto  Informatīvo ziņojumu (turpmāk – Motivācijas programma) „„Vispārējās un profesionālās izglītības pedagogu motivācijas, atalgojuma un profesionālās darbības kvalitātes novērtēšanas sistēmas sasaistes programma”, tās izstrāde un ieviešana” (pieņemts zināšanai Ministru kabineta 2013.gada 28.maija sēdē).</w:t>
            </w:r>
          </w:p>
        </w:tc>
      </w:tr>
      <w:tr w:rsidR="005B2AE9" w:rsidRPr="00B22F46">
        <w:trPr>
          <w:trHeight w:val="706"/>
          <w:tblCellSpacing w:w="0" w:type="dxa"/>
        </w:trPr>
        <w:tc>
          <w:tcPr>
            <w:tcW w:w="550" w:type="dxa"/>
            <w:vAlign w:val="center"/>
          </w:tcPr>
          <w:p w:rsidR="005B2AE9" w:rsidRPr="00B22F46" w:rsidRDefault="005B2AE9" w:rsidP="004A6518">
            <w:pPr>
              <w:pStyle w:val="naiskr"/>
              <w:spacing w:before="0" w:after="0"/>
              <w:jc w:val="center"/>
              <w:rPr>
                <w:sz w:val="26"/>
                <w:szCs w:val="26"/>
              </w:rPr>
            </w:pPr>
            <w:r w:rsidRPr="00B22F46">
              <w:rPr>
                <w:sz w:val="26"/>
                <w:szCs w:val="26"/>
              </w:rPr>
              <w:t>2.</w:t>
            </w:r>
          </w:p>
        </w:tc>
        <w:tc>
          <w:tcPr>
            <w:tcW w:w="1927" w:type="dxa"/>
            <w:vAlign w:val="center"/>
          </w:tcPr>
          <w:p w:rsidR="005B2AE9" w:rsidRPr="00B22F46" w:rsidRDefault="005B2AE9" w:rsidP="00C359A0">
            <w:pPr>
              <w:pStyle w:val="naiskr"/>
              <w:tabs>
                <w:tab w:val="left" w:pos="170"/>
              </w:tabs>
              <w:spacing w:before="0" w:after="0"/>
              <w:rPr>
                <w:sz w:val="26"/>
                <w:szCs w:val="26"/>
              </w:rPr>
            </w:pPr>
            <w:r w:rsidRPr="00B22F46">
              <w:rPr>
                <w:sz w:val="26"/>
                <w:szCs w:val="26"/>
              </w:rPr>
              <w:t>Pašreizējā situācija un problēmas</w:t>
            </w:r>
          </w:p>
        </w:tc>
        <w:tc>
          <w:tcPr>
            <w:tcW w:w="6804" w:type="dxa"/>
            <w:vAlign w:val="center"/>
          </w:tcPr>
          <w:p w:rsidR="00EC20B1" w:rsidRPr="00D029E0" w:rsidRDefault="00A70D15" w:rsidP="00EC20B1">
            <w:pPr>
              <w:autoSpaceDE w:val="0"/>
              <w:autoSpaceDN w:val="0"/>
              <w:adjustRightInd w:val="0"/>
              <w:spacing w:before="0" w:after="0"/>
              <w:jc w:val="both"/>
              <w:rPr>
                <w:sz w:val="26"/>
                <w:szCs w:val="26"/>
              </w:rPr>
            </w:pPr>
            <w:r w:rsidRPr="00D029E0">
              <w:rPr>
                <w:sz w:val="26"/>
                <w:szCs w:val="26"/>
              </w:rPr>
              <w:t>1.</w:t>
            </w:r>
            <w:r w:rsidR="00B21A54" w:rsidRPr="00D029E0">
              <w:rPr>
                <w:sz w:val="26"/>
                <w:szCs w:val="26"/>
              </w:rPr>
              <w:t xml:space="preserve"> </w:t>
            </w:r>
            <w:r w:rsidR="005B2AE9" w:rsidRPr="00D029E0">
              <w:rPr>
                <w:sz w:val="26"/>
                <w:szCs w:val="26"/>
              </w:rPr>
              <w:t xml:space="preserve">Ministru kabineta 2009.gada 22.decembra noteikumi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spēkā esošie noteikumi) </w:t>
            </w:r>
            <w:r w:rsidR="00852D8C" w:rsidRPr="00D029E0">
              <w:rPr>
                <w:sz w:val="26"/>
                <w:szCs w:val="26"/>
              </w:rPr>
              <w:t>nosaka</w:t>
            </w:r>
            <w:r w:rsidR="00723A54" w:rsidRPr="00D029E0">
              <w:rPr>
                <w:sz w:val="26"/>
                <w:szCs w:val="26"/>
              </w:rPr>
              <w:t xml:space="preserve"> programmu koeficientus</w:t>
            </w:r>
            <w:r w:rsidR="00EC41DD" w:rsidRPr="00D029E0">
              <w:rPr>
                <w:sz w:val="26"/>
                <w:szCs w:val="26"/>
              </w:rPr>
              <w:t xml:space="preserve"> </w:t>
            </w:r>
            <w:r w:rsidR="00723A54" w:rsidRPr="00D029E0">
              <w:rPr>
                <w:sz w:val="26"/>
                <w:szCs w:val="26"/>
              </w:rPr>
              <w:t xml:space="preserve">valsts budžeta mērķdotācijas aprēķināšanai. Taču skolās, kurās skolēnu skaits ir 100 (un mazāks) ar esošo koeficientu netiek nodrošināta pamatizglītības programmu īstenošana. Tādēļ nepieciešams </w:t>
            </w:r>
            <w:r w:rsidR="00841B79" w:rsidRPr="00D029E0">
              <w:rPr>
                <w:sz w:val="26"/>
                <w:szCs w:val="26"/>
              </w:rPr>
              <w:t xml:space="preserve">mainīt </w:t>
            </w:r>
            <w:r w:rsidRPr="00D029E0">
              <w:rPr>
                <w:sz w:val="26"/>
                <w:szCs w:val="26"/>
              </w:rPr>
              <w:t>minēto  koeficientu</w:t>
            </w:r>
            <w:r w:rsidR="00723A54" w:rsidRPr="00D029E0">
              <w:rPr>
                <w:sz w:val="26"/>
                <w:szCs w:val="26"/>
              </w:rPr>
              <w:t>.</w:t>
            </w:r>
            <w:r w:rsidR="00D26F4F" w:rsidRPr="00D029E0">
              <w:rPr>
                <w:sz w:val="26"/>
                <w:szCs w:val="26"/>
              </w:rPr>
              <w:t xml:space="preserve"> Papildus precizējams tiesiskais regulējums par to, ka nepieciešamības gadījumā, valsts var </w:t>
            </w:r>
            <w:r w:rsidR="00D34271" w:rsidRPr="00D029E0">
              <w:rPr>
                <w:sz w:val="26"/>
                <w:szCs w:val="26"/>
              </w:rPr>
              <w:t xml:space="preserve">  atbalstīt mazo skolu pastāvēšanu</w:t>
            </w:r>
            <w:r w:rsidR="00D26F4F" w:rsidRPr="00D029E0">
              <w:rPr>
                <w:sz w:val="26"/>
                <w:szCs w:val="26"/>
              </w:rPr>
              <w:t>, paaugstinot finansējuma aprēķināšanas koeficientu.</w:t>
            </w:r>
          </w:p>
          <w:p w:rsidR="00723A54" w:rsidRDefault="00A70D15" w:rsidP="00EC20B1">
            <w:pPr>
              <w:autoSpaceDE w:val="0"/>
              <w:autoSpaceDN w:val="0"/>
              <w:adjustRightInd w:val="0"/>
              <w:spacing w:before="0" w:after="0"/>
              <w:jc w:val="both"/>
              <w:rPr>
                <w:sz w:val="26"/>
                <w:szCs w:val="26"/>
              </w:rPr>
            </w:pPr>
            <w:r w:rsidRPr="00D029E0">
              <w:rPr>
                <w:sz w:val="26"/>
                <w:szCs w:val="26"/>
              </w:rPr>
              <w:lastRenderedPageBreak/>
              <w:t>2.</w:t>
            </w:r>
            <w:r w:rsidR="00B21A54" w:rsidRPr="00D029E0">
              <w:rPr>
                <w:sz w:val="26"/>
                <w:szCs w:val="26"/>
              </w:rPr>
              <w:t xml:space="preserve"> </w:t>
            </w:r>
            <w:r w:rsidR="00723A54" w:rsidRPr="00D029E0">
              <w:rPr>
                <w:sz w:val="26"/>
                <w:szCs w:val="26"/>
              </w:rPr>
              <w:t>Izvērtējot programmu koeficientus, ministrija ir secinājusi, ka daž</w:t>
            </w:r>
            <w:r w:rsidRPr="00D029E0">
              <w:rPr>
                <w:sz w:val="26"/>
                <w:szCs w:val="26"/>
              </w:rPr>
              <w:t>a</w:t>
            </w:r>
            <w:r w:rsidR="00723A54" w:rsidRPr="00D029E0">
              <w:rPr>
                <w:sz w:val="26"/>
                <w:szCs w:val="26"/>
              </w:rPr>
              <w:t>s programmas var īstenot ar mazāku finansējumu</w:t>
            </w:r>
            <w:r w:rsidR="00110F08" w:rsidRPr="00D029E0">
              <w:rPr>
                <w:sz w:val="26"/>
                <w:szCs w:val="26"/>
              </w:rPr>
              <w:t>,</w:t>
            </w:r>
            <w:r w:rsidR="00723A54" w:rsidRPr="00D029E0">
              <w:rPr>
                <w:sz w:val="26"/>
                <w:szCs w:val="26"/>
              </w:rPr>
              <w:t xml:space="preserve"> nekā noteikts līdz šim, savukārt citās – nepieciešams papildu atbalsts, sevišķi iekļaujošajā izglītībā.</w:t>
            </w:r>
            <w:r w:rsidR="00BD792F" w:rsidRPr="00D029E0">
              <w:rPr>
                <w:sz w:val="26"/>
                <w:szCs w:val="26"/>
              </w:rPr>
              <w:t xml:space="preserve"> Tādēļ šie koeficienti precizējami.</w:t>
            </w:r>
          </w:p>
          <w:p w:rsidR="00B605DF" w:rsidRPr="00B605DF" w:rsidRDefault="00B605DF" w:rsidP="00B605DF">
            <w:pPr>
              <w:ind w:firstLine="720"/>
              <w:jc w:val="both"/>
              <w:rPr>
                <w:sz w:val="26"/>
                <w:szCs w:val="26"/>
              </w:rPr>
            </w:pPr>
            <w:r w:rsidRPr="00B605DF">
              <w:rPr>
                <w:sz w:val="26"/>
                <w:szCs w:val="26"/>
              </w:rPr>
              <w:t xml:space="preserve">Koeficientu precizēšana var mainīt pedagogu darba samaksa apjomu, taču saskaņā ar </w:t>
            </w:r>
            <w:r w:rsidRPr="00B605DF">
              <w:rPr>
                <w:rStyle w:val="Strong"/>
                <w:b w:val="0"/>
                <w:sz w:val="26"/>
                <w:szCs w:val="26"/>
              </w:rPr>
              <w:t>Ministru kabineta</w:t>
            </w:r>
            <w:r w:rsidRPr="00B605DF">
              <w:rPr>
                <w:rStyle w:val="Strong"/>
                <w:sz w:val="26"/>
                <w:szCs w:val="26"/>
              </w:rPr>
              <w:t xml:space="preserve"> </w:t>
            </w:r>
            <w:r w:rsidRPr="00B605DF">
              <w:rPr>
                <w:sz w:val="26"/>
                <w:szCs w:val="26"/>
              </w:rPr>
              <w:t>2009.gada 28.jūlija noteikumu Nr.836 „Pedagogu darba samaksas noteikumi</w:t>
            </w:r>
            <w:r w:rsidRPr="00B605DF">
              <w:rPr>
                <w:bCs/>
                <w:sz w:val="26"/>
                <w:szCs w:val="26"/>
              </w:rPr>
              <w:t xml:space="preserve">” 8.punktu pedagogu darba samaksu </w:t>
            </w:r>
            <w:r w:rsidRPr="00B605DF">
              <w:rPr>
                <w:sz w:val="26"/>
                <w:szCs w:val="26"/>
              </w:rPr>
              <w:t>katru gadu nosaka izglītības iestādes vadītājs pēc stāvokļa uz 1.septembri. Tādējādi nav iespējama pedagogu savlaicīga brīdināšana, jo pedagog</w:t>
            </w:r>
            <w:r>
              <w:rPr>
                <w:sz w:val="26"/>
                <w:szCs w:val="26"/>
              </w:rPr>
              <w:t>u</w:t>
            </w:r>
            <w:r w:rsidRPr="00B605DF">
              <w:rPr>
                <w:sz w:val="26"/>
                <w:szCs w:val="26"/>
              </w:rPr>
              <w:t xml:space="preserve"> darba samaksu ietekmē skolēnu skaits, klašu komplektācija u.c. faktori.</w:t>
            </w:r>
          </w:p>
          <w:p w:rsidR="00B605DF" w:rsidRPr="00B605DF" w:rsidRDefault="00B605DF" w:rsidP="00B605DF">
            <w:pPr>
              <w:ind w:firstLine="720"/>
              <w:jc w:val="both"/>
              <w:rPr>
                <w:sz w:val="26"/>
                <w:szCs w:val="26"/>
              </w:rPr>
            </w:pPr>
            <w:r w:rsidRPr="00B605DF">
              <w:rPr>
                <w:sz w:val="26"/>
                <w:szCs w:val="26"/>
              </w:rPr>
              <w:t>1.3.-1.5.apakšpunktā iekļautie koeficientu samazinājumi veikti tādēļ, ka attiecīgās programmas var īstenot ar mazāku finansējumu, ja skolas ievēro skolēnu slodzi, šo finansējumu lieto tikai attiecīgā priekšmeta pedagogu darba samaksai, nevis visas skolas pedagogu darba samaksas paaugstināšanai vai arī mazas skolas saglabāšanai.</w:t>
            </w:r>
          </w:p>
          <w:p w:rsidR="00B605DF" w:rsidRPr="00B605DF" w:rsidRDefault="00B605DF" w:rsidP="00B605DF">
            <w:pPr>
              <w:jc w:val="both"/>
              <w:rPr>
                <w:sz w:val="26"/>
                <w:szCs w:val="26"/>
              </w:rPr>
            </w:pPr>
            <w:r w:rsidRPr="00B605DF">
              <w:rPr>
                <w:sz w:val="26"/>
                <w:szCs w:val="26"/>
              </w:rPr>
              <w:t>Paskaidrojam, ka IZM nevar anotācijā norādīt personu skaitu, kuras skars iepriekš minētās izmaiņas, jo nav zināms skolēnu skaits šā gada 1.septembrī, ne arī apmaksājamo stundu skaits, kas tiks samazināts.</w:t>
            </w:r>
          </w:p>
          <w:p w:rsidR="00B605DF" w:rsidRPr="00B605DF" w:rsidRDefault="00B605DF" w:rsidP="00B605DF">
            <w:pPr>
              <w:jc w:val="both"/>
              <w:rPr>
                <w:sz w:val="26"/>
                <w:szCs w:val="26"/>
              </w:rPr>
            </w:pPr>
            <w:r w:rsidRPr="00B605DF">
              <w:rPr>
                <w:sz w:val="26"/>
                <w:szCs w:val="26"/>
              </w:rPr>
              <w:t>Papildus norādām, ka daudzām mazajām skolām koeficientu samazinājumu kompensēs sākumskolas izglītības pakāpes koeficienta palielinājums no 0,75 uz 1, kā arī papildu finansējums, ko tās iegūs no speciālās izglītības programmu koeficienta palielinājuma no 1,6 uz 1,85.Piemēram Saldus novadā nāks klāt vairāk kā desmit mēneša darba algas likmju.</w:t>
            </w:r>
          </w:p>
          <w:p w:rsidR="00B605DF" w:rsidRPr="00B605DF" w:rsidRDefault="00B605DF" w:rsidP="00B605DF">
            <w:pPr>
              <w:autoSpaceDE w:val="0"/>
              <w:autoSpaceDN w:val="0"/>
              <w:adjustRightInd w:val="0"/>
              <w:spacing w:before="0" w:after="0"/>
              <w:jc w:val="both"/>
              <w:rPr>
                <w:sz w:val="26"/>
                <w:szCs w:val="26"/>
              </w:rPr>
            </w:pPr>
            <w:r w:rsidRPr="00B605DF">
              <w:rPr>
                <w:sz w:val="26"/>
                <w:szCs w:val="26"/>
              </w:rPr>
              <w:t>Savukārt vakarskolās koeficients samazināts no 0,82 uz 0,8 sakarā ar to, ka mācību gada laikā skolēnu skaits mēdz ievērojami samazināties, samazinoties pedagogu darba apjomam</w:t>
            </w:r>
          </w:p>
          <w:p w:rsidR="00723A54" w:rsidRPr="00D029E0" w:rsidRDefault="00110F08" w:rsidP="00EC20B1">
            <w:pPr>
              <w:autoSpaceDE w:val="0"/>
              <w:autoSpaceDN w:val="0"/>
              <w:adjustRightInd w:val="0"/>
              <w:spacing w:before="0" w:after="0"/>
              <w:jc w:val="both"/>
              <w:rPr>
                <w:sz w:val="26"/>
                <w:szCs w:val="26"/>
              </w:rPr>
            </w:pPr>
            <w:r w:rsidRPr="00D029E0">
              <w:rPr>
                <w:sz w:val="26"/>
                <w:szCs w:val="26"/>
              </w:rPr>
              <w:t>3.</w:t>
            </w:r>
            <w:r w:rsidR="00B21A54" w:rsidRPr="00D029E0">
              <w:rPr>
                <w:sz w:val="26"/>
                <w:szCs w:val="26"/>
              </w:rPr>
              <w:t xml:space="preserve"> </w:t>
            </w:r>
            <w:r w:rsidR="00723A54" w:rsidRPr="00D029E0">
              <w:rPr>
                <w:sz w:val="26"/>
                <w:szCs w:val="26"/>
              </w:rPr>
              <w:t xml:space="preserve">Lai novērstu nepamatotu finansējuma  pieprasīšanu pamatizglītības </w:t>
            </w:r>
            <w:r w:rsidR="00A70D15" w:rsidRPr="00D029E0">
              <w:rPr>
                <w:sz w:val="26"/>
                <w:szCs w:val="26"/>
              </w:rPr>
              <w:t>profesionāli orientēta</w:t>
            </w:r>
            <w:r w:rsidR="00723A54" w:rsidRPr="00D029E0">
              <w:rPr>
                <w:sz w:val="26"/>
                <w:szCs w:val="26"/>
              </w:rPr>
              <w:t xml:space="preserve"> virzien</w:t>
            </w:r>
            <w:r w:rsidR="00A70D15" w:rsidRPr="00D029E0">
              <w:rPr>
                <w:sz w:val="26"/>
                <w:szCs w:val="26"/>
              </w:rPr>
              <w:t>a</w:t>
            </w:r>
            <w:r w:rsidR="00723A54" w:rsidRPr="00D029E0">
              <w:rPr>
                <w:sz w:val="26"/>
                <w:szCs w:val="26"/>
              </w:rPr>
              <w:t xml:space="preserve"> programmās ar padziļinātu mācību priekšmetu mācīšanu, nepieciešams papildināt šo programmu vērtēšan</w:t>
            </w:r>
            <w:r w:rsidR="00806E10" w:rsidRPr="00D029E0">
              <w:rPr>
                <w:sz w:val="26"/>
                <w:szCs w:val="26"/>
              </w:rPr>
              <w:t>as kritērijus.</w:t>
            </w:r>
          </w:p>
          <w:p w:rsidR="00806E10" w:rsidRPr="00D029E0" w:rsidRDefault="00110F08" w:rsidP="00EC20B1">
            <w:pPr>
              <w:autoSpaceDE w:val="0"/>
              <w:autoSpaceDN w:val="0"/>
              <w:adjustRightInd w:val="0"/>
              <w:spacing w:before="0" w:after="0"/>
              <w:jc w:val="both"/>
              <w:rPr>
                <w:sz w:val="26"/>
                <w:szCs w:val="26"/>
              </w:rPr>
            </w:pPr>
            <w:r w:rsidRPr="00D029E0">
              <w:rPr>
                <w:sz w:val="26"/>
                <w:szCs w:val="26"/>
              </w:rPr>
              <w:t>4.</w:t>
            </w:r>
            <w:r w:rsidR="00B21A54" w:rsidRPr="00D029E0">
              <w:rPr>
                <w:sz w:val="26"/>
                <w:szCs w:val="26"/>
              </w:rPr>
              <w:t xml:space="preserve"> </w:t>
            </w:r>
            <w:r w:rsidR="00806E10" w:rsidRPr="00D029E0">
              <w:rPr>
                <w:sz w:val="26"/>
                <w:szCs w:val="26"/>
              </w:rPr>
              <w:t xml:space="preserve">Spēkā esošie noteikumi papildināmi ar tiesisko regulējumu valsts budžeta mērķdotācijas aprēķināšanai pedagogiem, kas ieguvuši pedagoga profesionālās darbības kvalitātes pakāpes pedagogu darba samaksas noteikumos paredzēto </w:t>
            </w:r>
            <w:r w:rsidRPr="00D029E0">
              <w:rPr>
                <w:sz w:val="26"/>
                <w:szCs w:val="26"/>
              </w:rPr>
              <w:t xml:space="preserve"> pedagoga profesionālās darbības kvalitātes </w:t>
            </w:r>
            <w:r w:rsidR="00806E10" w:rsidRPr="00D029E0">
              <w:rPr>
                <w:sz w:val="26"/>
                <w:szCs w:val="26"/>
              </w:rPr>
              <w:t>piemaksu noteikšanai, piemērojot koeficientu.</w:t>
            </w:r>
          </w:p>
          <w:p w:rsidR="00CF42C4" w:rsidRPr="00D029E0" w:rsidRDefault="00B605DF" w:rsidP="00B605DF">
            <w:pPr>
              <w:autoSpaceDE w:val="0"/>
              <w:autoSpaceDN w:val="0"/>
              <w:adjustRightInd w:val="0"/>
              <w:spacing w:before="0" w:after="0"/>
              <w:jc w:val="both"/>
              <w:rPr>
                <w:sz w:val="26"/>
                <w:szCs w:val="26"/>
              </w:rPr>
            </w:pPr>
            <w:r>
              <w:rPr>
                <w:sz w:val="26"/>
                <w:szCs w:val="26"/>
              </w:rPr>
              <w:t>5</w:t>
            </w:r>
            <w:r w:rsidR="00237ECE" w:rsidRPr="00D029E0">
              <w:rPr>
                <w:sz w:val="26"/>
                <w:szCs w:val="26"/>
              </w:rPr>
              <w:t>.</w:t>
            </w:r>
            <w:r w:rsidR="00806E10" w:rsidRPr="00D029E0">
              <w:rPr>
                <w:sz w:val="26"/>
                <w:szCs w:val="26"/>
              </w:rPr>
              <w:t xml:space="preserve">Lai </w:t>
            </w:r>
            <w:r w:rsidR="00237ECE" w:rsidRPr="00D029E0">
              <w:rPr>
                <w:sz w:val="26"/>
                <w:szCs w:val="26"/>
              </w:rPr>
              <w:t>pārtrauktu</w:t>
            </w:r>
            <w:r w:rsidR="00806E10" w:rsidRPr="00D029E0">
              <w:rPr>
                <w:sz w:val="26"/>
                <w:szCs w:val="26"/>
              </w:rPr>
              <w:t xml:space="preserve"> </w:t>
            </w:r>
            <w:r w:rsidR="00237ECE" w:rsidRPr="00D029E0">
              <w:rPr>
                <w:sz w:val="26"/>
                <w:szCs w:val="26"/>
              </w:rPr>
              <w:t xml:space="preserve">normatīvajos aktos noteiktās  pedagogu un </w:t>
            </w:r>
            <w:r w:rsidR="00237ECE" w:rsidRPr="00D029E0">
              <w:rPr>
                <w:sz w:val="26"/>
                <w:szCs w:val="26"/>
              </w:rPr>
              <w:lastRenderedPageBreak/>
              <w:t xml:space="preserve">skolēnu attiecības palielināšanos pašvaldību izglītības iestādēs, kā arī </w:t>
            </w:r>
            <w:r w:rsidR="00806E10" w:rsidRPr="00D029E0">
              <w:rPr>
                <w:sz w:val="26"/>
                <w:szCs w:val="26"/>
              </w:rPr>
              <w:t>taisnīgu valsts budžeta līdzekļu sadali un novērstu pārāk lielu pedagogu darba samaksas diferenciāciju starp novadiem un republikas pilsētām, nosakāma lielāka pedagogu un skol</w:t>
            </w:r>
            <w:r w:rsidR="0009195B" w:rsidRPr="00D029E0">
              <w:rPr>
                <w:sz w:val="26"/>
                <w:szCs w:val="26"/>
              </w:rPr>
              <w:t>ē</w:t>
            </w:r>
            <w:r w:rsidR="00806E10" w:rsidRPr="00D029E0">
              <w:rPr>
                <w:sz w:val="26"/>
                <w:szCs w:val="26"/>
              </w:rPr>
              <w:t xml:space="preserve">nu attiecība </w:t>
            </w:r>
            <w:r w:rsidR="00BD792F" w:rsidRPr="00D029E0">
              <w:rPr>
                <w:sz w:val="26"/>
                <w:szCs w:val="26"/>
              </w:rPr>
              <w:t xml:space="preserve">gan </w:t>
            </w:r>
            <w:r w:rsidR="00806E10" w:rsidRPr="00D029E0">
              <w:rPr>
                <w:sz w:val="26"/>
                <w:szCs w:val="26"/>
              </w:rPr>
              <w:t>republikas pilsētās</w:t>
            </w:r>
            <w:r w:rsidR="00BD792F" w:rsidRPr="00D029E0">
              <w:rPr>
                <w:sz w:val="26"/>
                <w:szCs w:val="26"/>
              </w:rPr>
              <w:t>, gan arī novados, kur izglītības iestāžu tīkla sakārtošana vēl turpināma.</w:t>
            </w:r>
          </w:p>
          <w:p w:rsidR="00CF42C4" w:rsidRPr="00D029E0" w:rsidRDefault="00B605DF" w:rsidP="00CF42C4">
            <w:pPr>
              <w:autoSpaceDE w:val="0"/>
              <w:autoSpaceDN w:val="0"/>
              <w:adjustRightInd w:val="0"/>
              <w:spacing w:before="0" w:after="0"/>
              <w:jc w:val="both"/>
              <w:rPr>
                <w:sz w:val="26"/>
                <w:szCs w:val="26"/>
              </w:rPr>
            </w:pPr>
            <w:r>
              <w:rPr>
                <w:sz w:val="26"/>
                <w:szCs w:val="26"/>
              </w:rPr>
              <w:t>6</w:t>
            </w:r>
            <w:r w:rsidR="00237ECE" w:rsidRPr="00D029E0">
              <w:rPr>
                <w:sz w:val="26"/>
                <w:szCs w:val="26"/>
              </w:rPr>
              <w:t>.</w:t>
            </w:r>
            <w:r w:rsidR="00CF42C4" w:rsidRPr="00D029E0">
              <w:rPr>
                <w:sz w:val="26"/>
                <w:szCs w:val="26"/>
              </w:rPr>
              <w:t>Lai padarītu mērķdotācijas sadali vieglāk pārraugāmu, paredzama  pašvaldību atskaitīšanās par normatīvā regulējuma, kas nosaka  pedagogu un skolēnu (bērnu) attiecību, ievērošanu.</w:t>
            </w:r>
          </w:p>
          <w:p w:rsidR="00B75E12" w:rsidRDefault="00B605DF" w:rsidP="00D029E0">
            <w:pPr>
              <w:spacing w:after="0"/>
              <w:jc w:val="both"/>
              <w:rPr>
                <w:sz w:val="26"/>
                <w:szCs w:val="26"/>
              </w:rPr>
            </w:pPr>
            <w:r>
              <w:rPr>
                <w:sz w:val="26"/>
                <w:szCs w:val="26"/>
              </w:rPr>
              <w:t>7</w:t>
            </w:r>
            <w:r w:rsidR="00D34271" w:rsidRPr="00D029E0">
              <w:rPr>
                <w:sz w:val="26"/>
                <w:szCs w:val="26"/>
              </w:rPr>
              <w:t>.</w:t>
            </w:r>
            <w:r w:rsidR="00D029E0" w:rsidRPr="00D029E0">
              <w:rPr>
                <w:sz w:val="26"/>
                <w:szCs w:val="26"/>
              </w:rPr>
              <w:t xml:space="preserve"> Ņemot vērā to, ka izglītojamo skaits 2013.gada 27.maij</w:t>
            </w:r>
            <w:r w:rsidR="00D029E0">
              <w:rPr>
                <w:sz w:val="26"/>
                <w:szCs w:val="26"/>
              </w:rPr>
              <w:t>ā</w:t>
            </w:r>
            <w:r w:rsidR="00D029E0" w:rsidRPr="00D029E0">
              <w:rPr>
                <w:sz w:val="26"/>
                <w:szCs w:val="26"/>
              </w:rPr>
              <w:t xml:space="preserve"> VIIS tika ievadīts pirmo reizi, </w:t>
            </w:r>
            <w:r w:rsidR="00D029E0">
              <w:rPr>
                <w:sz w:val="26"/>
                <w:szCs w:val="26"/>
              </w:rPr>
              <w:t>ministrija</w:t>
            </w:r>
            <w:r w:rsidR="00D029E0" w:rsidRPr="00D029E0">
              <w:rPr>
                <w:sz w:val="26"/>
                <w:szCs w:val="26"/>
              </w:rPr>
              <w:t xml:space="preserve"> uzskata, ka jauno normu varēs piemērot tikai tad, kad tiks veikta 27.maija datu un 1.septembra datu faktiskā salīdzināšana un analīze. Tāpēc </w:t>
            </w:r>
            <w:r w:rsidR="00D029E0">
              <w:rPr>
                <w:sz w:val="26"/>
                <w:szCs w:val="26"/>
              </w:rPr>
              <w:t xml:space="preserve">jā precizē </w:t>
            </w:r>
            <w:r w:rsidR="00D029E0" w:rsidRPr="00D029E0">
              <w:rPr>
                <w:sz w:val="26"/>
                <w:szCs w:val="26"/>
              </w:rPr>
              <w:t>8.</w:t>
            </w:r>
            <w:r w:rsidR="00D029E0" w:rsidRPr="00D029E0">
              <w:rPr>
                <w:sz w:val="26"/>
                <w:szCs w:val="26"/>
                <w:vertAlign w:val="superscript"/>
              </w:rPr>
              <w:t>1</w:t>
            </w:r>
            <w:r w:rsidR="00D029E0" w:rsidRPr="00D029E0">
              <w:rPr>
                <w:sz w:val="26"/>
                <w:szCs w:val="26"/>
              </w:rPr>
              <w:t xml:space="preserve"> punktā ietverta norma</w:t>
            </w:r>
            <w:r w:rsidR="00D029E0">
              <w:rPr>
                <w:sz w:val="26"/>
                <w:szCs w:val="26"/>
              </w:rPr>
              <w:t>, kas</w:t>
            </w:r>
            <w:r w:rsidR="00D029E0" w:rsidRPr="00D029E0">
              <w:rPr>
                <w:sz w:val="26"/>
                <w:szCs w:val="26"/>
              </w:rPr>
              <w:t xml:space="preserve"> stāsies spēkā 2014.gada 1.septembr</w:t>
            </w:r>
            <w:r w:rsidR="00D029E0">
              <w:rPr>
                <w:sz w:val="26"/>
                <w:szCs w:val="26"/>
              </w:rPr>
              <w:t>ī</w:t>
            </w:r>
            <w:r w:rsidR="00B75E12">
              <w:rPr>
                <w:sz w:val="26"/>
                <w:szCs w:val="26"/>
              </w:rPr>
              <w:t>.</w:t>
            </w:r>
          </w:p>
          <w:p w:rsidR="0063778B" w:rsidRPr="00D029E0" w:rsidRDefault="00B605DF" w:rsidP="005C09FA">
            <w:pPr>
              <w:autoSpaceDE w:val="0"/>
              <w:autoSpaceDN w:val="0"/>
              <w:adjustRightInd w:val="0"/>
              <w:spacing w:before="0" w:after="0"/>
              <w:jc w:val="both"/>
              <w:rPr>
                <w:b/>
                <w:sz w:val="26"/>
                <w:szCs w:val="26"/>
              </w:rPr>
            </w:pPr>
            <w:r>
              <w:rPr>
                <w:rFonts w:eastAsia="Calibri"/>
                <w:sz w:val="26"/>
                <w:szCs w:val="26"/>
              </w:rPr>
              <w:t>8</w:t>
            </w:r>
            <w:r w:rsidR="00B21A54" w:rsidRPr="00D029E0">
              <w:rPr>
                <w:rFonts w:eastAsia="Calibri"/>
                <w:sz w:val="26"/>
                <w:szCs w:val="26"/>
              </w:rPr>
              <w:t xml:space="preserve">. </w:t>
            </w:r>
            <w:r w:rsidR="002F6623" w:rsidRPr="00D029E0">
              <w:rPr>
                <w:rFonts w:eastAsia="Calibri"/>
                <w:sz w:val="26"/>
                <w:szCs w:val="26"/>
              </w:rPr>
              <w:t>N</w:t>
            </w:r>
            <w:r w:rsidR="0063778B" w:rsidRPr="00D029E0">
              <w:rPr>
                <w:rFonts w:eastAsia="Calibri"/>
                <w:sz w:val="26"/>
                <w:szCs w:val="26"/>
              </w:rPr>
              <w:t xml:space="preserve">epieciešams precizēt spēkā esošo noteikumu pielikumu </w:t>
            </w:r>
            <w:r w:rsidR="005C09FA" w:rsidRPr="00D029E0">
              <w:rPr>
                <w:rFonts w:eastAsia="Calibri"/>
                <w:sz w:val="26"/>
                <w:szCs w:val="26"/>
              </w:rPr>
              <w:t>„</w:t>
            </w:r>
            <w:r w:rsidR="005C09FA" w:rsidRPr="00D029E0">
              <w:rPr>
                <w:bCs/>
                <w:i/>
                <w:sz w:val="26"/>
                <w:szCs w:val="26"/>
              </w:rPr>
              <w:t xml:space="preserve">Pārskats par </w:t>
            </w:r>
            <w:r w:rsidR="005C09FA" w:rsidRPr="00D029E0">
              <w:rPr>
                <w:i/>
                <w:sz w:val="26"/>
                <w:szCs w:val="26"/>
              </w:rPr>
              <w:t xml:space="preserve"> mērķdotācijas novadu un republikas pilsētu pašvaldībām pedagogu darba samaksai un valsts sociālās apdrošināšanas obligātajām iemaksām izlietojumu 20___.gadā”</w:t>
            </w:r>
            <w:r w:rsidR="00B21A54" w:rsidRPr="00D029E0">
              <w:rPr>
                <w:sz w:val="26"/>
                <w:szCs w:val="26"/>
              </w:rPr>
              <w:t>,</w:t>
            </w:r>
            <w:r w:rsidR="005C09FA" w:rsidRPr="00D029E0">
              <w:rPr>
                <w:i/>
                <w:sz w:val="26"/>
                <w:szCs w:val="26"/>
              </w:rPr>
              <w:t xml:space="preserve"> </w:t>
            </w:r>
            <w:r w:rsidR="005C09FA" w:rsidRPr="00D029E0">
              <w:rPr>
                <w:sz w:val="26"/>
                <w:szCs w:val="26"/>
              </w:rPr>
              <w:t xml:space="preserve"> </w:t>
            </w:r>
            <w:r w:rsidR="00EC20B1" w:rsidRPr="00D029E0">
              <w:rPr>
                <w:sz w:val="26"/>
                <w:szCs w:val="26"/>
              </w:rPr>
              <w:t>svītrojot tajā valūtas nosaukumu „latos”,</w:t>
            </w:r>
            <w:r w:rsidR="005C09FA" w:rsidRPr="00D029E0">
              <w:rPr>
                <w:sz w:val="26"/>
                <w:szCs w:val="26"/>
              </w:rPr>
              <w:t xml:space="preserve"> lai pielikums būtu spēkā arī pēc </w:t>
            </w:r>
            <w:proofErr w:type="spellStart"/>
            <w:r w:rsidR="005C09FA" w:rsidRPr="00D029E0">
              <w:rPr>
                <w:sz w:val="26"/>
                <w:szCs w:val="26"/>
              </w:rPr>
              <w:t>euro</w:t>
            </w:r>
            <w:proofErr w:type="spellEnd"/>
            <w:r w:rsidR="005C09FA" w:rsidRPr="00D029E0">
              <w:rPr>
                <w:sz w:val="26"/>
                <w:szCs w:val="26"/>
              </w:rPr>
              <w:t xml:space="preserve"> ieviešanas 2014.gada 1.janvārī,</w:t>
            </w:r>
            <w:r w:rsidR="00EC20B1" w:rsidRPr="00D029E0">
              <w:rPr>
                <w:sz w:val="26"/>
                <w:szCs w:val="26"/>
              </w:rPr>
              <w:t xml:space="preserve"> kā arī papildinot </w:t>
            </w:r>
            <w:r w:rsidR="002F6623" w:rsidRPr="00D029E0">
              <w:rPr>
                <w:sz w:val="26"/>
                <w:szCs w:val="26"/>
              </w:rPr>
              <w:t xml:space="preserve">pārskatu ar aili, kurā norādīti pašvaldības transferti citai pašvaldībai atbilstoši spēkā esošo noteikumu 17.punktam. </w:t>
            </w:r>
          </w:p>
        </w:tc>
      </w:tr>
      <w:tr w:rsidR="005B2AE9" w:rsidRPr="00B22F46">
        <w:trPr>
          <w:trHeight w:val="1071"/>
          <w:tblCellSpacing w:w="0" w:type="dxa"/>
        </w:trPr>
        <w:tc>
          <w:tcPr>
            <w:tcW w:w="550" w:type="dxa"/>
            <w:vAlign w:val="center"/>
          </w:tcPr>
          <w:p w:rsidR="005B2AE9" w:rsidRPr="00B22F46" w:rsidRDefault="005B2AE9" w:rsidP="00C359A0">
            <w:pPr>
              <w:pStyle w:val="naiskr"/>
              <w:spacing w:before="0" w:after="0"/>
              <w:jc w:val="center"/>
              <w:rPr>
                <w:sz w:val="26"/>
                <w:szCs w:val="26"/>
              </w:rPr>
            </w:pPr>
            <w:r w:rsidRPr="00B22F46">
              <w:rPr>
                <w:sz w:val="26"/>
                <w:szCs w:val="26"/>
              </w:rPr>
              <w:lastRenderedPageBreak/>
              <w:t>3.</w:t>
            </w:r>
          </w:p>
        </w:tc>
        <w:tc>
          <w:tcPr>
            <w:tcW w:w="1927" w:type="dxa"/>
            <w:vAlign w:val="center"/>
          </w:tcPr>
          <w:p w:rsidR="005B2AE9" w:rsidRPr="00B22F46" w:rsidRDefault="005B2AE9" w:rsidP="00C359A0">
            <w:pPr>
              <w:pStyle w:val="naiskr"/>
              <w:spacing w:before="0" w:after="0"/>
              <w:rPr>
                <w:sz w:val="26"/>
                <w:szCs w:val="26"/>
              </w:rPr>
            </w:pPr>
            <w:r w:rsidRPr="00B22F46">
              <w:rPr>
                <w:sz w:val="26"/>
                <w:szCs w:val="26"/>
              </w:rPr>
              <w:t>Saistītie politikas ietekmes novērtējumi un pētījumi</w:t>
            </w:r>
          </w:p>
        </w:tc>
        <w:tc>
          <w:tcPr>
            <w:tcW w:w="6804" w:type="dxa"/>
            <w:vAlign w:val="center"/>
          </w:tcPr>
          <w:p w:rsidR="005B2AE9" w:rsidRPr="00B22F46" w:rsidRDefault="005B2AE9" w:rsidP="00C359A0">
            <w:pPr>
              <w:pStyle w:val="naiskr"/>
              <w:spacing w:before="0" w:after="0"/>
              <w:jc w:val="both"/>
              <w:rPr>
                <w:sz w:val="26"/>
                <w:szCs w:val="26"/>
              </w:rPr>
            </w:pPr>
            <w:r w:rsidRPr="00B22F46">
              <w:rPr>
                <w:sz w:val="26"/>
                <w:szCs w:val="26"/>
              </w:rPr>
              <w:t>Projekts šo jomu neskar.</w:t>
            </w:r>
          </w:p>
        </w:tc>
      </w:tr>
      <w:tr w:rsidR="005B2AE9" w:rsidRPr="00B22F46" w:rsidTr="00BD792F">
        <w:trPr>
          <w:trHeight w:val="699"/>
          <w:tblCellSpacing w:w="0" w:type="dxa"/>
        </w:trPr>
        <w:tc>
          <w:tcPr>
            <w:tcW w:w="550" w:type="dxa"/>
            <w:vAlign w:val="center"/>
          </w:tcPr>
          <w:p w:rsidR="005B2AE9" w:rsidRPr="00B22F46" w:rsidRDefault="005B2AE9" w:rsidP="00C359A0">
            <w:pPr>
              <w:pStyle w:val="naiskr"/>
              <w:spacing w:before="0" w:after="0"/>
              <w:jc w:val="center"/>
              <w:rPr>
                <w:sz w:val="26"/>
                <w:szCs w:val="26"/>
              </w:rPr>
            </w:pPr>
            <w:r w:rsidRPr="00B22F46">
              <w:rPr>
                <w:sz w:val="26"/>
                <w:szCs w:val="26"/>
              </w:rPr>
              <w:t>4.</w:t>
            </w:r>
          </w:p>
        </w:tc>
        <w:tc>
          <w:tcPr>
            <w:tcW w:w="1927" w:type="dxa"/>
            <w:vAlign w:val="center"/>
          </w:tcPr>
          <w:p w:rsidR="005B2AE9" w:rsidRPr="00B22F46" w:rsidRDefault="005B2AE9" w:rsidP="00C359A0">
            <w:pPr>
              <w:pStyle w:val="naiskr"/>
              <w:spacing w:before="0" w:after="0"/>
              <w:rPr>
                <w:sz w:val="26"/>
                <w:szCs w:val="26"/>
              </w:rPr>
            </w:pPr>
            <w:r w:rsidRPr="00B22F46">
              <w:rPr>
                <w:sz w:val="26"/>
                <w:szCs w:val="26"/>
              </w:rPr>
              <w:t>Tiesiskā regulējuma mērķis un būtība</w:t>
            </w:r>
          </w:p>
        </w:tc>
        <w:tc>
          <w:tcPr>
            <w:tcW w:w="6804" w:type="dxa"/>
            <w:vAlign w:val="center"/>
          </w:tcPr>
          <w:p w:rsidR="0009195B" w:rsidRPr="00CE797B" w:rsidRDefault="004D21CD" w:rsidP="004D21CD">
            <w:pPr>
              <w:spacing w:before="0" w:after="0"/>
              <w:jc w:val="both"/>
              <w:rPr>
                <w:bCs/>
                <w:sz w:val="26"/>
                <w:szCs w:val="26"/>
              </w:rPr>
            </w:pPr>
            <w:r w:rsidRPr="00CE797B">
              <w:rPr>
                <w:sz w:val="26"/>
                <w:szCs w:val="26"/>
              </w:rPr>
              <w:t>P</w:t>
            </w:r>
            <w:r w:rsidR="005B2AE9" w:rsidRPr="00CE797B">
              <w:rPr>
                <w:sz w:val="26"/>
                <w:szCs w:val="26"/>
              </w:rPr>
              <w:t xml:space="preserve">rojekts </w:t>
            </w:r>
            <w:r w:rsidR="00AE183F" w:rsidRPr="00CE797B">
              <w:rPr>
                <w:bCs/>
                <w:sz w:val="26"/>
                <w:szCs w:val="26"/>
              </w:rPr>
              <w:t>salīdzinājumā ar spēkā esošajiem noteikumiem paredz</w:t>
            </w:r>
            <w:r w:rsidR="0009195B" w:rsidRPr="00CE797B">
              <w:rPr>
                <w:bCs/>
                <w:sz w:val="26"/>
                <w:szCs w:val="26"/>
              </w:rPr>
              <w:t>:</w:t>
            </w:r>
          </w:p>
          <w:p w:rsidR="0009195B" w:rsidRPr="00CE797B" w:rsidRDefault="0009195B" w:rsidP="00D34271">
            <w:pPr>
              <w:autoSpaceDE w:val="0"/>
              <w:autoSpaceDN w:val="0"/>
              <w:adjustRightInd w:val="0"/>
              <w:spacing w:before="0" w:after="0"/>
              <w:jc w:val="both"/>
              <w:rPr>
                <w:sz w:val="26"/>
                <w:szCs w:val="26"/>
              </w:rPr>
            </w:pPr>
            <w:r w:rsidRPr="00CE797B">
              <w:rPr>
                <w:bCs/>
                <w:sz w:val="26"/>
                <w:szCs w:val="26"/>
              </w:rPr>
              <w:t>1)</w:t>
            </w:r>
            <w:r w:rsidR="00455850" w:rsidRPr="00CE797B">
              <w:rPr>
                <w:bCs/>
                <w:sz w:val="26"/>
                <w:szCs w:val="26"/>
              </w:rPr>
              <w:t xml:space="preserve"> </w:t>
            </w:r>
            <w:r w:rsidRPr="00CE797B">
              <w:rPr>
                <w:sz w:val="26"/>
                <w:szCs w:val="26"/>
              </w:rPr>
              <w:t xml:space="preserve">sniegt finansiālu atbalstu </w:t>
            </w:r>
            <w:r w:rsidR="00237ECE" w:rsidRPr="00CE797B">
              <w:rPr>
                <w:sz w:val="26"/>
                <w:szCs w:val="26"/>
              </w:rPr>
              <w:t xml:space="preserve">225 </w:t>
            </w:r>
            <w:r w:rsidRPr="00CE797B">
              <w:rPr>
                <w:sz w:val="26"/>
                <w:szCs w:val="26"/>
              </w:rPr>
              <w:t>novadu pašvaldību pamatskolām, kurās skolēnu skaits ir 100 (un mazāks) paaugstinot koeficientu no 0,75 uz 1</w:t>
            </w:r>
            <w:r w:rsidR="00D34271" w:rsidRPr="00CE797B">
              <w:rPr>
                <w:sz w:val="26"/>
                <w:szCs w:val="26"/>
              </w:rPr>
              <w:t>, papildus precizēts tiesiskais regulējums par to, ka nepieciešamības gadījumā, valsts var   atbalstīt mazo skolu pastāvēšanu, paaugstinot finansējuma aprēķināšanas koeficientu</w:t>
            </w:r>
            <w:r w:rsidRPr="00CE797B">
              <w:rPr>
                <w:sz w:val="26"/>
                <w:szCs w:val="26"/>
              </w:rPr>
              <w:t>;</w:t>
            </w:r>
          </w:p>
          <w:p w:rsidR="00B21A54" w:rsidRPr="00CE797B" w:rsidRDefault="0009195B" w:rsidP="00D26F4F">
            <w:pPr>
              <w:jc w:val="both"/>
              <w:rPr>
                <w:sz w:val="26"/>
                <w:szCs w:val="26"/>
              </w:rPr>
            </w:pPr>
            <w:r w:rsidRPr="00CE797B">
              <w:rPr>
                <w:sz w:val="26"/>
                <w:szCs w:val="26"/>
              </w:rPr>
              <w:t>2)</w:t>
            </w:r>
            <w:r w:rsidR="00B21A54" w:rsidRPr="00CE797B">
              <w:rPr>
                <w:sz w:val="26"/>
                <w:szCs w:val="26"/>
              </w:rPr>
              <w:t xml:space="preserve"> </w:t>
            </w:r>
            <w:r w:rsidRPr="00CE797B">
              <w:rPr>
                <w:sz w:val="26"/>
                <w:szCs w:val="26"/>
              </w:rPr>
              <w:t>precizēt programmu koeficient</w:t>
            </w:r>
            <w:r w:rsidR="00A70D15" w:rsidRPr="00CE797B">
              <w:rPr>
                <w:sz w:val="26"/>
                <w:szCs w:val="26"/>
              </w:rPr>
              <w:t>us</w:t>
            </w:r>
            <w:r w:rsidRPr="00CE797B">
              <w:rPr>
                <w:sz w:val="26"/>
                <w:szCs w:val="26"/>
              </w:rPr>
              <w:t xml:space="preserve"> - </w:t>
            </w:r>
            <w:r w:rsidR="00B21A54" w:rsidRPr="00CE797B">
              <w:rPr>
                <w:sz w:val="26"/>
                <w:szCs w:val="26"/>
              </w:rPr>
              <w:t xml:space="preserve">pedagoģiskās un sociālās korekcijas programmās skolēnu skaitam, piemērojot koeficientu 1,2; koeficientu </w:t>
            </w:r>
            <w:r w:rsidR="00D26F4F" w:rsidRPr="00CE797B">
              <w:rPr>
                <w:sz w:val="26"/>
                <w:szCs w:val="26"/>
              </w:rPr>
              <w:t>1,8</w:t>
            </w:r>
            <w:r w:rsidR="00B21A54" w:rsidRPr="00CE797B">
              <w:rPr>
                <w:sz w:val="26"/>
                <w:szCs w:val="26"/>
              </w:rPr>
              <w:t xml:space="preserve"> – skolēnu (bērnu) skaitam, kas apgūst speciālās izglītības programmas speciālajās skolās; koeficientu </w:t>
            </w:r>
            <w:r w:rsidR="00D26F4F" w:rsidRPr="00CE797B">
              <w:rPr>
                <w:sz w:val="26"/>
                <w:szCs w:val="26"/>
              </w:rPr>
              <w:t>1,84</w:t>
            </w:r>
            <w:r w:rsidR="00B21A54" w:rsidRPr="00CE797B">
              <w:rPr>
                <w:sz w:val="26"/>
                <w:szCs w:val="26"/>
              </w:rPr>
              <w:t xml:space="preserve"> – skolēnu (bērnu) skaitam, kas apgūst speciālās izglītības programmas speciālās izglītības klasēs (grupās) vai integrēti vispārējās izglītības iestādēs</w:t>
            </w:r>
            <w:r w:rsidR="00D26F4F" w:rsidRPr="00CE797B">
              <w:rPr>
                <w:sz w:val="26"/>
                <w:szCs w:val="26"/>
              </w:rPr>
              <w:t>, skolēnu skaitam vakara (maiņu) un neklātienes (tai skaitā – tālmācības) vispārējās izglītības programmās piemēro koeficientu 0,8.</w:t>
            </w:r>
          </w:p>
          <w:p w:rsidR="00AA6B60" w:rsidRPr="00CE797B" w:rsidRDefault="00AA6B60" w:rsidP="00B21A54">
            <w:pPr>
              <w:jc w:val="both"/>
              <w:rPr>
                <w:sz w:val="26"/>
                <w:szCs w:val="26"/>
              </w:rPr>
            </w:pPr>
            <w:r w:rsidRPr="00CE797B">
              <w:rPr>
                <w:sz w:val="26"/>
                <w:szCs w:val="26"/>
              </w:rPr>
              <w:lastRenderedPageBreak/>
              <w:t xml:space="preserve">Šī koeficientu maiņa tiek izdarīta, lai novērstu  </w:t>
            </w:r>
            <w:r w:rsidR="008A2CFD" w:rsidRPr="00CE797B">
              <w:rPr>
                <w:sz w:val="26"/>
                <w:szCs w:val="26"/>
              </w:rPr>
              <w:t xml:space="preserve">valsts budžeta līdzekļu izšķērdēšanu, </w:t>
            </w:r>
            <w:r w:rsidRPr="00CE797B">
              <w:rPr>
                <w:sz w:val="26"/>
                <w:szCs w:val="26"/>
              </w:rPr>
              <w:t>pedagoģiskās korekcijas programm</w:t>
            </w:r>
            <w:r w:rsidR="008A2CFD" w:rsidRPr="00CE797B">
              <w:rPr>
                <w:sz w:val="26"/>
                <w:szCs w:val="26"/>
              </w:rPr>
              <w:t>as</w:t>
            </w:r>
            <w:r w:rsidRPr="00CE797B">
              <w:rPr>
                <w:sz w:val="26"/>
                <w:szCs w:val="26"/>
              </w:rPr>
              <w:t xml:space="preserve"> ievieš</w:t>
            </w:r>
            <w:r w:rsidR="008A2CFD" w:rsidRPr="00CE797B">
              <w:rPr>
                <w:sz w:val="26"/>
                <w:szCs w:val="26"/>
              </w:rPr>
              <w:t>ot</w:t>
            </w:r>
            <w:r w:rsidRPr="00CE797B">
              <w:rPr>
                <w:sz w:val="26"/>
                <w:szCs w:val="26"/>
              </w:rPr>
              <w:t xml:space="preserve"> mazajās skolās</w:t>
            </w:r>
            <w:r w:rsidR="008A2CFD" w:rsidRPr="00CE797B">
              <w:rPr>
                <w:sz w:val="26"/>
                <w:szCs w:val="26"/>
              </w:rPr>
              <w:t xml:space="preserve">, lai tās saglabātu, bet patiesībā īstenojot pamatizglītības programmas. Savukārt,   </w:t>
            </w:r>
            <w:r w:rsidR="005D4AEE" w:rsidRPr="00CE797B">
              <w:rPr>
                <w:sz w:val="26"/>
                <w:szCs w:val="26"/>
              </w:rPr>
              <w:t xml:space="preserve">speciālās izglītības programmās noteiktais tiesiskais regulējums </w:t>
            </w:r>
            <w:r w:rsidR="00D34271" w:rsidRPr="00CE797B">
              <w:rPr>
                <w:sz w:val="26"/>
                <w:szCs w:val="26"/>
              </w:rPr>
              <w:t>palielina</w:t>
            </w:r>
            <w:r w:rsidR="008A2CFD" w:rsidRPr="00CE797B">
              <w:rPr>
                <w:sz w:val="26"/>
                <w:szCs w:val="26"/>
              </w:rPr>
              <w:t xml:space="preserve"> finansējum</w:t>
            </w:r>
            <w:r w:rsidR="005D758A" w:rsidRPr="00CE797B">
              <w:rPr>
                <w:sz w:val="26"/>
                <w:szCs w:val="26"/>
              </w:rPr>
              <w:t>a nodrošinājumu</w:t>
            </w:r>
            <w:r w:rsidR="008A2CFD" w:rsidRPr="00CE797B">
              <w:rPr>
                <w:sz w:val="26"/>
                <w:szCs w:val="26"/>
              </w:rPr>
              <w:t>, lai skolas pilnvērtīgi īstenotu iekļaujošo izglītību. Tādēļ  speciālās izglītības programmās koeficienti palielināti.</w:t>
            </w:r>
            <w:r w:rsidR="00D26F4F" w:rsidRPr="00CE797B">
              <w:rPr>
                <w:sz w:val="26"/>
                <w:szCs w:val="26"/>
              </w:rPr>
              <w:t xml:space="preserve"> Precizējot vakara (maiņu) un neklātienes vispārējās izglītības programmu koeficientu, tika ņemta vērā pašvaldību pieredze par skolēnu skaita samazināšanos vakarskolās mācību gada laikā.</w:t>
            </w:r>
          </w:p>
          <w:p w:rsidR="003C7577" w:rsidRPr="00CE797B" w:rsidRDefault="0009195B" w:rsidP="003C7577">
            <w:pPr>
              <w:jc w:val="both"/>
              <w:rPr>
                <w:sz w:val="26"/>
                <w:szCs w:val="26"/>
              </w:rPr>
            </w:pPr>
            <w:r w:rsidRPr="00CE797B">
              <w:rPr>
                <w:sz w:val="26"/>
                <w:szCs w:val="26"/>
              </w:rPr>
              <w:t xml:space="preserve">3) </w:t>
            </w:r>
            <w:r w:rsidR="003C7577" w:rsidRPr="00CE797B">
              <w:rPr>
                <w:sz w:val="26"/>
                <w:szCs w:val="26"/>
              </w:rPr>
              <w:t>papildināt profesionāli orientēta virziena pamatizglītības programmu izvērtēšanas kritērijus un precizēt šo programmu izvērtēšanas laiku sākot no 2014.gada, lai līdz mācību gada beigām skolām būtu zināmi nosacījumi jaunajam mācību gadam, nosakot, ja izglītības iestāde 2013.gadā līdz 25.augustam (turpmākajos  gados – līdz 31.martam) ir iesniegusi ministrijā licencētu profesionāli orientēta virziena pamatizglītības programmu ar atbilstošu mācību priekšmetu stundu plānu, apmaksājamo stundu skaitu, un informāciju par prognozējamo skolēnu skaitu, programmas īstenošanai nepieciešamajiem resursiem un ministrija to ir izvērtējusi, ņemot vērā izglītības iestādes mācību sasniegumus, pamatizglītības programmas pieejamību attiecīgajā iestādē,  un atzīmējusi akceptētās programmas sistēmā līdz 2013.gada 1.septembrim (turpmākajos gados – līdz  27.maijam).</w:t>
            </w:r>
          </w:p>
          <w:p w:rsidR="003C7577" w:rsidRPr="00CE797B" w:rsidRDefault="003C7577" w:rsidP="003C7577">
            <w:pPr>
              <w:jc w:val="both"/>
              <w:rPr>
                <w:sz w:val="26"/>
                <w:szCs w:val="26"/>
              </w:rPr>
            </w:pPr>
            <w:r w:rsidRPr="00CE797B">
              <w:rPr>
                <w:sz w:val="26"/>
                <w:szCs w:val="26"/>
              </w:rPr>
              <w:t>Profesionāli orientēta virziena pamatizglītības programmās ar padziļinātu mācību priekšmetu (izņemot mūziku) apguvi skolēnu skaitam piemēro koeficientu 1,2, jo šis koeficients ir pietiekams, lai nodrošinātu nepieciešamo apmaksājamo stundu skaitu mācību priekšmetu padziļinātai mācīšanai, ievērojot skolēnu slodzi.</w:t>
            </w:r>
            <w:r w:rsidR="005D4AEE" w:rsidRPr="00CE797B">
              <w:rPr>
                <w:sz w:val="26"/>
                <w:szCs w:val="26"/>
              </w:rPr>
              <w:t xml:space="preserve"> Vēršam uzmanību, ka tiesiskā paļāvība par darba samaksas saglabāšanu šai gadījumā tiks nodrošināta tiem pedagogiem, kas iesaistīti  mācību priekšmetu padziļinātā mācīšanā.</w:t>
            </w:r>
          </w:p>
          <w:p w:rsidR="0009195B" w:rsidRPr="00CE797B" w:rsidRDefault="003C7577" w:rsidP="003C7577">
            <w:pPr>
              <w:autoSpaceDE w:val="0"/>
              <w:autoSpaceDN w:val="0"/>
              <w:adjustRightInd w:val="0"/>
              <w:spacing w:before="0" w:after="0"/>
              <w:jc w:val="both"/>
              <w:rPr>
                <w:sz w:val="26"/>
                <w:szCs w:val="26"/>
              </w:rPr>
            </w:pPr>
            <w:r w:rsidRPr="00CE797B">
              <w:rPr>
                <w:sz w:val="26"/>
                <w:szCs w:val="26"/>
              </w:rPr>
              <w:t>Savukārt profesionāli orientēta virziena pamatizglītības programmās ar padziļinātu mūzikas apguvi skolēnu skaitam saglabāts koeficients 1,3, lai nodrošinātu individuālās stundas mūzikas instrumenta spēlē;</w:t>
            </w:r>
          </w:p>
          <w:p w:rsidR="00017325" w:rsidRPr="00CE797B" w:rsidRDefault="003C7577" w:rsidP="006D445C">
            <w:pPr>
              <w:autoSpaceDE w:val="0"/>
              <w:autoSpaceDN w:val="0"/>
              <w:adjustRightInd w:val="0"/>
              <w:spacing w:before="0" w:after="0"/>
              <w:jc w:val="both"/>
              <w:rPr>
                <w:sz w:val="26"/>
                <w:szCs w:val="26"/>
              </w:rPr>
            </w:pPr>
            <w:r w:rsidRPr="00CE797B">
              <w:rPr>
                <w:sz w:val="26"/>
                <w:szCs w:val="26"/>
              </w:rPr>
              <w:t>4</w:t>
            </w:r>
            <w:r w:rsidR="00017325" w:rsidRPr="00CE797B">
              <w:rPr>
                <w:sz w:val="26"/>
                <w:szCs w:val="26"/>
              </w:rPr>
              <w:t>) noteikt tiesisk</w:t>
            </w:r>
            <w:r w:rsidR="00A70D15" w:rsidRPr="00CE797B">
              <w:rPr>
                <w:sz w:val="26"/>
                <w:szCs w:val="26"/>
              </w:rPr>
              <w:t>o</w:t>
            </w:r>
            <w:r w:rsidR="00017325" w:rsidRPr="00CE797B">
              <w:rPr>
                <w:sz w:val="26"/>
                <w:szCs w:val="26"/>
              </w:rPr>
              <w:t xml:space="preserve"> regulējum</w:t>
            </w:r>
            <w:r w:rsidR="00A70D15" w:rsidRPr="00CE797B">
              <w:rPr>
                <w:sz w:val="26"/>
                <w:szCs w:val="26"/>
              </w:rPr>
              <w:t>u</w:t>
            </w:r>
            <w:r w:rsidR="00017325" w:rsidRPr="00CE797B">
              <w:rPr>
                <w:sz w:val="26"/>
                <w:szCs w:val="26"/>
              </w:rPr>
              <w:t xml:space="preserve"> valsts budžeta mērķdotācijas aprēķināšanai pedagogiem, kas ieguvuši pedagoga profesionālās darbības kvalitātes pakāp</w:t>
            </w:r>
            <w:r w:rsidR="004538A2" w:rsidRPr="00CE797B">
              <w:rPr>
                <w:sz w:val="26"/>
                <w:szCs w:val="26"/>
              </w:rPr>
              <w:t>i</w:t>
            </w:r>
            <w:r w:rsidR="00017325" w:rsidRPr="00CE797B">
              <w:rPr>
                <w:sz w:val="26"/>
                <w:szCs w:val="26"/>
              </w:rPr>
              <w:t xml:space="preserve"> </w:t>
            </w:r>
            <w:r w:rsidR="006D445C" w:rsidRPr="00CE797B">
              <w:rPr>
                <w:sz w:val="26"/>
                <w:szCs w:val="26"/>
              </w:rPr>
              <w:t xml:space="preserve">Eiropas Sociālā fonda projekta „Pedagogu konkurētspējas veicināšana izglītības sistēmas optimizācijas apstākļos” </w:t>
            </w:r>
            <w:r w:rsidR="004538A2" w:rsidRPr="00CE797B">
              <w:rPr>
                <w:sz w:val="26"/>
                <w:szCs w:val="26"/>
              </w:rPr>
              <w:t xml:space="preserve">ietvaros; </w:t>
            </w:r>
          </w:p>
          <w:p w:rsidR="00DC1D5D" w:rsidRPr="00CE797B" w:rsidRDefault="00DC1D5D" w:rsidP="006D445C">
            <w:pPr>
              <w:autoSpaceDE w:val="0"/>
              <w:autoSpaceDN w:val="0"/>
              <w:adjustRightInd w:val="0"/>
              <w:spacing w:before="0" w:after="0"/>
              <w:jc w:val="both"/>
              <w:rPr>
                <w:b/>
                <w:sz w:val="26"/>
                <w:szCs w:val="26"/>
              </w:rPr>
            </w:pPr>
            <w:r w:rsidRPr="00CE797B">
              <w:rPr>
                <w:sz w:val="26"/>
                <w:szCs w:val="26"/>
              </w:rPr>
              <w:t xml:space="preserve">Lai gan šis regulējums vairāk attiecināms uz pedagogu darba </w:t>
            </w:r>
            <w:r w:rsidRPr="00CE797B">
              <w:rPr>
                <w:sz w:val="26"/>
                <w:szCs w:val="26"/>
              </w:rPr>
              <w:lastRenderedPageBreak/>
              <w:t>samaksu regulējošajiem noteikumiem, taču ir būtiski precīzi sadalīt finansējumu arī pedagogu darba samaksas paaugstināšanai, kam 2013.gadā ir ļoti būtiska nozīme, jo 8% piemaksu no zemākās noteiktās mēneša darba algas likmes sāks saņemt 15215 pedagogi, kas ieguvuši 3.kvalitātes pakāpi. Tā kā iepriekšējā gadā piemaksas 4.un 5.kvalitātes pakāpi ieguvušie pedagogi saņēma piemaksu   no viņiem noteiktās mēneša darba algas likmes, plānots viņiem noteikto piemaksas apmēru paaugstināt no 10%  un 12%  uz 20% un 25% (nosakot tiesisko regulējumu  Ministru kabineta 2009.gada 28.jūlija noteikumos Nr.836 „Pedagogu darba samaksas noteikumi”, lai nepasliktinātu labāko pedagogu finansiālo situāciju;</w:t>
            </w:r>
          </w:p>
          <w:p w:rsidR="00AA6B60" w:rsidRPr="00CE797B" w:rsidRDefault="00AA6B60" w:rsidP="002F330E">
            <w:pPr>
              <w:autoSpaceDE w:val="0"/>
              <w:autoSpaceDN w:val="0"/>
              <w:adjustRightInd w:val="0"/>
              <w:spacing w:before="0" w:after="0"/>
              <w:jc w:val="both"/>
              <w:rPr>
                <w:sz w:val="26"/>
                <w:szCs w:val="26"/>
              </w:rPr>
            </w:pPr>
            <w:r w:rsidRPr="00CE797B">
              <w:rPr>
                <w:sz w:val="26"/>
                <w:szCs w:val="26"/>
              </w:rPr>
              <w:t>5</w:t>
            </w:r>
            <w:r w:rsidR="00017325" w:rsidRPr="00CE797B">
              <w:rPr>
                <w:sz w:val="26"/>
                <w:szCs w:val="26"/>
              </w:rPr>
              <w:t>)</w:t>
            </w:r>
            <w:r w:rsidR="00E514A3" w:rsidRPr="00CE797B">
              <w:rPr>
                <w:sz w:val="26"/>
                <w:szCs w:val="26"/>
              </w:rPr>
              <w:t xml:space="preserve"> </w:t>
            </w:r>
            <w:r w:rsidR="00CF42C4" w:rsidRPr="00CE797B">
              <w:rPr>
                <w:sz w:val="26"/>
                <w:szCs w:val="26"/>
              </w:rPr>
              <w:t xml:space="preserve"> noteikt  normētā skolēnu un bērnu skaita attiecību pret vienu pedagoga mēneša darba algas likmi - novados 8,</w:t>
            </w:r>
            <w:r w:rsidR="00EC3F9D" w:rsidRPr="00CE797B">
              <w:rPr>
                <w:sz w:val="26"/>
                <w:szCs w:val="26"/>
              </w:rPr>
              <w:t>12</w:t>
            </w:r>
            <w:r w:rsidR="00CF42C4" w:rsidRPr="00CE797B">
              <w:rPr>
                <w:sz w:val="26"/>
                <w:szCs w:val="26"/>
              </w:rPr>
              <w:t xml:space="preserve"> : 1, republikas pilsētās – 10,</w:t>
            </w:r>
            <w:r w:rsidR="00EC3F9D" w:rsidRPr="00CE797B">
              <w:rPr>
                <w:sz w:val="26"/>
                <w:szCs w:val="26"/>
              </w:rPr>
              <w:t>35</w:t>
            </w:r>
            <w:r w:rsidR="00CF42C4" w:rsidRPr="00CE797B">
              <w:rPr>
                <w:sz w:val="26"/>
                <w:szCs w:val="26"/>
              </w:rPr>
              <w:t xml:space="preserve"> : 1. </w:t>
            </w:r>
            <w:r w:rsidRPr="00CE797B">
              <w:rPr>
                <w:sz w:val="26"/>
                <w:szCs w:val="26"/>
              </w:rPr>
              <w:t>Šī grozījuma mērķis ir apturēt  noteiktās normētās skolēna (bērnu) skaita attiecības pret vienu pedagoga mēneša darba algas likmi palielināšanos (skat.</w:t>
            </w:r>
            <w:r w:rsidR="00B5767E" w:rsidRPr="00CE797B">
              <w:rPr>
                <w:sz w:val="26"/>
                <w:szCs w:val="26"/>
              </w:rPr>
              <w:t xml:space="preserve"> 3.</w:t>
            </w:r>
            <w:r w:rsidRPr="00CE797B">
              <w:rPr>
                <w:sz w:val="26"/>
                <w:szCs w:val="26"/>
              </w:rPr>
              <w:t xml:space="preserve">pielikumu). </w:t>
            </w:r>
            <w:r w:rsidR="002F330E">
              <w:rPr>
                <w:sz w:val="26"/>
                <w:szCs w:val="26"/>
              </w:rPr>
              <w:t>Papildus noteikts, ka pašvaldības pārkāpj noteikto</w:t>
            </w:r>
            <w:r w:rsidR="002F330E" w:rsidRPr="00CE797B">
              <w:rPr>
                <w:sz w:val="26"/>
                <w:szCs w:val="26"/>
              </w:rPr>
              <w:t xml:space="preserve"> normētās skolēna (bērnu) skaita attiecīb</w:t>
            </w:r>
            <w:r w:rsidR="002F330E">
              <w:rPr>
                <w:sz w:val="26"/>
                <w:szCs w:val="26"/>
              </w:rPr>
              <w:t>u</w:t>
            </w:r>
            <w:r w:rsidR="002F330E" w:rsidRPr="00CE797B">
              <w:rPr>
                <w:sz w:val="26"/>
                <w:szCs w:val="26"/>
              </w:rPr>
              <w:t xml:space="preserve"> pret vienu pedagoga mēneša darba algas likmi</w:t>
            </w:r>
            <w:r w:rsidR="002F330E">
              <w:rPr>
                <w:sz w:val="26"/>
                <w:szCs w:val="26"/>
              </w:rPr>
              <w:t>, ik gadu līdz 1.februārim informē ministriju par to, kā tās plāno nodrošināt šī tiesiskā regulējuma ievērošanu;</w:t>
            </w:r>
            <w:r w:rsidR="002F330E" w:rsidRPr="00CE797B">
              <w:rPr>
                <w:sz w:val="26"/>
                <w:szCs w:val="26"/>
              </w:rPr>
              <w:t xml:space="preserve"> </w:t>
            </w:r>
            <w:r w:rsidR="002F330E">
              <w:rPr>
                <w:sz w:val="26"/>
                <w:szCs w:val="26"/>
              </w:rPr>
              <w:t xml:space="preserve"> </w:t>
            </w:r>
          </w:p>
          <w:p w:rsidR="00D029E0" w:rsidRDefault="002F330E" w:rsidP="00D029E0">
            <w:pPr>
              <w:spacing w:after="0"/>
              <w:jc w:val="both"/>
              <w:rPr>
                <w:sz w:val="26"/>
                <w:szCs w:val="26"/>
              </w:rPr>
            </w:pPr>
            <w:r>
              <w:rPr>
                <w:sz w:val="26"/>
                <w:szCs w:val="26"/>
              </w:rPr>
              <w:t>6</w:t>
            </w:r>
            <w:r w:rsidR="00D029E0" w:rsidRPr="00CE797B">
              <w:rPr>
                <w:sz w:val="26"/>
                <w:szCs w:val="26"/>
              </w:rPr>
              <w:t>) precizēta 8.</w:t>
            </w:r>
            <w:r w:rsidR="00D029E0" w:rsidRPr="00CE797B">
              <w:rPr>
                <w:sz w:val="26"/>
                <w:szCs w:val="26"/>
                <w:vertAlign w:val="superscript"/>
              </w:rPr>
              <w:t>1</w:t>
            </w:r>
            <w:r w:rsidR="00D029E0" w:rsidRPr="00CE797B">
              <w:rPr>
                <w:sz w:val="26"/>
                <w:szCs w:val="26"/>
              </w:rPr>
              <w:t xml:space="preserve"> punktā ietverta norma par mērķdotācijas aprēķināšanas periodu, kas stāsies spēkā 2014.gada 1.septembrī</w:t>
            </w:r>
            <w:r>
              <w:rPr>
                <w:sz w:val="26"/>
                <w:szCs w:val="26"/>
              </w:rPr>
              <w:t>;</w:t>
            </w:r>
          </w:p>
          <w:p w:rsidR="002F330E" w:rsidRPr="002F330E" w:rsidRDefault="002F330E" w:rsidP="00D029E0">
            <w:pPr>
              <w:spacing w:after="0"/>
              <w:jc w:val="both"/>
              <w:rPr>
                <w:sz w:val="26"/>
                <w:szCs w:val="26"/>
              </w:rPr>
            </w:pPr>
            <w:r>
              <w:rPr>
                <w:sz w:val="26"/>
                <w:szCs w:val="26"/>
              </w:rPr>
              <w:t xml:space="preserve">7) </w:t>
            </w:r>
            <w:r w:rsidRPr="002F330E">
              <w:rPr>
                <w:sz w:val="26"/>
                <w:szCs w:val="26"/>
              </w:rPr>
              <w:t xml:space="preserve"> iekļaut noteikumu projektā tiesisk</w:t>
            </w:r>
            <w:r>
              <w:rPr>
                <w:sz w:val="26"/>
                <w:szCs w:val="26"/>
              </w:rPr>
              <w:t xml:space="preserve">o </w:t>
            </w:r>
            <w:r w:rsidRPr="002F330E">
              <w:rPr>
                <w:sz w:val="26"/>
                <w:szCs w:val="26"/>
              </w:rPr>
              <w:t>regulējum</w:t>
            </w:r>
            <w:r>
              <w:rPr>
                <w:sz w:val="26"/>
                <w:szCs w:val="26"/>
              </w:rPr>
              <w:t>u</w:t>
            </w:r>
            <w:r w:rsidRPr="002F330E">
              <w:rPr>
                <w:sz w:val="26"/>
                <w:szCs w:val="26"/>
              </w:rPr>
              <w:t xml:space="preserve"> par to, kā </w:t>
            </w:r>
            <w:r>
              <w:rPr>
                <w:sz w:val="26"/>
                <w:szCs w:val="26"/>
              </w:rPr>
              <w:t xml:space="preserve">ministrija </w:t>
            </w:r>
            <w:r w:rsidRPr="002F330E">
              <w:rPr>
                <w:sz w:val="26"/>
                <w:szCs w:val="26"/>
              </w:rPr>
              <w:t>aprēķina un sadala pašvaldībā</w:t>
            </w:r>
            <w:r>
              <w:rPr>
                <w:sz w:val="26"/>
                <w:szCs w:val="26"/>
              </w:rPr>
              <w:t>m</w:t>
            </w:r>
            <w:r w:rsidRPr="002F330E">
              <w:rPr>
                <w:sz w:val="26"/>
                <w:szCs w:val="26"/>
              </w:rPr>
              <w:t xml:space="preserve">  finansējumu  </w:t>
            </w:r>
            <w:r>
              <w:rPr>
                <w:sz w:val="26"/>
                <w:szCs w:val="26"/>
              </w:rPr>
              <w:t xml:space="preserve">piemaksām </w:t>
            </w:r>
            <w:r w:rsidRPr="002F330E">
              <w:rPr>
                <w:sz w:val="26"/>
                <w:szCs w:val="26"/>
              </w:rPr>
              <w:t>tiem peda</w:t>
            </w:r>
            <w:r>
              <w:rPr>
                <w:sz w:val="26"/>
                <w:szCs w:val="26"/>
              </w:rPr>
              <w:t>gogiem, kuri ieguvuši kvalitātes pakāpi par pedagoģisko darbu;</w:t>
            </w:r>
          </w:p>
          <w:p w:rsidR="005B2AE9" w:rsidRPr="00CE797B" w:rsidRDefault="00D029E0" w:rsidP="00AA6B60">
            <w:pPr>
              <w:jc w:val="both"/>
              <w:rPr>
                <w:sz w:val="26"/>
                <w:szCs w:val="26"/>
              </w:rPr>
            </w:pPr>
            <w:r w:rsidRPr="00CE797B">
              <w:rPr>
                <w:sz w:val="26"/>
                <w:szCs w:val="26"/>
              </w:rPr>
              <w:t>8</w:t>
            </w:r>
            <w:r w:rsidR="00017325" w:rsidRPr="00CE797B">
              <w:rPr>
                <w:sz w:val="26"/>
                <w:szCs w:val="26"/>
              </w:rPr>
              <w:t>)</w:t>
            </w:r>
            <w:r w:rsidR="00017325" w:rsidRPr="00CE797B">
              <w:rPr>
                <w:rFonts w:eastAsia="Calibri"/>
                <w:sz w:val="26"/>
                <w:szCs w:val="26"/>
              </w:rPr>
              <w:t xml:space="preserve"> precizēt noteikumu pielikum</w:t>
            </w:r>
            <w:r w:rsidR="00A70D15" w:rsidRPr="00CE797B">
              <w:rPr>
                <w:rFonts w:eastAsia="Calibri"/>
                <w:sz w:val="26"/>
                <w:szCs w:val="26"/>
              </w:rPr>
              <w:t>u</w:t>
            </w:r>
            <w:r w:rsidR="00017325" w:rsidRPr="00CE797B">
              <w:rPr>
                <w:rFonts w:eastAsia="Calibri"/>
                <w:sz w:val="26"/>
                <w:szCs w:val="26"/>
              </w:rPr>
              <w:t xml:space="preserve"> „</w:t>
            </w:r>
            <w:r w:rsidR="00017325" w:rsidRPr="00CE797B">
              <w:rPr>
                <w:bCs/>
                <w:i/>
                <w:sz w:val="26"/>
                <w:szCs w:val="26"/>
              </w:rPr>
              <w:t xml:space="preserve">Pārskats par </w:t>
            </w:r>
            <w:r w:rsidR="00017325" w:rsidRPr="00CE797B">
              <w:rPr>
                <w:i/>
                <w:sz w:val="26"/>
                <w:szCs w:val="26"/>
              </w:rPr>
              <w:t xml:space="preserve"> mērķdotācijas novadu un republikas pilsētu pašvaldībām pedagogu darba samaksai un valsts sociālās apdrošināšanas obligātajām iemaksām izlietojumu 20___.gadā” </w:t>
            </w:r>
            <w:r w:rsidR="00017325" w:rsidRPr="00CE797B">
              <w:rPr>
                <w:sz w:val="26"/>
                <w:szCs w:val="26"/>
              </w:rPr>
              <w:t xml:space="preserve"> svītrojot tajā valūtas nosaukumu „latos”, lai pielikums būtu spēkā arī pēc </w:t>
            </w:r>
            <w:proofErr w:type="spellStart"/>
            <w:r w:rsidR="00017325" w:rsidRPr="00CE797B">
              <w:rPr>
                <w:sz w:val="26"/>
                <w:szCs w:val="26"/>
              </w:rPr>
              <w:t>euro</w:t>
            </w:r>
            <w:proofErr w:type="spellEnd"/>
            <w:r w:rsidR="00017325" w:rsidRPr="00CE797B">
              <w:rPr>
                <w:sz w:val="26"/>
                <w:szCs w:val="26"/>
              </w:rPr>
              <w:t xml:space="preserve"> ieviešanas 2014.gada 1.janvārī, kā arī papildinot pārskatu ar aili, kurā norādīti pašvaldības transferti citai pašvaldībai atbilstoši spēkā esošo noteikumu 17.punktam.</w:t>
            </w:r>
          </w:p>
        </w:tc>
      </w:tr>
      <w:tr w:rsidR="005B2AE9" w:rsidRPr="00B22F46">
        <w:trPr>
          <w:trHeight w:val="476"/>
          <w:tblCellSpacing w:w="0" w:type="dxa"/>
        </w:trPr>
        <w:tc>
          <w:tcPr>
            <w:tcW w:w="550" w:type="dxa"/>
            <w:vAlign w:val="center"/>
          </w:tcPr>
          <w:p w:rsidR="005B2AE9" w:rsidRPr="00B22F46" w:rsidRDefault="005B2AE9" w:rsidP="00C359A0">
            <w:pPr>
              <w:pStyle w:val="naiskr"/>
              <w:spacing w:before="0" w:after="0"/>
              <w:jc w:val="center"/>
              <w:rPr>
                <w:sz w:val="26"/>
                <w:szCs w:val="26"/>
              </w:rPr>
            </w:pPr>
            <w:r w:rsidRPr="00B22F46">
              <w:rPr>
                <w:sz w:val="26"/>
                <w:szCs w:val="26"/>
              </w:rPr>
              <w:lastRenderedPageBreak/>
              <w:t>5.</w:t>
            </w:r>
          </w:p>
        </w:tc>
        <w:tc>
          <w:tcPr>
            <w:tcW w:w="1927" w:type="dxa"/>
            <w:vAlign w:val="center"/>
          </w:tcPr>
          <w:p w:rsidR="005B2AE9" w:rsidRPr="00B22F46" w:rsidRDefault="005B2AE9" w:rsidP="00C359A0">
            <w:pPr>
              <w:pStyle w:val="naiskr"/>
              <w:spacing w:before="0" w:after="0"/>
              <w:rPr>
                <w:sz w:val="26"/>
                <w:szCs w:val="26"/>
              </w:rPr>
            </w:pPr>
            <w:r w:rsidRPr="00B22F46">
              <w:rPr>
                <w:sz w:val="26"/>
                <w:szCs w:val="26"/>
              </w:rPr>
              <w:t xml:space="preserve">Projekta izstrādē iesaistītās institūcijas </w:t>
            </w:r>
          </w:p>
        </w:tc>
        <w:tc>
          <w:tcPr>
            <w:tcW w:w="6804" w:type="dxa"/>
            <w:vAlign w:val="center"/>
          </w:tcPr>
          <w:p w:rsidR="005B2AE9" w:rsidRPr="00CE797B" w:rsidRDefault="00DC1D5D" w:rsidP="005A1C0D">
            <w:pPr>
              <w:tabs>
                <w:tab w:val="left" w:pos="360"/>
              </w:tabs>
              <w:spacing w:before="0" w:after="0"/>
              <w:jc w:val="both"/>
              <w:rPr>
                <w:sz w:val="26"/>
                <w:szCs w:val="26"/>
              </w:rPr>
            </w:pPr>
            <w:r w:rsidRPr="00CE797B">
              <w:rPr>
                <w:sz w:val="26"/>
                <w:szCs w:val="26"/>
              </w:rPr>
              <w:t>Izglītības un zinātnes ministrija izstrādāja projektu, pamatojoties uz  Motivācijas programmu,  kā arī piesaistīja projekta izstrādē LIZDA, LIVA, Latvijas pašvaldību savienības (LPS) un Latvijas lielo pilsētu asociācijas  (LLPA) pārstāvjus.</w:t>
            </w:r>
          </w:p>
        </w:tc>
      </w:tr>
      <w:tr w:rsidR="005B2AE9" w:rsidRPr="00B22F46">
        <w:trPr>
          <w:trHeight w:val="1208"/>
          <w:tblCellSpacing w:w="0" w:type="dxa"/>
        </w:trPr>
        <w:tc>
          <w:tcPr>
            <w:tcW w:w="550" w:type="dxa"/>
            <w:vAlign w:val="center"/>
          </w:tcPr>
          <w:p w:rsidR="005B2AE9" w:rsidRPr="00B22F46" w:rsidRDefault="005B2AE9" w:rsidP="00C359A0">
            <w:pPr>
              <w:pStyle w:val="naiskr"/>
              <w:spacing w:before="0" w:after="0"/>
              <w:jc w:val="center"/>
              <w:rPr>
                <w:sz w:val="26"/>
                <w:szCs w:val="26"/>
              </w:rPr>
            </w:pPr>
            <w:r w:rsidRPr="00B22F46">
              <w:rPr>
                <w:sz w:val="26"/>
                <w:szCs w:val="26"/>
              </w:rPr>
              <w:lastRenderedPageBreak/>
              <w:t>6.</w:t>
            </w:r>
          </w:p>
        </w:tc>
        <w:tc>
          <w:tcPr>
            <w:tcW w:w="1927" w:type="dxa"/>
            <w:vAlign w:val="center"/>
          </w:tcPr>
          <w:p w:rsidR="005B2AE9" w:rsidRPr="00B22F46" w:rsidRDefault="005B2AE9" w:rsidP="00C359A0">
            <w:pPr>
              <w:pStyle w:val="naiskr"/>
              <w:spacing w:before="0" w:after="0"/>
              <w:rPr>
                <w:sz w:val="26"/>
                <w:szCs w:val="26"/>
              </w:rPr>
            </w:pPr>
            <w:r w:rsidRPr="00B22F46">
              <w:rPr>
                <w:sz w:val="26"/>
                <w:szCs w:val="26"/>
              </w:rPr>
              <w:t>Iemesli, kādēļ netika nodrošināta sabiedrības līdzdalība</w:t>
            </w:r>
          </w:p>
        </w:tc>
        <w:tc>
          <w:tcPr>
            <w:tcW w:w="6804" w:type="dxa"/>
            <w:vAlign w:val="center"/>
          </w:tcPr>
          <w:p w:rsidR="005B2AE9" w:rsidRPr="00CE797B" w:rsidRDefault="00DC1D5D" w:rsidP="00C359A0">
            <w:pPr>
              <w:pStyle w:val="naiskr"/>
              <w:spacing w:before="0" w:after="0"/>
              <w:jc w:val="both"/>
              <w:rPr>
                <w:sz w:val="26"/>
                <w:szCs w:val="26"/>
              </w:rPr>
            </w:pPr>
            <w:r w:rsidRPr="00CE797B">
              <w:rPr>
                <w:sz w:val="26"/>
                <w:szCs w:val="26"/>
              </w:rPr>
              <w:t>Sabiedrības līdzdalība tika nodrošināta, iesaistot sociālos partnerus un LPS un LLPA.</w:t>
            </w:r>
          </w:p>
        </w:tc>
      </w:tr>
      <w:tr w:rsidR="005B2AE9" w:rsidRPr="00B22F46">
        <w:trPr>
          <w:tblCellSpacing w:w="0" w:type="dxa"/>
        </w:trPr>
        <w:tc>
          <w:tcPr>
            <w:tcW w:w="550" w:type="dxa"/>
            <w:vAlign w:val="center"/>
          </w:tcPr>
          <w:p w:rsidR="005B2AE9" w:rsidRPr="00B22F46" w:rsidRDefault="005B2AE9" w:rsidP="00C359A0">
            <w:pPr>
              <w:pStyle w:val="naiskr"/>
              <w:spacing w:before="0" w:after="0"/>
              <w:jc w:val="center"/>
              <w:rPr>
                <w:sz w:val="26"/>
                <w:szCs w:val="26"/>
              </w:rPr>
            </w:pPr>
            <w:r w:rsidRPr="00B22F46">
              <w:rPr>
                <w:sz w:val="26"/>
                <w:szCs w:val="26"/>
              </w:rPr>
              <w:t>7.</w:t>
            </w:r>
          </w:p>
        </w:tc>
        <w:tc>
          <w:tcPr>
            <w:tcW w:w="1927" w:type="dxa"/>
            <w:vAlign w:val="center"/>
          </w:tcPr>
          <w:p w:rsidR="005B2AE9" w:rsidRPr="00B22F46" w:rsidRDefault="005B2AE9" w:rsidP="00C359A0">
            <w:pPr>
              <w:pStyle w:val="naiskr"/>
              <w:spacing w:before="0" w:after="0"/>
              <w:ind w:left="170"/>
              <w:rPr>
                <w:sz w:val="26"/>
                <w:szCs w:val="26"/>
              </w:rPr>
            </w:pPr>
            <w:r w:rsidRPr="00B22F46">
              <w:rPr>
                <w:sz w:val="26"/>
                <w:szCs w:val="26"/>
              </w:rPr>
              <w:t>Cita informācija</w:t>
            </w:r>
          </w:p>
        </w:tc>
        <w:tc>
          <w:tcPr>
            <w:tcW w:w="6804" w:type="dxa"/>
            <w:vAlign w:val="center"/>
          </w:tcPr>
          <w:p w:rsidR="005B2AE9" w:rsidRPr="00B22F46" w:rsidRDefault="005B2AE9" w:rsidP="00C359A0">
            <w:pPr>
              <w:pStyle w:val="naiskr"/>
              <w:spacing w:before="0" w:after="0"/>
              <w:jc w:val="both"/>
              <w:rPr>
                <w:sz w:val="26"/>
                <w:szCs w:val="26"/>
              </w:rPr>
            </w:pPr>
            <w:r w:rsidRPr="00B22F46">
              <w:rPr>
                <w:sz w:val="26"/>
                <w:szCs w:val="26"/>
              </w:rPr>
              <w:t>Nav.</w:t>
            </w:r>
          </w:p>
        </w:tc>
      </w:tr>
    </w:tbl>
    <w:p w:rsidR="005B2AE9" w:rsidRPr="00B22F46" w:rsidRDefault="005B2AE9" w:rsidP="00C359A0">
      <w:pPr>
        <w:pStyle w:val="naisf"/>
        <w:spacing w:before="0" w:after="0"/>
        <w:rPr>
          <w:sz w:val="26"/>
          <w:szCs w:val="26"/>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5528"/>
      </w:tblGrid>
      <w:tr w:rsidR="005B2AE9" w:rsidRPr="00B22F46">
        <w:trPr>
          <w:tblCellSpacing w:w="0" w:type="dxa"/>
        </w:trPr>
        <w:tc>
          <w:tcPr>
            <w:tcW w:w="9281" w:type="dxa"/>
            <w:gridSpan w:val="3"/>
            <w:vAlign w:val="center"/>
          </w:tcPr>
          <w:p w:rsidR="005B2AE9" w:rsidRPr="00B22F46" w:rsidRDefault="005B2AE9" w:rsidP="00C359A0">
            <w:pPr>
              <w:pStyle w:val="naisnod"/>
              <w:spacing w:before="0" w:after="0"/>
              <w:rPr>
                <w:sz w:val="26"/>
                <w:szCs w:val="26"/>
              </w:rPr>
            </w:pPr>
            <w:r w:rsidRPr="00B22F46">
              <w:rPr>
                <w:sz w:val="26"/>
                <w:szCs w:val="26"/>
              </w:rPr>
              <w:t>II. Tiesību akta projekta ietekme uz sabiedrību</w:t>
            </w:r>
          </w:p>
        </w:tc>
      </w:tr>
      <w:tr w:rsidR="005B2AE9" w:rsidRPr="00B22F46">
        <w:trPr>
          <w:trHeight w:val="467"/>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1.</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 xml:space="preserve">Sabiedrības </w:t>
            </w:r>
            <w:proofErr w:type="spellStart"/>
            <w:r w:rsidRPr="00B22F46">
              <w:rPr>
                <w:sz w:val="26"/>
                <w:szCs w:val="26"/>
              </w:rPr>
              <w:t>mērķgrupa</w:t>
            </w:r>
            <w:proofErr w:type="spellEnd"/>
          </w:p>
        </w:tc>
        <w:tc>
          <w:tcPr>
            <w:tcW w:w="5528" w:type="dxa"/>
            <w:vAlign w:val="center"/>
          </w:tcPr>
          <w:p w:rsidR="00B51F5A" w:rsidRPr="00B22F46" w:rsidRDefault="002F144E" w:rsidP="002F330E">
            <w:pPr>
              <w:spacing w:before="0" w:after="0"/>
              <w:jc w:val="both"/>
              <w:rPr>
                <w:sz w:val="26"/>
                <w:szCs w:val="26"/>
              </w:rPr>
            </w:pPr>
            <w:r w:rsidRPr="00B22F46">
              <w:rPr>
                <w:sz w:val="26"/>
                <w:szCs w:val="26"/>
              </w:rPr>
              <w:t xml:space="preserve">Noteikumu projekta tiesiskais regulējums attiecas uz </w:t>
            </w:r>
            <w:r w:rsidR="00DB0BF7" w:rsidRPr="00B22F46">
              <w:rPr>
                <w:sz w:val="26"/>
                <w:szCs w:val="26"/>
              </w:rPr>
              <w:t>814 vispārizglītojošo dienu skolu 28 036 pedagogiem un 25 vispārizglītojošo vakara (maiņu) skolu 80</w:t>
            </w:r>
            <w:r w:rsidR="00410F17" w:rsidRPr="00B22F46">
              <w:rPr>
                <w:sz w:val="26"/>
                <w:szCs w:val="26"/>
              </w:rPr>
              <w:t>0</w:t>
            </w:r>
            <w:r w:rsidR="00DB0BF7" w:rsidRPr="00B22F46">
              <w:rPr>
                <w:sz w:val="26"/>
                <w:szCs w:val="26"/>
              </w:rPr>
              <w:t xml:space="preserve"> pedagogiem</w:t>
            </w:r>
            <w:r w:rsidR="002F330E">
              <w:rPr>
                <w:sz w:val="26"/>
                <w:szCs w:val="26"/>
              </w:rPr>
              <w:t xml:space="preserve"> un gandrīz 3000 pirmsskolas pedagogiem, kuri īsteno pirmsskolas izglītības programmas bērniem no piecu gadu vecuma. </w:t>
            </w:r>
          </w:p>
        </w:tc>
      </w:tr>
      <w:tr w:rsidR="005B2AE9" w:rsidRPr="00B22F46">
        <w:trPr>
          <w:trHeight w:val="523"/>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2.</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 xml:space="preserve">Citas sabiedrības grupas (bez </w:t>
            </w:r>
            <w:proofErr w:type="spellStart"/>
            <w:r w:rsidRPr="00B22F46">
              <w:rPr>
                <w:sz w:val="26"/>
                <w:szCs w:val="26"/>
              </w:rPr>
              <w:t>mērķgrupas</w:t>
            </w:r>
            <w:proofErr w:type="spellEnd"/>
            <w:r w:rsidRPr="00B22F46">
              <w:rPr>
                <w:sz w:val="26"/>
                <w:szCs w:val="26"/>
              </w:rPr>
              <w:t>), kuras tiesiskais regulējums arī ietekmē vai varētu ietekmēt</w:t>
            </w:r>
          </w:p>
        </w:tc>
        <w:tc>
          <w:tcPr>
            <w:tcW w:w="5528" w:type="dxa"/>
            <w:vAlign w:val="center"/>
          </w:tcPr>
          <w:p w:rsidR="005B2AE9" w:rsidRPr="00B22F46" w:rsidRDefault="005B2AE9" w:rsidP="00C359A0">
            <w:pPr>
              <w:pStyle w:val="naiskr"/>
              <w:spacing w:before="0" w:after="0"/>
              <w:jc w:val="both"/>
              <w:rPr>
                <w:sz w:val="26"/>
                <w:szCs w:val="26"/>
              </w:rPr>
            </w:pPr>
            <w:r w:rsidRPr="00B22F46">
              <w:rPr>
                <w:sz w:val="26"/>
                <w:szCs w:val="26"/>
              </w:rPr>
              <w:t>Projekts šo jomu neskar.</w:t>
            </w:r>
          </w:p>
        </w:tc>
      </w:tr>
      <w:tr w:rsidR="005B2AE9" w:rsidRPr="00B22F46">
        <w:trPr>
          <w:trHeight w:val="517"/>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3.</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 xml:space="preserve">Tiesiskā regulējuma finansiālā ietekme </w:t>
            </w:r>
          </w:p>
        </w:tc>
        <w:tc>
          <w:tcPr>
            <w:tcW w:w="5528" w:type="dxa"/>
            <w:vAlign w:val="center"/>
          </w:tcPr>
          <w:p w:rsidR="00E97F79" w:rsidRPr="003F7C21" w:rsidRDefault="00E97F79" w:rsidP="00E97F79">
            <w:pPr>
              <w:pStyle w:val="ListParagraph"/>
              <w:ind w:left="0"/>
              <w:jc w:val="both"/>
              <w:rPr>
                <w:sz w:val="26"/>
                <w:szCs w:val="26"/>
                <w:highlight w:val="yellow"/>
              </w:rPr>
            </w:pPr>
            <w:r>
              <w:rPr>
                <w:sz w:val="26"/>
                <w:szCs w:val="26"/>
              </w:rPr>
              <w:t>Atbilstoši noteikumos veiktajām izmaiņām aprēķinātais finansējums 2013.gada 4 mēnešiem ir 66 844 748 lati, maksimāli pie</w:t>
            </w:r>
            <w:r w:rsidR="002F330E">
              <w:rPr>
                <w:sz w:val="26"/>
                <w:szCs w:val="26"/>
              </w:rPr>
              <w:t xml:space="preserve">ejamais finansējums 2013.gada 4 </w:t>
            </w:r>
            <w:r>
              <w:rPr>
                <w:sz w:val="26"/>
                <w:szCs w:val="26"/>
              </w:rPr>
              <w:t xml:space="preserve">mēnešos (ņemot vērā Ministru kabineta 2013.gada 30.jūlija lēmumu (protokols Nr.41, </w:t>
            </w:r>
            <w:r w:rsidRPr="00992556">
              <w:rPr>
                <w:sz w:val="26"/>
                <w:szCs w:val="26"/>
              </w:rPr>
              <w:t>79.§)</w:t>
            </w:r>
            <w:r>
              <w:rPr>
                <w:sz w:val="26"/>
                <w:szCs w:val="26"/>
              </w:rPr>
              <w:t xml:space="preserve"> 67 369 114 lati, starpība 934 lati.</w:t>
            </w:r>
          </w:p>
          <w:p w:rsidR="005B2AE9" w:rsidRPr="00335893" w:rsidRDefault="00E97F79" w:rsidP="00E97F79">
            <w:pPr>
              <w:pStyle w:val="ListParagraph"/>
              <w:ind w:left="0"/>
              <w:jc w:val="both"/>
              <w:rPr>
                <w:b/>
                <w:iCs/>
                <w:color w:val="FF0000"/>
                <w:sz w:val="26"/>
                <w:szCs w:val="26"/>
              </w:rPr>
            </w:pPr>
            <w:r w:rsidRPr="003F7C21">
              <w:rPr>
                <w:sz w:val="26"/>
                <w:szCs w:val="26"/>
              </w:rPr>
              <w:t>Izpildot</w:t>
            </w:r>
            <w:r w:rsidRPr="00B23A4A">
              <w:rPr>
                <w:sz w:val="26"/>
                <w:szCs w:val="26"/>
              </w:rPr>
              <w:t xml:space="preserve"> Ministru kabineta 2013.gada 28.maija sēdes </w:t>
            </w:r>
            <w:proofErr w:type="spellStart"/>
            <w:r w:rsidRPr="00B23A4A">
              <w:rPr>
                <w:sz w:val="26"/>
                <w:szCs w:val="26"/>
              </w:rPr>
              <w:t>protokollēmuma</w:t>
            </w:r>
            <w:proofErr w:type="spellEnd"/>
            <w:r w:rsidRPr="00B23A4A">
              <w:rPr>
                <w:sz w:val="26"/>
                <w:szCs w:val="26"/>
              </w:rPr>
              <w:t xml:space="preserve"> (prot. Nr.32 70.§) 5.1.apakšpunktu, pēc nepieciešamā normatīvā regulējuma par pedagogu darba samaksu apstiprināšanas Ministru kabinetā, kā arī pēc faktiskā izglītojamo skaita saņemšanas Valsts izglītības informācijas sistēmā 5.septembrī par stāvokli uz 1.septembri, Iz</w:t>
            </w:r>
            <w:r>
              <w:rPr>
                <w:sz w:val="26"/>
                <w:szCs w:val="26"/>
              </w:rPr>
              <w:t>glītības un zinātnes ministrija</w:t>
            </w:r>
            <w:r w:rsidRPr="00B23A4A">
              <w:rPr>
                <w:sz w:val="26"/>
                <w:szCs w:val="26"/>
              </w:rPr>
              <w:t xml:space="preserve"> līdz 13.septembrim precizē</w:t>
            </w:r>
            <w:r>
              <w:rPr>
                <w:sz w:val="26"/>
                <w:szCs w:val="26"/>
              </w:rPr>
              <w:t>s</w:t>
            </w:r>
            <w:r w:rsidRPr="00B23A4A">
              <w:rPr>
                <w:sz w:val="26"/>
                <w:szCs w:val="26"/>
              </w:rPr>
              <w:t xml:space="preserve"> aprēķinus par 2013.gadā nepieciešamo finansējumu pedagogu darba samaksas nodrošināšanai.</w:t>
            </w:r>
          </w:p>
        </w:tc>
      </w:tr>
      <w:tr w:rsidR="005B2AE9" w:rsidRPr="00B22F46">
        <w:trPr>
          <w:trHeight w:val="517"/>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4.</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Tiesiskā regulējuma nefinansiālā ietekme</w:t>
            </w:r>
          </w:p>
        </w:tc>
        <w:tc>
          <w:tcPr>
            <w:tcW w:w="5528" w:type="dxa"/>
            <w:vAlign w:val="center"/>
          </w:tcPr>
          <w:p w:rsidR="005B2AE9" w:rsidRPr="00B22F46" w:rsidRDefault="00BB1451" w:rsidP="00582FCA">
            <w:pPr>
              <w:pStyle w:val="naiskr"/>
              <w:spacing w:before="0" w:after="0"/>
              <w:jc w:val="both"/>
              <w:rPr>
                <w:sz w:val="26"/>
                <w:szCs w:val="26"/>
              </w:rPr>
            </w:pPr>
            <w:r w:rsidRPr="00B22F46">
              <w:rPr>
                <w:sz w:val="26"/>
                <w:szCs w:val="26"/>
              </w:rPr>
              <w:t>Projekts šo jomu neskar.</w:t>
            </w:r>
          </w:p>
        </w:tc>
      </w:tr>
      <w:tr w:rsidR="005B2AE9" w:rsidRPr="00B22F46">
        <w:trPr>
          <w:trHeight w:val="625"/>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5.</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Administratīvās procedūras raksturojums</w:t>
            </w:r>
          </w:p>
        </w:tc>
        <w:tc>
          <w:tcPr>
            <w:tcW w:w="5528" w:type="dxa"/>
            <w:vAlign w:val="center"/>
          </w:tcPr>
          <w:p w:rsidR="005B2AE9" w:rsidRPr="00B22F46" w:rsidRDefault="005B2AE9" w:rsidP="00C359A0">
            <w:pPr>
              <w:pStyle w:val="naiskr"/>
              <w:spacing w:before="0" w:after="0"/>
              <w:jc w:val="both"/>
              <w:rPr>
                <w:i/>
                <w:iCs/>
                <w:sz w:val="26"/>
                <w:szCs w:val="26"/>
              </w:rPr>
            </w:pPr>
            <w:r w:rsidRPr="00B22F46">
              <w:rPr>
                <w:sz w:val="26"/>
                <w:szCs w:val="26"/>
              </w:rPr>
              <w:t>Projekts šo jomu neskar.</w:t>
            </w:r>
          </w:p>
        </w:tc>
      </w:tr>
      <w:tr w:rsidR="005B2AE9" w:rsidRPr="00B22F46">
        <w:trPr>
          <w:trHeight w:val="709"/>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t>6.</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Administratīvo izmaksu monetārs novērtējums</w:t>
            </w:r>
          </w:p>
        </w:tc>
        <w:tc>
          <w:tcPr>
            <w:tcW w:w="5528" w:type="dxa"/>
            <w:vAlign w:val="center"/>
          </w:tcPr>
          <w:p w:rsidR="005B2AE9" w:rsidRPr="00B22F46" w:rsidRDefault="005B2AE9" w:rsidP="00C359A0">
            <w:pPr>
              <w:pStyle w:val="naiskr"/>
              <w:spacing w:before="0" w:after="0"/>
              <w:jc w:val="both"/>
              <w:rPr>
                <w:i/>
                <w:iCs/>
                <w:sz w:val="26"/>
                <w:szCs w:val="26"/>
              </w:rPr>
            </w:pPr>
            <w:r w:rsidRPr="00B22F46">
              <w:rPr>
                <w:sz w:val="26"/>
                <w:szCs w:val="26"/>
              </w:rPr>
              <w:t>Projekts šo jomu neskar.</w:t>
            </w:r>
          </w:p>
        </w:tc>
      </w:tr>
      <w:tr w:rsidR="005B2AE9" w:rsidRPr="00B22F46">
        <w:trPr>
          <w:tblCellSpacing w:w="0" w:type="dxa"/>
        </w:trPr>
        <w:tc>
          <w:tcPr>
            <w:tcW w:w="415" w:type="dxa"/>
            <w:vAlign w:val="center"/>
          </w:tcPr>
          <w:p w:rsidR="005B2AE9" w:rsidRPr="00B22F46" w:rsidRDefault="005B2AE9" w:rsidP="00C359A0">
            <w:pPr>
              <w:pStyle w:val="naiskr"/>
              <w:spacing w:before="0" w:after="0"/>
              <w:jc w:val="center"/>
              <w:rPr>
                <w:sz w:val="26"/>
                <w:szCs w:val="26"/>
              </w:rPr>
            </w:pPr>
            <w:r w:rsidRPr="00B22F46">
              <w:rPr>
                <w:sz w:val="26"/>
                <w:szCs w:val="26"/>
              </w:rPr>
              <w:lastRenderedPageBreak/>
              <w:t>7.</w:t>
            </w:r>
          </w:p>
        </w:tc>
        <w:tc>
          <w:tcPr>
            <w:tcW w:w="3338" w:type="dxa"/>
            <w:vAlign w:val="center"/>
          </w:tcPr>
          <w:p w:rsidR="005B2AE9" w:rsidRPr="00B22F46" w:rsidRDefault="005B2AE9" w:rsidP="00C359A0">
            <w:pPr>
              <w:pStyle w:val="naiskr"/>
              <w:spacing w:before="0" w:after="0"/>
              <w:rPr>
                <w:sz w:val="26"/>
                <w:szCs w:val="26"/>
              </w:rPr>
            </w:pPr>
            <w:r w:rsidRPr="00B22F46">
              <w:rPr>
                <w:sz w:val="26"/>
                <w:szCs w:val="26"/>
              </w:rPr>
              <w:t>Cita informācija.</w:t>
            </w:r>
          </w:p>
        </w:tc>
        <w:tc>
          <w:tcPr>
            <w:tcW w:w="5528" w:type="dxa"/>
            <w:vAlign w:val="center"/>
          </w:tcPr>
          <w:p w:rsidR="005B2AE9" w:rsidRPr="00B22F46" w:rsidRDefault="005B2AE9" w:rsidP="00C359A0">
            <w:pPr>
              <w:pStyle w:val="naiskr"/>
              <w:spacing w:before="0" w:after="0"/>
              <w:jc w:val="both"/>
              <w:rPr>
                <w:sz w:val="26"/>
                <w:szCs w:val="26"/>
              </w:rPr>
            </w:pPr>
            <w:r w:rsidRPr="00B22F46">
              <w:rPr>
                <w:sz w:val="26"/>
                <w:szCs w:val="26"/>
              </w:rPr>
              <w:t xml:space="preserve"> Nav.</w:t>
            </w:r>
          </w:p>
        </w:tc>
      </w:tr>
    </w:tbl>
    <w:p w:rsidR="00B22F46" w:rsidRPr="00B22F46" w:rsidRDefault="005B2AE9" w:rsidP="00017325">
      <w:pPr>
        <w:spacing w:before="0" w:after="0"/>
        <w:rPr>
          <w:sz w:val="26"/>
          <w:szCs w:val="26"/>
        </w:rPr>
      </w:pPr>
      <w:r w:rsidRPr="00B22F46">
        <w:rPr>
          <w:sz w:val="26"/>
          <w:szCs w:val="26"/>
        </w:rPr>
        <w:t> </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9"/>
        <w:gridCol w:w="1570"/>
        <w:gridCol w:w="1519"/>
        <w:gridCol w:w="1533"/>
        <w:gridCol w:w="1420"/>
        <w:gridCol w:w="1475"/>
      </w:tblGrid>
      <w:tr w:rsidR="00B22F46" w:rsidRPr="00B22F46" w:rsidTr="00F36810">
        <w:tc>
          <w:tcPr>
            <w:tcW w:w="5000" w:type="pct"/>
            <w:gridSpan w:val="6"/>
            <w:tcBorders>
              <w:top w:val="single" w:sz="12" w:space="0" w:color="auto"/>
              <w:left w:val="single" w:sz="12" w:space="0" w:color="auto"/>
              <w:bottom w:val="single" w:sz="12" w:space="0" w:color="auto"/>
              <w:right w:val="single" w:sz="12" w:space="0" w:color="auto"/>
            </w:tcBorders>
          </w:tcPr>
          <w:p w:rsidR="00B22F46" w:rsidRPr="00B22F46" w:rsidRDefault="00B22F46" w:rsidP="002765DF">
            <w:pPr>
              <w:jc w:val="center"/>
              <w:rPr>
                <w:b/>
                <w:bCs/>
                <w:sz w:val="26"/>
                <w:szCs w:val="26"/>
              </w:rPr>
            </w:pPr>
            <w:r w:rsidRPr="00B22F46">
              <w:rPr>
                <w:b/>
                <w:bCs/>
                <w:sz w:val="26"/>
                <w:szCs w:val="26"/>
              </w:rPr>
              <w:t>III. Tiesību akta projekta ietekme uz valsts budžetu un pašvaldību budžetiem</w:t>
            </w:r>
          </w:p>
        </w:tc>
      </w:tr>
      <w:tr w:rsidR="00B22F46" w:rsidRPr="00B22F46" w:rsidTr="00F36810">
        <w:tblPrEx>
          <w:tblLook w:val="04A0"/>
        </w:tblPrEx>
        <w:tc>
          <w:tcPr>
            <w:tcW w:w="983" w:type="pct"/>
            <w:vMerge w:val="restar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sz w:val="26"/>
                <w:szCs w:val="26"/>
              </w:rPr>
            </w:pPr>
            <w:r w:rsidRPr="00B22F46">
              <w:rPr>
                <w:sz w:val="26"/>
                <w:szCs w:val="26"/>
              </w:rPr>
              <w:t> </w:t>
            </w:r>
            <w:r w:rsidRPr="00B22F46">
              <w:rPr>
                <w:b/>
                <w:bCs/>
                <w:sz w:val="26"/>
                <w:szCs w:val="26"/>
              </w:rPr>
              <w:t>Rādītāji</w:t>
            </w:r>
          </w:p>
        </w:tc>
        <w:tc>
          <w:tcPr>
            <w:tcW w:w="1651" w:type="pct"/>
            <w:gridSpan w:val="2"/>
            <w:vMerge w:val="restar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sz w:val="26"/>
                <w:szCs w:val="26"/>
              </w:rPr>
            </w:pPr>
            <w:r w:rsidRPr="00B22F46">
              <w:rPr>
                <w:sz w:val="26"/>
                <w:szCs w:val="26"/>
              </w:rPr>
              <w:t> </w:t>
            </w:r>
            <w:r w:rsidRPr="00B22F46">
              <w:rPr>
                <w:b/>
                <w:bCs/>
                <w:sz w:val="26"/>
                <w:szCs w:val="26"/>
              </w:rPr>
              <w:t>2013.gads</w:t>
            </w:r>
          </w:p>
        </w:tc>
        <w:tc>
          <w:tcPr>
            <w:tcW w:w="2366" w:type="pct"/>
            <w:gridSpan w:val="3"/>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sz w:val="26"/>
                <w:szCs w:val="26"/>
              </w:rPr>
            </w:pPr>
            <w:r w:rsidRPr="00B22F46">
              <w:rPr>
                <w:sz w:val="26"/>
                <w:szCs w:val="26"/>
              </w:rPr>
              <w:t> Turpmākie trīs gadi (tūkst. latu)</w:t>
            </w:r>
          </w:p>
        </w:tc>
      </w:tr>
      <w:tr w:rsidR="00B22F46" w:rsidRPr="00B22F46" w:rsidTr="00F36810">
        <w:tblPrEx>
          <w:tblLook w:val="04A0"/>
        </w:tblPrEx>
        <w:tc>
          <w:tcPr>
            <w:tcW w:w="983" w:type="pct"/>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c>
          <w:tcPr>
            <w:tcW w:w="1651" w:type="pct"/>
            <w:gridSpan w:val="2"/>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c>
          <w:tcPr>
            <w:tcW w:w="81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b/>
                <w:bCs/>
                <w:sz w:val="26"/>
                <w:szCs w:val="26"/>
              </w:rPr>
            </w:pPr>
            <w:r w:rsidRPr="00B22F46">
              <w:rPr>
                <w:b/>
                <w:bCs/>
                <w:sz w:val="26"/>
                <w:szCs w:val="26"/>
              </w:rPr>
              <w:t> 2014.</w:t>
            </w:r>
          </w:p>
        </w:tc>
        <w:tc>
          <w:tcPr>
            <w:tcW w:w="75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b/>
                <w:bCs/>
                <w:sz w:val="26"/>
                <w:szCs w:val="26"/>
              </w:rPr>
            </w:pPr>
            <w:r w:rsidRPr="00B22F46">
              <w:rPr>
                <w:b/>
                <w:bCs/>
                <w:sz w:val="26"/>
                <w:szCs w:val="26"/>
              </w:rPr>
              <w:t> 2015.</w:t>
            </w:r>
          </w:p>
        </w:tc>
        <w:tc>
          <w:tcPr>
            <w:tcW w:w="788"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b/>
                <w:bCs/>
                <w:sz w:val="26"/>
                <w:szCs w:val="26"/>
              </w:rPr>
            </w:pPr>
            <w:r w:rsidRPr="00B22F46">
              <w:rPr>
                <w:b/>
                <w:bCs/>
                <w:sz w:val="26"/>
                <w:szCs w:val="26"/>
              </w:rPr>
              <w:t> 2016.</w:t>
            </w:r>
          </w:p>
        </w:tc>
      </w:tr>
      <w:tr w:rsidR="00B22F46" w:rsidRPr="00B22F46" w:rsidTr="00F36810">
        <w:tblPrEx>
          <w:tblLook w:val="04A0"/>
        </w:tblPrEx>
        <w:tc>
          <w:tcPr>
            <w:tcW w:w="983" w:type="pct"/>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c>
          <w:tcPr>
            <w:tcW w:w="83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sz w:val="26"/>
                <w:szCs w:val="26"/>
              </w:rPr>
            </w:pPr>
            <w:r w:rsidRPr="00B22F46">
              <w:rPr>
                <w:sz w:val="26"/>
                <w:szCs w:val="26"/>
              </w:rPr>
              <w:t> Saskaņā ar valsts budžetu kārtējam gadam</w:t>
            </w:r>
          </w:p>
        </w:tc>
        <w:tc>
          <w:tcPr>
            <w:tcW w:w="812"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r w:rsidRPr="00B22F46">
              <w:rPr>
                <w:sz w:val="26"/>
                <w:szCs w:val="26"/>
              </w:rPr>
              <w:t> Izmaiņas kārtējā gadā, salīdzinot ar budžetu kārtējam gadam</w:t>
            </w:r>
          </w:p>
        </w:tc>
        <w:tc>
          <w:tcPr>
            <w:tcW w:w="819"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r w:rsidRPr="00B22F46">
              <w:rPr>
                <w:sz w:val="26"/>
                <w:szCs w:val="26"/>
              </w:rPr>
              <w:t> Izmaiņas, salīdzinot ar kārtējo (n) gadu</w:t>
            </w:r>
          </w:p>
        </w:tc>
        <w:tc>
          <w:tcPr>
            <w:tcW w:w="759"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r w:rsidRPr="00B22F46">
              <w:rPr>
                <w:sz w:val="26"/>
                <w:szCs w:val="26"/>
              </w:rPr>
              <w:t> Izmaiņas, salīdzinot ar kārtējo (n) gadu</w:t>
            </w:r>
          </w:p>
        </w:tc>
        <w:tc>
          <w:tcPr>
            <w:tcW w:w="788"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r w:rsidRPr="00B22F46">
              <w:rPr>
                <w:sz w:val="26"/>
                <w:szCs w:val="26"/>
              </w:rPr>
              <w:t> Izmaiņas, salīdzinot ar kārtējo (n) gadu</w:t>
            </w:r>
          </w:p>
        </w:tc>
      </w:tr>
      <w:tr w:rsidR="00B22F46" w:rsidRPr="00B22F46" w:rsidTr="00F36810">
        <w:tblPrEx>
          <w:tblLook w:val="04A0"/>
        </w:tblPrEx>
        <w:trPr>
          <w:trHeight w:val="313"/>
        </w:trPr>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c>
          <w:tcPr>
            <w:tcW w:w="83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p>
        </w:tc>
        <w:tc>
          <w:tcPr>
            <w:tcW w:w="819"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p>
        </w:tc>
        <w:tc>
          <w:tcPr>
            <w:tcW w:w="759"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p>
        </w:tc>
        <w:tc>
          <w:tcPr>
            <w:tcW w:w="788" w:type="pct"/>
            <w:tcBorders>
              <w:top w:val="single" w:sz="12" w:space="0" w:color="auto"/>
              <w:left w:val="single" w:sz="12" w:space="0" w:color="auto"/>
              <w:bottom w:val="single" w:sz="12" w:space="0" w:color="auto"/>
              <w:right w:val="single" w:sz="12" w:space="0" w:color="auto"/>
            </w:tcBorders>
            <w:shd w:val="clear" w:color="auto" w:fill="auto"/>
            <w:hideMark/>
          </w:tcPr>
          <w:p w:rsidR="00B22F46" w:rsidRPr="00B22F46" w:rsidRDefault="00B22F46" w:rsidP="002765DF">
            <w:pPr>
              <w:jc w:val="center"/>
              <w:rPr>
                <w:sz w:val="26"/>
                <w:szCs w:val="26"/>
              </w:rPr>
            </w:pPr>
          </w:p>
        </w:tc>
      </w:tr>
      <w:tr w:rsidR="00B22F46" w:rsidRPr="00B22F46" w:rsidTr="00F36810">
        <w:tblPrEx>
          <w:tblLook w:val="04A0"/>
        </w:tblPrEx>
        <w:trPr>
          <w:trHeight w:val="588"/>
        </w:trPr>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1. Budžeta ieņēmumi:</w:t>
            </w:r>
          </w:p>
        </w:tc>
        <w:tc>
          <w:tcPr>
            <w:tcW w:w="8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B22F46">
            <w:pPr>
              <w:autoSpaceDE w:val="0"/>
              <w:autoSpaceDN w:val="0"/>
              <w:adjustRightInd w:val="0"/>
              <w:spacing w:before="0" w:after="0"/>
              <w:jc w:val="both"/>
              <w:rPr>
                <w:sz w:val="26"/>
                <w:szCs w:val="26"/>
              </w:rPr>
            </w:pPr>
            <w:r w:rsidRPr="00B22F46">
              <w:rPr>
                <w:rFonts w:eastAsia="Calibri"/>
                <w:color w:val="000000"/>
                <w:lang w:val="en-US" w:eastAsia="en-US"/>
              </w:rPr>
              <w:t>192 729, 912</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1.1. valsts pamatbudžets, tai skaitā ieņēmumi no maksas pakalpo-jumiem un citi pašu ieņēmumi</w:t>
            </w:r>
          </w:p>
        </w:tc>
        <w:tc>
          <w:tcPr>
            <w:tcW w:w="83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rFonts w:eastAsia="Calibri"/>
                <w:color w:val="000000"/>
                <w:lang w:val="en-US" w:eastAsia="en-US"/>
              </w:rPr>
              <w:t>192 729, 912</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1.2. valsts speciālais 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1.3. pašvaldību 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ind w:firstLine="250"/>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335893"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r w:rsidRPr="00B22F46">
              <w:rPr>
                <w:sz w:val="26"/>
                <w:szCs w:val="26"/>
              </w:rPr>
              <w:t> 2. Budžeta izdevumi:</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rFonts w:eastAsia="Calibri"/>
                <w:color w:val="000000"/>
                <w:lang w:val="en-US" w:eastAsia="en-US"/>
              </w:rPr>
              <w:t>192 729, 912</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r>
      <w:tr w:rsidR="00335893" w:rsidRPr="00B22F46" w:rsidTr="002765DF">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r w:rsidRPr="00B22F46">
              <w:rPr>
                <w:sz w:val="26"/>
                <w:szCs w:val="26"/>
              </w:rPr>
              <w:t> 2.1. valsts pamatbudžets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rFonts w:eastAsia="Calibri"/>
                <w:color w:val="000000"/>
                <w:lang w:val="en-US" w:eastAsia="en-US"/>
              </w:rPr>
              <w:t>192 729, 912</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2.2. valsts speciālais 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xml:space="preserve"> 2.3. pašvaldību </w:t>
            </w:r>
            <w:r w:rsidRPr="00B22F46">
              <w:rPr>
                <w:sz w:val="26"/>
                <w:szCs w:val="26"/>
              </w:rPr>
              <w:lastRenderedPageBreak/>
              <w:t>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lastRenderedPageBreak/>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22F46" w:rsidRPr="00B22F46" w:rsidRDefault="00B22F46" w:rsidP="002765DF">
            <w:pPr>
              <w:jc w:val="center"/>
              <w:rPr>
                <w:sz w:val="26"/>
                <w:szCs w:val="26"/>
              </w:rPr>
            </w:pPr>
            <w:r w:rsidRPr="00B22F46">
              <w:rPr>
                <w:sz w:val="26"/>
                <w:szCs w:val="26"/>
              </w:rPr>
              <w:t>0</w:t>
            </w:r>
          </w:p>
        </w:tc>
      </w:tr>
      <w:tr w:rsidR="00335893" w:rsidRPr="00B22F46" w:rsidTr="002765DF">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r w:rsidRPr="00B22F46">
              <w:rPr>
                <w:sz w:val="26"/>
                <w:szCs w:val="26"/>
              </w:rPr>
              <w:lastRenderedPageBreak/>
              <w:t> 3. Finansiālā ietekme:</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r>
      <w:tr w:rsidR="00335893" w:rsidRPr="00B22F46" w:rsidTr="002765DF">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r w:rsidRPr="00B22F46">
              <w:rPr>
                <w:sz w:val="26"/>
                <w:szCs w:val="26"/>
              </w:rPr>
              <w:t> 3.1. valsts pamatbudžets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35893" w:rsidRPr="00B22F46" w:rsidRDefault="00335893"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3.2. speciālais 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759"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788"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3.3. pašvaldību budžets</w:t>
            </w:r>
          </w:p>
        </w:tc>
        <w:tc>
          <w:tcPr>
            <w:tcW w:w="83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759"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788"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r>
      <w:tr w:rsidR="00B22F46" w:rsidRPr="00B22F46" w:rsidTr="00F36810">
        <w:tblPrEx>
          <w:tblLook w:val="04A0"/>
        </w:tblPrEx>
        <w:tc>
          <w:tcPr>
            <w:tcW w:w="983" w:type="pct"/>
            <w:vMerge w:val="restar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4. Finanšu līdzekļi papildu izde</w:t>
            </w:r>
            <w:r w:rsidRPr="00B22F46">
              <w:rPr>
                <w:sz w:val="26"/>
                <w:szCs w:val="26"/>
              </w:rPr>
              <w:softHyphen/>
              <w:t>vumu finansēšanai (kompensējošu izdevumu samazinājumu norāda ar "+" zīmi)*</w:t>
            </w:r>
          </w:p>
        </w:tc>
        <w:tc>
          <w:tcPr>
            <w:tcW w:w="839" w:type="pct"/>
            <w:vMerge w:val="restar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x</w:t>
            </w: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75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788"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r>
      <w:tr w:rsidR="00B22F46" w:rsidRPr="00B22F46" w:rsidTr="00F36810">
        <w:tblPrEx>
          <w:tblLook w:val="04A0"/>
        </w:tblPrEx>
        <w:tc>
          <w:tcPr>
            <w:tcW w:w="983" w:type="pct"/>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c>
          <w:tcPr>
            <w:tcW w:w="839" w:type="pct"/>
            <w:vMerge/>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ind w:firstLine="250"/>
              <w:jc w:val="center"/>
              <w:rPr>
                <w:sz w:val="26"/>
                <w:szCs w:val="26"/>
              </w:rPr>
            </w:pP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75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788"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r>
      <w:tr w:rsidR="00335893" w:rsidRPr="00B22F46" w:rsidTr="00F36810">
        <w:tblPrEx>
          <w:tblLook w:val="04A0"/>
        </w:tblPrEx>
        <w:tc>
          <w:tcPr>
            <w:tcW w:w="983" w:type="pct"/>
            <w:vMerge/>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p>
        </w:tc>
        <w:tc>
          <w:tcPr>
            <w:tcW w:w="839" w:type="pct"/>
            <w:vMerge/>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5. Precizēta finansiālā ietekme:</w:t>
            </w:r>
          </w:p>
        </w:tc>
        <w:tc>
          <w:tcPr>
            <w:tcW w:w="839" w:type="pct"/>
            <w:vMerge w:val="restar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ind w:firstLine="250"/>
              <w:jc w:val="center"/>
              <w:rPr>
                <w:sz w:val="26"/>
                <w:szCs w:val="26"/>
              </w:rPr>
            </w:pPr>
            <w:r w:rsidRPr="00B22F46">
              <w:rPr>
                <w:sz w:val="26"/>
                <w:szCs w:val="26"/>
              </w:rPr>
              <w:t>x</w:t>
            </w: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jc w:val="center"/>
              <w:rPr>
                <w:sz w:val="26"/>
                <w:szCs w:val="26"/>
              </w:rPr>
            </w:pPr>
            <w:r w:rsidRPr="00F36810">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F36810" w:rsidRDefault="00B22F46" w:rsidP="002765DF">
            <w:pPr>
              <w:pStyle w:val="naisf"/>
              <w:spacing w:before="0" w:after="0"/>
              <w:ind w:firstLine="0"/>
              <w:jc w:val="center"/>
              <w:rPr>
                <w:sz w:val="26"/>
                <w:szCs w:val="26"/>
              </w:rPr>
            </w:pPr>
            <w:r w:rsidRPr="00F36810">
              <w:rPr>
                <w:sz w:val="26"/>
                <w:szCs w:val="26"/>
              </w:rPr>
              <w:t>0</w:t>
            </w:r>
          </w:p>
        </w:tc>
        <w:tc>
          <w:tcPr>
            <w:tcW w:w="759" w:type="pct"/>
            <w:tcBorders>
              <w:top w:val="single" w:sz="12" w:space="0" w:color="auto"/>
              <w:left w:val="single" w:sz="12" w:space="0" w:color="auto"/>
              <w:bottom w:val="single" w:sz="12" w:space="0" w:color="auto"/>
              <w:right w:val="single" w:sz="12" w:space="0" w:color="auto"/>
            </w:tcBorders>
            <w:hideMark/>
          </w:tcPr>
          <w:p w:rsidR="00B22F46" w:rsidRPr="00F36810" w:rsidRDefault="00B22F46" w:rsidP="002765DF">
            <w:pPr>
              <w:pStyle w:val="naisf"/>
              <w:spacing w:before="0" w:after="0"/>
              <w:ind w:firstLine="0"/>
              <w:jc w:val="center"/>
              <w:rPr>
                <w:sz w:val="26"/>
                <w:szCs w:val="26"/>
              </w:rPr>
            </w:pPr>
          </w:p>
          <w:p w:rsidR="00B22F46" w:rsidRPr="00F36810" w:rsidRDefault="00B22F46" w:rsidP="002765DF">
            <w:pPr>
              <w:pStyle w:val="naisf"/>
              <w:spacing w:before="0" w:after="0"/>
              <w:ind w:firstLine="0"/>
              <w:jc w:val="center"/>
              <w:rPr>
                <w:sz w:val="26"/>
                <w:szCs w:val="26"/>
              </w:rPr>
            </w:pPr>
            <w:r w:rsidRPr="00F36810">
              <w:rPr>
                <w:sz w:val="26"/>
                <w:szCs w:val="26"/>
              </w:rPr>
              <w:t>0</w:t>
            </w:r>
          </w:p>
        </w:tc>
        <w:tc>
          <w:tcPr>
            <w:tcW w:w="788" w:type="pct"/>
            <w:tcBorders>
              <w:top w:val="single" w:sz="12" w:space="0" w:color="auto"/>
              <w:left w:val="single" w:sz="12" w:space="0" w:color="auto"/>
              <w:bottom w:val="single" w:sz="12" w:space="0" w:color="auto"/>
              <w:right w:val="single" w:sz="12" w:space="0" w:color="auto"/>
            </w:tcBorders>
            <w:hideMark/>
          </w:tcPr>
          <w:p w:rsidR="00B22F46" w:rsidRPr="00F36810" w:rsidRDefault="00B22F46" w:rsidP="002765DF">
            <w:pPr>
              <w:pStyle w:val="naisf"/>
              <w:spacing w:before="0" w:after="0"/>
              <w:ind w:firstLine="0"/>
              <w:jc w:val="center"/>
              <w:rPr>
                <w:sz w:val="26"/>
                <w:szCs w:val="26"/>
              </w:rPr>
            </w:pPr>
          </w:p>
          <w:p w:rsidR="00B22F46" w:rsidRPr="00F36810" w:rsidRDefault="00B22F46" w:rsidP="002765DF">
            <w:pPr>
              <w:pStyle w:val="naisf"/>
              <w:spacing w:before="0" w:after="0"/>
              <w:ind w:firstLine="0"/>
              <w:jc w:val="center"/>
              <w:rPr>
                <w:sz w:val="26"/>
                <w:szCs w:val="26"/>
              </w:rPr>
            </w:pPr>
            <w:r w:rsidRPr="00F36810">
              <w:rPr>
                <w:sz w:val="26"/>
                <w:szCs w:val="26"/>
              </w:rPr>
              <w:t>0</w:t>
            </w:r>
          </w:p>
        </w:tc>
      </w:tr>
      <w:tr w:rsidR="00335893"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335893" w:rsidRPr="00B22F46" w:rsidRDefault="00335893" w:rsidP="002765DF">
            <w:pPr>
              <w:rPr>
                <w:sz w:val="26"/>
                <w:szCs w:val="26"/>
              </w:rPr>
            </w:pPr>
            <w:r w:rsidRPr="00B22F46">
              <w:rPr>
                <w:sz w:val="26"/>
                <w:szCs w:val="26"/>
              </w:rPr>
              <w:t> 5.1. valsts pamatbudžets</w:t>
            </w:r>
          </w:p>
        </w:tc>
        <w:tc>
          <w:tcPr>
            <w:tcW w:w="839" w:type="pct"/>
            <w:vMerge/>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vAlign w:val="center"/>
            <w:hideMark/>
          </w:tcPr>
          <w:p w:rsidR="00335893" w:rsidRPr="00B22F46" w:rsidRDefault="00335893" w:rsidP="002765DF">
            <w:pPr>
              <w:jc w:val="center"/>
              <w:rPr>
                <w:sz w:val="26"/>
                <w:szCs w:val="26"/>
              </w:rPr>
            </w:pPr>
            <w:r w:rsidRPr="00B22F46">
              <w:rPr>
                <w:sz w:val="26"/>
                <w:szCs w:val="26"/>
              </w:rPr>
              <w:t>0</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5.2. speciālais budžets</w:t>
            </w:r>
          </w:p>
        </w:tc>
        <w:tc>
          <w:tcPr>
            <w:tcW w:w="839" w:type="pct"/>
            <w:vMerge/>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pStyle w:val="naisf"/>
              <w:spacing w:before="0" w:after="0"/>
              <w:ind w:firstLine="0"/>
              <w:jc w:val="center"/>
              <w:rPr>
                <w:sz w:val="26"/>
                <w:szCs w:val="26"/>
              </w:rPr>
            </w:pPr>
          </w:p>
          <w:p w:rsidR="00B22F46" w:rsidRPr="00B22F46" w:rsidRDefault="00B22F46" w:rsidP="002765DF">
            <w:pPr>
              <w:jc w:val="center"/>
              <w:rPr>
                <w:sz w:val="26"/>
                <w:szCs w:val="26"/>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pStyle w:val="naisf"/>
              <w:spacing w:before="0" w:after="0"/>
              <w:ind w:firstLine="0"/>
              <w:jc w:val="center"/>
              <w:rPr>
                <w:sz w:val="26"/>
                <w:szCs w:val="26"/>
              </w:rPr>
            </w:pPr>
          </w:p>
          <w:p w:rsidR="00B22F46" w:rsidRPr="00B22F46" w:rsidRDefault="00B22F46" w:rsidP="002765DF">
            <w:pPr>
              <w:jc w:val="center"/>
              <w:rPr>
                <w:sz w:val="26"/>
                <w:szCs w:val="26"/>
              </w:rPr>
            </w:pPr>
            <w:r w:rsidRPr="00B22F46">
              <w:rPr>
                <w:sz w:val="26"/>
                <w:szCs w:val="26"/>
              </w:rPr>
              <w:t>0</w:t>
            </w:r>
          </w:p>
        </w:tc>
      </w:tr>
      <w:tr w:rsidR="00B22F46" w:rsidRPr="00B22F46" w:rsidTr="00F36810">
        <w:tblPrEx>
          <w:tblLook w:val="04A0"/>
        </w:tblPrEx>
        <w:trPr>
          <w:trHeight w:val="614"/>
        </w:trPr>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5.3. pašvaldību budžets</w:t>
            </w:r>
          </w:p>
        </w:tc>
        <w:tc>
          <w:tcPr>
            <w:tcW w:w="839" w:type="pct"/>
            <w:vMerge/>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p>
        </w:tc>
        <w:tc>
          <w:tcPr>
            <w:tcW w:w="812"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jc w:val="center"/>
              <w:rPr>
                <w:sz w:val="26"/>
                <w:szCs w:val="26"/>
              </w:rPr>
            </w:pPr>
            <w:r w:rsidRPr="00B22F46">
              <w:rPr>
                <w:sz w:val="26"/>
                <w:szCs w:val="26"/>
              </w:rPr>
              <w:t>0</w:t>
            </w:r>
          </w:p>
        </w:tc>
        <w:tc>
          <w:tcPr>
            <w:tcW w:w="819" w:type="pct"/>
            <w:tcBorders>
              <w:top w:val="single" w:sz="12" w:space="0" w:color="auto"/>
              <w:left w:val="single" w:sz="12" w:space="0" w:color="auto"/>
              <w:bottom w:val="single" w:sz="12" w:space="0" w:color="auto"/>
              <w:right w:val="single" w:sz="12" w:space="0" w:color="auto"/>
            </w:tcBorders>
            <w:vAlign w:val="center"/>
            <w:hideMark/>
          </w:tcPr>
          <w:p w:rsidR="00B22F46" w:rsidRPr="00B22F46" w:rsidRDefault="00B22F46" w:rsidP="002765DF">
            <w:pPr>
              <w:ind w:hanging="74"/>
              <w:jc w:val="center"/>
              <w:rPr>
                <w:sz w:val="26"/>
                <w:szCs w:val="26"/>
                <w:u w:val="single"/>
              </w:rPr>
            </w:pPr>
            <w:r w:rsidRPr="00B22F46">
              <w:rPr>
                <w:sz w:val="26"/>
                <w:szCs w:val="26"/>
              </w:rPr>
              <w:t>0</w:t>
            </w:r>
          </w:p>
        </w:tc>
        <w:tc>
          <w:tcPr>
            <w:tcW w:w="759"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pStyle w:val="naisf"/>
              <w:spacing w:before="0" w:after="0"/>
              <w:ind w:firstLine="0"/>
              <w:jc w:val="center"/>
              <w:rPr>
                <w:sz w:val="26"/>
                <w:szCs w:val="26"/>
              </w:rPr>
            </w:pPr>
          </w:p>
          <w:p w:rsidR="00B22F46" w:rsidRPr="00B22F46" w:rsidRDefault="00B22F46" w:rsidP="002765DF">
            <w:pPr>
              <w:jc w:val="center"/>
              <w:rPr>
                <w:sz w:val="26"/>
                <w:szCs w:val="26"/>
                <w:u w:val="single"/>
              </w:rPr>
            </w:pPr>
            <w:r w:rsidRPr="00B22F46">
              <w:rPr>
                <w:sz w:val="26"/>
                <w:szCs w:val="26"/>
              </w:rPr>
              <w:t>0</w:t>
            </w:r>
          </w:p>
        </w:tc>
        <w:tc>
          <w:tcPr>
            <w:tcW w:w="788"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pStyle w:val="naisf"/>
              <w:spacing w:before="0" w:after="0"/>
              <w:ind w:firstLine="0"/>
              <w:jc w:val="center"/>
              <w:rPr>
                <w:sz w:val="26"/>
                <w:szCs w:val="26"/>
              </w:rPr>
            </w:pPr>
          </w:p>
          <w:p w:rsidR="00B22F46" w:rsidRPr="00B22F46" w:rsidRDefault="00B22F46" w:rsidP="002765DF">
            <w:pPr>
              <w:jc w:val="center"/>
              <w:rPr>
                <w:sz w:val="26"/>
                <w:szCs w:val="26"/>
                <w:u w:val="single"/>
              </w:rPr>
            </w:pPr>
            <w:r w:rsidRPr="00B22F46">
              <w:rPr>
                <w:sz w:val="26"/>
                <w:szCs w:val="26"/>
              </w:rPr>
              <w:t>0</w:t>
            </w:r>
          </w:p>
        </w:tc>
      </w:tr>
      <w:tr w:rsidR="00B22F46" w:rsidRPr="00B22F46" w:rsidTr="00F36810">
        <w:tblPrEx>
          <w:tblLook w:val="04A0"/>
        </w:tblPrEx>
        <w:trPr>
          <w:trHeight w:val="2837"/>
        </w:trPr>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6. Detalizēts ieņēmumu un izdevu</w:t>
            </w:r>
            <w:r w:rsidRPr="00B22F46">
              <w:rPr>
                <w:sz w:val="26"/>
                <w:szCs w:val="26"/>
              </w:rPr>
              <w:softHyphen/>
              <w:t xml:space="preserve">mu aprēķins (ja nepieciešams, detalizētu ieņēmumu un izdevumu aprēķinu var </w:t>
            </w:r>
            <w:r w:rsidRPr="00B22F46">
              <w:rPr>
                <w:sz w:val="26"/>
                <w:szCs w:val="26"/>
              </w:rPr>
              <w:lastRenderedPageBreak/>
              <w:t>pievienot anotācijas pielikumā):</w:t>
            </w:r>
          </w:p>
        </w:tc>
        <w:tc>
          <w:tcPr>
            <w:tcW w:w="4017" w:type="pct"/>
            <w:gridSpan w:val="5"/>
            <w:vMerge w:val="restart"/>
            <w:tcBorders>
              <w:top w:val="single" w:sz="12" w:space="0" w:color="auto"/>
              <w:left w:val="single" w:sz="12" w:space="0" w:color="auto"/>
              <w:bottom w:val="single" w:sz="12" w:space="0" w:color="auto"/>
              <w:right w:val="single" w:sz="12" w:space="0" w:color="auto"/>
            </w:tcBorders>
            <w:hideMark/>
          </w:tcPr>
          <w:p w:rsidR="00A65E94" w:rsidRDefault="00A65E94" w:rsidP="00A65E94">
            <w:pPr>
              <w:pStyle w:val="ListParagraph"/>
              <w:ind w:left="0"/>
              <w:jc w:val="both"/>
              <w:rPr>
                <w:rFonts w:eastAsia="Calibri"/>
                <w:color w:val="000000"/>
                <w:lang w:val="en-US" w:eastAsia="en-US"/>
              </w:rPr>
            </w:pPr>
            <w:r w:rsidRPr="00B22F46">
              <w:rPr>
                <w:sz w:val="26"/>
                <w:szCs w:val="26"/>
              </w:rPr>
              <w:lastRenderedPageBreak/>
              <w:t xml:space="preserve">2013.gadā šo noteikumu īstenošanai faktiski pieejamais finansējums ir: Izglītības un zinātnes ministrijai (62.resors) – </w:t>
            </w:r>
            <w:r w:rsidRPr="00B22F46">
              <w:rPr>
                <w:rFonts w:eastAsia="Calibri"/>
                <w:color w:val="000000"/>
                <w:lang w:val="en-US" w:eastAsia="en-US"/>
              </w:rPr>
              <w:t>192 729 </w:t>
            </w:r>
            <w:r w:rsidRPr="00CE797B">
              <w:rPr>
                <w:rFonts w:eastAsia="Calibri"/>
                <w:color w:val="000000"/>
                <w:lang w:eastAsia="en-US"/>
              </w:rPr>
              <w:t>912 lati:</w:t>
            </w:r>
          </w:p>
          <w:p w:rsidR="00B22F46" w:rsidRDefault="002F24E6" w:rsidP="00B22F46">
            <w:pPr>
              <w:pStyle w:val="ListParagraph"/>
              <w:ind w:left="0"/>
              <w:jc w:val="both"/>
              <w:rPr>
                <w:sz w:val="26"/>
                <w:szCs w:val="26"/>
              </w:rPr>
            </w:pPr>
            <w:r w:rsidRPr="004106ED">
              <w:rPr>
                <w:sz w:val="26"/>
                <w:szCs w:val="26"/>
              </w:rPr>
              <w:t>Ministru kabineta noteikumu Nr.1616 grozījumu pasākumu finansiālā ietekme</w:t>
            </w:r>
            <w:r>
              <w:rPr>
                <w:sz w:val="26"/>
                <w:szCs w:val="26"/>
              </w:rPr>
              <w:t xml:space="preserve"> aprēķināta par pamatu ņemot datus par izglītojamo skaitu uz 2012.gada 3.septembri.</w:t>
            </w:r>
            <w:r w:rsidR="00DB1015">
              <w:rPr>
                <w:sz w:val="26"/>
                <w:szCs w:val="26"/>
              </w:rPr>
              <w:t xml:space="preserve"> Lai novērtētu noteikuma projekta ietekmi uz budžetu ir parādīta katra koeficient</w:t>
            </w:r>
            <w:r w:rsidR="00DC1D5D">
              <w:rPr>
                <w:sz w:val="26"/>
                <w:szCs w:val="26"/>
              </w:rPr>
              <w:t>a</w:t>
            </w:r>
            <w:r w:rsidR="00DB1015">
              <w:rPr>
                <w:sz w:val="26"/>
                <w:szCs w:val="26"/>
              </w:rPr>
              <w:t xml:space="preserve"> izmaiņu ietekm</w:t>
            </w:r>
            <w:r w:rsidR="00DC1D5D">
              <w:rPr>
                <w:sz w:val="26"/>
                <w:szCs w:val="26"/>
              </w:rPr>
              <w:t>e</w:t>
            </w:r>
            <w:r w:rsidR="00DB1015">
              <w:rPr>
                <w:sz w:val="26"/>
                <w:szCs w:val="26"/>
              </w:rPr>
              <w:t xml:space="preserve"> pārējiem koeficientiem paliekot nemainīgiem, kā arī ir aprēķināta kopējā ietekme no koeficientu mijiedarbības.</w:t>
            </w:r>
          </w:p>
          <w:p w:rsidR="0062057D" w:rsidRPr="004106ED" w:rsidRDefault="0062057D" w:rsidP="0062057D">
            <w:pPr>
              <w:pStyle w:val="ListParagraph"/>
              <w:numPr>
                <w:ilvl w:val="0"/>
                <w:numId w:val="3"/>
              </w:numPr>
              <w:jc w:val="both"/>
              <w:rPr>
                <w:sz w:val="26"/>
                <w:szCs w:val="26"/>
              </w:rPr>
            </w:pPr>
            <w:r w:rsidRPr="004106ED">
              <w:rPr>
                <w:sz w:val="26"/>
                <w:szCs w:val="26"/>
              </w:rPr>
              <w:lastRenderedPageBreak/>
              <w:t>Noteikumu 6.2</w:t>
            </w:r>
            <w:r>
              <w:rPr>
                <w:sz w:val="26"/>
                <w:szCs w:val="26"/>
              </w:rPr>
              <w:t>.</w:t>
            </w:r>
            <w:r w:rsidRPr="004106ED">
              <w:rPr>
                <w:sz w:val="26"/>
                <w:szCs w:val="26"/>
              </w:rPr>
              <w:t xml:space="preserve"> apakšpunkta izmaiņām 323 520 lati (1.–4.klases skolēnu skaitam novadu pašvaldību pamatizglītības iestādēs, kurās skolēnu skaits ir 100 vai mazāks piemēro koeficentu 1 (iepriekš 0.75))</w:t>
            </w:r>
          </w:p>
          <w:p w:rsidR="0062057D" w:rsidRPr="004106ED" w:rsidRDefault="0062057D" w:rsidP="0062057D">
            <w:pPr>
              <w:pStyle w:val="ListParagraph"/>
              <w:numPr>
                <w:ilvl w:val="0"/>
                <w:numId w:val="3"/>
              </w:numPr>
              <w:jc w:val="both"/>
              <w:rPr>
                <w:sz w:val="26"/>
                <w:szCs w:val="26"/>
              </w:rPr>
            </w:pPr>
            <w:r w:rsidRPr="004106ED">
              <w:rPr>
                <w:sz w:val="26"/>
                <w:szCs w:val="26"/>
              </w:rPr>
              <w:t>Noteikumu 7.1</w:t>
            </w:r>
            <w:r>
              <w:rPr>
                <w:sz w:val="26"/>
                <w:szCs w:val="26"/>
              </w:rPr>
              <w:t>.</w:t>
            </w:r>
            <w:r w:rsidRPr="004106ED">
              <w:rPr>
                <w:sz w:val="26"/>
                <w:szCs w:val="26"/>
              </w:rPr>
              <w:t xml:space="preserve"> apakšpunkta izmaiņām 133 620 lati (pedagoģiskās un sociālās korekcijas programmās skolēnu skaitam piemēro koeficientu 1,2 (iepriekš 1,47); koeficientu 1,8 (iepriekš 1,6) – skolēnu (bērnu) skaitam, kas apgūst speciālās izglītības programmas speciālajās skolās; koeficientu 1,84 (iepriekš 1.6) – skolēnu (bērnu) skaitam, kas apgūst speciālās izglītības programmas speciālās izglītības klasēs (grupās) vai integrēti vispārējās izglītības iestādēs);</w:t>
            </w:r>
          </w:p>
          <w:p w:rsidR="0062057D" w:rsidRPr="004106ED" w:rsidRDefault="0062057D" w:rsidP="0062057D">
            <w:pPr>
              <w:pStyle w:val="ListParagraph"/>
              <w:numPr>
                <w:ilvl w:val="0"/>
                <w:numId w:val="3"/>
              </w:numPr>
              <w:jc w:val="both"/>
              <w:rPr>
                <w:sz w:val="26"/>
                <w:szCs w:val="26"/>
              </w:rPr>
            </w:pPr>
            <w:r w:rsidRPr="004106ED">
              <w:rPr>
                <w:sz w:val="26"/>
                <w:szCs w:val="26"/>
              </w:rPr>
              <w:t>Noteikumu 7.5</w:t>
            </w:r>
            <w:r>
              <w:rPr>
                <w:sz w:val="26"/>
                <w:szCs w:val="26"/>
              </w:rPr>
              <w:t>.</w:t>
            </w:r>
            <w:r w:rsidRPr="004106ED">
              <w:rPr>
                <w:sz w:val="26"/>
                <w:szCs w:val="26"/>
              </w:rPr>
              <w:t xml:space="preserve"> apakšpunkta izmaiņām -214 040 lati (profesionāli orientēta virziena pamatizglītības programmās ar padziļinātu mācību priekšmetu (izņemot mūziku) apguvi skolēnu skaitam piemēro koeficientu 1,2 (iepriekš 1.3));</w:t>
            </w:r>
          </w:p>
          <w:p w:rsidR="0062057D" w:rsidRPr="004106ED" w:rsidRDefault="0062057D" w:rsidP="0062057D">
            <w:pPr>
              <w:pStyle w:val="ListParagraph"/>
              <w:numPr>
                <w:ilvl w:val="0"/>
                <w:numId w:val="3"/>
              </w:numPr>
              <w:jc w:val="both"/>
              <w:rPr>
                <w:sz w:val="26"/>
                <w:szCs w:val="26"/>
              </w:rPr>
            </w:pPr>
            <w:r w:rsidRPr="004106ED">
              <w:rPr>
                <w:sz w:val="26"/>
                <w:szCs w:val="26"/>
              </w:rPr>
              <w:t>Noteikumu 7.3</w:t>
            </w:r>
            <w:r>
              <w:rPr>
                <w:sz w:val="26"/>
                <w:szCs w:val="26"/>
              </w:rPr>
              <w:t>.</w:t>
            </w:r>
            <w:r w:rsidRPr="004106ED">
              <w:rPr>
                <w:sz w:val="26"/>
                <w:szCs w:val="26"/>
              </w:rPr>
              <w:t xml:space="preserve"> apakšpunkta izmaiņām -</w:t>
            </w:r>
            <w:r w:rsidR="002F330E">
              <w:rPr>
                <w:sz w:val="26"/>
                <w:szCs w:val="26"/>
              </w:rPr>
              <w:t xml:space="preserve"> </w:t>
            </w:r>
            <w:r w:rsidRPr="004106ED">
              <w:rPr>
                <w:sz w:val="26"/>
                <w:szCs w:val="26"/>
              </w:rPr>
              <w:t>62 372 lati (skolēnu skaitam vakara (maiņu) un neklātienes (tai skaitā – tālmācības) vispārējās izglītības programmās piemēro koeficientu 0,8 (iepriekš 0.82);</w:t>
            </w:r>
          </w:p>
          <w:p w:rsidR="0062057D" w:rsidRDefault="0062057D" w:rsidP="0062057D">
            <w:pPr>
              <w:pStyle w:val="ListParagraph"/>
              <w:numPr>
                <w:ilvl w:val="0"/>
                <w:numId w:val="3"/>
              </w:numPr>
              <w:jc w:val="both"/>
              <w:rPr>
                <w:sz w:val="26"/>
                <w:szCs w:val="26"/>
              </w:rPr>
            </w:pPr>
            <w:r w:rsidRPr="004106ED">
              <w:rPr>
                <w:sz w:val="26"/>
                <w:szCs w:val="26"/>
              </w:rPr>
              <w:t>Noteikumu 19</w:t>
            </w:r>
            <w:r>
              <w:rPr>
                <w:sz w:val="26"/>
                <w:szCs w:val="26"/>
              </w:rPr>
              <w:t>.</w:t>
            </w:r>
            <w:r w:rsidRPr="004106ED">
              <w:rPr>
                <w:sz w:val="26"/>
                <w:szCs w:val="26"/>
              </w:rPr>
              <w:t xml:space="preserve"> punkta izmaiņām -796 000 lati (Normētā skolēnu (bērnu) skaita attiecība pret vienu pedagoga mēneša darba algas likmi: novados ir 8,12 : 1 (iepriekš 8:1 ; republikas pilsētās – 10,35 : 1 (iepriekš 10.2:1)).</w:t>
            </w:r>
          </w:p>
          <w:p w:rsidR="0062057D" w:rsidRPr="00CE797B" w:rsidRDefault="00A214B0" w:rsidP="0062057D">
            <w:pPr>
              <w:pStyle w:val="ListParagraph"/>
              <w:numPr>
                <w:ilvl w:val="0"/>
                <w:numId w:val="3"/>
              </w:numPr>
              <w:jc w:val="both"/>
              <w:rPr>
                <w:sz w:val="26"/>
                <w:szCs w:val="26"/>
              </w:rPr>
            </w:pPr>
            <w:r w:rsidRPr="00CE797B">
              <w:rPr>
                <w:sz w:val="26"/>
                <w:szCs w:val="26"/>
              </w:rPr>
              <w:t xml:space="preserve">Pedagogu papildu pienākumu </w:t>
            </w:r>
            <w:r w:rsidR="00706E7C" w:rsidRPr="00CE797B">
              <w:rPr>
                <w:sz w:val="26"/>
                <w:szCs w:val="26"/>
              </w:rPr>
              <w:t xml:space="preserve">apmaksai nepieciešamā finansējuma </w:t>
            </w:r>
            <w:r w:rsidRPr="00CE797B">
              <w:rPr>
                <w:sz w:val="26"/>
                <w:szCs w:val="26"/>
              </w:rPr>
              <w:t>nodrošināšanai</w:t>
            </w:r>
            <w:r w:rsidR="00706E7C" w:rsidRPr="00CE797B">
              <w:rPr>
                <w:sz w:val="26"/>
                <w:szCs w:val="26"/>
              </w:rPr>
              <w:t xml:space="preserve"> (2 stundas)</w:t>
            </w:r>
            <w:r w:rsidRPr="00CE797B">
              <w:rPr>
                <w:sz w:val="26"/>
                <w:szCs w:val="26"/>
              </w:rPr>
              <w:t xml:space="preserve"> bērnu no piecu gadu vecuma izglītošanā nodarbināto pirmskolas izglītības pedagogu darba samaksai</w:t>
            </w:r>
            <w:r w:rsidR="0062057D" w:rsidRPr="00CE797B">
              <w:rPr>
                <w:sz w:val="26"/>
                <w:szCs w:val="26"/>
              </w:rPr>
              <w:t xml:space="preserve"> </w:t>
            </w:r>
            <w:r w:rsidR="00706E7C" w:rsidRPr="00CE797B">
              <w:rPr>
                <w:sz w:val="26"/>
                <w:szCs w:val="26"/>
              </w:rPr>
              <w:t xml:space="preserve">299 844 lati </w:t>
            </w:r>
            <w:r w:rsidR="0062057D" w:rsidRPr="00CE797B">
              <w:rPr>
                <w:sz w:val="26"/>
                <w:szCs w:val="26"/>
              </w:rPr>
              <w:t>;</w:t>
            </w:r>
            <w:r w:rsidR="002F330E">
              <w:rPr>
                <w:sz w:val="26"/>
                <w:szCs w:val="26"/>
              </w:rPr>
              <w:t xml:space="preserve">Vēršam uzmanību, ka šī norma ir iestrādāta Pedagogu darba samaksas noteikumos, taču līdz šim nav </w:t>
            </w:r>
            <w:r w:rsidR="002337F2">
              <w:rPr>
                <w:sz w:val="26"/>
                <w:szCs w:val="26"/>
              </w:rPr>
              <w:t>finansēta noteiktajā apjomā;</w:t>
            </w:r>
          </w:p>
          <w:p w:rsidR="00DC1D5D" w:rsidRPr="00655D80" w:rsidRDefault="00DC1D5D" w:rsidP="00DC1D5D">
            <w:pPr>
              <w:pStyle w:val="ListParagraph"/>
              <w:numPr>
                <w:ilvl w:val="0"/>
                <w:numId w:val="3"/>
              </w:numPr>
              <w:jc w:val="both"/>
              <w:rPr>
                <w:sz w:val="26"/>
                <w:szCs w:val="26"/>
              </w:rPr>
            </w:pPr>
            <w:r w:rsidRPr="00655D80">
              <w:rPr>
                <w:sz w:val="26"/>
                <w:szCs w:val="26"/>
              </w:rPr>
              <w:t xml:space="preserve">Korekcija sakarā ar koeficientu mijiedarbību </w:t>
            </w:r>
            <w:r w:rsidR="0062057D" w:rsidRPr="00655D80">
              <w:rPr>
                <w:sz w:val="26"/>
                <w:szCs w:val="26"/>
              </w:rPr>
              <w:t>-14 284</w:t>
            </w:r>
            <w:r w:rsidRPr="00655D80">
              <w:rPr>
                <w:sz w:val="26"/>
                <w:szCs w:val="26"/>
              </w:rPr>
              <w:t xml:space="preserve"> lati</w:t>
            </w:r>
            <w:r w:rsidR="002337F2">
              <w:rPr>
                <w:sz w:val="26"/>
                <w:szCs w:val="26"/>
              </w:rPr>
              <w:t>.</w:t>
            </w:r>
          </w:p>
          <w:p w:rsidR="003F7C21" w:rsidRDefault="003F7C21" w:rsidP="00655D80">
            <w:pPr>
              <w:pStyle w:val="ListParagraph"/>
              <w:ind w:left="0" w:firstLine="605"/>
              <w:jc w:val="both"/>
              <w:rPr>
                <w:sz w:val="26"/>
                <w:szCs w:val="26"/>
              </w:rPr>
            </w:pPr>
          </w:p>
          <w:p w:rsidR="00DC1D5D" w:rsidRPr="003F7C21" w:rsidRDefault="00DC1D5D" w:rsidP="003F7C21">
            <w:pPr>
              <w:pStyle w:val="ListParagraph"/>
              <w:ind w:left="0"/>
              <w:jc w:val="both"/>
              <w:rPr>
                <w:sz w:val="26"/>
                <w:szCs w:val="26"/>
              </w:rPr>
            </w:pPr>
            <w:r w:rsidRPr="00655D80">
              <w:rPr>
                <w:sz w:val="26"/>
                <w:szCs w:val="26"/>
              </w:rPr>
              <w:t xml:space="preserve">Kopā ietekme četru mēnešu (septembris - decembris) izteiksmē ir – </w:t>
            </w:r>
            <w:r w:rsidR="0062057D" w:rsidRPr="00655D80">
              <w:rPr>
                <w:sz w:val="26"/>
                <w:szCs w:val="26"/>
              </w:rPr>
              <w:t>329 712</w:t>
            </w:r>
            <w:r w:rsidRPr="00655D80">
              <w:rPr>
                <w:sz w:val="26"/>
                <w:szCs w:val="26"/>
              </w:rPr>
              <w:t xml:space="preserve"> lati (pārpalikums)</w:t>
            </w:r>
            <w:r w:rsidR="007C0CCE" w:rsidRPr="00655D80">
              <w:rPr>
                <w:sz w:val="26"/>
                <w:szCs w:val="26"/>
              </w:rPr>
              <w:t>, kas tiks novirzīts piemaksu par kvalitātes pakāpēm nodrošināšanai</w:t>
            </w:r>
            <w:r w:rsidR="002E2473" w:rsidRPr="00655D80">
              <w:rPr>
                <w:sz w:val="26"/>
                <w:szCs w:val="26"/>
              </w:rPr>
              <w:t xml:space="preserve"> un samaksai par papildu pienākumiem </w:t>
            </w:r>
            <w:r w:rsidR="002E2473" w:rsidRPr="003F7C21">
              <w:rPr>
                <w:sz w:val="26"/>
                <w:szCs w:val="26"/>
              </w:rPr>
              <w:t>pilnā apmērā.</w:t>
            </w:r>
          </w:p>
          <w:p w:rsidR="0062057D" w:rsidRPr="003F7C21" w:rsidRDefault="0062057D" w:rsidP="003F7C21">
            <w:pPr>
              <w:pStyle w:val="ListParagraph"/>
              <w:ind w:left="0"/>
              <w:jc w:val="both"/>
              <w:rPr>
                <w:sz w:val="26"/>
                <w:szCs w:val="26"/>
              </w:rPr>
            </w:pPr>
            <w:r w:rsidRPr="003F7C21">
              <w:rPr>
                <w:sz w:val="26"/>
                <w:szCs w:val="26"/>
              </w:rPr>
              <w:t>2012.gadā IZM ir atbalstīts papildus finansējums piemaksu par kvalitātes pakāpēm nodrošināšanai 2013.gada 4 mēnešiem 3,28 milj. latu apmērā, savukārt 2014.gadam un turpmākie</w:t>
            </w:r>
            <w:r w:rsidR="00CE797B">
              <w:rPr>
                <w:sz w:val="26"/>
                <w:szCs w:val="26"/>
              </w:rPr>
              <w:t xml:space="preserve">m gadiem 9,84 milj. latu apmērā, </w:t>
            </w:r>
            <w:r w:rsidR="00CE797B" w:rsidRPr="00655D80">
              <w:rPr>
                <w:sz w:val="26"/>
                <w:szCs w:val="26"/>
              </w:rPr>
              <w:t xml:space="preserve">kas tiks novirzīts piemaksu par kvalitātes pakāpēm nodrošināšanai un samaksai par papildu pienākumiem </w:t>
            </w:r>
            <w:r w:rsidR="00CE797B" w:rsidRPr="003F7C21">
              <w:rPr>
                <w:sz w:val="26"/>
                <w:szCs w:val="26"/>
              </w:rPr>
              <w:t>pilnā apmērā.</w:t>
            </w:r>
          </w:p>
          <w:p w:rsidR="007C0CCE" w:rsidRPr="003F7C21" w:rsidRDefault="007C0CCE" w:rsidP="003F7C21">
            <w:pPr>
              <w:pStyle w:val="ListParagraph"/>
              <w:spacing w:before="0" w:after="0"/>
              <w:ind w:left="0"/>
              <w:jc w:val="both"/>
              <w:rPr>
                <w:sz w:val="26"/>
                <w:szCs w:val="26"/>
              </w:rPr>
            </w:pPr>
            <w:r w:rsidRPr="003F7C21">
              <w:rPr>
                <w:sz w:val="26"/>
                <w:szCs w:val="26"/>
              </w:rPr>
              <w:t xml:space="preserve">Lai </w:t>
            </w:r>
            <w:r w:rsidR="002337F2">
              <w:rPr>
                <w:sz w:val="26"/>
                <w:szCs w:val="26"/>
              </w:rPr>
              <w:t>nodrošinātu atklātību</w:t>
            </w:r>
            <w:r w:rsidRPr="003F7C21">
              <w:rPr>
                <w:sz w:val="26"/>
                <w:szCs w:val="26"/>
              </w:rPr>
              <w:t xml:space="preserve"> finansējum</w:t>
            </w:r>
            <w:r w:rsidR="002337F2">
              <w:rPr>
                <w:sz w:val="26"/>
                <w:szCs w:val="26"/>
              </w:rPr>
              <w:t>a sadalē</w:t>
            </w:r>
            <w:r w:rsidRPr="003F7C21">
              <w:rPr>
                <w:sz w:val="26"/>
                <w:szCs w:val="26"/>
              </w:rPr>
              <w:t xml:space="preserve"> piemaksām tiem pedagogiem, kas ir ieguvuši 3., 4. un 5.kvalitātes pakāpi, </w:t>
            </w:r>
            <w:r w:rsidR="002337F2">
              <w:rPr>
                <w:sz w:val="26"/>
                <w:szCs w:val="26"/>
              </w:rPr>
              <w:t>tas</w:t>
            </w:r>
            <w:r w:rsidRPr="003F7C21">
              <w:rPr>
                <w:sz w:val="26"/>
                <w:szCs w:val="26"/>
              </w:rPr>
              <w:t>:</w:t>
            </w:r>
          </w:p>
          <w:p w:rsidR="007C0CCE" w:rsidRPr="003F7C21" w:rsidRDefault="007C0CCE" w:rsidP="003F7C21">
            <w:pPr>
              <w:spacing w:before="0" w:after="0"/>
              <w:jc w:val="both"/>
              <w:rPr>
                <w:sz w:val="26"/>
                <w:szCs w:val="26"/>
              </w:rPr>
            </w:pPr>
            <w:r w:rsidRPr="003F7C21">
              <w:rPr>
                <w:sz w:val="26"/>
                <w:szCs w:val="26"/>
              </w:rPr>
              <w:lastRenderedPageBreak/>
              <w:t xml:space="preserve">1) izņemts no </w:t>
            </w:r>
            <w:r w:rsidR="002337F2">
              <w:rPr>
                <w:sz w:val="26"/>
                <w:szCs w:val="26"/>
              </w:rPr>
              <w:t>valsts budžeta mērķdotācijas pašvaldībām pedagogu darba samaksai</w:t>
            </w:r>
            <w:r w:rsidRPr="003F7C21">
              <w:rPr>
                <w:sz w:val="26"/>
                <w:szCs w:val="26"/>
              </w:rPr>
              <w:t xml:space="preserve"> </w:t>
            </w:r>
            <w:r w:rsidR="002337F2">
              <w:rPr>
                <w:sz w:val="26"/>
                <w:szCs w:val="26"/>
              </w:rPr>
              <w:t>(</w:t>
            </w:r>
            <w:r w:rsidRPr="003F7C21">
              <w:rPr>
                <w:sz w:val="26"/>
                <w:szCs w:val="26"/>
              </w:rPr>
              <w:t>„nauda seko skolēnam”</w:t>
            </w:r>
            <w:r w:rsidR="002337F2">
              <w:rPr>
                <w:sz w:val="26"/>
                <w:szCs w:val="26"/>
              </w:rPr>
              <w:t>)</w:t>
            </w:r>
            <w:r w:rsidRPr="003F7C21">
              <w:rPr>
                <w:sz w:val="26"/>
                <w:szCs w:val="26"/>
              </w:rPr>
              <w:t xml:space="preserve"> bāzes;</w:t>
            </w:r>
          </w:p>
          <w:p w:rsidR="007C0CCE" w:rsidRPr="003F7C21" w:rsidRDefault="007C0CCE" w:rsidP="003F7C21">
            <w:pPr>
              <w:pStyle w:val="ListParagraph"/>
              <w:spacing w:before="0" w:after="0"/>
              <w:ind w:left="0"/>
              <w:jc w:val="both"/>
              <w:rPr>
                <w:sz w:val="26"/>
                <w:szCs w:val="26"/>
              </w:rPr>
            </w:pPr>
            <w:r w:rsidRPr="003F7C21">
              <w:rPr>
                <w:sz w:val="26"/>
                <w:szCs w:val="26"/>
              </w:rPr>
              <w:t>2) aprēķināts</w:t>
            </w:r>
            <w:r w:rsidR="002337F2">
              <w:rPr>
                <w:sz w:val="26"/>
                <w:szCs w:val="26"/>
              </w:rPr>
              <w:t>,</w:t>
            </w:r>
            <w:r w:rsidRPr="003F7C21">
              <w:rPr>
                <w:sz w:val="26"/>
                <w:szCs w:val="26"/>
              </w:rPr>
              <w:t xml:space="preserve"> piemērojot vienādus nosacījumus visiem pakāpi ieguvušajiem pedagogiem, nosakot piemaksu no zemākās mēneša algas likmes, nevis no izpeļņas. Pieejas maiņas mērķis ir samazināt diferenciāciju starp darba samaksu, ko saņem pedagogi, kas veic vienādu darbu dažādos novados un izglītības iestādēs. Lai nepasliktinātu to pedagogu finansiāl</w:t>
            </w:r>
            <w:r w:rsidR="00F2660E">
              <w:rPr>
                <w:sz w:val="26"/>
                <w:szCs w:val="26"/>
              </w:rPr>
              <w:t>o</w:t>
            </w:r>
            <w:r w:rsidRPr="003F7C21">
              <w:rPr>
                <w:sz w:val="26"/>
                <w:szCs w:val="26"/>
              </w:rPr>
              <w:t xml:space="preserve"> situāciju, kuri līdz šīm ir saņēmuši piemaksu par 4. un 5.kvalitātes pakāpi no izpeļņas, un kuru izpeļņa bija lielākā par zemāko mēneša algas likmi, ir veikt aprēķins, nosakot lielākus piemaksas procentus: </w:t>
            </w:r>
            <w:r w:rsidR="00CE797B" w:rsidRPr="003F7C21">
              <w:rPr>
                <w:sz w:val="26"/>
                <w:szCs w:val="26"/>
              </w:rPr>
              <w:t xml:space="preserve">attiecīgi </w:t>
            </w:r>
            <w:r w:rsidRPr="003F7C21">
              <w:rPr>
                <w:sz w:val="26"/>
                <w:szCs w:val="26"/>
              </w:rPr>
              <w:t>20% un 25%</w:t>
            </w:r>
            <w:r w:rsidR="00CE797B">
              <w:rPr>
                <w:sz w:val="26"/>
                <w:szCs w:val="26"/>
              </w:rPr>
              <w:t>, bet</w:t>
            </w:r>
            <w:r w:rsidRPr="003F7C21">
              <w:rPr>
                <w:sz w:val="26"/>
                <w:szCs w:val="26"/>
              </w:rPr>
              <w:t xml:space="preserve"> </w:t>
            </w:r>
            <w:r w:rsidR="00CE797B">
              <w:rPr>
                <w:sz w:val="26"/>
                <w:szCs w:val="26"/>
              </w:rPr>
              <w:t>no zemākās mēnešalgas likmes</w:t>
            </w:r>
            <w:r w:rsidR="00F2660E">
              <w:rPr>
                <w:sz w:val="26"/>
                <w:szCs w:val="26"/>
              </w:rPr>
              <w:t>,</w:t>
            </w:r>
            <w:r w:rsidRPr="003F7C21">
              <w:rPr>
                <w:sz w:val="26"/>
                <w:szCs w:val="26"/>
              </w:rPr>
              <w:t xml:space="preserve"> </w:t>
            </w:r>
            <w:r w:rsidR="00F2660E">
              <w:rPr>
                <w:sz w:val="26"/>
                <w:szCs w:val="26"/>
              </w:rPr>
              <w:t>j</w:t>
            </w:r>
            <w:r w:rsidRPr="003F7C21">
              <w:rPr>
                <w:sz w:val="26"/>
                <w:szCs w:val="26"/>
              </w:rPr>
              <w:t>o pēc ministrijas rīcībā esošiem datiem, 34% pedagogu strādā vairāk par vienu likmi, saņem</w:t>
            </w:r>
            <w:r w:rsidR="00F2660E">
              <w:rPr>
                <w:sz w:val="26"/>
                <w:szCs w:val="26"/>
              </w:rPr>
              <w:t>ot</w:t>
            </w:r>
            <w:r w:rsidRPr="003F7C21">
              <w:rPr>
                <w:sz w:val="26"/>
                <w:szCs w:val="26"/>
              </w:rPr>
              <w:t xml:space="preserve"> vidēji 570 latus pirms nodokļu nomaksas. Ir </w:t>
            </w:r>
            <w:r w:rsidR="00F2660E">
              <w:rPr>
                <w:sz w:val="26"/>
                <w:szCs w:val="26"/>
              </w:rPr>
              <w:t>ap</w:t>
            </w:r>
            <w:r w:rsidRPr="003F7C21">
              <w:rPr>
                <w:sz w:val="26"/>
                <w:szCs w:val="26"/>
              </w:rPr>
              <w:t>rēķināts</w:t>
            </w:r>
            <w:r w:rsidR="00F2660E">
              <w:rPr>
                <w:sz w:val="26"/>
                <w:szCs w:val="26"/>
              </w:rPr>
              <w:t>,</w:t>
            </w:r>
            <w:r w:rsidRPr="003F7C21">
              <w:rPr>
                <w:sz w:val="26"/>
                <w:szCs w:val="26"/>
              </w:rPr>
              <w:t xml:space="preserve"> kādam jābūt piemaksas procentam, lai jaun</w:t>
            </w:r>
            <w:r w:rsidR="00F2660E">
              <w:rPr>
                <w:sz w:val="26"/>
                <w:szCs w:val="26"/>
              </w:rPr>
              <w:t>ais tiesiskai</w:t>
            </w:r>
            <w:r w:rsidRPr="003F7C21">
              <w:rPr>
                <w:sz w:val="26"/>
                <w:szCs w:val="26"/>
              </w:rPr>
              <w:t>s regulējums nepasliktinātu pedagogu materiālo stāvokli.</w:t>
            </w:r>
          </w:p>
          <w:p w:rsidR="00706E7C" w:rsidRPr="003F7C21" w:rsidRDefault="00655D80" w:rsidP="00706E7C">
            <w:pPr>
              <w:pStyle w:val="ListParagraph"/>
              <w:ind w:left="0"/>
              <w:jc w:val="both"/>
              <w:rPr>
                <w:rFonts w:eastAsia="Calibri"/>
                <w:color w:val="000000"/>
                <w:sz w:val="26"/>
                <w:szCs w:val="26"/>
                <w:lang w:eastAsia="en-US"/>
              </w:rPr>
            </w:pPr>
            <w:r w:rsidRPr="003F7C21">
              <w:rPr>
                <w:sz w:val="26"/>
                <w:szCs w:val="26"/>
              </w:rPr>
              <w:t>Lai to īstenotu, n</w:t>
            </w:r>
            <w:r w:rsidR="001B33D0" w:rsidRPr="003F7C21">
              <w:rPr>
                <w:sz w:val="26"/>
                <w:szCs w:val="26"/>
              </w:rPr>
              <w:t>oteikumu projekts paredz, ka pedagoga profesionālās darbības kvalitātes piemaksām nepieciešamo finansējumu ministrija aprēķina un sadala</w:t>
            </w:r>
            <w:r w:rsidR="00706E7C" w:rsidRPr="003F7C21">
              <w:rPr>
                <w:rFonts w:eastAsia="Calibri"/>
                <w:color w:val="000000"/>
                <w:sz w:val="26"/>
                <w:szCs w:val="26"/>
                <w:lang w:eastAsia="en-US"/>
              </w:rPr>
              <w:t>, ņemot vērā :</w:t>
            </w:r>
          </w:p>
          <w:p w:rsidR="00706E7C" w:rsidRPr="003F7C21" w:rsidRDefault="00706E7C" w:rsidP="00706E7C">
            <w:pPr>
              <w:autoSpaceDE w:val="0"/>
              <w:autoSpaceDN w:val="0"/>
              <w:adjustRightInd w:val="0"/>
              <w:spacing w:before="0" w:after="0"/>
              <w:jc w:val="both"/>
              <w:rPr>
                <w:rFonts w:eastAsia="Calibri"/>
                <w:color w:val="000000"/>
                <w:sz w:val="26"/>
                <w:szCs w:val="26"/>
                <w:lang w:eastAsia="en-US"/>
              </w:rPr>
            </w:pPr>
            <w:r w:rsidRPr="003F7C21">
              <w:rPr>
                <w:rFonts w:eastAsia="Calibri"/>
                <w:color w:val="000000"/>
                <w:sz w:val="26"/>
                <w:szCs w:val="26"/>
                <w:lang w:eastAsia="en-US"/>
              </w:rPr>
              <w:t>1) katrā pašvaldībā pakāpes ieguvušo pedagogu mēneša darba algas likmju skaitu attiecīgā gada 1.septembrī saskaņā ar Eiropas Sociālā fonda projekta „Pedagogu konkurētspējas veicināšana izglītības sistēmas optimizācijas apstākļos” izstrādes laikā izveidoto pedagogu plūsmas uzskaites sistēmu saskaņā ar Ministru kabineta 2009.gada 1.septembra noteikumiem Nr.998 „Noteikumi par darbības programmas „Cilvēkresursi un nodarbinātība” papildinājuma 1.2.2.1.5.apakšaktivitāti „Pedagogu konkurētspējas veicināšana izglītības sistēmas optimizācijas apstākļos”,</w:t>
            </w:r>
          </w:p>
          <w:p w:rsidR="00706E7C" w:rsidRPr="003F7C21" w:rsidRDefault="00706E7C" w:rsidP="00706E7C">
            <w:pPr>
              <w:autoSpaceDE w:val="0"/>
              <w:autoSpaceDN w:val="0"/>
              <w:adjustRightInd w:val="0"/>
              <w:spacing w:before="0" w:after="0"/>
              <w:jc w:val="both"/>
              <w:rPr>
                <w:rFonts w:eastAsia="Calibri"/>
                <w:color w:val="000000"/>
                <w:sz w:val="26"/>
                <w:szCs w:val="26"/>
                <w:lang w:eastAsia="en-US"/>
              </w:rPr>
            </w:pPr>
            <w:r w:rsidRPr="003F7C21">
              <w:rPr>
                <w:rFonts w:eastAsia="Calibri"/>
                <w:color w:val="000000"/>
                <w:sz w:val="26"/>
                <w:szCs w:val="26"/>
                <w:lang w:eastAsia="en-US"/>
              </w:rPr>
              <w:t>2) zemāko  mēneša darba algas likmi pedagogam ar 10 gadu darba stāžu,</w:t>
            </w:r>
          </w:p>
          <w:p w:rsidR="00706E7C" w:rsidRPr="003F7C21" w:rsidRDefault="00706E7C" w:rsidP="00706E7C">
            <w:pPr>
              <w:autoSpaceDE w:val="0"/>
              <w:autoSpaceDN w:val="0"/>
              <w:adjustRightInd w:val="0"/>
              <w:spacing w:before="0" w:after="0"/>
              <w:jc w:val="both"/>
              <w:rPr>
                <w:rFonts w:eastAsia="Calibri"/>
                <w:color w:val="000000"/>
                <w:sz w:val="26"/>
                <w:szCs w:val="26"/>
                <w:lang w:eastAsia="en-US"/>
              </w:rPr>
            </w:pPr>
            <w:r w:rsidRPr="003F7C21">
              <w:rPr>
                <w:rFonts w:eastAsia="Calibri"/>
                <w:color w:val="000000"/>
                <w:sz w:val="26"/>
                <w:szCs w:val="26"/>
                <w:lang w:eastAsia="en-US"/>
              </w:rPr>
              <w:t>3) valsts sociālās apdrošināšanas obligātās iemaksas,</w:t>
            </w:r>
          </w:p>
          <w:p w:rsidR="00706E7C" w:rsidRPr="003F7C21" w:rsidRDefault="00706E7C" w:rsidP="00706E7C">
            <w:pPr>
              <w:autoSpaceDE w:val="0"/>
              <w:autoSpaceDN w:val="0"/>
              <w:adjustRightInd w:val="0"/>
              <w:spacing w:before="0" w:after="0"/>
              <w:jc w:val="both"/>
              <w:rPr>
                <w:rFonts w:eastAsia="Calibri"/>
                <w:color w:val="000000"/>
                <w:sz w:val="26"/>
                <w:szCs w:val="26"/>
                <w:lang w:eastAsia="en-US"/>
              </w:rPr>
            </w:pPr>
            <w:r w:rsidRPr="003F7C21">
              <w:rPr>
                <w:rFonts w:eastAsia="Calibri"/>
                <w:color w:val="000000"/>
                <w:sz w:val="26"/>
                <w:szCs w:val="26"/>
                <w:lang w:eastAsia="en-US"/>
              </w:rPr>
              <w:t>4) pedagogu darba samaksas noteikumos noteikto piemaksas apmēru procentos.</w:t>
            </w:r>
          </w:p>
          <w:p w:rsidR="003F7C21" w:rsidRPr="00F2660E" w:rsidRDefault="001B33D0" w:rsidP="00110E42">
            <w:pPr>
              <w:pStyle w:val="ListParagraph"/>
              <w:ind w:left="0"/>
              <w:jc w:val="both"/>
              <w:rPr>
                <w:sz w:val="26"/>
                <w:szCs w:val="26"/>
              </w:rPr>
            </w:pPr>
            <w:r w:rsidRPr="003F7C21">
              <w:rPr>
                <w:sz w:val="26"/>
                <w:szCs w:val="26"/>
              </w:rPr>
              <w:t xml:space="preserve"> </w:t>
            </w:r>
            <w:r w:rsidR="00F2660E">
              <w:rPr>
                <w:sz w:val="26"/>
                <w:szCs w:val="26"/>
              </w:rPr>
              <w:t>Ņ</w:t>
            </w:r>
            <w:r w:rsidR="003F7C21">
              <w:rPr>
                <w:sz w:val="26"/>
                <w:szCs w:val="26"/>
              </w:rPr>
              <w:t xml:space="preserve">emot vērā iepriekš minēto atbilstoši </w:t>
            </w:r>
            <w:r w:rsidR="00E97F79">
              <w:rPr>
                <w:sz w:val="26"/>
                <w:szCs w:val="26"/>
              </w:rPr>
              <w:t xml:space="preserve">noteikumos </w:t>
            </w:r>
            <w:r w:rsidR="003F7C21">
              <w:rPr>
                <w:sz w:val="26"/>
                <w:szCs w:val="26"/>
              </w:rPr>
              <w:t>veiktajām izmaiņām</w:t>
            </w:r>
            <w:r w:rsidR="00F2660E">
              <w:rPr>
                <w:sz w:val="26"/>
                <w:szCs w:val="26"/>
              </w:rPr>
              <w:t>,</w:t>
            </w:r>
            <w:r w:rsidR="003F7C21">
              <w:rPr>
                <w:sz w:val="26"/>
                <w:szCs w:val="26"/>
              </w:rPr>
              <w:t xml:space="preserve"> aprēķinātais finansējums 2013.gada 4 mēnešiem ir 66 844 748 lati, </w:t>
            </w:r>
            <w:r w:rsidR="00992556">
              <w:rPr>
                <w:sz w:val="26"/>
                <w:szCs w:val="26"/>
              </w:rPr>
              <w:t xml:space="preserve">maksimāli </w:t>
            </w:r>
            <w:r w:rsidR="003F7C21">
              <w:rPr>
                <w:sz w:val="26"/>
                <w:szCs w:val="26"/>
              </w:rPr>
              <w:t>pieejamais finansējums</w:t>
            </w:r>
            <w:r w:rsidR="00992556">
              <w:rPr>
                <w:sz w:val="26"/>
                <w:szCs w:val="26"/>
              </w:rPr>
              <w:t xml:space="preserve"> 2013.gada 4.mēnešos</w:t>
            </w:r>
            <w:r w:rsidR="003F7C21">
              <w:rPr>
                <w:sz w:val="26"/>
                <w:szCs w:val="26"/>
              </w:rPr>
              <w:t xml:space="preserve"> (ņemot vērā </w:t>
            </w:r>
            <w:r w:rsidR="00992556">
              <w:rPr>
                <w:sz w:val="26"/>
                <w:szCs w:val="26"/>
              </w:rPr>
              <w:t xml:space="preserve">Ministru kabineta 2013.gada 30.jūlija lēmumu (protokols Nr.41, </w:t>
            </w:r>
            <w:bookmarkStart w:id="5" w:name="79"/>
            <w:r w:rsidR="00992556" w:rsidRPr="00992556">
              <w:rPr>
                <w:sz w:val="26"/>
                <w:szCs w:val="26"/>
              </w:rPr>
              <w:t>79.§</w:t>
            </w:r>
            <w:bookmarkEnd w:id="5"/>
            <w:r w:rsidR="00992556" w:rsidRPr="00992556">
              <w:rPr>
                <w:sz w:val="26"/>
                <w:szCs w:val="26"/>
              </w:rPr>
              <w:t>)</w:t>
            </w:r>
            <w:r w:rsidR="00992556">
              <w:rPr>
                <w:sz w:val="26"/>
                <w:szCs w:val="26"/>
              </w:rPr>
              <w:t xml:space="preserve"> 67 369 114 lati, starpība 934 lati.</w:t>
            </w:r>
          </w:p>
          <w:p w:rsidR="00832D6A" w:rsidRPr="00B22F46" w:rsidRDefault="00D31F3C" w:rsidP="00603A9A">
            <w:pPr>
              <w:pStyle w:val="ListParagraph"/>
              <w:ind w:left="0"/>
              <w:jc w:val="both"/>
              <w:rPr>
                <w:sz w:val="26"/>
                <w:szCs w:val="26"/>
              </w:rPr>
            </w:pPr>
            <w:r w:rsidRPr="003F7C21">
              <w:rPr>
                <w:sz w:val="26"/>
                <w:szCs w:val="26"/>
              </w:rPr>
              <w:t>Izpildot</w:t>
            </w:r>
            <w:r w:rsidRPr="00B23A4A">
              <w:rPr>
                <w:sz w:val="26"/>
                <w:szCs w:val="26"/>
              </w:rPr>
              <w:t xml:space="preserve"> Ministru kabineta 2013.gada 28.maija sēdes </w:t>
            </w:r>
            <w:proofErr w:type="spellStart"/>
            <w:r w:rsidRPr="00B23A4A">
              <w:rPr>
                <w:sz w:val="26"/>
                <w:szCs w:val="26"/>
              </w:rPr>
              <w:t>protokollēmuma</w:t>
            </w:r>
            <w:proofErr w:type="spellEnd"/>
            <w:r w:rsidRPr="00B23A4A">
              <w:rPr>
                <w:sz w:val="26"/>
                <w:szCs w:val="26"/>
              </w:rPr>
              <w:t xml:space="preserve"> (prot. Nr.32 70.§) 5.1.apakšpunktu, pēc nepieciešamā normatīvā regulējuma par pedagogu darba samaksu apstiprināšanas Ministru kabinetā, kā arī pēc faktiskā izglītojamo skaita saņemšanas Valsts izglītības informācijas sistēmā 5.septembrī par stāvokli uz 1.septembri, Iz</w:t>
            </w:r>
            <w:r>
              <w:rPr>
                <w:sz w:val="26"/>
                <w:szCs w:val="26"/>
              </w:rPr>
              <w:t>glītības un zinātnes ministrija</w:t>
            </w:r>
            <w:r w:rsidRPr="00B23A4A">
              <w:rPr>
                <w:sz w:val="26"/>
                <w:szCs w:val="26"/>
              </w:rPr>
              <w:t xml:space="preserve"> līdz 13.septembrim </w:t>
            </w:r>
            <w:r w:rsidRPr="00B23A4A">
              <w:rPr>
                <w:sz w:val="26"/>
                <w:szCs w:val="26"/>
              </w:rPr>
              <w:lastRenderedPageBreak/>
              <w:t>precizē</w:t>
            </w:r>
            <w:r>
              <w:rPr>
                <w:sz w:val="26"/>
                <w:szCs w:val="26"/>
              </w:rPr>
              <w:t>s</w:t>
            </w:r>
            <w:r w:rsidRPr="00B23A4A">
              <w:rPr>
                <w:sz w:val="26"/>
                <w:szCs w:val="26"/>
              </w:rPr>
              <w:t xml:space="preserve"> aprēķinus par 2013.gadā nepieciešamo finansējumu pedagogu darba samaksas nodrošināšanai.</w:t>
            </w:r>
            <w:r w:rsidR="00F2660E">
              <w:rPr>
                <w:sz w:val="26"/>
                <w:szCs w:val="26"/>
              </w:rPr>
              <w:t xml:space="preserve"> </w:t>
            </w: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lastRenderedPageBreak/>
              <w:t> 6.1. detalizēts ieņēmumu aprēķins</w:t>
            </w:r>
          </w:p>
        </w:tc>
        <w:tc>
          <w:tcPr>
            <w:tcW w:w="4017" w:type="pct"/>
            <w:gridSpan w:val="5"/>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t> 6.2. detalizēts izdevumu aprēķins</w:t>
            </w:r>
          </w:p>
        </w:tc>
        <w:tc>
          <w:tcPr>
            <w:tcW w:w="4017" w:type="pct"/>
            <w:gridSpan w:val="5"/>
            <w:vMerge/>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p>
        </w:tc>
      </w:tr>
      <w:tr w:rsidR="00B22F46" w:rsidRPr="00B22F46" w:rsidTr="00F36810">
        <w:tblPrEx>
          <w:tblLook w:val="04A0"/>
        </w:tblPrEx>
        <w:tc>
          <w:tcPr>
            <w:tcW w:w="983" w:type="pct"/>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rPr>
                <w:sz w:val="26"/>
                <w:szCs w:val="26"/>
              </w:rPr>
            </w:pPr>
            <w:r w:rsidRPr="00B22F46">
              <w:rPr>
                <w:sz w:val="26"/>
                <w:szCs w:val="26"/>
              </w:rPr>
              <w:lastRenderedPageBreak/>
              <w:t> 7. Cita informācija</w:t>
            </w:r>
          </w:p>
        </w:tc>
        <w:tc>
          <w:tcPr>
            <w:tcW w:w="4017" w:type="pct"/>
            <w:gridSpan w:val="5"/>
            <w:tcBorders>
              <w:top w:val="single" w:sz="12" w:space="0" w:color="auto"/>
              <w:left w:val="single" w:sz="12" w:space="0" w:color="auto"/>
              <w:bottom w:val="single" w:sz="12" w:space="0" w:color="auto"/>
              <w:right w:val="single" w:sz="12" w:space="0" w:color="auto"/>
            </w:tcBorders>
            <w:hideMark/>
          </w:tcPr>
          <w:p w:rsidR="00B22F46" w:rsidRPr="00B22F46" w:rsidRDefault="00B22F46" w:rsidP="002765DF">
            <w:pPr>
              <w:jc w:val="both"/>
              <w:rPr>
                <w:sz w:val="26"/>
                <w:szCs w:val="26"/>
              </w:rPr>
            </w:pPr>
            <w:r w:rsidRPr="00B22F46">
              <w:rPr>
                <w:sz w:val="26"/>
                <w:szCs w:val="26"/>
              </w:rPr>
              <w:t>Nav.</w:t>
            </w:r>
          </w:p>
        </w:tc>
      </w:tr>
    </w:tbl>
    <w:p w:rsidR="00975B10" w:rsidRPr="00B22F46" w:rsidRDefault="00975B10" w:rsidP="00017325">
      <w:pPr>
        <w:spacing w:before="0" w:after="0"/>
        <w:rPr>
          <w:sz w:val="26"/>
          <w:szCs w:val="26"/>
        </w:rPr>
      </w:pPr>
    </w:p>
    <w:p w:rsidR="00343F93" w:rsidRPr="00B22F46" w:rsidRDefault="00343F93" w:rsidP="00343F93">
      <w:pPr>
        <w:spacing w:before="0" w:after="0"/>
        <w:rPr>
          <w:sz w:val="28"/>
          <w:szCs w:val="28"/>
        </w:rPr>
      </w:pPr>
    </w:p>
    <w:tbl>
      <w:tblPr>
        <w:tblW w:w="4971" w:type="pct"/>
        <w:jc w:val="center"/>
        <w:tblInd w:w="-53" w:type="dxa"/>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555"/>
        <w:gridCol w:w="1884"/>
        <w:gridCol w:w="6794"/>
      </w:tblGrid>
      <w:tr w:rsidR="00343F93" w:rsidRPr="00B22F46" w:rsidTr="00017325">
        <w:trPr>
          <w:jc w:val="center"/>
        </w:trPr>
        <w:tc>
          <w:tcPr>
            <w:tcW w:w="5000" w:type="pct"/>
            <w:gridSpan w:val="3"/>
          </w:tcPr>
          <w:p w:rsidR="00343F93" w:rsidRPr="00B22F46" w:rsidRDefault="00343F93" w:rsidP="000529BA">
            <w:pPr>
              <w:pStyle w:val="naisnod"/>
              <w:spacing w:before="0" w:after="0"/>
              <w:rPr>
                <w:sz w:val="26"/>
                <w:szCs w:val="26"/>
              </w:rPr>
            </w:pPr>
            <w:r w:rsidRPr="00B22F46">
              <w:rPr>
                <w:sz w:val="26"/>
                <w:szCs w:val="26"/>
              </w:rPr>
              <w:t>IV. Tiesību akta projekta ietekme uz spēkā esošo tiesību normu sistēmu</w:t>
            </w:r>
          </w:p>
        </w:tc>
      </w:tr>
      <w:tr w:rsidR="00343F93" w:rsidRPr="00B22F46" w:rsidTr="00017325">
        <w:trPr>
          <w:jc w:val="center"/>
        </w:trPr>
        <w:tc>
          <w:tcPr>
            <w:tcW w:w="301" w:type="pct"/>
            <w:tcBorders>
              <w:right w:val="single" w:sz="12" w:space="0" w:color="auto"/>
            </w:tcBorders>
          </w:tcPr>
          <w:p w:rsidR="00343F93" w:rsidRPr="00B22F46" w:rsidRDefault="00343F93" w:rsidP="000529BA">
            <w:pPr>
              <w:pStyle w:val="naiskr"/>
              <w:tabs>
                <w:tab w:val="left" w:pos="2628"/>
              </w:tabs>
              <w:spacing w:before="0" w:after="0"/>
              <w:rPr>
                <w:sz w:val="26"/>
                <w:szCs w:val="26"/>
              </w:rPr>
            </w:pPr>
            <w:r w:rsidRPr="00B22F46">
              <w:rPr>
                <w:sz w:val="26"/>
                <w:szCs w:val="26"/>
              </w:rPr>
              <w:t>1.</w:t>
            </w:r>
          </w:p>
        </w:tc>
        <w:tc>
          <w:tcPr>
            <w:tcW w:w="1020" w:type="pct"/>
            <w:tcBorders>
              <w:left w:val="single" w:sz="12" w:space="0" w:color="auto"/>
              <w:right w:val="single" w:sz="12" w:space="0" w:color="auto"/>
            </w:tcBorders>
          </w:tcPr>
          <w:p w:rsidR="00343F93" w:rsidRPr="00B22F46" w:rsidRDefault="00343F93" w:rsidP="000529BA">
            <w:pPr>
              <w:pStyle w:val="naiskr"/>
              <w:tabs>
                <w:tab w:val="left" w:pos="2628"/>
              </w:tabs>
              <w:spacing w:before="0" w:after="0"/>
              <w:rPr>
                <w:sz w:val="26"/>
                <w:szCs w:val="26"/>
              </w:rPr>
            </w:pPr>
            <w:r w:rsidRPr="00B22F46">
              <w:rPr>
                <w:sz w:val="26"/>
                <w:szCs w:val="26"/>
              </w:rPr>
              <w:t>Nepieciešamie saistītie tiesību aktu projekti</w:t>
            </w:r>
          </w:p>
        </w:tc>
        <w:tc>
          <w:tcPr>
            <w:tcW w:w="3679" w:type="pct"/>
            <w:tcBorders>
              <w:left w:val="single" w:sz="12" w:space="0" w:color="auto"/>
            </w:tcBorders>
          </w:tcPr>
          <w:p w:rsidR="00343F93" w:rsidRPr="00B22F46" w:rsidRDefault="00343F93" w:rsidP="006C0F94">
            <w:pPr>
              <w:jc w:val="both"/>
              <w:rPr>
                <w:sz w:val="26"/>
                <w:szCs w:val="26"/>
              </w:rPr>
            </w:pPr>
            <w:r w:rsidRPr="00B22F46">
              <w:rPr>
                <w:sz w:val="26"/>
                <w:szCs w:val="26"/>
              </w:rPr>
              <w:t>Vienlaikus  ar projektu ir izstrādāti un tiks iesniegti izskatīš</w:t>
            </w:r>
            <w:r w:rsidR="00F542FE" w:rsidRPr="00B22F46">
              <w:rPr>
                <w:sz w:val="26"/>
                <w:szCs w:val="26"/>
              </w:rPr>
              <w:t>anai Ministru kabinetā noteikumu „Grozījumi</w:t>
            </w:r>
            <w:r w:rsidRPr="00B22F46">
              <w:rPr>
                <w:sz w:val="26"/>
                <w:szCs w:val="26"/>
              </w:rPr>
              <w:t xml:space="preserve"> Ministru kabineta 2009.gada 28.jūlija noteikumos Nr.836 „Pedagogu darba samaksas noteikumi”</w:t>
            </w:r>
            <w:r w:rsidR="00F542FE" w:rsidRPr="00B22F46">
              <w:rPr>
                <w:sz w:val="26"/>
                <w:szCs w:val="26"/>
              </w:rPr>
              <w:t xml:space="preserve"> projekts</w:t>
            </w:r>
            <w:r w:rsidR="006C0F94">
              <w:rPr>
                <w:sz w:val="26"/>
                <w:szCs w:val="26"/>
              </w:rPr>
              <w:t>.</w:t>
            </w:r>
          </w:p>
        </w:tc>
      </w:tr>
      <w:tr w:rsidR="00343F93" w:rsidRPr="00B22F46" w:rsidTr="00017325">
        <w:trPr>
          <w:jc w:val="center"/>
        </w:trPr>
        <w:tc>
          <w:tcPr>
            <w:tcW w:w="301" w:type="pct"/>
            <w:tcBorders>
              <w:right w:val="single" w:sz="12" w:space="0" w:color="auto"/>
            </w:tcBorders>
          </w:tcPr>
          <w:p w:rsidR="00343F93" w:rsidRPr="00B22F46" w:rsidRDefault="00343F93" w:rsidP="000529BA">
            <w:pPr>
              <w:pStyle w:val="naiskr"/>
              <w:tabs>
                <w:tab w:val="left" w:pos="2628"/>
              </w:tabs>
              <w:spacing w:before="0" w:after="0"/>
              <w:rPr>
                <w:sz w:val="26"/>
                <w:szCs w:val="26"/>
              </w:rPr>
            </w:pPr>
            <w:r w:rsidRPr="00B22F46">
              <w:rPr>
                <w:sz w:val="26"/>
                <w:szCs w:val="26"/>
              </w:rPr>
              <w:t>2.</w:t>
            </w:r>
          </w:p>
        </w:tc>
        <w:tc>
          <w:tcPr>
            <w:tcW w:w="1020" w:type="pct"/>
            <w:tcBorders>
              <w:left w:val="single" w:sz="12" w:space="0" w:color="auto"/>
              <w:right w:val="single" w:sz="12" w:space="0" w:color="auto"/>
            </w:tcBorders>
          </w:tcPr>
          <w:p w:rsidR="00343F93" w:rsidRPr="00B22F46" w:rsidRDefault="00343F93" w:rsidP="000529BA">
            <w:pPr>
              <w:pStyle w:val="naiskr"/>
              <w:tabs>
                <w:tab w:val="left" w:pos="2628"/>
              </w:tabs>
              <w:spacing w:before="0" w:after="0"/>
              <w:rPr>
                <w:sz w:val="26"/>
                <w:szCs w:val="26"/>
              </w:rPr>
            </w:pPr>
            <w:r w:rsidRPr="00B22F46">
              <w:rPr>
                <w:sz w:val="26"/>
                <w:szCs w:val="26"/>
              </w:rPr>
              <w:t>Cita informācija</w:t>
            </w:r>
          </w:p>
        </w:tc>
        <w:tc>
          <w:tcPr>
            <w:tcW w:w="3679" w:type="pct"/>
            <w:tcBorders>
              <w:left w:val="single" w:sz="12" w:space="0" w:color="auto"/>
            </w:tcBorders>
          </w:tcPr>
          <w:p w:rsidR="00343F93" w:rsidRPr="00B22F46" w:rsidRDefault="00343F93" w:rsidP="000529BA">
            <w:pPr>
              <w:pStyle w:val="naisc"/>
              <w:spacing w:before="0" w:after="0"/>
              <w:jc w:val="both"/>
              <w:rPr>
                <w:sz w:val="26"/>
                <w:szCs w:val="26"/>
              </w:rPr>
            </w:pPr>
            <w:r w:rsidRPr="00B22F46">
              <w:rPr>
                <w:sz w:val="26"/>
                <w:szCs w:val="26"/>
              </w:rPr>
              <w:t>Projekts un šīs anotācijas sadaļas 1.punktā minētie noteikumu projekti paredz, ka tie stāsies spēkā 2013.gada 1.septembrī</w:t>
            </w:r>
          </w:p>
        </w:tc>
      </w:tr>
    </w:tbl>
    <w:p w:rsidR="008B633E" w:rsidRPr="00B22F46" w:rsidRDefault="008B633E" w:rsidP="00BD135F">
      <w:pPr>
        <w:spacing w:before="0" w:after="0"/>
        <w:rPr>
          <w:sz w:val="26"/>
          <w:szCs w:val="26"/>
        </w:rPr>
      </w:pPr>
    </w:p>
    <w:p w:rsidR="00BD135F" w:rsidRDefault="00BD135F" w:rsidP="00017325">
      <w:pPr>
        <w:spacing w:before="0" w:after="0"/>
        <w:ind w:firstLine="375"/>
        <w:jc w:val="center"/>
        <w:rPr>
          <w:sz w:val="26"/>
          <w:szCs w:val="26"/>
        </w:rPr>
      </w:pPr>
    </w:p>
    <w:p w:rsidR="00BD135F" w:rsidRDefault="00BD135F" w:rsidP="00017325">
      <w:pPr>
        <w:spacing w:before="0" w:after="0"/>
        <w:ind w:firstLine="375"/>
        <w:jc w:val="center"/>
        <w:rPr>
          <w:sz w:val="26"/>
          <w:szCs w:val="26"/>
        </w:rPr>
      </w:pPr>
    </w:p>
    <w:tbl>
      <w:tblPr>
        <w:tblpPr w:leftFromText="180" w:rightFromText="180" w:vertAnchor="text" w:horzAnchor="margin" w:tblpXSpec="center" w:tblpY="-179"/>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3887"/>
        <w:gridCol w:w="5103"/>
      </w:tblGrid>
      <w:tr w:rsidR="005B2AE9" w:rsidRPr="00B22F46">
        <w:trPr>
          <w:tblCellSpacing w:w="0" w:type="dxa"/>
        </w:trPr>
        <w:tc>
          <w:tcPr>
            <w:tcW w:w="9423" w:type="dxa"/>
            <w:gridSpan w:val="3"/>
            <w:vAlign w:val="center"/>
          </w:tcPr>
          <w:p w:rsidR="005B2AE9" w:rsidRPr="00B22F46" w:rsidRDefault="005B2AE9" w:rsidP="00C359A0">
            <w:pPr>
              <w:pStyle w:val="naisnod"/>
              <w:spacing w:before="0" w:after="0"/>
              <w:jc w:val="both"/>
              <w:rPr>
                <w:sz w:val="26"/>
                <w:szCs w:val="26"/>
              </w:rPr>
            </w:pPr>
            <w:r w:rsidRPr="00B22F46">
              <w:rPr>
                <w:sz w:val="26"/>
                <w:szCs w:val="26"/>
              </w:rPr>
              <w:t>VII. Tiesību akta projekta izpildes nodrošināšana un tās ietekme uz institūcijām</w:t>
            </w:r>
          </w:p>
        </w:tc>
      </w:tr>
      <w:tr w:rsidR="005B2AE9" w:rsidRPr="00B22F46" w:rsidTr="005D758A">
        <w:trPr>
          <w:trHeight w:val="728"/>
          <w:tblCellSpacing w:w="0" w:type="dxa"/>
        </w:trPr>
        <w:tc>
          <w:tcPr>
            <w:tcW w:w="433" w:type="dxa"/>
            <w:vAlign w:val="center"/>
          </w:tcPr>
          <w:p w:rsidR="005B2AE9" w:rsidRPr="00B22F46" w:rsidRDefault="005B2AE9" w:rsidP="00C359A0">
            <w:pPr>
              <w:pStyle w:val="naisnod"/>
              <w:spacing w:before="0" w:after="0"/>
              <w:ind w:left="180" w:hanging="180"/>
              <w:jc w:val="both"/>
              <w:rPr>
                <w:b w:val="0"/>
                <w:bCs w:val="0"/>
                <w:sz w:val="26"/>
                <w:szCs w:val="26"/>
              </w:rPr>
            </w:pPr>
            <w:r w:rsidRPr="00B22F46">
              <w:rPr>
                <w:b w:val="0"/>
                <w:bCs w:val="0"/>
                <w:sz w:val="26"/>
                <w:szCs w:val="26"/>
              </w:rPr>
              <w:t>1.</w:t>
            </w:r>
          </w:p>
        </w:tc>
        <w:tc>
          <w:tcPr>
            <w:tcW w:w="3887" w:type="dxa"/>
            <w:vAlign w:val="center"/>
          </w:tcPr>
          <w:p w:rsidR="005B2AE9" w:rsidRPr="00B22F46" w:rsidRDefault="005B2AE9" w:rsidP="00C359A0">
            <w:pPr>
              <w:pStyle w:val="naisf"/>
              <w:spacing w:before="0" w:after="0"/>
              <w:ind w:firstLine="0"/>
              <w:rPr>
                <w:sz w:val="26"/>
                <w:szCs w:val="26"/>
              </w:rPr>
            </w:pPr>
            <w:r w:rsidRPr="00B22F46">
              <w:rPr>
                <w:sz w:val="26"/>
                <w:szCs w:val="26"/>
              </w:rPr>
              <w:t xml:space="preserve">Projekta izpildē iesaistītās institūcijas </w:t>
            </w:r>
          </w:p>
        </w:tc>
        <w:tc>
          <w:tcPr>
            <w:tcW w:w="5103" w:type="dxa"/>
            <w:vAlign w:val="center"/>
          </w:tcPr>
          <w:p w:rsidR="005B2AE9" w:rsidRPr="00B22F46" w:rsidRDefault="004724D2" w:rsidP="0055180A">
            <w:pPr>
              <w:pStyle w:val="naisnod"/>
              <w:spacing w:before="0" w:after="0"/>
              <w:jc w:val="both"/>
              <w:rPr>
                <w:b w:val="0"/>
                <w:bCs w:val="0"/>
                <w:sz w:val="26"/>
                <w:szCs w:val="26"/>
              </w:rPr>
            </w:pPr>
            <w:r w:rsidRPr="00B22F46">
              <w:rPr>
                <w:b w:val="0"/>
                <w:bCs w:val="0"/>
                <w:sz w:val="26"/>
                <w:szCs w:val="26"/>
              </w:rPr>
              <w:t>Projekta izpildi nodrošinās m</w:t>
            </w:r>
            <w:r w:rsidR="0022344F" w:rsidRPr="00B22F46">
              <w:rPr>
                <w:b w:val="0"/>
                <w:bCs w:val="0"/>
                <w:sz w:val="26"/>
                <w:szCs w:val="26"/>
              </w:rPr>
              <w:t>inistrija,</w:t>
            </w:r>
            <w:r w:rsidR="00AF0166" w:rsidRPr="00B22F46">
              <w:rPr>
                <w:b w:val="0"/>
                <w:bCs w:val="0"/>
                <w:sz w:val="26"/>
                <w:szCs w:val="26"/>
              </w:rPr>
              <w:t xml:space="preserve"> pašvaldības</w:t>
            </w:r>
            <w:r w:rsidRPr="00B22F46">
              <w:rPr>
                <w:b w:val="0"/>
                <w:bCs w:val="0"/>
                <w:sz w:val="26"/>
                <w:szCs w:val="26"/>
              </w:rPr>
              <w:t xml:space="preserve"> un</w:t>
            </w:r>
            <w:r w:rsidR="0022344F" w:rsidRPr="00B22F46">
              <w:rPr>
                <w:b w:val="0"/>
                <w:bCs w:val="0"/>
                <w:sz w:val="26"/>
                <w:szCs w:val="26"/>
              </w:rPr>
              <w:t xml:space="preserve"> izglītības iestādes.</w:t>
            </w:r>
          </w:p>
        </w:tc>
      </w:tr>
      <w:tr w:rsidR="005B2AE9" w:rsidRPr="00B22F46" w:rsidTr="005D758A">
        <w:trPr>
          <w:trHeight w:val="653"/>
          <w:tblCellSpacing w:w="0" w:type="dxa"/>
        </w:trPr>
        <w:tc>
          <w:tcPr>
            <w:tcW w:w="43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2.</w:t>
            </w:r>
          </w:p>
        </w:tc>
        <w:tc>
          <w:tcPr>
            <w:tcW w:w="3887" w:type="dxa"/>
            <w:vAlign w:val="center"/>
          </w:tcPr>
          <w:p w:rsidR="005B2AE9" w:rsidRPr="00B22F46" w:rsidRDefault="005B2AE9" w:rsidP="00C359A0">
            <w:pPr>
              <w:pStyle w:val="naisf"/>
              <w:spacing w:before="0" w:after="0"/>
              <w:ind w:firstLine="0"/>
              <w:rPr>
                <w:sz w:val="26"/>
                <w:szCs w:val="26"/>
              </w:rPr>
            </w:pPr>
            <w:r w:rsidRPr="00B22F46">
              <w:rPr>
                <w:sz w:val="26"/>
                <w:szCs w:val="26"/>
              </w:rPr>
              <w:t xml:space="preserve">Projekta izpildes ietekme uz pārvaldes funkcijām </w:t>
            </w:r>
          </w:p>
        </w:tc>
        <w:tc>
          <w:tcPr>
            <w:tcW w:w="5103" w:type="dxa"/>
            <w:vAlign w:val="center"/>
          </w:tcPr>
          <w:p w:rsidR="005B2AE9" w:rsidRPr="00B22F46" w:rsidRDefault="004724D2" w:rsidP="00C359A0">
            <w:pPr>
              <w:pStyle w:val="naisnod"/>
              <w:spacing w:before="0" w:after="0"/>
              <w:jc w:val="both"/>
              <w:rPr>
                <w:b w:val="0"/>
                <w:bCs w:val="0"/>
                <w:sz w:val="26"/>
                <w:szCs w:val="26"/>
              </w:rPr>
            </w:pPr>
            <w:r w:rsidRPr="00B22F46">
              <w:rPr>
                <w:b w:val="0"/>
                <w:sz w:val="26"/>
                <w:szCs w:val="26"/>
              </w:rPr>
              <w:t>Projekta izpilde neatstās būtisku ietekmi  uz to institūciju, kuras piedalīsies projekta izpildē, funkcijām un uzdevumiem.</w:t>
            </w:r>
          </w:p>
        </w:tc>
      </w:tr>
      <w:tr w:rsidR="005B2AE9" w:rsidRPr="00B22F46" w:rsidTr="005D758A">
        <w:trPr>
          <w:trHeight w:val="725"/>
          <w:tblCellSpacing w:w="0" w:type="dxa"/>
        </w:trPr>
        <w:tc>
          <w:tcPr>
            <w:tcW w:w="43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3.</w:t>
            </w:r>
          </w:p>
        </w:tc>
        <w:tc>
          <w:tcPr>
            <w:tcW w:w="3887" w:type="dxa"/>
            <w:vAlign w:val="center"/>
          </w:tcPr>
          <w:p w:rsidR="005B2AE9" w:rsidRPr="00B22F46" w:rsidRDefault="005B2AE9" w:rsidP="00C359A0">
            <w:pPr>
              <w:pStyle w:val="naisf"/>
              <w:spacing w:before="0" w:after="0"/>
              <w:ind w:firstLine="0"/>
              <w:rPr>
                <w:sz w:val="26"/>
                <w:szCs w:val="26"/>
              </w:rPr>
            </w:pPr>
            <w:r w:rsidRPr="00B22F46">
              <w:rPr>
                <w:sz w:val="26"/>
                <w:szCs w:val="26"/>
              </w:rPr>
              <w:t>Projekta izpildes ietekme uz pārvaldes institucionālo struktūru. Jaunu institūciju izveide.</w:t>
            </w:r>
          </w:p>
        </w:tc>
        <w:tc>
          <w:tcPr>
            <w:tcW w:w="510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Normatīvā akta izpilde tiks nodrošināta esošo institūciju ietvaros.</w:t>
            </w:r>
          </w:p>
        </w:tc>
      </w:tr>
      <w:tr w:rsidR="005B2AE9" w:rsidRPr="00B22F46" w:rsidTr="005D758A">
        <w:trPr>
          <w:trHeight w:val="816"/>
          <w:tblCellSpacing w:w="0" w:type="dxa"/>
        </w:trPr>
        <w:tc>
          <w:tcPr>
            <w:tcW w:w="43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4.</w:t>
            </w:r>
          </w:p>
        </w:tc>
        <w:tc>
          <w:tcPr>
            <w:tcW w:w="3887" w:type="dxa"/>
            <w:vAlign w:val="center"/>
          </w:tcPr>
          <w:p w:rsidR="005B2AE9" w:rsidRPr="00B22F46" w:rsidRDefault="005B2AE9" w:rsidP="00C359A0">
            <w:pPr>
              <w:pStyle w:val="naisf"/>
              <w:spacing w:before="0" w:after="0"/>
              <w:ind w:firstLine="0"/>
              <w:rPr>
                <w:sz w:val="26"/>
                <w:szCs w:val="26"/>
              </w:rPr>
            </w:pPr>
            <w:r w:rsidRPr="00B22F46">
              <w:rPr>
                <w:sz w:val="26"/>
                <w:szCs w:val="26"/>
              </w:rPr>
              <w:t>Projekta izpildes ietekme uz pārvaldes institucionālo struktūru. Esošu institūciju likvidācija.</w:t>
            </w:r>
          </w:p>
        </w:tc>
        <w:tc>
          <w:tcPr>
            <w:tcW w:w="510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Projekts šo jomu neskar.</w:t>
            </w:r>
          </w:p>
        </w:tc>
      </w:tr>
      <w:tr w:rsidR="005B2AE9" w:rsidRPr="00B22F46" w:rsidTr="005D758A">
        <w:trPr>
          <w:trHeight w:val="829"/>
          <w:tblCellSpacing w:w="0" w:type="dxa"/>
        </w:trPr>
        <w:tc>
          <w:tcPr>
            <w:tcW w:w="43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5.</w:t>
            </w:r>
          </w:p>
        </w:tc>
        <w:tc>
          <w:tcPr>
            <w:tcW w:w="3887" w:type="dxa"/>
            <w:vAlign w:val="center"/>
          </w:tcPr>
          <w:p w:rsidR="005B2AE9" w:rsidRPr="00B22F46" w:rsidRDefault="005B2AE9" w:rsidP="00C359A0">
            <w:pPr>
              <w:pStyle w:val="naisf"/>
              <w:spacing w:before="0" w:after="0"/>
              <w:ind w:firstLine="0"/>
              <w:rPr>
                <w:sz w:val="26"/>
                <w:szCs w:val="26"/>
              </w:rPr>
            </w:pPr>
            <w:r w:rsidRPr="00B22F46">
              <w:rPr>
                <w:sz w:val="26"/>
                <w:szCs w:val="26"/>
              </w:rPr>
              <w:t>Projekta izpildes ietekme uz pārvaldes institucionālo struktūru. Esošu institūciju reorganizācija.</w:t>
            </w:r>
          </w:p>
        </w:tc>
        <w:tc>
          <w:tcPr>
            <w:tcW w:w="5103" w:type="dxa"/>
            <w:vAlign w:val="center"/>
          </w:tcPr>
          <w:p w:rsidR="005B2AE9" w:rsidRPr="00B22F46" w:rsidRDefault="005B2AE9" w:rsidP="00C359A0">
            <w:pPr>
              <w:pStyle w:val="naisnod"/>
              <w:spacing w:before="0" w:after="0"/>
              <w:jc w:val="both"/>
              <w:rPr>
                <w:b w:val="0"/>
                <w:bCs w:val="0"/>
                <w:sz w:val="26"/>
                <w:szCs w:val="26"/>
              </w:rPr>
            </w:pPr>
            <w:r w:rsidRPr="00B22F46">
              <w:rPr>
                <w:b w:val="0"/>
                <w:bCs w:val="0"/>
                <w:sz w:val="26"/>
                <w:szCs w:val="26"/>
              </w:rPr>
              <w:t>Projekts šo jomu neskar.</w:t>
            </w:r>
          </w:p>
        </w:tc>
      </w:tr>
      <w:tr w:rsidR="005B2AE9" w:rsidRPr="00B22F46" w:rsidTr="005D758A">
        <w:trPr>
          <w:trHeight w:val="476"/>
          <w:tblCellSpacing w:w="0" w:type="dxa"/>
        </w:trPr>
        <w:tc>
          <w:tcPr>
            <w:tcW w:w="433" w:type="dxa"/>
            <w:vAlign w:val="center"/>
          </w:tcPr>
          <w:p w:rsidR="005B2AE9" w:rsidRPr="00B22F46" w:rsidRDefault="005B2AE9" w:rsidP="00C359A0">
            <w:pPr>
              <w:pStyle w:val="naiskr"/>
              <w:spacing w:before="0" w:after="0"/>
              <w:rPr>
                <w:sz w:val="26"/>
                <w:szCs w:val="26"/>
              </w:rPr>
            </w:pPr>
            <w:r w:rsidRPr="00B22F46">
              <w:rPr>
                <w:sz w:val="26"/>
                <w:szCs w:val="26"/>
              </w:rPr>
              <w:t>6.</w:t>
            </w:r>
          </w:p>
        </w:tc>
        <w:tc>
          <w:tcPr>
            <w:tcW w:w="3887" w:type="dxa"/>
            <w:vAlign w:val="center"/>
          </w:tcPr>
          <w:p w:rsidR="005B2AE9" w:rsidRPr="00B22F46" w:rsidRDefault="005B2AE9" w:rsidP="00C359A0">
            <w:pPr>
              <w:pStyle w:val="naiskr"/>
              <w:spacing w:before="0" w:after="0"/>
              <w:rPr>
                <w:sz w:val="26"/>
                <w:szCs w:val="26"/>
              </w:rPr>
            </w:pPr>
            <w:r w:rsidRPr="00B22F46">
              <w:rPr>
                <w:sz w:val="26"/>
                <w:szCs w:val="26"/>
              </w:rPr>
              <w:t>Cita informācija.</w:t>
            </w:r>
          </w:p>
        </w:tc>
        <w:tc>
          <w:tcPr>
            <w:tcW w:w="5103" w:type="dxa"/>
            <w:vAlign w:val="center"/>
          </w:tcPr>
          <w:p w:rsidR="005B2AE9" w:rsidRPr="00B22F46" w:rsidRDefault="005B2AE9" w:rsidP="00C359A0">
            <w:pPr>
              <w:pStyle w:val="naiskr"/>
              <w:spacing w:before="0" w:after="0"/>
              <w:jc w:val="both"/>
              <w:rPr>
                <w:sz w:val="26"/>
                <w:szCs w:val="26"/>
              </w:rPr>
            </w:pPr>
            <w:r w:rsidRPr="00B22F46">
              <w:rPr>
                <w:sz w:val="26"/>
                <w:szCs w:val="26"/>
              </w:rPr>
              <w:t>Nav.</w:t>
            </w:r>
          </w:p>
        </w:tc>
      </w:tr>
    </w:tbl>
    <w:p w:rsidR="00BD135F" w:rsidRPr="00B22F46" w:rsidRDefault="00BD135F" w:rsidP="00BD135F">
      <w:pPr>
        <w:spacing w:before="0" w:after="0"/>
        <w:ind w:firstLine="375"/>
        <w:jc w:val="center"/>
        <w:rPr>
          <w:sz w:val="26"/>
          <w:szCs w:val="26"/>
        </w:rPr>
      </w:pPr>
      <w:r w:rsidRPr="00B22F46">
        <w:rPr>
          <w:sz w:val="26"/>
          <w:szCs w:val="26"/>
        </w:rPr>
        <w:t>Anotācijas V un VI sadaļa – projekts šīs jomas neskar.</w:t>
      </w:r>
    </w:p>
    <w:p w:rsidR="005B2AE9" w:rsidRPr="00B22F46" w:rsidRDefault="005B2AE9" w:rsidP="00C359A0">
      <w:pPr>
        <w:spacing w:before="0" w:after="0"/>
        <w:rPr>
          <w:b/>
          <w:bCs/>
          <w:sz w:val="26"/>
          <w:szCs w:val="26"/>
        </w:rPr>
      </w:pPr>
    </w:p>
    <w:p w:rsidR="00BD135F" w:rsidRDefault="00BD135F" w:rsidP="00410F17">
      <w:pPr>
        <w:spacing w:before="0" w:after="0"/>
        <w:rPr>
          <w:sz w:val="26"/>
          <w:szCs w:val="26"/>
        </w:rPr>
      </w:pPr>
    </w:p>
    <w:p w:rsidR="00A70D15" w:rsidRPr="00B22F46" w:rsidRDefault="005B2AE9" w:rsidP="00410F17">
      <w:pPr>
        <w:spacing w:before="0" w:after="0"/>
        <w:rPr>
          <w:b/>
          <w:bCs/>
          <w:sz w:val="26"/>
          <w:szCs w:val="26"/>
        </w:rPr>
      </w:pPr>
      <w:r w:rsidRPr="00B22F46">
        <w:rPr>
          <w:sz w:val="26"/>
          <w:szCs w:val="26"/>
        </w:rPr>
        <w:t>Iesniedzējs:</w:t>
      </w:r>
      <w:r w:rsidRPr="00B22F46">
        <w:rPr>
          <w:b/>
          <w:bCs/>
          <w:sz w:val="26"/>
          <w:szCs w:val="26"/>
        </w:rPr>
        <w:t xml:space="preserve"> </w:t>
      </w:r>
    </w:p>
    <w:p w:rsidR="005B2AE9" w:rsidRPr="00B22F46" w:rsidRDefault="005B2AE9" w:rsidP="00A70D15">
      <w:pPr>
        <w:spacing w:before="0" w:after="0"/>
        <w:ind w:left="720"/>
        <w:rPr>
          <w:sz w:val="26"/>
          <w:szCs w:val="26"/>
        </w:rPr>
      </w:pPr>
      <w:r w:rsidRPr="00B22F46">
        <w:rPr>
          <w:sz w:val="26"/>
          <w:szCs w:val="26"/>
        </w:rPr>
        <w:t>Izglītī</w:t>
      </w:r>
      <w:r w:rsidR="00017325" w:rsidRPr="00B22F46">
        <w:rPr>
          <w:sz w:val="26"/>
          <w:szCs w:val="26"/>
        </w:rPr>
        <w:t>bas un zinātnes ministrs</w:t>
      </w:r>
      <w:r w:rsidR="00017325" w:rsidRPr="00B22F46">
        <w:rPr>
          <w:sz w:val="26"/>
          <w:szCs w:val="26"/>
        </w:rPr>
        <w:tab/>
      </w:r>
      <w:r w:rsidR="00017325" w:rsidRPr="00B22F46">
        <w:rPr>
          <w:sz w:val="26"/>
          <w:szCs w:val="26"/>
        </w:rPr>
        <w:tab/>
        <w:t xml:space="preserve">                 </w:t>
      </w:r>
      <w:proofErr w:type="spellStart"/>
      <w:r w:rsidR="00410F17" w:rsidRPr="00B22F46">
        <w:rPr>
          <w:sz w:val="26"/>
          <w:szCs w:val="26"/>
        </w:rPr>
        <w:t>V.Dombrovskis</w:t>
      </w:r>
      <w:proofErr w:type="spellEnd"/>
    </w:p>
    <w:p w:rsidR="008B633E" w:rsidRPr="00B22F46" w:rsidRDefault="008B633E" w:rsidP="00A70D15">
      <w:pPr>
        <w:spacing w:before="0" w:after="0"/>
        <w:rPr>
          <w:sz w:val="26"/>
          <w:szCs w:val="26"/>
        </w:rPr>
      </w:pPr>
    </w:p>
    <w:p w:rsidR="008B633E" w:rsidRPr="00B22F46" w:rsidRDefault="008B633E" w:rsidP="00A70D15">
      <w:pPr>
        <w:spacing w:before="0" w:after="0"/>
        <w:rPr>
          <w:sz w:val="26"/>
          <w:szCs w:val="26"/>
        </w:rPr>
      </w:pPr>
    </w:p>
    <w:p w:rsidR="00BD135F" w:rsidRDefault="00BD135F" w:rsidP="00A70D15">
      <w:pPr>
        <w:spacing w:before="0" w:after="0"/>
        <w:rPr>
          <w:sz w:val="26"/>
          <w:szCs w:val="26"/>
        </w:rPr>
      </w:pPr>
    </w:p>
    <w:p w:rsidR="00A70D15" w:rsidRPr="00B22F46" w:rsidRDefault="008A2102" w:rsidP="00A70D15">
      <w:pPr>
        <w:spacing w:before="0" w:after="0"/>
        <w:rPr>
          <w:sz w:val="26"/>
          <w:szCs w:val="26"/>
        </w:rPr>
      </w:pPr>
      <w:r w:rsidRPr="00B22F46">
        <w:rPr>
          <w:sz w:val="26"/>
          <w:szCs w:val="26"/>
        </w:rPr>
        <w:t xml:space="preserve">Vizē: </w:t>
      </w:r>
      <w:bookmarkStart w:id="6" w:name="str06"/>
      <w:bookmarkEnd w:id="6"/>
    </w:p>
    <w:p w:rsidR="008A2102" w:rsidRPr="00B22F46" w:rsidRDefault="008A2102" w:rsidP="00410F17">
      <w:pPr>
        <w:spacing w:before="0" w:after="0"/>
        <w:ind w:firstLine="720"/>
        <w:rPr>
          <w:sz w:val="26"/>
          <w:szCs w:val="26"/>
        </w:rPr>
      </w:pPr>
      <w:r w:rsidRPr="00B22F46">
        <w:rPr>
          <w:bCs/>
          <w:kern w:val="36"/>
          <w:sz w:val="26"/>
          <w:szCs w:val="26"/>
        </w:rPr>
        <w:t>Valsts sekretār</w:t>
      </w:r>
      <w:r w:rsidR="00410F17" w:rsidRPr="00B22F46">
        <w:rPr>
          <w:bCs/>
          <w:kern w:val="36"/>
          <w:sz w:val="26"/>
          <w:szCs w:val="26"/>
        </w:rPr>
        <w:t xml:space="preserve">e </w:t>
      </w:r>
      <w:r w:rsidRPr="00B22F46">
        <w:rPr>
          <w:bCs/>
          <w:kern w:val="36"/>
          <w:sz w:val="26"/>
          <w:szCs w:val="26"/>
        </w:rPr>
        <w:t xml:space="preserve"> </w:t>
      </w:r>
      <w:r w:rsidR="00410F17" w:rsidRPr="00B22F46">
        <w:rPr>
          <w:bCs/>
          <w:kern w:val="36"/>
          <w:sz w:val="26"/>
          <w:szCs w:val="26"/>
        </w:rPr>
        <w:t xml:space="preserve">                                                      </w:t>
      </w:r>
      <w:r w:rsidR="00A70D15" w:rsidRPr="00B22F46">
        <w:rPr>
          <w:bCs/>
          <w:kern w:val="36"/>
          <w:sz w:val="26"/>
          <w:szCs w:val="26"/>
        </w:rPr>
        <w:t xml:space="preserve">  </w:t>
      </w:r>
      <w:r w:rsidR="00410F17" w:rsidRPr="00B22F46">
        <w:rPr>
          <w:bCs/>
          <w:kern w:val="36"/>
          <w:sz w:val="26"/>
          <w:szCs w:val="26"/>
        </w:rPr>
        <w:t xml:space="preserve"> S.Liepiņa</w:t>
      </w:r>
    </w:p>
    <w:p w:rsidR="005B2AE9" w:rsidRPr="00B22F46" w:rsidRDefault="005B2AE9" w:rsidP="00C359A0">
      <w:pPr>
        <w:spacing w:before="0" w:after="0"/>
        <w:jc w:val="both"/>
        <w:rPr>
          <w:sz w:val="28"/>
          <w:szCs w:val="28"/>
        </w:rPr>
      </w:pPr>
    </w:p>
    <w:p w:rsidR="00A70D15" w:rsidRPr="00B22F46" w:rsidRDefault="00A70D15" w:rsidP="00C359A0">
      <w:pPr>
        <w:spacing w:before="0" w:after="0"/>
        <w:jc w:val="both"/>
        <w:rPr>
          <w:sz w:val="28"/>
          <w:szCs w:val="28"/>
        </w:rPr>
      </w:pPr>
    </w:p>
    <w:p w:rsidR="00AA6B60" w:rsidRPr="00B22F46" w:rsidRDefault="006F2D93" w:rsidP="006F2D93">
      <w:pPr>
        <w:spacing w:before="0" w:after="0"/>
        <w:jc w:val="both"/>
        <w:rPr>
          <w:sz w:val="20"/>
          <w:szCs w:val="20"/>
        </w:rPr>
      </w:pPr>
      <w:r w:rsidRPr="00B22F46">
        <w:rPr>
          <w:sz w:val="20"/>
          <w:szCs w:val="20"/>
        </w:rPr>
        <w:t xml:space="preserve">           </w:t>
      </w:r>
    </w:p>
    <w:p w:rsidR="00AA6B60" w:rsidRPr="00B22F46" w:rsidRDefault="00AA6B60" w:rsidP="006F2D93">
      <w:pPr>
        <w:spacing w:before="0" w:after="0"/>
        <w:jc w:val="both"/>
        <w:rPr>
          <w:sz w:val="20"/>
          <w:szCs w:val="20"/>
        </w:rPr>
      </w:pPr>
    </w:p>
    <w:p w:rsidR="00AA6B60" w:rsidRPr="00B22F46" w:rsidRDefault="00AA6B60" w:rsidP="006F2D93">
      <w:pPr>
        <w:spacing w:before="0" w:after="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AA6B60" w:rsidRPr="00B22F46" w:rsidRDefault="00AA6B60" w:rsidP="00AA6B60">
      <w:pPr>
        <w:spacing w:before="0" w:after="0"/>
        <w:ind w:firstLine="720"/>
        <w:jc w:val="both"/>
        <w:rPr>
          <w:sz w:val="20"/>
          <w:szCs w:val="20"/>
        </w:rPr>
      </w:pPr>
    </w:p>
    <w:p w:rsidR="005B2AE9" w:rsidRPr="00B22F46" w:rsidRDefault="0040448B" w:rsidP="0040448B">
      <w:pPr>
        <w:spacing w:before="0" w:after="0"/>
        <w:jc w:val="both"/>
        <w:rPr>
          <w:sz w:val="20"/>
          <w:szCs w:val="20"/>
        </w:rPr>
      </w:pPr>
      <w:r>
        <w:rPr>
          <w:sz w:val="20"/>
          <w:szCs w:val="20"/>
        </w:rPr>
        <w:t xml:space="preserve">           </w:t>
      </w:r>
      <w:r w:rsidR="005D758A">
        <w:rPr>
          <w:sz w:val="20"/>
          <w:szCs w:val="20"/>
        </w:rPr>
        <w:t>1</w:t>
      </w:r>
      <w:r w:rsidR="00B605DF">
        <w:rPr>
          <w:sz w:val="20"/>
          <w:szCs w:val="20"/>
        </w:rPr>
        <w:t>5</w:t>
      </w:r>
      <w:r w:rsidR="00AA6B60" w:rsidRPr="00B22F46">
        <w:rPr>
          <w:sz w:val="20"/>
          <w:szCs w:val="20"/>
        </w:rPr>
        <w:t>.08</w:t>
      </w:r>
      <w:r w:rsidR="00A70D15" w:rsidRPr="00B22F46">
        <w:rPr>
          <w:sz w:val="20"/>
          <w:szCs w:val="20"/>
        </w:rPr>
        <w:t>.</w:t>
      </w:r>
      <w:r w:rsidR="00ED1333" w:rsidRPr="00B22F46">
        <w:rPr>
          <w:sz w:val="20"/>
          <w:szCs w:val="20"/>
        </w:rPr>
        <w:t>201</w:t>
      </w:r>
      <w:r w:rsidR="00410F17" w:rsidRPr="00B22F46">
        <w:rPr>
          <w:sz w:val="20"/>
          <w:szCs w:val="20"/>
        </w:rPr>
        <w:t>3</w:t>
      </w:r>
      <w:r w:rsidR="00ED1333" w:rsidRPr="00B22F46">
        <w:rPr>
          <w:sz w:val="20"/>
          <w:szCs w:val="20"/>
        </w:rPr>
        <w:t xml:space="preserve">. </w:t>
      </w:r>
    </w:p>
    <w:p w:rsidR="005B2AE9" w:rsidRPr="00B22F46" w:rsidRDefault="00A70D15" w:rsidP="00A70D15">
      <w:pPr>
        <w:spacing w:before="0" w:after="0"/>
        <w:jc w:val="both"/>
        <w:rPr>
          <w:sz w:val="20"/>
          <w:szCs w:val="20"/>
        </w:rPr>
      </w:pPr>
      <w:r w:rsidRPr="00B22F46">
        <w:rPr>
          <w:sz w:val="20"/>
          <w:szCs w:val="20"/>
        </w:rPr>
        <w:t xml:space="preserve">           </w:t>
      </w:r>
      <w:r w:rsidR="0040448B">
        <w:rPr>
          <w:sz w:val="20"/>
          <w:szCs w:val="20"/>
        </w:rPr>
        <w:t>2</w:t>
      </w:r>
      <w:r w:rsidR="00B605DF">
        <w:rPr>
          <w:sz w:val="20"/>
          <w:szCs w:val="20"/>
        </w:rPr>
        <w:t>786</w:t>
      </w:r>
      <w:r w:rsidR="0040448B">
        <w:rPr>
          <w:sz w:val="20"/>
          <w:szCs w:val="20"/>
        </w:rPr>
        <w:t xml:space="preserve"> vārdi</w:t>
      </w:r>
    </w:p>
    <w:p w:rsidR="00BD792F" w:rsidRPr="00B22F46" w:rsidRDefault="00A70D15" w:rsidP="00A70D15">
      <w:pPr>
        <w:spacing w:before="0" w:after="0"/>
        <w:jc w:val="both"/>
        <w:rPr>
          <w:sz w:val="20"/>
          <w:szCs w:val="20"/>
        </w:rPr>
      </w:pPr>
      <w:bookmarkStart w:id="7" w:name="OLE_LINK7"/>
      <w:bookmarkStart w:id="8" w:name="OLE_LINK1"/>
      <w:r w:rsidRPr="00B22F46">
        <w:rPr>
          <w:sz w:val="20"/>
          <w:szCs w:val="20"/>
        </w:rPr>
        <w:t xml:space="preserve">            </w:t>
      </w:r>
      <w:r w:rsidR="00410F17" w:rsidRPr="00B22F46">
        <w:rPr>
          <w:sz w:val="20"/>
          <w:szCs w:val="20"/>
        </w:rPr>
        <w:t>A.Āboliņa</w:t>
      </w:r>
      <w:r w:rsidR="005B2AE9" w:rsidRPr="00B22F46">
        <w:rPr>
          <w:sz w:val="20"/>
          <w:szCs w:val="20"/>
        </w:rPr>
        <w:t>, 67047</w:t>
      </w:r>
      <w:r w:rsidR="0094188F" w:rsidRPr="00B22F46">
        <w:rPr>
          <w:sz w:val="20"/>
          <w:szCs w:val="20"/>
        </w:rPr>
        <w:t>9</w:t>
      </w:r>
      <w:r w:rsidR="00410F17" w:rsidRPr="00B22F46">
        <w:rPr>
          <w:sz w:val="20"/>
          <w:szCs w:val="20"/>
        </w:rPr>
        <w:t>30</w:t>
      </w:r>
      <w:r w:rsidR="005B2AE9" w:rsidRPr="00B22F46">
        <w:rPr>
          <w:sz w:val="20"/>
          <w:szCs w:val="20"/>
        </w:rPr>
        <w:t xml:space="preserve"> </w:t>
      </w:r>
    </w:p>
    <w:p w:rsidR="005B2AE9" w:rsidRPr="006E076B" w:rsidRDefault="00BD792F" w:rsidP="00A70D15">
      <w:pPr>
        <w:spacing w:before="0" w:after="0"/>
        <w:jc w:val="both"/>
        <w:rPr>
          <w:sz w:val="20"/>
          <w:szCs w:val="20"/>
        </w:rPr>
      </w:pPr>
      <w:r w:rsidRPr="00B22F46">
        <w:rPr>
          <w:sz w:val="20"/>
          <w:szCs w:val="20"/>
        </w:rPr>
        <w:t xml:space="preserve">            </w:t>
      </w:r>
      <w:r w:rsidR="00A70D15" w:rsidRPr="00B22F46">
        <w:rPr>
          <w:sz w:val="20"/>
          <w:szCs w:val="20"/>
        </w:rPr>
        <w:t>anita.abolina@izm.gov.lv</w:t>
      </w:r>
      <w:bookmarkEnd w:id="7"/>
      <w:bookmarkEnd w:id="8"/>
    </w:p>
    <w:sectPr w:rsidR="005B2AE9" w:rsidRPr="006E076B" w:rsidSect="007B1A23">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14" w:rsidRDefault="00A47D14" w:rsidP="00161A8D">
      <w:pPr>
        <w:spacing w:before="0" w:after="0"/>
      </w:pPr>
      <w:r>
        <w:separator/>
      </w:r>
    </w:p>
  </w:endnote>
  <w:endnote w:type="continuationSeparator" w:id="0">
    <w:p w:rsidR="00A47D14" w:rsidRDefault="00A47D14" w:rsidP="00161A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237ECE" w:rsidRDefault="0094188F" w:rsidP="00910258">
    <w:pPr>
      <w:pStyle w:val="NormalWeb"/>
      <w:jc w:val="both"/>
      <w:rPr>
        <w:sz w:val="20"/>
        <w:szCs w:val="20"/>
      </w:rPr>
    </w:pPr>
    <w:r w:rsidRPr="00237ECE">
      <w:rPr>
        <w:sz w:val="20"/>
        <w:szCs w:val="20"/>
      </w:rPr>
      <w:t>IZMAnot_</w:t>
    </w:r>
    <w:r w:rsidR="00D26F4F">
      <w:rPr>
        <w:sz w:val="20"/>
        <w:szCs w:val="20"/>
      </w:rPr>
      <w:t>1</w:t>
    </w:r>
    <w:r w:rsidR="00044FA6">
      <w:rPr>
        <w:sz w:val="20"/>
        <w:szCs w:val="20"/>
      </w:rPr>
      <w:t>5</w:t>
    </w:r>
    <w:r w:rsidR="00237ECE" w:rsidRPr="00237ECE">
      <w:rPr>
        <w:sz w:val="20"/>
        <w:szCs w:val="20"/>
      </w:rPr>
      <w:t>08</w:t>
    </w:r>
    <w:r w:rsidR="00910258" w:rsidRPr="00237ECE">
      <w:rPr>
        <w:sz w:val="20"/>
        <w:szCs w:val="20"/>
      </w:rPr>
      <w:t>1</w:t>
    </w:r>
    <w:r w:rsidR="00426136" w:rsidRPr="00237ECE">
      <w:rPr>
        <w:sz w:val="20"/>
        <w:szCs w:val="20"/>
      </w:rPr>
      <w:t>3_groz1</w:t>
    </w:r>
    <w:r w:rsidR="00910258" w:rsidRPr="00237ECE">
      <w:rPr>
        <w:sz w:val="20"/>
        <w:szCs w:val="20"/>
      </w:rPr>
      <w:t xml:space="preserve">616; </w:t>
    </w:r>
    <w:r w:rsidR="00910258" w:rsidRPr="00237ECE">
      <w:rPr>
        <w:rStyle w:val="Strong"/>
        <w:b w:val="0"/>
        <w:bCs w:val="0"/>
        <w:sz w:val="20"/>
        <w:szCs w:val="20"/>
      </w:rPr>
      <w:t>Grozījumi Ministru kabineta 2009.gada 22.decembra noteikumos Nr.1616</w:t>
    </w:r>
    <w:r w:rsidR="00910258" w:rsidRPr="00237ECE">
      <w:rPr>
        <w:rStyle w:val="Strong"/>
        <w:sz w:val="20"/>
        <w:szCs w:val="20"/>
      </w:rPr>
      <w:t xml:space="preserve"> „</w:t>
    </w:r>
    <w:r w:rsidR="00910258" w:rsidRPr="00237ECE">
      <w:rPr>
        <w:sz w:val="20"/>
        <w:szCs w:val="20"/>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910258" w:rsidRPr="00237ECE">
      <w:rPr>
        <w:rStyle w:val="Strong"/>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237ECE" w:rsidRDefault="00426136" w:rsidP="00A678C8">
    <w:pPr>
      <w:pStyle w:val="NormalWeb"/>
      <w:jc w:val="both"/>
      <w:rPr>
        <w:sz w:val="20"/>
        <w:szCs w:val="20"/>
      </w:rPr>
    </w:pPr>
    <w:r w:rsidRPr="00237ECE">
      <w:rPr>
        <w:sz w:val="20"/>
        <w:szCs w:val="20"/>
      </w:rPr>
      <w:t>IZMAnot_</w:t>
    </w:r>
    <w:r w:rsidR="00D26F4F">
      <w:rPr>
        <w:sz w:val="20"/>
        <w:szCs w:val="20"/>
      </w:rPr>
      <w:t>1</w:t>
    </w:r>
    <w:r w:rsidR="00044FA6">
      <w:rPr>
        <w:sz w:val="20"/>
        <w:szCs w:val="20"/>
      </w:rPr>
      <w:t>5</w:t>
    </w:r>
    <w:r w:rsidR="00237ECE" w:rsidRPr="00237ECE">
      <w:rPr>
        <w:sz w:val="20"/>
        <w:szCs w:val="20"/>
      </w:rPr>
      <w:t>08</w:t>
    </w:r>
    <w:r w:rsidRPr="00237ECE">
      <w:rPr>
        <w:sz w:val="20"/>
        <w:szCs w:val="20"/>
      </w:rPr>
      <w:t>13_groz1616</w:t>
    </w:r>
    <w:r w:rsidR="005B2AE9" w:rsidRPr="00237ECE">
      <w:rPr>
        <w:sz w:val="20"/>
        <w:szCs w:val="20"/>
      </w:rPr>
      <w:t xml:space="preserve">; </w:t>
    </w:r>
    <w:r w:rsidR="005B2AE9" w:rsidRPr="00237ECE">
      <w:rPr>
        <w:rStyle w:val="Strong"/>
        <w:b w:val="0"/>
        <w:bCs w:val="0"/>
        <w:sz w:val="20"/>
        <w:szCs w:val="20"/>
      </w:rPr>
      <w:t>Grozījumi Ministru kabineta 2009.gada 22.decembra noteikumos Nr.1616</w:t>
    </w:r>
    <w:r w:rsidR="005B2AE9" w:rsidRPr="00237ECE">
      <w:rPr>
        <w:rStyle w:val="Strong"/>
        <w:sz w:val="20"/>
        <w:szCs w:val="20"/>
      </w:rPr>
      <w:t xml:space="preserve"> „</w:t>
    </w:r>
    <w:r w:rsidR="005B2AE9" w:rsidRPr="00237ECE">
      <w:rPr>
        <w:sz w:val="20"/>
        <w:szCs w:val="20"/>
      </w:rPr>
      <w:t xml:space="preserve">Kārtība, kādā aprēķina un sadala valsts budžeta mērķdotāciju </w:t>
    </w:r>
    <w:r w:rsidR="008803C2" w:rsidRPr="00237ECE">
      <w:rPr>
        <w:sz w:val="20"/>
        <w:szCs w:val="20"/>
      </w:rPr>
      <w:t xml:space="preserve">pašvaldību </w:t>
    </w:r>
    <w:r w:rsidR="005B2AE9" w:rsidRPr="00237ECE">
      <w:rPr>
        <w:sz w:val="20"/>
        <w:szCs w:val="20"/>
      </w:rPr>
      <w:t>izglītības iestādēm bērnu no piecu gadu vecuma izglītošanā nodarbināto pirmsskolas izglītības pedagogu darba samaksai un pašvaldību vispārējās pamatizglītības un vispārējās vidējās izglītības iestāžu pedagogu darba samaksai</w:t>
    </w:r>
    <w:r w:rsidR="005B2AE9" w:rsidRPr="00237ECE">
      <w:rPr>
        <w:rStyle w:val="Strong"/>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14" w:rsidRDefault="00A47D14" w:rsidP="00161A8D">
      <w:pPr>
        <w:spacing w:before="0" w:after="0"/>
      </w:pPr>
      <w:r>
        <w:separator/>
      </w:r>
    </w:p>
  </w:footnote>
  <w:footnote w:type="continuationSeparator" w:id="0">
    <w:p w:rsidR="00A47D14" w:rsidRDefault="00A47D14" w:rsidP="00161A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DB073B" w:rsidRDefault="009E0B23"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5B2AE9" w:rsidRPr="00DB073B">
      <w:rPr>
        <w:rStyle w:val="PageNumber"/>
        <w:sz w:val="20"/>
        <w:szCs w:val="20"/>
      </w:rPr>
      <w:instrText xml:space="preserve">PAGE  </w:instrText>
    </w:r>
    <w:r w:rsidRPr="00DB073B">
      <w:rPr>
        <w:rStyle w:val="PageNumber"/>
        <w:sz w:val="20"/>
        <w:szCs w:val="20"/>
      </w:rPr>
      <w:fldChar w:fldCharType="separate"/>
    </w:r>
    <w:r w:rsidR="00044FA6">
      <w:rPr>
        <w:rStyle w:val="PageNumber"/>
        <w:noProof/>
        <w:sz w:val="20"/>
        <w:szCs w:val="20"/>
      </w:rPr>
      <w:t>12</w:t>
    </w:r>
    <w:r w:rsidRPr="00DB073B">
      <w:rPr>
        <w:rStyle w:val="PageNumber"/>
        <w:sz w:val="20"/>
        <w:szCs w:val="20"/>
      </w:rPr>
      <w:fldChar w:fldCharType="end"/>
    </w:r>
  </w:p>
  <w:p w:rsidR="005B2AE9" w:rsidRDefault="005B2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7E6"/>
    <w:multiLevelType w:val="hybridMultilevel"/>
    <w:tmpl w:val="A624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078A8"/>
    <w:multiLevelType w:val="hybridMultilevel"/>
    <w:tmpl w:val="242E7A5A"/>
    <w:lvl w:ilvl="0" w:tplc="C1A2010E">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AC2A06"/>
    <w:multiLevelType w:val="hybridMultilevel"/>
    <w:tmpl w:val="AD82FC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97F6E"/>
    <w:rsid w:val="000026D8"/>
    <w:rsid w:val="00010B96"/>
    <w:rsid w:val="000163D6"/>
    <w:rsid w:val="00017325"/>
    <w:rsid w:val="00036DE3"/>
    <w:rsid w:val="00037237"/>
    <w:rsid w:val="000373B2"/>
    <w:rsid w:val="00043246"/>
    <w:rsid w:val="00044FA6"/>
    <w:rsid w:val="0004503D"/>
    <w:rsid w:val="000529BA"/>
    <w:rsid w:val="00052D16"/>
    <w:rsid w:val="000606F5"/>
    <w:rsid w:val="00060FE7"/>
    <w:rsid w:val="00063451"/>
    <w:rsid w:val="000670AE"/>
    <w:rsid w:val="00067F3B"/>
    <w:rsid w:val="0009195B"/>
    <w:rsid w:val="00094CA5"/>
    <w:rsid w:val="0009538D"/>
    <w:rsid w:val="00095EBF"/>
    <w:rsid w:val="00097E85"/>
    <w:rsid w:val="000B7D78"/>
    <w:rsid w:val="000C1609"/>
    <w:rsid w:val="000C62DD"/>
    <w:rsid w:val="000C7BB1"/>
    <w:rsid w:val="000D24F6"/>
    <w:rsid w:val="000E2915"/>
    <w:rsid w:val="000E30D0"/>
    <w:rsid w:val="00100CDB"/>
    <w:rsid w:val="001072CC"/>
    <w:rsid w:val="00110E42"/>
    <w:rsid w:val="00110F08"/>
    <w:rsid w:val="00111B6D"/>
    <w:rsid w:val="00116854"/>
    <w:rsid w:val="00124644"/>
    <w:rsid w:val="00135FF6"/>
    <w:rsid w:val="0013750D"/>
    <w:rsid w:val="00141D5E"/>
    <w:rsid w:val="001426EE"/>
    <w:rsid w:val="00161A5A"/>
    <w:rsid w:val="00161A8D"/>
    <w:rsid w:val="00161C10"/>
    <w:rsid w:val="00164C43"/>
    <w:rsid w:val="001729FA"/>
    <w:rsid w:val="00174448"/>
    <w:rsid w:val="001821AB"/>
    <w:rsid w:val="00183C5B"/>
    <w:rsid w:val="00186BFC"/>
    <w:rsid w:val="001B33D0"/>
    <w:rsid w:val="001B64BA"/>
    <w:rsid w:val="001C1A86"/>
    <w:rsid w:val="001C7B27"/>
    <w:rsid w:val="001D0148"/>
    <w:rsid w:val="001D6F46"/>
    <w:rsid w:val="001E3AF5"/>
    <w:rsid w:val="0020489B"/>
    <w:rsid w:val="00212978"/>
    <w:rsid w:val="00213A52"/>
    <w:rsid w:val="0022169A"/>
    <w:rsid w:val="00221B5D"/>
    <w:rsid w:val="0022344F"/>
    <w:rsid w:val="002337F2"/>
    <w:rsid w:val="00237ECE"/>
    <w:rsid w:val="0027278F"/>
    <w:rsid w:val="00272F87"/>
    <w:rsid w:val="002765DF"/>
    <w:rsid w:val="002869B8"/>
    <w:rsid w:val="0029419E"/>
    <w:rsid w:val="002949AC"/>
    <w:rsid w:val="002A4B68"/>
    <w:rsid w:val="002B133E"/>
    <w:rsid w:val="002C10F1"/>
    <w:rsid w:val="002D327F"/>
    <w:rsid w:val="002D4A52"/>
    <w:rsid w:val="002E2473"/>
    <w:rsid w:val="002E6262"/>
    <w:rsid w:val="002F144E"/>
    <w:rsid w:val="002F24E6"/>
    <w:rsid w:val="002F330E"/>
    <w:rsid w:val="002F6623"/>
    <w:rsid w:val="00300FD5"/>
    <w:rsid w:val="00302B27"/>
    <w:rsid w:val="00314084"/>
    <w:rsid w:val="00315009"/>
    <w:rsid w:val="00326B08"/>
    <w:rsid w:val="00335893"/>
    <w:rsid w:val="00341477"/>
    <w:rsid w:val="00343F93"/>
    <w:rsid w:val="00345F06"/>
    <w:rsid w:val="00353232"/>
    <w:rsid w:val="00353574"/>
    <w:rsid w:val="00357F1F"/>
    <w:rsid w:val="00367BEF"/>
    <w:rsid w:val="00371D95"/>
    <w:rsid w:val="00376E1F"/>
    <w:rsid w:val="00394DCA"/>
    <w:rsid w:val="00397E5B"/>
    <w:rsid w:val="003A502B"/>
    <w:rsid w:val="003B289A"/>
    <w:rsid w:val="003C5F39"/>
    <w:rsid w:val="003C7577"/>
    <w:rsid w:val="003E1614"/>
    <w:rsid w:val="003E5B18"/>
    <w:rsid w:val="003E6EA2"/>
    <w:rsid w:val="003F2D9D"/>
    <w:rsid w:val="003F74D5"/>
    <w:rsid w:val="003F7C21"/>
    <w:rsid w:val="0040448B"/>
    <w:rsid w:val="00410F17"/>
    <w:rsid w:val="00416459"/>
    <w:rsid w:val="00426136"/>
    <w:rsid w:val="00430CCA"/>
    <w:rsid w:val="004338B4"/>
    <w:rsid w:val="004346FF"/>
    <w:rsid w:val="0044692E"/>
    <w:rsid w:val="004538A2"/>
    <w:rsid w:val="00455850"/>
    <w:rsid w:val="004724D2"/>
    <w:rsid w:val="004812C3"/>
    <w:rsid w:val="00484592"/>
    <w:rsid w:val="004A6518"/>
    <w:rsid w:val="004A67F2"/>
    <w:rsid w:val="004B0E19"/>
    <w:rsid w:val="004B2145"/>
    <w:rsid w:val="004D1607"/>
    <w:rsid w:val="004D21CD"/>
    <w:rsid w:val="004D4843"/>
    <w:rsid w:val="004E7199"/>
    <w:rsid w:val="004F4776"/>
    <w:rsid w:val="005038F5"/>
    <w:rsid w:val="00520B90"/>
    <w:rsid w:val="0053297A"/>
    <w:rsid w:val="00534661"/>
    <w:rsid w:val="005466C7"/>
    <w:rsid w:val="0055180A"/>
    <w:rsid w:val="00560D10"/>
    <w:rsid w:val="00582FCA"/>
    <w:rsid w:val="005905B7"/>
    <w:rsid w:val="00593119"/>
    <w:rsid w:val="00594AFB"/>
    <w:rsid w:val="00597418"/>
    <w:rsid w:val="005A1625"/>
    <w:rsid w:val="005A1C0D"/>
    <w:rsid w:val="005A68CC"/>
    <w:rsid w:val="005A7577"/>
    <w:rsid w:val="005B2AE9"/>
    <w:rsid w:val="005C09FA"/>
    <w:rsid w:val="005D4164"/>
    <w:rsid w:val="005D4AEE"/>
    <w:rsid w:val="005D6210"/>
    <w:rsid w:val="005D758A"/>
    <w:rsid w:val="005E2290"/>
    <w:rsid w:val="005F26BB"/>
    <w:rsid w:val="005F29B6"/>
    <w:rsid w:val="005F6102"/>
    <w:rsid w:val="00603A9A"/>
    <w:rsid w:val="0062057D"/>
    <w:rsid w:val="00632158"/>
    <w:rsid w:val="00632C2B"/>
    <w:rsid w:val="00633A5B"/>
    <w:rsid w:val="00636FEF"/>
    <w:rsid w:val="0063778B"/>
    <w:rsid w:val="0064121B"/>
    <w:rsid w:val="00643382"/>
    <w:rsid w:val="00655D80"/>
    <w:rsid w:val="00662318"/>
    <w:rsid w:val="00663B81"/>
    <w:rsid w:val="00672381"/>
    <w:rsid w:val="006735C0"/>
    <w:rsid w:val="00680495"/>
    <w:rsid w:val="00697028"/>
    <w:rsid w:val="006B39F3"/>
    <w:rsid w:val="006C0F94"/>
    <w:rsid w:val="006C3184"/>
    <w:rsid w:val="006C33A4"/>
    <w:rsid w:val="006C4487"/>
    <w:rsid w:val="006D124D"/>
    <w:rsid w:val="006D3BA9"/>
    <w:rsid w:val="006D445C"/>
    <w:rsid w:val="006E076B"/>
    <w:rsid w:val="006E4C98"/>
    <w:rsid w:val="006F2D93"/>
    <w:rsid w:val="007044A1"/>
    <w:rsid w:val="00706E7C"/>
    <w:rsid w:val="00712F42"/>
    <w:rsid w:val="0071477E"/>
    <w:rsid w:val="007150C5"/>
    <w:rsid w:val="00721002"/>
    <w:rsid w:val="00723A54"/>
    <w:rsid w:val="00731628"/>
    <w:rsid w:val="007367FA"/>
    <w:rsid w:val="00751EF9"/>
    <w:rsid w:val="00752C8F"/>
    <w:rsid w:val="007645C9"/>
    <w:rsid w:val="007731CC"/>
    <w:rsid w:val="007804C7"/>
    <w:rsid w:val="00786F09"/>
    <w:rsid w:val="00786F29"/>
    <w:rsid w:val="00792FDA"/>
    <w:rsid w:val="007975C0"/>
    <w:rsid w:val="007A0CC8"/>
    <w:rsid w:val="007A114C"/>
    <w:rsid w:val="007A3230"/>
    <w:rsid w:val="007B1A23"/>
    <w:rsid w:val="007B738C"/>
    <w:rsid w:val="007C0CCE"/>
    <w:rsid w:val="007D1B6B"/>
    <w:rsid w:val="007E3C09"/>
    <w:rsid w:val="007E79B8"/>
    <w:rsid w:val="007F1E15"/>
    <w:rsid w:val="007F43CF"/>
    <w:rsid w:val="007F4F2E"/>
    <w:rsid w:val="0080005F"/>
    <w:rsid w:val="00801DBA"/>
    <w:rsid w:val="008048C1"/>
    <w:rsid w:val="00804DFC"/>
    <w:rsid w:val="008064C1"/>
    <w:rsid w:val="00806E10"/>
    <w:rsid w:val="00811D8D"/>
    <w:rsid w:val="008121D4"/>
    <w:rsid w:val="0082204F"/>
    <w:rsid w:val="008247A6"/>
    <w:rsid w:val="008309FF"/>
    <w:rsid w:val="00832D6A"/>
    <w:rsid w:val="00833B40"/>
    <w:rsid w:val="00841B79"/>
    <w:rsid w:val="00841D6D"/>
    <w:rsid w:val="00851F11"/>
    <w:rsid w:val="00852D8C"/>
    <w:rsid w:val="0085401A"/>
    <w:rsid w:val="00856455"/>
    <w:rsid w:val="00857EE0"/>
    <w:rsid w:val="008803C2"/>
    <w:rsid w:val="00891525"/>
    <w:rsid w:val="0089187F"/>
    <w:rsid w:val="00895576"/>
    <w:rsid w:val="008A2102"/>
    <w:rsid w:val="008A2CFD"/>
    <w:rsid w:val="008B4039"/>
    <w:rsid w:val="008B4684"/>
    <w:rsid w:val="008B633E"/>
    <w:rsid w:val="008C56D0"/>
    <w:rsid w:val="008C5A3A"/>
    <w:rsid w:val="008D10A0"/>
    <w:rsid w:val="008D2A07"/>
    <w:rsid w:val="008D4E67"/>
    <w:rsid w:val="008D7366"/>
    <w:rsid w:val="00905F3C"/>
    <w:rsid w:val="00907445"/>
    <w:rsid w:val="00907C28"/>
    <w:rsid w:val="00910258"/>
    <w:rsid w:val="00912BDE"/>
    <w:rsid w:val="00916616"/>
    <w:rsid w:val="00922BA4"/>
    <w:rsid w:val="00927533"/>
    <w:rsid w:val="009359C3"/>
    <w:rsid w:val="0094188F"/>
    <w:rsid w:val="00951AD8"/>
    <w:rsid w:val="00954819"/>
    <w:rsid w:val="009576FF"/>
    <w:rsid w:val="00960E54"/>
    <w:rsid w:val="009649F6"/>
    <w:rsid w:val="00967DF4"/>
    <w:rsid w:val="00974AF1"/>
    <w:rsid w:val="00975B10"/>
    <w:rsid w:val="00992556"/>
    <w:rsid w:val="00997077"/>
    <w:rsid w:val="009A3918"/>
    <w:rsid w:val="009B00C4"/>
    <w:rsid w:val="009B17B0"/>
    <w:rsid w:val="009B1E91"/>
    <w:rsid w:val="009C3FD5"/>
    <w:rsid w:val="009C6D12"/>
    <w:rsid w:val="009C7126"/>
    <w:rsid w:val="009D326E"/>
    <w:rsid w:val="009D7517"/>
    <w:rsid w:val="009E0A09"/>
    <w:rsid w:val="009E0B23"/>
    <w:rsid w:val="009E3153"/>
    <w:rsid w:val="009E419E"/>
    <w:rsid w:val="009E642E"/>
    <w:rsid w:val="009F4369"/>
    <w:rsid w:val="00A04AEB"/>
    <w:rsid w:val="00A11583"/>
    <w:rsid w:val="00A152D8"/>
    <w:rsid w:val="00A17610"/>
    <w:rsid w:val="00A214B0"/>
    <w:rsid w:val="00A21B59"/>
    <w:rsid w:val="00A25212"/>
    <w:rsid w:val="00A32199"/>
    <w:rsid w:val="00A47D14"/>
    <w:rsid w:val="00A56B39"/>
    <w:rsid w:val="00A5758D"/>
    <w:rsid w:val="00A65E94"/>
    <w:rsid w:val="00A678C8"/>
    <w:rsid w:val="00A70D15"/>
    <w:rsid w:val="00A74902"/>
    <w:rsid w:val="00A93B82"/>
    <w:rsid w:val="00A9673D"/>
    <w:rsid w:val="00A9683C"/>
    <w:rsid w:val="00A977AE"/>
    <w:rsid w:val="00AA0E92"/>
    <w:rsid w:val="00AA5E84"/>
    <w:rsid w:val="00AA6B60"/>
    <w:rsid w:val="00AB2B96"/>
    <w:rsid w:val="00AC0EEB"/>
    <w:rsid w:val="00AC2237"/>
    <w:rsid w:val="00AC2265"/>
    <w:rsid w:val="00AD207D"/>
    <w:rsid w:val="00AE0136"/>
    <w:rsid w:val="00AE183F"/>
    <w:rsid w:val="00AF0166"/>
    <w:rsid w:val="00B01B82"/>
    <w:rsid w:val="00B0475F"/>
    <w:rsid w:val="00B12B20"/>
    <w:rsid w:val="00B21521"/>
    <w:rsid w:val="00B21A54"/>
    <w:rsid w:val="00B2284B"/>
    <w:rsid w:val="00B22F46"/>
    <w:rsid w:val="00B23A4A"/>
    <w:rsid w:val="00B25583"/>
    <w:rsid w:val="00B268C0"/>
    <w:rsid w:val="00B37D64"/>
    <w:rsid w:val="00B403D4"/>
    <w:rsid w:val="00B42EE1"/>
    <w:rsid w:val="00B46E88"/>
    <w:rsid w:val="00B51F5A"/>
    <w:rsid w:val="00B5767E"/>
    <w:rsid w:val="00B605BB"/>
    <w:rsid w:val="00B605DF"/>
    <w:rsid w:val="00B606C4"/>
    <w:rsid w:val="00B63596"/>
    <w:rsid w:val="00B74856"/>
    <w:rsid w:val="00B75E12"/>
    <w:rsid w:val="00B760E7"/>
    <w:rsid w:val="00B83D33"/>
    <w:rsid w:val="00B84CC2"/>
    <w:rsid w:val="00B862BC"/>
    <w:rsid w:val="00B867C8"/>
    <w:rsid w:val="00BA51C2"/>
    <w:rsid w:val="00BB1451"/>
    <w:rsid w:val="00BB4EDF"/>
    <w:rsid w:val="00BB61FB"/>
    <w:rsid w:val="00BC2452"/>
    <w:rsid w:val="00BC4B04"/>
    <w:rsid w:val="00BD135F"/>
    <w:rsid w:val="00BD1CB1"/>
    <w:rsid w:val="00BD1D9D"/>
    <w:rsid w:val="00BD792F"/>
    <w:rsid w:val="00BE4666"/>
    <w:rsid w:val="00BE7981"/>
    <w:rsid w:val="00BF1760"/>
    <w:rsid w:val="00BF2B62"/>
    <w:rsid w:val="00BF5EDF"/>
    <w:rsid w:val="00C00D5B"/>
    <w:rsid w:val="00C11B0A"/>
    <w:rsid w:val="00C16CBA"/>
    <w:rsid w:val="00C233D8"/>
    <w:rsid w:val="00C26087"/>
    <w:rsid w:val="00C30C55"/>
    <w:rsid w:val="00C30E35"/>
    <w:rsid w:val="00C359A0"/>
    <w:rsid w:val="00C466C7"/>
    <w:rsid w:val="00C64BC8"/>
    <w:rsid w:val="00C72F0A"/>
    <w:rsid w:val="00C7418B"/>
    <w:rsid w:val="00C80D3C"/>
    <w:rsid w:val="00C953A3"/>
    <w:rsid w:val="00CB1848"/>
    <w:rsid w:val="00CB59AB"/>
    <w:rsid w:val="00CD3540"/>
    <w:rsid w:val="00CD7203"/>
    <w:rsid w:val="00CE797B"/>
    <w:rsid w:val="00CF42C4"/>
    <w:rsid w:val="00D029E0"/>
    <w:rsid w:val="00D060F8"/>
    <w:rsid w:val="00D11074"/>
    <w:rsid w:val="00D20252"/>
    <w:rsid w:val="00D213B8"/>
    <w:rsid w:val="00D26F4F"/>
    <w:rsid w:val="00D31F3C"/>
    <w:rsid w:val="00D3360C"/>
    <w:rsid w:val="00D34271"/>
    <w:rsid w:val="00D439D7"/>
    <w:rsid w:val="00D4418E"/>
    <w:rsid w:val="00D472BA"/>
    <w:rsid w:val="00D62635"/>
    <w:rsid w:val="00D65A8C"/>
    <w:rsid w:val="00D65D24"/>
    <w:rsid w:val="00D74640"/>
    <w:rsid w:val="00D77569"/>
    <w:rsid w:val="00D9243F"/>
    <w:rsid w:val="00DB073B"/>
    <w:rsid w:val="00DB0BF7"/>
    <w:rsid w:val="00DB1015"/>
    <w:rsid w:val="00DB7901"/>
    <w:rsid w:val="00DC1D5D"/>
    <w:rsid w:val="00DE24C8"/>
    <w:rsid w:val="00DE3E0C"/>
    <w:rsid w:val="00DF7CFB"/>
    <w:rsid w:val="00E00745"/>
    <w:rsid w:val="00E00E7B"/>
    <w:rsid w:val="00E135ED"/>
    <w:rsid w:val="00E154AB"/>
    <w:rsid w:val="00E231FB"/>
    <w:rsid w:val="00E27E4B"/>
    <w:rsid w:val="00E31D40"/>
    <w:rsid w:val="00E34A4C"/>
    <w:rsid w:val="00E355E6"/>
    <w:rsid w:val="00E37711"/>
    <w:rsid w:val="00E46242"/>
    <w:rsid w:val="00E514A3"/>
    <w:rsid w:val="00E579A4"/>
    <w:rsid w:val="00E670A1"/>
    <w:rsid w:val="00E72EDB"/>
    <w:rsid w:val="00E81DE8"/>
    <w:rsid w:val="00E97432"/>
    <w:rsid w:val="00E97F79"/>
    <w:rsid w:val="00EA4D64"/>
    <w:rsid w:val="00EB0488"/>
    <w:rsid w:val="00EC20B1"/>
    <w:rsid w:val="00EC3F9D"/>
    <w:rsid w:val="00EC41DD"/>
    <w:rsid w:val="00EC41F3"/>
    <w:rsid w:val="00ED1333"/>
    <w:rsid w:val="00ED6BFC"/>
    <w:rsid w:val="00EE052A"/>
    <w:rsid w:val="00EE4B71"/>
    <w:rsid w:val="00F0037B"/>
    <w:rsid w:val="00F025EF"/>
    <w:rsid w:val="00F026D5"/>
    <w:rsid w:val="00F05DC5"/>
    <w:rsid w:val="00F13D8B"/>
    <w:rsid w:val="00F16580"/>
    <w:rsid w:val="00F2660E"/>
    <w:rsid w:val="00F36810"/>
    <w:rsid w:val="00F4225B"/>
    <w:rsid w:val="00F44EB3"/>
    <w:rsid w:val="00F4796E"/>
    <w:rsid w:val="00F501AA"/>
    <w:rsid w:val="00F542FE"/>
    <w:rsid w:val="00F571D5"/>
    <w:rsid w:val="00F63E85"/>
    <w:rsid w:val="00F64444"/>
    <w:rsid w:val="00F75DDF"/>
    <w:rsid w:val="00F76219"/>
    <w:rsid w:val="00F97F6E"/>
    <w:rsid w:val="00FA3B93"/>
    <w:rsid w:val="00FA3C68"/>
    <w:rsid w:val="00FA70FE"/>
    <w:rsid w:val="00FD0C2E"/>
    <w:rsid w:val="00FD6AFD"/>
    <w:rsid w:val="00FE65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pPr>
      <w:spacing w:before="75" w:after="75"/>
    </w:pPr>
    <w:rPr>
      <w:rFonts w:ascii="Times New Roman" w:eastAsia="Times New Roman" w:hAnsi="Times New Roman"/>
      <w:sz w:val="24"/>
      <w:szCs w:val="24"/>
      <w:lang w:val="lv-LV" w:eastAsia="lv-LV"/>
    </w:rPr>
  </w:style>
  <w:style w:type="paragraph" w:styleId="Heading4">
    <w:name w:val="heading 4"/>
    <w:basedOn w:val="Normal"/>
    <w:link w:val="Heading4Char"/>
    <w:uiPriority w:val="9"/>
    <w:qFormat/>
    <w:locked/>
    <w:rsid w:val="00637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F6E"/>
    <w:pPr>
      <w:tabs>
        <w:tab w:val="center" w:pos="4153"/>
        <w:tab w:val="right" w:pos="8306"/>
      </w:tabs>
    </w:pPr>
  </w:style>
  <w:style w:type="character" w:customStyle="1" w:styleId="HeaderChar">
    <w:name w:val="Header Char"/>
    <w:basedOn w:val="DefaultParagraphFont"/>
    <w:link w:val="Header"/>
    <w:uiPriority w:val="99"/>
    <w:locked/>
    <w:rsid w:val="00F97F6E"/>
    <w:rPr>
      <w:rFonts w:ascii="Times New Roman" w:hAnsi="Times New Roman" w:cs="Times New Roman"/>
      <w:sz w:val="24"/>
      <w:szCs w:val="24"/>
      <w:lang w:eastAsia="lv-LV"/>
    </w:rPr>
  </w:style>
  <w:style w:type="character" w:styleId="PageNumber">
    <w:name w:val="page number"/>
    <w:basedOn w:val="DefaultParagraphFont"/>
    <w:uiPriority w:val="99"/>
    <w:rsid w:val="00F97F6E"/>
  </w:style>
  <w:style w:type="paragraph" w:customStyle="1" w:styleId="naisf">
    <w:name w:val="naisf"/>
    <w:basedOn w:val="Normal"/>
    <w:rsid w:val="00F97F6E"/>
    <w:pPr>
      <w:ind w:firstLine="375"/>
      <w:jc w:val="both"/>
    </w:pPr>
  </w:style>
  <w:style w:type="paragraph" w:customStyle="1" w:styleId="naisnod">
    <w:name w:val="naisnod"/>
    <w:basedOn w:val="Normal"/>
    <w:uiPriority w:val="99"/>
    <w:rsid w:val="00F97F6E"/>
    <w:pPr>
      <w:spacing w:before="150" w:after="150"/>
      <w:jc w:val="center"/>
    </w:pPr>
    <w:rPr>
      <w:b/>
      <w:bCs/>
    </w:rPr>
  </w:style>
  <w:style w:type="paragraph" w:customStyle="1" w:styleId="naiskr">
    <w:name w:val="naiskr"/>
    <w:basedOn w:val="Normal"/>
    <w:uiPriority w:val="99"/>
    <w:rsid w:val="00F97F6E"/>
  </w:style>
  <w:style w:type="character" w:styleId="Strong">
    <w:name w:val="Strong"/>
    <w:basedOn w:val="DefaultParagraphFont"/>
    <w:qFormat/>
    <w:rsid w:val="00F97F6E"/>
    <w:rPr>
      <w:b/>
      <w:bCs/>
    </w:rPr>
  </w:style>
  <w:style w:type="paragraph" w:styleId="NormalWeb">
    <w:name w:val="Normal (Web)"/>
    <w:basedOn w:val="Normal"/>
    <w:uiPriority w:val="99"/>
    <w:rsid w:val="00F97F6E"/>
    <w:pPr>
      <w:spacing w:before="100" w:beforeAutospacing="1" w:after="100" w:afterAutospacing="1"/>
    </w:pPr>
  </w:style>
  <w:style w:type="paragraph" w:styleId="Footer">
    <w:name w:val="footer"/>
    <w:basedOn w:val="Normal"/>
    <w:link w:val="FooterChar"/>
    <w:uiPriority w:val="99"/>
    <w:rsid w:val="00161A8D"/>
    <w:pPr>
      <w:tabs>
        <w:tab w:val="center" w:pos="4153"/>
        <w:tab w:val="right" w:pos="8306"/>
      </w:tabs>
      <w:spacing w:before="0" w:after="0"/>
    </w:pPr>
  </w:style>
  <w:style w:type="character" w:customStyle="1" w:styleId="FooterChar">
    <w:name w:val="Footer Char"/>
    <w:basedOn w:val="DefaultParagraphFont"/>
    <w:link w:val="Footer"/>
    <w:uiPriority w:val="99"/>
    <w:locked/>
    <w:rsid w:val="00161A8D"/>
    <w:rPr>
      <w:rFonts w:ascii="Times New Roman" w:hAnsi="Times New Roman" w:cs="Times New Roman"/>
      <w:sz w:val="24"/>
      <w:szCs w:val="24"/>
      <w:lang w:eastAsia="lv-LV"/>
    </w:rPr>
  </w:style>
  <w:style w:type="paragraph" w:styleId="ListParagraph">
    <w:name w:val="List Paragraph"/>
    <w:basedOn w:val="Normal"/>
    <w:qFormat/>
    <w:rsid w:val="009B1E91"/>
    <w:pPr>
      <w:ind w:left="720"/>
    </w:pPr>
  </w:style>
  <w:style w:type="paragraph" w:customStyle="1" w:styleId="naisc">
    <w:name w:val="naisc"/>
    <w:basedOn w:val="Normal"/>
    <w:uiPriority w:val="99"/>
    <w:rsid w:val="00951AD8"/>
    <w:pPr>
      <w:jc w:val="center"/>
    </w:pPr>
  </w:style>
  <w:style w:type="paragraph" w:styleId="BalloonText">
    <w:name w:val="Balloon Text"/>
    <w:basedOn w:val="Normal"/>
    <w:link w:val="BalloonTextChar"/>
    <w:uiPriority w:val="99"/>
    <w:semiHidden/>
    <w:rsid w:val="00792FDA"/>
    <w:rPr>
      <w:rFonts w:ascii="Tahoma" w:hAnsi="Tahoma" w:cs="Tahoma"/>
      <w:sz w:val="16"/>
      <w:szCs w:val="16"/>
    </w:rPr>
  </w:style>
  <w:style w:type="character" w:customStyle="1" w:styleId="BalloonTextChar">
    <w:name w:val="Balloon Text Char"/>
    <w:basedOn w:val="DefaultParagraphFont"/>
    <w:link w:val="BalloonText"/>
    <w:uiPriority w:val="99"/>
    <w:semiHidden/>
    <w:rsid w:val="00A14873"/>
    <w:rPr>
      <w:rFonts w:ascii="Times New Roman" w:eastAsia="Times New Roman" w:hAnsi="Times New Roman"/>
      <w:sz w:val="0"/>
      <w:szCs w:val="0"/>
    </w:rPr>
  </w:style>
  <w:style w:type="paragraph" w:customStyle="1" w:styleId="naislab">
    <w:name w:val="naislab"/>
    <w:basedOn w:val="Normal"/>
    <w:rsid w:val="00EE4B71"/>
    <w:pPr>
      <w:jc w:val="right"/>
    </w:pPr>
  </w:style>
  <w:style w:type="character" w:customStyle="1" w:styleId="Heading4Char">
    <w:name w:val="Heading 4 Char"/>
    <w:basedOn w:val="DefaultParagraphFont"/>
    <w:link w:val="Heading4"/>
    <w:uiPriority w:val="9"/>
    <w:rsid w:val="0063778B"/>
    <w:rPr>
      <w:rFonts w:ascii="Times New Roman" w:eastAsia="Times New Roman" w:hAnsi="Times New Roman"/>
      <w:b/>
      <w:bCs/>
      <w:sz w:val="24"/>
      <w:szCs w:val="24"/>
    </w:rPr>
  </w:style>
  <w:style w:type="paragraph" w:styleId="NoSpacing">
    <w:name w:val="No Spacing"/>
    <w:uiPriority w:val="1"/>
    <w:qFormat/>
    <w:rsid w:val="00B22F46"/>
    <w:rPr>
      <w:rFonts w:ascii="Times New Roman" w:eastAsia="Times New Roman" w:hAnsi="Times New Roman"/>
      <w:lang w:val="lv-LV"/>
    </w:rPr>
  </w:style>
  <w:style w:type="character" w:styleId="CommentReference">
    <w:name w:val="annotation reference"/>
    <w:basedOn w:val="DefaultParagraphFont"/>
    <w:uiPriority w:val="99"/>
    <w:semiHidden/>
    <w:unhideWhenUsed/>
    <w:rsid w:val="007A0CC8"/>
    <w:rPr>
      <w:sz w:val="16"/>
      <w:szCs w:val="16"/>
    </w:rPr>
  </w:style>
  <w:style w:type="paragraph" w:styleId="CommentText">
    <w:name w:val="annotation text"/>
    <w:basedOn w:val="Normal"/>
    <w:link w:val="CommentTextChar"/>
    <w:uiPriority w:val="99"/>
    <w:semiHidden/>
    <w:unhideWhenUsed/>
    <w:rsid w:val="007A0CC8"/>
    <w:rPr>
      <w:sz w:val="20"/>
      <w:szCs w:val="20"/>
    </w:rPr>
  </w:style>
  <w:style w:type="character" w:customStyle="1" w:styleId="CommentTextChar">
    <w:name w:val="Comment Text Char"/>
    <w:basedOn w:val="DefaultParagraphFont"/>
    <w:link w:val="CommentText"/>
    <w:uiPriority w:val="99"/>
    <w:semiHidden/>
    <w:rsid w:val="007A0CC8"/>
    <w:rPr>
      <w:rFonts w:ascii="Times New Roman" w:eastAsia="Times New Roman" w:hAnsi="Times New Roman"/>
      <w:lang w:val="lv-LV" w:eastAsia="lv-LV"/>
    </w:rPr>
  </w:style>
</w:styles>
</file>

<file path=word/webSettings.xml><?xml version="1.0" encoding="utf-8"?>
<w:webSettings xmlns:r="http://schemas.openxmlformats.org/officeDocument/2006/relationships" xmlns:w="http://schemas.openxmlformats.org/wordprocessingml/2006/main">
  <w:divs>
    <w:div w:id="189491745">
      <w:bodyDiv w:val="1"/>
      <w:marLeft w:val="45"/>
      <w:marRight w:val="45"/>
      <w:marTop w:val="90"/>
      <w:marBottom w:val="90"/>
      <w:divBdr>
        <w:top w:val="none" w:sz="0" w:space="0" w:color="auto"/>
        <w:left w:val="none" w:sz="0" w:space="0" w:color="auto"/>
        <w:bottom w:val="none" w:sz="0" w:space="0" w:color="auto"/>
        <w:right w:val="none" w:sz="0" w:space="0" w:color="auto"/>
      </w:divBdr>
      <w:divsChild>
        <w:div w:id="1163355710">
          <w:marLeft w:val="0"/>
          <w:marRight w:val="0"/>
          <w:marTop w:val="0"/>
          <w:marBottom w:val="567"/>
          <w:divBdr>
            <w:top w:val="none" w:sz="0" w:space="0" w:color="auto"/>
            <w:left w:val="none" w:sz="0" w:space="0" w:color="auto"/>
            <w:bottom w:val="none" w:sz="0" w:space="0" w:color="auto"/>
            <w:right w:val="none" w:sz="0" w:space="0" w:color="auto"/>
          </w:divBdr>
        </w:div>
      </w:divsChild>
    </w:div>
    <w:div w:id="272439561">
      <w:bodyDiv w:val="1"/>
      <w:marLeft w:val="45"/>
      <w:marRight w:val="45"/>
      <w:marTop w:val="90"/>
      <w:marBottom w:val="90"/>
      <w:divBdr>
        <w:top w:val="none" w:sz="0" w:space="0" w:color="auto"/>
        <w:left w:val="none" w:sz="0" w:space="0" w:color="auto"/>
        <w:bottom w:val="none" w:sz="0" w:space="0" w:color="auto"/>
        <w:right w:val="none" w:sz="0" w:space="0" w:color="auto"/>
      </w:divBdr>
      <w:divsChild>
        <w:div w:id="412631212">
          <w:marLeft w:val="0"/>
          <w:marRight w:val="0"/>
          <w:marTop w:val="240"/>
          <w:marBottom w:val="0"/>
          <w:divBdr>
            <w:top w:val="none" w:sz="0" w:space="0" w:color="auto"/>
            <w:left w:val="none" w:sz="0" w:space="0" w:color="auto"/>
            <w:bottom w:val="none" w:sz="0" w:space="0" w:color="auto"/>
            <w:right w:val="none" w:sz="0" w:space="0" w:color="auto"/>
          </w:divBdr>
        </w:div>
      </w:divsChild>
    </w:div>
    <w:div w:id="298994884">
      <w:bodyDiv w:val="1"/>
      <w:marLeft w:val="0"/>
      <w:marRight w:val="0"/>
      <w:marTop w:val="0"/>
      <w:marBottom w:val="0"/>
      <w:divBdr>
        <w:top w:val="none" w:sz="0" w:space="0" w:color="auto"/>
        <w:left w:val="none" w:sz="0" w:space="0" w:color="auto"/>
        <w:bottom w:val="none" w:sz="0" w:space="0" w:color="auto"/>
        <w:right w:val="none" w:sz="0" w:space="0" w:color="auto"/>
      </w:divBdr>
    </w:div>
    <w:div w:id="313608789">
      <w:bodyDiv w:val="1"/>
      <w:marLeft w:val="0"/>
      <w:marRight w:val="0"/>
      <w:marTop w:val="0"/>
      <w:marBottom w:val="0"/>
      <w:divBdr>
        <w:top w:val="none" w:sz="0" w:space="0" w:color="auto"/>
        <w:left w:val="none" w:sz="0" w:space="0" w:color="auto"/>
        <w:bottom w:val="none" w:sz="0" w:space="0" w:color="auto"/>
        <w:right w:val="none" w:sz="0" w:space="0" w:color="auto"/>
      </w:divBdr>
      <w:divsChild>
        <w:div w:id="179322865">
          <w:marLeft w:val="0"/>
          <w:marRight w:val="0"/>
          <w:marTop w:val="0"/>
          <w:marBottom w:val="0"/>
          <w:divBdr>
            <w:top w:val="none" w:sz="0" w:space="0" w:color="auto"/>
            <w:left w:val="none" w:sz="0" w:space="0" w:color="auto"/>
            <w:bottom w:val="none" w:sz="0" w:space="0" w:color="auto"/>
            <w:right w:val="none" w:sz="0" w:space="0" w:color="auto"/>
          </w:divBdr>
          <w:divsChild>
            <w:div w:id="668562187">
              <w:marLeft w:val="0"/>
              <w:marRight w:val="0"/>
              <w:marTop w:val="0"/>
              <w:marBottom w:val="0"/>
              <w:divBdr>
                <w:top w:val="none" w:sz="0" w:space="0" w:color="auto"/>
                <w:left w:val="none" w:sz="0" w:space="0" w:color="auto"/>
                <w:bottom w:val="none" w:sz="0" w:space="0" w:color="auto"/>
                <w:right w:val="none" w:sz="0" w:space="0" w:color="auto"/>
              </w:divBdr>
              <w:divsChild>
                <w:div w:id="1601988209">
                  <w:marLeft w:val="0"/>
                  <w:marRight w:val="0"/>
                  <w:marTop w:val="0"/>
                  <w:marBottom w:val="0"/>
                  <w:divBdr>
                    <w:top w:val="none" w:sz="0" w:space="0" w:color="auto"/>
                    <w:left w:val="none" w:sz="0" w:space="0" w:color="auto"/>
                    <w:bottom w:val="none" w:sz="0" w:space="0" w:color="auto"/>
                    <w:right w:val="none" w:sz="0" w:space="0" w:color="auto"/>
                  </w:divBdr>
                  <w:divsChild>
                    <w:div w:id="794443012">
                      <w:marLeft w:val="0"/>
                      <w:marRight w:val="0"/>
                      <w:marTop w:val="0"/>
                      <w:marBottom w:val="0"/>
                      <w:divBdr>
                        <w:top w:val="none" w:sz="0" w:space="0" w:color="auto"/>
                        <w:left w:val="none" w:sz="0" w:space="0" w:color="auto"/>
                        <w:bottom w:val="none" w:sz="0" w:space="0" w:color="auto"/>
                        <w:right w:val="none" w:sz="0" w:space="0" w:color="auto"/>
                      </w:divBdr>
                      <w:divsChild>
                        <w:div w:id="533004626">
                          <w:marLeft w:val="0"/>
                          <w:marRight w:val="0"/>
                          <w:marTop w:val="300"/>
                          <w:marBottom w:val="0"/>
                          <w:divBdr>
                            <w:top w:val="none" w:sz="0" w:space="0" w:color="auto"/>
                            <w:left w:val="none" w:sz="0" w:space="0" w:color="auto"/>
                            <w:bottom w:val="none" w:sz="0" w:space="0" w:color="auto"/>
                            <w:right w:val="none" w:sz="0" w:space="0" w:color="auto"/>
                          </w:divBdr>
                          <w:divsChild>
                            <w:div w:id="4828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979205">
      <w:bodyDiv w:val="1"/>
      <w:marLeft w:val="0"/>
      <w:marRight w:val="0"/>
      <w:marTop w:val="0"/>
      <w:marBottom w:val="0"/>
      <w:divBdr>
        <w:top w:val="none" w:sz="0" w:space="0" w:color="auto"/>
        <w:left w:val="none" w:sz="0" w:space="0" w:color="auto"/>
        <w:bottom w:val="none" w:sz="0" w:space="0" w:color="auto"/>
        <w:right w:val="none" w:sz="0" w:space="0" w:color="auto"/>
      </w:divBdr>
      <w:divsChild>
        <w:div w:id="963122601">
          <w:marLeft w:val="0"/>
          <w:marRight w:val="0"/>
          <w:marTop w:val="0"/>
          <w:marBottom w:val="0"/>
          <w:divBdr>
            <w:top w:val="none" w:sz="0" w:space="0" w:color="auto"/>
            <w:left w:val="none" w:sz="0" w:space="0" w:color="auto"/>
            <w:bottom w:val="none" w:sz="0" w:space="0" w:color="auto"/>
            <w:right w:val="none" w:sz="0" w:space="0" w:color="auto"/>
          </w:divBdr>
          <w:divsChild>
            <w:div w:id="750009993">
              <w:marLeft w:val="0"/>
              <w:marRight w:val="0"/>
              <w:marTop w:val="0"/>
              <w:marBottom w:val="0"/>
              <w:divBdr>
                <w:top w:val="none" w:sz="0" w:space="0" w:color="auto"/>
                <w:left w:val="none" w:sz="0" w:space="0" w:color="auto"/>
                <w:bottom w:val="none" w:sz="0" w:space="0" w:color="auto"/>
                <w:right w:val="none" w:sz="0" w:space="0" w:color="auto"/>
              </w:divBdr>
              <w:divsChild>
                <w:div w:id="1966616981">
                  <w:marLeft w:val="0"/>
                  <w:marRight w:val="0"/>
                  <w:marTop w:val="0"/>
                  <w:marBottom w:val="0"/>
                  <w:divBdr>
                    <w:top w:val="none" w:sz="0" w:space="0" w:color="auto"/>
                    <w:left w:val="none" w:sz="0" w:space="0" w:color="auto"/>
                    <w:bottom w:val="none" w:sz="0" w:space="0" w:color="auto"/>
                    <w:right w:val="none" w:sz="0" w:space="0" w:color="auto"/>
                  </w:divBdr>
                  <w:divsChild>
                    <w:div w:id="1857113730">
                      <w:marLeft w:val="0"/>
                      <w:marRight w:val="0"/>
                      <w:marTop w:val="0"/>
                      <w:marBottom w:val="0"/>
                      <w:divBdr>
                        <w:top w:val="none" w:sz="0" w:space="0" w:color="auto"/>
                        <w:left w:val="none" w:sz="0" w:space="0" w:color="auto"/>
                        <w:bottom w:val="none" w:sz="0" w:space="0" w:color="auto"/>
                        <w:right w:val="none" w:sz="0" w:space="0" w:color="auto"/>
                      </w:divBdr>
                      <w:divsChild>
                        <w:div w:id="673998695">
                          <w:marLeft w:val="0"/>
                          <w:marRight w:val="0"/>
                          <w:marTop w:val="300"/>
                          <w:marBottom w:val="0"/>
                          <w:divBdr>
                            <w:top w:val="none" w:sz="0" w:space="0" w:color="auto"/>
                            <w:left w:val="none" w:sz="0" w:space="0" w:color="auto"/>
                            <w:bottom w:val="none" w:sz="0" w:space="0" w:color="auto"/>
                            <w:right w:val="none" w:sz="0" w:space="0" w:color="auto"/>
                          </w:divBdr>
                          <w:divsChild>
                            <w:div w:id="369644394">
                              <w:marLeft w:val="0"/>
                              <w:marRight w:val="0"/>
                              <w:marTop w:val="480"/>
                              <w:marBottom w:val="240"/>
                              <w:divBdr>
                                <w:top w:val="none" w:sz="0" w:space="0" w:color="auto"/>
                                <w:left w:val="none" w:sz="0" w:space="0" w:color="auto"/>
                                <w:bottom w:val="none" w:sz="0" w:space="0" w:color="auto"/>
                                <w:right w:val="none" w:sz="0" w:space="0" w:color="auto"/>
                              </w:divBdr>
                            </w:div>
                            <w:div w:id="6045774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3924">
      <w:bodyDiv w:val="1"/>
      <w:marLeft w:val="0"/>
      <w:marRight w:val="0"/>
      <w:marTop w:val="0"/>
      <w:marBottom w:val="0"/>
      <w:divBdr>
        <w:top w:val="none" w:sz="0" w:space="0" w:color="auto"/>
        <w:left w:val="none" w:sz="0" w:space="0" w:color="auto"/>
        <w:bottom w:val="none" w:sz="0" w:space="0" w:color="auto"/>
        <w:right w:val="none" w:sz="0" w:space="0" w:color="auto"/>
      </w:divBdr>
    </w:div>
    <w:div w:id="587234902">
      <w:bodyDiv w:val="1"/>
      <w:marLeft w:val="45"/>
      <w:marRight w:val="45"/>
      <w:marTop w:val="90"/>
      <w:marBottom w:val="90"/>
      <w:divBdr>
        <w:top w:val="none" w:sz="0" w:space="0" w:color="auto"/>
        <w:left w:val="none" w:sz="0" w:space="0" w:color="auto"/>
        <w:bottom w:val="none" w:sz="0" w:space="0" w:color="auto"/>
        <w:right w:val="none" w:sz="0" w:space="0" w:color="auto"/>
      </w:divBdr>
      <w:divsChild>
        <w:div w:id="488444943">
          <w:marLeft w:val="0"/>
          <w:marRight w:val="0"/>
          <w:marTop w:val="0"/>
          <w:marBottom w:val="567"/>
          <w:divBdr>
            <w:top w:val="none" w:sz="0" w:space="0" w:color="auto"/>
            <w:left w:val="none" w:sz="0" w:space="0" w:color="auto"/>
            <w:bottom w:val="none" w:sz="0" w:space="0" w:color="auto"/>
            <w:right w:val="none" w:sz="0" w:space="0" w:color="auto"/>
          </w:divBdr>
        </w:div>
      </w:divsChild>
    </w:div>
    <w:div w:id="961230539">
      <w:marLeft w:val="0"/>
      <w:marRight w:val="0"/>
      <w:marTop w:val="0"/>
      <w:marBottom w:val="0"/>
      <w:divBdr>
        <w:top w:val="none" w:sz="0" w:space="0" w:color="auto"/>
        <w:left w:val="none" w:sz="0" w:space="0" w:color="auto"/>
        <w:bottom w:val="none" w:sz="0" w:space="0" w:color="auto"/>
        <w:right w:val="none" w:sz="0" w:space="0" w:color="auto"/>
      </w:divBdr>
    </w:div>
    <w:div w:id="12838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AAA41-F67F-49A5-B99F-7868E39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14316</Words>
  <Characters>8161</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Nr.1616 „Kārtība, kādā aprēķina un sadala valsts budžeta mērķdotāciju pašvaldību izglītības iestādēm bērnu no piecu gadu vecuma izglītošanā nodarbināto pirmsskolas i</vt:lpstr>
    </vt:vector>
  </TitlesOfParts>
  <Company>IZM</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Nr.1616 „Kārtība, kādā aprēķina un sadala valsts budžeta mērķdotāciju pašvaldību izglītības iestādēm bērnu no piecu gadu vecuma izglītošanā nodarbināto pirmsskolas i</dc:title>
  <dc:subject>Sākotnējās ietekmes novērtējuma ziņojums (anotācija)</dc:subject>
  <dc:creator>Anita Āboliņa</dc:creator>
  <cp:keywords>1355</cp:keywords>
  <dc:description/>
  <cp:lastModifiedBy>aabolina</cp:lastModifiedBy>
  <cp:revision>4</cp:revision>
  <cp:lastPrinted>2011-10-26T07:18:00Z</cp:lastPrinted>
  <dcterms:created xsi:type="dcterms:W3CDTF">2013-08-16T11:08:00Z</dcterms:created>
  <dcterms:modified xsi:type="dcterms:W3CDTF">2013-08-16T11:09:00Z</dcterms:modified>
</cp:coreProperties>
</file>