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768" w:rsidRPr="00DB4458" w:rsidRDefault="004B0768" w:rsidP="004B0768">
      <w:pPr>
        <w:jc w:val="center"/>
        <w:rPr>
          <w:b/>
          <w:sz w:val="26"/>
          <w:szCs w:val="26"/>
        </w:rPr>
      </w:pPr>
      <w:bookmarkStart w:id="0" w:name="OLE_LINK1"/>
      <w:bookmarkStart w:id="1" w:name="OLE_LINK2"/>
      <w:r w:rsidRPr="00DB4458">
        <w:rPr>
          <w:b/>
          <w:sz w:val="26"/>
          <w:szCs w:val="26"/>
        </w:rPr>
        <w:t>Ministru kabineta noteikumu projekta</w:t>
      </w:r>
    </w:p>
    <w:p w:rsidR="004B0768" w:rsidRPr="00DB4458" w:rsidRDefault="004B0768" w:rsidP="004B0768">
      <w:pPr>
        <w:jc w:val="center"/>
        <w:rPr>
          <w:sz w:val="26"/>
          <w:szCs w:val="26"/>
        </w:rPr>
      </w:pPr>
      <w:bookmarkStart w:id="2" w:name="OLE_LINK3"/>
      <w:bookmarkStart w:id="3" w:name="OLE_LINK4"/>
      <w:bookmarkStart w:id="4" w:name="OLE_LINK7"/>
      <w:bookmarkStart w:id="5" w:name="OLE_LINK8"/>
      <w:bookmarkEnd w:id="0"/>
      <w:bookmarkEnd w:id="1"/>
      <w:r w:rsidRPr="00DB4458">
        <w:rPr>
          <w:b/>
          <w:bCs/>
          <w:sz w:val="26"/>
          <w:szCs w:val="26"/>
        </w:rPr>
        <w:t>„</w:t>
      </w:r>
      <w:bookmarkStart w:id="6" w:name="OLE_LINK5"/>
      <w:bookmarkStart w:id="7" w:name="OLE_LINK6"/>
      <w:r w:rsidR="00C84954" w:rsidRPr="00C84954">
        <w:rPr>
          <w:b/>
          <w:bCs/>
          <w:sz w:val="26"/>
          <w:szCs w:val="26"/>
        </w:rPr>
        <w:t>Sporta bāzu un nacionālo sporta bāzu pārbaudes kārtība</w:t>
      </w:r>
      <w:bookmarkEnd w:id="6"/>
      <w:bookmarkEnd w:id="7"/>
      <w:r w:rsidRPr="00DB4458">
        <w:rPr>
          <w:b/>
          <w:bCs/>
          <w:sz w:val="26"/>
          <w:szCs w:val="26"/>
        </w:rPr>
        <w:t>”</w:t>
      </w:r>
      <w:bookmarkEnd w:id="2"/>
      <w:bookmarkEnd w:id="3"/>
      <w:r w:rsidRPr="00DB4458">
        <w:rPr>
          <w:b/>
          <w:bCs/>
          <w:sz w:val="26"/>
          <w:szCs w:val="26"/>
        </w:rPr>
        <w:t xml:space="preserve"> </w:t>
      </w:r>
      <w:bookmarkEnd w:id="4"/>
      <w:bookmarkEnd w:id="5"/>
      <w:r w:rsidRPr="00DB4458">
        <w:rPr>
          <w:b/>
          <w:sz w:val="26"/>
          <w:szCs w:val="26"/>
        </w:rPr>
        <w:t xml:space="preserve">sākotnējās ietekmes novērtējuma </w:t>
      </w:r>
      <w:smartTag w:uri="schemas-tilde-lv/tildestengine" w:element="veidnes">
        <w:smartTagPr>
          <w:attr w:name="id" w:val="-1"/>
          <w:attr w:name="baseform" w:val="ziņojums"/>
          <w:attr w:name="text" w:val="ziņojums"/>
        </w:smartTagPr>
        <w:r w:rsidRPr="00DB4458">
          <w:rPr>
            <w:b/>
            <w:sz w:val="26"/>
            <w:szCs w:val="26"/>
          </w:rPr>
          <w:t>ziņojums</w:t>
        </w:r>
      </w:smartTag>
      <w:r w:rsidRPr="00DB4458">
        <w:rPr>
          <w:b/>
          <w:sz w:val="26"/>
          <w:szCs w:val="26"/>
        </w:rPr>
        <w:t xml:space="preserve"> (anotācija)</w:t>
      </w: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9"/>
        <w:gridCol w:w="2693"/>
        <w:gridCol w:w="5885"/>
      </w:tblGrid>
      <w:tr w:rsidR="004B0768" w:rsidRPr="00DB4458" w:rsidTr="006226C8">
        <w:tc>
          <w:tcPr>
            <w:tcW w:w="9077" w:type="dxa"/>
            <w:gridSpan w:val="3"/>
            <w:vAlign w:val="center"/>
          </w:tcPr>
          <w:p w:rsidR="004B0768" w:rsidRPr="00DB4458" w:rsidRDefault="004B0768" w:rsidP="006226C8">
            <w:pPr>
              <w:pStyle w:val="naisnod"/>
              <w:spacing w:before="0" w:after="0"/>
              <w:rPr>
                <w:sz w:val="26"/>
                <w:szCs w:val="26"/>
              </w:rPr>
            </w:pPr>
            <w:r w:rsidRPr="00DB4458">
              <w:rPr>
                <w:sz w:val="26"/>
                <w:szCs w:val="26"/>
              </w:rPr>
              <w:t>I. Tiesību akta projekta izstrādes nepieciešamība</w:t>
            </w:r>
          </w:p>
        </w:tc>
      </w:tr>
      <w:tr w:rsidR="004B0768" w:rsidRPr="00DB4458" w:rsidTr="006226C8">
        <w:trPr>
          <w:trHeight w:val="630"/>
        </w:trPr>
        <w:tc>
          <w:tcPr>
            <w:tcW w:w="499" w:type="dxa"/>
          </w:tcPr>
          <w:p w:rsidR="004B0768" w:rsidRPr="00DB4458" w:rsidRDefault="004B0768" w:rsidP="006226C8">
            <w:pPr>
              <w:pStyle w:val="naiskr"/>
              <w:spacing w:before="0" w:after="0"/>
              <w:rPr>
                <w:sz w:val="26"/>
                <w:szCs w:val="26"/>
              </w:rPr>
            </w:pPr>
            <w:r w:rsidRPr="00DB4458">
              <w:rPr>
                <w:sz w:val="26"/>
                <w:szCs w:val="26"/>
              </w:rPr>
              <w:t>1.</w:t>
            </w:r>
          </w:p>
        </w:tc>
        <w:tc>
          <w:tcPr>
            <w:tcW w:w="2693" w:type="dxa"/>
          </w:tcPr>
          <w:p w:rsidR="004B0768" w:rsidRPr="00DB4458" w:rsidRDefault="004B0768" w:rsidP="006226C8">
            <w:pPr>
              <w:pStyle w:val="naiskr"/>
              <w:spacing w:before="0" w:after="0"/>
              <w:ind w:hanging="10"/>
              <w:rPr>
                <w:sz w:val="26"/>
                <w:szCs w:val="26"/>
              </w:rPr>
            </w:pPr>
            <w:r w:rsidRPr="00DB4458">
              <w:rPr>
                <w:sz w:val="26"/>
                <w:szCs w:val="26"/>
              </w:rPr>
              <w:t>Pamatojums</w:t>
            </w:r>
          </w:p>
        </w:tc>
        <w:tc>
          <w:tcPr>
            <w:tcW w:w="5885" w:type="dxa"/>
          </w:tcPr>
          <w:p w:rsidR="004B0768" w:rsidRPr="00DB4458" w:rsidRDefault="004B0768" w:rsidP="00A10AC7">
            <w:pPr>
              <w:pStyle w:val="naiskr"/>
              <w:spacing w:before="0" w:after="0"/>
              <w:ind w:hanging="5"/>
              <w:jc w:val="both"/>
              <w:rPr>
                <w:sz w:val="26"/>
                <w:szCs w:val="26"/>
              </w:rPr>
            </w:pPr>
            <w:r w:rsidRPr="00DB4458">
              <w:rPr>
                <w:sz w:val="26"/>
                <w:szCs w:val="26"/>
              </w:rPr>
              <w:t xml:space="preserve">Ministru kabineta noteikumu projekts </w:t>
            </w:r>
            <w:r w:rsidRPr="00DB4458">
              <w:rPr>
                <w:bCs/>
                <w:sz w:val="26"/>
                <w:szCs w:val="26"/>
              </w:rPr>
              <w:t>„</w:t>
            </w:r>
            <w:r w:rsidR="00C84954" w:rsidRPr="00C84954">
              <w:rPr>
                <w:bCs/>
                <w:sz w:val="26"/>
                <w:szCs w:val="26"/>
              </w:rPr>
              <w:t>Sporta bāzu un nacionālo sporta bāzu pārbaudes kārtība</w:t>
            </w:r>
            <w:r w:rsidRPr="00DB4458">
              <w:rPr>
                <w:bCs/>
                <w:sz w:val="26"/>
                <w:szCs w:val="26"/>
              </w:rPr>
              <w:t xml:space="preserve">” </w:t>
            </w:r>
            <w:r w:rsidRPr="00DB4458">
              <w:rPr>
                <w:sz w:val="26"/>
                <w:szCs w:val="26"/>
              </w:rPr>
              <w:t>(turpmāk – noteikumu projekts) izstrādāts, ievērojot likuma  „Par nacionālās sporta bāzes statusu”</w:t>
            </w:r>
            <w:r w:rsidR="00244876">
              <w:rPr>
                <w:sz w:val="26"/>
                <w:szCs w:val="26"/>
              </w:rPr>
              <w:t xml:space="preserve"> (turpmāk – Likums)</w:t>
            </w:r>
            <w:r w:rsidRPr="00DB4458">
              <w:rPr>
                <w:sz w:val="26"/>
                <w:szCs w:val="26"/>
              </w:rPr>
              <w:t xml:space="preserve">  </w:t>
            </w:r>
            <w:r w:rsidR="00BC152F">
              <w:rPr>
                <w:sz w:val="26"/>
                <w:szCs w:val="26"/>
              </w:rPr>
              <w:t>6</w:t>
            </w:r>
            <w:r w:rsidRPr="00DB4458">
              <w:rPr>
                <w:sz w:val="26"/>
                <w:szCs w:val="26"/>
              </w:rPr>
              <w:t xml:space="preserve">.panta </w:t>
            </w:r>
            <w:r w:rsidR="00677B55">
              <w:rPr>
                <w:sz w:val="26"/>
                <w:szCs w:val="26"/>
              </w:rPr>
              <w:t>3</w:t>
            </w:r>
            <w:r w:rsidR="00A10AC7">
              <w:rPr>
                <w:sz w:val="26"/>
                <w:szCs w:val="26"/>
              </w:rPr>
              <w:t>.</w:t>
            </w:r>
            <w:r w:rsidR="00BC152F">
              <w:rPr>
                <w:sz w:val="26"/>
                <w:szCs w:val="26"/>
                <w:vertAlign w:val="superscript"/>
              </w:rPr>
              <w:t>2</w:t>
            </w:r>
            <w:r w:rsidRPr="00DB4458">
              <w:rPr>
                <w:sz w:val="26"/>
                <w:szCs w:val="26"/>
              </w:rPr>
              <w:t xml:space="preserve"> daļā </w:t>
            </w:r>
            <w:r w:rsidR="00674C7C">
              <w:rPr>
                <w:sz w:val="26"/>
                <w:szCs w:val="26"/>
              </w:rPr>
              <w:t>un 10.panta piektajā daļā</w:t>
            </w:r>
            <w:r w:rsidR="00674C7C" w:rsidRPr="00674C7C">
              <w:rPr>
                <w:sz w:val="26"/>
                <w:szCs w:val="26"/>
              </w:rPr>
              <w:t xml:space="preserve"> </w:t>
            </w:r>
            <w:r w:rsidRPr="00DB4458">
              <w:rPr>
                <w:sz w:val="26"/>
                <w:szCs w:val="26"/>
              </w:rPr>
              <w:t>Ministru kabinetam doto deleģējumu</w:t>
            </w:r>
            <w:r w:rsidR="00BC755B">
              <w:rPr>
                <w:sz w:val="26"/>
                <w:szCs w:val="26"/>
              </w:rPr>
              <w:t>.</w:t>
            </w:r>
          </w:p>
        </w:tc>
      </w:tr>
      <w:tr w:rsidR="004B0768" w:rsidRPr="00DB4458" w:rsidTr="00494A48">
        <w:trPr>
          <w:trHeight w:val="6795"/>
        </w:trPr>
        <w:tc>
          <w:tcPr>
            <w:tcW w:w="499" w:type="dxa"/>
          </w:tcPr>
          <w:p w:rsidR="004B0768" w:rsidRPr="00DB4458" w:rsidRDefault="004B0768" w:rsidP="006226C8">
            <w:pPr>
              <w:pStyle w:val="naiskr"/>
              <w:spacing w:before="0" w:after="0"/>
              <w:rPr>
                <w:sz w:val="26"/>
                <w:szCs w:val="26"/>
              </w:rPr>
            </w:pPr>
            <w:r w:rsidRPr="00DB4458">
              <w:rPr>
                <w:sz w:val="26"/>
                <w:szCs w:val="26"/>
              </w:rPr>
              <w:t>2.</w:t>
            </w:r>
          </w:p>
        </w:tc>
        <w:tc>
          <w:tcPr>
            <w:tcW w:w="2693" w:type="dxa"/>
          </w:tcPr>
          <w:p w:rsidR="004B0768" w:rsidRPr="00DB4458" w:rsidRDefault="004B0768" w:rsidP="006226C8">
            <w:pPr>
              <w:pStyle w:val="naiskr"/>
              <w:tabs>
                <w:tab w:val="left" w:pos="170"/>
              </w:tabs>
              <w:spacing w:before="0" w:after="0"/>
              <w:rPr>
                <w:sz w:val="26"/>
                <w:szCs w:val="26"/>
              </w:rPr>
            </w:pPr>
            <w:r w:rsidRPr="00DB4458">
              <w:rPr>
                <w:sz w:val="26"/>
                <w:szCs w:val="26"/>
              </w:rPr>
              <w:t>Pašreizējā situācija un problēmas</w:t>
            </w:r>
          </w:p>
        </w:tc>
        <w:tc>
          <w:tcPr>
            <w:tcW w:w="5885" w:type="dxa"/>
          </w:tcPr>
          <w:p w:rsidR="008D2F64" w:rsidRPr="008D2F64" w:rsidRDefault="004B0768" w:rsidP="008D2F64">
            <w:pPr>
              <w:jc w:val="both"/>
              <w:rPr>
                <w:sz w:val="26"/>
                <w:szCs w:val="26"/>
                <w:lang w:eastAsia="en-US"/>
              </w:rPr>
            </w:pPr>
            <w:r w:rsidRPr="00DB4458">
              <w:rPr>
                <w:sz w:val="26"/>
                <w:szCs w:val="26"/>
              </w:rPr>
              <w:t xml:space="preserve">Likuma </w:t>
            </w:r>
            <w:r w:rsidR="008D2F64">
              <w:rPr>
                <w:sz w:val="26"/>
                <w:szCs w:val="26"/>
              </w:rPr>
              <w:t>5</w:t>
            </w:r>
            <w:r w:rsidRPr="00DB4458">
              <w:rPr>
                <w:sz w:val="26"/>
                <w:szCs w:val="26"/>
              </w:rPr>
              <w:t xml:space="preserve">.panta pirmā daļa nosaka, </w:t>
            </w:r>
            <w:r w:rsidR="008D2F64">
              <w:rPr>
                <w:sz w:val="26"/>
                <w:szCs w:val="26"/>
              </w:rPr>
              <w:t xml:space="preserve">ka </w:t>
            </w:r>
            <w:r w:rsidR="008D2F64">
              <w:t xml:space="preserve"> </w:t>
            </w:r>
            <w:r w:rsidR="008D2F64">
              <w:rPr>
                <w:sz w:val="26"/>
                <w:szCs w:val="26"/>
              </w:rPr>
              <w:t>n</w:t>
            </w:r>
            <w:r w:rsidR="008D2F64" w:rsidRPr="008D2F64">
              <w:rPr>
                <w:sz w:val="26"/>
                <w:szCs w:val="26"/>
              </w:rPr>
              <w:t>acionālās sporta bāzes statusu var piešķirt sporta bāzei, kura atbilst visiem šādiem nosacījumiem</w:t>
            </w:r>
            <w:r w:rsidR="00BC755B">
              <w:rPr>
                <w:sz w:val="26"/>
                <w:szCs w:val="26"/>
              </w:rPr>
              <w:t xml:space="preserve">: </w:t>
            </w:r>
            <w:r w:rsidR="008D2F64" w:rsidRPr="008D2F64">
              <w:rPr>
                <w:sz w:val="26"/>
                <w:szCs w:val="26"/>
              </w:rPr>
              <w:t>tā ir reģistrēta Sporta bāzu reģistrā</w:t>
            </w:r>
            <w:r w:rsidR="008D2F64">
              <w:rPr>
                <w:sz w:val="26"/>
                <w:szCs w:val="26"/>
              </w:rPr>
              <w:t xml:space="preserve">, </w:t>
            </w:r>
            <w:r w:rsidR="008D2F64" w:rsidRPr="008D2F64">
              <w:rPr>
                <w:sz w:val="26"/>
                <w:szCs w:val="26"/>
              </w:rPr>
              <w:t>tās darbība un tehniskais stāvoklis atbilst normatīvo aktu prasībām</w:t>
            </w:r>
            <w:r w:rsidR="008D2F64">
              <w:rPr>
                <w:sz w:val="26"/>
                <w:szCs w:val="26"/>
              </w:rPr>
              <w:t xml:space="preserve">, </w:t>
            </w:r>
            <w:r w:rsidR="008D2F64" w:rsidRPr="008D2F64">
              <w:rPr>
                <w:sz w:val="26"/>
                <w:szCs w:val="26"/>
              </w:rPr>
              <w:t>tās darbība tiek organizēta, priekšroku dodot pasākumiem, kurus rīko atzītās sporta federācijas vai profesionālās ievi</w:t>
            </w:r>
            <w:r w:rsidR="008D2F64">
              <w:rPr>
                <w:sz w:val="26"/>
                <w:szCs w:val="26"/>
              </w:rPr>
              <w:t xml:space="preserve">rzes sporta izglītības iestādes, </w:t>
            </w:r>
            <w:r w:rsidR="008D2F64" w:rsidRPr="008D2F64">
              <w:rPr>
                <w:sz w:val="26"/>
                <w:szCs w:val="26"/>
              </w:rPr>
              <w:t xml:space="preserve"> tā spēj nodrošināt regulāru valsts nacionālo izlašu dalībnieku </w:t>
            </w:r>
            <w:proofErr w:type="spellStart"/>
            <w:r w:rsidR="008D2F64" w:rsidRPr="008D2F64">
              <w:rPr>
                <w:sz w:val="26"/>
                <w:szCs w:val="26"/>
              </w:rPr>
              <w:t>treniņprocesu</w:t>
            </w:r>
            <w:proofErr w:type="spellEnd"/>
            <w:r w:rsidR="008D2F64" w:rsidRPr="008D2F64">
              <w:rPr>
                <w:sz w:val="26"/>
                <w:szCs w:val="26"/>
              </w:rPr>
              <w:t>, kā arī bērnu, jauniešu un invalīdu sporta pasākumus</w:t>
            </w:r>
            <w:r w:rsidR="008D2F64">
              <w:rPr>
                <w:sz w:val="26"/>
                <w:szCs w:val="26"/>
              </w:rPr>
              <w:t xml:space="preserve">, </w:t>
            </w:r>
            <w:r w:rsidR="008D2F64" w:rsidRPr="008D2F64">
              <w:rPr>
                <w:sz w:val="26"/>
                <w:szCs w:val="26"/>
              </w:rPr>
              <w:t>tā ir piemērota pasaules vai Eiropas čempionātu, to posmu, kausu izcīņas un kvalifikācijas sacensību rīkošanai</w:t>
            </w:r>
            <w:r w:rsidR="008D2F64">
              <w:rPr>
                <w:sz w:val="26"/>
                <w:szCs w:val="26"/>
              </w:rPr>
              <w:t xml:space="preserve">, </w:t>
            </w:r>
            <w:r w:rsidR="008D2F64" w:rsidRPr="008D2F64">
              <w:rPr>
                <w:sz w:val="26"/>
                <w:szCs w:val="26"/>
              </w:rPr>
              <w:t>tajā rīkotie ar sportu saistītie pasākumi veido vismaz 50 procentus no faktiskā sporta bāzes noslogojuma</w:t>
            </w:r>
            <w:r w:rsidR="008D2F64">
              <w:rPr>
                <w:sz w:val="26"/>
                <w:szCs w:val="26"/>
              </w:rPr>
              <w:t xml:space="preserve">, </w:t>
            </w:r>
            <w:r w:rsidR="008D2F64" w:rsidRPr="008D2F64">
              <w:rPr>
                <w:sz w:val="26"/>
                <w:szCs w:val="26"/>
              </w:rPr>
              <w:t>tiek nodrošināta tās nepārtraukta darbība sporta jomā</w:t>
            </w:r>
            <w:r w:rsidR="008D2F64">
              <w:rPr>
                <w:sz w:val="26"/>
                <w:szCs w:val="26"/>
              </w:rPr>
              <w:t xml:space="preserve">, </w:t>
            </w:r>
            <w:r w:rsidR="008D2F64" w:rsidRPr="008D2F64">
              <w:rPr>
                <w:sz w:val="26"/>
                <w:szCs w:val="26"/>
              </w:rPr>
              <w:t xml:space="preserve">tās sastāvā esošie objekti netiek izmantoti tādiem mērķiem, kas nav savienojami ar sporta un veselīga dzīvesveida popularizēšanu. </w:t>
            </w:r>
            <w:r w:rsidR="008D2F64">
              <w:t xml:space="preserve"> </w:t>
            </w:r>
            <w:r w:rsidR="008D2F64" w:rsidRPr="008D2F64">
              <w:rPr>
                <w:sz w:val="26"/>
                <w:szCs w:val="26"/>
                <w:lang w:eastAsia="en-US"/>
              </w:rPr>
              <w:t>Sporta bāzes atbilstība šā panta pirmās daļas nosacījumiem izvērtējama pēdējā gada laikā pirms iesnieguma par nacionālās sporta bāzes statusa piešķiršanu iesniegšanas</w:t>
            </w:r>
            <w:r w:rsidR="00440F5F">
              <w:rPr>
                <w:sz w:val="26"/>
                <w:szCs w:val="26"/>
                <w:lang w:eastAsia="en-US"/>
              </w:rPr>
              <w:t xml:space="preserve"> (Likuma 5.pan</w:t>
            </w:r>
            <w:r w:rsidR="008D2F64">
              <w:rPr>
                <w:sz w:val="26"/>
                <w:szCs w:val="26"/>
                <w:lang w:eastAsia="en-US"/>
              </w:rPr>
              <w:t>ta otrā daļa)</w:t>
            </w:r>
            <w:r w:rsidR="008D2F64" w:rsidRPr="008D2F64">
              <w:rPr>
                <w:sz w:val="26"/>
                <w:szCs w:val="26"/>
                <w:lang w:eastAsia="en-US"/>
              </w:rPr>
              <w:t xml:space="preserve">. </w:t>
            </w:r>
          </w:p>
          <w:p w:rsidR="00B3083B" w:rsidRDefault="00B3083B" w:rsidP="00B3083B">
            <w:pPr>
              <w:pStyle w:val="NoSpacing"/>
              <w:jc w:val="both"/>
              <w:rPr>
                <w:sz w:val="26"/>
                <w:szCs w:val="26"/>
              </w:rPr>
            </w:pPr>
            <w:r w:rsidRPr="00DB4458">
              <w:rPr>
                <w:sz w:val="26"/>
                <w:szCs w:val="26"/>
              </w:rPr>
              <w:t>Likuma 10.panta pirmā daļa nosaka, ka Izglītības un zinātnes ministrija pastāvīgi uzrauga nacionālās sporta bāzes darbības atbilstību šā likuma 5.panta nosacījumiem un citu normatīvo aktu prasībām.</w:t>
            </w:r>
            <w:r w:rsidRPr="00F91D09">
              <w:rPr>
                <w:sz w:val="26"/>
                <w:szCs w:val="26"/>
              </w:rPr>
              <w:t xml:space="preserve"> </w:t>
            </w:r>
            <w:r>
              <w:rPr>
                <w:sz w:val="26"/>
                <w:szCs w:val="26"/>
              </w:rPr>
              <w:t>Tāpat ir noteikta detalizēta nacionālo sporta bāzu darbības pārbaudes kārtība (</w:t>
            </w:r>
            <w:r w:rsidRPr="00F91D09">
              <w:rPr>
                <w:sz w:val="26"/>
                <w:szCs w:val="26"/>
              </w:rPr>
              <w:t>Ministru kabineta 2010.gada 10.augusta noteikumi Nr.747 „ Noteikumi par nacionālo sporta bāzu darbības pārbaudes kārtību un tajā iesaistāmajām institūcijām”</w:t>
            </w:r>
            <w:r>
              <w:rPr>
                <w:sz w:val="26"/>
                <w:szCs w:val="26"/>
              </w:rPr>
              <w:t>).</w:t>
            </w:r>
          </w:p>
          <w:p w:rsidR="00B3083B" w:rsidRDefault="00B3083B" w:rsidP="00B3083B">
            <w:pPr>
              <w:pStyle w:val="NoSpacing"/>
              <w:jc w:val="both"/>
              <w:rPr>
                <w:sz w:val="26"/>
                <w:szCs w:val="26"/>
              </w:rPr>
            </w:pPr>
          </w:p>
          <w:p w:rsidR="00B3083B" w:rsidRDefault="004B0768" w:rsidP="00244876">
            <w:pPr>
              <w:pStyle w:val="NoSpacing"/>
              <w:jc w:val="both"/>
              <w:rPr>
                <w:b/>
                <w:sz w:val="26"/>
                <w:szCs w:val="26"/>
              </w:rPr>
            </w:pPr>
            <w:r w:rsidRPr="00DB4458">
              <w:rPr>
                <w:color w:val="000000"/>
                <w:sz w:val="26"/>
                <w:szCs w:val="26"/>
              </w:rPr>
              <w:t xml:space="preserve">Šobrīd normatīvajos </w:t>
            </w:r>
            <w:smartTag w:uri="schemas-tilde-lv/tildestengine" w:element="veidnes">
              <w:smartTagPr>
                <w:attr w:name="baseform" w:val="akt|s"/>
                <w:attr w:name="id" w:val="-1"/>
                <w:attr w:name="text" w:val="aktos"/>
              </w:smartTagPr>
              <w:r w:rsidRPr="00DB4458">
                <w:rPr>
                  <w:color w:val="000000"/>
                  <w:sz w:val="26"/>
                  <w:szCs w:val="26"/>
                </w:rPr>
                <w:t>aktos</w:t>
              </w:r>
            </w:smartTag>
            <w:r w:rsidRPr="00DB4458">
              <w:rPr>
                <w:color w:val="000000"/>
                <w:sz w:val="26"/>
                <w:szCs w:val="26"/>
              </w:rPr>
              <w:t xml:space="preserve"> nav regulējuma, kas nosaka kārtību</w:t>
            </w:r>
            <w:r w:rsidR="00B3083B">
              <w:rPr>
                <w:color w:val="000000"/>
                <w:sz w:val="26"/>
                <w:szCs w:val="26"/>
              </w:rPr>
              <w:t>,</w:t>
            </w:r>
            <w:r w:rsidRPr="00DB4458">
              <w:rPr>
                <w:sz w:val="26"/>
                <w:szCs w:val="26"/>
              </w:rPr>
              <w:t xml:space="preserve"> kādā tiek īstenota sporta bāzu </w:t>
            </w:r>
            <w:r w:rsidR="008D2F64">
              <w:rPr>
                <w:sz w:val="26"/>
                <w:szCs w:val="26"/>
              </w:rPr>
              <w:t>sākotnējās pārbaudes kārtība</w:t>
            </w:r>
            <w:r w:rsidRPr="00DB4458">
              <w:rPr>
                <w:sz w:val="26"/>
                <w:szCs w:val="26"/>
              </w:rPr>
              <w:t xml:space="preserve">, lai konstatētu sporta bāzes atbilstību </w:t>
            </w:r>
            <w:r w:rsidR="00244876">
              <w:rPr>
                <w:sz w:val="26"/>
                <w:szCs w:val="26"/>
              </w:rPr>
              <w:t>L</w:t>
            </w:r>
            <w:r w:rsidRPr="00DB4458">
              <w:rPr>
                <w:sz w:val="26"/>
                <w:szCs w:val="26"/>
              </w:rPr>
              <w:t>ikuma</w:t>
            </w:r>
            <w:r w:rsidR="00244876">
              <w:rPr>
                <w:sz w:val="26"/>
                <w:szCs w:val="26"/>
              </w:rPr>
              <w:t xml:space="preserve"> </w:t>
            </w:r>
            <w:r w:rsidRPr="00DB4458">
              <w:rPr>
                <w:sz w:val="26"/>
                <w:szCs w:val="26"/>
              </w:rPr>
              <w:t>5.panta nosacījumiem</w:t>
            </w:r>
            <w:r w:rsidR="00B3083B">
              <w:rPr>
                <w:b/>
                <w:sz w:val="26"/>
                <w:szCs w:val="26"/>
              </w:rPr>
              <w:t>. Tā rezultātā</w:t>
            </w:r>
            <w:r w:rsidR="005E7F60">
              <w:rPr>
                <w:b/>
                <w:sz w:val="26"/>
                <w:szCs w:val="26"/>
              </w:rPr>
              <w:t xml:space="preserve"> nevar izslēgt situācijas, kad</w:t>
            </w:r>
            <w:r w:rsidR="00B3083B">
              <w:rPr>
                <w:b/>
                <w:sz w:val="26"/>
                <w:szCs w:val="26"/>
              </w:rPr>
              <w:t xml:space="preserve"> trūkumi sporta bāzes darbībā tiek atklāti tikai pēc tam, kad sporta bāzei jau ir </w:t>
            </w:r>
            <w:r w:rsidR="00B3083B">
              <w:rPr>
                <w:b/>
                <w:sz w:val="26"/>
                <w:szCs w:val="26"/>
              </w:rPr>
              <w:lastRenderedPageBreak/>
              <w:t xml:space="preserve">piešķirts nacionālās sporta bāzes statuss, lai gan šādi trūkumi bijuši arī iepriekš (pirms nacionālās sporta bāzes statusa piešķiršanas). </w:t>
            </w:r>
            <w:r w:rsidR="00B3083B">
              <w:t xml:space="preserve"> </w:t>
            </w:r>
            <w:r w:rsidR="00B3083B" w:rsidRPr="00B3083B">
              <w:rPr>
                <w:b/>
                <w:sz w:val="26"/>
                <w:szCs w:val="26"/>
              </w:rPr>
              <w:t>Sporta bāzu sākotnējās pārbaudes procedūra ļaus pilnvērtīgi izvērtēt sporta bāzes (nacionālās sporta bāzes pretendentes) atbilstību  Likuma 5.pantā noteiktajiem nacionālās sporta bāzes statusa piešķiršanas nosacījumiem, kas ir arī sporta bāzes īpašnieka (vai valsts sporta bāzes valdītājam), kurš pretendē uz nacionālās sporta bāzes statusu, interesēs.</w:t>
            </w:r>
          </w:p>
          <w:p w:rsidR="00B3083B" w:rsidRDefault="00B3083B" w:rsidP="00244876">
            <w:pPr>
              <w:pStyle w:val="NoSpacing"/>
              <w:jc w:val="both"/>
              <w:rPr>
                <w:b/>
                <w:sz w:val="26"/>
                <w:szCs w:val="26"/>
              </w:rPr>
            </w:pPr>
          </w:p>
          <w:p w:rsidR="005E7F60" w:rsidRDefault="00B3083B" w:rsidP="00244876">
            <w:pPr>
              <w:pStyle w:val="NoSpacing"/>
              <w:jc w:val="both"/>
              <w:rPr>
                <w:sz w:val="26"/>
                <w:szCs w:val="26"/>
              </w:rPr>
            </w:pPr>
            <w:r>
              <w:rPr>
                <w:b/>
                <w:sz w:val="26"/>
                <w:szCs w:val="26"/>
              </w:rPr>
              <w:t xml:space="preserve">Pēc būtības jaunas procedūras ieviest nav nepieciešams, jo var tikt pārņemta jau veiksmīgi funkcionējošā nacionālo sporta bāzu darbības pārbaudes procedūra, kura ir noteikta </w:t>
            </w:r>
            <w:r w:rsidRPr="00630D4B">
              <w:rPr>
                <w:b/>
                <w:sz w:val="26"/>
                <w:szCs w:val="26"/>
              </w:rPr>
              <w:t>Ministru kabineta 2010.gada 10.augusta noteikum</w:t>
            </w:r>
            <w:r>
              <w:rPr>
                <w:b/>
                <w:sz w:val="26"/>
                <w:szCs w:val="26"/>
              </w:rPr>
              <w:t xml:space="preserve">os Nr.747 </w:t>
            </w:r>
            <w:r w:rsidRPr="00630D4B">
              <w:rPr>
                <w:b/>
                <w:sz w:val="26"/>
                <w:szCs w:val="26"/>
              </w:rPr>
              <w:t>„Noteikumi par nacionālo sporta bāzu darbības pārbaudes kārtību un tajā iesaistāmajām institūcijām”</w:t>
            </w:r>
            <w:r>
              <w:rPr>
                <w:b/>
                <w:sz w:val="26"/>
                <w:szCs w:val="26"/>
              </w:rPr>
              <w:t xml:space="preserve">. Bez tam, </w:t>
            </w:r>
            <w:r w:rsidR="00494A48">
              <w:rPr>
                <w:b/>
                <w:sz w:val="26"/>
                <w:szCs w:val="26"/>
              </w:rPr>
              <w:t>abas procedūras (sporta bāzu un nacionālo sporta bāzu pārbaudi) ir iespējams ietvert vienos Ministru kabineta noteikumos.</w:t>
            </w:r>
            <w:r>
              <w:rPr>
                <w:b/>
                <w:sz w:val="26"/>
                <w:szCs w:val="26"/>
              </w:rPr>
              <w:t xml:space="preserve"> </w:t>
            </w:r>
          </w:p>
          <w:p w:rsidR="008E7733" w:rsidRPr="002B2090" w:rsidRDefault="000F5EED" w:rsidP="002B2090">
            <w:pPr>
              <w:pStyle w:val="NoSpacing"/>
              <w:jc w:val="both"/>
              <w:rPr>
                <w:b/>
                <w:sz w:val="26"/>
                <w:szCs w:val="26"/>
                <w:lang w:eastAsia="lv-LV"/>
              </w:rPr>
            </w:pPr>
            <w:r w:rsidRPr="002B2090">
              <w:rPr>
                <w:b/>
                <w:sz w:val="26"/>
                <w:szCs w:val="26"/>
                <w:lang w:eastAsia="lv-LV"/>
              </w:rPr>
              <w:t>Cit</w:t>
            </w:r>
            <w:r w:rsidR="002B2090" w:rsidRPr="002B2090">
              <w:rPr>
                <w:b/>
                <w:sz w:val="26"/>
                <w:szCs w:val="26"/>
                <w:lang w:eastAsia="lv-LV"/>
              </w:rPr>
              <w:t>u</w:t>
            </w:r>
            <w:r w:rsidRPr="002B2090">
              <w:rPr>
                <w:b/>
                <w:sz w:val="26"/>
                <w:szCs w:val="26"/>
                <w:lang w:eastAsia="lv-LV"/>
              </w:rPr>
              <w:t xml:space="preserve"> p</w:t>
            </w:r>
            <w:r w:rsidR="002B2090" w:rsidRPr="002B2090">
              <w:rPr>
                <w:b/>
                <w:sz w:val="26"/>
                <w:szCs w:val="26"/>
                <w:lang w:eastAsia="lv-LV"/>
              </w:rPr>
              <w:t>ārbaudē iesaistīto</w:t>
            </w:r>
            <w:r w:rsidRPr="002B2090">
              <w:rPr>
                <w:b/>
                <w:sz w:val="26"/>
                <w:szCs w:val="26"/>
                <w:lang w:eastAsia="lv-LV"/>
              </w:rPr>
              <w:t xml:space="preserve"> va</w:t>
            </w:r>
            <w:r w:rsidR="002B2090" w:rsidRPr="002B2090">
              <w:rPr>
                <w:b/>
                <w:sz w:val="26"/>
                <w:szCs w:val="26"/>
                <w:lang w:eastAsia="lv-LV"/>
              </w:rPr>
              <w:t>lsts un pašvaldības institūciju</w:t>
            </w:r>
            <w:r w:rsidRPr="002B2090">
              <w:rPr>
                <w:b/>
                <w:sz w:val="26"/>
                <w:szCs w:val="26"/>
                <w:lang w:eastAsia="lv-LV"/>
              </w:rPr>
              <w:t xml:space="preserve"> minētās funkcijas nosaka spēkā esošie to darbību reglamentējošie normatīvie akti.</w:t>
            </w:r>
          </w:p>
        </w:tc>
      </w:tr>
      <w:tr w:rsidR="004B0768" w:rsidRPr="00DB4458" w:rsidTr="006226C8">
        <w:trPr>
          <w:trHeight w:val="1071"/>
        </w:trPr>
        <w:tc>
          <w:tcPr>
            <w:tcW w:w="499" w:type="dxa"/>
          </w:tcPr>
          <w:p w:rsidR="004B0768" w:rsidRPr="00DB4458" w:rsidRDefault="004B0768" w:rsidP="006226C8">
            <w:pPr>
              <w:pStyle w:val="naiskr"/>
              <w:spacing w:before="0" w:after="0"/>
              <w:rPr>
                <w:sz w:val="26"/>
                <w:szCs w:val="26"/>
              </w:rPr>
            </w:pPr>
            <w:r w:rsidRPr="00DB4458">
              <w:rPr>
                <w:sz w:val="26"/>
                <w:szCs w:val="26"/>
              </w:rPr>
              <w:lastRenderedPageBreak/>
              <w:t>3.</w:t>
            </w:r>
          </w:p>
        </w:tc>
        <w:tc>
          <w:tcPr>
            <w:tcW w:w="2693" w:type="dxa"/>
          </w:tcPr>
          <w:p w:rsidR="004B0768" w:rsidRPr="00DB4458" w:rsidRDefault="004B0768" w:rsidP="006226C8">
            <w:pPr>
              <w:pStyle w:val="naiskr"/>
              <w:spacing w:before="0" w:after="0"/>
              <w:rPr>
                <w:sz w:val="26"/>
                <w:szCs w:val="26"/>
              </w:rPr>
            </w:pPr>
            <w:r w:rsidRPr="00DB4458">
              <w:rPr>
                <w:sz w:val="26"/>
                <w:szCs w:val="26"/>
              </w:rPr>
              <w:t>Saistītie politikas ietekmes novērtējumi un pētījumi</w:t>
            </w:r>
          </w:p>
        </w:tc>
        <w:tc>
          <w:tcPr>
            <w:tcW w:w="5885" w:type="dxa"/>
          </w:tcPr>
          <w:p w:rsidR="004B0768" w:rsidRPr="00DB4458" w:rsidRDefault="00440F5F" w:rsidP="006226C8">
            <w:pPr>
              <w:pStyle w:val="FootnoteText"/>
              <w:rPr>
                <w:sz w:val="26"/>
                <w:szCs w:val="26"/>
              </w:rPr>
            </w:pPr>
            <w:r w:rsidRPr="00440F5F">
              <w:rPr>
                <w:sz w:val="26"/>
                <w:szCs w:val="26"/>
              </w:rPr>
              <w:t>Projekts šo jomu neskar</w:t>
            </w:r>
            <w:r>
              <w:rPr>
                <w:sz w:val="26"/>
                <w:szCs w:val="26"/>
              </w:rPr>
              <w:t>.</w:t>
            </w:r>
          </w:p>
        </w:tc>
      </w:tr>
      <w:tr w:rsidR="004B0768" w:rsidRPr="00DB4458" w:rsidTr="00BC755B">
        <w:trPr>
          <w:trHeight w:val="978"/>
        </w:trPr>
        <w:tc>
          <w:tcPr>
            <w:tcW w:w="499" w:type="dxa"/>
          </w:tcPr>
          <w:p w:rsidR="004B0768" w:rsidRPr="00DB4458" w:rsidRDefault="004B0768" w:rsidP="006226C8">
            <w:pPr>
              <w:pStyle w:val="naiskr"/>
              <w:spacing w:before="0" w:after="0"/>
              <w:rPr>
                <w:sz w:val="26"/>
                <w:szCs w:val="26"/>
              </w:rPr>
            </w:pPr>
            <w:r w:rsidRPr="00DB4458">
              <w:rPr>
                <w:sz w:val="26"/>
                <w:szCs w:val="26"/>
              </w:rPr>
              <w:t>4.</w:t>
            </w:r>
          </w:p>
        </w:tc>
        <w:tc>
          <w:tcPr>
            <w:tcW w:w="2693" w:type="dxa"/>
          </w:tcPr>
          <w:p w:rsidR="004B0768" w:rsidRPr="00DB4458" w:rsidRDefault="004B0768" w:rsidP="006226C8">
            <w:pPr>
              <w:pStyle w:val="naiskr"/>
              <w:spacing w:before="0" w:after="0"/>
              <w:rPr>
                <w:sz w:val="26"/>
                <w:szCs w:val="26"/>
              </w:rPr>
            </w:pPr>
            <w:r w:rsidRPr="00DB4458">
              <w:rPr>
                <w:sz w:val="26"/>
                <w:szCs w:val="26"/>
              </w:rPr>
              <w:t>Tiesiskā regulējuma mērķis un būtība</w:t>
            </w:r>
          </w:p>
        </w:tc>
        <w:tc>
          <w:tcPr>
            <w:tcW w:w="5885" w:type="dxa"/>
          </w:tcPr>
          <w:p w:rsidR="00577132" w:rsidRDefault="00BC755B" w:rsidP="00577132">
            <w:pPr>
              <w:jc w:val="both"/>
              <w:rPr>
                <w:sz w:val="26"/>
                <w:szCs w:val="26"/>
              </w:rPr>
            </w:pPr>
            <w:r w:rsidRPr="00DB4458">
              <w:rPr>
                <w:rFonts w:eastAsia="Calibri"/>
                <w:color w:val="000000"/>
                <w:sz w:val="26"/>
                <w:szCs w:val="26"/>
              </w:rPr>
              <w:t xml:space="preserve">Noteikumu projekts paredz </w:t>
            </w:r>
            <w:r w:rsidR="00F91D09" w:rsidRPr="00F91D09">
              <w:rPr>
                <w:rFonts w:eastAsia="Calibri"/>
                <w:b/>
                <w:color w:val="000000"/>
                <w:sz w:val="26"/>
                <w:szCs w:val="26"/>
              </w:rPr>
              <w:t xml:space="preserve"> atbilstoši Likuma </w:t>
            </w:r>
            <w:r w:rsidR="00F91D09" w:rsidRPr="00F91D09">
              <w:rPr>
                <w:b/>
                <w:sz w:val="26"/>
                <w:szCs w:val="26"/>
              </w:rPr>
              <w:t>6.panta 3.</w:t>
            </w:r>
            <w:r w:rsidR="00F91D09" w:rsidRPr="00F91D09">
              <w:rPr>
                <w:b/>
                <w:sz w:val="26"/>
                <w:szCs w:val="26"/>
                <w:vertAlign w:val="superscript"/>
              </w:rPr>
              <w:t>2</w:t>
            </w:r>
            <w:r w:rsidR="00F91D09" w:rsidRPr="00F91D09">
              <w:rPr>
                <w:b/>
                <w:sz w:val="26"/>
                <w:szCs w:val="26"/>
              </w:rPr>
              <w:t xml:space="preserve"> daļā un 10.panta piektajā daļā</w:t>
            </w:r>
            <w:r w:rsidR="00F91D09" w:rsidRPr="00674C7C">
              <w:rPr>
                <w:sz w:val="26"/>
                <w:szCs w:val="26"/>
              </w:rPr>
              <w:t xml:space="preserve"> </w:t>
            </w:r>
            <w:r w:rsidR="008E7733" w:rsidRPr="008E7733">
              <w:rPr>
                <w:b/>
                <w:sz w:val="26"/>
                <w:szCs w:val="26"/>
              </w:rPr>
              <w:t>Ministru kabinetam dota</w:t>
            </w:r>
            <w:r w:rsidR="00F91D09">
              <w:rPr>
                <w:b/>
                <w:sz w:val="26"/>
                <w:szCs w:val="26"/>
              </w:rPr>
              <w:t>jam</w:t>
            </w:r>
            <w:r w:rsidR="008E7733" w:rsidRPr="008E7733">
              <w:rPr>
                <w:b/>
                <w:sz w:val="26"/>
                <w:szCs w:val="26"/>
              </w:rPr>
              <w:t xml:space="preserve"> deleģējumam</w:t>
            </w:r>
            <w:r w:rsidR="00F91D09">
              <w:rPr>
                <w:sz w:val="26"/>
                <w:szCs w:val="26"/>
              </w:rPr>
              <w:t xml:space="preserve"> </w:t>
            </w:r>
            <w:r w:rsidRPr="00DB4458">
              <w:rPr>
                <w:rFonts w:eastAsia="Calibri"/>
                <w:color w:val="000000"/>
                <w:sz w:val="26"/>
                <w:szCs w:val="26"/>
              </w:rPr>
              <w:t xml:space="preserve">noteikt </w:t>
            </w:r>
            <w:r w:rsidRPr="00DB4458">
              <w:rPr>
                <w:sz w:val="26"/>
                <w:szCs w:val="26"/>
              </w:rPr>
              <w:t xml:space="preserve">sporta bāzu </w:t>
            </w:r>
            <w:r>
              <w:rPr>
                <w:sz w:val="26"/>
                <w:szCs w:val="26"/>
              </w:rPr>
              <w:t xml:space="preserve">sākotnējās </w:t>
            </w:r>
            <w:r w:rsidRPr="00DB4458">
              <w:rPr>
                <w:sz w:val="26"/>
                <w:szCs w:val="26"/>
              </w:rPr>
              <w:t>pārbaudes kārtību</w:t>
            </w:r>
            <w:r w:rsidR="00C32B01">
              <w:rPr>
                <w:sz w:val="26"/>
                <w:szCs w:val="26"/>
              </w:rPr>
              <w:t xml:space="preserve"> un</w:t>
            </w:r>
            <w:r w:rsidR="00C32B01" w:rsidRPr="00DB4458">
              <w:rPr>
                <w:sz w:val="26"/>
                <w:szCs w:val="26"/>
              </w:rPr>
              <w:t xml:space="preserve"> nacionālo sporta bāzu darbības pārbaudes kārtību</w:t>
            </w:r>
            <w:r w:rsidR="00577132">
              <w:rPr>
                <w:sz w:val="26"/>
                <w:szCs w:val="26"/>
              </w:rPr>
              <w:t xml:space="preserve"> </w:t>
            </w:r>
            <w:r w:rsidR="00577132" w:rsidRPr="00577132">
              <w:rPr>
                <w:b/>
                <w:sz w:val="26"/>
                <w:szCs w:val="26"/>
              </w:rPr>
              <w:t>(kārtējo un ārpuskārtas)</w:t>
            </w:r>
            <w:r w:rsidR="00403B08">
              <w:rPr>
                <w:sz w:val="26"/>
                <w:szCs w:val="26"/>
              </w:rPr>
              <w:t>, kas nodrošinās</w:t>
            </w:r>
            <w:r w:rsidRPr="00DB4458">
              <w:rPr>
                <w:sz w:val="26"/>
                <w:szCs w:val="26"/>
              </w:rPr>
              <w:t xml:space="preserve"> sporta bāzes </w:t>
            </w:r>
            <w:r>
              <w:rPr>
                <w:sz w:val="26"/>
                <w:szCs w:val="26"/>
              </w:rPr>
              <w:t xml:space="preserve">darbības </w:t>
            </w:r>
            <w:r w:rsidRPr="00DB4458">
              <w:rPr>
                <w:sz w:val="26"/>
                <w:szCs w:val="26"/>
              </w:rPr>
              <w:t xml:space="preserve">atbilstības izvērtējumu </w:t>
            </w:r>
            <w:r w:rsidR="00244876">
              <w:rPr>
                <w:sz w:val="26"/>
                <w:szCs w:val="26"/>
              </w:rPr>
              <w:t>L</w:t>
            </w:r>
            <w:r w:rsidRPr="00DB4458">
              <w:rPr>
                <w:sz w:val="26"/>
                <w:szCs w:val="26"/>
              </w:rPr>
              <w:t xml:space="preserve">ikuma </w:t>
            </w:r>
            <w:r w:rsidR="00440F5F">
              <w:rPr>
                <w:sz w:val="26"/>
                <w:szCs w:val="26"/>
              </w:rPr>
              <w:t>5.panta nosacījumiem</w:t>
            </w:r>
            <w:r w:rsidR="00C32B01" w:rsidRPr="00DB4458">
              <w:rPr>
                <w:sz w:val="26"/>
                <w:szCs w:val="26"/>
              </w:rPr>
              <w:t xml:space="preserve"> un citu normatīvo aktu prasībām. </w:t>
            </w:r>
          </w:p>
          <w:p w:rsidR="00577132" w:rsidRPr="00744CCE" w:rsidRDefault="00BC755B" w:rsidP="009A60C3">
            <w:pPr>
              <w:jc w:val="both"/>
              <w:rPr>
                <w:sz w:val="26"/>
                <w:szCs w:val="26"/>
              </w:rPr>
            </w:pPr>
            <w:r w:rsidRPr="00DB4458">
              <w:rPr>
                <w:sz w:val="26"/>
                <w:szCs w:val="26"/>
              </w:rPr>
              <w:t xml:space="preserve">Noteikumu projekta piemērošana ļaus pārliecināties </w:t>
            </w:r>
            <w:r w:rsidR="00403B08">
              <w:rPr>
                <w:sz w:val="26"/>
                <w:szCs w:val="26"/>
              </w:rPr>
              <w:t xml:space="preserve">gan </w:t>
            </w:r>
            <w:r w:rsidRPr="00DB4458">
              <w:rPr>
                <w:sz w:val="26"/>
                <w:szCs w:val="26"/>
              </w:rPr>
              <w:t xml:space="preserve">par </w:t>
            </w:r>
            <w:r>
              <w:t xml:space="preserve"> </w:t>
            </w:r>
            <w:r w:rsidRPr="00BC755B">
              <w:rPr>
                <w:sz w:val="26"/>
                <w:szCs w:val="26"/>
              </w:rPr>
              <w:t>sporta bāzes</w:t>
            </w:r>
            <w:r w:rsidRPr="00DB4458">
              <w:rPr>
                <w:sz w:val="26"/>
                <w:szCs w:val="26"/>
              </w:rPr>
              <w:t xml:space="preserve"> </w:t>
            </w:r>
            <w:r w:rsidR="00403B08" w:rsidRPr="00BC755B">
              <w:rPr>
                <w:sz w:val="26"/>
                <w:szCs w:val="26"/>
              </w:rPr>
              <w:t xml:space="preserve"> atbilstību </w:t>
            </w:r>
            <w:r w:rsidR="00403B08">
              <w:rPr>
                <w:sz w:val="26"/>
                <w:szCs w:val="26"/>
              </w:rPr>
              <w:t>L</w:t>
            </w:r>
            <w:r w:rsidR="00403B08" w:rsidRPr="00BC755B">
              <w:rPr>
                <w:sz w:val="26"/>
                <w:szCs w:val="26"/>
              </w:rPr>
              <w:t xml:space="preserve">ikuma 5.panta </w:t>
            </w:r>
            <w:r w:rsidR="00403B08">
              <w:rPr>
                <w:sz w:val="26"/>
                <w:szCs w:val="26"/>
              </w:rPr>
              <w:t xml:space="preserve">nosacījumiem, gan </w:t>
            </w:r>
            <w:r w:rsidRPr="00DB4458">
              <w:rPr>
                <w:sz w:val="26"/>
                <w:szCs w:val="26"/>
              </w:rPr>
              <w:t>pienācīgu pārvald</w:t>
            </w:r>
            <w:r w:rsidR="00403B08">
              <w:rPr>
                <w:sz w:val="26"/>
                <w:szCs w:val="26"/>
              </w:rPr>
              <w:t>i un</w:t>
            </w:r>
            <w:r w:rsidR="00C32B01" w:rsidRPr="00DB4458">
              <w:rPr>
                <w:sz w:val="26"/>
                <w:szCs w:val="26"/>
              </w:rPr>
              <w:t xml:space="preserve"> atbildīgo personu (īpašnieka) veiktajiem pasākumiem, kuri virzīti uz nacionālās sporta bāzes pienācīgu pārvaldi</w:t>
            </w:r>
            <w:r w:rsidR="00C32B01">
              <w:rPr>
                <w:sz w:val="26"/>
                <w:szCs w:val="26"/>
              </w:rPr>
              <w:t xml:space="preserve">, </w:t>
            </w:r>
            <w:r>
              <w:rPr>
                <w:sz w:val="26"/>
                <w:szCs w:val="26"/>
              </w:rPr>
              <w:t>drošu un pilnīgu izmantošanu</w:t>
            </w:r>
            <w:r w:rsidR="00403B08">
              <w:rPr>
                <w:sz w:val="26"/>
                <w:szCs w:val="26"/>
              </w:rPr>
              <w:t>.</w:t>
            </w:r>
          </w:p>
        </w:tc>
      </w:tr>
      <w:tr w:rsidR="004B0768" w:rsidRPr="00DB4458" w:rsidTr="006226C8">
        <w:trPr>
          <w:trHeight w:val="476"/>
        </w:trPr>
        <w:tc>
          <w:tcPr>
            <w:tcW w:w="499" w:type="dxa"/>
          </w:tcPr>
          <w:p w:rsidR="004B0768" w:rsidRPr="00DB4458" w:rsidRDefault="004B0768" w:rsidP="006226C8">
            <w:pPr>
              <w:pStyle w:val="naiskr"/>
              <w:spacing w:before="0" w:after="0"/>
              <w:rPr>
                <w:sz w:val="26"/>
                <w:szCs w:val="26"/>
              </w:rPr>
            </w:pPr>
            <w:r w:rsidRPr="00DB4458">
              <w:rPr>
                <w:sz w:val="26"/>
                <w:szCs w:val="26"/>
              </w:rPr>
              <w:t>5.</w:t>
            </w:r>
          </w:p>
        </w:tc>
        <w:tc>
          <w:tcPr>
            <w:tcW w:w="2693" w:type="dxa"/>
          </w:tcPr>
          <w:p w:rsidR="004B0768" w:rsidRPr="00DB4458" w:rsidRDefault="004B0768" w:rsidP="006226C8">
            <w:pPr>
              <w:pStyle w:val="naiskr"/>
              <w:spacing w:before="0" w:after="0"/>
              <w:rPr>
                <w:sz w:val="26"/>
                <w:szCs w:val="26"/>
              </w:rPr>
            </w:pPr>
            <w:r w:rsidRPr="00DB4458">
              <w:rPr>
                <w:sz w:val="26"/>
                <w:szCs w:val="26"/>
              </w:rPr>
              <w:t>Projekta izstrādē iesaistītās institūcijas</w:t>
            </w:r>
          </w:p>
        </w:tc>
        <w:tc>
          <w:tcPr>
            <w:tcW w:w="5885" w:type="dxa"/>
          </w:tcPr>
          <w:p w:rsidR="004B0768" w:rsidRPr="00BC755B" w:rsidRDefault="00A26128" w:rsidP="00440F5F">
            <w:pPr>
              <w:pStyle w:val="naisc"/>
              <w:spacing w:before="0" w:after="0"/>
              <w:jc w:val="both"/>
              <w:rPr>
                <w:b/>
                <w:sz w:val="26"/>
                <w:szCs w:val="26"/>
              </w:rPr>
            </w:pPr>
            <w:r w:rsidRPr="00F24EF1">
              <w:rPr>
                <w:sz w:val="26"/>
                <w:szCs w:val="26"/>
              </w:rPr>
              <w:t>Izglītības un zinātnes ministrija.</w:t>
            </w:r>
          </w:p>
        </w:tc>
      </w:tr>
      <w:tr w:rsidR="004B0768" w:rsidRPr="00DB4458" w:rsidTr="006226C8">
        <w:trPr>
          <w:trHeight w:val="904"/>
        </w:trPr>
        <w:tc>
          <w:tcPr>
            <w:tcW w:w="499" w:type="dxa"/>
          </w:tcPr>
          <w:p w:rsidR="004B0768" w:rsidRPr="00DB4458" w:rsidRDefault="004B0768" w:rsidP="006226C8">
            <w:pPr>
              <w:pStyle w:val="naiskr"/>
              <w:spacing w:before="0" w:after="0"/>
              <w:rPr>
                <w:sz w:val="26"/>
                <w:szCs w:val="26"/>
              </w:rPr>
            </w:pPr>
            <w:r w:rsidRPr="00DB4458">
              <w:rPr>
                <w:sz w:val="26"/>
                <w:szCs w:val="26"/>
              </w:rPr>
              <w:lastRenderedPageBreak/>
              <w:t>6.</w:t>
            </w:r>
          </w:p>
        </w:tc>
        <w:tc>
          <w:tcPr>
            <w:tcW w:w="2693" w:type="dxa"/>
          </w:tcPr>
          <w:p w:rsidR="004B0768" w:rsidRPr="00DB4458" w:rsidRDefault="004B0768" w:rsidP="006226C8">
            <w:pPr>
              <w:pStyle w:val="naiskr"/>
              <w:spacing w:before="0" w:after="0"/>
              <w:rPr>
                <w:i/>
                <w:sz w:val="26"/>
                <w:szCs w:val="26"/>
                <w:highlight w:val="yellow"/>
              </w:rPr>
            </w:pPr>
            <w:r w:rsidRPr="00DB4458">
              <w:rPr>
                <w:sz w:val="26"/>
                <w:szCs w:val="26"/>
              </w:rPr>
              <w:t>Iemesli, kādēļ netika nodrošināta sabiedrības līdzdalība</w:t>
            </w:r>
          </w:p>
        </w:tc>
        <w:tc>
          <w:tcPr>
            <w:tcW w:w="5885" w:type="dxa"/>
          </w:tcPr>
          <w:p w:rsidR="004B0768" w:rsidRPr="00DB4458" w:rsidRDefault="00A26128" w:rsidP="00A26128">
            <w:pPr>
              <w:pStyle w:val="FootnoteText"/>
              <w:jc w:val="both"/>
              <w:rPr>
                <w:sz w:val="26"/>
                <w:szCs w:val="26"/>
              </w:rPr>
            </w:pPr>
            <w:r>
              <w:rPr>
                <w:sz w:val="26"/>
                <w:szCs w:val="26"/>
              </w:rPr>
              <w:t>N</w:t>
            </w:r>
            <w:r w:rsidRPr="00F24EF1">
              <w:rPr>
                <w:sz w:val="26"/>
                <w:szCs w:val="26"/>
              </w:rPr>
              <w:t>oteikumu projekta regulējums neparedz paplašināt ne valsts, ne pašvaldības atbildīgo uzr</w:t>
            </w:r>
            <w:r>
              <w:rPr>
                <w:sz w:val="26"/>
                <w:szCs w:val="26"/>
              </w:rPr>
              <w:t>audzības institūciju funkcijas, kā arī</w:t>
            </w:r>
            <w:r w:rsidRPr="001D7BD0">
              <w:rPr>
                <w:sz w:val="26"/>
                <w:szCs w:val="26"/>
              </w:rPr>
              <w:t xml:space="preserve"> neparedz ieviest tādas izmaiņas, kas varētu </w:t>
            </w:r>
            <w:r>
              <w:rPr>
                <w:sz w:val="26"/>
                <w:szCs w:val="26"/>
              </w:rPr>
              <w:t xml:space="preserve">nelabvēlīgi </w:t>
            </w:r>
            <w:r w:rsidRPr="001D7BD0">
              <w:rPr>
                <w:sz w:val="26"/>
                <w:szCs w:val="26"/>
              </w:rPr>
              <w:t>ietekmēt sabiedrības intereses.</w:t>
            </w:r>
          </w:p>
        </w:tc>
      </w:tr>
      <w:tr w:rsidR="004B0768" w:rsidRPr="00DB4458" w:rsidTr="006226C8">
        <w:tc>
          <w:tcPr>
            <w:tcW w:w="499" w:type="dxa"/>
          </w:tcPr>
          <w:p w:rsidR="004B0768" w:rsidRPr="00DB4458" w:rsidRDefault="004B0768" w:rsidP="006226C8">
            <w:pPr>
              <w:pStyle w:val="naiskr"/>
              <w:spacing w:before="0" w:after="0"/>
              <w:rPr>
                <w:sz w:val="26"/>
                <w:szCs w:val="26"/>
              </w:rPr>
            </w:pPr>
            <w:r w:rsidRPr="00DB4458">
              <w:rPr>
                <w:sz w:val="26"/>
                <w:szCs w:val="26"/>
              </w:rPr>
              <w:t>7.</w:t>
            </w:r>
          </w:p>
        </w:tc>
        <w:tc>
          <w:tcPr>
            <w:tcW w:w="2693" w:type="dxa"/>
          </w:tcPr>
          <w:p w:rsidR="004B0768" w:rsidRPr="00DB4458" w:rsidRDefault="004B0768" w:rsidP="006226C8">
            <w:pPr>
              <w:pStyle w:val="naiskr"/>
              <w:spacing w:before="0" w:after="0"/>
              <w:rPr>
                <w:sz w:val="26"/>
                <w:szCs w:val="26"/>
              </w:rPr>
            </w:pPr>
            <w:r w:rsidRPr="00DB4458">
              <w:rPr>
                <w:sz w:val="26"/>
                <w:szCs w:val="26"/>
              </w:rPr>
              <w:t>Cita informācija</w:t>
            </w:r>
          </w:p>
        </w:tc>
        <w:tc>
          <w:tcPr>
            <w:tcW w:w="5885" w:type="dxa"/>
          </w:tcPr>
          <w:p w:rsidR="00A26128" w:rsidRDefault="004B0768" w:rsidP="00A26128">
            <w:pPr>
              <w:jc w:val="both"/>
              <w:rPr>
                <w:sz w:val="26"/>
                <w:szCs w:val="26"/>
              </w:rPr>
            </w:pPr>
            <w:r w:rsidRPr="00651547">
              <w:rPr>
                <w:sz w:val="26"/>
                <w:szCs w:val="26"/>
              </w:rPr>
              <w:t>Noteikumu projekts neparedz ieviest jaunas prasības – netiek paplašinātas esošo institūciju funkcijas. Likuma 5.panta pirmās daļas 2.punkts</w:t>
            </w:r>
            <w:r>
              <w:rPr>
                <w:sz w:val="26"/>
                <w:szCs w:val="26"/>
              </w:rPr>
              <w:t xml:space="preserve"> </w:t>
            </w:r>
            <w:r w:rsidRPr="00651547">
              <w:rPr>
                <w:sz w:val="26"/>
                <w:szCs w:val="26"/>
              </w:rPr>
              <w:t>nosaka, ka sporta bāzes darbība un tehniskais stāvoklis atbilst normatīvo aktu prasībām, t.i., būvju tehniskā un funkcionālā stāvokļa,  ekspluatācijas drošības,  ugunsdrošības, civilās aizsardzības,  darba drošības un sanitāri higiēnisko normu atbilstība normatīvo aktu prasībām. Pārbaudē iesaistītajām valsts un pašvaldības institūcijām minētās funkcijas nosaka spēkā esošie to darbību reglamentējošie normatīvie akti.</w:t>
            </w:r>
            <w:r w:rsidRPr="00651547">
              <w:rPr>
                <w:color w:val="FF0000"/>
                <w:sz w:val="26"/>
                <w:szCs w:val="26"/>
              </w:rPr>
              <w:t xml:space="preserve"> </w:t>
            </w:r>
            <w:r w:rsidRPr="00651547">
              <w:rPr>
                <w:sz w:val="26"/>
                <w:szCs w:val="26"/>
              </w:rPr>
              <w:t xml:space="preserve">Noteikumu projekta </w:t>
            </w:r>
            <w:r w:rsidR="00A26128">
              <w:rPr>
                <w:sz w:val="26"/>
                <w:szCs w:val="26"/>
              </w:rPr>
              <w:t>4</w:t>
            </w:r>
            <w:r w:rsidRPr="00651547">
              <w:rPr>
                <w:sz w:val="26"/>
                <w:szCs w:val="26"/>
              </w:rPr>
              <w:t xml:space="preserve">.punkts paredz, ka  Izglītības </w:t>
            </w:r>
            <w:r w:rsidR="00301D23">
              <w:rPr>
                <w:sz w:val="26"/>
                <w:szCs w:val="26"/>
              </w:rPr>
              <w:t>un zinātnes ministrija pārbaudē</w:t>
            </w:r>
            <w:r w:rsidRPr="00651547">
              <w:rPr>
                <w:sz w:val="26"/>
                <w:szCs w:val="26"/>
              </w:rPr>
              <w:t xml:space="preserve"> </w:t>
            </w:r>
            <w:r w:rsidR="00A26128">
              <w:rPr>
                <w:sz w:val="26"/>
                <w:szCs w:val="26"/>
              </w:rPr>
              <w:t>var iesaistīt</w:t>
            </w:r>
            <w:r w:rsidR="00677B55">
              <w:rPr>
                <w:sz w:val="26"/>
                <w:szCs w:val="26"/>
              </w:rPr>
              <w:t xml:space="preserve"> </w:t>
            </w:r>
            <w:r w:rsidRPr="00651547">
              <w:rPr>
                <w:sz w:val="26"/>
                <w:szCs w:val="26"/>
              </w:rPr>
              <w:t>valsts un pašvaldību institūciju</w:t>
            </w:r>
            <w:r w:rsidR="00A26128">
              <w:rPr>
                <w:sz w:val="26"/>
                <w:szCs w:val="26"/>
              </w:rPr>
              <w:t xml:space="preserve">  </w:t>
            </w:r>
            <w:r w:rsidRPr="00651547">
              <w:rPr>
                <w:sz w:val="26"/>
                <w:szCs w:val="26"/>
              </w:rPr>
              <w:t xml:space="preserve"> norīkotus atbildīgo uzraudzības institūciju pārstāvjus, ja atbildīgā uzraudzības institūcija pēdējā gada laikā nav veikusi </w:t>
            </w:r>
            <w:r w:rsidR="00A26128">
              <w:rPr>
                <w:sz w:val="26"/>
                <w:szCs w:val="26"/>
              </w:rPr>
              <w:t>pārbaudi pēc savas iniciatīvas.</w:t>
            </w:r>
            <w:r w:rsidR="00301D23">
              <w:rPr>
                <w:sz w:val="26"/>
                <w:szCs w:val="26"/>
              </w:rPr>
              <w:t xml:space="preserve"> Tāpat paredz iespēju pārbaudē iesaistīt biedrības „Latvijas Sporta federāciju padome” norīkotus federāciju pārstāvjus.</w:t>
            </w:r>
          </w:p>
          <w:p w:rsidR="004B0768" w:rsidRPr="00DB4458" w:rsidRDefault="004B0768" w:rsidP="00A26128">
            <w:pPr>
              <w:jc w:val="both"/>
              <w:rPr>
                <w:sz w:val="26"/>
                <w:szCs w:val="26"/>
              </w:rPr>
            </w:pPr>
            <w:r w:rsidRPr="00651547">
              <w:rPr>
                <w:rFonts w:eastAsiaTheme="minorHAnsi"/>
                <w:color w:val="000000"/>
                <w:sz w:val="26"/>
                <w:szCs w:val="26"/>
              </w:rPr>
              <w:t xml:space="preserve">Līdz ar </w:t>
            </w:r>
            <w:r w:rsidR="00677B55">
              <w:rPr>
                <w:rFonts w:eastAsiaTheme="minorHAnsi"/>
                <w:color w:val="000000"/>
                <w:sz w:val="26"/>
                <w:szCs w:val="26"/>
              </w:rPr>
              <w:t>nacionālās sporta bāzes statusa</w:t>
            </w:r>
            <w:r w:rsidRPr="00651547">
              <w:rPr>
                <w:rFonts w:eastAsiaTheme="minorHAnsi"/>
                <w:color w:val="000000"/>
                <w:sz w:val="26"/>
                <w:szCs w:val="26"/>
              </w:rPr>
              <w:t xml:space="preserve"> spēkā stāšanos nacionālās sporta </w:t>
            </w:r>
            <w:r w:rsidR="00677B55">
              <w:rPr>
                <w:rFonts w:eastAsiaTheme="minorHAnsi"/>
                <w:color w:val="000000"/>
                <w:sz w:val="26"/>
                <w:szCs w:val="26"/>
              </w:rPr>
              <w:t>bāzes un zeme to uzturēšanai tiek</w:t>
            </w:r>
            <w:r w:rsidRPr="00651547">
              <w:rPr>
                <w:rFonts w:eastAsiaTheme="minorHAnsi"/>
                <w:color w:val="000000"/>
                <w:sz w:val="26"/>
                <w:szCs w:val="26"/>
              </w:rPr>
              <w:t xml:space="preserve"> atbrīvotas no nekustamā īpašuma nodokļa (skat.</w:t>
            </w:r>
            <w:r w:rsidRPr="00651547">
              <w:rPr>
                <w:sz w:val="26"/>
                <w:szCs w:val="26"/>
              </w:rPr>
              <w:t xml:space="preserve"> </w:t>
            </w:r>
            <w:r w:rsidRPr="00651547">
              <w:rPr>
                <w:rFonts w:eastAsiaTheme="minorHAnsi"/>
                <w:color w:val="000000"/>
                <w:sz w:val="26"/>
                <w:szCs w:val="26"/>
              </w:rPr>
              <w:t xml:space="preserve">likuma „Par nekustamā īpašuma nodokli” </w:t>
            </w:r>
            <w:r w:rsidRPr="006A729C">
              <w:rPr>
                <w:sz w:val="26"/>
                <w:szCs w:val="26"/>
              </w:rPr>
              <w:t>1.panta otrās daļas 8.punktu, kā arī 7.panta ceturto, piekto un sesto daļu</w:t>
            </w:r>
            <w:r w:rsidRPr="00651547">
              <w:rPr>
                <w:rFonts w:eastAsiaTheme="minorHAnsi"/>
                <w:color w:val="000000"/>
                <w:sz w:val="26"/>
                <w:szCs w:val="26"/>
              </w:rPr>
              <w:t xml:space="preserve">). </w:t>
            </w:r>
            <w:r w:rsidRPr="00651547">
              <w:rPr>
                <w:sz w:val="26"/>
                <w:szCs w:val="26"/>
              </w:rPr>
              <w:t>Tādēļ pašvaldības līdzdalība šajā gadījumā ir obligāta. Papildus minētajam un, ņemot vērā Sporta likuma 7.pantā noteikto pašvaldību kompetenci sporta jomā, kā arī likuma „Par pašvaldībām” 15.panta 6.punktā noteikto autonomo  funkciju</w:t>
            </w:r>
            <w:r w:rsidR="00677B55">
              <w:rPr>
                <w:sz w:val="26"/>
                <w:szCs w:val="26"/>
              </w:rPr>
              <w:t xml:space="preserve"> – v</w:t>
            </w:r>
            <w:r w:rsidRPr="00651547">
              <w:rPr>
                <w:sz w:val="26"/>
                <w:szCs w:val="26"/>
              </w:rPr>
              <w:t>eicināt iedzīvotāju veselīgu dzīvesveidu un sportu</w:t>
            </w:r>
            <w:r>
              <w:rPr>
                <w:sz w:val="26"/>
                <w:szCs w:val="26"/>
              </w:rPr>
              <w:t>,</w:t>
            </w:r>
            <w:r w:rsidRPr="00651547">
              <w:rPr>
                <w:sz w:val="26"/>
                <w:szCs w:val="26"/>
              </w:rPr>
              <w:t xml:space="preserve"> pašvaldības atbildīgā</w:t>
            </w:r>
            <w:r>
              <w:rPr>
                <w:sz w:val="26"/>
                <w:szCs w:val="26"/>
              </w:rPr>
              <w:t>s</w:t>
            </w:r>
            <w:r w:rsidRPr="00651547">
              <w:rPr>
                <w:sz w:val="26"/>
                <w:szCs w:val="26"/>
              </w:rPr>
              <w:t xml:space="preserve"> uzraudzības institūcijas līdzdalība ir lietderīga un nepieciešama.</w:t>
            </w:r>
          </w:p>
        </w:tc>
      </w:tr>
    </w:tbl>
    <w:p w:rsidR="004B0768" w:rsidRDefault="004B0768" w:rsidP="004B0768">
      <w:pPr>
        <w:pStyle w:val="naisf"/>
        <w:spacing w:before="0" w:after="0"/>
        <w:ind w:firstLine="0"/>
        <w:rPr>
          <w:sz w:val="26"/>
          <w:szCs w:val="26"/>
        </w:rPr>
      </w:pPr>
    </w:p>
    <w:p w:rsidR="00F91D09" w:rsidRDefault="00F91D09" w:rsidP="004B0768">
      <w:pPr>
        <w:pStyle w:val="naisf"/>
        <w:spacing w:before="0" w:after="0"/>
        <w:ind w:firstLine="0"/>
        <w:rPr>
          <w:sz w:val="26"/>
          <w:szCs w:val="26"/>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3378"/>
        <w:gridCol w:w="5127"/>
      </w:tblGrid>
      <w:tr w:rsidR="00F91D09" w:rsidRPr="00F91D09" w:rsidTr="00F91D09">
        <w:tc>
          <w:tcPr>
            <w:tcW w:w="9077" w:type="dxa"/>
            <w:gridSpan w:val="3"/>
            <w:vAlign w:val="center"/>
          </w:tcPr>
          <w:p w:rsidR="00F91D09" w:rsidRPr="00F91D09" w:rsidRDefault="00F91D09" w:rsidP="00454A36">
            <w:pPr>
              <w:pStyle w:val="naisnod"/>
              <w:spacing w:before="0" w:after="0"/>
              <w:rPr>
                <w:sz w:val="26"/>
                <w:szCs w:val="26"/>
              </w:rPr>
            </w:pPr>
            <w:r w:rsidRPr="00F91D09">
              <w:rPr>
                <w:sz w:val="26"/>
                <w:szCs w:val="26"/>
              </w:rPr>
              <w:t>II. Tiesību akta projekta ietekme uz sabiedrību</w:t>
            </w:r>
          </w:p>
        </w:tc>
      </w:tr>
      <w:tr w:rsidR="00F91D09" w:rsidRPr="00F91D09" w:rsidTr="00F91D09">
        <w:trPr>
          <w:trHeight w:val="467"/>
        </w:trPr>
        <w:tc>
          <w:tcPr>
            <w:tcW w:w="572" w:type="dxa"/>
          </w:tcPr>
          <w:p w:rsidR="00F91D09" w:rsidRPr="00F91D09" w:rsidRDefault="008E7733" w:rsidP="00454A36">
            <w:pPr>
              <w:pStyle w:val="naiskr"/>
              <w:spacing w:before="0" w:after="0"/>
              <w:jc w:val="center"/>
              <w:rPr>
                <w:b/>
                <w:sz w:val="26"/>
                <w:szCs w:val="26"/>
              </w:rPr>
            </w:pPr>
            <w:r w:rsidRPr="008E7733">
              <w:rPr>
                <w:b/>
                <w:sz w:val="26"/>
                <w:szCs w:val="26"/>
              </w:rPr>
              <w:t>1.</w:t>
            </w:r>
          </w:p>
        </w:tc>
        <w:tc>
          <w:tcPr>
            <w:tcW w:w="3378" w:type="dxa"/>
          </w:tcPr>
          <w:p w:rsidR="00F91D09" w:rsidRPr="00F91D09" w:rsidRDefault="008E7733" w:rsidP="00454A36">
            <w:pPr>
              <w:pStyle w:val="naiskr"/>
              <w:spacing w:before="0" w:after="0"/>
              <w:rPr>
                <w:b/>
                <w:sz w:val="26"/>
                <w:szCs w:val="26"/>
              </w:rPr>
            </w:pPr>
            <w:r w:rsidRPr="008E7733">
              <w:rPr>
                <w:b/>
                <w:sz w:val="26"/>
                <w:szCs w:val="26"/>
              </w:rPr>
              <w:t xml:space="preserve">Sabiedrības </w:t>
            </w:r>
            <w:proofErr w:type="spellStart"/>
            <w:r w:rsidRPr="008E7733">
              <w:rPr>
                <w:b/>
                <w:sz w:val="26"/>
                <w:szCs w:val="26"/>
              </w:rPr>
              <w:t>mērķgrupa</w:t>
            </w:r>
            <w:proofErr w:type="spellEnd"/>
          </w:p>
        </w:tc>
        <w:tc>
          <w:tcPr>
            <w:tcW w:w="5127" w:type="dxa"/>
          </w:tcPr>
          <w:p w:rsidR="008E7733" w:rsidRPr="008E7733" w:rsidRDefault="008E7733" w:rsidP="008E7733">
            <w:pPr>
              <w:pStyle w:val="naiskr"/>
              <w:spacing w:before="0" w:after="0"/>
              <w:ind w:left="166" w:right="142"/>
              <w:jc w:val="both"/>
              <w:rPr>
                <w:b/>
                <w:sz w:val="26"/>
                <w:szCs w:val="26"/>
              </w:rPr>
            </w:pPr>
            <w:r w:rsidRPr="008E7733">
              <w:rPr>
                <w:b/>
                <w:sz w:val="26"/>
                <w:szCs w:val="26"/>
              </w:rPr>
              <w:t xml:space="preserve">Tiešā sabiedrības </w:t>
            </w:r>
            <w:proofErr w:type="spellStart"/>
            <w:r w:rsidRPr="008E7733">
              <w:rPr>
                <w:b/>
                <w:sz w:val="26"/>
                <w:szCs w:val="26"/>
              </w:rPr>
              <w:t>mērķgrupa</w:t>
            </w:r>
            <w:proofErr w:type="spellEnd"/>
            <w:r w:rsidRPr="008E7733">
              <w:rPr>
                <w:b/>
                <w:sz w:val="26"/>
                <w:szCs w:val="26"/>
              </w:rPr>
              <w:t xml:space="preserve"> ir  sporta bāzu īpašnieki vai valsts sporta bāzes valdītāji, kuriem jānodrošina ar sākotnējo pārbaudi un darbības pārbaudi saistīti apstākļi un informācijas sniegšana.</w:t>
            </w:r>
          </w:p>
          <w:p w:rsidR="008E7733" w:rsidRPr="008E7733" w:rsidRDefault="008E7733" w:rsidP="008E7733">
            <w:pPr>
              <w:pStyle w:val="naiskr"/>
              <w:spacing w:before="0" w:after="0"/>
              <w:ind w:left="166" w:right="142"/>
              <w:jc w:val="both"/>
              <w:rPr>
                <w:b/>
                <w:sz w:val="26"/>
                <w:szCs w:val="26"/>
              </w:rPr>
            </w:pPr>
          </w:p>
          <w:p w:rsidR="008E7733" w:rsidRPr="008E7733" w:rsidRDefault="008E7733" w:rsidP="008E7733">
            <w:pPr>
              <w:pStyle w:val="naiskr"/>
              <w:spacing w:before="0" w:after="0"/>
              <w:ind w:left="166" w:right="142"/>
              <w:jc w:val="both"/>
              <w:rPr>
                <w:b/>
                <w:sz w:val="26"/>
                <w:szCs w:val="26"/>
              </w:rPr>
            </w:pPr>
            <w:r w:rsidRPr="008E7733">
              <w:rPr>
                <w:b/>
                <w:sz w:val="26"/>
                <w:szCs w:val="26"/>
              </w:rPr>
              <w:t xml:space="preserve">Saskaņā ar Sporta bāzu reģistrā ievietoto informāciju 1190 sporta bāzes (tai skaitā </w:t>
            </w:r>
            <w:r w:rsidRPr="008E7733">
              <w:rPr>
                <w:b/>
                <w:sz w:val="26"/>
                <w:szCs w:val="26"/>
              </w:rPr>
              <w:lastRenderedPageBreak/>
              <w:t xml:space="preserve">31 nacionālā sporta bāze). </w:t>
            </w:r>
          </w:p>
          <w:p w:rsidR="00F91D09" w:rsidRPr="00F91D09" w:rsidRDefault="00F91D09" w:rsidP="00454A36">
            <w:pPr>
              <w:pStyle w:val="naiskr"/>
              <w:spacing w:before="0" w:after="0"/>
              <w:ind w:left="166" w:right="142"/>
              <w:jc w:val="both"/>
              <w:rPr>
                <w:b/>
                <w:sz w:val="26"/>
                <w:szCs w:val="26"/>
              </w:rPr>
            </w:pPr>
          </w:p>
        </w:tc>
      </w:tr>
      <w:tr w:rsidR="00F91D09" w:rsidRPr="00F91D09" w:rsidTr="00F91D09">
        <w:trPr>
          <w:trHeight w:val="523"/>
        </w:trPr>
        <w:tc>
          <w:tcPr>
            <w:tcW w:w="572" w:type="dxa"/>
          </w:tcPr>
          <w:p w:rsidR="00F91D09" w:rsidRPr="00F91D09" w:rsidRDefault="008E7733" w:rsidP="00454A36">
            <w:pPr>
              <w:pStyle w:val="naiskr"/>
              <w:spacing w:before="0" w:after="0"/>
              <w:jc w:val="center"/>
              <w:rPr>
                <w:b/>
                <w:sz w:val="26"/>
                <w:szCs w:val="26"/>
              </w:rPr>
            </w:pPr>
            <w:r w:rsidRPr="008E7733">
              <w:rPr>
                <w:b/>
                <w:sz w:val="26"/>
                <w:szCs w:val="26"/>
              </w:rPr>
              <w:lastRenderedPageBreak/>
              <w:t>2.</w:t>
            </w:r>
          </w:p>
        </w:tc>
        <w:tc>
          <w:tcPr>
            <w:tcW w:w="3378" w:type="dxa"/>
          </w:tcPr>
          <w:p w:rsidR="00F91D09" w:rsidRPr="00F91D09" w:rsidRDefault="008E7733" w:rsidP="00454A36">
            <w:pPr>
              <w:pStyle w:val="naiskr"/>
              <w:spacing w:before="0" w:after="0"/>
              <w:rPr>
                <w:b/>
                <w:sz w:val="26"/>
                <w:szCs w:val="26"/>
              </w:rPr>
            </w:pPr>
            <w:r w:rsidRPr="008E7733">
              <w:rPr>
                <w:b/>
                <w:sz w:val="26"/>
                <w:szCs w:val="26"/>
              </w:rPr>
              <w:t xml:space="preserve">Citas sabiedrības grupas (bez </w:t>
            </w:r>
            <w:proofErr w:type="spellStart"/>
            <w:r w:rsidRPr="008E7733">
              <w:rPr>
                <w:b/>
                <w:sz w:val="26"/>
                <w:szCs w:val="26"/>
              </w:rPr>
              <w:t>mērķgrupas</w:t>
            </w:r>
            <w:proofErr w:type="spellEnd"/>
            <w:r w:rsidRPr="008E7733">
              <w:rPr>
                <w:b/>
                <w:sz w:val="26"/>
                <w:szCs w:val="26"/>
              </w:rPr>
              <w:t>), kuras tiesiskais regulējums arī ietekmē vai varētu ietekmēt</w:t>
            </w:r>
          </w:p>
        </w:tc>
        <w:tc>
          <w:tcPr>
            <w:tcW w:w="5127" w:type="dxa"/>
          </w:tcPr>
          <w:p w:rsidR="00F91D09" w:rsidRPr="00F91D09" w:rsidRDefault="008E7733" w:rsidP="00F91D09">
            <w:pPr>
              <w:pStyle w:val="naiskr"/>
              <w:spacing w:before="0" w:after="0"/>
              <w:ind w:left="166" w:right="142"/>
              <w:jc w:val="both"/>
              <w:rPr>
                <w:b/>
                <w:sz w:val="26"/>
                <w:szCs w:val="26"/>
              </w:rPr>
            </w:pPr>
            <w:r w:rsidRPr="008E7733">
              <w:rPr>
                <w:b/>
                <w:sz w:val="26"/>
                <w:szCs w:val="26"/>
              </w:rPr>
              <w:t>Valsts, pašvaldību iestāžu un nevalstisko organizāciju norīkoti pārstāvji, kuru kompetencē ietilpst sākotnējās vai darbības pārbaudes ietvaros veicamais (atbilstoši Likuma  5.pantā minētajiem nacionālās sporta bāzes statusa piešķiršanas nosacījumiem).</w:t>
            </w:r>
          </w:p>
          <w:p w:rsidR="00F91D09" w:rsidRPr="00F91D09" w:rsidRDefault="008E7733" w:rsidP="00F91D09">
            <w:pPr>
              <w:pStyle w:val="naiskr"/>
              <w:spacing w:before="0" w:after="0"/>
              <w:ind w:left="166" w:right="142"/>
              <w:jc w:val="both"/>
              <w:rPr>
                <w:b/>
                <w:sz w:val="26"/>
                <w:szCs w:val="26"/>
              </w:rPr>
            </w:pPr>
            <w:r w:rsidRPr="008E7733">
              <w:rPr>
                <w:b/>
                <w:sz w:val="26"/>
                <w:szCs w:val="26"/>
              </w:rPr>
              <w:br/>
              <w:t>Sporta sabiedrība kopumā.</w:t>
            </w:r>
          </w:p>
        </w:tc>
      </w:tr>
      <w:tr w:rsidR="00F91D09" w:rsidRPr="00F91D09" w:rsidTr="00F91D09">
        <w:trPr>
          <w:trHeight w:val="517"/>
        </w:trPr>
        <w:tc>
          <w:tcPr>
            <w:tcW w:w="572" w:type="dxa"/>
          </w:tcPr>
          <w:p w:rsidR="00F91D09" w:rsidRPr="00F91D09" w:rsidRDefault="008E7733" w:rsidP="00454A36">
            <w:pPr>
              <w:pStyle w:val="naiskr"/>
              <w:spacing w:before="0" w:after="0"/>
              <w:jc w:val="center"/>
              <w:rPr>
                <w:b/>
                <w:sz w:val="26"/>
                <w:szCs w:val="26"/>
              </w:rPr>
            </w:pPr>
            <w:r w:rsidRPr="008E7733">
              <w:rPr>
                <w:b/>
                <w:sz w:val="26"/>
                <w:szCs w:val="26"/>
              </w:rPr>
              <w:t>3.</w:t>
            </w:r>
          </w:p>
        </w:tc>
        <w:tc>
          <w:tcPr>
            <w:tcW w:w="3378" w:type="dxa"/>
          </w:tcPr>
          <w:p w:rsidR="00F91D09" w:rsidRPr="00F91D09" w:rsidRDefault="008E7733" w:rsidP="00454A36">
            <w:pPr>
              <w:pStyle w:val="naiskr"/>
              <w:spacing w:before="0" w:after="0"/>
              <w:rPr>
                <w:b/>
                <w:sz w:val="26"/>
                <w:szCs w:val="26"/>
              </w:rPr>
            </w:pPr>
            <w:r w:rsidRPr="008E7733">
              <w:rPr>
                <w:b/>
                <w:sz w:val="26"/>
                <w:szCs w:val="26"/>
              </w:rPr>
              <w:t>Tiesiskā regulējuma finansiālā ietekme</w:t>
            </w:r>
          </w:p>
        </w:tc>
        <w:tc>
          <w:tcPr>
            <w:tcW w:w="5127" w:type="dxa"/>
            <w:shd w:val="clear" w:color="auto" w:fill="FFFFFF"/>
          </w:tcPr>
          <w:p w:rsidR="00F91D09" w:rsidRPr="00F91D09" w:rsidRDefault="008E7733" w:rsidP="00454A36">
            <w:pPr>
              <w:pStyle w:val="naiskr"/>
              <w:spacing w:before="0" w:after="0"/>
              <w:ind w:left="166" w:right="142"/>
              <w:jc w:val="both"/>
              <w:rPr>
                <w:b/>
                <w:sz w:val="26"/>
                <w:szCs w:val="26"/>
              </w:rPr>
            </w:pPr>
            <w:r w:rsidRPr="008E7733">
              <w:rPr>
                <w:b/>
                <w:sz w:val="26"/>
                <w:szCs w:val="26"/>
              </w:rPr>
              <w:t>Projekts šo jomu neskar.</w:t>
            </w:r>
          </w:p>
        </w:tc>
      </w:tr>
      <w:tr w:rsidR="00F91D09" w:rsidRPr="00F91D09" w:rsidTr="00F91D09">
        <w:trPr>
          <w:trHeight w:val="517"/>
        </w:trPr>
        <w:tc>
          <w:tcPr>
            <w:tcW w:w="572" w:type="dxa"/>
          </w:tcPr>
          <w:p w:rsidR="00F91D09" w:rsidRPr="00F91D09" w:rsidRDefault="008E7733" w:rsidP="00454A36">
            <w:pPr>
              <w:pStyle w:val="naiskr"/>
              <w:spacing w:before="0" w:after="0"/>
              <w:jc w:val="center"/>
              <w:rPr>
                <w:b/>
                <w:sz w:val="26"/>
                <w:szCs w:val="26"/>
              </w:rPr>
            </w:pPr>
            <w:r w:rsidRPr="008E7733">
              <w:rPr>
                <w:b/>
                <w:sz w:val="26"/>
                <w:szCs w:val="26"/>
              </w:rPr>
              <w:t>4.</w:t>
            </w:r>
          </w:p>
        </w:tc>
        <w:tc>
          <w:tcPr>
            <w:tcW w:w="3378" w:type="dxa"/>
          </w:tcPr>
          <w:p w:rsidR="00F91D09" w:rsidRPr="00F91D09" w:rsidRDefault="008E7733" w:rsidP="00454A36">
            <w:pPr>
              <w:pStyle w:val="naiskr"/>
              <w:spacing w:before="0" w:after="0"/>
              <w:rPr>
                <w:b/>
                <w:sz w:val="26"/>
                <w:szCs w:val="26"/>
              </w:rPr>
            </w:pPr>
            <w:r w:rsidRPr="008E7733">
              <w:rPr>
                <w:b/>
                <w:sz w:val="26"/>
                <w:szCs w:val="26"/>
              </w:rPr>
              <w:t>Tiesiskā regulējuma nefinansiālā ietekme</w:t>
            </w:r>
          </w:p>
        </w:tc>
        <w:tc>
          <w:tcPr>
            <w:tcW w:w="5127" w:type="dxa"/>
          </w:tcPr>
          <w:p w:rsidR="00F91D09" w:rsidRPr="00F91D09" w:rsidRDefault="008E7733" w:rsidP="00F91D09">
            <w:pPr>
              <w:pStyle w:val="naiskr"/>
              <w:spacing w:before="0" w:after="0"/>
              <w:ind w:left="166" w:right="142"/>
              <w:jc w:val="both"/>
              <w:rPr>
                <w:b/>
                <w:sz w:val="26"/>
                <w:szCs w:val="26"/>
              </w:rPr>
            </w:pPr>
            <w:r w:rsidRPr="008E7733">
              <w:rPr>
                <w:b/>
                <w:sz w:val="26"/>
                <w:szCs w:val="26"/>
              </w:rPr>
              <w:t>Pozitīva ietekme uz sporta nozares tiesiskā regulējuma pilnveidošanu, jo tiek noteikta  sporta bāzu, kuras saskaņā ar Likumu pretendēs uz nacionālās sporta bāzes statusa piešķiršanu, un nacionālo sporta bāzu pārbaudes kārtība.</w:t>
            </w:r>
          </w:p>
        </w:tc>
      </w:tr>
      <w:tr w:rsidR="00F91D09" w:rsidRPr="00F91D09" w:rsidTr="00F91D09">
        <w:trPr>
          <w:trHeight w:val="531"/>
        </w:trPr>
        <w:tc>
          <w:tcPr>
            <w:tcW w:w="572" w:type="dxa"/>
          </w:tcPr>
          <w:p w:rsidR="00F91D09" w:rsidRPr="00F91D09" w:rsidRDefault="008E7733" w:rsidP="00454A36">
            <w:pPr>
              <w:pStyle w:val="naiskr"/>
              <w:spacing w:before="0" w:after="0"/>
              <w:jc w:val="center"/>
              <w:rPr>
                <w:b/>
                <w:sz w:val="26"/>
                <w:szCs w:val="26"/>
              </w:rPr>
            </w:pPr>
            <w:r w:rsidRPr="008E7733">
              <w:rPr>
                <w:b/>
                <w:sz w:val="26"/>
                <w:szCs w:val="26"/>
              </w:rPr>
              <w:t>5.</w:t>
            </w:r>
          </w:p>
        </w:tc>
        <w:tc>
          <w:tcPr>
            <w:tcW w:w="3378" w:type="dxa"/>
          </w:tcPr>
          <w:p w:rsidR="00F91D09" w:rsidRPr="00F91D09" w:rsidRDefault="008E7733" w:rsidP="00454A36">
            <w:pPr>
              <w:pStyle w:val="naiskr"/>
              <w:spacing w:before="0" w:after="0"/>
              <w:rPr>
                <w:b/>
                <w:sz w:val="26"/>
                <w:szCs w:val="26"/>
              </w:rPr>
            </w:pPr>
            <w:r w:rsidRPr="008E7733">
              <w:rPr>
                <w:b/>
                <w:sz w:val="26"/>
                <w:szCs w:val="26"/>
              </w:rPr>
              <w:t>Administratīvās procedūras raksturojums</w:t>
            </w:r>
          </w:p>
        </w:tc>
        <w:tc>
          <w:tcPr>
            <w:tcW w:w="5127" w:type="dxa"/>
          </w:tcPr>
          <w:p w:rsidR="00F91D09" w:rsidRPr="00F91D09" w:rsidRDefault="00630D4B" w:rsidP="003545D7">
            <w:pPr>
              <w:pStyle w:val="naiskr"/>
              <w:tabs>
                <w:tab w:val="left" w:pos="992"/>
              </w:tabs>
              <w:spacing w:before="0" w:after="0"/>
              <w:ind w:left="166" w:right="142"/>
              <w:jc w:val="both"/>
              <w:rPr>
                <w:b/>
                <w:sz w:val="26"/>
                <w:szCs w:val="26"/>
              </w:rPr>
            </w:pPr>
            <w:r>
              <w:rPr>
                <w:b/>
                <w:sz w:val="26"/>
                <w:szCs w:val="26"/>
              </w:rPr>
              <w:t xml:space="preserve">Projekts </w:t>
            </w:r>
            <w:r w:rsidRPr="00630D4B">
              <w:rPr>
                <w:b/>
                <w:sz w:val="26"/>
                <w:szCs w:val="26"/>
              </w:rPr>
              <w:t>paredz jaunas procedūras ieviešanu, proti, sporta bāzes sākotnējo pārbaudi.</w:t>
            </w:r>
            <w:r>
              <w:rPr>
                <w:b/>
                <w:sz w:val="26"/>
                <w:szCs w:val="26"/>
              </w:rPr>
              <w:t xml:space="preserve"> Tomēr šādas pārbaudes saturs pēc būtības ir identisks nacionālo sporta bāzu darbības pārbaudes saturam, kurš noteikts </w:t>
            </w:r>
            <w:r w:rsidRPr="00630D4B">
              <w:rPr>
                <w:b/>
                <w:sz w:val="26"/>
                <w:szCs w:val="26"/>
              </w:rPr>
              <w:t>Ministru kabineta 2010.gada 10.augusta noteikumi Nr.747 „ Noteikumi par nacionālo sporta bāzu darbības pārbaudes kārtību un tajā iesaistāmajām institūcijām”</w:t>
            </w:r>
            <w:r>
              <w:rPr>
                <w:b/>
                <w:sz w:val="26"/>
                <w:szCs w:val="26"/>
              </w:rPr>
              <w:t xml:space="preserve">. </w:t>
            </w:r>
            <w:r w:rsidR="003545D7">
              <w:rPr>
                <w:b/>
                <w:sz w:val="26"/>
                <w:szCs w:val="26"/>
              </w:rPr>
              <w:t>S</w:t>
            </w:r>
            <w:r>
              <w:rPr>
                <w:b/>
                <w:sz w:val="26"/>
                <w:szCs w:val="26"/>
              </w:rPr>
              <w:t xml:space="preserve">porta bāzu sākotnējās pārbaudes procedūra ļaus pilnvērtīgi izvērtēt sporta bāzes (nacionālās sporta bāzes pretendentes) atbilstību </w:t>
            </w:r>
            <w:r>
              <w:t xml:space="preserve"> </w:t>
            </w:r>
            <w:r w:rsidRPr="00630D4B">
              <w:rPr>
                <w:b/>
                <w:sz w:val="26"/>
                <w:szCs w:val="26"/>
              </w:rPr>
              <w:t>Likuma 5.pant</w:t>
            </w:r>
            <w:r>
              <w:rPr>
                <w:b/>
                <w:sz w:val="26"/>
                <w:szCs w:val="26"/>
              </w:rPr>
              <w:t>ā noteiktajiem nacionālās sporta bāzes statusa piešķiršanas nosacījumiem, kas ir arī sporta bāzes īpašnieka (vai valsts sporta bāzes valdītājam), kurš pretendē uz nacionālās sporta bāzes statusu, interesēs</w:t>
            </w:r>
            <w:r w:rsidR="003545D7">
              <w:rPr>
                <w:b/>
                <w:sz w:val="26"/>
                <w:szCs w:val="26"/>
              </w:rPr>
              <w:t>.</w:t>
            </w:r>
          </w:p>
        </w:tc>
      </w:tr>
      <w:tr w:rsidR="00F91D09" w:rsidRPr="00F91D09" w:rsidTr="00F91D09">
        <w:trPr>
          <w:trHeight w:val="357"/>
        </w:trPr>
        <w:tc>
          <w:tcPr>
            <w:tcW w:w="572" w:type="dxa"/>
          </w:tcPr>
          <w:p w:rsidR="00F91D09" w:rsidRPr="00F91D09" w:rsidRDefault="008E7733" w:rsidP="00454A36">
            <w:pPr>
              <w:pStyle w:val="naiskr"/>
              <w:spacing w:before="0" w:after="0"/>
              <w:jc w:val="center"/>
              <w:rPr>
                <w:b/>
                <w:sz w:val="26"/>
                <w:szCs w:val="26"/>
              </w:rPr>
            </w:pPr>
            <w:r w:rsidRPr="008E7733">
              <w:rPr>
                <w:b/>
                <w:sz w:val="26"/>
                <w:szCs w:val="26"/>
              </w:rPr>
              <w:t>6.</w:t>
            </w:r>
          </w:p>
        </w:tc>
        <w:tc>
          <w:tcPr>
            <w:tcW w:w="3378" w:type="dxa"/>
          </w:tcPr>
          <w:p w:rsidR="00F91D09" w:rsidRPr="00F91D09" w:rsidRDefault="008E7733" w:rsidP="00454A36">
            <w:pPr>
              <w:pStyle w:val="naiskr"/>
              <w:spacing w:before="0" w:after="0"/>
              <w:rPr>
                <w:b/>
                <w:sz w:val="26"/>
                <w:szCs w:val="26"/>
              </w:rPr>
            </w:pPr>
            <w:r w:rsidRPr="008E7733">
              <w:rPr>
                <w:b/>
                <w:sz w:val="26"/>
                <w:szCs w:val="26"/>
              </w:rPr>
              <w:t>Administratīvo izmaksu monetārs novērtējums</w:t>
            </w:r>
          </w:p>
        </w:tc>
        <w:tc>
          <w:tcPr>
            <w:tcW w:w="5127" w:type="dxa"/>
          </w:tcPr>
          <w:p w:rsidR="00F91D09" w:rsidRPr="00F91D09" w:rsidRDefault="008E7733" w:rsidP="00454A36">
            <w:pPr>
              <w:pStyle w:val="naiskr"/>
              <w:spacing w:before="0" w:after="0"/>
              <w:ind w:left="166" w:right="142"/>
              <w:jc w:val="both"/>
              <w:rPr>
                <w:b/>
                <w:sz w:val="26"/>
                <w:szCs w:val="26"/>
              </w:rPr>
            </w:pPr>
            <w:r w:rsidRPr="008E7733">
              <w:rPr>
                <w:b/>
                <w:sz w:val="26"/>
                <w:szCs w:val="26"/>
              </w:rPr>
              <w:t>Projekts šo jomu neskar.</w:t>
            </w:r>
          </w:p>
        </w:tc>
      </w:tr>
      <w:tr w:rsidR="00F91D09" w:rsidRPr="00F91D09" w:rsidTr="00F91D09">
        <w:tc>
          <w:tcPr>
            <w:tcW w:w="572" w:type="dxa"/>
          </w:tcPr>
          <w:p w:rsidR="00F91D09" w:rsidRPr="00F91D09" w:rsidRDefault="008E7733" w:rsidP="00454A36">
            <w:pPr>
              <w:pStyle w:val="naiskr"/>
              <w:spacing w:before="0" w:after="0"/>
              <w:jc w:val="center"/>
              <w:rPr>
                <w:b/>
                <w:sz w:val="26"/>
                <w:szCs w:val="26"/>
              </w:rPr>
            </w:pPr>
            <w:r w:rsidRPr="008E7733">
              <w:rPr>
                <w:b/>
                <w:sz w:val="26"/>
                <w:szCs w:val="26"/>
              </w:rPr>
              <w:t>7.</w:t>
            </w:r>
          </w:p>
        </w:tc>
        <w:tc>
          <w:tcPr>
            <w:tcW w:w="3378" w:type="dxa"/>
          </w:tcPr>
          <w:p w:rsidR="00F91D09" w:rsidRPr="00F91D09" w:rsidRDefault="008E7733" w:rsidP="00454A36">
            <w:pPr>
              <w:pStyle w:val="naiskr"/>
              <w:spacing w:before="0" w:after="0"/>
              <w:rPr>
                <w:b/>
                <w:sz w:val="26"/>
                <w:szCs w:val="26"/>
              </w:rPr>
            </w:pPr>
            <w:r w:rsidRPr="008E7733">
              <w:rPr>
                <w:b/>
                <w:sz w:val="26"/>
                <w:szCs w:val="26"/>
              </w:rPr>
              <w:t>Cita informācija</w:t>
            </w:r>
          </w:p>
        </w:tc>
        <w:tc>
          <w:tcPr>
            <w:tcW w:w="5127" w:type="dxa"/>
          </w:tcPr>
          <w:p w:rsidR="00F91D09" w:rsidRPr="00F91D09" w:rsidRDefault="008E7733" w:rsidP="00454A36">
            <w:pPr>
              <w:pStyle w:val="naiskr"/>
              <w:spacing w:before="0" w:after="0"/>
              <w:ind w:left="166" w:right="142"/>
              <w:rPr>
                <w:b/>
                <w:sz w:val="26"/>
                <w:szCs w:val="26"/>
              </w:rPr>
            </w:pPr>
            <w:r w:rsidRPr="008E7733">
              <w:rPr>
                <w:b/>
                <w:sz w:val="26"/>
                <w:szCs w:val="26"/>
              </w:rPr>
              <w:t>Nav.</w:t>
            </w:r>
          </w:p>
        </w:tc>
      </w:tr>
    </w:tbl>
    <w:p w:rsidR="00F91D09" w:rsidRDefault="00F91D09" w:rsidP="004B0768">
      <w:pPr>
        <w:pStyle w:val="naisf"/>
        <w:spacing w:before="0" w:after="0"/>
        <w:ind w:firstLine="0"/>
        <w:rPr>
          <w:sz w:val="26"/>
          <w:szCs w:val="26"/>
        </w:rPr>
      </w:pPr>
    </w:p>
    <w:p w:rsidR="00440F5F" w:rsidRPr="00DB4458" w:rsidRDefault="005A337D" w:rsidP="004B0768">
      <w:pPr>
        <w:pStyle w:val="naisf"/>
        <w:spacing w:before="0" w:after="0"/>
        <w:ind w:firstLine="0"/>
        <w:rPr>
          <w:sz w:val="26"/>
          <w:szCs w:val="26"/>
        </w:rPr>
      </w:pPr>
      <w:r>
        <w:rPr>
          <w:sz w:val="26"/>
          <w:szCs w:val="26"/>
        </w:rPr>
        <w:t>Anotācijas</w:t>
      </w:r>
      <w:r w:rsidR="00744CCE">
        <w:rPr>
          <w:sz w:val="26"/>
          <w:szCs w:val="26"/>
        </w:rPr>
        <w:t xml:space="preserve"> III</w:t>
      </w:r>
      <w:r w:rsidR="00440F5F" w:rsidRPr="00440F5F">
        <w:rPr>
          <w:sz w:val="26"/>
          <w:szCs w:val="26"/>
        </w:rPr>
        <w:t xml:space="preserve"> sadaļa – Projekts šīs jomas neskar.</w:t>
      </w:r>
    </w:p>
    <w:p w:rsidR="004B0768" w:rsidRDefault="004B0768" w:rsidP="004B0768">
      <w:pPr>
        <w:pStyle w:val="naisf"/>
        <w:spacing w:before="0" w:after="0"/>
        <w:ind w:firstLine="0"/>
        <w:rPr>
          <w:sz w:val="26"/>
          <w:szCs w:val="26"/>
        </w:rPr>
      </w:pPr>
    </w:p>
    <w:p w:rsidR="00744CCE" w:rsidRDefault="00744CCE" w:rsidP="004B0768">
      <w:pPr>
        <w:pStyle w:val="naisf"/>
        <w:spacing w:before="0" w:after="0"/>
        <w:ind w:firstLine="0"/>
        <w:rPr>
          <w:sz w:val="26"/>
          <w:szCs w:val="26"/>
        </w:rPr>
      </w:pPr>
    </w:p>
    <w:tbl>
      <w:tblPr>
        <w:tblW w:w="935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4172"/>
        <w:gridCol w:w="4616"/>
      </w:tblGrid>
      <w:tr w:rsidR="00744CCE" w:rsidRPr="00DB4458" w:rsidTr="00DD3324">
        <w:tc>
          <w:tcPr>
            <w:tcW w:w="9356" w:type="dxa"/>
            <w:gridSpan w:val="3"/>
            <w:tcBorders>
              <w:top w:val="single" w:sz="4" w:space="0" w:color="auto"/>
            </w:tcBorders>
          </w:tcPr>
          <w:p w:rsidR="00744CCE" w:rsidRPr="00DB4458" w:rsidRDefault="00744CCE" w:rsidP="00DD3324">
            <w:pPr>
              <w:pStyle w:val="naisnod"/>
              <w:spacing w:before="0" w:after="0"/>
              <w:ind w:left="57" w:right="57"/>
              <w:rPr>
                <w:sz w:val="26"/>
                <w:szCs w:val="26"/>
              </w:rPr>
            </w:pPr>
            <w:r>
              <w:rPr>
                <w:sz w:val="26"/>
                <w:szCs w:val="26"/>
              </w:rPr>
              <w:t>IV</w:t>
            </w:r>
            <w:r w:rsidRPr="00DB4458">
              <w:rPr>
                <w:sz w:val="26"/>
                <w:szCs w:val="26"/>
              </w:rPr>
              <w:t xml:space="preserve">. </w:t>
            </w:r>
            <w:r w:rsidRPr="00744CCE">
              <w:rPr>
                <w:sz w:val="26"/>
                <w:szCs w:val="26"/>
              </w:rPr>
              <w:t>Tiesību akta projekta ietekme uz spēkā esošo tiesību normu sistēmu</w:t>
            </w:r>
          </w:p>
        </w:tc>
      </w:tr>
      <w:tr w:rsidR="00744CCE" w:rsidRPr="00DB4458" w:rsidTr="00DD3324">
        <w:trPr>
          <w:trHeight w:val="427"/>
        </w:trPr>
        <w:tc>
          <w:tcPr>
            <w:tcW w:w="568" w:type="dxa"/>
          </w:tcPr>
          <w:p w:rsidR="00744CCE" w:rsidRPr="00DB4458" w:rsidRDefault="00744CCE" w:rsidP="00DD3324">
            <w:pPr>
              <w:pStyle w:val="naisnod"/>
              <w:spacing w:before="0" w:after="0"/>
              <w:ind w:left="57" w:right="57"/>
              <w:jc w:val="left"/>
              <w:rPr>
                <w:b w:val="0"/>
                <w:sz w:val="26"/>
                <w:szCs w:val="26"/>
              </w:rPr>
            </w:pPr>
            <w:r w:rsidRPr="00DB4458">
              <w:rPr>
                <w:b w:val="0"/>
                <w:sz w:val="26"/>
                <w:szCs w:val="26"/>
              </w:rPr>
              <w:lastRenderedPageBreak/>
              <w:t>1.</w:t>
            </w:r>
          </w:p>
        </w:tc>
        <w:tc>
          <w:tcPr>
            <w:tcW w:w="4172" w:type="dxa"/>
          </w:tcPr>
          <w:p w:rsidR="00744CCE" w:rsidRPr="00DB4458" w:rsidRDefault="00744CCE" w:rsidP="00DD3324">
            <w:pPr>
              <w:pStyle w:val="naisf"/>
              <w:spacing w:before="0" w:after="0"/>
              <w:ind w:left="57" w:right="57" w:firstLine="0"/>
              <w:jc w:val="left"/>
              <w:rPr>
                <w:sz w:val="26"/>
                <w:szCs w:val="26"/>
              </w:rPr>
            </w:pPr>
            <w:r w:rsidRPr="00744CCE">
              <w:rPr>
                <w:sz w:val="26"/>
                <w:szCs w:val="26"/>
              </w:rPr>
              <w:t>Nepieciešamie saistītie tiesību aktu projekti</w:t>
            </w:r>
          </w:p>
        </w:tc>
        <w:tc>
          <w:tcPr>
            <w:tcW w:w="4616" w:type="dxa"/>
          </w:tcPr>
          <w:p w:rsidR="00744CCE" w:rsidRDefault="00744CCE" w:rsidP="00DD3324">
            <w:pPr>
              <w:pStyle w:val="naisnod"/>
              <w:spacing w:before="0" w:after="0"/>
              <w:ind w:left="57" w:right="57"/>
              <w:jc w:val="both"/>
              <w:rPr>
                <w:b w:val="0"/>
                <w:sz w:val="26"/>
                <w:szCs w:val="26"/>
              </w:rPr>
            </w:pPr>
            <w:r w:rsidRPr="00577132">
              <w:rPr>
                <w:sz w:val="26"/>
                <w:szCs w:val="26"/>
              </w:rPr>
              <w:t>Līdz ar Noteikumu projekta spēkā stāšanos spēku zaudē  Ministru kabineta 2010.gada 10.augusta noteikumi Nr.747 „ Noteikumi par nacionālo sporta bāzu darbības pārbaudes kārtību un tajā iesaistāmajām institūcijām” (Latvijas Vēstnesis, 2010, 128.nr.)</w:t>
            </w:r>
            <w:r>
              <w:rPr>
                <w:sz w:val="26"/>
                <w:szCs w:val="26"/>
              </w:rPr>
              <w:t>.</w:t>
            </w:r>
          </w:p>
        </w:tc>
      </w:tr>
      <w:tr w:rsidR="00744CCE" w:rsidRPr="00DB4458" w:rsidTr="00DD3324">
        <w:trPr>
          <w:trHeight w:val="463"/>
        </w:trPr>
        <w:tc>
          <w:tcPr>
            <w:tcW w:w="568" w:type="dxa"/>
          </w:tcPr>
          <w:p w:rsidR="00744CCE" w:rsidRPr="00DB4458" w:rsidRDefault="00744CCE" w:rsidP="00DD3324">
            <w:pPr>
              <w:pStyle w:val="naisnod"/>
              <w:spacing w:before="0" w:after="0"/>
              <w:ind w:left="57" w:right="57"/>
              <w:jc w:val="left"/>
              <w:rPr>
                <w:b w:val="0"/>
                <w:sz w:val="26"/>
                <w:szCs w:val="26"/>
              </w:rPr>
            </w:pPr>
            <w:r w:rsidRPr="00DB4458">
              <w:rPr>
                <w:b w:val="0"/>
                <w:sz w:val="26"/>
                <w:szCs w:val="26"/>
              </w:rPr>
              <w:t>2.</w:t>
            </w:r>
          </w:p>
        </w:tc>
        <w:tc>
          <w:tcPr>
            <w:tcW w:w="4172" w:type="dxa"/>
          </w:tcPr>
          <w:p w:rsidR="00744CCE" w:rsidRPr="00DB4458" w:rsidRDefault="00744CCE" w:rsidP="00DD3324">
            <w:pPr>
              <w:pStyle w:val="naisf"/>
              <w:spacing w:before="0" w:after="0"/>
              <w:ind w:left="57" w:right="57" w:firstLine="0"/>
              <w:jc w:val="left"/>
              <w:rPr>
                <w:sz w:val="26"/>
                <w:szCs w:val="26"/>
              </w:rPr>
            </w:pPr>
            <w:r w:rsidRPr="00744CCE">
              <w:rPr>
                <w:sz w:val="26"/>
                <w:szCs w:val="26"/>
              </w:rPr>
              <w:t>Cita informācija</w:t>
            </w:r>
          </w:p>
        </w:tc>
        <w:tc>
          <w:tcPr>
            <w:tcW w:w="4616" w:type="dxa"/>
          </w:tcPr>
          <w:p w:rsidR="00744CCE" w:rsidRPr="00DB4458" w:rsidRDefault="00744CCE" w:rsidP="00DD3324">
            <w:pPr>
              <w:pStyle w:val="naisnod"/>
              <w:spacing w:before="0" w:after="0"/>
              <w:ind w:left="57" w:right="57"/>
              <w:jc w:val="left"/>
              <w:rPr>
                <w:b w:val="0"/>
                <w:sz w:val="26"/>
                <w:szCs w:val="26"/>
              </w:rPr>
            </w:pPr>
            <w:r>
              <w:rPr>
                <w:b w:val="0"/>
                <w:sz w:val="26"/>
                <w:szCs w:val="26"/>
              </w:rPr>
              <w:t>Nav</w:t>
            </w:r>
          </w:p>
        </w:tc>
      </w:tr>
    </w:tbl>
    <w:p w:rsidR="00744CCE" w:rsidRDefault="00744CCE" w:rsidP="004B0768">
      <w:pPr>
        <w:pStyle w:val="naisf"/>
        <w:spacing w:before="0" w:after="0"/>
        <w:ind w:firstLine="0"/>
        <w:rPr>
          <w:sz w:val="26"/>
          <w:szCs w:val="26"/>
        </w:rPr>
      </w:pPr>
    </w:p>
    <w:p w:rsidR="00744CCE" w:rsidRDefault="00744CCE" w:rsidP="004B0768">
      <w:pPr>
        <w:pStyle w:val="naisf"/>
        <w:spacing w:before="0" w:after="0"/>
        <w:ind w:firstLine="0"/>
        <w:rPr>
          <w:sz w:val="26"/>
          <w:szCs w:val="26"/>
        </w:rPr>
      </w:pPr>
      <w:r>
        <w:rPr>
          <w:sz w:val="26"/>
          <w:szCs w:val="26"/>
        </w:rPr>
        <w:t>Anotācijas V,VI</w:t>
      </w:r>
      <w:r w:rsidRPr="00440F5F">
        <w:rPr>
          <w:sz w:val="26"/>
          <w:szCs w:val="26"/>
        </w:rPr>
        <w:t xml:space="preserve"> sadaļa – Projekts šīs jomas neskar.</w:t>
      </w:r>
    </w:p>
    <w:p w:rsidR="00744CCE" w:rsidRPr="00DB4458" w:rsidRDefault="00744CCE" w:rsidP="004B0768">
      <w:pPr>
        <w:pStyle w:val="naisf"/>
        <w:spacing w:before="0" w:after="0"/>
        <w:ind w:firstLine="0"/>
        <w:rPr>
          <w:sz w:val="26"/>
          <w:szCs w:val="26"/>
        </w:rPr>
      </w:pPr>
    </w:p>
    <w:tbl>
      <w:tblPr>
        <w:tblW w:w="935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4172"/>
        <w:gridCol w:w="4616"/>
      </w:tblGrid>
      <w:tr w:rsidR="004B0768" w:rsidRPr="00DB4458" w:rsidTr="00F91D09">
        <w:tc>
          <w:tcPr>
            <w:tcW w:w="9356" w:type="dxa"/>
            <w:gridSpan w:val="3"/>
            <w:tcBorders>
              <w:top w:val="single" w:sz="4" w:space="0" w:color="auto"/>
            </w:tcBorders>
          </w:tcPr>
          <w:p w:rsidR="004B0768" w:rsidRPr="00DB4458" w:rsidRDefault="004B0768" w:rsidP="006226C8">
            <w:pPr>
              <w:pStyle w:val="naisnod"/>
              <w:spacing w:before="0" w:after="0"/>
              <w:ind w:left="57" w:right="57"/>
              <w:rPr>
                <w:sz w:val="26"/>
                <w:szCs w:val="26"/>
              </w:rPr>
            </w:pPr>
            <w:r w:rsidRPr="00DB4458">
              <w:rPr>
                <w:sz w:val="26"/>
                <w:szCs w:val="26"/>
              </w:rPr>
              <w:t>VII. Tiesību akta projekta izpildes nodrošināšana un tās ietekme uz institūcijām</w:t>
            </w:r>
          </w:p>
        </w:tc>
      </w:tr>
      <w:tr w:rsidR="004B0768" w:rsidRPr="00DB4458" w:rsidTr="00F91D09">
        <w:trPr>
          <w:trHeight w:val="427"/>
        </w:trPr>
        <w:tc>
          <w:tcPr>
            <w:tcW w:w="568" w:type="dxa"/>
          </w:tcPr>
          <w:p w:rsidR="004B0768" w:rsidRPr="00DB4458" w:rsidRDefault="004B0768" w:rsidP="006226C8">
            <w:pPr>
              <w:pStyle w:val="naisnod"/>
              <w:spacing w:before="0" w:after="0"/>
              <w:ind w:left="57" w:right="57"/>
              <w:jc w:val="left"/>
              <w:rPr>
                <w:b w:val="0"/>
                <w:sz w:val="26"/>
                <w:szCs w:val="26"/>
              </w:rPr>
            </w:pPr>
            <w:r w:rsidRPr="00DB4458">
              <w:rPr>
                <w:b w:val="0"/>
                <w:sz w:val="26"/>
                <w:szCs w:val="26"/>
              </w:rPr>
              <w:t>1.</w:t>
            </w:r>
          </w:p>
        </w:tc>
        <w:tc>
          <w:tcPr>
            <w:tcW w:w="4172" w:type="dxa"/>
          </w:tcPr>
          <w:p w:rsidR="004B0768" w:rsidRPr="00DB4458" w:rsidRDefault="004B0768" w:rsidP="006226C8">
            <w:pPr>
              <w:pStyle w:val="naisf"/>
              <w:spacing w:before="0" w:after="0"/>
              <w:ind w:left="57" w:right="57" w:firstLine="0"/>
              <w:jc w:val="left"/>
              <w:rPr>
                <w:sz w:val="26"/>
                <w:szCs w:val="26"/>
              </w:rPr>
            </w:pPr>
            <w:r w:rsidRPr="00DB4458">
              <w:rPr>
                <w:sz w:val="26"/>
                <w:szCs w:val="26"/>
              </w:rPr>
              <w:t xml:space="preserve">Projekta izpildē iesaistītās institūcijas </w:t>
            </w:r>
          </w:p>
        </w:tc>
        <w:tc>
          <w:tcPr>
            <w:tcW w:w="4616" w:type="dxa"/>
          </w:tcPr>
          <w:p w:rsidR="008E7733" w:rsidRDefault="004B0768" w:rsidP="008E7733">
            <w:pPr>
              <w:pStyle w:val="naisnod"/>
              <w:spacing w:before="0" w:after="0"/>
              <w:ind w:left="57" w:right="57"/>
              <w:jc w:val="both"/>
              <w:rPr>
                <w:b w:val="0"/>
                <w:sz w:val="26"/>
                <w:szCs w:val="26"/>
              </w:rPr>
            </w:pPr>
            <w:r w:rsidRPr="00DB4458">
              <w:rPr>
                <w:b w:val="0"/>
                <w:iCs/>
                <w:sz w:val="26"/>
                <w:szCs w:val="26"/>
              </w:rPr>
              <w:t xml:space="preserve">Izglītības un zinātnes ministrija, </w:t>
            </w:r>
            <w:r w:rsidR="00F91D09">
              <w:rPr>
                <w:b w:val="0"/>
                <w:iCs/>
                <w:sz w:val="26"/>
                <w:szCs w:val="26"/>
              </w:rPr>
              <w:t xml:space="preserve">pārbaudē iesaistītās </w:t>
            </w:r>
            <w:r w:rsidRPr="00DB4458">
              <w:rPr>
                <w:b w:val="0"/>
                <w:iCs/>
                <w:sz w:val="26"/>
                <w:szCs w:val="26"/>
              </w:rPr>
              <w:t>valsts un pašvaldīb</w:t>
            </w:r>
            <w:r w:rsidR="00F91D09">
              <w:rPr>
                <w:b w:val="0"/>
                <w:iCs/>
                <w:sz w:val="26"/>
                <w:szCs w:val="26"/>
              </w:rPr>
              <w:t>u</w:t>
            </w:r>
            <w:r w:rsidRPr="00DB4458">
              <w:rPr>
                <w:b w:val="0"/>
                <w:iCs/>
                <w:sz w:val="26"/>
                <w:szCs w:val="26"/>
              </w:rPr>
              <w:t xml:space="preserve"> institūcijas.</w:t>
            </w:r>
          </w:p>
        </w:tc>
      </w:tr>
      <w:tr w:rsidR="004B0768" w:rsidRPr="00DB4458" w:rsidTr="00F91D09">
        <w:trPr>
          <w:trHeight w:val="463"/>
        </w:trPr>
        <w:tc>
          <w:tcPr>
            <w:tcW w:w="568" w:type="dxa"/>
          </w:tcPr>
          <w:p w:rsidR="004B0768" w:rsidRPr="00DB4458" w:rsidRDefault="004B0768" w:rsidP="006226C8">
            <w:pPr>
              <w:pStyle w:val="naisnod"/>
              <w:spacing w:before="0" w:after="0"/>
              <w:ind w:left="57" w:right="57"/>
              <w:jc w:val="left"/>
              <w:rPr>
                <w:b w:val="0"/>
                <w:sz w:val="26"/>
                <w:szCs w:val="26"/>
              </w:rPr>
            </w:pPr>
            <w:r w:rsidRPr="00DB4458">
              <w:rPr>
                <w:b w:val="0"/>
                <w:sz w:val="26"/>
                <w:szCs w:val="26"/>
              </w:rPr>
              <w:t>2.</w:t>
            </w:r>
          </w:p>
        </w:tc>
        <w:tc>
          <w:tcPr>
            <w:tcW w:w="4172" w:type="dxa"/>
          </w:tcPr>
          <w:p w:rsidR="004B0768" w:rsidRPr="00DB4458" w:rsidRDefault="004B0768" w:rsidP="006226C8">
            <w:pPr>
              <w:pStyle w:val="naisf"/>
              <w:spacing w:before="0" w:after="0"/>
              <w:ind w:left="57" w:right="57" w:firstLine="0"/>
              <w:jc w:val="left"/>
              <w:rPr>
                <w:sz w:val="26"/>
                <w:szCs w:val="26"/>
              </w:rPr>
            </w:pPr>
            <w:r w:rsidRPr="00DB4458">
              <w:rPr>
                <w:sz w:val="26"/>
                <w:szCs w:val="26"/>
              </w:rPr>
              <w:t xml:space="preserve">Projekta izpildes ietekme uz pārvaldes funkcijām </w:t>
            </w:r>
          </w:p>
        </w:tc>
        <w:tc>
          <w:tcPr>
            <w:tcW w:w="4616" w:type="dxa"/>
          </w:tcPr>
          <w:p w:rsidR="004B0768" w:rsidRPr="00DB4458" w:rsidRDefault="004B0768" w:rsidP="006226C8">
            <w:pPr>
              <w:pStyle w:val="BodyTextIndent2"/>
              <w:spacing w:after="0" w:line="240" w:lineRule="auto"/>
              <w:ind w:left="0"/>
              <w:jc w:val="both"/>
              <w:rPr>
                <w:sz w:val="26"/>
                <w:szCs w:val="26"/>
              </w:rPr>
            </w:pPr>
            <w:r w:rsidRPr="00DB4458">
              <w:rPr>
                <w:sz w:val="26"/>
                <w:szCs w:val="26"/>
              </w:rPr>
              <w:t>Netiek paplašinātas esošo institūciju funkcijas.</w:t>
            </w:r>
          </w:p>
          <w:p w:rsidR="004B0768" w:rsidRPr="00DB4458" w:rsidRDefault="004B0768" w:rsidP="006226C8">
            <w:pPr>
              <w:pStyle w:val="naisnod"/>
              <w:spacing w:before="0" w:after="0"/>
              <w:ind w:left="57" w:right="57"/>
              <w:jc w:val="left"/>
              <w:rPr>
                <w:b w:val="0"/>
                <w:sz w:val="26"/>
                <w:szCs w:val="26"/>
              </w:rPr>
            </w:pPr>
          </w:p>
        </w:tc>
      </w:tr>
      <w:tr w:rsidR="004B0768" w:rsidRPr="00DB4458" w:rsidTr="00F91D09">
        <w:trPr>
          <w:trHeight w:val="725"/>
        </w:trPr>
        <w:tc>
          <w:tcPr>
            <w:tcW w:w="568" w:type="dxa"/>
          </w:tcPr>
          <w:p w:rsidR="004B0768" w:rsidRPr="00DB4458" w:rsidRDefault="004B0768" w:rsidP="006226C8">
            <w:pPr>
              <w:pStyle w:val="naisnod"/>
              <w:spacing w:before="0" w:after="0"/>
              <w:ind w:left="57" w:right="57"/>
              <w:jc w:val="left"/>
              <w:rPr>
                <w:b w:val="0"/>
                <w:sz w:val="26"/>
                <w:szCs w:val="26"/>
              </w:rPr>
            </w:pPr>
            <w:r w:rsidRPr="00DB4458">
              <w:rPr>
                <w:b w:val="0"/>
                <w:sz w:val="26"/>
                <w:szCs w:val="26"/>
              </w:rPr>
              <w:t>3.</w:t>
            </w:r>
          </w:p>
        </w:tc>
        <w:tc>
          <w:tcPr>
            <w:tcW w:w="4172" w:type="dxa"/>
          </w:tcPr>
          <w:p w:rsidR="004B0768" w:rsidRPr="00DB4458" w:rsidRDefault="004B0768" w:rsidP="006226C8">
            <w:pPr>
              <w:pStyle w:val="naisf"/>
              <w:spacing w:before="0" w:after="0"/>
              <w:ind w:left="57" w:right="57" w:firstLine="0"/>
              <w:jc w:val="left"/>
              <w:rPr>
                <w:sz w:val="26"/>
                <w:szCs w:val="26"/>
              </w:rPr>
            </w:pPr>
            <w:r w:rsidRPr="00DB4458">
              <w:rPr>
                <w:sz w:val="26"/>
                <w:szCs w:val="26"/>
              </w:rPr>
              <w:t>Projekta izpildes ietekme uz pārvaldes institucionālo struktūru.</w:t>
            </w:r>
          </w:p>
          <w:p w:rsidR="004B0768" w:rsidRPr="00DB4458" w:rsidRDefault="004B0768" w:rsidP="006226C8">
            <w:pPr>
              <w:pStyle w:val="naisf"/>
              <w:spacing w:before="0" w:after="0"/>
              <w:ind w:left="57" w:right="57" w:firstLine="0"/>
              <w:jc w:val="left"/>
              <w:rPr>
                <w:sz w:val="26"/>
                <w:szCs w:val="26"/>
              </w:rPr>
            </w:pPr>
            <w:r w:rsidRPr="00DB4458">
              <w:rPr>
                <w:sz w:val="26"/>
                <w:szCs w:val="26"/>
              </w:rPr>
              <w:t>Jaunu institūciju izveide</w:t>
            </w:r>
          </w:p>
        </w:tc>
        <w:tc>
          <w:tcPr>
            <w:tcW w:w="4616" w:type="dxa"/>
          </w:tcPr>
          <w:p w:rsidR="004B0768" w:rsidRPr="00DB4458" w:rsidRDefault="004B0768" w:rsidP="006226C8">
            <w:pPr>
              <w:pStyle w:val="naisnod"/>
              <w:spacing w:before="0" w:after="0"/>
              <w:ind w:left="57" w:right="57"/>
              <w:jc w:val="left"/>
              <w:rPr>
                <w:b w:val="0"/>
                <w:sz w:val="26"/>
                <w:szCs w:val="26"/>
              </w:rPr>
            </w:pPr>
            <w:r w:rsidRPr="00DB4458">
              <w:rPr>
                <w:b w:val="0"/>
                <w:sz w:val="26"/>
                <w:szCs w:val="26"/>
              </w:rPr>
              <w:t>Jaunas valsts institūcijas netiek radītas.</w:t>
            </w:r>
          </w:p>
        </w:tc>
      </w:tr>
      <w:tr w:rsidR="004B0768" w:rsidRPr="00DB4458" w:rsidTr="00F91D09">
        <w:trPr>
          <w:trHeight w:val="780"/>
        </w:trPr>
        <w:tc>
          <w:tcPr>
            <w:tcW w:w="568" w:type="dxa"/>
          </w:tcPr>
          <w:p w:rsidR="004B0768" w:rsidRPr="00DB4458" w:rsidRDefault="004B0768" w:rsidP="006226C8">
            <w:pPr>
              <w:pStyle w:val="naisnod"/>
              <w:spacing w:before="0" w:after="0"/>
              <w:ind w:left="57" w:right="57"/>
              <w:jc w:val="left"/>
              <w:rPr>
                <w:b w:val="0"/>
                <w:sz w:val="26"/>
                <w:szCs w:val="26"/>
              </w:rPr>
            </w:pPr>
            <w:r w:rsidRPr="00DB4458">
              <w:rPr>
                <w:b w:val="0"/>
                <w:sz w:val="26"/>
                <w:szCs w:val="26"/>
              </w:rPr>
              <w:t>4.</w:t>
            </w:r>
          </w:p>
        </w:tc>
        <w:tc>
          <w:tcPr>
            <w:tcW w:w="4172" w:type="dxa"/>
          </w:tcPr>
          <w:p w:rsidR="004B0768" w:rsidRPr="00DB4458" w:rsidRDefault="004B0768" w:rsidP="006226C8">
            <w:pPr>
              <w:pStyle w:val="naisf"/>
              <w:spacing w:before="0" w:after="0"/>
              <w:ind w:left="57" w:right="57" w:firstLine="0"/>
              <w:jc w:val="left"/>
              <w:rPr>
                <w:sz w:val="26"/>
                <w:szCs w:val="26"/>
              </w:rPr>
            </w:pPr>
            <w:r w:rsidRPr="00DB4458">
              <w:rPr>
                <w:sz w:val="26"/>
                <w:szCs w:val="26"/>
              </w:rPr>
              <w:t>Projekta izpildes ietekme uz pārvaldes institucionālo struktūru.</w:t>
            </w:r>
          </w:p>
          <w:p w:rsidR="004B0768" w:rsidRPr="00DB4458" w:rsidRDefault="004B0768" w:rsidP="006226C8">
            <w:pPr>
              <w:pStyle w:val="naisf"/>
              <w:spacing w:before="0" w:after="0"/>
              <w:ind w:left="57" w:right="57" w:firstLine="0"/>
              <w:jc w:val="left"/>
              <w:rPr>
                <w:sz w:val="26"/>
                <w:szCs w:val="26"/>
              </w:rPr>
            </w:pPr>
            <w:r w:rsidRPr="00DB4458">
              <w:rPr>
                <w:sz w:val="26"/>
                <w:szCs w:val="26"/>
              </w:rPr>
              <w:t>Esošu institūciju likvidācija</w:t>
            </w:r>
          </w:p>
        </w:tc>
        <w:tc>
          <w:tcPr>
            <w:tcW w:w="4616" w:type="dxa"/>
          </w:tcPr>
          <w:p w:rsidR="004B0768" w:rsidRPr="00440F5F" w:rsidRDefault="00440F5F" w:rsidP="006226C8">
            <w:pPr>
              <w:pStyle w:val="naisnod"/>
              <w:spacing w:before="0" w:after="0"/>
              <w:ind w:left="57" w:right="57"/>
              <w:jc w:val="left"/>
              <w:rPr>
                <w:b w:val="0"/>
                <w:sz w:val="26"/>
                <w:szCs w:val="26"/>
              </w:rPr>
            </w:pPr>
            <w:r w:rsidRPr="00440F5F">
              <w:rPr>
                <w:b w:val="0"/>
                <w:sz w:val="26"/>
                <w:szCs w:val="26"/>
              </w:rPr>
              <w:t>Projekts šo jomu neskar.</w:t>
            </w:r>
          </w:p>
        </w:tc>
      </w:tr>
      <w:tr w:rsidR="004B0768" w:rsidRPr="00DB4458" w:rsidTr="00F91D09">
        <w:trPr>
          <w:trHeight w:val="703"/>
        </w:trPr>
        <w:tc>
          <w:tcPr>
            <w:tcW w:w="568" w:type="dxa"/>
          </w:tcPr>
          <w:p w:rsidR="004B0768" w:rsidRPr="00DB4458" w:rsidRDefault="004B0768" w:rsidP="006226C8">
            <w:pPr>
              <w:pStyle w:val="naisnod"/>
              <w:spacing w:before="0" w:after="0"/>
              <w:ind w:left="57" w:right="57"/>
              <w:jc w:val="left"/>
              <w:rPr>
                <w:b w:val="0"/>
                <w:sz w:val="26"/>
                <w:szCs w:val="26"/>
              </w:rPr>
            </w:pPr>
            <w:r w:rsidRPr="00DB4458">
              <w:rPr>
                <w:b w:val="0"/>
                <w:sz w:val="26"/>
                <w:szCs w:val="26"/>
              </w:rPr>
              <w:t>5.</w:t>
            </w:r>
          </w:p>
        </w:tc>
        <w:tc>
          <w:tcPr>
            <w:tcW w:w="4172" w:type="dxa"/>
          </w:tcPr>
          <w:p w:rsidR="004B0768" w:rsidRPr="00DB4458" w:rsidRDefault="004B0768" w:rsidP="006226C8">
            <w:pPr>
              <w:pStyle w:val="naisf"/>
              <w:spacing w:before="0" w:after="0"/>
              <w:ind w:left="57" w:right="57" w:firstLine="0"/>
              <w:jc w:val="left"/>
              <w:rPr>
                <w:sz w:val="26"/>
                <w:szCs w:val="26"/>
              </w:rPr>
            </w:pPr>
            <w:r w:rsidRPr="00DB4458">
              <w:rPr>
                <w:sz w:val="26"/>
                <w:szCs w:val="26"/>
              </w:rPr>
              <w:t>Projekta izpildes ietekme uz pārvaldes institucionālo struktūru.</w:t>
            </w:r>
          </w:p>
          <w:p w:rsidR="004B0768" w:rsidRPr="00DB4458" w:rsidRDefault="004B0768" w:rsidP="006226C8">
            <w:pPr>
              <w:pStyle w:val="naisf"/>
              <w:spacing w:before="0" w:after="0"/>
              <w:ind w:left="57" w:right="57" w:firstLine="0"/>
              <w:jc w:val="left"/>
              <w:rPr>
                <w:sz w:val="26"/>
                <w:szCs w:val="26"/>
              </w:rPr>
            </w:pPr>
            <w:r w:rsidRPr="00DB4458">
              <w:rPr>
                <w:sz w:val="26"/>
                <w:szCs w:val="26"/>
              </w:rPr>
              <w:t>Esošu institūciju reorganizācija</w:t>
            </w:r>
          </w:p>
        </w:tc>
        <w:tc>
          <w:tcPr>
            <w:tcW w:w="4616" w:type="dxa"/>
          </w:tcPr>
          <w:p w:rsidR="004B0768" w:rsidRPr="00DB4458" w:rsidRDefault="00440F5F" w:rsidP="006226C8">
            <w:pPr>
              <w:pStyle w:val="naisnod"/>
              <w:spacing w:before="0" w:after="0"/>
              <w:ind w:left="57" w:right="57"/>
              <w:jc w:val="left"/>
              <w:rPr>
                <w:b w:val="0"/>
                <w:sz w:val="26"/>
                <w:szCs w:val="26"/>
              </w:rPr>
            </w:pPr>
            <w:r w:rsidRPr="00440F5F">
              <w:rPr>
                <w:b w:val="0"/>
                <w:sz w:val="26"/>
                <w:szCs w:val="26"/>
              </w:rPr>
              <w:t>Projekts šo jomu neskar.</w:t>
            </w:r>
          </w:p>
        </w:tc>
      </w:tr>
      <w:tr w:rsidR="004B0768" w:rsidRPr="00DB4458" w:rsidTr="00F91D09">
        <w:trPr>
          <w:trHeight w:val="476"/>
        </w:trPr>
        <w:tc>
          <w:tcPr>
            <w:tcW w:w="568" w:type="dxa"/>
          </w:tcPr>
          <w:p w:rsidR="004B0768" w:rsidRPr="00DB4458" w:rsidRDefault="004B0768" w:rsidP="006226C8">
            <w:pPr>
              <w:pStyle w:val="naiskr"/>
              <w:spacing w:before="0" w:after="0"/>
              <w:ind w:left="57" w:right="57"/>
              <w:rPr>
                <w:sz w:val="26"/>
                <w:szCs w:val="26"/>
              </w:rPr>
            </w:pPr>
            <w:r w:rsidRPr="00DB4458">
              <w:rPr>
                <w:sz w:val="26"/>
                <w:szCs w:val="26"/>
              </w:rPr>
              <w:t>6.</w:t>
            </w:r>
          </w:p>
        </w:tc>
        <w:tc>
          <w:tcPr>
            <w:tcW w:w="4172" w:type="dxa"/>
          </w:tcPr>
          <w:p w:rsidR="004B0768" w:rsidRPr="00DB4458" w:rsidRDefault="004B0768" w:rsidP="006226C8">
            <w:pPr>
              <w:pStyle w:val="naiskr"/>
              <w:spacing w:before="0" w:after="0"/>
              <w:ind w:left="57" w:right="57"/>
              <w:rPr>
                <w:sz w:val="26"/>
                <w:szCs w:val="26"/>
              </w:rPr>
            </w:pPr>
            <w:r w:rsidRPr="00DB4458">
              <w:rPr>
                <w:sz w:val="26"/>
                <w:szCs w:val="26"/>
              </w:rPr>
              <w:t>Cita informācija</w:t>
            </w:r>
          </w:p>
        </w:tc>
        <w:tc>
          <w:tcPr>
            <w:tcW w:w="4616" w:type="dxa"/>
          </w:tcPr>
          <w:p w:rsidR="004B0768" w:rsidRPr="00DB4458" w:rsidRDefault="004B0768" w:rsidP="006226C8">
            <w:pPr>
              <w:pStyle w:val="naiskr"/>
              <w:spacing w:before="0" w:after="0"/>
              <w:ind w:left="57" w:right="57"/>
              <w:rPr>
                <w:sz w:val="26"/>
                <w:szCs w:val="26"/>
              </w:rPr>
            </w:pPr>
            <w:r w:rsidRPr="00DB4458">
              <w:rPr>
                <w:sz w:val="26"/>
                <w:szCs w:val="26"/>
              </w:rPr>
              <w:t>Nav</w:t>
            </w:r>
          </w:p>
        </w:tc>
      </w:tr>
    </w:tbl>
    <w:p w:rsidR="004B0768" w:rsidRPr="00DB4458" w:rsidRDefault="004B0768" w:rsidP="004B0768">
      <w:pPr>
        <w:rPr>
          <w:sz w:val="26"/>
          <w:szCs w:val="26"/>
        </w:rPr>
      </w:pPr>
    </w:p>
    <w:p w:rsidR="004B0768" w:rsidRPr="00DB4458" w:rsidRDefault="004B0768" w:rsidP="004B0768">
      <w:pPr>
        <w:rPr>
          <w:sz w:val="26"/>
          <w:szCs w:val="26"/>
        </w:rPr>
      </w:pPr>
    </w:p>
    <w:p w:rsidR="004B0768" w:rsidRPr="00DB4458" w:rsidRDefault="004B0768" w:rsidP="004B0768">
      <w:pPr>
        <w:rPr>
          <w:sz w:val="26"/>
          <w:szCs w:val="26"/>
        </w:rPr>
      </w:pPr>
    </w:p>
    <w:p w:rsidR="004B0768" w:rsidRPr="0099480A" w:rsidRDefault="00BC152F" w:rsidP="0099480A">
      <w:pPr>
        <w:pStyle w:val="Heading5"/>
        <w:ind w:left="-203" w:firstLine="770"/>
        <w:rPr>
          <w:sz w:val="26"/>
          <w:szCs w:val="26"/>
          <w:lang w:val="lv-LV"/>
        </w:rPr>
      </w:pPr>
      <w:r>
        <w:rPr>
          <w:sz w:val="26"/>
          <w:szCs w:val="26"/>
          <w:lang w:val="lv-LV"/>
        </w:rPr>
        <w:t>Izglītības un zinātnes ministrs</w:t>
      </w:r>
      <w:r w:rsidR="004B0768" w:rsidRPr="00BC152F">
        <w:rPr>
          <w:sz w:val="26"/>
          <w:szCs w:val="26"/>
          <w:lang w:val="lv-LV"/>
        </w:rPr>
        <w:t xml:space="preserve">                                     </w:t>
      </w:r>
      <w:r w:rsidR="004B0768" w:rsidRPr="00BC152F">
        <w:rPr>
          <w:sz w:val="26"/>
          <w:szCs w:val="26"/>
          <w:lang w:val="lv-LV"/>
        </w:rPr>
        <w:tab/>
      </w:r>
      <w:r w:rsidR="004B0768" w:rsidRPr="00BC152F">
        <w:rPr>
          <w:sz w:val="26"/>
          <w:szCs w:val="26"/>
          <w:lang w:val="lv-LV"/>
        </w:rPr>
        <w:tab/>
      </w:r>
      <w:r>
        <w:rPr>
          <w:sz w:val="26"/>
          <w:szCs w:val="26"/>
          <w:lang w:val="lv-LV"/>
        </w:rPr>
        <w:t>R.</w:t>
      </w:r>
      <w:r w:rsidR="00C32B01">
        <w:rPr>
          <w:sz w:val="26"/>
          <w:szCs w:val="26"/>
          <w:lang w:val="lv-LV"/>
        </w:rPr>
        <w:t>Ķīlis</w:t>
      </w:r>
    </w:p>
    <w:p w:rsidR="004B0768" w:rsidRPr="00BC152F" w:rsidRDefault="004B0768" w:rsidP="004B0768">
      <w:pPr>
        <w:rPr>
          <w:sz w:val="26"/>
          <w:szCs w:val="26"/>
        </w:rPr>
      </w:pPr>
    </w:p>
    <w:p w:rsidR="004B0768" w:rsidRPr="00C32B01" w:rsidRDefault="004B0768" w:rsidP="004B0768">
      <w:pPr>
        <w:rPr>
          <w:sz w:val="26"/>
          <w:szCs w:val="26"/>
        </w:rPr>
      </w:pPr>
    </w:p>
    <w:p w:rsidR="00242113" w:rsidRPr="00F91D09" w:rsidRDefault="008E7733" w:rsidP="00F91D09">
      <w:pPr>
        <w:pStyle w:val="NoSpacing"/>
        <w:ind w:left="567"/>
        <w:rPr>
          <w:sz w:val="26"/>
          <w:szCs w:val="26"/>
        </w:rPr>
      </w:pPr>
      <w:r w:rsidRPr="008E7733">
        <w:rPr>
          <w:sz w:val="26"/>
          <w:szCs w:val="26"/>
        </w:rPr>
        <w:t xml:space="preserve">Vizē: </w:t>
      </w:r>
      <w:r w:rsidRPr="008E7733">
        <w:rPr>
          <w:sz w:val="26"/>
          <w:szCs w:val="26"/>
        </w:rPr>
        <w:tab/>
      </w:r>
      <w:r w:rsidRPr="008E7733">
        <w:rPr>
          <w:sz w:val="26"/>
          <w:szCs w:val="26"/>
        </w:rPr>
        <w:tab/>
      </w:r>
    </w:p>
    <w:p w:rsidR="008E7733" w:rsidRPr="00BD58E5" w:rsidRDefault="00BD58E5" w:rsidP="00BD58E5">
      <w:pPr>
        <w:pStyle w:val="NoSpacing"/>
        <w:ind w:left="567"/>
        <w:rPr>
          <w:bCs/>
          <w:sz w:val="26"/>
          <w:szCs w:val="26"/>
        </w:rPr>
      </w:pPr>
      <w:r>
        <w:rPr>
          <w:bCs/>
          <w:sz w:val="26"/>
          <w:szCs w:val="26"/>
        </w:rPr>
        <w:t>Valsts sekretārs</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proofErr w:type="spellStart"/>
      <w:r>
        <w:rPr>
          <w:sz w:val="26"/>
          <w:szCs w:val="26"/>
        </w:rPr>
        <w:t>M.Gruškevics</w:t>
      </w:r>
      <w:proofErr w:type="spellEnd"/>
    </w:p>
    <w:p w:rsidR="00403B08" w:rsidRPr="0099480A" w:rsidRDefault="0099480A" w:rsidP="0099480A">
      <w:pPr>
        <w:ind w:left="-203" w:firstLine="77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F91D09" w:rsidRDefault="00F91D09" w:rsidP="004B0768">
      <w:pPr>
        <w:jc w:val="both"/>
      </w:pPr>
    </w:p>
    <w:p w:rsidR="004B0768" w:rsidRPr="00BC755B" w:rsidRDefault="0099480A" w:rsidP="004B0768">
      <w:pPr>
        <w:jc w:val="both"/>
        <w:rPr>
          <w:sz w:val="22"/>
          <w:szCs w:val="22"/>
        </w:rPr>
      </w:pPr>
      <w:r>
        <w:rPr>
          <w:sz w:val="22"/>
          <w:szCs w:val="22"/>
        </w:rPr>
        <w:t>1</w:t>
      </w:r>
      <w:r w:rsidR="00BD58E5">
        <w:rPr>
          <w:sz w:val="22"/>
          <w:szCs w:val="22"/>
        </w:rPr>
        <w:t>6</w:t>
      </w:r>
      <w:r>
        <w:rPr>
          <w:sz w:val="22"/>
          <w:szCs w:val="22"/>
        </w:rPr>
        <w:t>.01.2012</w:t>
      </w:r>
      <w:r w:rsidR="00403B08">
        <w:rPr>
          <w:sz w:val="22"/>
          <w:szCs w:val="22"/>
        </w:rPr>
        <w:t xml:space="preserve">. </w:t>
      </w:r>
      <w:r w:rsidR="00AD62E5">
        <w:rPr>
          <w:sz w:val="22"/>
          <w:szCs w:val="22"/>
        </w:rPr>
        <w:t>1</w:t>
      </w:r>
      <w:r w:rsidR="00BD58E5">
        <w:rPr>
          <w:sz w:val="22"/>
          <w:szCs w:val="22"/>
        </w:rPr>
        <w:t>1</w:t>
      </w:r>
      <w:r w:rsidR="004B0768" w:rsidRPr="00BC755B">
        <w:rPr>
          <w:sz w:val="22"/>
          <w:szCs w:val="22"/>
        </w:rPr>
        <w:t>:</w:t>
      </w:r>
      <w:r w:rsidR="00BD58E5">
        <w:rPr>
          <w:sz w:val="22"/>
          <w:szCs w:val="22"/>
        </w:rPr>
        <w:t>30</w:t>
      </w:r>
    </w:p>
    <w:p w:rsidR="004B0768" w:rsidRPr="00BC755B" w:rsidRDefault="00BD58E5" w:rsidP="004B0768">
      <w:pPr>
        <w:jc w:val="both"/>
        <w:rPr>
          <w:sz w:val="22"/>
          <w:szCs w:val="22"/>
        </w:rPr>
      </w:pPr>
      <w:r>
        <w:rPr>
          <w:sz w:val="22"/>
          <w:szCs w:val="22"/>
        </w:rPr>
        <w:t>1201</w:t>
      </w:r>
    </w:p>
    <w:p w:rsidR="004B0768" w:rsidRPr="00BC755B" w:rsidRDefault="004B0768" w:rsidP="004B0768">
      <w:pPr>
        <w:rPr>
          <w:sz w:val="22"/>
          <w:szCs w:val="22"/>
        </w:rPr>
      </w:pPr>
      <w:r w:rsidRPr="00BC755B">
        <w:rPr>
          <w:sz w:val="22"/>
          <w:szCs w:val="22"/>
        </w:rPr>
        <w:t>A.Mičule</w:t>
      </w:r>
    </w:p>
    <w:p w:rsidR="004B0768" w:rsidRPr="00BC755B" w:rsidRDefault="004B0768" w:rsidP="004B0768">
      <w:pPr>
        <w:rPr>
          <w:sz w:val="22"/>
          <w:szCs w:val="22"/>
        </w:rPr>
      </w:pPr>
      <w:r w:rsidRPr="00BC755B">
        <w:rPr>
          <w:sz w:val="22"/>
          <w:szCs w:val="22"/>
        </w:rPr>
        <w:t>67047928, anda.mi</w:t>
      </w:r>
      <w:r w:rsidR="00242113">
        <w:rPr>
          <w:sz w:val="22"/>
          <w:szCs w:val="22"/>
        </w:rPr>
        <w:t>c</w:t>
      </w:r>
      <w:r w:rsidRPr="00BC755B">
        <w:rPr>
          <w:sz w:val="22"/>
          <w:szCs w:val="22"/>
        </w:rPr>
        <w:t>ule@izm.gov.lv</w:t>
      </w:r>
    </w:p>
    <w:p w:rsidR="0056076A" w:rsidRDefault="0056076A"/>
    <w:sectPr w:rsidR="0056076A" w:rsidSect="00A26128">
      <w:headerReference w:type="default" r:id="rId6"/>
      <w:footerReference w:type="default" r:id="rId7"/>
      <w:footerReference w:type="first" r:id="rId8"/>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451" w:rsidRDefault="008C3451" w:rsidP="004B0768">
      <w:r>
        <w:separator/>
      </w:r>
    </w:p>
  </w:endnote>
  <w:endnote w:type="continuationSeparator" w:id="0">
    <w:p w:rsidR="008C3451" w:rsidRDefault="008C3451" w:rsidP="004B07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C7" w:rsidRPr="00F07EFD" w:rsidRDefault="00A10AC7" w:rsidP="00A10AC7">
    <w:pPr>
      <w:jc w:val="both"/>
    </w:pPr>
    <w:r>
      <w:t>IZMAnot_</w:t>
    </w:r>
    <w:r w:rsidR="00744CCE">
      <w:t>1</w:t>
    </w:r>
    <w:r w:rsidR="00BD58E5">
      <w:t>6</w:t>
    </w:r>
    <w:r w:rsidR="00744CCE">
      <w:t>0112</w:t>
    </w:r>
    <w:r>
      <w:t>_bazes</w:t>
    </w:r>
    <w:r w:rsidRPr="00685380">
      <w:t xml:space="preserve">; </w:t>
    </w:r>
    <w:r w:rsidRPr="00F07EFD">
      <w:t>Ministru kabineta noteikumu projekta</w:t>
    </w:r>
    <w:r>
      <w:t xml:space="preserve"> </w:t>
    </w:r>
    <w:r w:rsidRPr="00F07EFD">
      <w:rPr>
        <w:bCs/>
      </w:rPr>
      <w:t>„</w:t>
    </w:r>
    <w:r w:rsidR="00403B08" w:rsidRPr="00403B08">
      <w:rPr>
        <w:bCs/>
      </w:rPr>
      <w:t>Sporta bāzu un nacionālo sporta bāzu pārbaudes kārtība</w:t>
    </w:r>
    <w:r w:rsidRPr="00F07EFD">
      <w:rPr>
        <w:bCs/>
      </w:rPr>
      <w:t xml:space="preserve">” </w:t>
    </w:r>
    <w:r w:rsidRPr="00F07EFD">
      <w:t xml:space="preserve">sākotnējās ietekmes novērtējuma </w:t>
    </w:r>
    <w:smartTag w:uri="schemas-tilde-lv/tildestengine" w:element="veidnes">
      <w:smartTagPr>
        <w:attr w:name="text" w:val="ziņojums"/>
        <w:attr w:name="baseform" w:val="ziņojums"/>
        <w:attr w:name="id" w:val="-1"/>
      </w:smartTagPr>
      <w:r w:rsidRPr="00F07EFD">
        <w:t>ziņojums</w:t>
      </w:r>
    </w:smartTag>
    <w:r w:rsidRPr="00F07EFD">
      <w:t xml:space="preserve"> (anotācija)</w:t>
    </w:r>
  </w:p>
  <w:p w:rsidR="00590DD0" w:rsidRDefault="008C3451" w:rsidP="001344FB">
    <w:pPr>
      <w:jc w:val="both"/>
    </w:pPr>
  </w:p>
  <w:p w:rsidR="00590DD0" w:rsidRDefault="008C3451" w:rsidP="00913388">
    <w:pPr>
      <w:jc w:val="both"/>
    </w:pPr>
  </w:p>
  <w:p w:rsidR="00590DD0" w:rsidRPr="00913388" w:rsidRDefault="008C3451" w:rsidP="00913388">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FD" w:rsidRPr="00F07EFD" w:rsidRDefault="009E2D97" w:rsidP="00F07EFD">
    <w:pPr>
      <w:jc w:val="both"/>
    </w:pPr>
    <w:r>
      <w:t>IZMAnot_</w:t>
    </w:r>
    <w:r w:rsidR="0099480A">
      <w:t>1</w:t>
    </w:r>
    <w:r w:rsidR="00BD58E5">
      <w:t>6</w:t>
    </w:r>
    <w:r w:rsidR="0099480A">
      <w:t>0112</w:t>
    </w:r>
    <w:r>
      <w:t>_bazes</w:t>
    </w:r>
    <w:r w:rsidRPr="00685380">
      <w:t xml:space="preserve">; </w:t>
    </w:r>
    <w:r w:rsidRPr="00F07EFD">
      <w:t>Ministru kabineta noteikumu projekta</w:t>
    </w:r>
    <w:r>
      <w:t xml:space="preserve"> </w:t>
    </w:r>
    <w:r w:rsidRPr="00F07EFD">
      <w:rPr>
        <w:bCs/>
      </w:rPr>
      <w:t>„</w:t>
    </w:r>
    <w:r w:rsidR="00403B08" w:rsidRPr="00403B08">
      <w:rPr>
        <w:bCs/>
      </w:rPr>
      <w:t>Sporta bāzu un nacionālo sporta bāzu pārbaudes kārtība</w:t>
    </w:r>
    <w:r w:rsidRPr="00F07EFD">
      <w:rPr>
        <w:bCs/>
      </w:rPr>
      <w:t xml:space="preserve">” </w:t>
    </w:r>
    <w:r w:rsidRPr="00F07EFD">
      <w:t xml:space="preserve">sākotnējās ietekmes novērtējuma </w:t>
    </w:r>
    <w:smartTag w:uri="schemas-tilde-lv/tildestengine" w:element="veidnes">
      <w:smartTagPr>
        <w:attr w:name="text" w:val="ziņojums"/>
        <w:attr w:name="baseform" w:val="ziņojums"/>
        <w:attr w:name="id" w:val="-1"/>
      </w:smartTagPr>
      <w:r w:rsidRPr="00F07EFD">
        <w:t>ziņojums</w:t>
      </w:r>
    </w:smartTag>
    <w:r w:rsidRPr="00F07EFD">
      <w:t xml:space="preserve"> (anotācija)</w:t>
    </w:r>
  </w:p>
  <w:p w:rsidR="00907E6F" w:rsidRPr="00913388" w:rsidRDefault="008C3451" w:rsidP="00913388">
    <w:pPr>
      <w:jc w:val="both"/>
    </w:pPr>
  </w:p>
  <w:p w:rsidR="00907E6F" w:rsidRDefault="008C3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451" w:rsidRDefault="008C3451" w:rsidP="004B0768">
      <w:r>
        <w:separator/>
      </w:r>
    </w:p>
  </w:footnote>
  <w:footnote w:type="continuationSeparator" w:id="0">
    <w:p w:rsidR="008C3451" w:rsidRDefault="008C3451" w:rsidP="004B0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361"/>
      <w:docPartObj>
        <w:docPartGallery w:val="Page Numbers (Top of Page)"/>
        <w:docPartUnique/>
      </w:docPartObj>
    </w:sdtPr>
    <w:sdtContent>
      <w:p w:rsidR="00842544" w:rsidRDefault="00027D4B">
        <w:pPr>
          <w:pStyle w:val="Header"/>
          <w:jc w:val="center"/>
        </w:pPr>
        <w:r>
          <w:fldChar w:fldCharType="begin"/>
        </w:r>
        <w:r w:rsidR="009E2D97">
          <w:instrText xml:space="preserve"> PAGE   \* MERGEFORMAT </w:instrText>
        </w:r>
        <w:r>
          <w:fldChar w:fldCharType="separate"/>
        </w:r>
        <w:r w:rsidR="00BD58E5">
          <w:rPr>
            <w:noProof/>
          </w:rPr>
          <w:t>5</w:t>
        </w:r>
        <w:r>
          <w:fldChar w:fldCharType="end"/>
        </w:r>
      </w:p>
    </w:sdtContent>
  </w:sdt>
  <w:p w:rsidR="00842544" w:rsidRDefault="008C34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B0768"/>
    <w:rsid w:val="00023A83"/>
    <w:rsid w:val="00027D4B"/>
    <w:rsid w:val="00032B91"/>
    <w:rsid w:val="00032F55"/>
    <w:rsid w:val="00036065"/>
    <w:rsid w:val="0006208F"/>
    <w:rsid w:val="00096AC3"/>
    <w:rsid w:val="000E50EC"/>
    <w:rsid w:val="000F2CC3"/>
    <w:rsid w:val="000F5EED"/>
    <w:rsid w:val="00166AF1"/>
    <w:rsid w:val="001838BC"/>
    <w:rsid w:val="001A5366"/>
    <w:rsid w:val="001E5380"/>
    <w:rsid w:val="001F0D3B"/>
    <w:rsid w:val="00215ED6"/>
    <w:rsid w:val="00242113"/>
    <w:rsid w:val="00244876"/>
    <w:rsid w:val="002B2090"/>
    <w:rsid w:val="002C4F87"/>
    <w:rsid w:val="00301D23"/>
    <w:rsid w:val="003125C2"/>
    <w:rsid w:val="00340895"/>
    <w:rsid w:val="003545D7"/>
    <w:rsid w:val="00364962"/>
    <w:rsid w:val="0036686E"/>
    <w:rsid w:val="00380474"/>
    <w:rsid w:val="00390878"/>
    <w:rsid w:val="00403B08"/>
    <w:rsid w:val="00421C90"/>
    <w:rsid w:val="00440F5F"/>
    <w:rsid w:val="00450456"/>
    <w:rsid w:val="00494A48"/>
    <w:rsid w:val="004B0768"/>
    <w:rsid w:val="004D2B40"/>
    <w:rsid w:val="0056076A"/>
    <w:rsid w:val="00577132"/>
    <w:rsid w:val="005A337D"/>
    <w:rsid w:val="005E7F60"/>
    <w:rsid w:val="00630D4B"/>
    <w:rsid w:val="00633BA9"/>
    <w:rsid w:val="00674C7C"/>
    <w:rsid w:val="00677B55"/>
    <w:rsid w:val="006E52D9"/>
    <w:rsid w:val="007130EC"/>
    <w:rsid w:val="00720F4A"/>
    <w:rsid w:val="00744CCE"/>
    <w:rsid w:val="007474F0"/>
    <w:rsid w:val="007C19CC"/>
    <w:rsid w:val="007C6CF5"/>
    <w:rsid w:val="007F0409"/>
    <w:rsid w:val="0082300D"/>
    <w:rsid w:val="008470C5"/>
    <w:rsid w:val="00855491"/>
    <w:rsid w:val="0086619F"/>
    <w:rsid w:val="008A7909"/>
    <w:rsid w:val="008C3451"/>
    <w:rsid w:val="008D2F64"/>
    <w:rsid w:val="008E7266"/>
    <w:rsid w:val="008E7733"/>
    <w:rsid w:val="00913B89"/>
    <w:rsid w:val="00917A6D"/>
    <w:rsid w:val="009468DB"/>
    <w:rsid w:val="00947571"/>
    <w:rsid w:val="00955997"/>
    <w:rsid w:val="00964A47"/>
    <w:rsid w:val="00986BA2"/>
    <w:rsid w:val="0099480A"/>
    <w:rsid w:val="009A60C3"/>
    <w:rsid w:val="009B25CC"/>
    <w:rsid w:val="009D5565"/>
    <w:rsid w:val="009E2D97"/>
    <w:rsid w:val="00A10AC7"/>
    <w:rsid w:val="00A26128"/>
    <w:rsid w:val="00A713E6"/>
    <w:rsid w:val="00A8351A"/>
    <w:rsid w:val="00A83A52"/>
    <w:rsid w:val="00AA0293"/>
    <w:rsid w:val="00AB5139"/>
    <w:rsid w:val="00AC37A5"/>
    <w:rsid w:val="00AD62E5"/>
    <w:rsid w:val="00AD6BD8"/>
    <w:rsid w:val="00AE7E40"/>
    <w:rsid w:val="00B11683"/>
    <w:rsid w:val="00B3083B"/>
    <w:rsid w:val="00B40048"/>
    <w:rsid w:val="00B80EE9"/>
    <w:rsid w:val="00BC152F"/>
    <w:rsid w:val="00BC3427"/>
    <w:rsid w:val="00BC755B"/>
    <w:rsid w:val="00BD58E5"/>
    <w:rsid w:val="00BF3A6D"/>
    <w:rsid w:val="00C32B01"/>
    <w:rsid w:val="00C520E0"/>
    <w:rsid w:val="00C5574A"/>
    <w:rsid w:val="00C84954"/>
    <w:rsid w:val="00CA4159"/>
    <w:rsid w:val="00CE7B37"/>
    <w:rsid w:val="00D310B5"/>
    <w:rsid w:val="00DF5176"/>
    <w:rsid w:val="00DF751E"/>
    <w:rsid w:val="00E220D0"/>
    <w:rsid w:val="00E620A5"/>
    <w:rsid w:val="00E8444D"/>
    <w:rsid w:val="00E9179D"/>
    <w:rsid w:val="00E96EC6"/>
    <w:rsid w:val="00EA2202"/>
    <w:rsid w:val="00EB7B7B"/>
    <w:rsid w:val="00ED0303"/>
    <w:rsid w:val="00F06BD4"/>
    <w:rsid w:val="00F2791D"/>
    <w:rsid w:val="00F73AA3"/>
    <w:rsid w:val="00F91D09"/>
    <w:rsid w:val="00FA1CDC"/>
    <w:rsid w:val="00FF4BC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68"/>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qFormat/>
    <w:rsid w:val="004B0768"/>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B0768"/>
    <w:rPr>
      <w:rFonts w:ascii="Times New Roman" w:eastAsia="Times New Roman" w:hAnsi="Times New Roman" w:cs="Times New Roman"/>
      <w:sz w:val="28"/>
      <w:szCs w:val="20"/>
      <w:lang w:val="en-US"/>
    </w:rPr>
  </w:style>
  <w:style w:type="paragraph" w:customStyle="1" w:styleId="naisf">
    <w:name w:val="naisf"/>
    <w:basedOn w:val="Normal"/>
    <w:rsid w:val="004B0768"/>
    <w:pPr>
      <w:spacing w:before="75" w:after="75"/>
      <w:ind w:firstLine="375"/>
      <w:jc w:val="both"/>
    </w:pPr>
  </w:style>
  <w:style w:type="paragraph" w:customStyle="1" w:styleId="naisnod">
    <w:name w:val="naisnod"/>
    <w:basedOn w:val="Normal"/>
    <w:rsid w:val="004B0768"/>
    <w:pPr>
      <w:spacing w:before="150" w:after="150"/>
      <w:jc w:val="center"/>
    </w:pPr>
    <w:rPr>
      <w:b/>
      <w:bCs/>
    </w:rPr>
  </w:style>
  <w:style w:type="paragraph" w:customStyle="1" w:styleId="naiskr">
    <w:name w:val="naiskr"/>
    <w:basedOn w:val="Normal"/>
    <w:rsid w:val="004B0768"/>
    <w:pPr>
      <w:spacing w:before="75" w:after="75"/>
    </w:pPr>
  </w:style>
  <w:style w:type="paragraph" w:styleId="FootnoteText">
    <w:name w:val="footnote text"/>
    <w:basedOn w:val="Normal"/>
    <w:link w:val="FootnoteTextChar"/>
    <w:semiHidden/>
    <w:rsid w:val="004B0768"/>
    <w:rPr>
      <w:sz w:val="20"/>
      <w:szCs w:val="20"/>
    </w:rPr>
  </w:style>
  <w:style w:type="character" w:customStyle="1" w:styleId="FootnoteTextChar">
    <w:name w:val="Footnote Text Char"/>
    <w:basedOn w:val="DefaultParagraphFont"/>
    <w:link w:val="FootnoteText"/>
    <w:semiHidden/>
    <w:rsid w:val="004B0768"/>
    <w:rPr>
      <w:rFonts w:ascii="Times New Roman" w:eastAsia="Times New Roman" w:hAnsi="Times New Roman" w:cs="Times New Roman"/>
      <w:sz w:val="20"/>
      <w:szCs w:val="20"/>
      <w:lang w:eastAsia="lv-LV"/>
    </w:rPr>
  </w:style>
  <w:style w:type="paragraph" w:styleId="BodyTextIndent2">
    <w:name w:val="Body Text Indent 2"/>
    <w:basedOn w:val="Normal"/>
    <w:link w:val="BodyTextIndent2Char"/>
    <w:uiPriority w:val="99"/>
    <w:semiHidden/>
    <w:unhideWhenUsed/>
    <w:rsid w:val="004B0768"/>
    <w:pPr>
      <w:spacing w:after="120" w:line="480" w:lineRule="auto"/>
      <w:ind w:left="283"/>
    </w:pPr>
  </w:style>
  <w:style w:type="character" w:customStyle="1" w:styleId="BodyTextIndent2Char">
    <w:name w:val="Body Text Indent 2 Char"/>
    <w:basedOn w:val="DefaultParagraphFont"/>
    <w:link w:val="BodyTextIndent2"/>
    <w:uiPriority w:val="99"/>
    <w:semiHidden/>
    <w:rsid w:val="004B0768"/>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B0768"/>
    <w:pPr>
      <w:tabs>
        <w:tab w:val="center" w:pos="4153"/>
        <w:tab w:val="right" w:pos="8306"/>
      </w:tabs>
    </w:pPr>
  </w:style>
  <w:style w:type="character" w:customStyle="1" w:styleId="HeaderChar">
    <w:name w:val="Header Char"/>
    <w:basedOn w:val="DefaultParagraphFont"/>
    <w:link w:val="Header"/>
    <w:uiPriority w:val="99"/>
    <w:rsid w:val="004B076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B0768"/>
    <w:pPr>
      <w:tabs>
        <w:tab w:val="center" w:pos="4153"/>
        <w:tab w:val="right" w:pos="8306"/>
      </w:tabs>
    </w:pPr>
  </w:style>
  <w:style w:type="character" w:customStyle="1" w:styleId="FooterChar">
    <w:name w:val="Footer Char"/>
    <w:basedOn w:val="DefaultParagraphFont"/>
    <w:link w:val="Footer"/>
    <w:uiPriority w:val="99"/>
    <w:rsid w:val="004B0768"/>
    <w:rPr>
      <w:rFonts w:ascii="Times New Roman" w:eastAsia="Times New Roman" w:hAnsi="Times New Roman" w:cs="Times New Roman"/>
      <w:sz w:val="24"/>
      <w:szCs w:val="24"/>
      <w:lang w:eastAsia="lv-LV"/>
    </w:rPr>
  </w:style>
  <w:style w:type="paragraph" w:styleId="NoSpacing">
    <w:name w:val="No Spacing"/>
    <w:uiPriority w:val="1"/>
    <w:qFormat/>
    <w:rsid w:val="004B0768"/>
    <w:pPr>
      <w:spacing w:after="0" w:line="240" w:lineRule="auto"/>
    </w:pPr>
    <w:rPr>
      <w:rFonts w:ascii="Times New Roman" w:eastAsia="Times New Roman" w:hAnsi="Times New Roman" w:cs="Times New Roman"/>
      <w:sz w:val="20"/>
      <w:szCs w:val="20"/>
    </w:rPr>
  </w:style>
  <w:style w:type="paragraph" w:customStyle="1" w:styleId="naisc">
    <w:name w:val="naisc"/>
    <w:basedOn w:val="Normal"/>
    <w:rsid w:val="004B0768"/>
    <w:pPr>
      <w:spacing w:before="75" w:after="75"/>
      <w:jc w:val="center"/>
    </w:pPr>
  </w:style>
  <w:style w:type="character" w:styleId="Strong">
    <w:name w:val="Strong"/>
    <w:basedOn w:val="DefaultParagraphFont"/>
    <w:uiPriority w:val="22"/>
    <w:qFormat/>
    <w:rsid w:val="004B0768"/>
    <w:rPr>
      <w:b/>
      <w:bCs/>
    </w:rPr>
  </w:style>
  <w:style w:type="paragraph" w:styleId="BodyText">
    <w:name w:val="Body Text"/>
    <w:basedOn w:val="Normal"/>
    <w:link w:val="BodyTextChar"/>
    <w:uiPriority w:val="99"/>
    <w:semiHidden/>
    <w:unhideWhenUsed/>
    <w:rsid w:val="00403B08"/>
    <w:pPr>
      <w:spacing w:after="120"/>
    </w:pPr>
  </w:style>
  <w:style w:type="character" w:customStyle="1" w:styleId="BodyTextChar">
    <w:name w:val="Body Text Char"/>
    <w:basedOn w:val="DefaultParagraphFont"/>
    <w:link w:val="BodyText"/>
    <w:uiPriority w:val="99"/>
    <w:semiHidden/>
    <w:rsid w:val="00403B08"/>
    <w:rPr>
      <w:rFonts w:ascii="Times New Roman" w:eastAsia="Times New Roman" w:hAnsi="Times New Roman" w:cs="Times New Roman"/>
      <w:sz w:val="24"/>
      <w:szCs w:val="24"/>
      <w:lang w:eastAsia="lv-LV"/>
    </w:rPr>
  </w:style>
  <w:style w:type="paragraph" w:styleId="PlainText">
    <w:name w:val="Plain Text"/>
    <w:basedOn w:val="Normal"/>
    <w:link w:val="PlainTextChar"/>
    <w:rsid w:val="00A8351A"/>
    <w:rPr>
      <w:rFonts w:ascii="Courier New" w:hAnsi="Courier New" w:cs="Courier New"/>
      <w:sz w:val="20"/>
      <w:szCs w:val="20"/>
    </w:rPr>
  </w:style>
  <w:style w:type="character" w:customStyle="1" w:styleId="PlainTextChar">
    <w:name w:val="Plain Text Char"/>
    <w:basedOn w:val="DefaultParagraphFont"/>
    <w:link w:val="PlainText"/>
    <w:rsid w:val="00A8351A"/>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F91D09"/>
    <w:rPr>
      <w:rFonts w:ascii="Tahoma" w:hAnsi="Tahoma" w:cs="Tahoma"/>
      <w:sz w:val="16"/>
      <w:szCs w:val="16"/>
    </w:rPr>
  </w:style>
  <w:style w:type="character" w:customStyle="1" w:styleId="BalloonTextChar">
    <w:name w:val="Balloon Text Char"/>
    <w:basedOn w:val="DefaultParagraphFont"/>
    <w:link w:val="BalloonText"/>
    <w:uiPriority w:val="99"/>
    <w:semiHidden/>
    <w:rsid w:val="00F91D09"/>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6192</Words>
  <Characters>3530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„Sporta bāzu un nacionālo sporta bāzu pārbaudes kārtība” </vt:lpstr>
    </vt:vector>
  </TitlesOfParts>
  <Company>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„Sporta bāzu un nacionālo sporta bāzu pārbaudes kārtība” </dc:title>
  <dc:subject>MK noteikumu projekta anotācija</dc:subject>
  <dc:creator>Anda Mičule</dc:creator>
  <cp:keywords/>
  <dc:description>anda.micule@izm.gov.lv
67047928</dc:description>
  <cp:lastModifiedBy>amicule</cp:lastModifiedBy>
  <cp:revision>7</cp:revision>
  <cp:lastPrinted>2010-06-28T11:31:00Z</cp:lastPrinted>
  <dcterms:created xsi:type="dcterms:W3CDTF">2011-12-23T08:12:00Z</dcterms:created>
  <dcterms:modified xsi:type="dcterms:W3CDTF">2012-01-16T09:31:00Z</dcterms:modified>
</cp:coreProperties>
</file>