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4D672A" w:rsidP="00300C69">
      <w:pPr>
        <w:rPr>
          <w:b/>
          <w:sz w:val="28"/>
          <w:szCs w:val="28"/>
        </w:rPr>
      </w:pPr>
      <w:r>
        <w:rPr>
          <w:b/>
          <w:sz w:val="28"/>
          <w:szCs w:val="28"/>
        </w:rPr>
        <w:t xml:space="preserve">  </w:t>
      </w: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r w:rsidRPr="002B56FA">
        <w:rPr>
          <w:b/>
          <w:sz w:val="26"/>
          <w:szCs w:val="26"/>
        </w:rPr>
        <w:t>Ministru kabineta rīkojuma „</w:t>
      </w:r>
      <w:r w:rsidR="00C93B0F" w:rsidRPr="00106173">
        <w:rPr>
          <w:b/>
          <w:bCs/>
          <w:sz w:val="26"/>
          <w:szCs w:val="26"/>
        </w:rPr>
        <w:t xml:space="preserve">Par nacionālās sporta bāzes statusa piešķiršanu </w:t>
      </w:r>
      <w:bookmarkStart w:id="5" w:name="OLE_LINK1"/>
      <w:bookmarkStart w:id="6" w:name="OLE_LINK2"/>
      <w:proofErr w:type="spellStart"/>
      <w:r w:rsidR="00C93B0F">
        <w:rPr>
          <w:b/>
          <w:bCs/>
          <w:sz w:val="26"/>
          <w:szCs w:val="26"/>
        </w:rPr>
        <w:t>Motocentram</w:t>
      </w:r>
      <w:proofErr w:type="spellEnd"/>
      <w:r w:rsidR="00C93B0F">
        <w:rPr>
          <w:b/>
          <w:bCs/>
          <w:sz w:val="26"/>
          <w:szCs w:val="26"/>
        </w:rPr>
        <w:t xml:space="preserve"> „Zelta Zirgs”</w:t>
      </w:r>
      <w:bookmarkEnd w:id="5"/>
      <w:bookmarkEnd w:id="6"/>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265189">
        <w:tc>
          <w:tcPr>
            <w:tcW w:w="10064" w:type="dxa"/>
            <w:gridSpan w:val="3"/>
            <w:vAlign w:val="center"/>
          </w:tcPr>
          <w:bookmarkEnd w:id="0"/>
          <w:bookmarkEnd w:id="1"/>
          <w:bookmarkEnd w:id="2"/>
          <w:bookmarkEnd w:id="3"/>
          <w:bookmarkEnd w:id="4"/>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265189">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4E5E49">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C93B0F">
              <w:t xml:space="preserve"> </w:t>
            </w:r>
            <w:proofErr w:type="spellStart"/>
            <w:r w:rsidR="00C93B0F" w:rsidRPr="00C93B0F">
              <w:rPr>
                <w:bCs/>
                <w:sz w:val="26"/>
                <w:szCs w:val="26"/>
              </w:rPr>
              <w:t>Motocentram</w:t>
            </w:r>
            <w:proofErr w:type="spellEnd"/>
            <w:r w:rsidR="00C93B0F" w:rsidRPr="00C93B0F">
              <w:rPr>
                <w:bCs/>
                <w:sz w:val="26"/>
                <w:szCs w:val="26"/>
              </w:rPr>
              <w:t xml:space="preserve"> „Zelta Zirgs”</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2F4360">
              <w:rPr>
                <w:sz w:val="26"/>
                <w:szCs w:val="26"/>
              </w:rPr>
              <w:t>.</w:t>
            </w:r>
          </w:p>
        </w:tc>
      </w:tr>
      <w:tr w:rsidR="00300C69" w:rsidRPr="002B56FA" w:rsidTr="00265189">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F4360" w:rsidRDefault="00300C69"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4E5E49">
              <w:rPr>
                <w:bCs/>
                <w:sz w:val="26"/>
                <w:szCs w:val="26"/>
              </w:rPr>
              <w:t xml:space="preserve"> </w:t>
            </w:r>
            <w:r w:rsidR="00C93B0F">
              <w:rPr>
                <w:bCs/>
                <w:sz w:val="26"/>
                <w:szCs w:val="26"/>
              </w:rPr>
              <w:t>Baltijas kausa fonds</w:t>
            </w:r>
            <w:r w:rsidRPr="002B56FA">
              <w:rPr>
                <w:sz w:val="26"/>
                <w:szCs w:val="26"/>
              </w:rPr>
              <w:t>”</w:t>
            </w:r>
            <w:r w:rsidR="00CD46B7">
              <w:rPr>
                <w:sz w:val="26"/>
                <w:szCs w:val="26"/>
              </w:rPr>
              <w:t>,</w:t>
            </w:r>
            <w:r w:rsidRPr="002B56FA">
              <w:rPr>
                <w:sz w:val="26"/>
                <w:szCs w:val="26"/>
              </w:rPr>
              <w:t xml:space="preserve"> 201</w:t>
            </w:r>
            <w:r w:rsidR="004E5E49">
              <w:rPr>
                <w:sz w:val="26"/>
                <w:szCs w:val="26"/>
              </w:rPr>
              <w:t>1</w:t>
            </w:r>
            <w:r w:rsidRPr="002B56FA">
              <w:rPr>
                <w:sz w:val="26"/>
                <w:szCs w:val="26"/>
              </w:rPr>
              <w:t xml:space="preserve">.gada </w:t>
            </w:r>
            <w:r w:rsidR="00C93B0F">
              <w:rPr>
                <w:sz w:val="26"/>
                <w:szCs w:val="26"/>
              </w:rPr>
              <w:t>4</w:t>
            </w:r>
            <w:r w:rsidRPr="002B56FA">
              <w:rPr>
                <w:sz w:val="26"/>
                <w:szCs w:val="26"/>
              </w:rPr>
              <w:t>.</w:t>
            </w:r>
            <w:r w:rsidR="004E5E49">
              <w:rPr>
                <w:sz w:val="26"/>
                <w:szCs w:val="26"/>
              </w:rPr>
              <w:t>aprīlī</w:t>
            </w:r>
            <w:r w:rsidR="005E44AD">
              <w:rPr>
                <w:sz w:val="26"/>
                <w:szCs w:val="26"/>
              </w:rPr>
              <w:t xml:space="preserve"> </w:t>
            </w:r>
            <w:r w:rsidR="005E44AD" w:rsidRPr="00161CC8">
              <w:rPr>
                <w:sz w:val="26"/>
                <w:szCs w:val="26"/>
              </w:rPr>
              <w:t xml:space="preserve">(papildināts 2011.gada </w:t>
            </w:r>
            <w:r w:rsidR="005E44AD">
              <w:rPr>
                <w:sz w:val="26"/>
                <w:szCs w:val="26"/>
              </w:rPr>
              <w:t>29.septembrī</w:t>
            </w:r>
            <w:r w:rsidR="005E44AD" w:rsidRPr="00161CC8">
              <w:rPr>
                <w:sz w:val="26"/>
                <w:szCs w:val="26"/>
              </w:rPr>
              <w:t>)</w:t>
            </w:r>
            <w:r w:rsidRPr="002B56FA">
              <w:rPr>
                <w:sz w:val="26"/>
                <w:szCs w:val="26"/>
              </w:rPr>
              <w:t xml:space="preserve"> ir iesniegusi Izglītības un zinātnes ministrijā iesniegumu par nacionālās sporta bāzes statusa piešķiršanu un dokumentus, kas apliecina </w:t>
            </w:r>
            <w:r w:rsidR="004E5E49">
              <w:rPr>
                <w:bCs/>
                <w:sz w:val="26"/>
                <w:szCs w:val="26"/>
              </w:rPr>
              <w:t xml:space="preserve"> </w:t>
            </w:r>
            <w:r w:rsidR="00362A66">
              <w:t xml:space="preserve"> </w:t>
            </w:r>
            <w:proofErr w:type="spellStart"/>
            <w:r w:rsidR="00362A66">
              <w:rPr>
                <w:bCs/>
                <w:sz w:val="26"/>
                <w:szCs w:val="26"/>
              </w:rPr>
              <w:t>Motocentra</w:t>
            </w:r>
            <w:proofErr w:type="spellEnd"/>
            <w:r w:rsidR="00362A66" w:rsidRPr="00362A66">
              <w:rPr>
                <w:bCs/>
                <w:sz w:val="26"/>
                <w:szCs w:val="26"/>
              </w:rPr>
              <w:t xml:space="preserve"> „Zelta Zirgs”</w:t>
            </w:r>
            <w:r>
              <w:rPr>
                <w:sz w:val="26"/>
                <w:szCs w:val="26"/>
              </w:rPr>
              <w:t xml:space="preserve">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 xml:space="preserve">šanas nosacījumiem. </w:t>
            </w:r>
          </w:p>
          <w:p w:rsidR="00300C69" w:rsidRPr="002B56FA" w:rsidRDefault="00300C69" w:rsidP="00265189">
            <w:pPr>
              <w:ind w:firstLine="783"/>
              <w:jc w:val="both"/>
              <w:rPr>
                <w:sz w:val="26"/>
                <w:szCs w:val="26"/>
              </w:rPr>
            </w:pPr>
            <w:r>
              <w:rPr>
                <w:sz w:val="26"/>
                <w:szCs w:val="26"/>
              </w:rPr>
              <w:t>Saskaņā ar L</w:t>
            </w:r>
            <w:r w:rsidRPr="002B56FA">
              <w:rPr>
                <w:sz w:val="26"/>
                <w:szCs w:val="26"/>
              </w:rPr>
              <w:t xml:space="preserve">ikuma 6.panta </w:t>
            </w:r>
            <w:r w:rsidR="002E581A" w:rsidRPr="002E581A">
              <w:rPr>
                <w:b/>
                <w:sz w:val="26"/>
                <w:szCs w:val="26"/>
              </w:rPr>
              <w:t>3</w:t>
            </w:r>
            <w:r w:rsidR="002E581A" w:rsidRPr="002E581A">
              <w:rPr>
                <w:b/>
                <w:sz w:val="26"/>
                <w:szCs w:val="26"/>
                <w:vertAlign w:val="superscript"/>
              </w:rPr>
              <w:t>1</w:t>
            </w:r>
            <w:r w:rsidRPr="002B56FA">
              <w:rPr>
                <w:sz w:val="26"/>
                <w:szCs w:val="26"/>
              </w:rPr>
              <w:t xml:space="preserve"> </w:t>
            </w:r>
            <w:r w:rsidR="002E581A">
              <w:rPr>
                <w:sz w:val="26"/>
                <w:szCs w:val="26"/>
              </w:rPr>
              <w:t xml:space="preserve">daļā </w:t>
            </w:r>
            <w:r w:rsidRPr="002B56FA">
              <w:rPr>
                <w:sz w:val="26"/>
                <w:szCs w:val="26"/>
              </w:rPr>
              <w:t>noteikto ir saņemts Latvijas Nacionālā</w:t>
            </w:r>
            <w:r w:rsidR="007528A0">
              <w:rPr>
                <w:sz w:val="26"/>
                <w:szCs w:val="26"/>
              </w:rPr>
              <w:t>s</w:t>
            </w:r>
            <w:r w:rsidRPr="002B56FA">
              <w:rPr>
                <w:sz w:val="26"/>
                <w:szCs w:val="26"/>
              </w:rPr>
              <w:t xml:space="preserve"> sporta padomes 201</w:t>
            </w:r>
            <w:r w:rsidR="00D1130F">
              <w:rPr>
                <w:sz w:val="26"/>
                <w:szCs w:val="26"/>
              </w:rPr>
              <w:t>1</w:t>
            </w:r>
            <w:r w:rsidRPr="002B56FA">
              <w:rPr>
                <w:sz w:val="26"/>
                <w:szCs w:val="26"/>
              </w:rPr>
              <w:t xml:space="preserve">.gada </w:t>
            </w:r>
            <w:r w:rsidR="00D1130F">
              <w:rPr>
                <w:sz w:val="26"/>
                <w:szCs w:val="26"/>
              </w:rPr>
              <w:t>28</w:t>
            </w:r>
            <w:r w:rsidRPr="002B56FA">
              <w:rPr>
                <w:sz w:val="26"/>
                <w:szCs w:val="26"/>
              </w:rPr>
              <w:t>.</w:t>
            </w:r>
            <w:r w:rsidR="00D1130F">
              <w:rPr>
                <w:sz w:val="26"/>
                <w:szCs w:val="26"/>
              </w:rPr>
              <w:t>aprīļa</w:t>
            </w:r>
            <w:r w:rsidRPr="002B56FA">
              <w:rPr>
                <w:sz w:val="26"/>
                <w:szCs w:val="26"/>
              </w:rPr>
              <w:t xml:space="preserve"> sēdes </w:t>
            </w:r>
            <w:r w:rsidR="00735D1E" w:rsidRPr="00C010F3">
              <w:rPr>
                <w:sz w:val="26"/>
                <w:szCs w:val="26"/>
              </w:rPr>
              <w:t>(prot. Nr. 2 7.§, 7.1.</w:t>
            </w:r>
            <w:r w:rsidR="00362A66">
              <w:rPr>
                <w:sz w:val="26"/>
                <w:szCs w:val="26"/>
              </w:rPr>
              <w:t>3</w:t>
            </w:r>
            <w:r w:rsidR="00735D1E" w:rsidRPr="00C010F3">
              <w:rPr>
                <w:sz w:val="26"/>
                <w:szCs w:val="26"/>
              </w:rPr>
              <w:t>.apakšpunkts)</w:t>
            </w:r>
            <w:r>
              <w:rPr>
                <w:sz w:val="26"/>
                <w:szCs w:val="26"/>
              </w:rPr>
              <w:t xml:space="preserve"> atzinums par </w:t>
            </w:r>
            <w:r w:rsidR="004E5E49">
              <w:rPr>
                <w:bCs/>
                <w:sz w:val="26"/>
                <w:szCs w:val="26"/>
              </w:rPr>
              <w:t xml:space="preserve"> </w:t>
            </w:r>
            <w:r w:rsidR="00362A66">
              <w:rPr>
                <w:bCs/>
                <w:sz w:val="26"/>
                <w:szCs w:val="26"/>
              </w:rPr>
              <w:t xml:space="preserve"> </w:t>
            </w:r>
            <w:proofErr w:type="spellStart"/>
            <w:r w:rsidR="00362A66">
              <w:rPr>
                <w:bCs/>
                <w:sz w:val="26"/>
                <w:szCs w:val="26"/>
              </w:rPr>
              <w:t>Motocentra</w:t>
            </w:r>
            <w:proofErr w:type="spellEnd"/>
            <w:r w:rsidR="00362A66" w:rsidRPr="00362A66">
              <w:rPr>
                <w:bCs/>
                <w:sz w:val="26"/>
                <w:szCs w:val="26"/>
              </w:rPr>
              <w:t xml:space="preserve"> „Zelta Zirgs”</w:t>
            </w:r>
            <w:r w:rsidR="00924DF5">
              <w:rPr>
                <w:bCs/>
                <w:sz w:val="26"/>
                <w:szCs w:val="26"/>
              </w:rPr>
              <w:t xml:space="preserve"> </w:t>
            </w:r>
            <w:r>
              <w:rPr>
                <w:sz w:val="26"/>
                <w:szCs w:val="26"/>
              </w:rPr>
              <w:t>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t>1) tā ir reģistrēta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300C69" w:rsidRPr="002B56FA" w:rsidRDefault="00300C69" w:rsidP="00265189">
            <w:pPr>
              <w:jc w:val="both"/>
              <w:rPr>
                <w:sz w:val="26"/>
                <w:szCs w:val="26"/>
              </w:rPr>
            </w:pPr>
            <w:r w:rsidRPr="002B56FA">
              <w:rPr>
                <w:sz w:val="26"/>
                <w:szCs w:val="26"/>
              </w:rPr>
              <w:t xml:space="preserve">5) tā ir piemērota pasaules </w:t>
            </w:r>
            <w:r w:rsidR="00752D53">
              <w:rPr>
                <w:sz w:val="26"/>
                <w:szCs w:val="26"/>
              </w:rPr>
              <w:t>vai</w:t>
            </w:r>
            <w:r w:rsidRPr="002B56FA">
              <w:rPr>
                <w:sz w:val="26"/>
                <w:szCs w:val="26"/>
              </w:rPr>
              <w:t xml:space="preserve"> Eiropas čempionātu, to posmu, kausu izcīņas 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300C69"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p w:rsidR="00924DF5" w:rsidRDefault="00924DF5" w:rsidP="00265189">
            <w:pPr>
              <w:jc w:val="both"/>
              <w:rPr>
                <w:sz w:val="26"/>
                <w:szCs w:val="26"/>
              </w:rPr>
            </w:pPr>
            <w:r>
              <w:rPr>
                <w:sz w:val="26"/>
                <w:szCs w:val="26"/>
              </w:rPr>
              <w:t>Starptautiskās motosporta federācijas (</w:t>
            </w:r>
            <w:r w:rsidRPr="00924DF5">
              <w:rPr>
                <w:i/>
                <w:sz w:val="26"/>
                <w:szCs w:val="26"/>
              </w:rPr>
              <w:t>FIM</w:t>
            </w:r>
            <w:r>
              <w:rPr>
                <w:sz w:val="26"/>
                <w:szCs w:val="26"/>
              </w:rPr>
              <w:t xml:space="preserve">) trases licence Nr. 12-8 ir uzskatāma par </w:t>
            </w:r>
            <w:r>
              <w:t xml:space="preserve"> </w:t>
            </w:r>
            <w:r w:rsidRPr="00924DF5">
              <w:rPr>
                <w:sz w:val="26"/>
                <w:szCs w:val="26"/>
              </w:rPr>
              <w:t>starptautiskās sporta federācijas apliecinājumu.</w:t>
            </w:r>
          </w:p>
          <w:p w:rsidR="007C7F7C" w:rsidRPr="007C7F7C" w:rsidRDefault="007C7F7C" w:rsidP="00265189">
            <w:pPr>
              <w:jc w:val="both"/>
              <w:rPr>
                <w:b/>
                <w:sz w:val="26"/>
                <w:szCs w:val="26"/>
              </w:rPr>
            </w:pPr>
            <w:r w:rsidRPr="007C7F7C">
              <w:rPr>
                <w:b/>
                <w:sz w:val="26"/>
                <w:szCs w:val="26"/>
              </w:rPr>
              <w:t xml:space="preserve">Nekustamā īpašuma objektu, kas ir iekļauti </w:t>
            </w:r>
            <w:proofErr w:type="spellStart"/>
            <w:r w:rsidRPr="007C7F7C">
              <w:rPr>
                <w:b/>
                <w:sz w:val="26"/>
                <w:szCs w:val="26"/>
              </w:rPr>
              <w:t>Motocentra</w:t>
            </w:r>
            <w:proofErr w:type="spellEnd"/>
            <w:r w:rsidRPr="007C7F7C">
              <w:rPr>
                <w:b/>
                <w:sz w:val="26"/>
                <w:szCs w:val="26"/>
              </w:rPr>
              <w:t xml:space="preserve"> „Zelta Zirgs” sastāvā, īpašnieku (tai skaitā privātpersonu) iesniegumi (apliecinājumi) par piekrišanu saistībā ar nacionālās sporta bāzes statusa piešķiršanu ir uzskatāmi par nekustamā īpašuma īpašnieku (tai skaitā privātpersonu) viedokli.</w:t>
            </w:r>
          </w:p>
          <w:p w:rsidR="00EF4C61" w:rsidRPr="00EF4C61" w:rsidRDefault="00EF4C61" w:rsidP="00265189">
            <w:pPr>
              <w:jc w:val="both"/>
              <w:rPr>
                <w:b/>
                <w:sz w:val="26"/>
                <w:szCs w:val="26"/>
              </w:rPr>
            </w:pPr>
            <w:r w:rsidRPr="00EF4C61">
              <w:rPr>
                <w:b/>
                <w:sz w:val="26"/>
                <w:szCs w:val="26"/>
              </w:rPr>
              <w:t>Ievērojot to, ka pēc Latvijas Nacionālās sporta padome</w:t>
            </w:r>
            <w:r>
              <w:rPr>
                <w:b/>
                <w:sz w:val="26"/>
                <w:szCs w:val="26"/>
              </w:rPr>
              <w:t>s</w:t>
            </w:r>
            <w:r w:rsidRPr="00EF4C61">
              <w:rPr>
                <w:b/>
                <w:sz w:val="26"/>
                <w:szCs w:val="26"/>
              </w:rPr>
              <w:t xml:space="preserve"> 2011.gada 28.aprīļa sēdes tika pieprasīta papildus informācija un dokumenti par atsevišķiem nekustamajiem īpašumiem (informācija par īpašniekiem, īpašuma sastāvā ietilpstošu zemesgabalu un uz to izvieto</w:t>
            </w:r>
            <w:r>
              <w:rPr>
                <w:b/>
                <w:sz w:val="26"/>
                <w:szCs w:val="26"/>
              </w:rPr>
              <w:t xml:space="preserve">to būvju apliecinoši dokumenti) un to, ka </w:t>
            </w:r>
            <w:r>
              <w:t xml:space="preserve"> </w:t>
            </w:r>
            <w:r w:rsidRPr="00EF4C61">
              <w:rPr>
                <w:b/>
                <w:sz w:val="26"/>
                <w:szCs w:val="26"/>
              </w:rPr>
              <w:t>Likuma 6. panta 3</w:t>
            </w:r>
            <w:r w:rsidRPr="00EF4C61">
              <w:rPr>
                <w:b/>
                <w:sz w:val="26"/>
                <w:szCs w:val="26"/>
                <w:vertAlign w:val="superscript"/>
              </w:rPr>
              <w:t>1</w:t>
            </w:r>
            <w:r w:rsidRPr="00EF4C61">
              <w:rPr>
                <w:b/>
                <w:sz w:val="26"/>
                <w:szCs w:val="26"/>
              </w:rPr>
              <w:t xml:space="preserve"> daļa</w:t>
            </w:r>
            <w:r>
              <w:rPr>
                <w:b/>
                <w:sz w:val="26"/>
                <w:szCs w:val="26"/>
              </w:rPr>
              <w:t xml:space="preserve"> par </w:t>
            </w:r>
            <w:r w:rsidRPr="00EF4C61">
              <w:rPr>
                <w:b/>
                <w:sz w:val="26"/>
                <w:szCs w:val="26"/>
              </w:rPr>
              <w:t xml:space="preserve"> </w:t>
            </w:r>
            <w:r>
              <w:t xml:space="preserve"> </w:t>
            </w:r>
            <w:r w:rsidRPr="00EF4C61">
              <w:rPr>
                <w:b/>
                <w:sz w:val="26"/>
                <w:szCs w:val="26"/>
              </w:rPr>
              <w:t>sporta bāzes sākotnēj</w:t>
            </w:r>
            <w:r>
              <w:rPr>
                <w:b/>
                <w:sz w:val="26"/>
                <w:szCs w:val="26"/>
              </w:rPr>
              <w:t>o</w:t>
            </w:r>
            <w:r w:rsidRPr="00EF4C61">
              <w:rPr>
                <w:b/>
                <w:sz w:val="26"/>
                <w:szCs w:val="26"/>
              </w:rPr>
              <w:t xml:space="preserve"> pārbaud</w:t>
            </w:r>
            <w:r>
              <w:rPr>
                <w:b/>
                <w:sz w:val="26"/>
                <w:szCs w:val="26"/>
              </w:rPr>
              <w:t>i</w:t>
            </w:r>
            <w:r w:rsidRPr="00EF4C61">
              <w:rPr>
                <w:b/>
                <w:sz w:val="26"/>
                <w:szCs w:val="26"/>
              </w:rPr>
              <w:t xml:space="preserve"> stājās spēkā 2011.gada 30.jūnijā (ar 2011.gada 9.jūnija likumu „Grozījumi likumā „Par nacionālās sporta bāzes statusu””</w:t>
            </w:r>
            <w:r>
              <w:rPr>
                <w:b/>
                <w:sz w:val="26"/>
                <w:szCs w:val="26"/>
              </w:rPr>
              <w:t>),</w:t>
            </w:r>
            <w:r w:rsidRPr="00EF4C61">
              <w:rPr>
                <w:b/>
                <w:sz w:val="26"/>
                <w:szCs w:val="26"/>
              </w:rPr>
              <w:t xml:space="preserve"> ministrijas pārstāvji sporta bāzi apsekoja klātienē, lai </w:t>
            </w:r>
            <w:r w:rsidRPr="00EF4C61">
              <w:rPr>
                <w:b/>
                <w:sz w:val="26"/>
                <w:szCs w:val="26"/>
              </w:rPr>
              <w:lastRenderedPageBreak/>
              <w:t>pārliecinātos par iesniegtajos dokumentos minēto informāciju.</w:t>
            </w:r>
          </w:p>
          <w:p w:rsidR="00924DF5" w:rsidRPr="00924DF5" w:rsidRDefault="00924DF5" w:rsidP="00924DF5">
            <w:pPr>
              <w:jc w:val="both"/>
              <w:rPr>
                <w:sz w:val="26"/>
                <w:szCs w:val="26"/>
              </w:rPr>
            </w:pPr>
            <w:proofErr w:type="spellStart"/>
            <w:r>
              <w:rPr>
                <w:bCs/>
                <w:sz w:val="26"/>
                <w:szCs w:val="26"/>
              </w:rPr>
              <w:t>Motocentrs</w:t>
            </w:r>
            <w:proofErr w:type="spellEnd"/>
            <w:r w:rsidRPr="00362A66">
              <w:rPr>
                <w:bCs/>
                <w:sz w:val="26"/>
                <w:szCs w:val="26"/>
              </w:rPr>
              <w:t xml:space="preserve"> „Zelta Zirgs”</w:t>
            </w:r>
            <w:r>
              <w:rPr>
                <w:bCs/>
                <w:sz w:val="26"/>
                <w:szCs w:val="26"/>
              </w:rPr>
              <w:t xml:space="preserve"> </w:t>
            </w:r>
            <w:r w:rsidRPr="00924DF5">
              <w:rPr>
                <w:sz w:val="26"/>
                <w:szCs w:val="26"/>
              </w:rPr>
              <w:t xml:space="preserve">pēc daudzu sportistu, funkcionāru un līdzjutēju vērtējuma ir viens no labākajiem </w:t>
            </w:r>
            <w:proofErr w:type="spellStart"/>
            <w:r w:rsidRPr="00924DF5">
              <w:rPr>
                <w:sz w:val="26"/>
                <w:szCs w:val="26"/>
              </w:rPr>
              <w:t>motocentriem</w:t>
            </w:r>
            <w:proofErr w:type="spellEnd"/>
            <w:r w:rsidRPr="00924DF5">
              <w:rPr>
                <w:sz w:val="26"/>
                <w:szCs w:val="26"/>
              </w:rPr>
              <w:t xml:space="preserve"> Eiropā un pasaulē, bet MX1 Latvijas </w:t>
            </w:r>
            <w:r w:rsidR="00275539" w:rsidRPr="00275539">
              <w:rPr>
                <w:i/>
                <w:sz w:val="26"/>
                <w:szCs w:val="26"/>
              </w:rPr>
              <w:t xml:space="preserve">Grand </w:t>
            </w:r>
            <w:proofErr w:type="spellStart"/>
            <w:r w:rsidR="00275539" w:rsidRPr="00275539">
              <w:rPr>
                <w:i/>
                <w:sz w:val="26"/>
                <w:szCs w:val="26"/>
              </w:rPr>
              <w:t>Prix</w:t>
            </w:r>
            <w:proofErr w:type="spellEnd"/>
            <w:r w:rsidRPr="00924DF5">
              <w:rPr>
                <w:sz w:val="26"/>
                <w:szCs w:val="26"/>
              </w:rPr>
              <w:t xml:space="preserve"> Ķegumā tiek atzītas kā vienas no labākajām sacensībām MX1 Pasaules čempionātā. To nosaka gan lieliskā </w:t>
            </w:r>
            <w:proofErr w:type="spellStart"/>
            <w:r w:rsidRPr="00924DF5">
              <w:rPr>
                <w:sz w:val="26"/>
                <w:szCs w:val="26"/>
              </w:rPr>
              <w:t>motocentra</w:t>
            </w:r>
            <w:proofErr w:type="spellEnd"/>
            <w:r w:rsidRPr="00924DF5">
              <w:rPr>
                <w:sz w:val="26"/>
                <w:szCs w:val="26"/>
              </w:rPr>
              <w:t xml:space="preserve"> infrastruktūra un sakoptā vide, gan interesantā trase un tās ideālā </w:t>
            </w:r>
            <w:proofErr w:type="spellStart"/>
            <w:r w:rsidRPr="00924DF5">
              <w:rPr>
                <w:sz w:val="26"/>
                <w:szCs w:val="26"/>
              </w:rPr>
              <w:t>pārredzamība</w:t>
            </w:r>
            <w:proofErr w:type="spellEnd"/>
            <w:r w:rsidRPr="00924DF5">
              <w:rPr>
                <w:sz w:val="26"/>
                <w:szCs w:val="26"/>
              </w:rPr>
              <w:t xml:space="preserve">, kas ļauj līdzjutējiem sekot 100% visai sacensību norisei, gan arī teicamā sacensību organizācija. </w:t>
            </w:r>
          </w:p>
          <w:p w:rsidR="009E3C17" w:rsidRDefault="00924DF5" w:rsidP="00275539">
            <w:pPr>
              <w:jc w:val="both"/>
              <w:rPr>
                <w:sz w:val="26"/>
                <w:szCs w:val="26"/>
              </w:rPr>
            </w:pPr>
            <w:r w:rsidRPr="00924DF5">
              <w:rPr>
                <w:sz w:val="26"/>
                <w:szCs w:val="26"/>
              </w:rPr>
              <w:t xml:space="preserve">Kā apliecinājums augstāk teiktajam ir tas, ka 2010. gada rudenī ir ticis parakstīts līgums par  Nāciju Motokrosa rīkošanu Latvijā Ķegumā </w:t>
            </w:r>
            <w:r w:rsidR="007528A0">
              <w:rPr>
                <w:bCs/>
                <w:sz w:val="26"/>
                <w:szCs w:val="26"/>
              </w:rPr>
              <w:t xml:space="preserve"> </w:t>
            </w:r>
            <w:proofErr w:type="spellStart"/>
            <w:r w:rsidR="007528A0">
              <w:rPr>
                <w:bCs/>
                <w:sz w:val="26"/>
                <w:szCs w:val="26"/>
              </w:rPr>
              <w:t>M</w:t>
            </w:r>
            <w:r w:rsidR="00275539">
              <w:rPr>
                <w:bCs/>
                <w:sz w:val="26"/>
                <w:szCs w:val="26"/>
              </w:rPr>
              <w:t>otocentrā</w:t>
            </w:r>
            <w:proofErr w:type="spellEnd"/>
            <w:r w:rsidR="00275539" w:rsidRPr="00362A66">
              <w:rPr>
                <w:bCs/>
                <w:sz w:val="26"/>
                <w:szCs w:val="26"/>
              </w:rPr>
              <w:t xml:space="preserve"> „Zelta Zirgs”</w:t>
            </w:r>
            <w:r w:rsidR="00275539">
              <w:rPr>
                <w:bCs/>
                <w:sz w:val="26"/>
                <w:szCs w:val="26"/>
              </w:rPr>
              <w:t xml:space="preserve"> </w:t>
            </w:r>
            <w:r w:rsidRPr="00924DF5">
              <w:rPr>
                <w:sz w:val="26"/>
                <w:szCs w:val="26"/>
              </w:rPr>
              <w:t>2014. gadā.</w:t>
            </w:r>
          </w:p>
          <w:p w:rsidR="00605B27" w:rsidRPr="00605B27" w:rsidRDefault="00605B27" w:rsidP="00605B27">
            <w:pPr>
              <w:jc w:val="both"/>
              <w:rPr>
                <w:b/>
                <w:sz w:val="26"/>
                <w:szCs w:val="26"/>
              </w:rPr>
            </w:pPr>
            <w:r w:rsidRPr="00605B27">
              <w:rPr>
                <w:b/>
                <w:sz w:val="26"/>
                <w:szCs w:val="26"/>
              </w:rPr>
              <w:t xml:space="preserve">Sporta bāze ir komplekss veidojums, kas savas funkcijas sporta jomā var nodrošināt tikai tad, ja tās sastāvā ir atbilstošas un sporta funkciju tieši vai pastarpināti nodrošinošas būves. </w:t>
            </w:r>
          </w:p>
        </w:tc>
      </w:tr>
      <w:tr w:rsidR="00300C69" w:rsidRPr="002B56FA" w:rsidTr="00265189">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AA3C5A" w:rsidP="00265189">
            <w:pPr>
              <w:pStyle w:val="FootnoteText"/>
              <w:rPr>
                <w:sz w:val="26"/>
                <w:szCs w:val="26"/>
              </w:rPr>
            </w:pPr>
            <w:r>
              <w:rPr>
                <w:sz w:val="26"/>
                <w:szCs w:val="26"/>
              </w:rPr>
              <w:t>Projekts šo jomu neskar</w:t>
            </w:r>
          </w:p>
        </w:tc>
      </w:tr>
      <w:tr w:rsidR="00300C69" w:rsidRPr="002B56FA" w:rsidTr="00265189">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2F4360">
            <w:pPr>
              <w:pStyle w:val="naiskr"/>
              <w:spacing w:before="0" w:after="0"/>
              <w:jc w:val="both"/>
              <w:rPr>
                <w:sz w:val="26"/>
                <w:szCs w:val="26"/>
              </w:rPr>
            </w:pPr>
            <w:r>
              <w:rPr>
                <w:iCs/>
                <w:sz w:val="26"/>
                <w:szCs w:val="26"/>
              </w:rPr>
              <w:t>R</w:t>
            </w:r>
            <w:r w:rsidRPr="002B56FA">
              <w:rPr>
                <w:iCs/>
                <w:sz w:val="26"/>
                <w:szCs w:val="26"/>
              </w:rPr>
              <w:t xml:space="preserve">īkojuma projekts paredz </w:t>
            </w:r>
            <w:r w:rsidR="00807BCE">
              <w:rPr>
                <w:bCs/>
                <w:sz w:val="26"/>
                <w:szCs w:val="26"/>
              </w:rPr>
              <w:t xml:space="preserve"> </w:t>
            </w:r>
            <w:proofErr w:type="spellStart"/>
            <w:r w:rsidR="00807BCE">
              <w:rPr>
                <w:bCs/>
                <w:sz w:val="26"/>
                <w:szCs w:val="26"/>
              </w:rPr>
              <w:t>Motocentram</w:t>
            </w:r>
            <w:proofErr w:type="spellEnd"/>
            <w:r w:rsidR="00807BCE" w:rsidRPr="00362A66">
              <w:rPr>
                <w:bCs/>
                <w:sz w:val="26"/>
                <w:szCs w:val="26"/>
              </w:rPr>
              <w:t xml:space="preserve"> „Zelta Zirgs”</w:t>
            </w:r>
            <w:r w:rsidR="00807BCE">
              <w:rPr>
                <w:bCs/>
                <w:sz w:val="26"/>
                <w:szCs w:val="26"/>
              </w:rPr>
              <w:t xml:space="preserve"> </w:t>
            </w:r>
            <w:r w:rsidR="00A273DA" w:rsidRPr="002B56FA">
              <w:rPr>
                <w:iCs/>
                <w:sz w:val="26"/>
                <w:szCs w:val="26"/>
              </w:rPr>
              <w:t xml:space="preserve">piešķirt </w:t>
            </w:r>
            <w:r w:rsidR="00A273DA">
              <w:rPr>
                <w:iCs/>
                <w:sz w:val="26"/>
                <w:szCs w:val="26"/>
              </w:rPr>
              <w:t>nacionālās sporta bāzes statusu</w:t>
            </w:r>
            <w:r w:rsidRPr="002B56FA">
              <w:rPr>
                <w:sz w:val="26"/>
                <w:szCs w:val="26"/>
              </w:rPr>
              <w:t>.</w:t>
            </w:r>
          </w:p>
        </w:tc>
      </w:tr>
      <w:tr w:rsidR="00300C69" w:rsidRPr="002B56FA" w:rsidTr="00265189">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7" w:name="OLE_LINK11"/>
            <w:bookmarkStart w:id="8" w:name="OLE_LINK12"/>
            <w:r>
              <w:rPr>
                <w:sz w:val="26"/>
                <w:szCs w:val="26"/>
              </w:rPr>
              <w:t>Izglītības un zinātnes ministrija,</w:t>
            </w:r>
          </w:p>
          <w:bookmarkEnd w:id="7"/>
          <w:bookmarkEnd w:id="8"/>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265189">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D0459F" w:rsidRDefault="00D0459F" w:rsidP="00265189">
            <w:pPr>
              <w:pStyle w:val="FootnoteText"/>
              <w:rPr>
                <w:b/>
                <w:sz w:val="26"/>
                <w:szCs w:val="26"/>
              </w:rPr>
            </w:pPr>
            <w:r w:rsidRPr="00D0459F">
              <w:rPr>
                <w:b/>
                <w:sz w:val="26"/>
                <w:szCs w:val="26"/>
              </w:rPr>
              <w:t>Jautājums neparedz ieviest tādas izmaiņas, kas varētu nelabvēlīgi ietekmēt sabiedrības intereses.</w:t>
            </w:r>
          </w:p>
        </w:tc>
      </w:tr>
      <w:tr w:rsidR="00A273DA" w:rsidRPr="002B56FA" w:rsidTr="00265189">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A273DA" w:rsidP="00A273DA">
            <w:pPr>
              <w:pStyle w:val="naiskr"/>
              <w:jc w:val="both"/>
              <w:rPr>
                <w:sz w:val="26"/>
                <w:szCs w:val="26"/>
              </w:rPr>
            </w:pPr>
            <w:r>
              <w:rPr>
                <w:sz w:val="26"/>
                <w:szCs w:val="26"/>
              </w:rPr>
              <w:tab/>
            </w:r>
            <w:r w:rsidRPr="00DB23D2">
              <w:rPr>
                <w:sz w:val="26"/>
                <w:szCs w:val="26"/>
              </w:rPr>
              <w:t>Rīkojuma projekts attiecas uz tūrisma, sporta un brīvā laika politiku.</w:t>
            </w:r>
          </w:p>
          <w:p w:rsidR="00A273DA" w:rsidRPr="00D1130F" w:rsidRDefault="00A273DA" w:rsidP="00D1130F">
            <w:pPr>
              <w:pStyle w:val="naiskr"/>
              <w:ind w:firstLine="681"/>
              <w:jc w:val="both"/>
              <w:rPr>
                <w:sz w:val="26"/>
                <w:szCs w:val="26"/>
              </w:rPr>
            </w:pPr>
            <w:r w:rsidRPr="00D1130F">
              <w:rPr>
                <w:sz w:val="26"/>
                <w:szCs w:val="26"/>
              </w:rPr>
              <w:t>Nacionālās sporta bāzes īpašniekam</w:t>
            </w:r>
            <w:r w:rsidR="00EF4C61">
              <w:rPr>
                <w:sz w:val="26"/>
                <w:szCs w:val="26"/>
              </w:rPr>
              <w:t xml:space="preserve"> </w:t>
            </w:r>
            <w:r w:rsidR="00EF4C61" w:rsidRPr="00EF4C61">
              <w:rPr>
                <w:b/>
                <w:sz w:val="26"/>
                <w:szCs w:val="26"/>
              </w:rPr>
              <w:t>(tai skaitā privātpersonai)</w:t>
            </w:r>
            <w:r w:rsidRPr="00D1130F">
              <w:rPr>
                <w:sz w:val="26"/>
                <w:szCs w:val="26"/>
              </w:rPr>
              <w:t xml:space="preserve">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A273DA" w:rsidRPr="002B56FA" w:rsidRDefault="00A273DA" w:rsidP="00A273DA">
            <w:pPr>
              <w:pStyle w:val="naiskr"/>
              <w:spacing w:before="0" w:after="0"/>
              <w:jc w:val="both"/>
              <w:rPr>
                <w:sz w:val="26"/>
                <w:szCs w:val="26"/>
              </w:rPr>
            </w:pPr>
            <w:r w:rsidRPr="00D1130F">
              <w:rPr>
                <w:sz w:val="26"/>
                <w:szCs w:val="26"/>
              </w:rPr>
              <w:tab/>
              <w:t xml:space="preserve">Savukārt pie nacionālās sporta bāzes īpašnieka tiesībām var pieminēt </w:t>
            </w:r>
            <w:r w:rsidRPr="00D1130F">
              <w:rPr>
                <w:sz w:val="26"/>
                <w:szCs w:val="26"/>
              </w:rPr>
              <w:lastRenderedPageBreak/>
              <w:t>faktu, ka saskaņā ar likuma „Par nekustamā īpašuma nodokli” 1.panta otrās daļas 8.punktu ar nekustamā īpašuma nodokli neapliek nacionālās sporta bāzes un zemi to uzturēšanai.</w:t>
            </w:r>
          </w:p>
        </w:tc>
      </w:tr>
    </w:tbl>
    <w:p w:rsidR="00300C69" w:rsidRPr="007C7F7C" w:rsidRDefault="00300C69" w:rsidP="00300C69">
      <w:pPr>
        <w:pStyle w:val="naisf"/>
        <w:spacing w:before="0" w:after="0"/>
        <w:ind w:firstLine="0"/>
        <w:rPr>
          <w:sz w:val="16"/>
          <w:szCs w:val="16"/>
        </w:rPr>
      </w:pPr>
    </w:p>
    <w:p w:rsidR="00300C69" w:rsidRDefault="00300C69" w:rsidP="00300C69">
      <w:pPr>
        <w:pStyle w:val="naisf"/>
        <w:spacing w:before="0" w:after="0"/>
        <w:rPr>
          <w:i/>
          <w:sz w:val="26"/>
          <w:szCs w:val="26"/>
        </w:rPr>
      </w:pPr>
      <w:r w:rsidRPr="002B56FA">
        <w:rPr>
          <w:i/>
          <w:sz w:val="26"/>
          <w:szCs w:val="26"/>
        </w:rPr>
        <w:t xml:space="preserve">Anotācijas II sadaļa </w:t>
      </w:r>
      <w:r>
        <w:rPr>
          <w:i/>
          <w:sz w:val="26"/>
          <w:szCs w:val="26"/>
        </w:rPr>
        <w:t xml:space="preserve">–  </w:t>
      </w:r>
      <w:r w:rsidR="00AA3C5A">
        <w:rPr>
          <w:i/>
          <w:sz w:val="26"/>
          <w:szCs w:val="26"/>
        </w:rPr>
        <w:t>p</w:t>
      </w:r>
      <w:r w:rsidR="00AA3C5A" w:rsidRPr="00AA3C5A">
        <w:rPr>
          <w:i/>
          <w:sz w:val="26"/>
          <w:szCs w:val="26"/>
        </w:rPr>
        <w:t>rojekts šo jomu neskar</w:t>
      </w:r>
    </w:p>
    <w:p w:rsidR="00AA3C5A" w:rsidRPr="007C7F7C" w:rsidRDefault="00AA3C5A" w:rsidP="00300C69">
      <w:pPr>
        <w:pStyle w:val="naisf"/>
        <w:spacing w:before="0" w:after="0"/>
        <w:rPr>
          <w:sz w:val="16"/>
          <w:szCs w:val="1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4975DF">
            <w:pPr>
              <w:spacing w:before="50" w:after="50"/>
              <w:jc w:val="center"/>
              <w:rPr>
                <w:sz w:val="26"/>
                <w:szCs w:val="26"/>
              </w:rPr>
            </w:pPr>
            <w:r w:rsidRPr="002B56FA">
              <w:rPr>
                <w:sz w:val="26"/>
                <w:szCs w:val="26"/>
              </w:rPr>
              <w:t> </w:t>
            </w:r>
            <w:r w:rsidRPr="002B56FA">
              <w:rPr>
                <w:b/>
                <w:bCs/>
                <w:sz w:val="26"/>
                <w:szCs w:val="26"/>
              </w:rPr>
              <w:t>201</w:t>
            </w:r>
            <w:r w:rsidR="004975DF">
              <w:rPr>
                <w:b/>
                <w:bCs/>
                <w:sz w:val="26"/>
                <w:szCs w:val="26"/>
              </w:rPr>
              <w:t>1</w:t>
            </w:r>
            <w:r w:rsidRPr="002B56FA">
              <w:rPr>
                <w:b/>
                <w:bCs/>
                <w:sz w:val="26"/>
                <w:szCs w:val="26"/>
              </w:rPr>
              <w:t>.gads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AA3C5A">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2</w:t>
            </w:r>
            <w:r w:rsidRPr="002B56FA">
              <w:rPr>
                <w:b/>
                <w:bCs/>
                <w:sz w:val="26"/>
                <w:szCs w:val="26"/>
              </w:rPr>
              <w:t>.</w:t>
            </w: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3</w:t>
            </w:r>
            <w:r w:rsidRPr="002B56FA">
              <w:rPr>
                <w:b/>
                <w:bCs/>
                <w:sz w:val="26"/>
                <w:szCs w:val="26"/>
              </w:rPr>
              <w:t>.</w:t>
            </w:r>
          </w:p>
        </w:tc>
        <w:tc>
          <w:tcPr>
            <w:tcW w:w="772"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4</w:t>
            </w:r>
            <w:r w:rsidRPr="002B56FA">
              <w:rPr>
                <w:b/>
                <w:bCs/>
                <w:sz w:val="26"/>
                <w:szCs w:val="26"/>
              </w:rPr>
              <w:t>.</w:t>
            </w:r>
          </w:p>
        </w:tc>
      </w:tr>
      <w:tr w:rsidR="00300C69" w:rsidRPr="002B56FA" w:rsidTr="00AA3C5A">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Saskaņā ar valsts budžetu kārtējam gadam</w:t>
            </w:r>
          </w:p>
        </w:tc>
        <w:tc>
          <w:tcPr>
            <w:tcW w:w="881" w:type="pct"/>
            <w:hideMark/>
          </w:tcPr>
          <w:p w:rsidR="00300C69" w:rsidRPr="002B56FA" w:rsidRDefault="00300C69"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72"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r>
      <w:tr w:rsidR="00300C69" w:rsidRPr="002B56FA" w:rsidTr="00AA3C5A">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2" w:type="pct"/>
            <w:hideMark/>
          </w:tcPr>
          <w:p w:rsidR="00300C69" w:rsidRPr="002B56FA" w:rsidRDefault="00300C69" w:rsidP="00265189">
            <w:pPr>
              <w:spacing w:before="50" w:after="50"/>
              <w:jc w:val="center"/>
              <w:rPr>
                <w:sz w:val="26"/>
                <w:szCs w:val="26"/>
              </w:rPr>
            </w:pPr>
            <w:r w:rsidRPr="002B56FA">
              <w:rPr>
                <w:sz w:val="26"/>
                <w:szCs w:val="26"/>
              </w:rPr>
              <w:t> 6</w:t>
            </w:r>
          </w:p>
        </w:tc>
      </w:tr>
      <w:tr w:rsidR="00020CDA" w:rsidRPr="00020CDA" w:rsidTr="00AA3C5A">
        <w:trPr>
          <w:trHeight w:val="588"/>
        </w:trPr>
        <w:tc>
          <w:tcPr>
            <w:tcW w:w="1015" w:type="pct"/>
            <w:hideMark/>
          </w:tcPr>
          <w:p w:rsidR="00020CDA" w:rsidRPr="002B56FA" w:rsidRDefault="00020CDA" w:rsidP="00265189">
            <w:pPr>
              <w:spacing w:before="50" w:after="50"/>
              <w:rPr>
                <w:sz w:val="26"/>
                <w:szCs w:val="26"/>
              </w:rPr>
            </w:pPr>
            <w:r w:rsidRPr="002B56FA">
              <w:rPr>
                <w:sz w:val="26"/>
                <w:szCs w:val="26"/>
              </w:rPr>
              <w:t> 1. Budžeta ieņēmumi:</w:t>
            </w:r>
          </w:p>
        </w:tc>
        <w:tc>
          <w:tcPr>
            <w:tcW w:w="802" w:type="pct"/>
            <w:hideMark/>
          </w:tcPr>
          <w:p w:rsidR="00020CDA" w:rsidRPr="00E47BC2" w:rsidRDefault="00020CDA" w:rsidP="00E47BC2">
            <w:pPr>
              <w:jc w:val="center"/>
            </w:pPr>
            <w:r>
              <w:t>0</w:t>
            </w:r>
          </w:p>
        </w:tc>
        <w:tc>
          <w:tcPr>
            <w:tcW w:w="881" w:type="pct"/>
            <w:hideMark/>
          </w:tcPr>
          <w:p w:rsidR="00020CDA" w:rsidRPr="00E47BC2" w:rsidRDefault="00020CDA" w:rsidP="00E47BC2">
            <w:pPr>
              <w:jc w:val="center"/>
            </w:pPr>
          </w:p>
        </w:tc>
        <w:tc>
          <w:tcPr>
            <w:tcW w:w="765" w:type="pct"/>
            <w:hideMark/>
          </w:tcPr>
          <w:p w:rsidR="00020CDA" w:rsidRPr="00020CDA" w:rsidRDefault="00020CDA">
            <w:pPr>
              <w:rPr>
                <w:i/>
              </w:rPr>
            </w:pPr>
            <w:r w:rsidRPr="00020CDA">
              <w:rPr>
                <w:i/>
              </w:rPr>
              <w:t>Projekts šo jomu neskar</w:t>
            </w:r>
          </w:p>
        </w:tc>
        <w:tc>
          <w:tcPr>
            <w:tcW w:w="765" w:type="pct"/>
            <w:hideMark/>
          </w:tcPr>
          <w:p w:rsidR="00020CDA" w:rsidRPr="00020CDA" w:rsidRDefault="00020CDA">
            <w:pPr>
              <w:rPr>
                <w:i/>
              </w:rPr>
            </w:pPr>
            <w:r w:rsidRPr="00020CDA">
              <w:rPr>
                <w:i/>
              </w:rPr>
              <w:t>Projekts šo jomu neskar</w:t>
            </w:r>
          </w:p>
        </w:tc>
        <w:tc>
          <w:tcPr>
            <w:tcW w:w="772" w:type="pct"/>
            <w:hideMark/>
          </w:tcPr>
          <w:p w:rsidR="00020CDA" w:rsidRPr="00020CDA" w:rsidRDefault="00020CDA">
            <w:pPr>
              <w:rPr>
                <w:i/>
              </w:rPr>
            </w:pPr>
            <w:r w:rsidRPr="00020CDA">
              <w:rPr>
                <w:i/>
              </w:rPr>
              <w:t>Projekts šo jomu neskar</w:t>
            </w:r>
          </w:p>
        </w:tc>
      </w:tr>
      <w:tr w:rsidR="00020CDA" w:rsidRPr="00020CDA" w:rsidTr="00AA3C5A">
        <w:tc>
          <w:tcPr>
            <w:tcW w:w="1015" w:type="pct"/>
            <w:hideMark/>
          </w:tcPr>
          <w:p w:rsidR="00020CDA" w:rsidRPr="002B56FA" w:rsidRDefault="00020CDA"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20CDA" w:rsidRPr="00E47BC2" w:rsidRDefault="00020CDA" w:rsidP="00E47BC2">
            <w:pPr>
              <w:jc w:val="center"/>
            </w:pPr>
            <w:r>
              <w:t>0</w:t>
            </w:r>
          </w:p>
        </w:tc>
        <w:tc>
          <w:tcPr>
            <w:tcW w:w="881" w:type="pct"/>
            <w:hideMark/>
          </w:tcPr>
          <w:p w:rsidR="00020CDA" w:rsidRPr="00E47BC2" w:rsidRDefault="00020CDA" w:rsidP="00E47BC2">
            <w:pPr>
              <w:jc w:val="center"/>
            </w:pPr>
          </w:p>
        </w:tc>
        <w:tc>
          <w:tcPr>
            <w:tcW w:w="765" w:type="pct"/>
            <w:hideMark/>
          </w:tcPr>
          <w:p w:rsidR="00020CDA" w:rsidRPr="00020CDA" w:rsidRDefault="00020CDA">
            <w:pPr>
              <w:rPr>
                <w:i/>
              </w:rPr>
            </w:pPr>
            <w:r w:rsidRPr="00020CDA">
              <w:rPr>
                <w:i/>
              </w:rPr>
              <w:t>Projekts šo jomu neskar</w:t>
            </w:r>
          </w:p>
        </w:tc>
        <w:tc>
          <w:tcPr>
            <w:tcW w:w="765" w:type="pct"/>
            <w:hideMark/>
          </w:tcPr>
          <w:p w:rsidR="00020CDA" w:rsidRPr="00020CDA" w:rsidRDefault="00020CDA">
            <w:pPr>
              <w:rPr>
                <w:i/>
              </w:rPr>
            </w:pPr>
            <w:r w:rsidRPr="00020CDA">
              <w:rPr>
                <w:i/>
              </w:rPr>
              <w:t>Projekts šo jomu neskar</w:t>
            </w:r>
          </w:p>
        </w:tc>
        <w:tc>
          <w:tcPr>
            <w:tcW w:w="772" w:type="pct"/>
            <w:hideMark/>
          </w:tcPr>
          <w:p w:rsidR="00020CDA" w:rsidRPr="00020CDA" w:rsidRDefault="00020CDA">
            <w:pPr>
              <w:rPr>
                <w:i/>
              </w:rPr>
            </w:pPr>
            <w:r w:rsidRPr="00020CDA">
              <w:rPr>
                <w:i/>
              </w:rPr>
              <w:t>Projekts šo jomu neskar</w:t>
            </w:r>
          </w:p>
        </w:tc>
      </w:tr>
      <w:tr w:rsidR="00020CDA" w:rsidRPr="00020CDA" w:rsidTr="00AA3C5A">
        <w:tc>
          <w:tcPr>
            <w:tcW w:w="1015" w:type="pct"/>
            <w:hideMark/>
          </w:tcPr>
          <w:p w:rsidR="00020CDA" w:rsidRPr="002B56FA" w:rsidRDefault="00020CDA" w:rsidP="00265189">
            <w:pPr>
              <w:spacing w:before="50" w:after="50"/>
              <w:rPr>
                <w:sz w:val="26"/>
                <w:szCs w:val="26"/>
              </w:rPr>
            </w:pPr>
            <w:r w:rsidRPr="002B56FA">
              <w:rPr>
                <w:sz w:val="26"/>
                <w:szCs w:val="26"/>
              </w:rPr>
              <w:t> 1.2. valsts speciālais budžets</w:t>
            </w:r>
          </w:p>
        </w:tc>
        <w:tc>
          <w:tcPr>
            <w:tcW w:w="802" w:type="pct"/>
            <w:hideMark/>
          </w:tcPr>
          <w:p w:rsidR="00020CDA" w:rsidRPr="00E47BC2" w:rsidRDefault="00020CDA" w:rsidP="00E47BC2">
            <w:pPr>
              <w:jc w:val="center"/>
            </w:pPr>
            <w:r>
              <w:t>0</w:t>
            </w:r>
          </w:p>
        </w:tc>
        <w:tc>
          <w:tcPr>
            <w:tcW w:w="881" w:type="pct"/>
            <w:hideMark/>
          </w:tcPr>
          <w:p w:rsidR="00020CDA" w:rsidRPr="00E47BC2" w:rsidRDefault="00020CDA" w:rsidP="00E47BC2">
            <w:pPr>
              <w:jc w:val="center"/>
            </w:pPr>
          </w:p>
        </w:tc>
        <w:tc>
          <w:tcPr>
            <w:tcW w:w="765" w:type="pct"/>
            <w:hideMark/>
          </w:tcPr>
          <w:p w:rsidR="00020CDA" w:rsidRPr="00020CDA" w:rsidRDefault="00020CDA">
            <w:pPr>
              <w:rPr>
                <w:i/>
              </w:rPr>
            </w:pPr>
            <w:r w:rsidRPr="00020CDA">
              <w:rPr>
                <w:i/>
              </w:rPr>
              <w:t>Projekts šo jomu neskar</w:t>
            </w:r>
          </w:p>
        </w:tc>
        <w:tc>
          <w:tcPr>
            <w:tcW w:w="765" w:type="pct"/>
            <w:hideMark/>
          </w:tcPr>
          <w:p w:rsidR="00020CDA" w:rsidRPr="00020CDA" w:rsidRDefault="00020CDA">
            <w:pPr>
              <w:rPr>
                <w:i/>
              </w:rPr>
            </w:pPr>
            <w:r w:rsidRPr="00020CDA">
              <w:rPr>
                <w:i/>
              </w:rPr>
              <w:t>Projekts šo jomu neskar</w:t>
            </w:r>
          </w:p>
        </w:tc>
        <w:tc>
          <w:tcPr>
            <w:tcW w:w="772" w:type="pct"/>
            <w:hideMark/>
          </w:tcPr>
          <w:p w:rsidR="00020CDA" w:rsidRPr="00020CDA" w:rsidRDefault="00020CDA">
            <w:pPr>
              <w:rPr>
                <w:i/>
              </w:rPr>
            </w:pPr>
            <w:r w:rsidRPr="00020CDA">
              <w:rPr>
                <w:i/>
              </w:rPr>
              <w:t>Projekts šo jomu neskar</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1.3. pašvaldību budžets</w:t>
            </w:r>
          </w:p>
        </w:tc>
        <w:tc>
          <w:tcPr>
            <w:tcW w:w="802" w:type="pct"/>
            <w:hideMark/>
          </w:tcPr>
          <w:p w:rsidR="00AA3C5A" w:rsidRPr="00E47BC2" w:rsidRDefault="00E47BC2" w:rsidP="00E47BC2">
            <w:pPr>
              <w:spacing w:before="50" w:after="50"/>
              <w:ind w:firstLine="250"/>
              <w:jc w:val="center"/>
              <w:rPr>
                <w:sz w:val="26"/>
                <w:szCs w:val="26"/>
              </w:rPr>
            </w:pPr>
            <w:r>
              <w:rPr>
                <w:sz w:val="26"/>
                <w:szCs w:val="26"/>
              </w:rPr>
              <w:t>0</w:t>
            </w:r>
          </w:p>
        </w:tc>
        <w:tc>
          <w:tcPr>
            <w:tcW w:w="881" w:type="pct"/>
            <w:hideMark/>
          </w:tcPr>
          <w:p w:rsidR="00AA3C5A" w:rsidRPr="00E47BC2" w:rsidRDefault="00AA3C5A" w:rsidP="00E47BC2">
            <w:pPr>
              <w:spacing w:before="50" w:after="50"/>
              <w:ind w:firstLine="250"/>
              <w:jc w:val="center"/>
              <w:rPr>
                <w:sz w:val="26"/>
                <w:szCs w:val="26"/>
              </w:rPr>
            </w:pPr>
          </w:p>
        </w:tc>
        <w:tc>
          <w:tcPr>
            <w:tcW w:w="765" w:type="pct"/>
            <w:hideMark/>
          </w:tcPr>
          <w:p w:rsidR="00AA3C5A" w:rsidRDefault="00F822F5" w:rsidP="001F7BEF">
            <w:r w:rsidRPr="00020CDA">
              <w:rPr>
                <w:i/>
              </w:rPr>
              <w:t>Projekts šo jomu neskar</w:t>
            </w:r>
          </w:p>
        </w:tc>
        <w:tc>
          <w:tcPr>
            <w:tcW w:w="765" w:type="pct"/>
            <w:hideMark/>
          </w:tcPr>
          <w:p w:rsidR="00AA3C5A" w:rsidRDefault="00AA3C5A" w:rsidP="001F7BEF">
            <w:r w:rsidRPr="00466BAF">
              <w:rPr>
                <w:i/>
              </w:rPr>
              <w:t>Nav precīzi aprēķināms</w:t>
            </w:r>
          </w:p>
        </w:tc>
        <w:tc>
          <w:tcPr>
            <w:tcW w:w="772" w:type="pct"/>
            <w:hideMark/>
          </w:tcPr>
          <w:p w:rsidR="00AA3C5A" w:rsidRDefault="00AA3C5A" w:rsidP="001F7BEF">
            <w:r w:rsidRPr="00466BAF">
              <w:rPr>
                <w:i/>
              </w:rPr>
              <w:t>Nav precīzi aprēķināms</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2. Budžeta izdevumi:</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C04F2B">
              <w:rPr>
                <w:i/>
              </w:rPr>
              <w:t>Projekts šo jomu neskar</w:t>
            </w:r>
          </w:p>
        </w:tc>
        <w:tc>
          <w:tcPr>
            <w:tcW w:w="765" w:type="pct"/>
            <w:hideMark/>
          </w:tcPr>
          <w:p w:rsidR="00F822F5" w:rsidRDefault="00F822F5">
            <w:r w:rsidRPr="00C04F2B">
              <w:rPr>
                <w:i/>
              </w:rPr>
              <w:t>Projekts šo jomu neskar</w:t>
            </w:r>
          </w:p>
        </w:tc>
        <w:tc>
          <w:tcPr>
            <w:tcW w:w="772" w:type="pct"/>
            <w:hideMark/>
          </w:tcPr>
          <w:p w:rsidR="00F822F5" w:rsidRDefault="00F822F5">
            <w:r w:rsidRPr="00C04F2B">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2.1. valsts pamatbudžets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C04F2B">
              <w:rPr>
                <w:i/>
              </w:rPr>
              <w:t>Projekts šo jomu neskar</w:t>
            </w:r>
          </w:p>
        </w:tc>
        <w:tc>
          <w:tcPr>
            <w:tcW w:w="765" w:type="pct"/>
            <w:hideMark/>
          </w:tcPr>
          <w:p w:rsidR="00F822F5" w:rsidRDefault="00F822F5">
            <w:r w:rsidRPr="00C04F2B">
              <w:rPr>
                <w:i/>
              </w:rPr>
              <w:t>Projekts šo jomu neskar</w:t>
            </w:r>
          </w:p>
        </w:tc>
        <w:tc>
          <w:tcPr>
            <w:tcW w:w="772" w:type="pct"/>
            <w:hideMark/>
          </w:tcPr>
          <w:p w:rsidR="00F822F5" w:rsidRDefault="00F822F5">
            <w:r w:rsidRPr="00C04F2B">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2.2. valsts speciālais 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C04F2B">
              <w:rPr>
                <w:i/>
              </w:rPr>
              <w:t>Projekts šo jomu neskar</w:t>
            </w:r>
          </w:p>
        </w:tc>
        <w:tc>
          <w:tcPr>
            <w:tcW w:w="765" w:type="pct"/>
            <w:hideMark/>
          </w:tcPr>
          <w:p w:rsidR="00F822F5" w:rsidRDefault="00F822F5">
            <w:r w:rsidRPr="00C04F2B">
              <w:rPr>
                <w:i/>
              </w:rPr>
              <w:t>Projekts šo jomu neskar</w:t>
            </w:r>
          </w:p>
        </w:tc>
        <w:tc>
          <w:tcPr>
            <w:tcW w:w="772" w:type="pct"/>
            <w:hideMark/>
          </w:tcPr>
          <w:p w:rsidR="00F822F5" w:rsidRDefault="00F822F5">
            <w:r w:rsidRPr="00C04F2B">
              <w:rPr>
                <w:i/>
              </w:rPr>
              <w:t>Projekts šo jomu neskar</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1666DC">
              <w:rPr>
                <w:i/>
              </w:rPr>
              <w:t>Nav precīzi aprēķināms</w:t>
            </w:r>
          </w:p>
        </w:tc>
        <w:tc>
          <w:tcPr>
            <w:tcW w:w="765" w:type="pct"/>
            <w:hideMark/>
          </w:tcPr>
          <w:p w:rsidR="00AA3C5A" w:rsidRDefault="00AA3C5A" w:rsidP="001F7BEF">
            <w:r w:rsidRPr="001666DC">
              <w:rPr>
                <w:i/>
              </w:rPr>
              <w:t>Nav precīzi aprēķināms</w:t>
            </w:r>
          </w:p>
        </w:tc>
        <w:tc>
          <w:tcPr>
            <w:tcW w:w="772" w:type="pct"/>
            <w:hideMark/>
          </w:tcPr>
          <w:p w:rsidR="00AA3C5A" w:rsidRDefault="00AA3C5A" w:rsidP="001F7BEF">
            <w:r w:rsidRPr="001666DC">
              <w:rPr>
                <w:i/>
              </w:rPr>
              <w:t>Nav precīzi aprēķināms</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3. Finansiālā ietekme:</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154462">
              <w:rPr>
                <w:i/>
              </w:rPr>
              <w:t>Projekts šo jomu neskar</w:t>
            </w:r>
          </w:p>
        </w:tc>
        <w:tc>
          <w:tcPr>
            <w:tcW w:w="765" w:type="pct"/>
            <w:hideMark/>
          </w:tcPr>
          <w:p w:rsidR="00F822F5" w:rsidRDefault="00F822F5">
            <w:r w:rsidRPr="00154462">
              <w:rPr>
                <w:i/>
              </w:rPr>
              <w:t>Projekts šo jomu neskar</w:t>
            </w:r>
          </w:p>
        </w:tc>
        <w:tc>
          <w:tcPr>
            <w:tcW w:w="772" w:type="pct"/>
            <w:hideMark/>
          </w:tcPr>
          <w:p w:rsidR="00F822F5" w:rsidRDefault="00F822F5">
            <w:r w:rsidRPr="00154462">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xml:space="preserve"> 3.1. valsts </w:t>
            </w:r>
            <w:r w:rsidRPr="002B56FA">
              <w:rPr>
                <w:sz w:val="26"/>
                <w:szCs w:val="26"/>
              </w:rPr>
              <w:lastRenderedPageBreak/>
              <w:t>pamatbudžets</w:t>
            </w:r>
          </w:p>
        </w:tc>
        <w:tc>
          <w:tcPr>
            <w:tcW w:w="802" w:type="pct"/>
            <w:hideMark/>
          </w:tcPr>
          <w:p w:rsidR="00F822F5" w:rsidRPr="00E47BC2" w:rsidRDefault="00F822F5" w:rsidP="00E47BC2">
            <w:pPr>
              <w:jc w:val="center"/>
            </w:pPr>
            <w:r>
              <w:lastRenderedPageBreak/>
              <w:t>0</w:t>
            </w:r>
          </w:p>
        </w:tc>
        <w:tc>
          <w:tcPr>
            <w:tcW w:w="881" w:type="pct"/>
            <w:hideMark/>
          </w:tcPr>
          <w:p w:rsidR="00F822F5" w:rsidRPr="00E47BC2" w:rsidRDefault="00F822F5" w:rsidP="00E47BC2">
            <w:pPr>
              <w:jc w:val="center"/>
            </w:pPr>
          </w:p>
        </w:tc>
        <w:tc>
          <w:tcPr>
            <w:tcW w:w="765" w:type="pct"/>
            <w:hideMark/>
          </w:tcPr>
          <w:p w:rsidR="00F822F5" w:rsidRDefault="00F822F5">
            <w:r w:rsidRPr="00154462">
              <w:rPr>
                <w:i/>
              </w:rPr>
              <w:t>Projekts šo jomu neskar</w:t>
            </w:r>
          </w:p>
        </w:tc>
        <w:tc>
          <w:tcPr>
            <w:tcW w:w="765" w:type="pct"/>
            <w:hideMark/>
          </w:tcPr>
          <w:p w:rsidR="00F822F5" w:rsidRDefault="00F822F5">
            <w:r w:rsidRPr="00154462">
              <w:rPr>
                <w:i/>
              </w:rPr>
              <w:t>Projekts šo jomu neskar</w:t>
            </w:r>
          </w:p>
        </w:tc>
        <w:tc>
          <w:tcPr>
            <w:tcW w:w="772" w:type="pct"/>
            <w:hideMark/>
          </w:tcPr>
          <w:p w:rsidR="00F822F5" w:rsidRDefault="00F822F5">
            <w:r w:rsidRPr="00154462">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lastRenderedPageBreak/>
              <w:t> 3.2. speciālais 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154462">
              <w:rPr>
                <w:i/>
              </w:rPr>
              <w:t>Projekts šo jomu neskar</w:t>
            </w:r>
          </w:p>
        </w:tc>
        <w:tc>
          <w:tcPr>
            <w:tcW w:w="765" w:type="pct"/>
            <w:hideMark/>
          </w:tcPr>
          <w:p w:rsidR="00F822F5" w:rsidRDefault="00F822F5">
            <w:r w:rsidRPr="00154462">
              <w:rPr>
                <w:i/>
              </w:rPr>
              <w:t>Projekts šo jomu neskar</w:t>
            </w:r>
          </w:p>
        </w:tc>
        <w:tc>
          <w:tcPr>
            <w:tcW w:w="772" w:type="pct"/>
            <w:hideMark/>
          </w:tcPr>
          <w:p w:rsidR="00F822F5" w:rsidRDefault="00F822F5">
            <w:r w:rsidRPr="00154462">
              <w:rPr>
                <w:i/>
              </w:rPr>
              <w:t>Projekts šo jomu neskar</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F822F5" w:rsidP="001F7BEF">
            <w:r w:rsidRPr="00020CDA">
              <w:rPr>
                <w:i/>
              </w:rPr>
              <w:t>Projekts šo jomu neskar</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vMerge w:val="restart"/>
            <w:hideMark/>
          </w:tcPr>
          <w:p w:rsidR="00AA3C5A" w:rsidRPr="002B56FA" w:rsidRDefault="00AA3C5A" w:rsidP="00265189">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samazinājumu norāda ar "+" </w:t>
            </w:r>
            <w:r w:rsidRPr="00AA3C5A">
              <w:t>zīmi)</w:t>
            </w:r>
          </w:p>
        </w:tc>
        <w:tc>
          <w:tcPr>
            <w:tcW w:w="802" w:type="pct"/>
            <w:vMerge w:val="restar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B86908">
              <w:rPr>
                <w:i/>
              </w:rPr>
              <w:t>Projekts šo jomu neskar</w:t>
            </w:r>
          </w:p>
        </w:tc>
        <w:tc>
          <w:tcPr>
            <w:tcW w:w="765" w:type="pct"/>
            <w:hideMark/>
          </w:tcPr>
          <w:p w:rsidR="00AA3C5A" w:rsidRDefault="00AA3C5A" w:rsidP="001F7BEF">
            <w:r w:rsidRPr="00B86908">
              <w:rPr>
                <w:i/>
              </w:rPr>
              <w:t>Projekts šo jomu neskar</w:t>
            </w:r>
          </w:p>
        </w:tc>
        <w:tc>
          <w:tcPr>
            <w:tcW w:w="772" w:type="pct"/>
            <w:hideMark/>
          </w:tcPr>
          <w:p w:rsidR="00AA3C5A" w:rsidRDefault="00AA3C5A" w:rsidP="001F7BEF">
            <w:r w:rsidRPr="00B86908">
              <w:rPr>
                <w:i/>
              </w:rPr>
              <w:t>Projekts šo jomu neskar</w:t>
            </w:r>
          </w:p>
        </w:tc>
      </w:tr>
      <w:tr w:rsidR="00F822F5" w:rsidRPr="002B56FA" w:rsidTr="00AA3C5A">
        <w:tc>
          <w:tcPr>
            <w:tcW w:w="1015" w:type="pct"/>
            <w:vMerge/>
            <w:hideMark/>
          </w:tcPr>
          <w:p w:rsidR="00F822F5" w:rsidRPr="002B56FA" w:rsidRDefault="00F822F5" w:rsidP="00265189">
            <w:pPr>
              <w:rPr>
                <w:sz w:val="26"/>
                <w:szCs w:val="26"/>
              </w:rPr>
            </w:pPr>
          </w:p>
        </w:tc>
        <w:tc>
          <w:tcPr>
            <w:tcW w:w="802" w:type="pct"/>
            <w:vMerge/>
            <w:hideMark/>
          </w:tcPr>
          <w:p w:rsidR="00F822F5" w:rsidRPr="00E47BC2" w:rsidRDefault="00F822F5" w:rsidP="00E47BC2">
            <w:pPr>
              <w:jc w:val="center"/>
              <w:rPr>
                <w:sz w:val="26"/>
                <w:szCs w:val="26"/>
              </w:rPr>
            </w:pPr>
          </w:p>
        </w:tc>
        <w:tc>
          <w:tcPr>
            <w:tcW w:w="881" w:type="pct"/>
            <w:hideMark/>
          </w:tcPr>
          <w:p w:rsidR="00F822F5" w:rsidRPr="00E47BC2" w:rsidRDefault="00F822F5" w:rsidP="00E47BC2">
            <w:pPr>
              <w:spacing w:before="50" w:after="50"/>
              <w:ind w:firstLine="250"/>
              <w:jc w:val="center"/>
              <w:rPr>
                <w:sz w:val="26"/>
                <w:szCs w:val="26"/>
              </w:rPr>
            </w:pPr>
          </w:p>
        </w:tc>
        <w:tc>
          <w:tcPr>
            <w:tcW w:w="765" w:type="pct"/>
            <w:hideMark/>
          </w:tcPr>
          <w:p w:rsidR="00F822F5" w:rsidRDefault="00F822F5">
            <w:r w:rsidRPr="00611ED2">
              <w:rPr>
                <w:i/>
              </w:rPr>
              <w:t>Projekts šo jomu neskar</w:t>
            </w:r>
          </w:p>
        </w:tc>
        <w:tc>
          <w:tcPr>
            <w:tcW w:w="765" w:type="pct"/>
            <w:hideMark/>
          </w:tcPr>
          <w:p w:rsidR="00F822F5" w:rsidRDefault="00F822F5">
            <w:r w:rsidRPr="00611ED2">
              <w:rPr>
                <w:i/>
              </w:rPr>
              <w:t>Projekts šo jomu neskar</w:t>
            </w:r>
          </w:p>
        </w:tc>
        <w:tc>
          <w:tcPr>
            <w:tcW w:w="772" w:type="pct"/>
            <w:hideMark/>
          </w:tcPr>
          <w:p w:rsidR="00F822F5" w:rsidRDefault="00F822F5">
            <w:r w:rsidRPr="00611ED2">
              <w:rPr>
                <w:i/>
              </w:rPr>
              <w:t>Projekts šo jomu neskar</w:t>
            </w:r>
          </w:p>
        </w:tc>
      </w:tr>
      <w:tr w:rsidR="00F822F5" w:rsidRPr="002B56FA" w:rsidTr="00AA3C5A">
        <w:tc>
          <w:tcPr>
            <w:tcW w:w="1015" w:type="pct"/>
            <w:vMerge/>
            <w:hideMark/>
          </w:tcPr>
          <w:p w:rsidR="00F822F5" w:rsidRPr="002B56FA" w:rsidRDefault="00F822F5" w:rsidP="00265189">
            <w:pPr>
              <w:rPr>
                <w:sz w:val="26"/>
                <w:szCs w:val="26"/>
              </w:rPr>
            </w:pPr>
          </w:p>
        </w:tc>
        <w:tc>
          <w:tcPr>
            <w:tcW w:w="802" w:type="pct"/>
            <w:vMerge/>
            <w:hideMark/>
          </w:tcPr>
          <w:p w:rsidR="00F822F5" w:rsidRPr="00E47BC2" w:rsidRDefault="00F822F5" w:rsidP="00E47BC2">
            <w:pPr>
              <w:jc w:val="center"/>
              <w:rPr>
                <w:sz w:val="26"/>
                <w:szCs w:val="26"/>
              </w:rPr>
            </w:pPr>
          </w:p>
        </w:tc>
        <w:tc>
          <w:tcPr>
            <w:tcW w:w="881" w:type="pct"/>
            <w:hideMark/>
          </w:tcPr>
          <w:p w:rsidR="00F822F5" w:rsidRPr="00E47BC2" w:rsidRDefault="00F822F5" w:rsidP="00E47BC2">
            <w:pPr>
              <w:spacing w:before="50" w:after="50"/>
              <w:ind w:firstLine="250"/>
              <w:jc w:val="center"/>
              <w:rPr>
                <w:sz w:val="26"/>
                <w:szCs w:val="26"/>
              </w:rPr>
            </w:pPr>
          </w:p>
        </w:tc>
        <w:tc>
          <w:tcPr>
            <w:tcW w:w="765" w:type="pct"/>
            <w:hideMark/>
          </w:tcPr>
          <w:p w:rsidR="00F822F5" w:rsidRDefault="00F822F5">
            <w:r w:rsidRPr="00611ED2">
              <w:rPr>
                <w:i/>
              </w:rPr>
              <w:t>Projekts šo jomu neskar</w:t>
            </w:r>
          </w:p>
        </w:tc>
        <w:tc>
          <w:tcPr>
            <w:tcW w:w="765" w:type="pct"/>
            <w:hideMark/>
          </w:tcPr>
          <w:p w:rsidR="00F822F5" w:rsidRDefault="00F822F5">
            <w:r w:rsidRPr="00611ED2">
              <w:rPr>
                <w:i/>
              </w:rPr>
              <w:t>Projekts šo jomu neskar</w:t>
            </w:r>
          </w:p>
        </w:tc>
        <w:tc>
          <w:tcPr>
            <w:tcW w:w="772" w:type="pct"/>
            <w:hideMark/>
          </w:tcPr>
          <w:p w:rsidR="00F822F5" w:rsidRDefault="00F822F5">
            <w:r w:rsidRPr="00611ED2">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5. Precizēta finansiālā ietekme:</w:t>
            </w:r>
          </w:p>
        </w:tc>
        <w:tc>
          <w:tcPr>
            <w:tcW w:w="802" w:type="pct"/>
            <w:vMerge w:val="restart"/>
            <w:hideMark/>
          </w:tcPr>
          <w:p w:rsidR="00F822F5" w:rsidRPr="00E47BC2" w:rsidRDefault="00F822F5" w:rsidP="00E47BC2">
            <w:pPr>
              <w:spacing w:before="50" w:after="50"/>
              <w:ind w:firstLine="250"/>
              <w:jc w:val="center"/>
              <w:rPr>
                <w:sz w:val="26"/>
                <w:szCs w:val="26"/>
              </w:rPr>
            </w:pPr>
            <w:r>
              <w:rPr>
                <w:sz w:val="26"/>
                <w:szCs w:val="26"/>
              </w:rPr>
              <w:t>0</w:t>
            </w:r>
          </w:p>
        </w:tc>
        <w:tc>
          <w:tcPr>
            <w:tcW w:w="881" w:type="pct"/>
            <w:hideMark/>
          </w:tcPr>
          <w:p w:rsidR="00F822F5" w:rsidRPr="00E47BC2" w:rsidRDefault="00F822F5" w:rsidP="00E47BC2">
            <w:pPr>
              <w:spacing w:before="50" w:after="50"/>
              <w:ind w:firstLine="250"/>
              <w:jc w:val="center"/>
              <w:rPr>
                <w:sz w:val="26"/>
                <w:szCs w:val="26"/>
              </w:rPr>
            </w:pPr>
          </w:p>
        </w:tc>
        <w:tc>
          <w:tcPr>
            <w:tcW w:w="765" w:type="pct"/>
            <w:hideMark/>
          </w:tcPr>
          <w:p w:rsidR="00F822F5" w:rsidRDefault="00F822F5">
            <w:r w:rsidRPr="00E950B3">
              <w:rPr>
                <w:i/>
              </w:rPr>
              <w:t>Projekts šo jomu neskar</w:t>
            </w:r>
          </w:p>
        </w:tc>
        <w:tc>
          <w:tcPr>
            <w:tcW w:w="765" w:type="pct"/>
            <w:hideMark/>
          </w:tcPr>
          <w:p w:rsidR="00F822F5" w:rsidRDefault="00F822F5">
            <w:r w:rsidRPr="00E950B3">
              <w:rPr>
                <w:i/>
              </w:rPr>
              <w:t>Projekts šo jomu neskar</w:t>
            </w:r>
          </w:p>
        </w:tc>
        <w:tc>
          <w:tcPr>
            <w:tcW w:w="772" w:type="pct"/>
            <w:hideMark/>
          </w:tcPr>
          <w:p w:rsidR="00F822F5" w:rsidRDefault="00F822F5">
            <w:r w:rsidRPr="00E950B3">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5.1. valsts pamatbudžets</w:t>
            </w:r>
          </w:p>
        </w:tc>
        <w:tc>
          <w:tcPr>
            <w:tcW w:w="802" w:type="pct"/>
            <w:vMerge/>
            <w:hideMark/>
          </w:tcPr>
          <w:p w:rsidR="00F822F5" w:rsidRPr="002B56FA" w:rsidRDefault="00F822F5" w:rsidP="00265189">
            <w:pPr>
              <w:rPr>
                <w:sz w:val="26"/>
                <w:szCs w:val="26"/>
              </w:rPr>
            </w:pPr>
          </w:p>
        </w:tc>
        <w:tc>
          <w:tcPr>
            <w:tcW w:w="881" w:type="pct"/>
            <w:hideMark/>
          </w:tcPr>
          <w:p w:rsidR="00F822F5" w:rsidRPr="002B56FA" w:rsidRDefault="00F822F5" w:rsidP="00E47BC2">
            <w:pPr>
              <w:spacing w:before="50" w:after="50"/>
              <w:ind w:firstLine="250"/>
              <w:jc w:val="center"/>
              <w:rPr>
                <w:sz w:val="26"/>
                <w:szCs w:val="26"/>
              </w:rPr>
            </w:pPr>
            <w:r>
              <w:rPr>
                <w:sz w:val="26"/>
                <w:szCs w:val="26"/>
              </w:rPr>
              <w:t>0</w:t>
            </w:r>
          </w:p>
        </w:tc>
        <w:tc>
          <w:tcPr>
            <w:tcW w:w="765" w:type="pct"/>
            <w:hideMark/>
          </w:tcPr>
          <w:p w:rsidR="00F822F5" w:rsidRDefault="00F822F5">
            <w:r w:rsidRPr="00E950B3">
              <w:rPr>
                <w:i/>
              </w:rPr>
              <w:t>Projekts šo jomu neskar</w:t>
            </w:r>
          </w:p>
        </w:tc>
        <w:tc>
          <w:tcPr>
            <w:tcW w:w="765" w:type="pct"/>
            <w:hideMark/>
          </w:tcPr>
          <w:p w:rsidR="00F822F5" w:rsidRDefault="00F822F5">
            <w:r w:rsidRPr="00E950B3">
              <w:rPr>
                <w:i/>
              </w:rPr>
              <w:t>Projekts šo jomu neskar</w:t>
            </w:r>
          </w:p>
        </w:tc>
        <w:tc>
          <w:tcPr>
            <w:tcW w:w="772" w:type="pct"/>
            <w:hideMark/>
          </w:tcPr>
          <w:p w:rsidR="00F822F5" w:rsidRDefault="00F822F5">
            <w:r w:rsidRPr="00E950B3">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5.2. speciālais budžets</w:t>
            </w:r>
          </w:p>
        </w:tc>
        <w:tc>
          <w:tcPr>
            <w:tcW w:w="802" w:type="pct"/>
            <w:vMerge/>
            <w:hideMark/>
          </w:tcPr>
          <w:p w:rsidR="00F822F5" w:rsidRPr="002B56FA" w:rsidRDefault="00F822F5" w:rsidP="00265189">
            <w:pPr>
              <w:rPr>
                <w:sz w:val="26"/>
                <w:szCs w:val="26"/>
              </w:rPr>
            </w:pPr>
          </w:p>
        </w:tc>
        <w:tc>
          <w:tcPr>
            <w:tcW w:w="881" w:type="pct"/>
            <w:hideMark/>
          </w:tcPr>
          <w:p w:rsidR="00F822F5" w:rsidRPr="002B56FA" w:rsidRDefault="00F822F5" w:rsidP="00E47BC2">
            <w:pPr>
              <w:spacing w:before="50" w:after="50"/>
              <w:ind w:firstLine="250"/>
              <w:jc w:val="center"/>
              <w:rPr>
                <w:sz w:val="26"/>
                <w:szCs w:val="26"/>
              </w:rPr>
            </w:pPr>
            <w:r>
              <w:rPr>
                <w:sz w:val="26"/>
                <w:szCs w:val="26"/>
              </w:rPr>
              <w:t>0</w:t>
            </w:r>
          </w:p>
        </w:tc>
        <w:tc>
          <w:tcPr>
            <w:tcW w:w="765" w:type="pct"/>
            <w:hideMark/>
          </w:tcPr>
          <w:p w:rsidR="00F822F5" w:rsidRDefault="00F822F5">
            <w:r w:rsidRPr="00E950B3">
              <w:rPr>
                <w:i/>
              </w:rPr>
              <w:t>Projekts šo jomu neskar</w:t>
            </w:r>
          </w:p>
        </w:tc>
        <w:tc>
          <w:tcPr>
            <w:tcW w:w="765" w:type="pct"/>
            <w:hideMark/>
          </w:tcPr>
          <w:p w:rsidR="00F822F5" w:rsidRDefault="00F822F5">
            <w:r w:rsidRPr="00E950B3">
              <w:rPr>
                <w:i/>
              </w:rPr>
              <w:t>Projekts šo jomu neskar</w:t>
            </w:r>
          </w:p>
        </w:tc>
        <w:tc>
          <w:tcPr>
            <w:tcW w:w="772" w:type="pct"/>
            <w:hideMark/>
          </w:tcPr>
          <w:p w:rsidR="00F822F5" w:rsidRDefault="00F822F5">
            <w:r w:rsidRPr="00E950B3">
              <w:rPr>
                <w:i/>
              </w:rPr>
              <w:t>Projekts šo jomu neskar</w:t>
            </w:r>
          </w:p>
        </w:tc>
      </w:tr>
      <w:tr w:rsidR="00AA3C5A" w:rsidRPr="002B56FA" w:rsidTr="00AA3C5A">
        <w:trPr>
          <w:trHeight w:val="614"/>
        </w:trPr>
        <w:tc>
          <w:tcPr>
            <w:tcW w:w="1015" w:type="pct"/>
            <w:hideMark/>
          </w:tcPr>
          <w:p w:rsidR="00AA3C5A" w:rsidRPr="002B56FA" w:rsidRDefault="00AA3C5A" w:rsidP="00265189">
            <w:pPr>
              <w:spacing w:before="50" w:after="50"/>
              <w:rPr>
                <w:sz w:val="26"/>
                <w:szCs w:val="26"/>
              </w:rPr>
            </w:pPr>
            <w:r w:rsidRPr="002B56FA">
              <w:rPr>
                <w:sz w:val="26"/>
                <w:szCs w:val="26"/>
              </w:rPr>
              <w:t> 5.3. pašvaldību 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F822F5" w:rsidRDefault="00F822F5" w:rsidP="00265189">
            <w:pPr>
              <w:spacing w:before="50" w:after="50"/>
              <w:ind w:firstLine="250"/>
              <w:jc w:val="both"/>
            </w:pPr>
            <w:r w:rsidRPr="00F822F5">
              <w:rPr>
                <w:i/>
                <w:sz w:val="22"/>
                <w:szCs w:val="22"/>
              </w:rPr>
              <w:t>Projekts šo jomu neskar</w:t>
            </w:r>
          </w:p>
        </w:tc>
        <w:tc>
          <w:tcPr>
            <w:tcW w:w="765" w:type="pct"/>
            <w:hideMark/>
          </w:tcPr>
          <w:p w:rsidR="00AA3C5A" w:rsidRPr="002B56FA" w:rsidRDefault="00AA3C5A" w:rsidP="00265189">
            <w:pPr>
              <w:spacing w:before="50" w:after="50"/>
              <w:ind w:firstLine="250"/>
              <w:jc w:val="both"/>
              <w:rPr>
                <w:sz w:val="26"/>
                <w:szCs w:val="26"/>
              </w:rPr>
            </w:pPr>
            <w:r w:rsidRPr="00A171E4">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A171E4">
              <w:rPr>
                <w:i/>
              </w:rPr>
              <w:t>Nav precīzi aprēķināms</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300C69" w:rsidRPr="00185744" w:rsidRDefault="00AA3C5A" w:rsidP="00265189">
            <w:pPr>
              <w:rPr>
                <w:i/>
                <w:sz w:val="26"/>
                <w:szCs w:val="26"/>
              </w:rPr>
            </w:pPr>
            <w:r w:rsidRPr="00CF4C5F">
              <w:rPr>
                <w:i/>
              </w:rPr>
              <w:t>Projekts šo jomu neskar</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Pr="002B56FA" w:rsidRDefault="00300C69" w:rsidP="00265189">
            <w:pPr>
              <w:jc w:val="both"/>
              <w:rPr>
                <w:color w:val="000000"/>
                <w:sz w:val="26"/>
                <w:szCs w:val="26"/>
              </w:rPr>
            </w:pPr>
            <w:r w:rsidRPr="002B56FA">
              <w:rPr>
                <w:sz w:val="26"/>
                <w:szCs w:val="26"/>
              </w:rPr>
              <w:t xml:space="preserve">Rīkojuma projekts </w:t>
            </w:r>
            <w:r w:rsidR="00BF1697">
              <w:rPr>
                <w:sz w:val="26"/>
                <w:szCs w:val="26"/>
              </w:rPr>
              <w:t>ietekmē</w:t>
            </w:r>
            <w:r w:rsidRPr="002B56FA">
              <w:rPr>
                <w:sz w:val="26"/>
                <w:szCs w:val="26"/>
              </w:rPr>
              <w:t xml:space="preserve"> pašvaldības pamatbudžeta ieņēmumu daļu, samazinot pašvaldības budžeta ieņēmumus par </w:t>
            </w:r>
            <w:r w:rsidR="005C4249">
              <w:rPr>
                <w:sz w:val="26"/>
                <w:szCs w:val="26"/>
              </w:rPr>
              <w:t>ienākumiem no nekustamā īpašuma nodokļiem</w:t>
            </w:r>
            <w:r w:rsidRPr="002B56FA">
              <w:rPr>
                <w:sz w:val="26"/>
                <w:szCs w:val="26"/>
              </w:rPr>
              <w:t>, jo</w:t>
            </w:r>
            <w:r w:rsidRPr="002B56FA">
              <w:rPr>
                <w:color w:val="000000"/>
                <w:sz w:val="26"/>
                <w:szCs w:val="26"/>
              </w:rPr>
              <w:t xml:space="preserve"> saskaņā ar likuma „Par nekustamā </w:t>
            </w:r>
            <w:r w:rsidRPr="002B56FA">
              <w:rPr>
                <w:color w:val="000000"/>
                <w:sz w:val="26"/>
                <w:szCs w:val="26"/>
              </w:rPr>
              <w:lastRenderedPageBreak/>
              <w:t>īpašuma nodokli” 1.panta otrās daļas 8.punktu</w:t>
            </w:r>
            <w:r w:rsidRPr="002B56FA">
              <w:rPr>
                <w:sz w:val="26"/>
                <w:szCs w:val="26"/>
              </w:rPr>
              <w:t xml:space="preserve"> ar nekustamā īpašuma nodokli neapliek nacionālās sporta bāzes un zemi to uzturēšanai.</w:t>
            </w:r>
          </w:p>
          <w:p w:rsidR="00300C69" w:rsidRPr="00E97D1C" w:rsidRDefault="00807BCE" w:rsidP="00807BCE">
            <w:pPr>
              <w:ind w:left="17" w:hanging="17"/>
              <w:jc w:val="both"/>
              <w:rPr>
                <w:color w:val="000000"/>
                <w:sz w:val="26"/>
                <w:szCs w:val="26"/>
              </w:rPr>
            </w:pPr>
            <w:r>
              <w:rPr>
                <w:sz w:val="26"/>
                <w:szCs w:val="26"/>
              </w:rPr>
              <w:t>S</w:t>
            </w:r>
            <w:r w:rsidRPr="00161CC8">
              <w:rPr>
                <w:sz w:val="26"/>
                <w:szCs w:val="26"/>
              </w:rPr>
              <w:t>abiedrības ar ierobežotu atbildību „Baltijas Kausa Fonds”</w:t>
            </w:r>
            <w:r>
              <w:rPr>
                <w:sz w:val="26"/>
                <w:szCs w:val="26"/>
              </w:rPr>
              <w:t xml:space="preserve"> </w:t>
            </w:r>
            <w:r w:rsidR="00E97D1C">
              <w:rPr>
                <w:sz w:val="26"/>
                <w:szCs w:val="26"/>
              </w:rPr>
              <w:t>iesniegumam</w:t>
            </w:r>
            <w:r w:rsidR="00E97D1C" w:rsidRPr="00106173">
              <w:rPr>
                <w:sz w:val="26"/>
                <w:szCs w:val="26"/>
              </w:rPr>
              <w:t xml:space="preserve"> par nacionālās sporta bāzes statusa piešķiršanu </w:t>
            </w:r>
            <w:r w:rsidR="00E97D1C">
              <w:rPr>
                <w:sz w:val="26"/>
                <w:szCs w:val="26"/>
              </w:rPr>
              <w:t>ir pievienot</w:t>
            </w:r>
            <w:r>
              <w:rPr>
                <w:sz w:val="26"/>
                <w:szCs w:val="26"/>
              </w:rPr>
              <w:t>s</w:t>
            </w:r>
            <w:r w:rsidR="00E97D1C">
              <w:rPr>
                <w:color w:val="000000"/>
                <w:sz w:val="26"/>
                <w:szCs w:val="26"/>
              </w:rPr>
              <w:t xml:space="preserve"> </w:t>
            </w:r>
            <w:r>
              <w:rPr>
                <w:color w:val="000000"/>
                <w:sz w:val="26"/>
                <w:szCs w:val="26"/>
              </w:rPr>
              <w:t>Ķeguma novada</w:t>
            </w:r>
            <w:r w:rsidR="00BF1697">
              <w:rPr>
                <w:color w:val="000000"/>
                <w:sz w:val="26"/>
                <w:szCs w:val="26"/>
              </w:rPr>
              <w:t xml:space="preserve"> domes 2011.gada </w:t>
            </w:r>
            <w:r>
              <w:rPr>
                <w:color w:val="000000"/>
                <w:sz w:val="26"/>
                <w:szCs w:val="26"/>
              </w:rPr>
              <w:t>15.jūnija</w:t>
            </w:r>
            <w:r w:rsidR="00BF1697">
              <w:rPr>
                <w:color w:val="000000"/>
                <w:sz w:val="26"/>
                <w:szCs w:val="26"/>
              </w:rPr>
              <w:t xml:space="preserve"> </w:t>
            </w:r>
            <w:r>
              <w:rPr>
                <w:color w:val="000000"/>
                <w:sz w:val="26"/>
                <w:szCs w:val="26"/>
              </w:rPr>
              <w:t xml:space="preserve">sēdes protokola izraksts </w:t>
            </w:r>
            <w:r w:rsidR="00BF1697">
              <w:rPr>
                <w:color w:val="000000"/>
                <w:sz w:val="26"/>
                <w:szCs w:val="26"/>
              </w:rPr>
              <w:t xml:space="preserve">Nr. </w:t>
            </w:r>
            <w:r>
              <w:rPr>
                <w:color w:val="000000"/>
                <w:sz w:val="26"/>
                <w:szCs w:val="26"/>
              </w:rPr>
              <w:t>14</w:t>
            </w:r>
            <w:r w:rsidR="005D6AD4">
              <w:rPr>
                <w:color w:val="000000"/>
                <w:sz w:val="26"/>
                <w:szCs w:val="26"/>
              </w:rPr>
              <w:t xml:space="preserve"> </w:t>
            </w:r>
            <w:r w:rsidR="00BF1697">
              <w:rPr>
                <w:color w:val="000000"/>
                <w:sz w:val="26"/>
                <w:szCs w:val="26"/>
              </w:rPr>
              <w:t xml:space="preserve">ar informāciju, ka </w:t>
            </w:r>
            <w:r>
              <w:rPr>
                <w:color w:val="000000"/>
                <w:sz w:val="26"/>
                <w:szCs w:val="26"/>
              </w:rPr>
              <w:t xml:space="preserve">Ķeguma novada dome </w:t>
            </w:r>
            <w:r w:rsidR="00D059CE">
              <w:rPr>
                <w:color w:val="000000"/>
                <w:sz w:val="26"/>
                <w:szCs w:val="26"/>
              </w:rPr>
              <w:t>ir izvērtējusi nekustamā īpašuma nodokļa maksātāj</w:t>
            </w:r>
            <w:r>
              <w:rPr>
                <w:color w:val="000000"/>
                <w:sz w:val="26"/>
                <w:szCs w:val="26"/>
              </w:rPr>
              <w:t>u</w:t>
            </w:r>
            <w:r w:rsidR="00D059CE">
              <w:rPr>
                <w:color w:val="000000"/>
                <w:sz w:val="26"/>
                <w:szCs w:val="26"/>
              </w:rPr>
              <w:t xml:space="preserve"> (</w:t>
            </w:r>
            <w:proofErr w:type="spellStart"/>
            <w:r>
              <w:rPr>
                <w:sz w:val="26"/>
                <w:szCs w:val="26"/>
              </w:rPr>
              <w:t>Motocentra</w:t>
            </w:r>
            <w:proofErr w:type="spellEnd"/>
            <w:r>
              <w:rPr>
                <w:sz w:val="26"/>
                <w:szCs w:val="26"/>
              </w:rPr>
              <w:t xml:space="preserve"> „</w:t>
            </w:r>
            <w:r>
              <w:rPr>
                <w:sz w:val="28"/>
                <w:szCs w:val="28"/>
              </w:rPr>
              <w:t>Zelta zirgs”</w:t>
            </w:r>
            <w:r>
              <w:rPr>
                <w:sz w:val="26"/>
                <w:szCs w:val="26"/>
              </w:rPr>
              <w:t xml:space="preserve"> sastāvā esošo nekustamo īpašumu īpašnieki</w:t>
            </w:r>
            <w:r w:rsidR="00D059CE">
              <w:rPr>
                <w:sz w:val="26"/>
                <w:szCs w:val="26"/>
              </w:rPr>
              <w:t>) prognozējamo finansiālo ietekmi</w:t>
            </w:r>
            <w:r w:rsidR="005C4249">
              <w:rPr>
                <w:sz w:val="26"/>
                <w:szCs w:val="26"/>
              </w:rPr>
              <w:t xml:space="preserve"> uz pašvaldības budžetu</w:t>
            </w:r>
            <w:r w:rsidR="00D059CE">
              <w:rPr>
                <w:color w:val="000000"/>
                <w:sz w:val="26"/>
                <w:szCs w:val="26"/>
              </w:rPr>
              <w:t xml:space="preserve"> un </w:t>
            </w:r>
            <w:r w:rsidR="00BF1697">
              <w:rPr>
                <w:color w:val="000000"/>
                <w:sz w:val="26"/>
                <w:szCs w:val="26"/>
              </w:rPr>
              <w:t xml:space="preserve">neiebilst par Nacionālās sporta bāzes statusa piešķiršanu </w:t>
            </w:r>
            <w:proofErr w:type="spellStart"/>
            <w:r>
              <w:rPr>
                <w:sz w:val="26"/>
                <w:szCs w:val="26"/>
              </w:rPr>
              <w:t>Motocentram</w:t>
            </w:r>
            <w:proofErr w:type="spellEnd"/>
            <w:r>
              <w:rPr>
                <w:sz w:val="26"/>
                <w:szCs w:val="26"/>
              </w:rPr>
              <w:t xml:space="preserve"> „</w:t>
            </w:r>
            <w:r>
              <w:rPr>
                <w:sz w:val="28"/>
                <w:szCs w:val="28"/>
              </w:rPr>
              <w:t>Zelta zirgs”</w:t>
            </w:r>
            <w:r w:rsidR="005C4249">
              <w:rPr>
                <w:bCs/>
                <w:sz w:val="26"/>
                <w:szCs w:val="26"/>
              </w:rPr>
              <w:t>.</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7C7F7C" w:rsidRDefault="00300C69" w:rsidP="007C7F7C">
      <w:pPr>
        <w:pStyle w:val="naisf"/>
        <w:spacing w:before="0" w:after="0"/>
        <w:ind w:firstLine="0"/>
        <w:rPr>
          <w:sz w:val="10"/>
          <w:szCs w:val="10"/>
        </w:rPr>
      </w:pPr>
    </w:p>
    <w:p w:rsidR="00300C69" w:rsidRDefault="00300C69" w:rsidP="007C7F7C">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xml:space="preserve">–  </w:t>
      </w:r>
      <w:r w:rsidR="00AA3C5A">
        <w:rPr>
          <w:i/>
          <w:sz w:val="26"/>
          <w:szCs w:val="26"/>
        </w:rPr>
        <w:t>p</w:t>
      </w:r>
      <w:r w:rsidR="00AA3C5A" w:rsidRPr="00AA3C5A">
        <w:rPr>
          <w:i/>
          <w:sz w:val="26"/>
          <w:szCs w:val="26"/>
        </w:rPr>
        <w:t>rojekts šo jomu neskar</w:t>
      </w:r>
      <w:r w:rsidRPr="0028234C">
        <w:rPr>
          <w:i/>
          <w:iCs/>
          <w:sz w:val="28"/>
          <w:szCs w:val="28"/>
        </w:rPr>
        <w:t>.</w:t>
      </w:r>
    </w:p>
    <w:p w:rsidR="007C7F7C" w:rsidRPr="007C7F7C" w:rsidRDefault="007C7F7C" w:rsidP="007C7F7C">
      <w:pPr>
        <w:spacing w:before="75" w:after="75"/>
        <w:ind w:firstLine="375"/>
        <w:jc w:val="both"/>
        <w:rPr>
          <w:iCs/>
          <w:sz w:val="10"/>
          <w:szCs w:val="10"/>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AA3C5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CE032B" w:rsidRDefault="00300C69" w:rsidP="00265189">
            <w:pPr>
              <w:pStyle w:val="naiskr"/>
              <w:spacing w:before="0" w:after="0"/>
              <w:ind w:left="57" w:right="57"/>
              <w:rPr>
                <w:sz w:val="26"/>
                <w:szCs w:val="26"/>
              </w:rPr>
            </w:pPr>
            <w:r w:rsidRPr="002B56FA">
              <w:rPr>
                <w:sz w:val="26"/>
                <w:szCs w:val="26"/>
              </w:rPr>
              <w:t>Cita informācija</w:t>
            </w:r>
          </w:p>
          <w:p w:rsidR="00CE032B" w:rsidRPr="00CE032B" w:rsidRDefault="00CE032B" w:rsidP="00CE032B"/>
          <w:p w:rsidR="00CE032B" w:rsidRPr="00CE032B" w:rsidRDefault="00CE032B" w:rsidP="00CE032B"/>
          <w:p w:rsidR="00CE032B" w:rsidRPr="00CE032B" w:rsidRDefault="00CE032B" w:rsidP="00CE032B"/>
          <w:p w:rsidR="00CE032B" w:rsidRPr="00CE032B" w:rsidRDefault="00CE032B" w:rsidP="00CE032B"/>
          <w:p w:rsidR="00CE032B" w:rsidRPr="00CE032B" w:rsidRDefault="00CE032B" w:rsidP="00CE032B"/>
          <w:p w:rsidR="00CE032B" w:rsidRPr="00CE032B" w:rsidRDefault="00CE032B" w:rsidP="00CE032B"/>
          <w:p w:rsidR="00CE032B" w:rsidRDefault="00CE032B" w:rsidP="00CE032B"/>
          <w:p w:rsidR="00300C69" w:rsidRPr="00CE032B" w:rsidRDefault="00CE032B" w:rsidP="00CE032B">
            <w:pPr>
              <w:tabs>
                <w:tab w:val="left" w:pos="2655"/>
              </w:tabs>
            </w:pPr>
            <w:r>
              <w:tab/>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300C69" w:rsidRPr="002B56FA" w:rsidRDefault="00300C69" w:rsidP="00300C69">
      <w:pPr>
        <w:jc w:val="both"/>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t>R.</w:t>
      </w:r>
      <w:r w:rsidR="00F822F5">
        <w:rPr>
          <w:sz w:val="26"/>
          <w:szCs w:val="26"/>
          <w:lang w:eastAsia="lv-LV"/>
        </w:rPr>
        <w:t>Ķīlis</w:t>
      </w:r>
    </w:p>
    <w:p w:rsidR="00A273DA" w:rsidRPr="001A08C9" w:rsidRDefault="00A273DA" w:rsidP="00A273DA">
      <w:pPr>
        <w:pStyle w:val="BodyText"/>
        <w:jc w:val="both"/>
        <w:rPr>
          <w:b/>
          <w:bCs/>
          <w:sz w:val="26"/>
          <w:szCs w:val="26"/>
          <w:lang w:eastAsia="lv-LV"/>
        </w:rPr>
      </w:pPr>
    </w:p>
    <w:p w:rsidR="00BC7D47" w:rsidRPr="001A08C9" w:rsidRDefault="00BC7D47" w:rsidP="00BC7D47">
      <w:pPr>
        <w:pStyle w:val="BodyText"/>
        <w:ind w:left="720"/>
        <w:jc w:val="both"/>
        <w:rPr>
          <w:b/>
          <w:bCs/>
          <w:sz w:val="26"/>
          <w:szCs w:val="26"/>
          <w:lang w:eastAsia="lv-LV"/>
        </w:rPr>
      </w:pPr>
      <w:r w:rsidRPr="001A08C9">
        <w:rPr>
          <w:sz w:val="26"/>
          <w:szCs w:val="26"/>
          <w:lang w:eastAsia="lv-LV"/>
        </w:rPr>
        <w:t>Vizē:</w:t>
      </w:r>
    </w:p>
    <w:p w:rsidR="00BC7D47" w:rsidRPr="001A08C9" w:rsidRDefault="00BC7D47" w:rsidP="00BC7D47">
      <w:pPr>
        <w:pStyle w:val="BodyText"/>
        <w:ind w:left="720"/>
        <w:jc w:val="both"/>
        <w:rPr>
          <w:b/>
          <w:bCs/>
          <w:sz w:val="26"/>
          <w:szCs w:val="26"/>
          <w:lang w:eastAsia="lv-LV"/>
        </w:rPr>
      </w:pPr>
      <w:r>
        <w:rPr>
          <w:sz w:val="26"/>
          <w:szCs w:val="26"/>
          <w:lang w:eastAsia="lv-LV"/>
        </w:rPr>
        <w:t>Valsts sekretāra vietniece</w:t>
      </w:r>
      <w:r w:rsidRPr="001A08C9">
        <w:rPr>
          <w:sz w:val="26"/>
          <w:szCs w:val="26"/>
          <w:lang w:eastAsia="lv-LV"/>
        </w:rPr>
        <w:t>,</w:t>
      </w:r>
    </w:p>
    <w:p w:rsidR="00BC7D47" w:rsidRPr="001A08C9" w:rsidRDefault="00BC7D47" w:rsidP="00BC7D47">
      <w:pPr>
        <w:pStyle w:val="BodyText"/>
        <w:ind w:left="720"/>
        <w:jc w:val="both"/>
        <w:rPr>
          <w:b/>
          <w:bCs/>
          <w:sz w:val="26"/>
          <w:szCs w:val="26"/>
          <w:lang w:eastAsia="lv-LV"/>
        </w:rPr>
      </w:pPr>
      <w:r w:rsidRPr="001A08C9">
        <w:rPr>
          <w:sz w:val="26"/>
          <w:szCs w:val="26"/>
          <w:lang w:eastAsia="lv-LV"/>
        </w:rPr>
        <w:t xml:space="preserve">valsts sekretāra pienākumu izpildītāja  </w:t>
      </w:r>
      <w:r w:rsidRPr="001A08C9">
        <w:rPr>
          <w:sz w:val="26"/>
          <w:szCs w:val="26"/>
          <w:lang w:eastAsia="lv-LV"/>
        </w:rPr>
        <w:tab/>
      </w:r>
      <w:r w:rsidRPr="001A08C9">
        <w:rPr>
          <w:sz w:val="26"/>
          <w:szCs w:val="26"/>
          <w:lang w:eastAsia="lv-LV"/>
        </w:rPr>
        <w:tab/>
      </w:r>
      <w:r w:rsidRPr="001A08C9">
        <w:rPr>
          <w:sz w:val="26"/>
          <w:szCs w:val="26"/>
          <w:lang w:eastAsia="lv-LV"/>
        </w:rPr>
        <w:tab/>
      </w:r>
      <w:r>
        <w:rPr>
          <w:sz w:val="26"/>
          <w:szCs w:val="26"/>
          <w:lang w:eastAsia="lv-LV"/>
        </w:rPr>
        <w:tab/>
      </w:r>
      <w:r w:rsidRPr="001A08C9">
        <w:rPr>
          <w:sz w:val="26"/>
          <w:szCs w:val="26"/>
          <w:lang w:eastAsia="lv-LV"/>
        </w:rPr>
        <w:t>L.Sīka</w:t>
      </w:r>
    </w:p>
    <w:p w:rsidR="007C7F7C" w:rsidRPr="00CC2FF9" w:rsidRDefault="007C7F7C" w:rsidP="00A273DA">
      <w:pPr>
        <w:pStyle w:val="BodyText"/>
        <w:jc w:val="both"/>
        <w:rPr>
          <w:b/>
          <w:bCs/>
          <w:sz w:val="18"/>
          <w:szCs w:val="18"/>
          <w:lang w:eastAsia="lv-LV"/>
        </w:rPr>
      </w:pPr>
    </w:p>
    <w:p w:rsidR="00A273DA" w:rsidRPr="007C7F7C" w:rsidRDefault="00CE032B" w:rsidP="00A273DA">
      <w:pPr>
        <w:pStyle w:val="BodyText"/>
        <w:ind w:firstLine="720"/>
        <w:jc w:val="both"/>
        <w:rPr>
          <w:b/>
          <w:bCs/>
          <w:sz w:val="18"/>
          <w:szCs w:val="18"/>
        </w:rPr>
      </w:pPr>
      <w:r>
        <w:rPr>
          <w:sz w:val="18"/>
          <w:szCs w:val="18"/>
        </w:rPr>
        <w:t>1</w:t>
      </w:r>
      <w:r w:rsidR="00BC7D47">
        <w:rPr>
          <w:sz w:val="18"/>
          <w:szCs w:val="18"/>
        </w:rPr>
        <w:t>6</w:t>
      </w:r>
      <w:r>
        <w:rPr>
          <w:sz w:val="18"/>
          <w:szCs w:val="18"/>
        </w:rPr>
        <w:t>.04.2012.</w:t>
      </w:r>
      <w:r w:rsidR="00A273DA" w:rsidRPr="007C7F7C">
        <w:rPr>
          <w:sz w:val="18"/>
          <w:szCs w:val="18"/>
        </w:rPr>
        <w:t xml:space="preserve"> </w:t>
      </w:r>
      <w:r w:rsidR="00C67220" w:rsidRPr="007C7F7C">
        <w:rPr>
          <w:sz w:val="18"/>
          <w:szCs w:val="18"/>
        </w:rPr>
        <w:t>1</w:t>
      </w:r>
      <w:r w:rsidR="00BC7D47">
        <w:rPr>
          <w:sz w:val="18"/>
          <w:szCs w:val="18"/>
        </w:rPr>
        <w:t>1</w:t>
      </w:r>
      <w:r w:rsidR="00A273DA" w:rsidRPr="007C7F7C">
        <w:rPr>
          <w:sz w:val="18"/>
          <w:szCs w:val="18"/>
        </w:rPr>
        <w:t>:</w:t>
      </w:r>
      <w:r>
        <w:rPr>
          <w:sz w:val="18"/>
          <w:szCs w:val="18"/>
        </w:rPr>
        <w:t>06</w:t>
      </w:r>
    </w:p>
    <w:p w:rsidR="00A273DA" w:rsidRPr="007C7F7C" w:rsidRDefault="00BC7D47" w:rsidP="00A273DA">
      <w:pPr>
        <w:pStyle w:val="BodyText"/>
        <w:ind w:left="720"/>
        <w:jc w:val="both"/>
        <w:rPr>
          <w:b/>
          <w:bCs/>
          <w:sz w:val="18"/>
          <w:szCs w:val="18"/>
          <w:lang w:eastAsia="lv-LV"/>
        </w:rPr>
      </w:pPr>
      <w:r>
        <w:rPr>
          <w:sz w:val="18"/>
          <w:szCs w:val="18"/>
        </w:rPr>
        <w:t>1386</w:t>
      </w:r>
    </w:p>
    <w:p w:rsidR="00A273DA" w:rsidRPr="007C7F7C" w:rsidRDefault="00A273DA" w:rsidP="00A273DA">
      <w:pPr>
        <w:pStyle w:val="BodyText"/>
        <w:ind w:firstLine="720"/>
        <w:jc w:val="both"/>
        <w:outlineLvl w:val="0"/>
        <w:rPr>
          <w:b/>
          <w:bCs/>
          <w:sz w:val="18"/>
          <w:szCs w:val="18"/>
        </w:rPr>
      </w:pPr>
      <w:proofErr w:type="spellStart"/>
      <w:r w:rsidRPr="007C7F7C">
        <w:rPr>
          <w:sz w:val="18"/>
          <w:szCs w:val="18"/>
        </w:rPr>
        <w:t>A.Mičule</w:t>
      </w:r>
      <w:proofErr w:type="spellEnd"/>
    </w:p>
    <w:p w:rsidR="0056076A" w:rsidRPr="007C7F7C" w:rsidRDefault="00A273DA" w:rsidP="00A273DA">
      <w:pPr>
        <w:pStyle w:val="BodyText"/>
        <w:ind w:firstLine="720"/>
        <w:jc w:val="both"/>
        <w:rPr>
          <w:sz w:val="18"/>
          <w:szCs w:val="18"/>
        </w:rPr>
      </w:pPr>
      <w:r w:rsidRPr="007C7F7C">
        <w:rPr>
          <w:sz w:val="18"/>
          <w:szCs w:val="18"/>
        </w:rPr>
        <w:t>67047928, anda.micule@izm.gov.lv</w:t>
      </w:r>
      <w:r w:rsidR="00F91246" w:rsidRPr="007C7F7C">
        <w:rPr>
          <w:sz w:val="18"/>
          <w:szCs w:val="18"/>
        </w:rPr>
        <w:t xml:space="preserve"> </w:t>
      </w:r>
    </w:p>
    <w:sectPr w:rsidR="0056076A" w:rsidRPr="007C7F7C" w:rsidSect="00850721">
      <w:headerReference w:type="even" r:id="rId6"/>
      <w:headerReference w:type="default" r:id="rId7"/>
      <w:footerReference w:type="default" r:id="rId8"/>
      <w:footerReference w:type="first" r:id="rId9"/>
      <w:pgSz w:w="11906" w:h="16838" w:code="9"/>
      <w:pgMar w:top="284" w:right="1134" w:bottom="1134" w:left="170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F4" w:rsidRDefault="00FD79F4" w:rsidP="00CD46B7">
      <w:r>
        <w:separator/>
      </w:r>
    </w:p>
  </w:endnote>
  <w:endnote w:type="continuationSeparator" w:id="0">
    <w:p w:rsidR="00FD79F4" w:rsidRDefault="00FD79F4"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39" w:rsidRPr="00FC79C9" w:rsidRDefault="00275539" w:rsidP="00275539">
    <w:pPr>
      <w:pStyle w:val="Footer"/>
      <w:jc w:val="both"/>
      <w:rPr>
        <w:sz w:val="22"/>
        <w:szCs w:val="22"/>
      </w:rPr>
    </w:pPr>
    <w:r w:rsidRPr="00FC79C9">
      <w:rPr>
        <w:sz w:val="22"/>
        <w:szCs w:val="22"/>
      </w:rPr>
      <w:t>IZMAnot_</w:t>
    </w:r>
    <w:r w:rsidR="00CE032B">
      <w:rPr>
        <w:sz w:val="22"/>
        <w:szCs w:val="22"/>
      </w:rPr>
      <w:t>1</w:t>
    </w:r>
    <w:r w:rsidR="00BC7D47">
      <w:rPr>
        <w:sz w:val="22"/>
        <w:szCs w:val="22"/>
      </w:rPr>
      <w:t>6</w:t>
    </w:r>
    <w:r w:rsidR="00CE032B">
      <w:rPr>
        <w:sz w:val="22"/>
        <w:szCs w:val="22"/>
      </w:rPr>
      <w:t>0412</w:t>
    </w:r>
    <w:r w:rsidRPr="00FC79C9">
      <w:rPr>
        <w:sz w:val="22"/>
        <w:szCs w:val="22"/>
      </w:rPr>
      <w:t>_</w:t>
    </w:r>
    <w:r>
      <w:rPr>
        <w:sz w:val="22"/>
        <w:szCs w:val="22"/>
      </w:rPr>
      <w:t>MZZ</w:t>
    </w:r>
    <w:r w:rsidRPr="00FC79C9">
      <w:rPr>
        <w:sz w:val="22"/>
        <w:szCs w:val="22"/>
      </w:rPr>
      <w:t xml:space="preserve">; </w:t>
    </w:r>
    <w:r w:rsidRPr="00603F1B">
      <w:rPr>
        <w:sz w:val="22"/>
        <w:szCs w:val="22"/>
      </w:rPr>
      <w:t>Min</w:t>
    </w:r>
    <w:r>
      <w:rPr>
        <w:sz w:val="22"/>
        <w:szCs w:val="22"/>
      </w:rPr>
      <w:t>istru kabineta rīkojuma projekta</w:t>
    </w:r>
    <w:r w:rsidRPr="00603F1B">
      <w:rPr>
        <w:sz w:val="22"/>
        <w:szCs w:val="22"/>
      </w:rPr>
      <w:t xml:space="preserve"> „</w:t>
    </w:r>
    <w:r w:rsidRPr="00275539">
      <w:rPr>
        <w:sz w:val="22"/>
        <w:szCs w:val="22"/>
      </w:rPr>
      <w:t xml:space="preserve">Par nacionālās sporta bāzes statusa piešķiršanu </w:t>
    </w:r>
    <w:proofErr w:type="spellStart"/>
    <w:r w:rsidRPr="00275539">
      <w:rPr>
        <w:sz w:val="22"/>
        <w:szCs w:val="22"/>
      </w:rPr>
      <w:t>Motocentram</w:t>
    </w:r>
    <w:proofErr w:type="spellEnd"/>
    <w:r w:rsidRPr="00275539">
      <w:rPr>
        <w:sz w:val="22"/>
        <w:szCs w:val="22"/>
      </w:rPr>
      <w:t xml:space="preserve"> „Zelta Zirgs”</w:t>
    </w:r>
    <w:r w:rsidRPr="00BD069D">
      <w:rPr>
        <w:sz w:val="22"/>
        <w:szCs w:val="22"/>
      </w:rPr>
      <w:t>”</w:t>
    </w:r>
    <w:r>
      <w:rPr>
        <w:sz w:val="22"/>
        <w:szCs w:val="22"/>
      </w:rPr>
      <w:t xml:space="preserve"> sākotnējās ietekmes novērtējuma ziņojums (anotācija)</w:t>
    </w:r>
  </w:p>
  <w:p w:rsidR="00DE1C13" w:rsidRPr="00275539" w:rsidRDefault="00FD79F4" w:rsidP="00275539">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CE032B">
      <w:rPr>
        <w:sz w:val="22"/>
        <w:szCs w:val="22"/>
      </w:rPr>
      <w:t>1</w:t>
    </w:r>
    <w:r w:rsidR="00BC7D47">
      <w:rPr>
        <w:sz w:val="22"/>
        <w:szCs w:val="22"/>
      </w:rPr>
      <w:t>6</w:t>
    </w:r>
    <w:r w:rsidR="00CE032B">
      <w:rPr>
        <w:sz w:val="22"/>
        <w:szCs w:val="22"/>
      </w:rPr>
      <w:t>0412</w:t>
    </w:r>
    <w:r w:rsidRPr="00FC79C9">
      <w:rPr>
        <w:sz w:val="22"/>
        <w:szCs w:val="22"/>
      </w:rPr>
      <w:t>_</w:t>
    </w:r>
    <w:r w:rsidR="00275539">
      <w:rPr>
        <w:sz w:val="22"/>
        <w:szCs w:val="22"/>
      </w:rPr>
      <w:t>MZZ</w:t>
    </w:r>
    <w:r w:rsidRPr="00FC79C9">
      <w:rPr>
        <w:sz w:val="22"/>
        <w:szCs w:val="22"/>
      </w:rPr>
      <w:t xml:space="preserve">; </w:t>
    </w:r>
    <w:r w:rsidRPr="00603F1B">
      <w:rPr>
        <w:sz w:val="22"/>
        <w:szCs w:val="22"/>
      </w:rPr>
      <w:t>Min</w:t>
    </w:r>
    <w:r w:rsidR="00A54F70">
      <w:rPr>
        <w:sz w:val="22"/>
        <w:szCs w:val="22"/>
      </w:rPr>
      <w:t>istru kabineta rīkojuma projekta</w:t>
    </w:r>
    <w:r w:rsidRPr="00603F1B">
      <w:rPr>
        <w:sz w:val="22"/>
        <w:szCs w:val="22"/>
      </w:rPr>
      <w:t xml:space="preserve"> „</w:t>
    </w:r>
    <w:r w:rsidR="00275539" w:rsidRPr="00275539">
      <w:rPr>
        <w:sz w:val="22"/>
        <w:szCs w:val="22"/>
      </w:rPr>
      <w:t xml:space="preserve">Par nacionālās sporta bāzes statusa piešķiršanu </w:t>
    </w:r>
    <w:proofErr w:type="spellStart"/>
    <w:r w:rsidR="00275539" w:rsidRPr="00275539">
      <w:rPr>
        <w:sz w:val="22"/>
        <w:szCs w:val="22"/>
      </w:rPr>
      <w:t>Motocentram</w:t>
    </w:r>
    <w:proofErr w:type="spellEnd"/>
    <w:r w:rsidR="00275539" w:rsidRPr="00275539">
      <w:rPr>
        <w:sz w:val="22"/>
        <w:szCs w:val="22"/>
      </w:rPr>
      <w:t xml:space="preserve"> „Zelta Zirgs”</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F4" w:rsidRDefault="00FD79F4" w:rsidP="00CD46B7">
      <w:r>
        <w:separator/>
      </w:r>
    </w:p>
  </w:footnote>
  <w:footnote w:type="continuationSeparator" w:id="0">
    <w:p w:rsidR="00FD79F4" w:rsidRDefault="00FD79F4"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CD65B7"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FD79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CD65B7"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FE6316">
      <w:rPr>
        <w:rStyle w:val="PageNumber"/>
        <w:noProof/>
      </w:rPr>
      <w:t>5</w:t>
    </w:r>
    <w:r>
      <w:rPr>
        <w:rStyle w:val="PageNumber"/>
      </w:rPr>
      <w:fldChar w:fldCharType="end"/>
    </w:r>
  </w:p>
  <w:p w:rsidR="00DE1C13" w:rsidRDefault="00FD79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20CDA"/>
    <w:rsid w:val="00025043"/>
    <w:rsid w:val="000A081B"/>
    <w:rsid w:val="00100F3A"/>
    <w:rsid w:val="001161B1"/>
    <w:rsid w:val="00136980"/>
    <w:rsid w:val="0017771C"/>
    <w:rsid w:val="001820E3"/>
    <w:rsid w:val="00187F47"/>
    <w:rsid w:val="001A6F7B"/>
    <w:rsid w:val="001F4736"/>
    <w:rsid w:val="002341C5"/>
    <w:rsid w:val="00234F9E"/>
    <w:rsid w:val="00246C64"/>
    <w:rsid w:val="00257AAE"/>
    <w:rsid w:val="00275539"/>
    <w:rsid w:val="0028608D"/>
    <w:rsid w:val="00286BD0"/>
    <w:rsid w:val="002E581A"/>
    <w:rsid w:val="002F4360"/>
    <w:rsid w:val="00300C69"/>
    <w:rsid w:val="00362A66"/>
    <w:rsid w:val="00383544"/>
    <w:rsid w:val="003A314C"/>
    <w:rsid w:val="003C6B44"/>
    <w:rsid w:val="003C76E4"/>
    <w:rsid w:val="004264FB"/>
    <w:rsid w:val="00463891"/>
    <w:rsid w:val="0046647C"/>
    <w:rsid w:val="00482728"/>
    <w:rsid w:val="004925AE"/>
    <w:rsid w:val="004975DF"/>
    <w:rsid w:val="004B10BB"/>
    <w:rsid w:val="004C4F24"/>
    <w:rsid w:val="004D4E3F"/>
    <w:rsid w:val="004D672A"/>
    <w:rsid w:val="004E5E49"/>
    <w:rsid w:val="004F6016"/>
    <w:rsid w:val="00514E58"/>
    <w:rsid w:val="005321F9"/>
    <w:rsid w:val="005374A0"/>
    <w:rsid w:val="0054362B"/>
    <w:rsid w:val="0056076A"/>
    <w:rsid w:val="00565B87"/>
    <w:rsid w:val="00577D56"/>
    <w:rsid w:val="005C4249"/>
    <w:rsid w:val="005D15C7"/>
    <w:rsid w:val="005D2680"/>
    <w:rsid w:val="005D6AD4"/>
    <w:rsid w:val="005E44AD"/>
    <w:rsid w:val="00605B27"/>
    <w:rsid w:val="006268F3"/>
    <w:rsid w:val="00633FD4"/>
    <w:rsid w:val="00645BCB"/>
    <w:rsid w:val="00677B4F"/>
    <w:rsid w:val="00684D58"/>
    <w:rsid w:val="00696E89"/>
    <w:rsid w:val="006C480D"/>
    <w:rsid w:val="006D224B"/>
    <w:rsid w:val="00716A9B"/>
    <w:rsid w:val="00722A99"/>
    <w:rsid w:val="00735D1E"/>
    <w:rsid w:val="007455E3"/>
    <w:rsid w:val="007528A0"/>
    <w:rsid w:val="00752D53"/>
    <w:rsid w:val="007835B9"/>
    <w:rsid w:val="007B2F1C"/>
    <w:rsid w:val="007B7399"/>
    <w:rsid w:val="007C5389"/>
    <w:rsid w:val="007C7F7C"/>
    <w:rsid w:val="007F0409"/>
    <w:rsid w:val="007F7B06"/>
    <w:rsid w:val="00805DE4"/>
    <w:rsid w:val="00807BCE"/>
    <w:rsid w:val="0081572B"/>
    <w:rsid w:val="00850721"/>
    <w:rsid w:val="00862919"/>
    <w:rsid w:val="00863B4E"/>
    <w:rsid w:val="00864BAC"/>
    <w:rsid w:val="008B7791"/>
    <w:rsid w:val="00924DF5"/>
    <w:rsid w:val="0098403E"/>
    <w:rsid w:val="00987E8E"/>
    <w:rsid w:val="009A735B"/>
    <w:rsid w:val="009E3C17"/>
    <w:rsid w:val="00A273DA"/>
    <w:rsid w:val="00A33406"/>
    <w:rsid w:val="00A37F95"/>
    <w:rsid w:val="00A5498E"/>
    <w:rsid w:val="00A54F70"/>
    <w:rsid w:val="00A72B47"/>
    <w:rsid w:val="00A751E9"/>
    <w:rsid w:val="00A95366"/>
    <w:rsid w:val="00AA3C5A"/>
    <w:rsid w:val="00AA7996"/>
    <w:rsid w:val="00AC2969"/>
    <w:rsid w:val="00AD4397"/>
    <w:rsid w:val="00AE4AF9"/>
    <w:rsid w:val="00B25EF8"/>
    <w:rsid w:val="00B6785C"/>
    <w:rsid w:val="00B713B8"/>
    <w:rsid w:val="00BA4793"/>
    <w:rsid w:val="00BC7D47"/>
    <w:rsid w:val="00BF036A"/>
    <w:rsid w:val="00BF1697"/>
    <w:rsid w:val="00BF35D0"/>
    <w:rsid w:val="00C0111C"/>
    <w:rsid w:val="00C4444B"/>
    <w:rsid w:val="00C54CF4"/>
    <w:rsid w:val="00C65137"/>
    <w:rsid w:val="00C67220"/>
    <w:rsid w:val="00C7556E"/>
    <w:rsid w:val="00C905E7"/>
    <w:rsid w:val="00C93B0F"/>
    <w:rsid w:val="00CC2FF9"/>
    <w:rsid w:val="00CD141A"/>
    <w:rsid w:val="00CD46B7"/>
    <w:rsid w:val="00CD542B"/>
    <w:rsid w:val="00CD65B7"/>
    <w:rsid w:val="00CE032B"/>
    <w:rsid w:val="00CF1D71"/>
    <w:rsid w:val="00CF5627"/>
    <w:rsid w:val="00D015CB"/>
    <w:rsid w:val="00D0459F"/>
    <w:rsid w:val="00D059CE"/>
    <w:rsid w:val="00D1130F"/>
    <w:rsid w:val="00D1192A"/>
    <w:rsid w:val="00D16FA7"/>
    <w:rsid w:val="00D77AC7"/>
    <w:rsid w:val="00D91398"/>
    <w:rsid w:val="00D97E15"/>
    <w:rsid w:val="00DB41B7"/>
    <w:rsid w:val="00DE2FA3"/>
    <w:rsid w:val="00E4109A"/>
    <w:rsid w:val="00E47BC2"/>
    <w:rsid w:val="00E5182B"/>
    <w:rsid w:val="00E62513"/>
    <w:rsid w:val="00E66870"/>
    <w:rsid w:val="00E72616"/>
    <w:rsid w:val="00E97D1C"/>
    <w:rsid w:val="00EA4E50"/>
    <w:rsid w:val="00EB7303"/>
    <w:rsid w:val="00EC2971"/>
    <w:rsid w:val="00EC7495"/>
    <w:rsid w:val="00EF4000"/>
    <w:rsid w:val="00EF4C61"/>
    <w:rsid w:val="00F36A40"/>
    <w:rsid w:val="00F442AD"/>
    <w:rsid w:val="00F822F5"/>
    <w:rsid w:val="00F91246"/>
    <w:rsid w:val="00FD337A"/>
    <w:rsid w:val="00FD79F4"/>
    <w:rsid w:val="00FE631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6713</Words>
  <Characters>3827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Motocentram „Zelta Zirgs” ” projekta sākotnējās ietekmes novērtējuma ziņojums (anotācija)</vt:lpstr>
    </vt:vector>
  </TitlesOfParts>
  <Company> </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Motocentram „Zelta Zirgs” ” projekta sākotnējās ietekmes novērtējuma ziņojums (anotācija)</dc:title>
  <dc:subject>MK rīkojuma projekta anotācija</dc:subject>
  <dc:creator>Anda Mičule</dc:creator>
  <cp:keywords/>
  <dc:description>anda.micule@izm.gov.lv 
67047928</dc:description>
  <cp:lastModifiedBy>amicule</cp:lastModifiedBy>
  <cp:revision>4</cp:revision>
  <cp:lastPrinted>2012-04-16T08:06:00Z</cp:lastPrinted>
  <dcterms:created xsi:type="dcterms:W3CDTF">2012-04-11T07:05:00Z</dcterms:created>
  <dcterms:modified xsi:type="dcterms:W3CDTF">2012-04-16T08:25:00Z</dcterms:modified>
</cp:coreProperties>
</file>