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768" w:rsidRPr="0001355F" w:rsidRDefault="004B0768" w:rsidP="004B0768">
      <w:pPr>
        <w:jc w:val="center"/>
        <w:rPr>
          <w:b/>
        </w:rPr>
      </w:pPr>
      <w:bookmarkStart w:id="0" w:name="OLE_LINK1"/>
      <w:bookmarkStart w:id="1" w:name="OLE_LINK2"/>
      <w:r w:rsidRPr="0001355F">
        <w:rPr>
          <w:b/>
        </w:rPr>
        <w:t>Ministru kabineta noteikumu projekta</w:t>
      </w:r>
    </w:p>
    <w:p w:rsidR="007D648F" w:rsidRPr="0001355F" w:rsidRDefault="004B0768" w:rsidP="002A2E82">
      <w:pPr>
        <w:pStyle w:val="tv20787921"/>
        <w:spacing w:after="0" w:line="240" w:lineRule="auto"/>
        <w:rPr>
          <w:rFonts w:ascii="Times New Roman" w:hAnsi="Times New Roman"/>
          <w:bCs w:val="0"/>
          <w:sz w:val="24"/>
          <w:szCs w:val="24"/>
        </w:rPr>
      </w:pPr>
      <w:bookmarkStart w:id="2" w:name="OLE_LINK3"/>
      <w:bookmarkStart w:id="3" w:name="OLE_LINK4"/>
      <w:bookmarkStart w:id="4" w:name="OLE_LINK7"/>
      <w:bookmarkStart w:id="5" w:name="OLE_LINK8"/>
      <w:bookmarkEnd w:id="0"/>
      <w:bookmarkEnd w:id="1"/>
      <w:r w:rsidRPr="0001355F">
        <w:rPr>
          <w:rFonts w:ascii="Times New Roman" w:hAnsi="Times New Roman"/>
          <w:bCs w:val="0"/>
          <w:sz w:val="24"/>
          <w:szCs w:val="24"/>
        </w:rPr>
        <w:t>„</w:t>
      </w:r>
      <w:bookmarkEnd w:id="2"/>
      <w:bookmarkEnd w:id="3"/>
      <w:bookmarkEnd w:id="4"/>
      <w:bookmarkEnd w:id="5"/>
      <w:r w:rsidR="00DF3558">
        <w:rPr>
          <w:rFonts w:ascii="Times New Roman" w:hAnsi="Times New Roman"/>
          <w:bCs w:val="0"/>
          <w:sz w:val="24"/>
          <w:szCs w:val="24"/>
        </w:rPr>
        <w:t>Grozījum</w:t>
      </w:r>
      <w:r w:rsidR="00973DB7">
        <w:rPr>
          <w:rFonts w:ascii="Times New Roman" w:hAnsi="Times New Roman"/>
          <w:bCs w:val="0"/>
          <w:sz w:val="24"/>
          <w:szCs w:val="24"/>
        </w:rPr>
        <w:t>s</w:t>
      </w:r>
      <w:r w:rsidR="00DF3558">
        <w:rPr>
          <w:rFonts w:ascii="Times New Roman" w:hAnsi="Times New Roman"/>
          <w:bCs w:val="0"/>
          <w:sz w:val="24"/>
          <w:szCs w:val="24"/>
        </w:rPr>
        <w:t xml:space="preserve"> Ministru kabineta 2009.gada 7.jūlija noteikumos Nr.733 „</w:t>
      </w:r>
      <w:r w:rsidR="008B134C" w:rsidRPr="0001355F">
        <w:rPr>
          <w:rFonts w:ascii="Times New Roman" w:hAnsi="Times New Roman"/>
          <w:bCs w:val="0"/>
          <w:sz w:val="24"/>
          <w:szCs w:val="24"/>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D83E36" w:rsidRPr="0001355F">
        <w:rPr>
          <w:rFonts w:ascii="Times New Roman" w:hAnsi="Times New Roman"/>
          <w:bCs w:val="0"/>
          <w:sz w:val="24"/>
          <w:szCs w:val="24"/>
        </w:rPr>
        <w:t>”</w:t>
      </w:r>
      <w:r w:rsidR="00DF3558">
        <w:rPr>
          <w:rFonts w:ascii="Times New Roman" w:hAnsi="Times New Roman"/>
          <w:bCs w:val="0"/>
          <w:sz w:val="24"/>
          <w:szCs w:val="24"/>
        </w:rPr>
        <w:t>”</w:t>
      </w:r>
    </w:p>
    <w:p w:rsidR="004B0768" w:rsidRPr="0001355F" w:rsidRDefault="002A2E82" w:rsidP="002A2E82">
      <w:pPr>
        <w:pStyle w:val="tv20787921"/>
        <w:spacing w:after="0" w:line="240" w:lineRule="auto"/>
        <w:rPr>
          <w:rFonts w:ascii="Times New Roman" w:hAnsi="Times New Roman"/>
          <w:bCs w:val="0"/>
          <w:sz w:val="24"/>
          <w:szCs w:val="24"/>
        </w:rPr>
      </w:pPr>
      <w:r w:rsidRPr="0001355F">
        <w:rPr>
          <w:rFonts w:ascii="Times New Roman" w:hAnsi="Times New Roman"/>
          <w:bCs w:val="0"/>
          <w:sz w:val="24"/>
          <w:szCs w:val="24"/>
        </w:rPr>
        <w:t>sākotnējās ietekmes novērtējuma ziņojums</w:t>
      </w:r>
      <w:r w:rsidR="008B134C" w:rsidRPr="0001355F">
        <w:rPr>
          <w:rFonts w:ascii="Times New Roman" w:hAnsi="Times New Roman"/>
          <w:bCs w:val="0"/>
          <w:sz w:val="24"/>
          <w:szCs w:val="24"/>
        </w:rPr>
        <w:t xml:space="preserve"> </w:t>
      </w:r>
      <w:r w:rsidR="004B0768" w:rsidRPr="0001355F">
        <w:rPr>
          <w:rFonts w:ascii="Times New Roman" w:hAnsi="Times New Roman"/>
          <w:bCs w:val="0"/>
          <w:sz w:val="24"/>
          <w:szCs w:val="24"/>
        </w:rPr>
        <w:t>(anotācija)</w:t>
      </w:r>
    </w:p>
    <w:p w:rsidR="002A2E82" w:rsidRPr="0001355F" w:rsidRDefault="002A2E82" w:rsidP="002A2E82">
      <w:pPr>
        <w:pStyle w:val="tv20787921"/>
        <w:spacing w:after="0" w:line="240" w:lineRule="auto"/>
        <w:rPr>
          <w:rFonts w:ascii="Times New Roman" w:hAnsi="Times New Roman"/>
          <w:bCs w:val="0"/>
          <w:sz w:val="24"/>
          <w:szCs w:val="24"/>
        </w:rPr>
      </w:pPr>
    </w:p>
    <w:tbl>
      <w:tblPr>
        <w:tblpPr w:leftFromText="180" w:rightFromText="180" w:vertAnchor="text" w:horzAnchor="margin" w:tblpXSpec="center" w:tblpY="149"/>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9"/>
        <w:gridCol w:w="2693"/>
        <w:gridCol w:w="5905"/>
      </w:tblGrid>
      <w:tr w:rsidR="004B0768" w:rsidRPr="0001355F" w:rsidTr="00DF3558">
        <w:tc>
          <w:tcPr>
            <w:tcW w:w="9097" w:type="dxa"/>
            <w:gridSpan w:val="3"/>
            <w:vAlign w:val="center"/>
          </w:tcPr>
          <w:p w:rsidR="004B0768" w:rsidRPr="0001355F" w:rsidRDefault="004B0768" w:rsidP="000A4A7D">
            <w:pPr>
              <w:pStyle w:val="naisnod"/>
              <w:spacing w:before="0" w:after="0"/>
            </w:pPr>
            <w:r w:rsidRPr="0001355F">
              <w:t>I. Tiesību akta projekta izstrādes nepieciešamība</w:t>
            </w:r>
          </w:p>
        </w:tc>
      </w:tr>
      <w:tr w:rsidR="004B0768" w:rsidRPr="0001355F" w:rsidTr="00DF3558">
        <w:trPr>
          <w:trHeight w:val="630"/>
        </w:trPr>
        <w:tc>
          <w:tcPr>
            <w:tcW w:w="499" w:type="dxa"/>
          </w:tcPr>
          <w:p w:rsidR="004B0768" w:rsidRPr="0001355F" w:rsidRDefault="004B0768" w:rsidP="00493E93">
            <w:pPr>
              <w:pStyle w:val="naiskr"/>
              <w:spacing w:before="0" w:after="0"/>
              <w:jc w:val="center"/>
            </w:pPr>
            <w:r w:rsidRPr="0001355F">
              <w:t>1.</w:t>
            </w:r>
          </w:p>
        </w:tc>
        <w:tc>
          <w:tcPr>
            <w:tcW w:w="2693" w:type="dxa"/>
          </w:tcPr>
          <w:p w:rsidR="004B0768" w:rsidRPr="0001355F" w:rsidRDefault="004B0768" w:rsidP="000A4A7D">
            <w:pPr>
              <w:pStyle w:val="naiskr"/>
              <w:spacing w:before="0" w:after="0"/>
              <w:ind w:hanging="10"/>
            </w:pPr>
            <w:r w:rsidRPr="0001355F">
              <w:t>Pamatojums</w:t>
            </w:r>
          </w:p>
        </w:tc>
        <w:tc>
          <w:tcPr>
            <w:tcW w:w="5905" w:type="dxa"/>
          </w:tcPr>
          <w:p w:rsidR="009A1263" w:rsidRPr="0001355F" w:rsidRDefault="0045413A" w:rsidP="003B4996">
            <w:pPr>
              <w:autoSpaceDE w:val="0"/>
              <w:autoSpaceDN w:val="0"/>
              <w:adjustRightInd w:val="0"/>
              <w:jc w:val="both"/>
              <w:rPr>
                <w:rFonts w:eastAsia="Calibri"/>
                <w:color w:val="000000"/>
              </w:rPr>
            </w:pPr>
            <w:r w:rsidRPr="0001355F">
              <w:rPr>
                <w:rFonts w:eastAsia="Calibri"/>
                <w:color w:val="000000"/>
              </w:rPr>
              <w:t>Ministru kabineta n</w:t>
            </w:r>
            <w:r w:rsidR="0076731E" w:rsidRPr="0001355F">
              <w:rPr>
                <w:rFonts w:eastAsia="Calibri"/>
                <w:color w:val="000000"/>
              </w:rPr>
              <w:t>oteikumu projekts „</w:t>
            </w:r>
            <w:r w:rsidR="00973DB7">
              <w:rPr>
                <w:rFonts w:eastAsia="Calibri"/>
                <w:color w:val="000000"/>
              </w:rPr>
              <w:t>Grozījums</w:t>
            </w:r>
            <w:r w:rsidR="00DF3558">
              <w:rPr>
                <w:rFonts w:eastAsia="Calibri"/>
                <w:color w:val="000000"/>
              </w:rPr>
              <w:t xml:space="preserve"> Ministru kabineta 2009.gada 7.jūlija noteikumos Nr.733 „</w:t>
            </w:r>
            <w:r w:rsidR="008B134C" w:rsidRPr="0001355F">
              <w:rPr>
                <w:rFonts w:eastAsia="Calibri"/>
                <w:bCs/>
                <w:color w:val="000000"/>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76731E" w:rsidRPr="0001355F">
              <w:rPr>
                <w:rFonts w:eastAsia="Calibri"/>
                <w:color w:val="000000"/>
              </w:rPr>
              <w:t>”</w:t>
            </w:r>
            <w:r w:rsidR="000A0C25">
              <w:rPr>
                <w:rFonts w:eastAsia="Calibri"/>
                <w:color w:val="000000"/>
              </w:rPr>
              <w:t>”</w:t>
            </w:r>
            <w:r w:rsidR="0076731E" w:rsidRPr="0001355F">
              <w:rPr>
                <w:rFonts w:eastAsia="Calibri"/>
                <w:color w:val="000000"/>
              </w:rPr>
              <w:t xml:space="preserve"> </w:t>
            </w:r>
            <w:r w:rsidR="009A1263" w:rsidRPr="0001355F">
              <w:rPr>
                <w:rFonts w:eastAsia="Calibri"/>
                <w:color w:val="000000"/>
              </w:rPr>
              <w:t>(turpmāk –</w:t>
            </w:r>
            <w:r w:rsidR="00AB58C6" w:rsidRPr="0001355F">
              <w:rPr>
                <w:rFonts w:eastAsia="Calibri"/>
                <w:color w:val="000000"/>
              </w:rPr>
              <w:t xml:space="preserve"> </w:t>
            </w:r>
            <w:r w:rsidR="009A1263" w:rsidRPr="0001355F">
              <w:rPr>
                <w:rFonts w:eastAsia="Calibri"/>
                <w:color w:val="000000"/>
              </w:rPr>
              <w:t xml:space="preserve">projekts) </w:t>
            </w:r>
            <w:r w:rsidR="0076731E" w:rsidRPr="0001355F">
              <w:rPr>
                <w:rFonts w:eastAsia="Calibri"/>
                <w:color w:val="000000"/>
              </w:rPr>
              <w:t>sagatavots, saskaņā ar</w:t>
            </w:r>
            <w:r w:rsidR="009A1263" w:rsidRPr="0001355F">
              <w:rPr>
                <w:rFonts w:eastAsia="Calibri"/>
                <w:color w:val="000000"/>
              </w:rPr>
              <w:t>:</w:t>
            </w:r>
          </w:p>
          <w:p w:rsidR="009A1263" w:rsidRPr="0001355F" w:rsidRDefault="009A1263" w:rsidP="003B4996">
            <w:pPr>
              <w:autoSpaceDE w:val="0"/>
              <w:autoSpaceDN w:val="0"/>
              <w:adjustRightInd w:val="0"/>
              <w:jc w:val="both"/>
              <w:rPr>
                <w:rFonts w:eastAsia="Calibri"/>
                <w:color w:val="000000"/>
              </w:rPr>
            </w:pPr>
            <w:r w:rsidRPr="0001355F">
              <w:rPr>
                <w:rFonts w:eastAsia="Calibri"/>
                <w:color w:val="000000"/>
              </w:rPr>
              <w:t xml:space="preserve">1) </w:t>
            </w:r>
            <w:r w:rsidR="0076731E" w:rsidRPr="0001355F">
              <w:rPr>
                <w:rFonts w:eastAsia="Calibri"/>
                <w:i/>
                <w:color w:val="000000"/>
              </w:rPr>
              <w:t>Euro</w:t>
            </w:r>
            <w:r w:rsidR="0076731E" w:rsidRPr="0001355F">
              <w:rPr>
                <w:rFonts w:eastAsia="Calibri"/>
                <w:color w:val="000000"/>
              </w:rPr>
              <w:t xml:space="preserve"> ieviešanas kārtības likuma 30.panta pirmo daļu</w:t>
            </w:r>
            <w:r w:rsidRPr="0001355F">
              <w:rPr>
                <w:rFonts w:eastAsia="Calibri"/>
                <w:color w:val="000000"/>
              </w:rPr>
              <w:t>;</w:t>
            </w:r>
            <w:r w:rsidR="0076731E" w:rsidRPr="0001355F">
              <w:rPr>
                <w:rFonts w:eastAsia="Calibri"/>
                <w:color w:val="000000"/>
              </w:rPr>
              <w:t xml:space="preserve"> </w:t>
            </w:r>
            <w:r w:rsidRPr="0001355F">
              <w:rPr>
                <w:rFonts w:eastAsia="Calibri"/>
                <w:color w:val="000000"/>
              </w:rPr>
              <w:t xml:space="preserve">2) </w:t>
            </w:r>
            <w:r w:rsidR="0076731E" w:rsidRPr="0001355F">
              <w:rPr>
                <w:rFonts w:eastAsia="Calibri"/>
                <w:color w:val="000000"/>
              </w:rPr>
              <w:t>Ministru kabineta 2012.gada 27.jūnija rīkojuma Nr.282 „</w:t>
            </w:r>
            <w:r w:rsidR="007E4900" w:rsidRPr="0001355F">
              <w:rPr>
                <w:rFonts w:eastAsia="Calibri"/>
                <w:color w:val="000000"/>
              </w:rPr>
              <w:t>P</w:t>
            </w:r>
            <w:r w:rsidR="0076731E" w:rsidRPr="0001355F">
              <w:rPr>
                <w:rFonts w:eastAsia="Calibri"/>
                <w:color w:val="000000"/>
              </w:rPr>
              <w:t xml:space="preserve">ar Koncepciju par normatīvo aktu sakārtošanu saistībā ar eiro ievešanu Latvijā” </w:t>
            </w:r>
            <w:r w:rsidR="007E4900" w:rsidRPr="0001355F">
              <w:rPr>
                <w:rFonts w:eastAsia="Calibri"/>
                <w:color w:val="000000"/>
              </w:rPr>
              <w:t>7.1.apakš</w:t>
            </w:r>
            <w:r w:rsidR="0076731E" w:rsidRPr="0001355F">
              <w:rPr>
                <w:rFonts w:eastAsia="Calibri"/>
                <w:color w:val="000000"/>
              </w:rPr>
              <w:t>punktu</w:t>
            </w:r>
            <w:r w:rsidRPr="0001355F">
              <w:rPr>
                <w:rFonts w:eastAsia="Calibri"/>
                <w:color w:val="000000"/>
              </w:rPr>
              <w:t>;</w:t>
            </w:r>
          </w:p>
          <w:p w:rsidR="009A1263" w:rsidRPr="0001355F" w:rsidRDefault="009A1263" w:rsidP="003B4996">
            <w:pPr>
              <w:autoSpaceDE w:val="0"/>
              <w:autoSpaceDN w:val="0"/>
              <w:adjustRightInd w:val="0"/>
              <w:jc w:val="both"/>
              <w:rPr>
                <w:rFonts w:eastAsia="Calibri"/>
                <w:color w:val="000000"/>
              </w:rPr>
            </w:pPr>
            <w:r w:rsidRPr="0001355F">
              <w:rPr>
                <w:rFonts w:eastAsia="Calibri"/>
                <w:color w:val="000000"/>
              </w:rPr>
              <w:t>3)</w:t>
            </w:r>
            <w:r w:rsidR="0076731E" w:rsidRPr="0001355F">
              <w:rPr>
                <w:rFonts w:eastAsia="Calibri"/>
                <w:color w:val="000000"/>
              </w:rPr>
              <w:t xml:space="preserve"> Latvijas </w:t>
            </w:r>
            <w:r w:rsidR="00561BAD">
              <w:rPr>
                <w:rFonts w:eastAsia="Calibri"/>
                <w:color w:val="000000"/>
              </w:rPr>
              <w:t>N</w:t>
            </w:r>
            <w:r w:rsidR="0076731E" w:rsidRPr="0001355F">
              <w:rPr>
                <w:rFonts w:eastAsia="Calibri"/>
                <w:color w:val="000000"/>
              </w:rPr>
              <w:t xml:space="preserve">acionālā </w:t>
            </w:r>
            <w:r w:rsidR="0076731E" w:rsidRPr="0001355F">
              <w:rPr>
                <w:rFonts w:eastAsia="Calibri"/>
                <w:i/>
                <w:color w:val="000000"/>
              </w:rPr>
              <w:t>e</w:t>
            </w:r>
            <w:r w:rsidR="007E4900" w:rsidRPr="0001355F">
              <w:rPr>
                <w:rFonts w:eastAsia="Calibri"/>
                <w:i/>
                <w:color w:val="000000"/>
              </w:rPr>
              <w:t>u</w:t>
            </w:r>
            <w:r w:rsidR="0076731E" w:rsidRPr="0001355F">
              <w:rPr>
                <w:rFonts w:eastAsia="Calibri"/>
                <w:i/>
                <w:color w:val="000000"/>
              </w:rPr>
              <w:t>ro</w:t>
            </w:r>
            <w:r w:rsidR="0076731E" w:rsidRPr="0001355F">
              <w:rPr>
                <w:rFonts w:eastAsia="Calibri"/>
                <w:color w:val="000000"/>
              </w:rPr>
              <w:t xml:space="preserve"> ieviešanas plāna (apstiprināts ar Ministru kabineta 2013.gada 4.aprīļa rīkojumu Nr.136) 1.pielikuma</w:t>
            </w:r>
            <w:r w:rsidRPr="0001355F">
              <w:rPr>
                <w:rFonts w:eastAsia="Calibri"/>
                <w:color w:val="000000"/>
              </w:rPr>
              <w:t xml:space="preserve"> J2.2.2.apakšpunktu;</w:t>
            </w:r>
          </w:p>
          <w:p w:rsidR="00A75A2B" w:rsidRPr="0001355F" w:rsidRDefault="009A1263" w:rsidP="000A0C25">
            <w:pPr>
              <w:autoSpaceDE w:val="0"/>
              <w:autoSpaceDN w:val="0"/>
              <w:adjustRightInd w:val="0"/>
              <w:jc w:val="both"/>
            </w:pPr>
            <w:r w:rsidRPr="0001355F">
              <w:rPr>
                <w:rFonts w:eastAsia="Calibri"/>
                <w:color w:val="000000"/>
              </w:rPr>
              <w:t xml:space="preserve">4) </w:t>
            </w:r>
            <w:r w:rsidR="000315E0" w:rsidRPr="0001355F">
              <w:rPr>
                <w:rFonts w:eastAsia="Calibri"/>
                <w:color w:val="000000"/>
              </w:rPr>
              <w:t>Ministru kabineta 201</w:t>
            </w:r>
            <w:r w:rsidR="0045413A" w:rsidRPr="0001355F">
              <w:rPr>
                <w:rFonts w:eastAsia="Calibri"/>
                <w:color w:val="000000"/>
              </w:rPr>
              <w:t>3</w:t>
            </w:r>
            <w:r w:rsidR="000315E0" w:rsidRPr="0001355F">
              <w:rPr>
                <w:rFonts w:eastAsia="Calibri"/>
                <w:color w:val="000000"/>
              </w:rPr>
              <w:t xml:space="preserve">.gada 29.maija rīkojuma Nr.212 „Par tiesību aktu grozījumu virzību saistībā ar </w:t>
            </w:r>
            <w:r w:rsidR="000315E0" w:rsidRPr="0001355F">
              <w:rPr>
                <w:rFonts w:eastAsia="Calibri"/>
                <w:i/>
                <w:color w:val="000000"/>
              </w:rPr>
              <w:t>euro</w:t>
            </w:r>
            <w:r w:rsidR="000315E0" w:rsidRPr="0001355F">
              <w:rPr>
                <w:rFonts w:eastAsia="Calibri"/>
                <w:color w:val="000000"/>
              </w:rPr>
              <w:t xml:space="preserve"> ieviešanu Latvijā” </w:t>
            </w:r>
            <w:r w:rsidR="000A0C25">
              <w:rPr>
                <w:rFonts w:eastAsia="Calibri"/>
                <w:color w:val="000000"/>
              </w:rPr>
              <w:t xml:space="preserve">1.5. </w:t>
            </w:r>
            <w:r w:rsidR="000315E0" w:rsidRPr="0001355F">
              <w:rPr>
                <w:rFonts w:eastAsia="Calibri"/>
                <w:color w:val="000000"/>
              </w:rPr>
              <w:t xml:space="preserve">apakšpunktu. </w:t>
            </w:r>
            <w:r w:rsidR="0076731E" w:rsidRPr="0001355F">
              <w:rPr>
                <w:rFonts w:eastAsia="Calibri"/>
                <w:color w:val="000000"/>
              </w:rPr>
              <w:t xml:space="preserve">  </w:t>
            </w:r>
          </w:p>
        </w:tc>
      </w:tr>
      <w:tr w:rsidR="004B0768" w:rsidRPr="0001355F" w:rsidTr="00AD4C96">
        <w:trPr>
          <w:trHeight w:val="699"/>
        </w:trPr>
        <w:tc>
          <w:tcPr>
            <w:tcW w:w="499" w:type="dxa"/>
          </w:tcPr>
          <w:p w:rsidR="004B0768" w:rsidRPr="0001355F" w:rsidRDefault="004B0768" w:rsidP="00493E93">
            <w:pPr>
              <w:pStyle w:val="naiskr"/>
              <w:spacing w:before="0" w:after="0"/>
              <w:jc w:val="center"/>
            </w:pPr>
            <w:r w:rsidRPr="0001355F">
              <w:t>2.</w:t>
            </w:r>
          </w:p>
        </w:tc>
        <w:tc>
          <w:tcPr>
            <w:tcW w:w="2693" w:type="dxa"/>
          </w:tcPr>
          <w:p w:rsidR="004B0768" w:rsidRPr="0001355F" w:rsidRDefault="004B0768" w:rsidP="000A4A7D">
            <w:pPr>
              <w:pStyle w:val="naiskr"/>
              <w:tabs>
                <w:tab w:val="left" w:pos="170"/>
              </w:tabs>
              <w:spacing w:before="0" w:after="0"/>
            </w:pPr>
            <w:r w:rsidRPr="0001355F">
              <w:t>Pašreizējā situācija un problēmas</w:t>
            </w:r>
          </w:p>
        </w:tc>
        <w:tc>
          <w:tcPr>
            <w:tcW w:w="5905" w:type="dxa"/>
          </w:tcPr>
          <w:p w:rsidR="00AD4C96" w:rsidRDefault="00AB58C6" w:rsidP="00AD4C96">
            <w:pPr>
              <w:pStyle w:val="NoSpacing"/>
              <w:ind w:right="141"/>
              <w:jc w:val="both"/>
              <w:rPr>
                <w:sz w:val="24"/>
                <w:szCs w:val="24"/>
              </w:rPr>
            </w:pPr>
            <w:r w:rsidRPr="0001355F">
              <w:rPr>
                <w:sz w:val="24"/>
                <w:szCs w:val="24"/>
              </w:rPr>
              <w:t>Ministru kabineta 20</w:t>
            </w:r>
            <w:r w:rsidR="007D648F" w:rsidRPr="0001355F">
              <w:rPr>
                <w:sz w:val="24"/>
                <w:szCs w:val="24"/>
              </w:rPr>
              <w:t>0</w:t>
            </w:r>
            <w:r w:rsidR="008B134C" w:rsidRPr="0001355F">
              <w:rPr>
                <w:sz w:val="24"/>
                <w:szCs w:val="24"/>
              </w:rPr>
              <w:t>9</w:t>
            </w:r>
            <w:r w:rsidRPr="0001355F">
              <w:rPr>
                <w:sz w:val="24"/>
                <w:szCs w:val="24"/>
              </w:rPr>
              <w:t xml:space="preserve">.gada </w:t>
            </w:r>
            <w:r w:rsidR="008B134C" w:rsidRPr="0001355F">
              <w:rPr>
                <w:sz w:val="24"/>
                <w:szCs w:val="24"/>
              </w:rPr>
              <w:t>7.jūlija</w:t>
            </w:r>
            <w:r w:rsidR="00DF3558">
              <w:rPr>
                <w:sz w:val="24"/>
                <w:szCs w:val="24"/>
              </w:rPr>
              <w:t xml:space="preserve"> noteikumu</w:t>
            </w:r>
            <w:r w:rsidRPr="0001355F">
              <w:rPr>
                <w:sz w:val="24"/>
                <w:szCs w:val="24"/>
              </w:rPr>
              <w:t xml:space="preserve"> Nr.</w:t>
            </w:r>
            <w:r w:rsidR="008B134C" w:rsidRPr="0001355F">
              <w:rPr>
                <w:sz w:val="24"/>
                <w:szCs w:val="24"/>
              </w:rPr>
              <w:t>733</w:t>
            </w:r>
            <w:r w:rsidRPr="0001355F">
              <w:rPr>
                <w:sz w:val="24"/>
                <w:szCs w:val="24"/>
              </w:rPr>
              <w:t xml:space="preserve"> „</w:t>
            </w:r>
            <w:r w:rsidR="008B134C" w:rsidRPr="0001355F">
              <w:rPr>
                <w:bCs/>
                <w:sz w:val="24"/>
                <w:szCs w:val="24"/>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Pr="0001355F">
              <w:rPr>
                <w:sz w:val="24"/>
                <w:szCs w:val="24"/>
              </w:rPr>
              <w:t>”</w:t>
            </w:r>
            <w:r w:rsidR="00AD4C96">
              <w:rPr>
                <w:sz w:val="24"/>
                <w:szCs w:val="24"/>
              </w:rPr>
              <w:t xml:space="preserve"> (turpmāk-MK noteikumi Nr.733)</w:t>
            </w:r>
            <w:r w:rsidRPr="0001355F">
              <w:rPr>
                <w:sz w:val="24"/>
                <w:szCs w:val="24"/>
              </w:rPr>
              <w:t xml:space="preserve"> </w:t>
            </w:r>
            <w:r w:rsidR="00DF3558">
              <w:rPr>
                <w:sz w:val="24"/>
                <w:szCs w:val="24"/>
              </w:rPr>
              <w:t xml:space="preserve">63.punktā </w:t>
            </w:r>
            <w:r w:rsidR="008B134C" w:rsidRPr="0001355F">
              <w:rPr>
                <w:sz w:val="24"/>
                <w:szCs w:val="24"/>
              </w:rPr>
              <w:t xml:space="preserve">valsts nodeva par valsts valodas pārbaudi </w:t>
            </w:r>
            <w:r w:rsidRPr="0001355F">
              <w:rPr>
                <w:sz w:val="24"/>
                <w:szCs w:val="24"/>
              </w:rPr>
              <w:t xml:space="preserve">ir norādīta latos. Ievērojot minēto un to, ka </w:t>
            </w:r>
            <w:r w:rsidR="000315E0" w:rsidRPr="0001355F">
              <w:rPr>
                <w:sz w:val="24"/>
                <w:szCs w:val="24"/>
              </w:rPr>
              <w:t xml:space="preserve">ar 2014.gada 1.janvāri Latvijā </w:t>
            </w:r>
            <w:r w:rsidR="00C349AB" w:rsidRPr="0001355F">
              <w:rPr>
                <w:sz w:val="24"/>
                <w:szCs w:val="24"/>
              </w:rPr>
              <w:t xml:space="preserve">plānots ieviest </w:t>
            </w:r>
            <w:r w:rsidR="00C349AB" w:rsidRPr="0001355F">
              <w:rPr>
                <w:i/>
                <w:sz w:val="24"/>
                <w:szCs w:val="24"/>
              </w:rPr>
              <w:t>euro</w:t>
            </w:r>
            <w:r w:rsidRPr="0001355F">
              <w:rPr>
                <w:i/>
                <w:sz w:val="24"/>
                <w:szCs w:val="24"/>
              </w:rPr>
              <w:t xml:space="preserve">, </w:t>
            </w:r>
            <w:r w:rsidR="009A1263" w:rsidRPr="0001355F">
              <w:rPr>
                <w:sz w:val="24"/>
                <w:szCs w:val="24"/>
              </w:rPr>
              <w:t xml:space="preserve"> </w:t>
            </w:r>
            <w:r w:rsidR="008B134C" w:rsidRPr="0001355F">
              <w:rPr>
                <w:sz w:val="24"/>
                <w:szCs w:val="24"/>
              </w:rPr>
              <w:t xml:space="preserve">ir </w:t>
            </w:r>
            <w:r w:rsidR="009A1263" w:rsidRPr="0001355F">
              <w:rPr>
                <w:sz w:val="24"/>
                <w:szCs w:val="24"/>
              </w:rPr>
              <w:t xml:space="preserve">nepieciešams </w:t>
            </w:r>
            <w:r w:rsidR="008B134C" w:rsidRPr="0001355F">
              <w:rPr>
                <w:sz w:val="24"/>
                <w:szCs w:val="24"/>
              </w:rPr>
              <w:t xml:space="preserve">veikt </w:t>
            </w:r>
            <w:r w:rsidR="009A1263" w:rsidRPr="0001355F">
              <w:rPr>
                <w:sz w:val="24"/>
                <w:szCs w:val="24"/>
              </w:rPr>
              <w:t xml:space="preserve"> </w:t>
            </w:r>
            <w:r w:rsidR="008B134C" w:rsidRPr="0001355F">
              <w:rPr>
                <w:sz w:val="24"/>
                <w:szCs w:val="24"/>
              </w:rPr>
              <w:t>grozījumus</w:t>
            </w:r>
            <w:r w:rsidR="009A1263" w:rsidRPr="0001355F">
              <w:rPr>
                <w:sz w:val="24"/>
                <w:szCs w:val="24"/>
              </w:rPr>
              <w:t xml:space="preserve"> </w:t>
            </w:r>
            <w:r w:rsidR="00DF3558">
              <w:rPr>
                <w:sz w:val="24"/>
                <w:szCs w:val="24"/>
              </w:rPr>
              <w:t>M</w:t>
            </w:r>
            <w:r w:rsidR="00AD4C96">
              <w:rPr>
                <w:sz w:val="24"/>
                <w:szCs w:val="24"/>
              </w:rPr>
              <w:t>K noteikumu Nr.733</w:t>
            </w:r>
            <w:r w:rsidR="008B134C" w:rsidRPr="0001355F">
              <w:rPr>
                <w:sz w:val="24"/>
                <w:szCs w:val="24"/>
              </w:rPr>
              <w:t xml:space="preserve"> 63.punktā, nosakot valsts nodevas apmēru </w:t>
            </w:r>
            <w:r w:rsidR="008B134C" w:rsidRPr="0001355F">
              <w:rPr>
                <w:i/>
                <w:sz w:val="24"/>
                <w:szCs w:val="24"/>
              </w:rPr>
              <w:t>euro</w:t>
            </w:r>
            <w:r w:rsidR="009A1263" w:rsidRPr="0001355F">
              <w:rPr>
                <w:sz w:val="24"/>
                <w:szCs w:val="24"/>
              </w:rPr>
              <w:t>.</w:t>
            </w:r>
          </w:p>
          <w:p w:rsidR="003B4996" w:rsidRPr="0001355F" w:rsidRDefault="00AD4C96" w:rsidP="0043294B">
            <w:pPr>
              <w:pStyle w:val="NoSpacing"/>
              <w:ind w:right="141"/>
              <w:jc w:val="both"/>
              <w:rPr>
                <w:sz w:val="24"/>
                <w:szCs w:val="24"/>
                <w:lang w:eastAsia="lv-LV"/>
              </w:rPr>
            </w:pPr>
            <w:r>
              <w:rPr>
                <w:sz w:val="24"/>
                <w:szCs w:val="24"/>
              </w:rPr>
              <w:t xml:space="preserve">Saskaņā ar MK noteikumu Nr.733 </w:t>
            </w:r>
            <w:r w:rsidR="009A1263" w:rsidRPr="0001355F">
              <w:rPr>
                <w:sz w:val="24"/>
                <w:szCs w:val="24"/>
              </w:rPr>
              <w:t xml:space="preserve"> </w:t>
            </w:r>
            <w:r w:rsidRPr="00AD4C96">
              <w:rPr>
                <w:sz w:val="24"/>
                <w:szCs w:val="24"/>
              </w:rPr>
              <w:t>65.1.</w:t>
            </w:r>
            <w:r>
              <w:rPr>
                <w:sz w:val="24"/>
                <w:szCs w:val="24"/>
              </w:rPr>
              <w:t>punktā noteikto v</w:t>
            </w:r>
            <w:r w:rsidRPr="00AD4C96">
              <w:rPr>
                <w:sz w:val="24"/>
                <w:szCs w:val="24"/>
              </w:rPr>
              <w:t>alsts nodevu persona maksā ne vēlāk kā nedēļu pirms pārbaudes ar tāda maksājumu pakalpojuma sniedzēja starpniecību, kuram ir tiesības sniegt maksājumu pakalpojumus Maksājumu pakalpojumu un elekt</w:t>
            </w:r>
            <w:r>
              <w:rPr>
                <w:sz w:val="24"/>
                <w:szCs w:val="24"/>
              </w:rPr>
              <w:t>roniskās naudas likuma izpratnē. Līdz ar to personai iespējami valsts nodevas maks</w:t>
            </w:r>
            <w:r w:rsidR="0043294B">
              <w:rPr>
                <w:sz w:val="24"/>
                <w:szCs w:val="24"/>
              </w:rPr>
              <w:t>ājumi skaidrā naudā.</w:t>
            </w:r>
          </w:p>
        </w:tc>
      </w:tr>
      <w:tr w:rsidR="004B0768" w:rsidRPr="0001355F" w:rsidTr="00DF3558">
        <w:trPr>
          <w:trHeight w:val="1071"/>
        </w:trPr>
        <w:tc>
          <w:tcPr>
            <w:tcW w:w="499" w:type="dxa"/>
          </w:tcPr>
          <w:p w:rsidR="004B0768" w:rsidRPr="0001355F" w:rsidRDefault="004B0768" w:rsidP="00493E93">
            <w:pPr>
              <w:pStyle w:val="naiskr"/>
              <w:spacing w:before="0" w:after="0"/>
              <w:jc w:val="center"/>
            </w:pPr>
            <w:r w:rsidRPr="0001355F">
              <w:lastRenderedPageBreak/>
              <w:t>3.</w:t>
            </w:r>
          </w:p>
        </w:tc>
        <w:tc>
          <w:tcPr>
            <w:tcW w:w="2693" w:type="dxa"/>
          </w:tcPr>
          <w:p w:rsidR="004B0768" w:rsidRPr="0001355F" w:rsidRDefault="004B0768" w:rsidP="000A4A7D">
            <w:pPr>
              <w:pStyle w:val="naiskr"/>
              <w:spacing w:before="0" w:after="0"/>
            </w:pPr>
            <w:r w:rsidRPr="0001355F">
              <w:t>Saistītie politikas ietekmes novērtējumi un pētījumi</w:t>
            </w:r>
          </w:p>
        </w:tc>
        <w:tc>
          <w:tcPr>
            <w:tcW w:w="5905" w:type="dxa"/>
          </w:tcPr>
          <w:p w:rsidR="004B0768" w:rsidRPr="0001355F" w:rsidRDefault="00084F40" w:rsidP="000A4A7D">
            <w:pPr>
              <w:pStyle w:val="FootnoteText"/>
              <w:rPr>
                <w:sz w:val="24"/>
                <w:szCs w:val="24"/>
              </w:rPr>
            </w:pPr>
            <w:r w:rsidRPr="0001355F">
              <w:rPr>
                <w:sz w:val="24"/>
                <w:szCs w:val="24"/>
              </w:rPr>
              <w:t>P</w:t>
            </w:r>
            <w:r w:rsidR="00440F5F" w:rsidRPr="0001355F">
              <w:rPr>
                <w:sz w:val="24"/>
                <w:szCs w:val="24"/>
              </w:rPr>
              <w:t>rojekts šo jomu neskar.</w:t>
            </w:r>
          </w:p>
        </w:tc>
      </w:tr>
      <w:tr w:rsidR="004B0768" w:rsidRPr="0001355F" w:rsidTr="00DF3558">
        <w:trPr>
          <w:trHeight w:val="978"/>
        </w:trPr>
        <w:tc>
          <w:tcPr>
            <w:tcW w:w="499" w:type="dxa"/>
          </w:tcPr>
          <w:p w:rsidR="004B0768" w:rsidRPr="0001355F" w:rsidRDefault="004B0768" w:rsidP="00493E93">
            <w:pPr>
              <w:pStyle w:val="naiskr"/>
              <w:spacing w:before="0" w:after="0"/>
              <w:jc w:val="center"/>
            </w:pPr>
            <w:r w:rsidRPr="0001355F">
              <w:t>4.</w:t>
            </w:r>
          </w:p>
        </w:tc>
        <w:tc>
          <w:tcPr>
            <w:tcW w:w="2693" w:type="dxa"/>
          </w:tcPr>
          <w:p w:rsidR="004B0768" w:rsidRPr="0001355F" w:rsidRDefault="004B0768" w:rsidP="000A4A7D">
            <w:pPr>
              <w:pStyle w:val="naiskr"/>
              <w:spacing w:before="0" w:after="0"/>
            </w:pPr>
            <w:r w:rsidRPr="0001355F">
              <w:t>Tiesiskā regulējuma mērķis un būtība</w:t>
            </w:r>
          </w:p>
        </w:tc>
        <w:tc>
          <w:tcPr>
            <w:tcW w:w="5905" w:type="dxa"/>
          </w:tcPr>
          <w:p w:rsidR="007515E2" w:rsidRPr="0001355F" w:rsidRDefault="00AB58C6" w:rsidP="0043294B">
            <w:pPr>
              <w:jc w:val="both"/>
            </w:pPr>
            <w:r w:rsidRPr="0001355F">
              <w:t>P</w:t>
            </w:r>
            <w:r w:rsidR="009A1263" w:rsidRPr="0001355F">
              <w:t xml:space="preserve">rojekta mērķis ir pielāgot </w:t>
            </w:r>
            <w:r w:rsidR="0043294B">
              <w:t xml:space="preserve">MK </w:t>
            </w:r>
            <w:r w:rsidR="00C3742B" w:rsidRPr="0001355F">
              <w:t xml:space="preserve">noteikumus Nr.733 </w:t>
            </w:r>
            <w:r w:rsidR="009A1263" w:rsidRPr="0001355F">
              <w:rPr>
                <w:i/>
              </w:rPr>
              <w:t>euro</w:t>
            </w:r>
            <w:r w:rsidR="009A1263" w:rsidRPr="0001355F">
              <w:t xml:space="preserve"> ieviešanai</w:t>
            </w:r>
            <w:r w:rsidR="007515E2" w:rsidRPr="0001355F">
              <w:t xml:space="preserve">. </w:t>
            </w:r>
          </w:p>
          <w:p w:rsidR="009835ED" w:rsidRPr="0001355F" w:rsidRDefault="007515E2" w:rsidP="0043294B">
            <w:pPr>
              <w:jc w:val="both"/>
            </w:pPr>
            <w:r w:rsidRPr="0001355F">
              <w:t xml:space="preserve">Projekts </w:t>
            </w:r>
            <w:r w:rsidR="009835ED" w:rsidRPr="0001355F">
              <w:t>sagatavot</w:t>
            </w:r>
            <w:r w:rsidRPr="0001355F">
              <w:t>s</w:t>
            </w:r>
            <w:r w:rsidR="009835ED" w:rsidRPr="0001355F">
              <w:t xml:space="preserve"> atbilstoši </w:t>
            </w:r>
            <w:r w:rsidR="009835ED" w:rsidRPr="0001355F">
              <w:rPr>
                <w:i/>
              </w:rPr>
              <w:t>Euro</w:t>
            </w:r>
            <w:r w:rsidR="009835ED" w:rsidRPr="0001355F">
              <w:t xml:space="preserve"> ieviešanas kārtības likuma 6.panta otrajai daļai.</w:t>
            </w:r>
          </w:p>
          <w:p w:rsidR="00385A43" w:rsidRDefault="009835ED" w:rsidP="0043294B">
            <w:pPr>
              <w:ind w:right="141"/>
              <w:jc w:val="both"/>
            </w:pPr>
            <w:r w:rsidRPr="0001355F">
              <w:t xml:space="preserve">Aprēķins </w:t>
            </w:r>
            <w:r w:rsidR="0045413A" w:rsidRPr="0001355F">
              <w:t xml:space="preserve">(pielikums) </w:t>
            </w:r>
            <w:r w:rsidRPr="0001355F">
              <w:t xml:space="preserve">veikts, izmantojot Latvijas </w:t>
            </w:r>
            <w:r w:rsidR="0045413A" w:rsidRPr="0001355F">
              <w:t>B</w:t>
            </w:r>
            <w:r w:rsidRPr="0001355F">
              <w:t>ankas noteikto oficiālo kursu EUR 1 = LVL 0,702804. Aprēķina rezultātā netiek radīta ietekme uz valsts budžetu.</w:t>
            </w:r>
          </w:p>
          <w:p w:rsidR="0043294B" w:rsidRPr="0001355F" w:rsidRDefault="0043294B" w:rsidP="0043294B">
            <w:pPr>
              <w:ind w:right="141"/>
              <w:jc w:val="both"/>
            </w:pPr>
            <w:r w:rsidRPr="0043294B">
              <w:t xml:space="preserve">Ņemot vērā </w:t>
            </w:r>
            <w:r w:rsidRPr="0043294B">
              <w:rPr>
                <w:i/>
              </w:rPr>
              <w:t>Euro</w:t>
            </w:r>
            <w:r w:rsidRPr="0043294B">
              <w:t xml:space="preserve"> ieviešanas kārtības likuma 7.panta pirmajā un otrajā daļā noteikto pro</w:t>
            </w:r>
            <w:r>
              <w:t>j</w:t>
            </w:r>
            <w:r w:rsidRPr="0043294B">
              <w:t>ektā paredzēts papildināt MK noteikumus Nr.733 ar 65.3.punktu, kurā noteikt vienlaicīgas apgrozības periodā piemērojamo valsts nodevas likmi latos.</w:t>
            </w:r>
          </w:p>
        </w:tc>
      </w:tr>
      <w:tr w:rsidR="004B0768" w:rsidRPr="0001355F" w:rsidTr="00DF3558">
        <w:trPr>
          <w:trHeight w:val="476"/>
        </w:trPr>
        <w:tc>
          <w:tcPr>
            <w:tcW w:w="499" w:type="dxa"/>
          </w:tcPr>
          <w:p w:rsidR="004B0768" w:rsidRPr="0001355F" w:rsidRDefault="004B0768" w:rsidP="00493E93">
            <w:pPr>
              <w:pStyle w:val="naiskr"/>
              <w:spacing w:before="0" w:after="0"/>
              <w:jc w:val="center"/>
            </w:pPr>
            <w:r w:rsidRPr="0001355F">
              <w:t>5.</w:t>
            </w:r>
          </w:p>
        </w:tc>
        <w:tc>
          <w:tcPr>
            <w:tcW w:w="2693" w:type="dxa"/>
          </w:tcPr>
          <w:p w:rsidR="004B0768" w:rsidRPr="0001355F" w:rsidRDefault="004B0768" w:rsidP="000A4A7D">
            <w:pPr>
              <w:pStyle w:val="naiskr"/>
              <w:spacing w:before="0" w:after="0"/>
            </w:pPr>
            <w:r w:rsidRPr="0001355F">
              <w:t>Projekta izstrādē iesaistītās institūcijas</w:t>
            </w:r>
          </w:p>
        </w:tc>
        <w:tc>
          <w:tcPr>
            <w:tcW w:w="5905" w:type="dxa"/>
          </w:tcPr>
          <w:p w:rsidR="004B0768" w:rsidRPr="0001355F" w:rsidRDefault="00A26128" w:rsidP="005B76AC">
            <w:pPr>
              <w:pStyle w:val="naisc"/>
              <w:spacing w:before="0" w:after="0"/>
              <w:ind w:left="74"/>
              <w:jc w:val="both"/>
              <w:rPr>
                <w:b/>
              </w:rPr>
            </w:pPr>
            <w:r w:rsidRPr="0001355F">
              <w:t>Izglītības un zinātnes ministrija</w:t>
            </w:r>
            <w:r w:rsidR="00385A43" w:rsidRPr="0001355F">
              <w:t>.</w:t>
            </w:r>
          </w:p>
        </w:tc>
      </w:tr>
      <w:tr w:rsidR="004B0768" w:rsidRPr="0001355F" w:rsidTr="00DF3558">
        <w:trPr>
          <w:trHeight w:val="904"/>
        </w:trPr>
        <w:tc>
          <w:tcPr>
            <w:tcW w:w="499" w:type="dxa"/>
          </w:tcPr>
          <w:p w:rsidR="004B0768" w:rsidRPr="0001355F" w:rsidRDefault="004B0768" w:rsidP="00493E93">
            <w:pPr>
              <w:pStyle w:val="naiskr"/>
              <w:spacing w:before="0" w:after="0"/>
              <w:jc w:val="center"/>
            </w:pPr>
            <w:r w:rsidRPr="0001355F">
              <w:t>6.</w:t>
            </w:r>
          </w:p>
        </w:tc>
        <w:tc>
          <w:tcPr>
            <w:tcW w:w="2693" w:type="dxa"/>
          </w:tcPr>
          <w:p w:rsidR="004B0768" w:rsidRPr="0001355F" w:rsidRDefault="004B0768" w:rsidP="000A4A7D">
            <w:pPr>
              <w:pStyle w:val="naiskr"/>
              <w:spacing w:before="0" w:after="0"/>
              <w:rPr>
                <w:i/>
                <w:highlight w:val="yellow"/>
              </w:rPr>
            </w:pPr>
            <w:r w:rsidRPr="0001355F">
              <w:t>Iemesli, kādēļ netika nodrošināta sabiedrības līdzdalība</w:t>
            </w:r>
          </w:p>
        </w:tc>
        <w:tc>
          <w:tcPr>
            <w:tcW w:w="5905" w:type="dxa"/>
          </w:tcPr>
          <w:p w:rsidR="00574069" w:rsidRPr="0001355F" w:rsidRDefault="00574069" w:rsidP="001E40A5">
            <w:pPr>
              <w:pStyle w:val="FootnoteText"/>
              <w:ind w:left="74"/>
              <w:jc w:val="both"/>
              <w:rPr>
                <w:sz w:val="24"/>
                <w:szCs w:val="24"/>
              </w:rPr>
            </w:pPr>
            <w:r w:rsidRPr="0001355F">
              <w:rPr>
                <w:sz w:val="24"/>
                <w:szCs w:val="24"/>
              </w:rPr>
              <w:t xml:space="preserve"> </w:t>
            </w:r>
            <w:r w:rsidR="007515E2" w:rsidRPr="0001355F">
              <w:rPr>
                <w:sz w:val="24"/>
                <w:szCs w:val="24"/>
              </w:rPr>
              <w:t xml:space="preserve">Sabiedrības līdzdalība projekta izstrādē netika nodrošināta, jo projekts nemaina pastāvošo tiesisko </w:t>
            </w:r>
            <w:r w:rsidR="00D14B00" w:rsidRPr="0001355F">
              <w:rPr>
                <w:sz w:val="24"/>
                <w:szCs w:val="24"/>
              </w:rPr>
              <w:t xml:space="preserve">regulējumu </w:t>
            </w:r>
            <w:r w:rsidR="007515E2" w:rsidRPr="0001355F">
              <w:rPr>
                <w:sz w:val="24"/>
                <w:szCs w:val="24"/>
              </w:rPr>
              <w:t>p</w:t>
            </w:r>
            <w:r w:rsidR="00D14B00" w:rsidRPr="0001355F">
              <w:rPr>
                <w:sz w:val="24"/>
                <w:szCs w:val="24"/>
              </w:rPr>
              <w:t xml:space="preserve">ēc </w:t>
            </w:r>
            <w:r w:rsidR="007515E2" w:rsidRPr="0001355F">
              <w:rPr>
                <w:sz w:val="24"/>
                <w:szCs w:val="24"/>
              </w:rPr>
              <w:t xml:space="preserve">būtības. </w:t>
            </w:r>
          </w:p>
        </w:tc>
      </w:tr>
      <w:tr w:rsidR="004B0768" w:rsidRPr="0001355F" w:rsidTr="00DF3558">
        <w:tc>
          <w:tcPr>
            <w:tcW w:w="499" w:type="dxa"/>
          </w:tcPr>
          <w:p w:rsidR="004B0768" w:rsidRPr="0001355F" w:rsidRDefault="004B0768" w:rsidP="00493E93">
            <w:pPr>
              <w:pStyle w:val="naiskr"/>
              <w:spacing w:before="0" w:after="0"/>
              <w:jc w:val="center"/>
            </w:pPr>
            <w:r w:rsidRPr="0001355F">
              <w:t>7.</w:t>
            </w:r>
          </w:p>
        </w:tc>
        <w:tc>
          <w:tcPr>
            <w:tcW w:w="2693" w:type="dxa"/>
          </w:tcPr>
          <w:p w:rsidR="004B0768" w:rsidRPr="0001355F" w:rsidRDefault="004B0768" w:rsidP="000A4A7D">
            <w:pPr>
              <w:pStyle w:val="naiskr"/>
              <w:spacing w:before="0" w:after="0"/>
            </w:pPr>
            <w:r w:rsidRPr="0001355F">
              <w:t>Cita informācija</w:t>
            </w:r>
          </w:p>
        </w:tc>
        <w:tc>
          <w:tcPr>
            <w:tcW w:w="5905" w:type="dxa"/>
          </w:tcPr>
          <w:p w:rsidR="009835ED" w:rsidRPr="0001355F" w:rsidRDefault="009835ED" w:rsidP="00973DB7">
            <w:pPr>
              <w:ind w:left="74" w:right="141"/>
              <w:jc w:val="both"/>
            </w:pPr>
            <w:r w:rsidRPr="0001355F">
              <w:t>Projekts tiks virzīts izskatīšanai Ministru kabinetā pēc tam, kad Eiropas Savienības Padomē saskaņā ar Līguma par Eiropas Savienības darbību 140.panta 2.punktu tiks pieņemts lēmums par izņēmuma statusa atcelšanu Latvijas Republikai.</w:t>
            </w:r>
          </w:p>
        </w:tc>
      </w:tr>
    </w:tbl>
    <w:p w:rsidR="004B0768" w:rsidRPr="0001355F" w:rsidRDefault="004B0768" w:rsidP="004B0768"/>
    <w:p w:rsidR="009835ED" w:rsidRPr="0001355F" w:rsidRDefault="009835ED" w:rsidP="004B0768">
      <w:r w:rsidRPr="0001355F">
        <w:t>Anotācijas II, III, IV, V</w:t>
      </w:r>
      <w:r w:rsidR="00E12663" w:rsidRPr="0001355F">
        <w:t xml:space="preserve">, VI </w:t>
      </w:r>
      <w:r w:rsidRPr="0001355F">
        <w:t>un VI</w:t>
      </w:r>
      <w:r w:rsidR="00E12663" w:rsidRPr="0001355F">
        <w:t>I</w:t>
      </w:r>
      <w:r w:rsidRPr="0001355F">
        <w:t xml:space="preserve"> sadaļa – projekts šis jomas neskar.  </w:t>
      </w:r>
    </w:p>
    <w:p w:rsidR="0045413A" w:rsidRPr="00A57CF7" w:rsidRDefault="0045413A" w:rsidP="004B0768">
      <w:pPr>
        <w:rPr>
          <w:sz w:val="26"/>
          <w:szCs w:val="26"/>
        </w:rPr>
      </w:pPr>
    </w:p>
    <w:p w:rsidR="004B0768" w:rsidRPr="00812A69" w:rsidRDefault="004B0768" w:rsidP="004B0768">
      <w:pPr>
        <w:rPr>
          <w:sz w:val="28"/>
          <w:szCs w:val="28"/>
        </w:rPr>
      </w:pPr>
    </w:p>
    <w:p w:rsidR="004B0768" w:rsidRPr="0001355F" w:rsidRDefault="00BC152F" w:rsidP="0099480A">
      <w:pPr>
        <w:pStyle w:val="Heading5"/>
        <w:ind w:left="-203" w:firstLine="770"/>
        <w:rPr>
          <w:sz w:val="24"/>
          <w:szCs w:val="24"/>
          <w:lang w:val="lv-LV"/>
        </w:rPr>
      </w:pPr>
      <w:r w:rsidRPr="0001355F">
        <w:rPr>
          <w:sz w:val="24"/>
          <w:szCs w:val="24"/>
          <w:lang w:val="lv-LV"/>
        </w:rPr>
        <w:t>Izglītības un zinātnes ministrs</w:t>
      </w:r>
      <w:r w:rsidR="00812A69" w:rsidRPr="0001355F">
        <w:rPr>
          <w:sz w:val="24"/>
          <w:szCs w:val="24"/>
          <w:lang w:val="lv-LV"/>
        </w:rPr>
        <w:tab/>
      </w:r>
      <w:r w:rsidR="00812A69" w:rsidRPr="0001355F">
        <w:rPr>
          <w:sz w:val="24"/>
          <w:szCs w:val="24"/>
          <w:lang w:val="lv-LV"/>
        </w:rPr>
        <w:tab/>
      </w:r>
      <w:r w:rsidR="00812A69" w:rsidRPr="0001355F">
        <w:rPr>
          <w:sz w:val="24"/>
          <w:szCs w:val="24"/>
          <w:lang w:val="lv-LV"/>
        </w:rPr>
        <w:tab/>
      </w:r>
      <w:r w:rsidR="004B0768" w:rsidRPr="0001355F">
        <w:rPr>
          <w:sz w:val="24"/>
          <w:szCs w:val="24"/>
          <w:lang w:val="lv-LV"/>
        </w:rPr>
        <w:tab/>
      </w:r>
      <w:r w:rsidR="004B0768" w:rsidRPr="0001355F">
        <w:rPr>
          <w:sz w:val="24"/>
          <w:szCs w:val="24"/>
          <w:lang w:val="lv-LV"/>
        </w:rPr>
        <w:tab/>
      </w:r>
      <w:r w:rsidR="009835ED" w:rsidRPr="0001355F">
        <w:rPr>
          <w:sz w:val="24"/>
          <w:szCs w:val="24"/>
          <w:lang w:val="lv-LV"/>
        </w:rPr>
        <w:t>V.Dombrovskis</w:t>
      </w:r>
    </w:p>
    <w:p w:rsidR="004B0768" w:rsidRPr="0001355F" w:rsidRDefault="004B0768" w:rsidP="004B0768"/>
    <w:p w:rsidR="004B0768" w:rsidRPr="0001355F" w:rsidRDefault="004B0768" w:rsidP="004B0768"/>
    <w:p w:rsidR="00F641A4" w:rsidRPr="0001355F" w:rsidRDefault="00F641A4" w:rsidP="004B0768"/>
    <w:p w:rsidR="00242113" w:rsidRPr="0001355F" w:rsidRDefault="008E7733" w:rsidP="00F91D09">
      <w:pPr>
        <w:pStyle w:val="NoSpacing"/>
        <w:ind w:left="567"/>
        <w:rPr>
          <w:sz w:val="24"/>
          <w:szCs w:val="24"/>
        </w:rPr>
      </w:pPr>
      <w:r w:rsidRPr="0001355F">
        <w:rPr>
          <w:sz w:val="24"/>
          <w:szCs w:val="24"/>
        </w:rPr>
        <w:t xml:space="preserve">Vizē: </w:t>
      </w:r>
      <w:r w:rsidRPr="0001355F">
        <w:rPr>
          <w:sz w:val="24"/>
          <w:szCs w:val="24"/>
        </w:rPr>
        <w:tab/>
      </w:r>
      <w:r w:rsidRPr="0001355F">
        <w:rPr>
          <w:sz w:val="24"/>
          <w:szCs w:val="24"/>
        </w:rPr>
        <w:tab/>
      </w:r>
    </w:p>
    <w:p w:rsidR="00A30CE4" w:rsidRPr="00A30CE4" w:rsidRDefault="00A30CE4" w:rsidP="00A30CE4">
      <w:pPr>
        <w:ind w:left="-203" w:firstLine="770"/>
        <w:rPr>
          <w:bCs/>
          <w:lang w:eastAsia="en-US"/>
        </w:rPr>
      </w:pPr>
      <w:r w:rsidRPr="00A30CE4">
        <w:rPr>
          <w:bCs/>
          <w:lang w:eastAsia="en-US"/>
        </w:rPr>
        <w:t>Valsts sekretāra vietniece –</w:t>
      </w:r>
    </w:p>
    <w:p w:rsidR="00A30CE4" w:rsidRPr="00A30CE4" w:rsidRDefault="00A30CE4" w:rsidP="00A30CE4">
      <w:pPr>
        <w:ind w:left="-203" w:firstLine="770"/>
        <w:rPr>
          <w:bCs/>
          <w:lang w:eastAsia="en-US"/>
        </w:rPr>
      </w:pPr>
      <w:r w:rsidRPr="00A30CE4">
        <w:rPr>
          <w:bCs/>
          <w:lang w:eastAsia="en-US"/>
        </w:rPr>
        <w:t xml:space="preserve">Nodrošinājuma un finanšu </w:t>
      </w:r>
    </w:p>
    <w:p w:rsidR="00A30CE4" w:rsidRPr="00A30CE4" w:rsidRDefault="00A30CE4" w:rsidP="00A30CE4">
      <w:pPr>
        <w:ind w:left="-203" w:firstLine="770"/>
        <w:rPr>
          <w:bCs/>
          <w:lang w:eastAsia="en-US"/>
        </w:rPr>
      </w:pPr>
      <w:r w:rsidRPr="00A30CE4">
        <w:rPr>
          <w:bCs/>
          <w:lang w:eastAsia="en-US"/>
        </w:rPr>
        <w:t>departamenta direktore,</w:t>
      </w:r>
    </w:p>
    <w:p w:rsidR="00C3228B" w:rsidRDefault="00A30CE4" w:rsidP="00A30CE4">
      <w:pPr>
        <w:ind w:left="-203" w:firstLine="770"/>
        <w:rPr>
          <w:sz w:val="28"/>
          <w:szCs w:val="28"/>
        </w:rPr>
      </w:pPr>
      <w:r w:rsidRPr="00A30CE4">
        <w:rPr>
          <w:bCs/>
          <w:lang w:eastAsia="en-US"/>
        </w:rPr>
        <w:t xml:space="preserve">valsts sekretāra pienākumu izpildītāja                                       </w:t>
      </w:r>
      <w:r>
        <w:rPr>
          <w:bCs/>
          <w:lang w:eastAsia="en-US"/>
        </w:rPr>
        <w:t>S</w:t>
      </w:r>
      <w:r w:rsidRPr="00A30CE4">
        <w:rPr>
          <w:bCs/>
          <w:lang w:eastAsia="en-US"/>
        </w:rPr>
        <w:t>.</w:t>
      </w:r>
      <w:bookmarkStart w:id="6" w:name="_GoBack"/>
      <w:bookmarkEnd w:id="6"/>
      <w:r w:rsidRPr="00A30CE4">
        <w:rPr>
          <w:bCs/>
          <w:lang w:eastAsia="en-US"/>
        </w:rPr>
        <w:t>Batare</w:t>
      </w:r>
      <w:r w:rsidR="0099480A" w:rsidRPr="00A57CF7">
        <w:rPr>
          <w:sz w:val="28"/>
          <w:szCs w:val="28"/>
        </w:rPr>
        <w:tab/>
      </w:r>
      <w:r w:rsidR="0099480A" w:rsidRPr="00A57CF7">
        <w:rPr>
          <w:sz w:val="28"/>
          <w:szCs w:val="28"/>
        </w:rPr>
        <w:tab/>
      </w:r>
    </w:p>
    <w:p w:rsidR="00C3228B" w:rsidRDefault="00C3228B" w:rsidP="0099480A">
      <w:pPr>
        <w:ind w:left="-203" w:firstLine="770"/>
        <w:rPr>
          <w:sz w:val="28"/>
          <w:szCs w:val="28"/>
        </w:rPr>
      </w:pPr>
    </w:p>
    <w:p w:rsidR="00C3228B" w:rsidRDefault="008D0D64" w:rsidP="008D0D64">
      <w:pPr>
        <w:tabs>
          <w:tab w:val="left" w:pos="4350"/>
        </w:tabs>
        <w:ind w:left="-203" w:firstLine="770"/>
        <w:rPr>
          <w:sz w:val="28"/>
          <w:szCs w:val="28"/>
        </w:rPr>
      </w:pPr>
      <w:r>
        <w:rPr>
          <w:sz w:val="28"/>
          <w:szCs w:val="28"/>
        </w:rPr>
        <w:tab/>
      </w:r>
    </w:p>
    <w:p w:rsidR="00403B08" w:rsidRPr="00A57CF7" w:rsidRDefault="0099480A" w:rsidP="0099480A">
      <w:pPr>
        <w:ind w:left="-203" w:firstLine="770"/>
        <w:rPr>
          <w:sz w:val="28"/>
          <w:szCs w:val="28"/>
        </w:rPr>
      </w:pPr>
      <w:r w:rsidRPr="00A57CF7">
        <w:rPr>
          <w:sz w:val="28"/>
          <w:szCs w:val="28"/>
        </w:rPr>
        <w:tab/>
      </w:r>
      <w:r w:rsidRPr="00A57CF7">
        <w:rPr>
          <w:sz w:val="28"/>
          <w:szCs w:val="28"/>
        </w:rPr>
        <w:tab/>
      </w:r>
      <w:r w:rsidRPr="00A57CF7">
        <w:rPr>
          <w:sz w:val="28"/>
          <w:szCs w:val="28"/>
        </w:rPr>
        <w:tab/>
        <w:t xml:space="preserve">         </w:t>
      </w:r>
    </w:p>
    <w:p w:rsidR="007B7C39" w:rsidRPr="0001355F" w:rsidRDefault="00C3742B" w:rsidP="004B0768">
      <w:pPr>
        <w:jc w:val="both"/>
        <w:rPr>
          <w:sz w:val="20"/>
          <w:szCs w:val="20"/>
        </w:rPr>
      </w:pPr>
      <w:r w:rsidRPr="0001355F">
        <w:rPr>
          <w:sz w:val="20"/>
          <w:szCs w:val="20"/>
        </w:rPr>
        <w:t>1</w:t>
      </w:r>
      <w:r w:rsidR="009A4127">
        <w:rPr>
          <w:sz w:val="20"/>
          <w:szCs w:val="20"/>
        </w:rPr>
        <w:t>6</w:t>
      </w:r>
      <w:r w:rsidR="009835ED" w:rsidRPr="0001355F">
        <w:rPr>
          <w:sz w:val="20"/>
          <w:szCs w:val="20"/>
        </w:rPr>
        <w:t>.0</w:t>
      </w:r>
      <w:r w:rsidR="009A4127">
        <w:rPr>
          <w:sz w:val="20"/>
          <w:szCs w:val="20"/>
        </w:rPr>
        <w:t>7</w:t>
      </w:r>
      <w:r w:rsidR="009835ED" w:rsidRPr="0001355F">
        <w:rPr>
          <w:sz w:val="20"/>
          <w:szCs w:val="20"/>
        </w:rPr>
        <w:t xml:space="preserve">.2013. </w:t>
      </w:r>
      <w:r w:rsidR="009A1263" w:rsidRPr="0001355F">
        <w:rPr>
          <w:sz w:val="20"/>
          <w:szCs w:val="20"/>
        </w:rPr>
        <w:t>1</w:t>
      </w:r>
      <w:r w:rsidRPr="0001355F">
        <w:rPr>
          <w:sz w:val="20"/>
          <w:szCs w:val="20"/>
        </w:rPr>
        <w:t>6</w:t>
      </w:r>
      <w:r w:rsidR="00A040D6" w:rsidRPr="0001355F">
        <w:rPr>
          <w:sz w:val="20"/>
          <w:szCs w:val="20"/>
        </w:rPr>
        <w:t>:</w:t>
      </w:r>
      <w:r w:rsidR="007D648F" w:rsidRPr="0001355F">
        <w:rPr>
          <w:sz w:val="20"/>
          <w:szCs w:val="20"/>
        </w:rPr>
        <w:t>0</w:t>
      </w:r>
      <w:r w:rsidR="00A040D6" w:rsidRPr="0001355F">
        <w:rPr>
          <w:sz w:val="20"/>
          <w:szCs w:val="20"/>
        </w:rPr>
        <w:t>0</w:t>
      </w:r>
    </w:p>
    <w:p w:rsidR="004B0768" w:rsidRPr="0001355F" w:rsidRDefault="00812431" w:rsidP="004B0768">
      <w:pPr>
        <w:jc w:val="both"/>
        <w:rPr>
          <w:sz w:val="20"/>
          <w:szCs w:val="20"/>
        </w:rPr>
      </w:pPr>
      <w:r>
        <w:rPr>
          <w:sz w:val="20"/>
          <w:szCs w:val="20"/>
        </w:rPr>
        <w:t>484</w:t>
      </w:r>
    </w:p>
    <w:p w:rsidR="004B0768" w:rsidRPr="0001355F" w:rsidRDefault="007D648F" w:rsidP="004B0768">
      <w:pPr>
        <w:rPr>
          <w:sz w:val="20"/>
          <w:szCs w:val="20"/>
        </w:rPr>
      </w:pPr>
      <w:r w:rsidRPr="0001355F">
        <w:rPr>
          <w:sz w:val="20"/>
          <w:szCs w:val="20"/>
        </w:rPr>
        <w:t>I.Buķis-Fleitmanis</w:t>
      </w:r>
    </w:p>
    <w:p w:rsidR="0056076A" w:rsidRPr="0001355F" w:rsidRDefault="00E7613E">
      <w:pPr>
        <w:rPr>
          <w:sz w:val="20"/>
          <w:szCs w:val="20"/>
        </w:rPr>
      </w:pPr>
      <w:r w:rsidRPr="0001355F">
        <w:rPr>
          <w:sz w:val="20"/>
          <w:szCs w:val="20"/>
        </w:rPr>
        <w:t>67</w:t>
      </w:r>
      <w:r w:rsidR="007D648F" w:rsidRPr="0001355F">
        <w:rPr>
          <w:sz w:val="20"/>
          <w:szCs w:val="20"/>
        </w:rPr>
        <w:t>503026</w:t>
      </w:r>
      <w:r w:rsidR="004B0768" w:rsidRPr="0001355F">
        <w:rPr>
          <w:sz w:val="20"/>
          <w:szCs w:val="20"/>
        </w:rPr>
        <w:t xml:space="preserve">, </w:t>
      </w:r>
      <w:r w:rsidR="007D648F" w:rsidRPr="0001355F">
        <w:rPr>
          <w:sz w:val="20"/>
          <w:szCs w:val="20"/>
        </w:rPr>
        <w:t>igors.bukis-fleitmanis</w:t>
      </w:r>
      <w:r w:rsidR="004B0768" w:rsidRPr="0001355F">
        <w:rPr>
          <w:sz w:val="20"/>
          <w:szCs w:val="20"/>
        </w:rPr>
        <w:t>@</w:t>
      </w:r>
      <w:r w:rsidR="007D648F" w:rsidRPr="0001355F">
        <w:rPr>
          <w:sz w:val="20"/>
          <w:szCs w:val="20"/>
        </w:rPr>
        <w:t>v</w:t>
      </w:r>
      <w:r w:rsidR="004B0768" w:rsidRPr="0001355F">
        <w:rPr>
          <w:sz w:val="20"/>
          <w:szCs w:val="20"/>
        </w:rPr>
        <w:t>i</w:t>
      </w:r>
      <w:r w:rsidR="007D648F" w:rsidRPr="0001355F">
        <w:rPr>
          <w:sz w:val="20"/>
          <w:szCs w:val="20"/>
        </w:rPr>
        <w:t>sc</w:t>
      </w:r>
      <w:r w:rsidR="004B0768" w:rsidRPr="0001355F">
        <w:rPr>
          <w:sz w:val="20"/>
          <w:szCs w:val="20"/>
        </w:rPr>
        <w:t>.gov.lv</w:t>
      </w:r>
    </w:p>
    <w:sectPr w:rsidR="0056076A" w:rsidRPr="0001355F" w:rsidSect="00E15284">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7E2" w:rsidRDefault="004857E2" w:rsidP="004B0768">
      <w:r>
        <w:separator/>
      </w:r>
    </w:p>
  </w:endnote>
  <w:endnote w:type="continuationSeparator" w:id="0">
    <w:p w:rsidR="004857E2" w:rsidRDefault="004857E2" w:rsidP="004B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8F" w:rsidRPr="00C3742B" w:rsidRDefault="007D648F" w:rsidP="00DF3558">
    <w:pPr>
      <w:pStyle w:val="Footer"/>
      <w:jc w:val="both"/>
      <w:rPr>
        <w:sz w:val="20"/>
        <w:szCs w:val="20"/>
      </w:rPr>
    </w:pPr>
    <w:r w:rsidRPr="00C3742B">
      <w:rPr>
        <w:sz w:val="20"/>
        <w:szCs w:val="20"/>
      </w:rPr>
      <w:t>IZMAnot_</w:t>
    </w:r>
    <w:r w:rsidR="00C3742B" w:rsidRPr="00C3742B">
      <w:rPr>
        <w:sz w:val="20"/>
        <w:szCs w:val="20"/>
      </w:rPr>
      <w:t>1</w:t>
    </w:r>
    <w:r w:rsidR="00990F97">
      <w:rPr>
        <w:sz w:val="20"/>
        <w:szCs w:val="20"/>
      </w:rPr>
      <w:t>6</w:t>
    </w:r>
    <w:r w:rsidRPr="00C3742B">
      <w:rPr>
        <w:sz w:val="20"/>
        <w:szCs w:val="20"/>
      </w:rPr>
      <w:t>0</w:t>
    </w:r>
    <w:r w:rsidR="00990F97">
      <w:rPr>
        <w:sz w:val="20"/>
        <w:szCs w:val="20"/>
      </w:rPr>
      <w:t>7</w:t>
    </w:r>
    <w:r w:rsidRPr="00C3742B">
      <w:rPr>
        <w:sz w:val="20"/>
        <w:szCs w:val="20"/>
      </w:rPr>
      <w:t>13_</w:t>
    </w:r>
    <w:r w:rsidR="00C3742B" w:rsidRPr="00C3742B">
      <w:rPr>
        <w:sz w:val="20"/>
        <w:szCs w:val="20"/>
      </w:rPr>
      <w:t>Mknot_733</w:t>
    </w:r>
    <w:r w:rsidRPr="00C3742B">
      <w:rPr>
        <w:sz w:val="20"/>
        <w:szCs w:val="20"/>
      </w:rPr>
      <w:t xml:space="preserve">; </w:t>
    </w:r>
    <w:r w:rsidR="00973DB7">
      <w:rPr>
        <w:bCs/>
        <w:sz w:val="20"/>
        <w:szCs w:val="20"/>
      </w:rPr>
      <w:t>Grozījums</w:t>
    </w:r>
    <w:r w:rsidR="00DF3558" w:rsidRPr="00DF3558">
      <w:rPr>
        <w:bCs/>
        <w:sz w:val="20"/>
        <w:szCs w:val="20"/>
      </w:rPr>
      <w:t xml:space="preserve"> Ministru kabineta 2009.gada 7.jūlija noteikumos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0A0C25">
      <w:rPr>
        <w:bCs/>
        <w:sz w:val="20"/>
        <w:szCs w:val="20"/>
      </w:rPr>
      <w:t>”</w:t>
    </w:r>
  </w:p>
  <w:p w:rsidR="00884933" w:rsidRPr="007D648F" w:rsidRDefault="00884933" w:rsidP="007D6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5F" w:rsidRPr="0001355F" w:rsidRDefault="0001355F" w:rsidP="00DF3558">
    <w:pPr>
      <w:pStyle w:val="Footer"/>
      <w:jc w:val="both"/>
      <w:rPr>
        <w:sz w:val="20"/>
        <w:szCs w:val="20"/>
      </w:rPr>
    </w:pPr>
    <w:r w:rsidRPr="0001355F">
      <w:rPr>
        <w:sz w:val="20"/>
        <w:szCs w:val="20"/>
      </w:rPr>
      <w:t>IZMAnot_1</w:t>
    </w:r>
    <w:r w:rsidR="00990F97">
      <w:rPr>
        <w:sz w:val="20"/>
        <w:szCs w:val="20"/>
      </w:rPr>
      <w:t>6</w:t>
    </w:r>
    <w:r w:rsidRPr="0001355F">
      <w:rPr>
        <w:sz w:val="20"/>
        <w:szCs w:val="20"/>
      </w:rPr>
      <w:t>0</w:t>
    </w:r>
    <w:r w:rsidR="00990F97">
      <w:rPr>
        <w:sz w:val="20"/>
        <w:szCs w:val="20"/>
      </w:rPr>
      <w:t>7</w:t>
    </w:r>
    <w:r w:rsidRPr="0001355F">
      <w:rPr>
        <w:sz w:val="20"/>
        <w:szCs w:val="20"/>
      </w:rPr>
      <w:t xml:space="preserve">13_Mknot_733; </w:t>
    </w:r>
    <w:r w:rsidR="00DF3558" w:rsidRPr="00DF3558">
      <w:rPr>
        <w:bCs/>
        <w:sz w:val="20"/>
        <w:szCs w:val="20"/>
      </w:rPr>
      <w:t>Gr</w:t>
    </w:r>
    <w:r w:rsidR="00973DB7">
      <w:rPr>
        <w:bCs/>
        <w:sz w:val="20"/>
        <w:szCs w:val="20"/>
      </w:rPr>
      <w:t>ozījums</w:t>
    </w:r>
    <w:r w:rsidR="00DF3558" w:rsidRPr="00DF3558">
      <w:rPr>
        <w:bCs/>
        <w:sz w:val="20"/>
        <w:szCs w:val="20"/>
      </w:rPr>
      <w:t xml:space="preserve"> Ministru kabineta 2009.gada 7.jūlija noteikumos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0A0C25">
      <w:rPr>
        <w:bCs/>
        <w:sz w:val="20"/>
        <w:szCs w:val="20"/>
      </w:rPr>
      <w:t>”</w:t>
    </w:r>
  </w:p>
  <w:p w:rsidR="00884933" w:rsidRPr="0001355F" w:rsidRDefault="00884933" w:rsidP="00013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7E2" w:rsidRDefault="004857E2" w:rsidP="004B0768">
      <w:r>
        <w:separator/>
      </w:r>
    </w:p>
  </w:footnote>
  <w:footnote w:type="continuationSeparator" w:id="0">
    <w:p w:rsidR="004857E2" w:rsidRDefault="004857E2" w:rsidP="004B0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933" w:rsidRDefault="00884933">
    <w:pPr>
      <w:pStyle w:val="Header"/>
      <w:jc w:val="center"/>
    </w:pPr>
    <w:r>
      <w:fldChar w:fldCharType="begin"/>
    </w:r>
    <w:r>
      <w:instrText xml:space="preserve"> PAGE   \* MERGEFORMAT </w:instrText>
    </w:r>
    <w:r>
      <w:fldChar w:fldCharType="separate"/>
    </w:r>
    <w:r w:rsidR="00A30CE4">
      <w:rPr>
        <w:noProof/>
      </w:rPr>
      <w:t>2</w:t>
    </w:r>
    <w:r>
      <w:fldChar w:fldCharType="end"/>
    </w:r>
  </w:p>
  <w:p w:rsidR="00884933" w:rsidRDefault="00884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96AF12"/>
    <w:lvl w:ilvl="0">
      <w:start w:val="1"/>
      <w:numFmt w:val="decimal"/>
      <w:lvlText w:val="%1."/>
      <w:lvlJc w:val="left"/>
      <w:pPr>
        <w:tabs>
          <w:tab w:val="num" w:pos="1492"/>
        </w:tabs>
        <w:ind w:left="1492" w:hanging="360"/>
      </w:pPr>
    </w:lvl>
  </w:abstractNum>
  <w:abstractNum w:abstractNumId="1">
    <w:nsid w:val="FFFFFF7D"/>
    <w:multiLevelType w:val="singleLevel"/>
    <w:tmpl w:val="541C1DE6"/>
    <w:lvl w:ilvl="0">
      <w:start w:val="1"/>
      <w:numFmt w:val="decimal"/>
      <w:lvlText w:val="%1."/>
      <w:lvlJc w:val="left"/>
      <w:pPr>
        <w:tabs>
          <w:tab w:val="num" w:pos="1209"/>
        </w:tabs>
        <w:ind w:left="1209" w:hanging="360"/>
      </w:pPr>
    </w:lvl>
  </w:abstractNum>
  <w:abstractNum w:abstractNumId="2">
    <w:nsid w:val="FFFFFF7E"/>
    <w:multiLevelType w:val="singleLevel"/>
    <w:tmpl w:val="BAA28D54"/>
    <w:lvl w:ilvl="0">
      <w:start w:val="1"/>
      <w:numFmt w:val="decimal"/>
      <w:lvlText w:val="%1."/>
      <w:lvlJc w:val="left"/>
      <w:pPr>
        <w:tabs>
          <w:tab w:val="num" w:pos="926"/>
        </w:tabs>
        <w:ind w:left="926" w:hanging="360"/>
      </w:pPr>
    </w:lvl>
  </w:abstractNum>
  <w:abstractNum w:abstractNumId="3">
    <w:nsid w:val="FFFFFF7F"/>
    <w:multiLevelType w:val="singleLevel"/>
    <w:tmpl w:val="9650E72A"/>
    <w:lvl w:ilvl="0">
      <w:start w:val="1"/>
      <w:numFmt w:val="decimal"/>
      <w:lvlText w:val="%1."/>
      <w:lvlJc w:val="left"/>
      <w:pPr>
        <w:tabs>
          <w:tab w:val="num" w:pos="643"/>
        </w:tabs>
        <w:ind w:left="643" w:hanging="360"/>
      </w:pPr>
    </w:lvl>
  </w:abstractNum>
  <w:abstractNum w:abstractNumId="4">
    <w:nsid w:val="FFFFFF80"/>
    <w:multiLevelType w:val="singleLevel"/>
    <w:tmpl w:val="E4C611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0027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BCD2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B48A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1E5A1E"/>
    <w:lvl w:ilvl="0">
      <w:start w:val="1"/>
      <w:numFmt w:val="decimal"/>
      <w:lvlText w:val="%1."/>
      <w:lvlJc w:val="left"/>
      <w:pPr>
        <w:tabs>
          <w:tab w:val="num" w:pos="360"/>
        </w:tabs>
        <w:ind w:left="360" w:hanging="360"/>
      </w:pPr>
    </w:lvl>
  </w:abstractNum>
  <w:abstractNum w:abstractNumId="9">
    <w:nsid w:val="FFFFFF89"/>
    <w:multiLevelType w:val="singleLevel"/>
    <w:tmpl w:val="6442CC98"/>
    <w:lvl w:ilvl="0">
      <w:start w:val="1"/>
      <w:numFmt w:val="bullet"/>
      <w:lvlText w:val=""/>
      <w:lvlJc w:val="left"/>
      <w:pPr>
        <w:tabs>
          <w:tab w:val="num" w:pos="360"/>
        </w:tabs>
        <w:ind w:left="360" w:hanging="360"/>
      </w:pPr>
      <w:rPr>
        <w:rFonts w:ascii="Symbol" w:hAnsi="Symbol" w:hint="default"/>
      </w:rPr>
    </w:lvl>
  </w:abstractNum>
  <w:abstractNum w:abstractNumId="10">
    <w:nsid w:val="0BA324EB"/>
    <w:multiLevelType w:val="hybridMultilevel"/>
    <w:tmpl w:val="01FEA756"/>
    <w:lvl w:ilvl="0" w:tplc="76C8532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10803ECC"/>
    <w:multiLevelType w:val="hybridMultilevel"/>
    <w:tmpl w:val="D09C7210"/>
    <w:lvl w:ilvl="0" w:tplc="04260001">
      <w:start w:val="1"/>
      <w:numFmt w:val="bullet"/>
      <w:lvlText w:val=""/>
      <w:lvlJc w:val="left"/>
      <w:pPr>
        <w:ind w:left="794" w:hanging="360"/>
      </w:pPr>
      <w:rPr>
        <w:rFonts w:ascii="Symbol" w:hAnsi="Symbol"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12">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BEC3436"/>
    <w:multiLevelType w:val="hybridMultilevel"/>
    <w:tmpl w:val="2B98E7CE"/>
    <w:lvl w:ilvl="0" w:tplc="35FC5D8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C3C32B0"/>
    <w:multiLevelType w:val="hybridMultilevel"/>
    <w:tmpl w:val="A7447C6C"/>
    <w:lvl w:ilvl="0" w:tplc="9A68F2F0">
      <w:start w:val="1"/>
      <w:numFmt w:val="decimal"/>
      <w:lvlText w:val="(%1)"/>
      <w:lvlJc w:val="left"/>
      <w:pPr>
        <w:ind w:left="434" w:hanging="360"/>
      </w:pPr>
      <w:rPr>
        <w:rFonts w:hint="default"/>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num w:numId="1">
    <w:abstractNumId w:val="12"/>
  </w:num>
  <w:num w:numId="2">
    <w:abstractNumId w:val="10"/>
  </w:num>
  <w:num w:numId="3">
    <w:abstractNumId w:val="14"/>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68"/>
    <w:rsid w:val="00007F20"/>
    <w:rsid w:val="00011989"/>
    <w:rsid w:val="0001355F"/>
    <w:rsid w:val="00023A83"/>
    <w:rsid w:val="00027D4B"/>
    <w:rsid w:val="000315E0"/>
    <w:rsid w:val="00032B91"/>
    <w:rsid w:val="00032F55"/>
    <w:rsid w:val="00036065"/>
    <w:rsid w:val="0006208F"/>
    <w:rsid w:val="00067B3B"/>
    <w:rsid w:val="000772E6"/>
    <w:rsid w:val="000833C5"/>
    <w:rsid w:val="00084F40"/>
    <w:rsid w:val="00091CF5"/>
    <w:rsid w:val="00096AC3"/>
    <w:rsid w:val="000A0C25"/>
    <w:rsid w:val="000A4A7D"/>
    <w:rsid w:val="000B310F"/>
    <w:rsid w:val="000C1F18"/>
    <w:rsid w:val="000D4C7F"/>
    <w:rsid w:val="000E10F5"/>
    <w:rsid w:val="000E44C9"/>
    <w:rsid w:val="000E50EC"/>
    <w:rsid w:val="000F2CC3"/>
    <w:rsid w:val="000F4E8F"/>
    <w:rsid w:val="000F5EED"/>
    <w:rsid w:val="00101667"/>
    <w:rsid w:val="001077E2"/>
    <w:rsid w:val="0011012B"/>
    <w:rsid w:val="0012125E"/>
    <w:rsid w:val="00131A5E"/>
    <w:rsid w:val="00144536"/>
    <w:rsid w:val="00146F14"/>
    <w:rsid w:val="00166AF1"/>
    <w:rsid w:val="001750F3"/>
    <w:rsid w:val="001838BC"/>
    <w:rsid w:val="00185198"/>
    <w:rsid w:val="001A36EE"/>
    <w:rsid w:val="001A5366"/>
    <w:rsid w:val="001A5BDD"/>
    <w:rsid w:val="001A7998"/>
    <w:rsid w:val="001B1B92"/>
    <w:rsid w:val="001C3AF5"/>
    <w:rsid w:val="001C4009"/>
    <w:rsid w:val="001D4566"/>
    <w:rsid w:val="001D4B90"/>
    <w:rsid w:val="001E40A5"/>
    <w:rsid w:val="001E5380"/>
    <w:rsid w:val="001F0D3B"/>
    <w:rsid w:val="0020060D"/>
    <w:rsid w:val="00215D48"/>
    <w:rsid w:val="00215ED6"/>
    <w:rsid w:val="00242113"/>
    <w:rsid w:val="00244876"/>
    <w:rsid w:val="002613B4"/>
    <w:rsid w:val="0026542E"/>
    <w:rsid w:val="00270D5F"/>
    <w:rsid w:val="00281F94"/>
    <w:rsid w:val="00283E46"/>
    <w:rsid w:val="00284411"/>
    <w:rsid w:val="00293F9D"/>
    <w:rsid w:val="002A0290"/>
    <w:rsid w:val="002A2E82"/>
    <w:rsid w:val="002B2090"/>
    <w:rsid w:val="002B559B"/>
    <w:rsid w:val="002C2F95"/>
    <w:rsid w:val="002C4F87"/>
    <w:rsid w:val="002D30D2"/>
    <w:rsid w:val="002D31DC"/>
    <w:rsid w:val="002D69BB"/>
    <w:rsid w:val="00301D23"/>
    <w:rsid w:val="003125C2"/>
    <w:rsid w:val="00317D04"/>
    <w:rsid w:val="0032364C"/>
    <w:rsid w:val="00333447"/>
    <w:rsid w:val="00340895"/>
    <w:rsid w:val="003545D7"/>
    <w:rsid w:val="00364962"/>
    <w:rsid w:val="0036686E"/>
    <w:rsid w:val="00380474"/>
    <w:rsid w:val="00385A43"/>
    <w:rsid w:val="00390398"/>
    <w:rsid w:val="00390878"/>
    <w:rsid w:val="003A3C4E"/>
    <w:rsid w:val="003B36BB"/>
    <w:rsid w:val="003B4996"/>
    <w:rsid w:val="003C70B4"/>
    <w:rsid w:val="003F60BB"/>
    <w:rsid w:val="00403B08"/>
    <w:rsid w:val="00421C90"/>
    <w:rsid w:val="0043294B"/>
    <w:rsid w:val="0043750C"/>
    <w:rsid w:val="00440F5F"/>
    <w:rsid w:val="00450008"/>
    <w:rsid w:val="00450456"/>
    <w:rsid w:val="0045413A"/>
    <w:rsid w:val="00454383"/>
    <w:rsid w:val="004566EA"/>
    <w:rsid w:val="00460BEB"/>
    <w:rsid w:val="00465902"/>
    <w:rsid w:val="0046766C"/>
    <w:rsid w:val="00471B45"/>
    <w:rsid w:val="004857E2"/>
    <w:rsid w:val="00493E93"/>
    <w:rsid w:val="00494A48"/>
    <w:rsid w:val="004968B2"/>
    <w:rsid w:val="004B0768"/>
    <w:rsid w:val="004C6F79"/>
    <w:rsid w:val="004D2894"/>
    <w:rsid w:val="004D2B40"/>
    <w:rsid w:val="004D602E"/>
    <w:rsid w:val="0050541B"/>
    <w:rsid w:val="005171E0"/>
    <w:rsid w:val="00521474"/>
    <w:rsid w:val="00541559"/>
    <w:rsid w:val="00543A4A"/>
    <w:rsid w:val="0056076A"/>
    <w:rsid w:val="00561BAD"/>
    <w:rsid w:val="00567523"/>
    <w:rsid w:val="00574069"/>
    <w:rsid w:val="00577132"/>
    <w:rsid w:val="00585938"/>
    <w:rsid w:val="00587818"/>
    <w:rsid w:val="00591448"/>
    <w:rsid w:val="005972B9"/>
    <w:rsid w:val="0059765F"/>
    <w:rsid w:val="005A337D"/>
    <w:rsid w:val="005A7BD1"/>
    <w:rsid w:val="005B1D04"/>
    <w:rsid w:val="005B2DDF"/>
    <w:rsid w:val="005B764A"/>
    <w:rsid w:val="005B76AC"/>
    <w:rsid w:val="005D730A"/>
    <w:rsid w:val="005D7581"/>
    <w:rsid w:val="005E7F60"/>
    <w:rsid w:val="005F4740"/>
    <w:rsid w:val="00607E09"/>
    <w:rsid w:val="00615D84"/>
    <w:rsid w:val="00623AB1"/>
    <w:rsid w:val="00626DCE"/>
    <w:rsid w:val="00630D4B"/>
    <w:rsid w:val="00633BA9"/>
    <w:rsid w:val="00642865"/>
    <w:rsid w:val="00666A97"/>
    <w:rsid w:val="00674C7C"/>
    <w:rsid w:val="00675CB4"/>
    <w:rsid w:val="00677B55"/>
    <w:rsid w:val="0068628C"/>
    <w:rsid w:val="006900F4"/>
    <w:rsid w:val="006A58C9"/>
    <w:rsid w:val="006C6B2C"/>
    <w:rsid w:val="006D02B1"/>
    <w:rsid w:val="006D763C"/>
    <w:rsid w:val="006E52D9"/>
    <w:rsid w:val="006F0555"/>
    <w:rsid w:val="006F5C2D"/>
    <w:rsid w:val="00704A43"/>
    <w:rsid w:val="00704BA4"/>
    <w:rsid w:val="0070763C"/>
    <w:rsid w:val="00712BAF"/>
    <w:rsid w:val="007130EC"/>
    <w:rsid w:val="007175BD"/>
    <w:rsid w:val="00720F4A"/>
    <w:rsid w:val="0074418E"/>
    <w:rsid w:val="00744CCE"/>
    <w:rsid w:val="007474F0"/>
    <w:rsid w:val="007515E2"/>
    <w:rsid w:val="00764B03"/>
    <w:rsid w:val="0076623E"/>
    <w:rsid w:val="0076731E"/>
    <w:rsid w:val="00785032"/>
    <w:rsid w:val="0079021A"/>
    <w:rsid w:val="007B7C39"/>
    <w:rsid w:val="007C19CC"/>
    <w:rsid w:val="007C6CF5"/>
    <w:rsid w:val="007D14A8"/>
    <w:rsid w:val="007D1DF0"/>
    <w:rsid w:val="007D648F"/>
    <w:rsid w:val="007E4900"/>
    <w:rsid w:val="007F0409"/>
    <w:rsid w:val="00804326"/>
    <w:rsid w:val="00812431"/>
    <w:rsid w:val="00812A69"/>
    <w:rsid w:val="0082300D"/>
    <w:rsid w:val="00824840"/>
    <w:rsid w:val="00844FDE"/>
    <w:rsid w:val="00846EAD"/>
    <w:rsid w:val="008470C5"/>
    <w:rsid w:val="00847B4E"/>
    <w:rsid w:val="00852B35"/>
    <w:rsid w:val="00855491"/>
    <w:rsid w:val="0086619F"/>
    <w:rsid w:val="00874DB2"/>
    <w:rsid w:val="00883099"/>
    <w:rsid w:val="00884933"/>
    <w:rsid w:val="008878E0"/>
    <w:rsid w:val="008A0222"/>
    <w:rsid w:val="008A36A8"/>
    <w:rsid w:val="008A7909"/>
    <w:rsid w:val="008A7D12"/>
    <w:rsid w:val="008B134C"/>
    <w:rsid w:val="008C3451"/>
    <w:rsid w:val="008D02A1"/>
    <w:rsid w:val="008D0D64"/>
    <w:rsid w:val="008D2F64"/>
    <w:rsid w:val="008D6A99"/>
    <w:rsid w:val="008E0487"/>
    <w:rsid w:val="008E6D69"/>
    <w:rsid w:val="008E7266"/>
    <w:rsid w:val="008E7733"/>
    <w:rsid w:val="008F00E4"/>
    <w:rsid w:val="008F7C5B"/>
    <w:rsid w:val="00903EB6"/>
    <w:rsid w:val="009072D0"/>
    <w:rsid w:val="00907387"/>
    <w:rsid w:val="00913B89"/>
    <w:rsid w:val="00917A6D"/>
    <w:rsid w:val="0092114A"/>
    <w:rsid w:val="009248A4"/>
    <w:rsid w:val="00942C12"/>
    <w:rsid w:val="009468DB"/>
    <w:rsid w:val="00947571"/>
    <w:rsid w:val="00955997"/>
    <w:rsid w:val="00964A47"/>
    <w:rsid w:val="00973DB7"/>
    <w:rsid w:val="009832D2"/>
    <w:rsid w:val="009835ED"/>
    <w:rsid w:val="00986BA2"/>
    <w:rsid w:val="00990F97"/>
    <w:rsid w:val="0099480A"/>
    <w:rsid w:val="0099557B"/>
    <w:rsid w:val="009A1263"/>
    <w:rsid w:val="009A4127"/>
    <w:rsid w:val="009A5D6D"/>
    <w:rsid w:val="009A60C3"/>
    <w:rsid w:val="009B25CC"/>
    <w:rsid w:val="009C36F8"/>
    <w:rsid w:val="009D0FF1"/>
    <w:rsid w:val="009D5565"/>
    <w:rsid w:val="009E2D97"/>
    <w:rsid w:val="009E357A"/>
    <w:rsid w:val="009E4D1B"/>
    <w:rsid w:val="009E7573"/>
    <w:rsid w:val="009F71BF"/>
    <w:rsid w:val="00A040D6"/>
    <w:rsid w:val="00A10AC7"/>
    <w:rsid w:val="00A1181E"/>
    <w:rsid w:val="00A26128"/>
    <w:rsid w:val="00A30CE4"/>
    <w:rsid w:val="00A36BEE"/>
    <w:rsid w:val="00A410A6"/>
    <w:rsid w:val="00A533FC"/>
    <w:rsid w:val="00A57CF7"/>
    <w:rsid w:val="00A7012A"/>
    <w:rsid w:val="00A713E6"/>
    <w:rsid w:val="00A75A2B"/>
    <w:rsid w:val="00A8351A"/>
    <w:rsid w:val="00A83A52"/>
    <w:rsid w:val="00AA0293"/>
    <w:rsid w:val="00AA4C4A"/>
    <w:rsid w:val="00AB5139"/>
    <w:rsid w:val="00AB58C6"/>
    <w:rsid w:val="00AB5A92"/>
    <w:rsid w:val="00AC37A5"/>
    <w:rsid w:val="00AD4C96"/>
    <w:rsid w:val="00AD62E5"/>
    <w:rsid w:val="00AD6BD8"/>
    <w:rsid w:val="00AE7E40"/>
    <w:rsid w:val="00B11683"/>
    <w:rsid w:val="00B22834"/>
    <w:rsid w:val="00B2288A"/>
    <w:rsid w:val="00B3083B"/>
    <w:rsid w:val="00B3339F"/>
    <w:rsid w:val="00B35BDC"/>
    <w:rsid w:val="00B40048"/>
    <w:rsid w:val="00B50204"/>
    <w:rsid w:val="00B65F0C"/>
    <w:rsid w:val="00B7292E"/>
    <w:rsid w:val="00B74A27"/>
    <w:rsid w:val="00B75126"/>
    <w:rsid w:val="00B80EE9"/>
    <w:rsid w:val="00B91466"/>
    <w:rsid w:val="00B916D8"/>
    <w:rsid w:val="00B97F4A"/>
    <w:rsid w:val="00BA2AD1"/>
    <w:rsid w:val="00BC152F"/>
    <w:rsid w:val="00BC3427"/>
    <w:rsid w:val="00BC4199"/>
    <w:rsid w:val="00BC6D60"/>
    <w:rsid w:val="00BC755B"/>
    <w:rsid w:val="00BD58E5"/>
    <w:rsid w:val="00BD6D4F"/>
    <w:rsid w:val="00BD7DD9"/>
    <w:rsid w:val="00BF3A6D"/>
    <w:rsid w:val="00BF5652"/>
    <w:rsid w:val="00C024FD"/>
    <w:rsid w:val="00C10CC4"/>
    <w:rsid w:val="00C113D9"/>
    <w:rsid w:val="00C3228B"/>
    <w:rsid w:val="00C32B01"/>
    <w:rsid w:val="00C349AB"/>
    <w:rsid w:val="00C3742B"/>
    <w:rsid w:val="00C518A2"/>
    <w:rsid w:val="00C520E0"/>
    <w:rsid w:val="00C52854"/>
    <w:rsid w:val="00C5574A"/>
    <w:rsid w:val="00C56FFE"/>
    <w:rsid w:val="00C57E26"/>
    <w:rsid w:val="00C6030D"/>
    <w:rsid w:val="00C70455"/>
    <w:rsid w:val="00C73769"/>
    <w:rsid w:val="00C81C80"/>
    <w:rsid w:val="00C84954"/>
    <w:rsid w:val="00C86281"/>
    <w:rsid w:val="00C91604"/>
    <w:rsid w:val="00CA4159"/>
    <w:rsid w:val="00CD0B58"/>
    <w:rsid w:val="00CD6DA1"/>
    <w:rsid w:val="00CD76A7"/>
    <w:rsid w:val="00CE7B37"/>
    <w:rsid w:val="00D1114B"/>
    <w:rsid w:val="00D14B00"/>
    <w:rsid w:val="00D16E5F"/>
    <w:rsid w:val="00D310B5"/>
    <w:rsid w:val="00D346BC"/>
    <w:rsid w:val="00D34C26"/>
    <w:rsid w:val="00D460F4"/>
    <w:rsid w:val="00D53265"/>
    <w:rsid w:val="00D65115"/>
    <w:rsid w:val="00D66115"/>
    <w:rsid w:val="00D77AEB"/>
    <w:rsid w:val="00D83E36"/>
    <w:rsid w:val="00D94104"/>
    <w:rsid w:val="00D96EE8"/>
    <w:rsid w:val="00DA1178"/>
    <w:rsid w:val="00DC3BBA"/>
    <w:rsid w:val="00DF0785"/>
    <w:rsid w:val="00DF33A6"/>
    <w:rsid w:val="00DF3558"/>
    <w:rsid w:val="00DF5176"/>
    <w:rsid w:val="00DF6C44"/>
    <w:rsid w:val="00DF751E"/>
    <w:rsid w:val="00E12663"/>
    <w:rsid w:val="00E126F8"/>
    <w:rsid w:val="00E15284"/>
    <w:rsid w:val="00E158A8"/>
    <w:rsid w:val="00E220D0"/>
    <w:rsid w:val="00E31A73"/>
    <w:rsid w:val="00E3374A"/>
    <w:rsid w:val="00E52144"/>
    <w:rsid w:val="00E54B3A"/>
    <w:rsid w:val="00E61DD9"/>
    <w:rsid w:val="00E620A5"/>
    <w:rsid w:val="00E62E9A"/>
    <w:rsid w:val="00E64EA7"/>
    <w:rsid w:val="00E64ED6"/>
    <w:rsid w:val="00E73448"/>
    <w:rsid w:val="00E7613E"/>
    <w:rsid w:val="00E8444D"/>
    <w:rsid w:val="00E872EA"/>
    <w:rsid w:val="00E9179D"/>
    <w:rsid w:val="00E96EC6"/>
    <w:rsid w:val="00E974E2"/>
    <w:rsid w:val="00EA2202"/>
    <w:rsid w:val="00EB7B7B"/>
    <w:rsid w:val="00ED0303"/>
    <w:rsid w:val="00ED3A39"/>
    <w:rsid w:val="00EE124B"/>
    <w:rsid w:val="00EE42A0"/>
    <w:rsid w:val="00EE7128"/>
    <w:rsid w:val="00EE7D8B"/>
    <w:rsid w:val="00EF12DC"/>
    <w:rsid w:val="00EF798B"/>
    <w:rsid w:val="00F06BD4"/>
    <w:rsid w:val="00F10E8B"/>
    <w:rsid w:val="00F148E9"/>
    <w:rsid w:val="00F2791D"/>
    <w:rsid w:val="00F27B17"/>
    <w:rsid w:val="00F31C85"/>
    <w:rsid w:val="00F3607B"/>
    <w:rsid w:val="00F50C4D"/>
    <w:rsid w:val="00F5595A"/>
    <w:rsid w:val="00F641A4"/>
    <w:rsid w:val="00F6777F"/>
    <w:rsid w:val="00F73AA3"/>
    <w:rsid w:val="00F75EC0"/>
    <w:rsid w:val="00F76CB4"/>
    <w:rsid w:val="00F91D09"/>
    <w:rsid w:val="00FA0749"/>
    <w:rsid w:val="00FA1CDC"/>
    <w:rsid w:val="00FA6F8F"/>
    <w:rsid w:val="00FB6B05"/>
    <w:rsid w:val="00FC08E2"/>
    <w:rsid w:val="00FC3524"/>
    <w:rsid w:val="00FE5807"/>
    <w:rsid w:val="00FF4B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68"/>
    <w:rPr>
      <w:rFonts w:ascii="Times New Roman" w:eastAsia="Times New Roman" w:hAnsi="Times New Roman"/>
      <w:sz w:val="24"/>
      <w:szCs w:val="24"/>
    </w:rPr>
  </w:style>
  <w:style w:type="paragraph" w:styleId="Heading5">
    <w:name w:val="heading 5"/>
    <w:basedOn w:val="Normal"/>
    <w:next w:val="Normal"/>
    <w:link w:val="Heading5Char"/>
    <w:qFormat/>
    <w:rsid w:val="004B0768"/>
    <w:pPr>
      <w:keepNext/>
      <w:ind w:firstLine="709"/>
      <w:outlineLvl w:val="4"/>
    </w:pPr>
    <w:rPr>
      <w:sz w:val="28"/>
      <w:szCs w:val="2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4B0768"/>
    <w:rPr>
      <w:rFonts w:ascii="Times New Roman" w:eastAsia="Times New Roman" w:hAnsi="Times New Roman" w:cs="Times New Roman"/>
      <w:sz w:val="28"/>
      <w:szCs w:val="20"/>
      <w:lang w:val="en-US"/>
    </w:rPr>
  </w:style>
  <w:style w:type="paragraph" w:customStyle="1" w:styleId="naisf">
    <w:name w:val="naisf"/>
    <w:basedOn w:val="Normal"/>
    <w:rsid w:val="004B0768"/>
    <w:pPr>
      <w:spacing w:before="75" w:after="75"/>
      <w:ind w:firstLine="375"/>
      <w:jc w:val="both"/>
    </w:pPr>
  </w:style>
  <w:style w:type="paragraph" w:customStyle="1" w:styleId="naisnod">
    <w:name w:val="naisnod"/>
    <w:basedOn w:val="Normal"/>
    <w:rsid w:val="004B0768"/>
    <w:pPr>
      <w:spacing w:before="150" w:after="150"/>
      <w:jc w:val="center"/>
    </w:pPr>
    <w:rPr>
      <w:b/>
      <w:bCs/>
    </w:rPr>
  </w:style>
  <w:style w:type="paragraph" w:customStyle="1" w:styleId="naiskr">
    <w:name w:val="naiskr"/>
    <w:basedOn w:val="Normal"/>
    <w:rsid w:val="004B0768"/>
    <w:pPr>
      <w:spacing w:before="75" w:after="75"/>
    </w:pPr>
  </w:style>
  <w:style w:type="paragraph" w:styleId="FootnoteText">
    <w:name w:val="footnote text"/>
    <w:basedOn w:val="Normal"/>
    <w:link w:val="FootnoteTextChar"/>
    <w:semiHidden/>
    <w:rsid w:val="004B0768"/>
    <w:rPr>
      <w:sz w:val="20"/>
      <w:szCs w:val="20"/>
    </w:rPr>
  </w:style>
  <w:style w:type="character" w:customStyle="1" w:styleId="FootnoteTextChar">
    <w:name w:val="Footnote Text Char"/>
    <w:link w:val="FootnoteText"/>
    <w:semiHidden/>
    <w:rsid w:val="004B0768"/>
    <w:rPr>
      <w:rFonts w:ascii="Times New Roman" w:eastAsia="Times New Roman" w:hAnsi="Times New Roman" w:cs="Times New Roman"/>
      <w:sz w:val="20"/>
      <w:szCs w:val="20"/>
      <w:lang w:eastAsia="lv-LV"/>
    </w:rPr>
  </w:style>
  <w:style w:type="paragraph" w:styleId="BodyTextIndent2">
    <w:name w:val="Body Text Indent 2"/>
    <w:basedOn w:val="Normal"/>
    <w:link w:val="BodyTextIndent2Char"/>
    <w:uiPriority w:val="99"/>
    <w:unhideWhenUsed/>
    <w:rsid w:val="004B0768"/>
    <w:pPr>
      <w:spacing w:after="120" w:line="480" w:lineRule="auto"/>
      <w:ind w:left="283"/>
    </w:pPr>
  </w:style>
  <w:style w:type="character" w:customStyle="1" w:styleId="BodyTextIndent2Char">
    <w:name w:val="Body Text Indent 2 Char"/>
    <w:link w:val="BodyTextIndent2"/>
    <w:uiPriority w:val="99"/>
    <w:rsid w:val="004B0768"/>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B0768"/>
    <w:pPr>
      <w:tabs>
        <w:tab w:val="center" w:pos="4153"/>
        <w:tab w:val="right" w:pos="8306"/>
      </w:tabs>
    </w:pPr>
  </w:style>
  <w:style w:type="character" w:customStyle="1" w:styleId="HeaderChar">
    <w:name w:val="Header Char"/>
    <w:link w:val="Header"/>
    <w:uiPriority w:val="99"/>
    <w:rsid w:val="004B076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B0768"/>
    <w:pPr>
      <w:tabs>
        <w:tab w:val="center" w:pos="4153"/>
        <w:tab w:val="right" w:pos="8306"/>
      </w:tabs>
    </w:pPr>
  </w:style>
  <w:style w:type="character" w:customStyle="1" w:styleId="FooterChar">
    <w:name w:val="Footer Char"/>
    <w:link w:val="Footer"/>
    <w:uiPriority w:val="99"/>
    <w:rsid w:val="004B0768"/>
    <w:rPr>
      <w:rFonts w:ascii="Times New Roman" w:eastAsia="Times New Roman" w:hAnsi="Times New Roman" w:cs="Times New Roman"/>
      <w:sz w:val="24"/>
      <w:szCs w:val="24"/>
      <w:lang w:eastAsia="lv-LV"/>
    </w:rPr>
  </w:style>
  <w:style w:type="paragraph" w:styleId="NoSpacing">
    <w:name w:val="No Spacing"/>
    <w:uiPriority w:val="1"/>
    <w:qFormat/>
    <w:rsid w:val="004B0768"/>
    <w:rPr>
      <w:rFonts w:ascii="Times New Roman" w:eastAsia="Times New Roman" w:hAnsi="Times New Roman"/>
      <w:lang w:eastAsia="en-US"/>
    </w:rPr>
  </w:style>
  <w:style w:type="paragraph" w:customStyle="1" w:styleId="naisc">
    <w:name w:val="naisc"/>
    <w:basedOn w:val="Normal"/>
    <w:rsid w:val="004B0768"/>
    <w:pPr>
      <w:spacing w:before="75" w:after="75"/>
      <w:jc w:val="center"/>
    </w:pPr>
  </w:style>
  <w:style w:type="character" w:styleId="Strong">
    <w:name w:val="Strong"/>
    <w:uiPriority w:val="22"/>
    <w:qFormat/>
    <w:rsid w:val="004B0768"/>
    <w:rPr>
      <w:b/>
      <w:bCs/>
    </w:rPr>
  </w:style>
  <w:style w:type="paragraph" w:styleId="BodyText">
    <w:name w:val="Body Text"/>
    <w:basedOn w:val="Normal"/>
    <w:link w:val="BodyTextChar"/>
    <w:uiPriority w:val="99"/>
    <w:semiHidden/>
    <w:unhideWhenUsed/>
    <w:rsid w:val="00403B08"/>
    <w:pPr>
      <w:spacing w:after="120"/>
    </w:pPr>
  </w:style>
  <w:style w:type="character" w:customStyle="1" w:styleId="BodyTextChar">
    <w:name w:val="Body Text Char"/>
    <w:link w:val="BodyText"/>
    <w:uiPriority w:val="99"/>
    <w:semiHidden/>
    <w:rsid w:val="00403B08"/>
    <w:rPr>
      <w:rFonts w:ascii="Times New Roman" w:eastAsia="Times New Roman" w:hAnsi="Times New Roman" w:cs="Times New Roman"/>
      <w:sz w:val="24"/>
      <w:szCs w:val="24"/>
      <w:lang w:eastAsia="lv-LV"/>
    </w:rPr>
  </w:style>
  <w:style w:type="paragraph" w:styleId="PlainText">
    <w:name w:val="Plain Text"/>
    <w:basedOn w:val="Normal"/>
    <w:link w:val="PlainTextChar"/>
    <w:rsid w:val="00A8351A"/>
    <w:rPr>
      <w:rFonts w:ascii="Courier New" w:hAnsi="Courier New" w:cs="Courier New"/>
      <w:sz w:val="20"/>
      <w:szCs w:val="20"/>
    </w:rPr>
  </w:style>
  <w:style w:type="character" w:customStyle="1" w:styleId="PlainTextChar">
    <w:name w:val="Plain Text Char"/>
    <w:link w:val="PlainText"/>
    <w:rsid w:val="00A8351A"/>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F91D09"/>
    <w:rPr>
      <w:rFonts w:ascii="Tahoma" w:hAnsi="Tahoma" w:cs="Tahoma"/>
      <w:sz w:val="16"/>
      <w:szCs w:val="16"/>
    </w:rPr>
  </w:style>
  <w:style w:type="character" w:customStyle="1" w:styleId="BalloonTextChar">
    <w:name w:val="Balloon Text Char"/>
    <w:link w:val="BalloonText"/>
    <w:uiPriority w:val="99"/>
    <w:semiHidden/>
    <w:rsid w:val="00F91D09"/>
    <w:rPr>
      <w:rFonts w:ascii="Tahoma" w:eastAsia="Times New Roman" w:hAnsi="Tahoma" w:cs="Tahoma"/>
      <w:sz w:val="16"/>
      <w:szCs w:val="16"/>
      <w:lang w:eastAsia="lv-LV"/>
    </w:rPr>
  </w:style>
  <w:style w:type="paragraph" w:customStyle="1" w:styleId="RakstzCharCharRakstzCharCharRakstz2">
    <w:name w:val="Rakstz. Char Char Rakstz. Char Char Rakstz.2"/>
    <w:basedOn w:val="Normal"/>
    <w:rsid w:val="009248A4"/>
    <w:pPr>
      <w:spacing w:after="160" w:line="240" w:lineRule="exact"/>
    </w:pPr>
    <w:rPr>
      <w:rFonts w:ascii="Tahoma" w:hAnsi="Tahoma" w:cs="Tahoma"/>
      <w:sz w:val="20"/>
      <w:szCs w:val="20"/>
      <w:lang w:val="en-US" w:eastAsia="en-US"/>
    </w:rPr>
  </w:style>
  <w:style w:type="character" w:customStyle="1" w:styleId="spelle">
    <w:name w:val="spelle"/>
    <w:basedOn w:val="DefaultParagraphFont"/>
    <w:rsid w:val="005972B9"/>
  </w:style>
  <w:style w:type="paragraph" w:styleId="ListParagraph">
    <w:name w:val="List Paragraph"/>
    <w:basedOn w:val="Normal"/>
    <w:uiPriority w:val="34"/>
    <w:qFormat/>
    <w:rsid w:val="00E15284"/>
    <w:pPr>
      <w:ind w:left="720"/>
      <w:contextualSpacing/>
    </w:pPr>
  </w:style>
  <w:style w:type="paragraph" w:styleId="NormalWeb">
    <w:name w:val="Normal (Web)"/>
    <w:basedOn w:val="Normal"/>
    <w:rsid w:val="001E40A5"/>
    <w:pPr>
      <w:spacing w:before="100" w:beforeAutospacing="1" w:after="100" w:afterAutospacing="1"/>
    </w:pPr>
  </w:style>
  <w:style w:type="paragraph" w:customStyle="1" w:styleId="tv2068792">
    <w:name w:val="tv206_87_92"/>
    <w:basedOn w:val="Normal"/>
    <w:rsid w:val="00C518A2"/>
    <w:pPr>
      <w:spacing w:before="100" w:beforeAutospacing="1" w:after="100" w:afterAutospacing="1"/>
    </w:pPr>
  </w:style>
  <w:style w:type="paragraph" w:customStyle="1" w:styleId="tv2078792">
    <w:name w:val="tv207_87_92"/>
    <w:basedOn w:val="Normal"/>
    <w:rsid w:val="00C518A2"/>
    <w:pPr>
      <w:spacing w:before="100" w:beforeAutospacing="1" w:after="100" w:afterAutospacing="1"/>
    </w:pPr>
  </w:style>
  <w:style w:type="character" w:customStyle="1" w:styleId="c6">
    <w:name w:val="c6"/>
    <w:basedOn w:val="DefaultParagraphFont"/>
    <w:rsid w:val="001B1B92"/>
  </w:style>
  <w:style w:type="character" w:styleId="CommentReference">
    <w:name w:val="annotation reference"/>
    <w:uiPriority w:val="99"/>
    <w:semiHidden/>
    <w:unhideWhenUsed/>
    <w:rsid w:val="00CD0B58"/>
    <w:rPr>
      <w:sz w:val="16"/>
      <w:szCs w:val="16"/>
    </w:rPr>
  </w:style>
  <w:style w:type="paragraph" w:styleId="CommentText">
    <w:name w:val="annotation text"/>
    <w:basedOn w:val="Normal"/>
    <w:link w:val="CommentTextChar"/>
    <w:uiPriority w:val="99"/>
    <w:semiHidden/>
    <w:unhideWhenUsed/>
    <w:rsid w:val="00CD0B58"/>
    <w:rPr>
      <w:sz w:val="20"/>
      <w:szCs w:val="20"/>
    </w:rPr>
  </w:style>
  <w:style w:type="character" w:customStyle="1" w:styleId="CommentTextChar">
    <w:name w:val="Comment Text Char"/>
    <w:link w:val="CommentText"/>
    <w:uiPriority w:val="99"/>
    <w:semiHidden/>
    <w:rsid w:val="00CD0B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D0B58"/>
    <w:rPr>
      <w:b/>
      <w:bCs/>
    </w:rPr>
  </w:style>
  <w:style w:type="character" w:customStyle="1" w:styleId="CommentSubjectChar">
    <w:name w:val="Comment Subject Char"/>
    <w:link w:val="CommentSubject"/>
    <w:uiPriority w:val="99"/>
    <w:semiHidden/>
    <w:rsid w:val="00CD0B58"/>
    <w:rPr>
      <w:rFonts w:ascii="Times New Roman" w:eastAsia="Times New Roman" w:hAnsi="Times New Roman"/>
      <w:b/>
      <w:bCs/>
    </w:rPr>
  </w:style>
  <w:style w:type="paragraph" w:customStyle="1" w:styleId="tv20787921">
    <w:name w:val="tv207_87_921"/>
    <w:basedOn w:val="Normal"/>
    <w:rsid w:val="002A2E82"/>
    <w:pPr>
      <w:spacing w:after="567" w:line="360" w:lineRule="auto"/>
      <w:jc w:val="center"/>
    </w:pPr>
    <w:rPr>
      <w:rFonts w:ascii="Verdana" w:hAnsi="Verdana"/>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68"/>
    <w:rPr>
      <w:rFonts w:ascii="Times New Roman" w:eastAsia="Times New Roman" w:hAnsi="Times New Roman"/>
      <w:sz w:val="24"/>
      <w:szCs w:val="24"/>
    </w:rPr>
  </w:style>
  <w:style w:type="paragraph" w:styleId="Heading5">
    <w:name w:val="heading 5"/>
    <w:basedOn w:val="Normal"/>
    <w:next w:val="Normal"/>
    <w:link w:val="Heading5Char"/>
    <w:qFormat/>
    <w:rsid w:val="004B0768"/>
    <w:pPr>
      <w:keepNext/>
      <w:ind w:firstLine="709"/>
      <w:outlineLvl w:val="4"/>
    </w:pPr>
    <w:rPr>
      <w:sz w:val="28"/>
      <w:szCs w:val="2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4B0768"/>
    <w:rPr>
      <w:rFonts w:ascii="Times New Roman" w:eastAsia="Times New Roman" w:hAnsi="Times New Roman" w:cs="Times New Roman"/>
      <w:sz w:val="28"/>
      <w:szCs w:val="20"/>
      <w:lang w:val="en-US"/>
    </w:rPr>
  </w:style>
  <w:style w:type="paragraph" w:customStyle="1" w:styleId="naisf">
    <w:name w:val="naisf"/>
    <w:basedOn w:val="Normal"/>
    <w:rsid w:val="004B0768"/>
    <w:pPr>
      <w:spacing w:before="75" w:after="75"/>
      <w:ind w:firstLine="375"/>
      <w:jc w:val="both"/>
    </w:pPr>
  </w:style>
  <w:style w:type="paragraph" w:customStyle="1" w:styleId="naisnod">
    <w:name w:val="naisnod"/>
    <w:basedOn w:val="Normal"/>
    <w:rsid w:val="004B0768"/>
    <w:pPr>
      <w:spacing w:before="150" w:after="150"/>
      <w:jc w:val="center"/>
    </w:pPr>
    <w:rPr>
      <w:b/>
      <w:bCs/>
    </w:rPr>
  </w:style>
  <w:style w:type="paragraph" w:customStyle="1" w:styleId="naiskr">
    <w:name w:val="naiskr"/>
    <w:basedOn w:val="Normal"/>
    <w:rsid w:val="004B0768"/>
    <w:pPr>
      <w:spacing w:before="75" w:after="75"/>
    </w:pPr>
  </w:style>
  <w:style w:type="paragraph" w:styleId="FootnoteText">
    <w:name w:val="footnote text"/>
    <w:basedOn w:val="Normal"/>
    <w:link w:val="FootnoteTextChar"/>
    <w:semiHidden/>
    <w:rsid w:val="004B0768"/>
    <w:rPr>
      <w:sz w:val="20"/>
      <w:szCs w:val="20"/>
    </w:rPr>
  </w:style>
  <w:style w:type="character" w:customStyle="1" w:styleId="FootnoteTextChar">
    <w:name w:val="Footnote Text Char"/>
    <w:link w:val="FootnoteText"/>
    <w:semiHidden/>
    <w:rsid w:val="004B0768"/>
    <w:rPr>
      <w:rFonts w:ascii="Times New Roman" w:eastAsia="Times New Roman" w:hAnsi="Times New Roman" w:cs="Times New Roman"/>
      <w:sz w:val="20"/>
      <w:szCs w:val="20"/>
      <w:lang w:eastAsia="lv-LV"/>
    </w:rPr>
  </w:style>
  <w:style w:type="paragraph" w:styleId="BodyTextIndent2">
    <w:name w:val="Body Text Indent 2"/>
    <w:basedOn w:val="Normal"/>
    <w:link w:val="BodyTextIndent2Char"/>
    <w:uiPriority w:val="99"/>
    <w:unhideWhenUsed/>
    <w:rsid w:val="004B0768"/>
    <w:pPr>
      <w:spacing w:after="120" w:line="480" w:lineRule="auto"/>
      <w:ind w:left="283"/>
    </w:pPr>
  </w:style>
  <w:style w:type="character" w:customStyle="1" w:styleId="BodyTextIndent2Char">
    <w:name w:val="Body Text Indent 2 Char"/>
    <w:link w:val="BodyTextIndent2"/>
    <w:uiPriority w:val="99"/>
    <w:rsid w:val="004B0768"/>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B0768"/>
    <w:pPr>
      <w:tabs>
        <w:tab w:val="center" w:pos="4153"/>
        <w:tab w:val="right" w:pos="8306"/>
      </w:tabs>
    </w:pPr>
  </w:style>
  <w:style w:type="character" w:customStyle="1" w:styleId="HeaderChar">
    <w:name w:val="Header Char"/>
    <w:link w:val="Header"/>
    <w:uiPriority w:val="99"/>
    <w:rsid w:val="004B076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B0768"/>
    <w:pPr>
      <w:tabs>
        <w:tab w:val="center" w:pos="4153"/>
        <w:tab w:val="right" w:pos="8306"/>
      </w:tabs>
    </w:pPr>
  </w:style>
  <w:style w:type="character" w:customStyle="1" w:styleId="FooterChar">
    <w:name w:val="Footer Char"/>
    <w:link w:val="Footer"/>
    <w:uiPriority w:val="99"/>
    <w:rsid w:val="004B0768"/>
    <w:rPr>
      <w:rFonts w:ascii="Times New Roman" w:eastAsia="Times New Roman" w:hAnsi="Times New Roman" w:cs="Times New Roman"/>
      <w:sz w:val="24"/>
      <w:szCs w:val="24"/>
      <w:lang w:eastAsia="lv-LV"/>
    </w:rPr>
  </w:style>
  <w:style w:type="paragraph" w:styleId="NoSpacing">
    <w:name w:val="No Spacing"/>
    <w:uiPriority w:val="1"/>
    <w:qFormat/>
    <w:rsid w:val="004B0768"/>
    <w:rPr>
      <w:rFonts w:ascii="Times New Roman" w:eastAsia="Times New Roman" w:hAnsi="Times New Roman"/>
      <w:lang w:eastAsia="en-US"/>
    </w:rPr>
  </w:style>
  <w:style w:type="paragraph" w:customStyle="1" w:styleId="naisc">
    <w:name w:val="naisc"/>
    <w:basedOn w:val="Normal"/>
    <w:rsid w:val="004B0768"/>
    <w:pPr>
      <w:spacing w:before="75" w:after="75"/>
      <w:jc w:val="center"/>
    </w:pPr>
  </w:style>
  <w:style w:type="character" w:styleId="Strong">
    <w:name w:val="Strong"/>
    <w:uiPriority w:val="22"/>
    <w:qFormat/>
    <w:rsid w:val="004B0768"/>
    <w:rPr>
      <w:b/>
      <w:bCs/>
    </w:rPr>
  </w:style>
  <w:style w:type="paragraph" w:styleId="BodyText">
    <w:name w:val="Body Text"/>
    <w:basedOn w:val="Normal"/>
    <w:link w:val="BodyTextChar"/>
    <w:uiPriority w:val="99"/>
    <w:semiHidden/>
    <w:unhideWhenUsed/>
    <w:rsid w:val="00403B08"/>
    <w:pPr>
      <w:spacing w:after="120"/>
    </w:pPr>
  </w:style>
  <w:style w:type="character" w:customStyle="1" w:styleId="BodyTextChar">
    <w:name w:val="Body Text Char"/>
    <w:link w:val="BodyText"/>
    <w:uiPriority w:val="99"/>
    <w:semiHidden/>
    <w:rsid w:val="00403B08"/>
    <w:rPr>
      <w:rFonts w:ascii="Times New Roman" w:eastAsia="Times New Roman" w:hAnsi="Times New Roman" w:cs="Times New Roman"/>
      <w:sz w:val="24"/>
      <w:szCs w:val="24"/>
      <w:lang w:eastAsia="lv-LV"/>
    </w:rPr>
  </w:style>
  <w:style w:type="paragraph" w:styleId="PlainText">
    <w:name w:val="Plain Text"/>
    <w:basedOn w:val="Normal"/>
    <w:link w:val="PlainTextChar"/>
    <w:rsid w:val="00A8351A"/>
    <w:rPr>
      <w:rFonts w:ascii="Courier New" w:hAnsi="Courier New" w:cs="Courier New"/>
      <w:sz w:val="20"/>
      <w:szCs w:val="20"/>
    </w:rPr>
  </w:style>
  <w:style w:type="character" w:customStyle="1" w:styleId="PlainTextChar">
    <w:name w:val="Plain Text Char"/>
    <w:link w:val="PlainText"/>
    <w:rsid w:val="00A8351A"/>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F91D09"/>
    <w:rPr>
      <w:rFonts w:ascii="Tahoma" w:hAnsi="Tahoma" w:cs="Tahoma"/>
      <w:sz w:val="16"/>
      <w:szCs w:val="16"/>
    </w:rPr>
  </w:style>
  <w:style w:type="character" w:customStyle="1" w:styleId="BalloonTextChar">
    <w:name w:val="Balloon Text Char"/>
    <w:link w:val="BalloonText"/>
    <w:uiPriority w:val="99"/>
    <w:semiHidden/>
    <w:rsid w:val="00F91D09"/>
    <w:rPr>
      <w:rFonts w:ascii="Tahoma" w:eastAsia="Times New Roman" w:hAnsi="Tahoma" w:cs="Tahoma"/>
      <w:sz w:val="16"/>
      <w:szCs w:val="16"/>
      <w:lang w:eastAsia="lv-LV"/>
    </w:rPr>
  </w:style>
  <w:style w:type="paragraph" w:customStyle="1" w:styleId="RakstzCharCharRakstzCharCharRakstz2">
    <w:name w:val="Rakstz. Char Char Rakstz. Char Char Rakstz.2"/>
    <w:basedOn w:val="Normal"/>
    <w:rsid w:val="009248A4"/>
    <w:pPr>
      <w:spacing w:after="160" w:line="240" w:lineRule="exact"/>
    </w:pPr>
    <w:rPr>
      <w:rFonts w:ascii="Tahoma" w:hAnsi="Tahoma" w:cs="Tahoma"/>
      <w:sz w:val="20"/>
      <w:szCs w:val="20"/>
      <w:lang w:val="en-US" w:eastAsia="en-US"/>
    </w:rPr>
  </w:style>
  <w:style w:type="character" w:customStyle="1" w:styleId="spelle">
    <w:name w:val="spelle"/>
    <w:basedOn w:val="DefaultParagraphFont"/>
    <w:rsid w:val="005972B9"/>
  </w:style>
  <w:style w:type="paragraph" w:styleId="ListParagraph">
    <w:name w:val="List Paragraph"/>
    <w:basedOn w:val="Normal"/>
    <w:uiPriority w:val="34"/>
    <w:qFormat/>
    <w:rsid w:val="00E15284"/>
    <w:pPr>
      <w:ind w:left="720"/>
      <w:contextualSpacing/>
    </w:pPr>
  </w:style>
  <w:style w:type="paragraph" w:styleId="NormalWeb">
    <w:name w:val="Normal (Web)"/>
    <w:basedOn w:val="Normal"/>
    <w:rsid w:val="001E40A5"/>
    <w:pPr>
      <w:spacing w:before="100" w:beforeAutospacing="1" w:after="100" w:afterAutospacing="1"/>
    </w:pPr>
  </w:style>
  <w:style w:type="paragraph" w:customStyle="1" w:styleId="tv2068792">
    <w:name w:val="tv206_87_92"/>
    <w:basedOn w:val="Normal"/>
    <w:rsid w:val="00C518A2"/>
    <w:pPr>
      <w:spacing w:before="100" w:beforeAutospacing="1" w:after="100" w:afterAutospacing="1"/>
    </w:pPr>
  </w:style>
  <w:style w:type="paragraph" w:customStyle="1" w:styleId="tv2078792">
    <w:name w:val="tv207_87_92"/>
    <w:basedOn w:val="Normal"/>
    <w:rsid w:val="00C518A2"/>
    <w:pPr>
      <w:spacing w:before="100" w:beforeAutospacing="1" w:after="100" w:afterAutospacing="1"/>
    </w:pPr>
  </w:style>
  <w:style w:type="character" w:customStyle="1" w:styleId="c6">
    <w:name w:val="c6"/>
    <w:basedOn w:val="DefaultParagraphFont"/>
    <w:rsid w:val="001B1B92"/>
  </w:style>
  <w:style w:type="character" w:styleId="CommentReference">
    <w:name w:val="annotation reference"/>
    <w:uiPriority w:val="99"/>
    <w:semiHidden/>
    <w:unhideWhenUsed/>
    <w:rsid w:val="00CD0B58"/>
    <w:rPr>
      <w:sz w:val="16"/>
      <w:szCs w:val="16"/>
    </w:rPr>
  </w:style>
  <w:style w:type="paragraph" w:styleId="CommentText">
    <w:name w:val="annotation text"/>
    <w:basedOn w:val="Normal"/>
    <w:link w:val="CommentTextChar"/>
    <w:uiPriority w:val="99"/>
    <w:semiHidden/>
    <w:unhideWhenUsed/>
    <w:rsid w:val="00CD0B58"/>
    <w:rPr>
      <w:sz w:val="20"/>
      <w:szCs w:val="20"/>
    </w:rPr>
  </w:style>
  <w:style w:type="character" w:customStyle="1" w:styleId="CommentTextChar">
    <w:name w:val="Comment Text Char"/>
    <w:link w:val="CommentText"/>
    <w:uiPriority w:val="99"/>
    <w:semiHidden/>
    <w:rsid w:val="00CD0B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D0B58"/>
    <w:rPr>
      <w:b/>
      <w:bCs/>
    </w:rPr>
  </w:style>
  <w:style w:type="character" w:customStyle="1" w:styleId="CommentSubjectChar">
    <w:name w:val="Comment Subject Char"/>
    <w:link w:val="CommentSubject"/>
    <w:uiPriority w:val="99"/>
    <w:semiHidden/>
    <w:rsid w:val="00CD0B58"/>
    <w:rPr>
      <w:rFonts w:ascii="Times New Roman" w:eastAsia="Times New Roman" w:hAnsi="Times New Roman"/>
      <w:b/>
      <w:bCs/>
    </w:rPr>
  </w:style>
  <w:style w:type="paragraph" w:customStyle="1" w:styleId="tv20787921">
    <w:name w:val="tv207_87_921"/>
    <w:basedOn w:val="Normal"/>
    <w:rsid w:val="002A2E82"/>
    <w:pPr>
      <w:spacing w:after="567" w:line="360" w:lineRule="auto"/>
      <w:jc w:val="center"/>
    </w:pPr>
    <w:rPr>
      <w:rFonts w:ascii="Verdana" w:hAnsi="Verdan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0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2603</Words>
  <Characters>1485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Noteikumi par valsts valodas zināšanu apjomu un valsts valodas prasmes pārbaudes kārtību profesionālo un amata pienākumu veikšanai, pastāvīgās uzturēšanās atļaujas saņemšanai un Eiropas Savienības pastāvīgā iedzīvotāja statusa iegūšanai un valsts nodevu p</vt:lpstr>
    </vt:vector>
  </TitlesOfParts>
  <Company>Valsts izglītības satura centrs</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7.jūlija noteikumos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dc:title>
  <dc:subject>Ministru kabineta noteikumu projekta anotācija</dc:subject>
  <dc:creator>Igors Buķis-Fleitmanis</dc:creator>
  <cp:keywords/>
  <dc:description>igors.bukis-fleitmanis@visc.gov.lv; 67503026</dc:description>
  <cp:lastModifiedBy>igorsbf</cp:lastModifiedBy>
  <cp:revision>29</cp:revision>
  <cp:lastPrinted>2013-06-03T07:28:00Z</cp:lastPrinted>
  <dcterms:created xsi:type="dcterms:W3CDTF">2013-06-07T06:57:00Z</dcterms:created>
  <dcterms:modified xsi:type="dcterms:W3CDTF">2013-07-25T10:41:00Z</dcterms:modified>
  <cp:category>tehniskais projekts</cp:category>
</cp:coreProperties>
</file>