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6F" w:rsidRDefault="000A0E6F" w:rsidP="00AD3269">
      <w:pPr>
        <w:pStyle w:val="naislab"/>
        <w:spacing w:before="0" w:after="0"/>
        <w:jc w:val="center"/>
        <w:outlineLvl w:val="0"/>
        <w:rPr>
          <w:b/>
        </w:rPr>
      </w:pPr>
    </w:p>
    <w:p w:rsidR="008C5649" w:rsidRPr="001848CA" w:rsidRDefault="000A0E6F" w:rsidP="001848CA">
      <w:pPr>
        <w:pStyle w:val="naislab"/>
        <w:spacing w:before="0" w:after="0"/>
        <w:jc w:val="center"/>
        <w:rPr>
          <w:b/>
        </w:rPr>
      </w:pPr>
      <w:r w:rsidRPr="001848CA">
        <w:rPr>
          <w:b/>
        </w:rPr>
        <w:t>Ministru kabineta noteikumu „</w:t>
      </w:r>
      <w:r w:rsidR="001848CA" w:rsidRPr="001848CA">
        <w:rPr>
          <w:b/>
        </w:rPr>
        <w:t>Kārtība, kādā izglītojamie tiek uzņemti vispārējās izglītības iestādēs un atskaitīti no tām, un obligātās prasības pārcelšanai uz nākamo klasi</w:t>
      </w:r>
      <w:r w:rsidRPr="001848CA">
        <w:rPr>
          <w:b/>
        </w:rPr>
        <w:t>”</w:t>
      </w:r>
      <w:r w:rsidR="00852042" w:rsidRPr="001848CA">
        <w:rPr>
          <w:b/>
        </w:rPr>
        <w:t xml:space="preserve"> projekta sākotnējā</w:t>
      </w:r>
      <w:r w:rsidR="002D3306" w:rsidRPr="001848CA">
        <w:rPr>
          <w:b/>
        </w:rPr>
        <w:t>s</w:t>
      </w:r>
      <w:r w:rsidR="00852042" w:rsidRPr="001848CA">
        <w:rPr>
          <w:b/>
        </w:rPr>
        <w:t xml:space="preserve"> ietekmes novērtējuma </w:t>
      </w:r>
      <w:smartTag w:uri="schemas-tilde-lv/tildestengine" w:element="veidnes">
        <w:smartTagPr>
          <w:attr w:name="id" w:val="-1"/>
          <w:attr w:name="baseform" w:val="ziņojums"/>
          <w:attr w:name="text" w:val="ziņojums"/>
        </w:smartTagPr>
        <w:r w:rsidR="00852042" w:rsidRPr="001848CA">
          <w:rPr>
            <w:b/>
          </w:rPr>
          <w:t>ziņojums</w:t>
        </w:r>
      </w:smartTag>
      <w:r w:rsidR="00852042" w:rsidRPr="001848CA">
        <w:rPr>
          <w:b/>
        </w:rPr>
        <w:t xml:space="preserve"> (anotācija)</w:t>
      </w:r>
    </w:p>
    <w:p w:rsidR="000A0E6F" w:rsidRPr="000A0E6F" w:rsidRDefault="000A0E6F" w:rsidP="00AD3269">
      <w:pPr>
        <w:pStyle w:val="naislab"/>
        <w:spacing w:before="0" w:after="0"/>
        <w:jc w:val="center"/>
        <w:outlineLvl w:val="0"/>
        <w:rPr>
          <w:b/>
        </w:rPr>
      </w:pPr>
    </w:p>
    <w:tbl>
      <w:tblPr>
        <w:tblpPr w:leftFromText="181" w:rightFromText="181" w:vertAnchor="text" w:horzAnchor="margin" w:tblpXSpec="center"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94"/>
        <w:gridCol w:w="2357"/>
        <w:gridCol w:w="6534"/>
      </w:tblGrid>
      <w:tr w:rsidR="00852042" w:rsidRPr="00315D40" w:rsidTr="00315D40">
        <w:tc>
          <w:tcPr>
            <w:tcW w:w="5000" w:type="pct"/>
            <w:gridSpan w:val="3"/>
            <w:vAlign w:val="center"/>
          </w:tcPr>
          <w:p w:rsidR="00852042" w:rsidRPr="00315D40" w:rsidRDefault="00852042" w:rsidP="00315D40">
            <w:pPr>
              <w:pStyle w:val="naisnod"/>
              <w:spacing w:before="0" w:after="0"/>
            </w:pPr>
            <w:r w:rsidRPr="00315D40">
              <w:t>I</w:t>
            </w:r>
            <w:r w:rsidR="000941C5" w:rsidRPr="00315D40">
              <w:t>.</w:t>
            </w:r>
            <w:r w:rsidRPr="00315D40">
              <w:t xml:space="preserve"> Tiesību akta </w:t>
            </w:r>
            <w:r w:rsidR="002E3FF4" w:rsidRPr="00315D40">
              <w:t xml:space="preserve">projekta </w:t>
            </w:r>
            <w:r w:rsidRPr="00315D40">
              <w:t>izstrādes nepieciešamība</w:t>
            </w:r>
          </w:p>
        </w:tc>
      </w:tr>
      <w:tr w:rsidR="00262E2B" w:rsidRPr="00315D40" w:rsidTr="00315D40">
        <w:trPr>
          <w:trHeight w:val="630"/>
        </w:trPr>
        <w:tc>
          <w:tcPr>
            <w:tcW w:w="105" w:type="pct"/>
          </w:tcPr>
          <w:p w:rsidR="00262E2B" w:rsidRPr="00315D40" w:rsidRDefault="00262E2B" w:rsidP="00315D40">
            <w:pPr>
              <w:pStyle w:val="naiskr"/>
              <w:spacing w:before="0" w:after="0"/>
            </w:pPr>
            <w:r w:rsidRPr="00315D40">
              <w:t>1.</w:t>
            </w:r>
          </w:p>
        </w:tc>
        <w:tc>
          <w:tcPr>
            <w:tcW w:w="1311" w:type="pct"/>
          </w:tcPr>
          <w:p w:rsidR="00262E2B" w:rsidRPr="00315D40" w:rsidRDefault="002D7F54" w:rsidP="00315D40">
            <w:pPr>
              <w:pStyle w:val="naiskr"/>
              <w:spacing w:before="0" w:after="0"/>
              <w:ind w:hanging="10"/>
            </w:pPr>
            <w:r w:rsidRPr="00315D40">
              <w:t>Pamatojums</w:t>
            </w:r>
          </w:p>
        </w:tc>
        <w:tc>
          <w:tcPr>
            <w:tcW w:w="3584" w:type="pct"/>
          </w:tcPr>
          <w:p w:rsidR="008531BA" w:rsidRPr="00315D40" w:rsidRDefault="00315D40" w:rsidP="00315D40">
            <w:pPr>
              <w:jc w:val="both"/>
            </w:pPr>
            <w:r>
              <w:t xml:space="preserve">Ministru kabineta noteikumu projekts </w:t>
            </w:r>
            <w:r w:rsidR="000A5CB6" w:rsidRPr="00394A3F">
              <w:t>„</w:t>
            </w:r>
            <w:r w:rsidR="000A5CB6" w:rsidRPr="000A30BD">
              <w:t>Kārtība, kādā izglītojamie tiek uzņemti vispārējās izglītības iestādēs un atskaitīti no tām, un obligātās prasības pārcelšanai uz nākamo klasi</w:t>
            </w:r>
            <w:r w:rsidR="000A5CB6">
              <w:t xml:space="preserve">” </w:t>
            </w:r>
            <w:r>
              <w:t>(turpmāk – noteikumu projekts) izstrādāts</w:t>
            </w:r>
            <w:r w:rsidRPr="00315D40">
              <w:t xml:space="preserve"> saskaņā ar</w:t>
            </w:r>
            <w:r>
              <w:t xml:space="preserve"> </w:t>
            </w:r>
            <w:r w:rsidRPr="00315D40">
              <w:t>Vispārējās izglītības likuma</w:t>
            </w:r>
            <w:r>
              <w:t xml:space="preserve"> </w:t>
            </w:r>
            <w:r w:rsidRPr="00315D40">
              <w:t>4.panta 18</w:t>
            </w:r>
            <w:r>
              <w:t>.punktu</w:t>
            </w:r>
            <w:r w:rsidR="008531BA">
              <w:t xml:space="preserve"> un Pārejas noteikumu 15.punktu.</w:t>
            </w:r>
          </w:p>
        </w:tc>
      </w:tr>
      <w:tr w:rsidR="00262E2B" w:rsidRPr="00315D40" w:rsidTr="00315D40">
        <w:trPr>
          <w:trHeight w:val="472"/>
        </w:trPr>
        <w:tc>
          <w:tcPr>
            <w:tcW w:w="105" w:type="pct"/>
          </w:tcPr>
          <w:p w:rsidR="00262E2B" w:rsidRPr="00315D40" w:rsidRDefault="00262E2B" w:rsidP="00315D40">
            <w:pPr>
              <w:pStyle w:val="naiskr"/>
              <w:spacing w:before="0" w:after="0"/>
            </w:pPr>
            <w:r w:rsidRPr="00315D40">
              <w:t>2.</w:t>
            </w:r>
          </w:p>
        </w:tc>
        <w:tc>
          <w:tcPr>
            <w:tcW w:w="1311" w:type="pct"/>
          </w:tcPr>
          <w:p w:rsidR="00262E2B" w:rsidRPr="00315D40" w:rsidRDefault="00262E2B" w:rsidP="00315D40">
            <w:pPr>
              <w:pStyle w:val="naiskr"/>
              <w:tabs>
                <w:tab w:val="left" w:pos="170"/>
              </w:tabs>
              <w:spacing w:before="0" w:after="0"/>
            </w:pPr>
            <w:r w:rsidRPr="00315D40">
              <w:t>Pašreizējā situācija</w:t>
            </w:r>
            <w:r w:rsidR="001F5CD6" w:rsidRPr="00315D40">
              <w:t xml:space="preserve"> un problēmas</w:t>
            </w:r>
          </w:p>
        </w:tc>
        <w:tc>
          <w:tcPr>
            <w:tcW w:w="3584" w:type="pct"/>
          </w:tcPr>
          <w:p w:rsidR="00C06752" w:rsidRPr="00F53432" w:rsidRDefault="009D28EC" w:rsidP="00C06752">
            <w:pPr>
              <w:jc w:val="both"/>
            </w:pPr>
            <w:r>
              <w:t xml:space="preserve">Vispārējās izglītības likuma Pārejas noteikumu 15.punktā noteikts, ka </w:t>
            </w:r>
            <w:r w:rsidRPr="009D28EC">
              <w:t>Ministru kabinets līdz 2011.gada 31.decembrim izdod šā likuma 4.panta 18.</w:t>
            </w:r>
            <w:r w:rsidRPr="008531BA">
              <w:t>punktā</w:t>
            </w:r>
            <w:r w:rsidR="008531BA">
              <w:t xml:space="preserve"> paredzētos noteikumus.</w:t>
            </w:r>
            <w:r w:rsidR="008531BA" w:rsidRPr="008531BA">
              <w:t xml:space="preserve"> </w:t>
            </w:r>
            <w:r w:rsidRPr="008531BA">
              <w:t>Līdz</w:t>
            </w:r>
            <w:r w:rsidRPr="009D28EC">
              <w:t xml:space="preserve"> šo noteikumu spēkā stāšanās dienai, bet ne ilgāk kā līdz 2011.gada 31.decembrim</w:t>
            </w:r>
            <w:r w:rsidR="007D08ED">
              <w:t>,</w:t>
            </w:r>
            <w:r w:rsidRPr="009D28EC">
              <w:t xml:space="preserve"> piemērojami Ministru kabineta 2005.ga</w:t>
            </w:r>
            <w:r w:rsidR="00C06752">
              <w:t>da 1.novembra noteikumi Nr.822 „</w:t>
            </w:r>
            <w:r w:rsidRPr="009D28EC">
              <w:t>Noteikumi par obligātajām prasībām izglītojamo uzņemšanai un pārcelšanai nākamajā klasē vispārējās izglītības iestādēs (izņemot internātskolas un speciālās izglītības iestādes)”</w:t>
            </w:r>
            <w:r w:rsidR="00A15B39">
              <w:t xml:space="preserve"> (turpmāk – MK noteikumi Nr.822)</w:t>
            </w:r>
            <w:r w:rsidRPr="009D28EC">
              <w:t>.</w:t>
            </w:r>
            <w:r>
              <w:t xml:space="preserve"> </w:t>
            </w:r>
          </w:p>
          <w:p w:rsidR="00C06752" w:rsidRDefault="000A5CB6" w:rsidP="000A5CB6">
            <w:pPr>
              <w:pStyle w:val="ListParagraph"/>
              <w:ind w:left="0"/>
              <w:jc w:val="both"/>
              <w:rPr>
                <w:bCs/>
              </w:rPr>
            </w:pPr>
            <w:r>
              <w:t xml:space="preserve">     MK </w:t>
            </w:r>
            <w:r w:rsidR="00F552E1">
              <w:t>noteikumu Nr.822 nosaukums rad</w:t>
            </w:r>
            <w:r>
              <w:t>a</w:t>
            </w:r>
            <w:r w:rsidR="00C06752">
              <w:t xml:space="preserve"> pārpratumus, ka </w:t>
            </w:r>
            <w:r w:rsidR="00633598">
              <w:t xml:space="preserve"> nosacījumi </w:t>
            </w:r>
            <w:r w:rsidR="00C06752">
              <w:t>pā</w:t>
            </w:r>
            <w:r w:rsidR="00633598">
              <w:t>rcelšanai</w:t>
            </w:r>
            <w:r>
              <w:t xml:space="preserve"> uz nākamo klasi </w:t>
            </w:r>
            <w:r w:rsidR="00C06752">
              <w:t>varētu neattiekties uz internātskolām u</w:t>
            </w:r>
            <w:r w:rsidR="008531BA">
              <w:t xml:space="preserve">n speciālās izglītības iestādēm. </w:t>
            </w:r>
            <w:r>
              <w:t>Uz š</w:t>
            </w:r>
            <w:r w:rsidR="008531BA">
              <w:t xml:space="preserve">īm </w:t>
            </w:r>
            <w:r>
              <w:t xml:space="preserve">izglītības </w:t>
            </w:r>
            <w:r w:rsidR="008531BA">
              <w:t>iestādēm</w:t>
            </w:r>
            <w:r w:rsidR="00C06752">
              <w:t xml:space="preserve"> </w:t>
            </w:r>
            <w:r>
              <w:t xml:space="preserve">neattiecas tikai </w:t>
            </w:r>
            <w:r w:rsidR="00470FC4">
              <w:t xml:space="preserve">izglītojamo </w:t>
            </w:r>
            <w:r>
              <w:t>uzņemšanas un atska</w:t>
            </w:r>
            <w:r w:rsidR="00470FC4">
              <w:t>i</w:t>
            </w:r>
            <w:r>
              <w:t xml:space="preserve">tīšanas kārtība, jo tām </w:t>
            </w:r>
            <w:r w:rsidR="00C06752">
              <w:t>ir saistoši Ministru kabineta 2010.gada 31.augusta noteikumi Nr.820 „</w:t>
            </w:r>
            <w:r w:rsidR="00C06752" w:rsidRPr="00F53432">
              <w:rPr>
                <w:bCs/>
              </w:rPr>
              <w:t>Kārtība, kādā izglītojamo uzņem internātskolā, speciālajā izglītības iestādē un speciālajā pirmsskolas izglītības grupā, kā arī atskaita no speciālās izglītības iestādes un speciālās pirmsskolas izglītības grupas</w:t>
            </w:r>
            <w:r w:rsidR="00C06752">
              <w:rPr>
                <w:bCs/>
              </w:rPr>
              <w:t>”.</w:t>
            </w:r>
          </w:p>
          <w:p w:rsidR="001F0A54" w:rsidRDefault="001F0A54" w:rsidP="001F0A54">
            <w:pPr>
              <w:jc w:val="both"/>
            </w:pPr>
            <w:r>
              <w:rPr>
                <w:bCs/>
              </w:rPr>
              <w:t xml:space="preserve">     </w:t>
            </w:r>
            <w:r w:rsidR="002749A6">
              <w:t>MK noteikumos Nr.822 ir</w:t>
            </w:r>
            <w:r>
              <w:t xml:space="preserve"> nodalītas trīs atsevišķas nodaļas</w:t>
            </w:r>
            <w:r w:rsidR="002749A6">
              <w:t>:</w:t>
            </w:r>
            <w:r>
              <w:t xml:space="preserve"> par </w:t>
            </w:r>
            <w:r w:rsidR="002749A6">
              <w:t>uzņemšanu,</w:t>
            </w:r>
            <w:r>
              <w:t xml:space="preserve"> par uzņemšanu 1.klasē un par uzņemšanu 10.-12.klasē. Šāds dalījums apgrūtina noteikumu normu viennozīmīgu izpratni, punktus, kas attiecas uz vienu regulējamo jautājumu nepieciešams apvienot vienā nodaļā.</w:t>
            </w:r>
          </w:p>
          <w:p w:rsidR="0047484B" w:rsidRPr="00F874D9" w:rsidRDefault="0047484B" w:rsidP="0047484B">
            <w:pPr>
              <w:jc w:val="both"/>
            </w:pPr>
            <w:r>
              <w:t xml:space="preserve">    N</w:t>
            </w:r>
            <w:r w:rsidRPr="00196E4D">
              <w:t>ormatīvā akta projektā neietver normas, kas dublē augstāka vai tāda paša spēka normatīvā akta tiesību normā</w:t>
            </w:r>
            <w:r w:rsidR="007D08ED">
              <w:t>s ietverto normatīvo regulējumu.</w:t>
            </w:r>
            <w:r>
              <w:t xml:space="preserve"> MK noteikumu Nr.822 13.punktā noteiktā skolēna apliecības noformēšana dublē Ministru kabineta 2005.gada 18.oktobra noteikumu Nr.779 „</w:t>
            </w:r>
            <w:r w:rsidRPr="00F874D9">
              <w:rPr>
                <w:bCs/>
              </w:rPr>
              <w:t>Noteikumi par vispārējās izglītības iestāžu pedagoģiskā procesa organizēšanai nepieciešamo obligāto dokumentāciju</w:t>
            </w:r>
            <w:r>
              <w:rPr>
                <w:bCs/>
              </w:rPr>
              <w:t>” 3.12.apakšpunktā noteikto.</w:t>
            </w:r>
            <w:r w:rsidR="00640E07">
              <w:rPr>
                <w:bCs/>
              </w:rPr>
              <w:t xml:space="preserve"> </w:t>
            </w:r>
            <w:r w:rsidR="00640E07">
              <w:t>MK noteikumu Nr.822 37.punktā noteiktais par mācību gada noslēguma pārbaudes darbiem neatbilst šo noteikumu kontekstam un dublē MK 2006.gada 19.decembra noteikumu Nr.1027 „</w:t>
            </w:r>
            <w:r w:rsidR="00640E07" w:rsidRPr="00FC3617">
              <w:rPr>
                <w:bCs/>
              </w:rPr>
              <w:t>Noteikumi par valsts standartu pamatizglītībā un pamatizglītības mācību priekšmetu standartiem</w:t>
            </w:r>
            <w:r w:rsidR="00640E07">
              <w:rPr>
                <w:bCs/>
              </w:rPr>
              <w:t xml:space="preserve">” V nodaļā </w:t>
            </w:r>
            <w:r w:rsidR="007D08ED">
              <w:rPr>
                <w:bCs/>
              </w:rPr>
              <w:t>„</w:t>
            </w:r>
            <w:r w:rsidR="007D08ED" w:rsidRPr="00B101BC">
              <w:rPr>
                <w:bCs/>
              </w:rPr>
              <w:t>Mācību sasniegumu vērtēšanas formas un metodiskie paņēmieni</w:t>
            </w:r>
            <w:r w:rsidR="007D08ED">
              <w:rPr>
                <w:bCs/>
              </w:rPr>
              <w:t xml:space="preserve">” </w:t>
            </w:r>
            <w:r w:rsidR="00640E07">
              <w:rPr>
                <w:bCs/>
              </w:rPr>
              <w:t>noteikto.</w:t>
            </w:r>
          </w:p>
          <w:p w:rsidR="002749A6" w:rsidRPr="00231664" w:rsidRDefault="002749A6" w:rsidP="001F0A54">
            <w:pPr>
              <w:jc w:val="both"/>
            </w:pPr>
            <w:r>
              <w:t xml:space="preserve">     Pieaugot iedzīvotāju mobilitātei, arvien biežāk darba vai citu apstākļu dēļ ģimenes kopā ar bērniem noteiktu laiku pavada ārvalstīs. Skolēnam atgriežot</w:t>
            </w:r>
            <w:r w:rsidRPr="002749A6">
              <w:t>ie</w:t>
            </w:r>
            <w:r>
              <w:t>s no mācībām citā valstī un vēlotie</w:t>
            </w:r>
            <w:r w:rsidRPr="002749A6">
              <w:t xml:space="preserve">s </w:t>
            </w:r>
            <w:r w:rsidRPr="002749A6">
              <w:lastRenderedPageBreak/>
              <w:t>turpināt mācības Latvijas izglītības iestādē</w:t>
            </w:r>
            <w:r>
              <w:t>, normatīvais regulējums pašlaik nav pietiekams. Izglītības iestādes</w:t>
            </w:r>
            <w:r w:rsidR="0060511C">
              <w:t xml:space="preserve"> atsevišķos gadījumos</w:t>
            </w:r>
            <w:r>
              <w:t xml:space="preserve">, </w:t>
            </w:r>
            <w:r w:rsidR="0060511C">
              <w:t xml:space="preserve">baidoties par izglītības programmu atšķirībām, cenšas šos skolēnus drīzāk „atstāt uz otru gadu” tajā pašā klasē tā vietā, lai ieplānotu viņiem atbalsta pasākumus sekmīgai izglītības turpināšanai kopā ar vienaudžiem. Pašlaik lēmumu faktiski var pieņemt </w:t>
            </w:r>
            <w:r w:rsidR="0069129D">
              <w:t xml:space="preserve">izglītības iestādes </w:t>
            </w:r>
            <w:r w:rsidR="0060511C">
              <w:t>direktors vienpersoniski.</w:t>
            </w:r>
          </w:p>
          <w:p w:rsidR="00835563" w:rsidRDefault="00A15B39" w:rsidP="00707674">
            <w:pPr>
              <w:jc w:val="both"/>
              <w:rPr>
                <w:color w:val="000000"/>
              </w:rPr>
            </w:pPr>
            <w:r>
              <w:t xml:space="preserve">     </w:t>
            </w:r>
            <w:r w:rsidR="00717B58">
              <w:t>Attiecībā uz  obligātajām prasībām pārcelšanai uz nākamo klasi vai atstāšanu uz otru gadu tajā pašā klasē</w:t>
            </w:r>
            <w:r w:rsidR="00717B58" w:rsidRPr="009B3B54">
              <w:t xml:space="preserve"> </w:t>
            </w:r>
            <w:r w:rsidR="009B3B54" w:rsidRPr="00717B58">
              <w:rPr>
                <w:i/>
              </w:rPr>
              <w:t xml:space="preserve">Starptautiskās skolēnu novērtēšanas programmas </w:t>
            </w:r>
            <w:r w:rsidR="009B3B54" w:rsidRPr="009B3B54">
              <w:rPr>
                <w:i/>
              </w:rPr>
              <w:t>(PISA</w:t>
            </w:r>
            <w:r w:rsidR="009B3B54">
              <w:rPr>
                <w:i/>
              </w:rPr>
              <w:t xml:space="preserve"> 2009</w:t>
            </w:r>
            <w:r w:rsidR="009B3B54" w:rsidRPr="009B3B54">
              <w:rPr>
                <w:i/>
              </w:rPr>
              <w:t xml:space="preserve"> – </w:t>
            </w:r>
            <w:proofErr w:type="spellStart"/>
            <w:r w:rsidR="009B3B54" w:rsidRPr="000A5CB6">
              <w:rPr>
                <w:i/>
              </w:rPr>
              <w:t>The</w:t>
            </w:r>
            <w:proofErr w:type="spellEnd"/>
            <w:r w:rsidR="009B3B54" w:rsidRPr="000A5CB6">
              <w:rPr>
                <w:i/>
              </w:rPr>
              <w:t xml:space="preserve"> </w:t>
            </w:r>
            <w:proofErr w:type="spellStart"/>
            <w:r w:rsidR="009B3B54" w:rsidRPr="000A5CB6">
              <w:rPr>
                <w:i/>
              </w:rPr>
              <w:t>Programme</w:t>
            </w:r>
            <w:proofErr w:type="spellEnd"/>
            <w:r w:rsidR="009B3B54" w:rsidRPr="000A5CB6">
              <w:rPr>
                <w:i/>
              </w:rPr>
              <w:t xml:space="preserve"> </w:t>
            </w:r>
            <w:proofErr w:type="spellStart"/>
            <w:r w:rsidR="009B3B54" w:rsidRPr="000A5CB6">
              <w:rPr>
                <w:i/>
              </w:rPr>
              <w:t>for</w:t>
            </w:r>
            <w:proofErr w:type="spellEnd"/>
            <w:r w:rsidR="009B3B54" w:rsidRPr="000A5CB6">
              <w:rPr>
                <w:i/>
              </w:rPr>
              <w:t xml:space="preserve"> </w:t>
            </w:r>
            <w:proofErr w:type="spellStart"/>
            <w:r w:rsidR="009B3B54" w:rsidRPr="000A5CB6">
              <w:rPr>
                <w:i/>
              </w:rPr>
              <w:t>International</w:t>
            </w:r>
            <w:proofErr w:type="spellEnd"/>
            <w:r w:rsidR="009B3B54" w:rsidRPr="000A5CB6">
              <w:rPr>
                <w:i/>
              </w:rPr>
              <w:t xml:space="preserve"> Student </w:t>
            </w:r>
            <w:proofErr w:type="spellStart"/>
            <w:r w:rsidR="009B3B54" w:rsidRPr="000A5CB6">
              <w:rPr>
                <w:i/>
              </w:rPr>
              <w:t>Assessment</w:t>
            </w:r>
            <w:proofErr w:type="spellEnd"/>
            <w:r w:rsidR="009B3B54" w:rsidRPr="009B3B54">
              <w:rPr>
                <w:i/>
              </w:rPr>
              <w:t>)</w:t>
            </w:r>
            <w:r w:rsidR="009B3B54" w:rsidRPr="009B3B54">
              <w:t xml:space="preserve"> rezultāti liecina, ka </w:t>
            </w:r>
            <w:r>
              <w:t>„</w:t>
            </w:r>
            <w:r w:rsidR="009B3B54" w:rsidRPr="009D2F73">
              <w:t xml:space="preserve">relatīvi daudz otrgadnieku valstij var dārgi izmaksāt; valstīs, kur otrgadnieku ir vairāk, </w:t>
            </w:r>
            <w:r w:rsidR="000F7D67" w:rsidRPr="009D2F73">
              <w:t>pastāv tendence, ka skolēnu vidējie sasniegumi ir zemāki un sociālajam fonam ir lielāka ietekme uz skolēnu sasniegumiem nekā valstīs, kur otrgadnieku ir mazāk</w:t>
            </w:r>
            <w:r>
              <w:t>”</w:t>
            </w:r>
            <w:r w:rsidR="000F7D67">
              <w:t xml:space="preserve">. </w:t>
            </w:r>
            <w:r>
              <w:t>Latvijā</w:t>
            </w:r>
            <w:r w:rsidR="00E66D31">
              <w:t xml:space="preserve"> </w:t>
            </w:r>
            <w:r w:rsidR="0069129D">
              <w:t xml:space="preserve">pēc </w:t>
            </w:r>
            <w:r w:rsidR="0069129D" w:rsidRPr="0069129D">
              <w:rPr>
                <w:i/>
              </w:rPr>
              <w:t>PISA 2009</w:t>
            </w:r>
            <w:r w:rsidR="0069129D">
              <w:t xml:space="preserve"> rezultātiem ir </w:t>
            </w:r>
            <w:r w:rsidR="00E66D31">
              <w:t>1</w:t>
            </w:r>
            <w:r>
              <w:t>1,1% otrgadnieku</w:t>
            </w:r>
            <w:r w:rsidR="0069129D">
              <w:t>, kas</w:t>
            </w:r>
            <w:r>
              <w:t xml:space="preserve"> ir nedaudz labāk nekā OECD valstīs vidēji</w:t>
            </w:r>
            <w:r w:rsidR="00E66D31">
              <w:t xml:space="preserve"> </w:t>
            </w:r>
            <w:r w:rsidR="007171E6">
              <w:t>(</w:t>
            </w:r>
            <w:r w:rsidR="00E66D31">
              <w:t>13,0%</w:t>
            </w:r>
            <w:r w:rsidR="00C60942">
              <w:t>)</w:t>
            </w:r>
            <w:r w:rsidR="00E66D31">
              <w:t xml:space="preserve">, tomēr Latvijā ir 2 līdz 4 reizes vairāk otrgadnieku nekā Igaunijā (5,6%), Lietuvā (3,9%), Somijā (2,8%). </w:t>
            </w:r>
            <w:r w:rsidR="00CA3242" w:rsidRPr="00F05956">
              <w:rPr>
                <w:color w:val="000000"/>
              </w:rPr>
              <w:t xml:space="preserve"> </w:t>
            </w:r>
          </w:p>
          <w:p w:rsidR="009B3B54" w:rsidRDefault="00835563" w:rsidP="00707674">
            <w:pPr>
              <w:jc w:val="both"/>
              <w:rPr>
                <w:color w:val="000000"/>
              </w:rPr>
            </w:pPr>
            <w:r>
              <w:rPr>
                <w:color w:val="000000"/>
              </w:rPr>
              <w:t xml:space="preserve">     </w:t>
            </w:r>
            <w:r w:rsidR="007171E6">
              <w:rPr>
                <w:color w:val="000000"/>
              </w:rPr>
              <w:t>K</w:t>
            </w:r>
            <w:r w:rsidR="00CA3242">
              <w:rPr>
                <w:color w:val="000000"/>
              </w:rPr>
              <w:t>valitatīva</w:t>
            </w:r>
            <w:r w:rsidR="00CA3242" w:rsidRPr="00F05956">
              <w:rPr>
                <w:color w:val="000000"/>
              </w:rPr>
              <w:t xml:space="preserve"> </w:t>
            </w:r>
            <w:r w:rsidR="00CA3242">
              <w:rPr>
                <w:color w:val="000000"/>
              </w:rPr>
              <w:t>izglītība ir ne tikai labi statistiski vidējie rādītāji par skolēnu sasniegumiem.</w:t>
            </w:r>
            <w:r w:rsidR="0069129D">
              <w:rPr>
                <w:color w:val="000000"/>
              </w:rPr>
              <w:t xml:space="preserve"> Laba izglītība nozīmē</w:t>
            </w:r>
            <w:r w:rsidR="00CA3242">
              <w:rPr>
                <w:color w:val="000000"/>
              </w:rPr>
              <w:t xml:space="preserve">, ka visiem skolēniem, neatkarīgi no viņu dotībām, ģimenes sociāli-ekonomiskā stāvokļa, dzimtās </w:t>
            </w:r>
            <w:r w:rsidR="009D2F73">
              <w:rPr>
                <w:color w:val="000000"/>
              </w:rPr>
              <w:t>valodas vai citām pazīmēm, būtu</w:t>
            </w:r>
            <w:r w:rsidR="00CA3242">
              <w:rPr>
                <w:color w:val="000000"/>
              </w:rPr>
              <w:t xml:space="preserve"> jāgūst panākumus</w:t>
            </w:r>
            <w:r w:rsidR="00CA3242" w:rsidRPr="00D5462A">
              <w:rPr>
                <w:color w:val="000000"/>
              </w:rPr>
              <w:t xml:space="preserve"> </w:t>
            </w:r>
            <w:r w:rsidR="00CA3242">
              <w:rPr>
                <w:color w:val="000000"/>
              </w:rPr>
              <w:t>skolā</w:t>
            </w:r>
            <w:r w:rsidR="009D2F73">
              <w:rPr>
                <w:color w:val="000000"/>
              </w:rPr>
              <w:t xml:space="preserve"> un jāspēj apgūt valsts vispārējās izglītības standartos noteiktās prasības</w:t>
            </w:r>
            <w:r w:rsidR="0069129D">
              <w:rPr>
                <w:color w:val="000000"/>
              </w:rPr>
              <w:t>.</w:t>
            </w:r>
            <w:r w:rsidR="009D2F73">
              <w:rPr>
                <w:color w:val="000000"/>
              </w:rPr>
              <w:t xml:space="preserve"> Izglītības sistēmai sasniegt šādu ideālu </w:t>
            </w:r>
            <w:r w:rsidR="00CA3242">
              <w:rPr>
                <w:color w:val="000000"/>
              </w:rPr>
              <w:t>ir sarežģīti</w:t>
            </w:r>
            <w:r w:rsidR="009D2F73">
              <w:rPr>
                <w:color w:val="000000"/>
              </w:rPr>
              <w:t>, jo izgl</w:t>
            </w:r>
            <w:r w:rsidR="008440C9">
              <w:rPr>
                <w:color w:val="000000"/>
              </w:rPr>
              <w:t>ītojamie</w:t>
            </w:r>
            <w:r w:rsidR="009D2F73">
              <w:rPr>
                <w:color w:val="000000"/>
              </w:rPr>
              <w:t xml:space="preserve"> ir ļoti dažādi</w:t>
            </w:r>
            <w:r w:rsidR="00CA3242">
              <w:rPr>
                <w:color w:val="000000"/>
              </w:rPr>
              <w:t xml:space="preserve">. Skolēni, kuriem iemācīšanās prasa vairāk laika vai kuriem ir kādas citas grūtības mācīšanās procesā, </w:t>
            </w:r>
            <w:r w:rsidR="009C099D">
              <w:rPr>
                <w:color w:val="000000"/>
              </w:rPr>
              <w:t xml:space="preserve">bieži ir spiesti atkārtot </w:t>
            </w:r>
            <w:r w:rsidR="0069129D">
              <w:rPr>
                <w:color w:val="000000"/>
              </w:rPr>
              <w:t xml:space="preserve">visu </w:t>
            </w:r>
            <w:r w:rsidR="009C099D">
              <w:rPr>
                <w:color w:val="000000"/>
              </w:rPr>
              <w:t>mācību</w:t>
            </w:r>
            <w:r w:rsidR="00A0301C">
              <w:rPr>
                <w:color w:val="000000"/>
              </w:rPr>
              <w:t xml:space="preserve"> gadu</w:t>
            </w:r>
            <w:r w:rsidR="001D7398">
              <w:rPr>
                <w:color w:val="000000"/>
              </w:rPr>
              <w:t xml:space="preserve"> vēlreiz</w:t>
            </w:r>
            <w:r w:rsidR="00A0301C">
              <w:rPr>
                <w:color w:val="000000"/>
              </w:rPr>
              <w:t xml:space="preserve"> tā vietā, lai viņiem</w:t>
            </w:r>
            <w:r w:rsidR="00CA3242">
              <w:rPr>
                <w:color w:val="000000"/>
              </w:rPr>
              <w:t xml:space="preserve"> palīdzētu progresēt kopā ar saviem vienaudžiem.</w:t>
            </w:r>
            <w:r w:rsidR="0069129D">
              <w:rPr>
                <w:color w:val="000000"/>
              </w:rPr>
              <w:t xml:space="preserve"> Atstāšana uz otru gadu joprojām ir pie</w:t>
            </w:r>
            <w:r w:rsidR="00CA3242">
              <w:rPr>
                <w:color w:val="000000"/>
              </w:rPr>
              <w:t>rasta</w:t>
            </w:r>
            <w:r w:rsidR="0069129D">
              <w:rPr>
                <w:color w:val="000000"/>
              </w:rPr>
              <w:t xml:space="preserve"> prakse daudzās Eiropas valstīs, bet Somija un citas z</w:t>
            </w:r>
            <w:r w:rsidR="00CA3242">
              <w:rPr>
                <w:color w:val="000000"/>
              </w:rPr>
              <w:t>iemeļvalstis atteicās no š</w:t>
            </w:r>
            <w:r w:rsidR="009C099D">
              <w:rPr>
                <w:color w:val="000000"/>
              </w:rPr>
              <w:t xml:space="preserve">īs prakses jau ap 1970.gadu, </w:t>
            </w:r>
            <w:r w:rsidR="0069129D">
              <w:rPr>
                <w:color w:val="000000"/>
              </w:rPr>
              <w:t xml:space="preserve">un </w:t>
            </w:r>
            <w:r w:rsidR="007171E6">
              <w:rPr>
                <w:color w:val="000000"/>
              </w:rPr>
              <w:t xml:space="preserve">tur pašlaik </w:t>
            </w:r>
            <w:r w:rsidR="0069129D">
              <w:rPr>
                <w:color w:val="000000"/>
              </w:rPr>
              <w:t xml:space="preserve">ir </w:t>
            </w:r>
            <w:r w:rsidR="009C099D">
              <w:rPr>
                <w:color w:val="000000"/>
              </w:rPr>
              <w:t>tikai ap 2% skolēnu, kuri</w:t>
            </w:r>
            <w:r w:rsidR="008440C9">
              <w:rPr>
                <w:color w:val="000000"/>
              </w:rPr>
              <w:t>,</w:t>
            </w:r>
            <w:r w:rsidR="009C099D">
              <w:rPr>
                <w:color w:val="000000"/>
              </w:rPr>
              <w:t xml:space="preserve"> beidz</w:t>
            </w:r>
            <w:r w:rsidR="008440C9">
              <w:rPr>
                <w:color w:val="000000"/>
              </w:rPr>
              <w:t>ot</w:t>
            </w:r>
            <w:r w:rsidR="009C099D">
              <w:rPr>
                <w:color w:val="000000"/>
              </w:rPr>
              <w:t xml:space="preserve"> 9.klasi, ir kā</w:t>
            </w:r>
            <w:r w:rsidR="0069129D">
              <w:rPr>
                <w:color w:val="000000"/>
              </w:rPr>
              <w:t>dreiz palikuši uz otru gadu. Tikmēr</w:t>
            </w:r>
            <w:r w:rsidR="009C099D">
              <w:rPr>
                <w:color w:val="000000"/>
              </w:rPr>
              <w:t xml:space="preserve"> citur Eiropā </w:t>
            </w:r>
            <w:r w:rsidR="0069129D">
              <w:rPr>
                <w:color w:val="000000"/>
              </w:rPr>
              <w:t xml:space="preserve">šādu </w:t>
            </w:r>
            <w:r w:rsidR="009C099D">
              <w:rPr>
                <w:color w:val="000000"/>
              </w:rPr>
              <w:t>otrgadnieku skaits sasniedz pat 40% Francijā, ap 30% Beļģijā, Nīderlandē un Spānijā, ap 25% Vācijā un Šveicē.</w:t>
            </w:r>
            <w:r w:rsidR="00CA3242">
              <w:rPr>
                <w:color w:val="000000"/>
              </w:rPr>
              <w:t xml:space="preserve"> </w:t>
            </w:r>
            <w:r w:rsidR="0018516D">
              <w:rPr>
                <w:color w:val="000000"/>
              </w:rPr>
              <w:t>Skolotāji iespēju atstāt uz otru gadu</w:t>
            </w:r>
            <w:r w:rsidR="00716C93">
              <w:rPr>
                <w:color w:val="000000"/>
              </w:rPr>
              <w:t xml:space="preserve"> uztv</w:t>
            </w:r>
            <w:r w:rsidR="007135FF">
              <w:rPr>
                <w:color w:val="000000"/>
              </w:rPr>
              <w:t>er</w:t>
            </w:r>
            <w:r w:rsidR="00716C93">
              <w:rPr>
                <w:color w:val="000000"/>
              </w:rPr>
              <w:t xml:space="preserve"> kā ārēju motivāciju </w:t>
            </w:r>
            <w:r w:rsidR="007135FF">
              <w:rPr>
                <w:color w:val="000000"/>
              </w:rPr>
              <w:t xml:space="preserve">skolēniem </w:t>
            </w:r>
            <w:r w:rsidR="00716C93">
              <w:rPr>
                <w:color w:val="000000"/>
              </w:rPr>
              <w:t xml:space="preserve">mācīties, </w:t>
            </w:r>
            <w:r w:rsidR="0069129D">
              <w:rPr>
                <w:color w:val="000000"/>
              </w:rPr>
              <w:t xml:space="preserve">uzskatot, ka </w:t>
            </w:r>
            <w:r w:rsidR="00716C93">
              <w:rPr>
                <w:color w:val="000000"/>
              </w:rPr>
              <w:t xml:space="preserve">it īpaši zēniem bailes no palikšanas uz otru gadu palīdzot labāk koncentrēties mācībām. </w:t>
            </w:r>
            <w:r>
              <w:rPr>
                <w:color w:val="000000"/>
              </w:rPr>
              <w:t xml:space="preserve"> Rezultāts a</w:t>
            </w:r>
            <w:r w:rsidR="00716C93">
              <w:rPr>
                <w:color w:val="000000"/>
              </w:rPr>
              <w:t>tstāšanai uz otru gadu</w:t>
            </w:r>
            <w:r w:rsidR="0018516D">
              <w:rPr>
                <w:color w:val="000000"/>
              </w:rPr>
              <w:t xml:space="preserve">, ja </w:t>
            </w:r>
            <w:r w:rsidR="0069129D">
              <w:rPr>
                <w:color w:val="000000"/>
              </w:rPr>
              <w:t xml:space="preserve">pie tam </w:t>
            </w:r>
            <w:r w:rsidR="0018516D">
              <w:rPr>
                <w:color w:val="000000"/>
              </w:rPr>
              <w:t>nav</w:t>
            </w:r>
            <w:r w:rsidR="00716C93">
              <w:rPr>
                <w:color w:val="000000"/>
              </w:rPr>
              <w:t xml:space="preserve"> īpaša </w:t>
            </w:r>
            <w:r w:rsidR="007135FF">
              <w:rPr>
                <w:color w:val="000000"/>
              </w:rPr>
              <w:t xml:space="preserve">individuāla </w:t>
            </w:r>
            <w:r w:rsidR="00716C93">
              <w:rPr>
                <w:color w:val="000000"/>
              </w:rPr>
              <w:t>plāna mācību sasniegumu uzlabošanai</w:t>
            </w:r>
            <w:r w:rsidR="0018516D">
              <w:rPr>
                <w:color w:val="000000"/>
              </w:rPr>
              <w:t>,</w:t>
            </w:r>
            <w:r w:rsidR="00716C93">
              <w:rPr>
                <w:color w:val="000000"/>
              </w:rPr>
              <w:t xml:space="preserve"> ļoti reti ir sekmju uzlabošanās, drīzāk efekts ir pretējs</w:t>
            </w:r>
            <w:r>
              <w:rPr>
                <w:color w:val="000000"/>
              </w:rPr>
              <w:t xml:space="preserve"> un problēmu skolēnam rodas vairāk nekā bija</w:t>
            </w:r>
            <w:r w:rsidR="00716C93">
              <w:rPr>
                <w:color w:val="000000"/>
              </w:rPr>
              <w:t>. Reiz</w:t>
            </w:r>
            <w:r w:rsidR="007171E6">
              <w:rPr>
                <w:color w:val="000000"/>
              </w:rPr>
              <w:t>ēm</w:t>
            </w:r>
            <w:r>
              <w:rPr>
                <w:color w:val="000000"/>
              </w:rPr>
              <w:t xml:space="preserve"> iespēja atstāt skolēnu uz otru gadu</w:t>
            </w:r>
            <w:r w:rsidR="007171E6">
              <w:rPr>
                <w:color w:val="000000"/>
              </w:rPr>
              <w:t xml:space="preserve"> </w:t>
            </w:r>
            <w:r w:rsidR="008440C9">
              <w:rPr>
                <w:color w:val="000000"/>
              </w:rPr>
              <w:t>rada iespēju nepareizi</w:t>
            </w:r>
            <w:r w:rsidR="00716C93">
              <w:rPr>
                <w:color w:val="000000"/>
              </w:rPr>
              <w:t xml:space="preserve"> izmantot skolotāja autoritāti</w:t>
            </w:r>
            <w:r w:rsidR="007135FF">
              <w:rPr>
                <w:color w:val="000000"/>
              </w:rPr>
              <w:t xml:space="preserve">, kad skolotājs </w:t>
            </w:r>
            <w:r w:rsidR="0018516D">
              <w:rPr>
                <w:color w:val="000000"/>
              </w:rPr>
              <w:t xml:space="preserve">faktiski </w:t>
            </w:r>
            <w:r w:rsidR="007135FF">
              <w:rPr>
                <w:color w:val="000000"/>
              </w:rPr>
              <w:t>netiek galā ar kādām citām, piemēram, skolēna uzvedības problēmām</w:t>
            </w:r>
            <w:r w:rsidR="007171E6">
              <w:rPr>
                <w:color w:val="000000"/>
              </w:rPr>
              <w:t>.</w:t>
            </w:r>
            <w:r w:rsidR="0018516D">
              <w:rPr>
                <w:color w:val="000000"/>
              </w:rPr>
              <w:t xml:space="preserve"> P</w:t>
            </w:r>
            <w:r w:rsidR="00A6679F">
              <w:rPr>
                <w:color w:val="000000"/>
              </w:rPr>
              <w:t>ētījumi rāda, ka atstāšanai uz otru gadu (izņemot īpašus gadījumus, piemēram, ilgstošas slimošanas dēļ) ir daudz lielāka negat</w:t>
            </w:r>
            <w:r w:rsidR="007135FF">
              <w:rPr>
                <w:color w:val="000000"/>
              </w:rPr>
              <w:t>īvā</w:t>
            </w:r>
            <w:r w:rsidR="00A6679F">
              <w:rPr>
                <w:color w:val="000000"/>
              </w:rPr>
              <w:t xml:space="preserve"> ietekme uz skolēnu un tā rada daudz vairāk problēmu, nekā ir ieguvumu gan indivīdam, g</w:t>
            </w:r>
            <w:r w:rsidR="00F552E1">
              <w:rPr>
                <w:color w:val="000000"/>
              </w:rPr>
              <w:t>an sabiedrībai. J</w:t>
            </w:r>
            <w:r w:rsidR="00A6679F">
              <w:rPr>
                <w:color w:val="000000"/>
              </w:rPr>
              <w:t xml:space="preserve">a mācīšanās tiek organizēta atbilstoši skolēna dotībām un vajadzībām, tad katrs </w:t>
            </w:r>
            <w:r w:rsidR="00F552E1">
              <w:rPr>
                <w:color w:val="000000"/>
              </w:rPr>
              <w:t xml:space="preserve">bērns </w:t>
            </w:r>
            <w:r w:rsidR="00A6679F">
              <w:rPr>
                <w:color w:val="000000"/>
              </w:rPr>
              <w:t xml:space="preserve">var sasniegt </w:t>
            </w:r>
            <w:r w:rsidR="009247E1">
              <w:rPr>
                <w:color w:val="000000"/>
              </w:rPr>
              <w:t xml:space="preserve">valsts vispārējās izglītības </w:t>
            </w:r>
            <w:r w:rsidR="009247E1">
              <w:rPr>
                <w:color w:val="000000"/>
              </w:rPr>
              <w:lastRenderedPageBreak/>
              <w:t>standartos</w:t>
            </w:r>
            <w:r w:rsidR="00A6679F">
              <w:rPr>
                <w:color w:val="000000"/>
              </w:rPr>
              <w:t xml:space="preserve"> noteiktos mērķus.</w:t>
            </w:r>
            <w:r w:rsidR="00C60942">
              <w:rPr>
                <w:color w:val="000000"/>
              </w:rPr>
              <w:t xml:space="preserve"> Pedagogiem, vecākiem un izglītī</w:t>
            </w:r>
            <w:r w:rsidR="00F552E1">
              <w:rPr>
                <w:color w:val="000000"/>
              </w:rPr>
              <w:t>bas iestādēm ir nepieciešam</w:t>
            </w:r>
            <w:r w:rsidR="00C60942">
              <w:rPr>
                <w:color w:val="000000"/>
              </w:rPr>
              <w:t>s</w:t>
            </w:r>
            <w:r w:rsidR="00F552E1">
              <w:rPr>
                <w:color w:val="000000"/>
              </w:rPr>
              <w:t xml:space="preserve"> izstrādāt</w:t>
            </w:r>
            <w:r w:rsidR="00C60942">
              <w:rPr>
                <w:color w:val="000000"/>
              </w:rPr>
              <w:t xml:space="preserve"> alternatīvas stratēģijas, kā sniegt atbilstošu atbalstu, ja skolēnam rodas problēmas mācību proces</w:t>
            </w:r>
            <w:r w:rsidR="00F552E1">
              <w:rPr>
                <w:color w:val="000000"/>
              </w:rPr>
              <w:t>ā</w:t>
            </w:r>
            <w:r w:rsidR="007135FF">
              <w:rPr>
                <w:color w:val="000000"/>
              </w:rPr>
              <w:t>.</w:t>
            </w:r>
            <w:r w:rsidR="00C60942">
              <w:rPr>
                <w:color w:val="000000"/>
              </w:rPr>
              <w:t xml:space="preserve"> Ir nepieciešama sistemātiska </w:t>
            </w:r>
            <w:r w:rsidR="0018516D">
              <w:rPr>
                <w:color w:val="000000"/>
              </w:rPr>
              <w:t xml:space="preserve">katra </w:t>
            </w:r>
            <w:r w:rsidR="00C60942">
              <w:rPr>
                <w:color w:val="000000"/>
              </w:rPr>
              <w:t>skol</w:t>
            </w:r>
            <w:r w:rsidR="0018516D">
              <w:rPr>
                <w:color w:val="000000"/>
              </w:rPr>
              <w:t>ēna</w:t>
            </w:r>
            <w:r w:rsidR="00C60942">
              <w:rPr>
                <w:color w:val="000000"/>
              </w:rPr>
              <w:t xml:space="preserve"> </w:t>
            </w:r>
            <w:r w:rsidR="0018516D">
              <w:rPr>
                <w:color w:val="000000"/>
              </w:rPr>
              <w:t xml:space="preserve">mācību </w:t>
            </w:r>
            <w:r w:rsidR="00C60942">
              <w:rPr>
                <w:color w:val="000000"/>
              </w:rPr>
              <w:t xml:space="preserve">sasniegumu novērtēšana, agrīna iejaukšanās, ja parādās problēmas, it īpaši </w:t>
            </w:r>
            <w:r w:rsidR="0069129D">
              <w:rPr>
                <w:color w:val="000000"/>
              </w:rPr>
              <w:t xml:space="preserve"> iesaistot arī </w:t>
            </w:r>
            <w:r w:rsidR="00C60942">
              <w:rPr>
                <w:color w:val="000000"/>
              </w:rPr>
              <w:t>vecāku</w:t>
            </w:r>
            <w:r w:rsidR="0069129D">
              <w:rPr>
                <w:color w:val="000000"/>
              </w:rPr>
              <w:t>s</w:t>
            </w:r>
            <w:r w:rsidR="0018516D">
              <w:rPr>
                <w:color w:val="000000"/>
              </w:rPr>
              <w:t>, skolas atbalsta programmu īstenošana</w:t>
            </w:r>
            <w:r w:rsidR="00C60942">
              <w:rPr>
                <w:color w:val="000000"/>
              </w:rPr>
              <w:t>, pedagogu izglītošana darbam ar problemātiskajiem skolēniem un tml.</w:t>
            </w:r>
            <w:r>
              <w:rPr>
                <w:color w:val="000000"/>
              </w:rPr>
              <w:t xml:space="preserve"> Protams, ka nedrīkst pieļaut skolēnu automātisku pārcelšanu no klases uz klasi ar jebkuriem mācību (ne)sasniegumiem.</w:t>
            </w:r>
          </w:p>
          <w:p w:rsidR="007135FF" w:rsidRPr="00C0289F" w:rsidRDefault="00835563" w:rsidP="00707674">
            <w:pPr>
              <w:jc w:val="both"/>
              <w:rPr>
                <w:color w:val="000000"/>
              </w:rPr>
            </w:pPr>
            <w:r>
              <w:rPr>
                <w:color w:val="000000"/>
              </w:rPr>
              <w:t xml:space="preserve">     Pašlaik o</w:t>
            </w:r>
            <w:r w:rsidR="00C0289F" w:rsidRPr="00C0289F">
              <w:rPr>
                <w:bCs/>
                <w:color w:val="000000"/>
              </w:rPr>
              <w:t xml:space="preserve">trgadnieku un trešgadnieku skaits vispārizglītojošajās </w:t>
            </w:r>
            <w:r w:rsidR="00C0289F">
              <w:rPr>
                <w:bCs/>
                <w:color w:val="000000"/>
              </w:rPr>
              <w:t xml:space="preserve">dienas </w:t>
            </w:r>
            <w:r w:rsidR="00C0289F" w:rsidRPr="00C0289F">
              <w:rPr>
                <w:bCs/>
                <w:color w:val="000000"/>
              </w:rPr>
              <w:t>skolās (mācību gada sākumā)</w:t>
            </w:r>
            <w:r w:rsidR="00C0289F">
              <w:rPr>
                <w:bCs/>
                <w:color w:val="000000"/>
              </w:rPr>
              <w:t>:</w:t>
            </w:r>
          </w:p>
          <w:tbl>
            <w:tblPr>
              <w:tblW w:w="6106" w:type="dxa"/>
              <w:tblLook w:val="04A0"/>
            </w:tblPr>
            <w:tblGrid>
              <w:gridCol w:w="1940"/>
              <w:gridCol w:w="1440"/>
              <w:gridCol w:w="1363"/>
              <w:gridCol w:w="1363"/>
            </w:tblGrid>
            <w:tr w:rsidR="007135FF" w:rsidRPr="007135FF" w:rsidTr="00A14750">
              <w:trPr>
                <w:trHeight w:val="300"/>
              </w:trPr>
              <w:tc>
                <w:tcPr>
                  <w:tcW w:w="19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135FF" w:rsidRPr="007135FF" w:rsidRDefault="007135FF" w:rsidP="0060762A">
                  <w:pPr>
                    <w:framePr w:hSpace="181" w:wrap="around" w:vAnchor="text" w:hAnchor="margin" w:xAlign="center" w:y="148"/>
                    <w:jc w:val="center"/>
                    <w:rPr>
                      <w:b/>
                      <w:bCs/>
                      <w:color w:val="000000"/>
                      <w:sz w:val="22"/>
                      <w:szCs w:val="22"/>
                    </w:rPr>
                  </w:pPr>
                  <w:r w:rsidRPr="007135FF">
                    <w:rPr>
                      <w:b/>
                      <w:bCs/>
                      <w:color w:val="000000"/>
                      <w:sz w:val="22"/>
                      <w:szCs w:val="22"/>
                    </w:rPr>
                    <w:t>Otrgadnieki</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135FF" w:rsidRPr="007135FF" w:rsidRDefault="007135FF" w:rsidP="0060762A">
                  <w:pPr>
                    <w:framePr w:hSpace="181" w:wrap="around" w:vAnchor="text" w:hAnchor="margin" w:xAlign="center" w:y="148"/>
                    <w:jc w:val="center"/>
                    <w:rPr>
                      <w:sz w:val="22"/>
                      <w:szCs w:val="22"/>
                    </w:rPr>
                  </w:pPr>
                  <w:r w:rsidRPr="007135FF">
                    <w:rPr>
                      <w:sz w:val="22"/>
                      <w:szCs w:val="22"/>
                    </w:rPr>
                    <w:t>2008./2009.</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135FF" w:rsidRPr="007135FF" w:rsidRDefault="009247E1" w:rsidP="0060762A">
                  <w:pPr>
                    <w:framePr w:hSpace="181" w:wrap="around" w:vAnchor="text" w:hAnchor="margin" w:xAlign="center" w:y="148"/>
                    <w:jc w:val="center"/>
                    <w:rPr>
                      <w:sz w:val="22"/>
                      <w:szCs w:val="22"/>
                    </w:rPr>
                  </w:pPr>
                  <w:r>
                    <w:rPr>
                      <w:sz w:val="22"/>
                      <w:szCs w:val="22"/>
                    </w:rPr>
                    <w:t>2009./2010</w:t>
                  </w:r>
                  <w:r w:rsidR="007135FF" w:rsidRPr="007135FF">
                    <w:rPr>
                      <w:sz w:val="22"/>
                      <w:szCs w:val="22"/>
                    </w:rPr>
                    <w:t>.</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7135FF" w:rsidRPr="007135FF" w:rsidRDefault="007135FF" w:rsidP="0060762A">
                  <w:pPr>
                    <w:framePr w:hSpace="181" w:wrap="around" w:vAnchor="text" w:hAnchor="margin" w:xAlign="center" w:y="148"/>
                    <w:jc w:val="center"/>
                    <w:rPr>
                      <w:bCs/>
                      <w:sz w:val="22"/>
                      <w:szCs w:val="22"/>
                    </w:rPr>
                  </w:pPr>
                  <w:r w:rsidRPr="007135FF">
                    <w:rPr>
                      <w:bCs/>
                      <w:sz w:val="22"/>
                      <w:szCs w:val="22"/>
                    </w:rPr>
                    <w:t>2010./2011.</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7135FF" w:rsidRDefault="00A14750" w:rsidP="0060762A">
                  <w:pPr>
                    <w:framePr w:hSpace="181" w:wrap="around" w:vAnchor="text" w:hAnchor="margin" w:xAlign="center" w:y="148"/>
                    <w:jc w:val="center"/>
                    <w:rPr>
                      <w:b/>
                      <w:bCs/>
                      <w:color w:val="000000"/>
                      <w:sz w:val="22"/>
                      <w:szCs w:val="22"/>
                    </w:rPr>
                  </w:pPr>
                  <w:r w:rsidRPr="007135FF">
                    <w:rPr>
                      <w:b/>
                      <w:bCs/>
                      <w:color w:val="000000"/>
                      <w:sz w:val="22"/>
                      <w:szCs w:val="22"/>
                    </w:rPr>
                    <w:t>Kopā</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b/>
                      <w:bCs/>
                      <w:color w:val="000000"/>
                      <w:sz w:val="22"/>
                      <w:szCs w:val="22"/>
                    </w:rPr>
                  </w:pPr>
                  <w:r w:rsidRPr="00A14750">
                    <w:rPr>
                      <w:b/>
                      <w:bCs/>
                      <w:color w:val="000000"/>
                      <w:sz w:val="22"/>
                      <w:szCs w:val="22"/>
                    </w:rPr>
                    <w:t>5579</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b/>
                      <w:bCs/>
                      <w:color w:val="000000"/>
                      <w:sz w:val="22"/>
                      <w:szCs w:val="22"/>
                    </w:rPr>
                  </w:pPr>
                  <w:r w:rsidRPr="00A14750">
                    <w:rPr>
                      <w:b/>
                      <w:bCs/>
                      <w:color w:val="000000"/>
                      <w:sz w:val="22"/>
                      <w:szCs w:val="22"/>
                    </w:rPr>
                    <w:t>4816</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b/>
                      <w:bCs/>
                      <w:color w:val="000000"/>
                      <w:sz w:val="22"/>
                      <w:szCs w:val="22"/>
                    </w:rPr>
                  </w:pPr>
                  <w:r w:rsidRPr="00A14750">
                    <w:rPr>
                      <w:b/>
                      <w:bCs/>
                      <w:color w:val="000000"/>
                      <w:sz w:val="22"/>
                      <w:szCs w:val="22"/>
                    </w:rPr>
                    <w:t>5471</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DD3684" w:rsidRDefault="00A14750" w:rsidP="0060762A">
                  <w:pPr>
                    <w:framePr w:hSpace="181" w:wrap="around" w:vAnchor="text" w:hAnchor="margin" w:xAlign="center" w:y="148"/>
                    <w:jc w:val="center"/>
                    <w:rPr>
                      <w:bCs/>
                      <w:color w:val="000000"/>
                      <w:sz w:val="22"/>
                      <w:szCs w:val="22"/>
                    </w:rPr>
                  </w:pPr>
                  <w:r w:rsidRPr="00DD3684">
                    <w:rPr>
                      <w:bCs/>
                      <w:color w:val="000000"/>
                      <w:sz w:val="22"/>
                      <w:szCs w:val="22"/>
                    </w:rPr>
                    <w:t>1.kl.</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720</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623</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882</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DD3684" w:rsidRDefault="00A14750" w:rsidP="0060762A">
                  <w:pPr>
                    <w:framePr w:hSpace="181" w:wrap="around" w:vAnchor="text" w:hAnchor="margin" w:xAlign="center" w:y="148"/>
                    <w:jc w:val="center"/>
                    <w:rPr>
                      <w:bCs/>
                      <w:color w:val="000000"/>
                      <w:sz w:val="22"/>
                      <w:szCs w:val="22"/>
                    </w:rPr>
                  </w:pPr>
                  <w:r w:rsidRPr="00DD3684">
                    <w:rPr>
                      <w:bCs/>
                      <w:color w:val="000000"/>
                      <w:sz w:val="22"/>
                      <w:szCs w:val="22"/>
                    </w:rPr>
                    <w:t>2.kl.</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293</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260</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320</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DD3684" w:rsidRDefault="00A14750" w:rsidP="0060762A">
                  <w:pPr>
                    <w:framePr w:hSpace="181" w:wrap="around" w:vAnchor="text" w:hAnchor="margin" w:xAlign="center" w:y="148"/>
                    <w:jc w:val="center"/>
                    <w:rPr>
                      <w:bCs/>
                      <w:color w:val="000000"/>
                      <w:sz w:val="22"/>
                      <w:szCs w:val="22"/>
                    </w:rPr>
                  </w:pPr>
                  <w:r w:rsidRPr="00DD3684">
                    <w:rPr>
                      <w:bCs/>
                      <w:color w:val="000000"/>
                      <w:sz w:val="22"/>
                      <w:szCs w:val="22"/>
                    </w:rPr>
                    <w:t>3.kl.</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248</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267</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276</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DD3684" w:rsidRDefault="00A14750" w:rsidP="0060762A">
                  <w:pPr>
                    <w:framePr w:hSpace="181" w:wrap="around" w:vAnchor="text" w:hAnchor="margin" w:xAlign="center" w:y="148"/>
                    <w:jc w:val="center"/>
                    <w:rPr>
                      <w:bCs/>
                      <w:color w:val="000000"/>
                      <w:sz w:val="22"/>
                      <w:szCs w:val="22"/>
                    </w:rPr>
                  </w:pPr>
                  <w:r w:rsidRPr="00DD3684">
                    <w:rPr>
                      <w:bCs/>
                      <w:color w:val="000000"/>
                      <w:sz w:val="22"/>
                      <w:szCs w:val="22"/>
                    </w:rPr>
                    <w:t>4.kl.</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309</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288</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271</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DD3684" w:rsidRDefault="00A14750" w:rsidP="0060762A">
                  <w:pPr>
                    <w:framePr w:hSpace="181" w:wrap="around" w:vAnchor="text" w:hAnchor="margin" w:xAlign="center" w:y="148"/>
                    <w:jc w:val="center"/>
                    <w:rPr>
                      <w:bCs/>
                      <w:color w:val="000000"/>
                      <w:sz w:val="22"/>
                      <w:szCs w:val="22"/>
                    </w:rPr>
                  </w:pPr>
                  <w:r w:rsidRPr="00DD3684">
                    <w:rPr>
                      <w:bCs/>
                      <w:color w:val="000000"/>
                      <w:sz w:val="22"/>
                      <w:szCs w:val="22"/>
                    </w:rPr>
                    <w:t>5.kl.</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495</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380</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354</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DD3684" w:rsidRDefault="00A14750" w:rsidP="0060762A">
                  <w:pPr>
                    <w:framePr w:hSpace="181" w:wrap="around" w:vAnchor="text" w:hAnchor="margin" w:xAlign="center" w:y="148"/>
                    <w:jc w:val="center"/>
                    <w:rPr>
                      <w:bCs/>
                      <w:color w:val="000000"/>
                      <w:sz w:val="22"/>
                      <w:szCs w:val="22"/>
                    </w:rPr>
                  </w:pPr>
                  <w:r w:rsidRPr="00DD3684">
                    <w:rPr>
                      <w:bCs/>
                      <w:color w:val="000000"/>
                      <w:sz w:val="22"/>
                      <w:szCs w:val="22"/>
                    </w:rPr>
                    <w:t>6.kl.</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795</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579</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510</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DD3684" w:rsidRDefault="00A14750" w:rsidP="0060762A">
                  <w:pPr>
                    <w:framePr w:hSpace="181" w:wrap="around" w:vAnchor="text" w:hAnchor="margin" w:xAlign="center" w:y="148"/>
                    <w:jc w:val="center"/>
                    <w:rPr>
                      <w:bCs/>
                      <w:color w:val="000000"/>
                      <w:sz w:val="22"/>
                      <w:szCs w:val="22"/>
                    </w:rPr>
                  </w:pPr>
                  <w:r w:rsidRPr="00DD3684">
                    <w:rPr>
                      <w:bCs/>
                      <w:color w:val="000000"/>
                      <w:sz w:val="22"/>
                      <w:szCs w:val="22"/>
                    </w:rPr>
                    <w:t>7.kl.</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922</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720</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647</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DD3684" w:rsidRDefault="00A14750" w:rsidP="0060762A">
                  <w:pPr>
                    <w:framePr w:hSpace="181" w:wrap="around" w:vAnchor="text" w:hAnchor="margin" w:xAlign="center" w:y="148"/>
                    <w:jc w:val="center"/>
                    <w:rPr>
                      <w:bCs/>
                      <w:color w:val="000000"/>
                      <w:sz w:val="22"/>
                      <w:szCs w:val="22"/>
                    </w:rPr>
                  </w:pPr>
                  <w:r w:rsidRPr="00DD3684">
                    <w:rPr>
                      <w:bCs/>
                      <w:color w:val="000000"/>
                      <w:sz w:val="22"/>
                      <w:szCs w:val="22"/>
                    </w:rPr>
                    <w:t>8.kl.</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936</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704</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706</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DD3684" w:rsidRDefault="00A14750" w:rsidP="0060762A">
                  <w:pPr>
                    <w:framePr w:hSpace="181" w:wrap="around" w:vAnchor="text" w:hAnchor="margin" w:xAlign="center" w:y="148"/>
                    <w:jc w:val="center"/>
                    <w:rPr>
                      <w:bCs/>
                      <w:color w:val="000000"/>
                      <w:sz w:val="22"/>
                      <w:szCs w:val="22"/>
                    </w:rPr>
                  </w:pPr>
                  <w:r w:rsidRPr="00DD3684">
                    <w:rPr>
                      <w:bCs/>
                      <w:color w:val="000000"/>
                      <w:sz w:val="22"/>
                      <w:szCs w:val="22"/>
                    </w:rPr>
                    <w:t>9.kl.</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617</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649</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971</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DD3684" w:rsidRDefault="00A14750" w:rsidP="0060762A">
                  <w:pPr>
                    <w:framePr w:hSpace="181" w:wrap="around" w:vAnchor="text" w:hAnchor="margin" w:xAlign="center" w:y="148"/>
                    <w:jc w:val="center"/>
                    <w:rPr>
                      <w:bCs/>
                      <w:color w:val="000000"/>
                      <w:sz w:val="22"/>
                      <w:szCs w:val="22"/>
                    </w:rPr>
                  </w:pPr>
                  <w:r w:rsidRPr="00DD3684">
                    <w:rPr>
                      <w:bCs/>
                      <w:color w:val="000000"/>
                      <w:sz w:val="22"/>
                      <w:szCs w:val="22"/>
                    </w:rPr>
                    <w:t>10.kl.</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129</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141</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261</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DD3684" w:rsidRDefault="00A14750" w:rsidP="0060762A">
                  <w:pPr>
                    <w:framePr w:hSpace="181" w:wrap="around" w:vAnchor="text" w:hAnchor="margin" w:xAlign="center" w:y="148"/>
                    <w:jc w:val="center"/>
                    <w:rPr>
                      <w:bCs/>
                      <w:color w:val="000000"/>
                      <w:sz w:val="22"/>
                      <w:szCs w:val="22"/>
                    </w:rPr>
                  </w:pPr>
                  <w:r w:rsidRPr="00DD3684">
                    <w:rPr>
                      <w:bCs/>
                      <w:color w:val="000000"/>
                      <w:sz w:val="22"/>
                      <w:szCs w:val="22"/>
                    </w:rPr>
                    <w:t>11.kl.</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92</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103</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162</w:t>
                  </w:r>
                </w:p>
              </w:tc>
            </w:tr>
            <w:tr w:rsidR="00A14750" w:rsidRPr="007135FF" w:rsidTr="0038175B">
              <w:trPr>
                <w:trHeight w:val="300"/>
              </w:trPr>
              <w:tc>
                <w:tcPr>
                  <w:tcW w:w="1940" w:type="dxa"/>
                  <w:tcBorders>
                    <w:top w:val="nil"/>
                    <w:left w:val="single" w:sz="4" w:space="0" w:color="auto"/>
                    <w:bottom w:val="single" w:sz="4" w:space="0" w:color="auto"/>
                    <w:right w:val="single" w:sz="4" w:space="0" w:color="auto"/>
                  </w:tcBorders>
                  <w:shd w:val="clear" w:color="000000" w:fill="FFFFFF"/>
                  <w:noWrap/>
                  <w:vAlign w:val="center"/>
                  <w:hideMark/>
                </w:tcPr>
                <w:p w:rsidR="00A14750" w:rsidRPr="00DD3684" w:rsidRDefault="00A14750" w:rsidP="0060762A">
                  <w:pPr>
                    <w:framePr w:hSpace="181" w:wrap="around" w:vAnchor="text" w:hAnchor="margin" w:xAlign="center" w:y="148"/>
                    <w:jc w:val="center"/>
                    <w:rPr>
                      <w:bCs/>
                      <w:color w:val="000000"/>
                      <w:sz w:val="22"/>
                      <w:szCs w:val="22"/>
                    </w:rPr>
                  </w:pPr>
                  <w:r w:rsidRPr="00DD3684">
                    <w:rPr>
                      <w:bCs/>
                      <w:color w:val="000000"/>
                      <w:sz w:val="22"/>
                      <w:szCs w:val="22"/>
                    </w:rPr>
                    <w:t>12.kl.</w:t>
                  </w:r>
                </w:p>
              </w:tc>
              <w:tc>
                <w:tcPr>
                  <w:tcW w:w="1440"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23</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102</w:t>
                  </w:r>
                </w:p>
              </w:tc>
              <w:tc>
                <w:tcPr>
                  <w:tcW w:w="1363" w:type="dxa"/>
                  <w:tcBorders>
                    <w:top w:val="nil"/>
                    <w:left w:val="nil"/>
                    <w:bottom w:val="single" w:sz="4" w:space="0" w:color="auto"/>
                    <w:right w:val="single" w:sz="4" w:space="0" w:color="auto"/>
                  </w:tcBorders>
                  <w:shd w:val="clear" w:color="auto" w:fill="auto"/>
                  <w:noWrap/>
                  <w:vAlign w:val="center"/>
                  <w:hideMark/>
                </w:tcPr>
                <w:p w:rsidR="00A14750" w:rsidRPr="00A14750" w:rsidRDefault="00A14750" w:rsidP="0060762A">
                  <w:pPr>
                    <w:framePr w:hSpace="181" w:wrap="around" w:vAnchor="text" w:hAnchor="margin" w:xAlign="center" w:y="148"/>
                    <w:jc w:val="right"/>
                    <w:rPr>
                      <w:color w:val="000000"/>
                      <w:sz w:val="22"/>
                      <w:szCs w:val="22"/>
                    </w:rPr>
                  </w:pPr>
                  <w:r w:rsidRPr="00A14750">
                    <w:rPr>
                      <w:color w:val="000000"/>
                      <w:sz w:val="22"/>
                      <w:szCs w:val="22"/>
                    </w:rPr>
                    <w:t>111</w:t>
                  </w:r>
                </w:p>
              </w:tc>
            </w:tr>
          </w:tbl>
          <w:p w:rsidR="00C0289F" w:rsidRPr="00C0289F" w:rsidRDefault="00C0289F" w:rsidP="00C0289F">
            <w:pPr>
              <w:jc w:val="both"/>
              <w:rPr>
                <w:sz w:val="20"/>
                <w:szCs w:val="20"/>
              </w:rPr>
            </w:pPr>
            <w:r w:rsidRPr="00C0289F">
              <w:rPr>
                <w:rStyle w:val="sourcekey"/>
                <w:rFonts w:ascii="Times New Roman" w:hAnsi="Times New Roman"/>
                <w:sz w:val="20"/>
                <w:szCs w:val="20"/>
              </w:rPr>
              <w:t>Avots:</w:t>
            </w:r>
            <w:r w:rsidRPr="00C0289F">
              <w:rPr>
                <w:sz w:val="20"/>
                <w:szCs w:val="20"/>
              </w:rPr>
              <w:t xml:space="preserve"> </w:t>
            </w:r>
            <w:r w:rsidRPr="00C0289F">
              <w:rPr>
                <w:rStyle w:val="sourcevalue"/>
                <w:rFonts w:ascii="Times New Roman" w:hAnsi="Times New Roman"/>
                <w:sz w:val="20"/>
                <w:szCs w:val="20"/>
              </w:rPr>
              <w:t>LR Centrālā statistikas pārvalde (IZ0160)</w:t>
            </w:r>
          </w:p>
          <w:p w:rsidR="007135FF" w:rsidRDefault="00A14750" w:rsidP="00A0301C">
            <w:pPr>
              <w:spacing w:before="120"/>
              <w:jc w:val="both"/>
            </w:pPr>
            <w:r w:rsidRPr="00A14750">
              <w:rPr>
                <w:b/>
              </w:rPr>
              <w:t>97,5%</w:t>
            </w:r>
            <w:r>
              <w:t xml:space="preserve"> skolēnu </w:t>
            </w:r>
            <w:r w:rsidR="008101B1">
              <w:t xml:space="preserve">katru gadu </w:t>
            </w:r>
            <w:r>
              <w:t>tiek sekmīgi pārcelti uz nākamo klas</w:t>
            </w:r>
            <w:r w:rsidR="0038175B">
              <w:t xml:space="preserve">i, </w:t>
            </w:r>
            <w:r w:rsidR="00C0289F">
              <w:t>otrgadnieki</w:t>
            </w:r>
            <w:r w:rsidR="0038175B">
              <w:t xml:space="preserve"> ir </w:t>
            </w:r>
            <w:r w:rsidR="00C0289F">
              <w:t xml:space="preserve">tikai </w:t>
            </w:r>
            <w:r w:rsidR="0038175B">
              <w:t>2,5%</w:t>
            </w:r>
            <w:r w:rsidR="00C0289F">
              <w:t xml:space="preserve"> no kopējā skolēnu skaita</w:t>
            </w:r>
            <w:r w:rsidR="00C23574">
              <w:t xml:space="preserve"> (</w:t>
            </w:r>
            <w:r w:rsidR="0069129D">
              <w:t xml:space="preserve">un </w:t>
            </w:r>
            <w:r w:rsidR="00C23574">
              <w:t>17,3% jeb 147 skolās 2010./2011.m.g. sākumā vispār nebija otrgadnieku, bet vēl 211 skolās (</w:t>
            </w:r>
            <w:r w:rsidR="00F552E1">
              <w:t>25%) bija tikai 1-2 otrgadnieki</w:t>
            </w:r>
            <w:r w:rsidR="00C23574">
              <w:t>)</w:t>
            </w:r>
            <w:r w:rsidR="0038175B">
              <w:t>.</w:t>
            </w:r>
            <w:r>
              <w:t xml:space="preserve"> Bet, j</w:t>
            </w:r>
            <w:r w:rsidR="007135FF">
              <w:t xml:space="preserve">a iepriekšējos dažus gadus otrgadnieku skaits </w:t>
            </w:r>
            <w:r w:rsidR="00835563">
              <w:t xml:space="preserve">pakāpeniski </w:t>
            </w:r>
            <w:r w:rsidR="007135FF">
              <w:t xml:space="preserve">samazinājās, tad 2010./2011.m.g. tas atkal pieauga bez redzama iemesla, jo ne izglītības saturs, ne finansējums, ne valsts pārbaudes darbi </w:t>
            </w:r>
            <w:r w:rsidR="0038175B">
              <w:t xml:space="preserve">vai citi nosacījumi </w:t>
            </w:r>
            <w:r w:rsidR="007135FF">
              <w:t>nav mainīj</w:t>
            </w:r>
            <w:r w:rsidR="00C23574">
              <w:t>ušies. Otrgadnieku skaita</w:t>
            </w:r>
            <w:r w:rsidR="00F552E1">
              <w:t xml:space="preserve"> pieaugumu vidusskolā</w:t>
            </w:r>
            <w:r w:rsidR="0069129D">
              <w:t xml:space="preserve"> </w:t>
            </w:r>
            <w:r w:rsidR="007135FF">
              <w:t xml:space="preserve">var izskaidrot ar prasībām, ka uz nākamo klasi </w:t>
            </w:r>
            <w:r w:rsidR="0069129D">
              <w:t xml:space="preserve">ar </w:t>
            </w:r>
            <w:r w:rsidR="00C0289F">
              <w:t xml:space="preserve">2010./2011.m.g. </w:t>
            </w:r>
            <w:r w:rsidR="007135FF">
              <w:t>p</w:t>
            </w:r>
            <w:r w:rsidR="0069129D">
              <w:t>ārceļ</w:t>
            </w:r>
            <w:r w:rsidR="007135FF">
              <w:t xml:space="preserve"> tikai ar vērtējumiem 4 balles un augstāk visos mācību priekšmetos</w:t>
            </w:r>
            <w:r w:rsidR="0018516D">
              <w:t xml:space="preserve"> (līdz tam uz nākamo klasi varēja tikt arī ar 2 nepietiekamiem vērtējumiem)</w:t>
            </w:r>
            <w:r w:rsidR="007135FF">
              <w:t xml:space="preserve">. </w:t>
            </w:r>
            <w:r w:rsidR="009247E1">
              <w:t>O</w:t>
            </w:r>
            <w:r>
              <w:t>trga</w:t>
            </w:r>
            <w:r w:rsidR="009247E1">
              <w:t>dnieku skaits</w:t>
            </w:r>
            <w:r>
              <w:t xml:space="preserve"> 1.-2.klasē (neskatoties uz obligāto bērnu sagatavošanu pamatizglītībai no 5 gadu vecu</w:t>
            </w:r>
            <w:r w:rsidR="00C23574">
              <w:t>ma)</w:t>
            </w:r>
            <w:r w:rsidR="009247E1">
              <w:t xml:space="preserve"> ir atkal pieaudzis, tāpat</w:t>
            </w:r>
            <w:r w:rsidR="00C23574">
              <w:t xml:space="preserve"> </w:t>
            </w:r>
            <w:r w:rsidR="00A50EB9">
              <w:t xml:space="preserve">ievērojami ir pieaudzis otrgadnieku skaits </w:t>
            </w:r>
            <w:r w:rsidR="00C23574">
              <w:t>arī 9.klasē. 899 skolēni</w:t>
            </w:r>
            <w:r>
              <w:t xml:space="preserve"> </w:t>
            </w:r>
            <w:r w:rsidR="00C23574">
              <w:t xml:space="preserve"> 2009.</w:t>
            </w:r>
            <w:r w:rsidR="008101B1">
              <w:t>/</w:t>
            </w:r>
            <w:r w:rsidR="00C23574">
              <w:t>2010.m.g. beigās tika atstāti</w:t>
            </w:r>
            <w:r>
              <w:t xml:space="preserve"> uz trešo gadu tajā pašā klasē, galvenok</w:t>
            </w:r>
            <w:r w:rsidR="0038175B">
              <w:t>ārt neattaisnotu kavējumu</w:t>
            </w:r>
            <w:r>
              <w:t xml:space="preserve"> dēļ</w:t>
            </w:r>
            <w:r w:rsidR="00A50EB9">
              <w:t xml:space="preserve">, </w:t>
            </w:r>
            <w:r w:rsidR="009247E1">
              <w:t xml:space="preserve">bet </w:t>
            </w:r>
            <w:r w:rsidR="00C23574">
              <w:t xml:space="preserve">63% skolu </w:t>
            </w:r>
            <w:r w:rsidR="00A50EB9">
              <w:t>trešgadnieku nav.</w:t>
            </w:r>
            <w:r>
              <w:t xml:space="preserve"> </w:t>
            </w:r>
            <w:r w:rsidR="00C0289F">
              <w:t>Palikšana uz</w:t>
            </w:r>
            <w:r w:rsidR="00A50EB9">
              <w:t xml:space="preserve"> otru gadu veicina</w:t>
            </w:r>
            <w:r w:rsidR="00F552E1">
              <w:t xml:space="preserve"> to jauniešu skaita pieaugumu</w:t>
            </w:r>
            <w:r w:rsidR="009247E1">
              <w:t>, kuri priekšlaicīgi pamet skolu un pārtrauc mācības</w:t>
            </w:r>
            <w:r w:rsidR="00C0289F">
              <w:t xml:space="preserve">. </w:t>
            </w:r>
            <w:r w:rsidR="00D349B2">
              <w:t>Latvijā n</w:t>
            </w:r>
            <w:r w:rsidR="00C0289F">
              <w:t xml:space="preserve">av pētījumu par </w:t>
            </w:r>
            <w:r w:rsidR="00D349B2">
              <w:t>atstāšanas uz otru gadu tālāko iete</w:t>
            </w:r>
            <w:r w:rsidR="007D08ED">
              <w:t>kmi uz izglītojamā sasniegumiem ilgākā laika periodā.</w:t>
            </w:r>
          </w:p>
          <w:p w:rsidR="00294E15" w:rsidRDefault="00294E15" w:rsidP="00294E15">
            <w:pPr>
              <w:jc w:val="both"/>
            </w:pPr>
            <w:r>
              <w:lastRenderedPageBreak/>
              <w:t xml:space="preserve">      Aptuveni 2-3% izglītojamo (ap 600) beidz 9.klasi ar liecību, nesaņemot apliecību par vispārējo pamatizglītību Vispārējās izglītības likuma 39.panta noteiktajā kārtībā.</w:t>
            </w:r>
          </w:p>
          <w:p w:rsidR="0018516D" w:rsidRPr="009B3B54" w:rsidRDefault="00294E15" w:rsidP="0018516D">
            <w:pPr>
              <w:jc w:val="both"/>
            </w:pPr>
            <w:r>
              <w:t xml:space="preserve">      </w:t>
            </w:r>
            <w:r w:rsidR="0018516D">
              <w:t xml:space="preserve">Vakara (maiņu) un neklātienes izglītības programmās, kurās galvenokārt mācās strādājoši pieaugušie, </w:t>
            </w:r>
            <w:r w:rsidR="00F552E1">
              <w:t xml:space="preserve">kuri </w:t>
            </w:r>
            <w:r w:rsidR="00A50EB9">
              <w:t>bieži</w:t>
            </w:r>
            <w:r w:rsidR="00F552E1">
              <w:t xml:space="preserve"> atsāk</w:t>
            </w:r>
            <w:r w:rsidR="00A50EB9">
              <w:t xml:space="preserve"> izglītības ieguvi pēc ilgstoša pārtraukuma mācībās, </w:t>
            </w:r>
            <w:r w:rsidR="0018516D">
              <w:t>kā arī pedagoģiskās korekcijas klašu izgl</w:t>
            </w:r>
            <w:r w:rsidR="0039221A">
              <w:t xml:space="preserve">ītojamie, </w:t>
            </w:r>
            <w:r w:rsidR="0018516D">
              <w:t xml:space="preserve">2009./2010.m.g. </w:t>
            </w:r>
            <w:r w:rsidR="0039221A">
              <w:t>sākumā bija</w:t>
            </w:r>
            <w:r w:rsidR="0018516D">
              <w:t xml:space="preserve"> </w:t>
            </w:r>
            <w:r w:rsidR="0039221A">
              <w:t>13,6% otrgadnieku</w:t>
            </w:r>
            <w:r w:rsidR="0018516D">
              <w:t>, bet 2010./</w:t>
            </w:r>
            <w:r w:rsidR="0039221A">
              <w:t>2011.m.g. – jau 20,9% izglītojamo bija palikuši uz otru gadu.</w:t>
            </w:r>
          </w:p>
          <w:p w:rsidR="00D027F7" w:rsidRPr="00315D40" w:rsidRDefault="00294E15" w:rsidP="00294E15">
            <w:pPr>
              <w:jc w:val="both"/>
            </w:pPr>
            <w:r>
              <w:t xml:space="preserve">      </w:t>
            </w:r>
            <w:r w:rsidR="001F54DD">
              <w:t>P</w:t>
            </w:r>
            <w:r w:rsidR="00D027F7">
              <w:t>ašlaik normatīvajos aktos</w:t>
            </w:r>
            <w:r w:rsidR="00707674">
              <w:t xml:space="preserve"> nav noteikti gadījumi, kad izglītojamo drīkst</w:t>
            </w:r>
            <w:r w:rsidR="001F54DD">
              <w:t>ētu</w:t>
            </w:r>
            <w:r w:rsidR="00707674">
              <w:t xml:space="preserve"> atskaitīt no izglītības iestādes.</w:t>
            </w:r>
          </w:p>
        </w:tc>
      </w:tr>
      <w:tr w:rsidR="00262E2B" w:rsidRPr="00315D40" w:rsidTr="00315D40">
        <w:trPr>
          <w:trHeight w:val="1071"/>
        </w:trPr>
        <w:tc>
          <w:tcPr>
            <w:tcW w:w="105" w:type="pct"/>
          </w:tcPr>
          <w:p w:rsidR="00262E2B" w:rsidRPr="00315D40" w:rsidRDefault="00262E2B" w:rsidP="00315D40">
            <w:pPr>
              <w:pStyle w:val="naiskr"/>
              <w:spacing w:before="0" w:after="0"/>
            </w:pPr>
            <w:r w:rsidRPr="00315D40">
              <w:lastRenderedPageBreak/>
              <w:t>3.</w:t>
            </w:r>
          </w:p>
        </w:tc>
        <w:tc>
          <w:tcPr>
            <w:tcW w:w="1311" w:type="pct"/>
          </w:tcPr>
          <w:p w:rsidR="00262E2B" w:rsidRPr="00315D40" w:rsidRDefault="00420870" w:rsidP="00315D40">
            <w:pPr>
              <w:pStyle w:val="naiskr"/>
              <w:spacing w:before="0" w:after="0"/>
            </w:pPr>
            <w:r w:rsidRPr="00315D40">
              <w:t>S</w:t>
            </w:r>
            <w:r w:rsidR="000B69CF" w:rsidRPr="00315D40">
              <w:t xml:space="preserve">aistītie </w:t>
            </w:r>
            <w:r w:rsidR="001A6AE4" w:rsidRPr="00315D40">
              <w:t>politikas ietekmes novērtējumi</w:t>
            </w:r>
            <w:r w:rsidR="00CB0247" w:rsidRPr="00315D40">
              <w:t xml:space="preserve"> un</w:t>
            </w:r>
            <w:r w:rsidR="001A6AE4" w:rsidRPr="00315D40">
              <w:t xml:space="preserve"> </w:t>
            </w:r>
            <w:r w:rsidR="000B69CF" w:rsidRPr="00315D40">
              <w:t>pētījumi</w:t>
            </w:r>
          </w:p>
        </w:tc>
        <w:tc>
          <w:tcPr>
            <w:tcW w:w="3584" w:type="pct"/>
          </w:tcPr>
          <w:p w:rsidR="005A69F6" w:rsidRDefault="005A69F6" w:rsidP="005A69F6">
            <w:pPr>
              <w:pStyle w:val="Default"/>
              <w:jc w:val="both"/>
              <w:rPr>
                <w:i/>
                <w:iCs/>
                <w:lang w:val="en-GB"/>
              </w:rPr>
            </w:pPr>
            <w:r w:rsidRPr="0018516D">
              <w:rPr>
                <w:bCs/>
              </w:rPr>
              <w:t xml:space="preserve">     </w:t>
            </w:r>
            <w:r w:rsidRPr="005A69F6">
              <w:rPr>
                <w:bCs/>
                <w:i/>
                <w:lang w:val="en-GB"/>
              </w:rPr>
              <w:t>“Should ‘failing’ students repeat a grade? Retrospective response from Finland”</w:t>
            </w:r>
            <w:r w:rsidR="00136D63">
              <w:rPr>
                <w:bCs/>
                <w:i/>
                <w:lang w:val="en-GB"/>
              </w:rPr>
              <w:t>,</w:t>
            </w:r>
            <w:r w:rsidRPr="005A69F6">
              <w:rPr>
                <w:i/>
                <w:lang w:val="en-GB"/>
              </w:rPr>
              <w:t xml:space="preserve"> </w:t>
            </w:r>
            <w:proofErr w:type="spellStart"/>
            <w:r w:rsidRPr="005A69F6">
              <w:rPr>
                <w:lang w:val="en-GB"/>
              </w:rPr>
              <w:t>Jouni</w:t>
            </w:r>
            <w:proofErr w:type="spellEnd"/>
            <w:r w:rsidRPr="005A69F6">
              <w:rPr>
                <w:lang w:val="en-GB"/>
              </w:rPr>
              <w:t xml:space="preserve"> </w:t>
            </w:r>
            <w:proofErr w:type="spellStart"/>
            <w:r w:rsidRPr="005A69F6">
              <w:rPr>
                <w:lang w:val="en-GB"/>
              </w:rPr>
              <w:t>Välijärvi</w:t>
            </w:r>
            <w:proofErr w:type="spellEnd"/>
            <w:r w:rsidRPr="005A69F6">
              <w:rPr>
                <w:lang w:val="en-GB"/>
              </w:rPr>
              <w:t xml:space="preserve"> (University of </w:t>
            </w:r>
            <w:proofErr w:type="spellStart"/>
            <w:r w:rsidRPr="005A69F6">
              <w:rPr>
                <w:lang w:val="en-GB"/>
              </w:rPr>
              <w:t>Jyväskylä</w:t>
            </w:r>
            <w:proofErr w:type="spellEnd"/>
            <w:r w:rsidRPr="005A69F6">
              <w:rPr>
                <w:lang w:val="en-GB"/>
              </w:rPr>
              <w:t xml:space="preserve">, Finland) and </w:t>
            </w:r>
            <w:proofErr w:type="spellStart"/>
            <w:r w:rsidRPr="005A69F6">
              <w:rPr>
                <w:lang w:val="en-GB"/>
              </w:rPr>
              <w:t>Pasi</w:t>
            </w:r>
            <w:proofErr w:type="spellEnd"/>
            <w:r w:rsidRPr="005A69F6">
              <w:rPr>
                <w:lang w:val="en-GB"/>
              </w:rPr>
              <w:t xml:space="preserve"> </w:t>
            </w:r>
            <w:proofErr w:type="spellStart"/>
            <w:r w:rsidRPr="005A69F6">
              <w:rPr>
                <w:lang w:val="en-GB"/>
              </w:rPr>
              <w:t>Sahlberg</w:t>
            </w:r>
            <w:proofErr w:type="spellEnd"/>
            <w:r w:rsidRPr="005A69F6">
              <w:rPr>
                <w:lang w:val="en-GB"/>
              </w:rPr>
              <w:t xml:space="preserve"> (European Training Foundation, Italy) </w:t>
            </w:r>
            <w:r w:rsidRPr="005A69F6">
              <w:rPr>
                <w:i/>
                <w:iCs/>
                <w:lang w:val="en-GB"/>
              </w:rPr>
              <w:t>Published in Journal of Educational Change on 2008</w:t>
            </w:r>
          </w:p>
          <w:p w:rsidR="005A69F6" w:rsidRDefault="005A69F6" w:rsidP="005A69F6">
            <w:pPr>
              <w:autoSpaceDE w:val="0"/>
              <w:autoSpaceDN w:val="0"/>
              <w:adjustRightInd w:val="0"/>
              <w:jc w:val="both"/>
              <w:rPr>
                <w:i/>
                <w:iCs/>
                <w:lang w:val="en-US"/>
              </w:rPr>
            </w:pPr>
            <w:r>
              <w:rPr>
                <w:bCs/>
                <w:lang w:val="en-US"/>
              </w:rPr>
              <w:t xml:space="preserve">     </w:t>
            </w:r>
            <w:r w:rsidRPr="005A69F6">
              <w:rPr>
                <w:bCs/>
                <w:i/>
                <w:lang w:val="en-US"/>
              </w:rPr>
              <w:t>“Alternatives to Grade Retention”,</w:t>
            </w:r>
            <w:r w:rsidRPr="005A69F6">
              <w:rPr>
                <w:bCs/>
                <w:lang w:val="en-US"/>
              </w:rPr>
              <w:t xml:space="preserve"> </w:t>
            </w:r>
            <w:r>
              <w:rPr>
                <w:bCs/>
                <w:lang w:val="en-US"/>
              </w:rPr>
              <w:t xml:space="preserve">by Shane </w:t>
            </w:r>
            <w:proofErr w:type="spellStart"/>
            <w:r>
              <w:rPr>
                <w:bCs/>
                <w:lang w:val="en-US"/>
              </w:rPr>
              <w:t>R.Jimerson</w:t>
            </w:r>
            <w:proofErr w:type="spellEnd"/>
            <w:r>
              <w:rPr>
                <w:bCs/>
                <w:lang w:val="en-US"/>
              </w:rPr>
              <w:t xml:space="preserve">, Sarah </w:t>
            </w:r>
            <w:proofErr w:type="spellStart"/>
            <w:r>
              <w:rPr>
                <w:bCs/>
                <w:lang w:val="en-US"/>
              </w:rPr>
              <w:t>M.W.</w:t>
            </w:r>
            <w:r w:rsidRPr="005A69F6">
              <w:rPr>
                <w:bCs/>
                <w:lang w:val="en-US"/>
              </w:rPr>
              <w:t>Pletcher</w:t>
            </w:r>
            <w:proofErr w:type="spellEnd"/>
            <w:r w:rsidRPr="005A69F6">
              <w:rPr>
                <w:bCs/>
                <w:lang w:val="en-US"/>
              </w:rPr>
              <w:t xml:space="preserve"> (</w:t>
            </w:r>
            <w:r w:rsidRPr="005A69F6">
              <w:rPr>
                <w:iCs/>
                <w:lang w:val="en-US"/>
              </w:rPr>
              <w:t>University of California)</w:t>
            </w:r>
            <w:r w:rsidRPr="005A69F6">
              <w:rPr>
                <w:bCs/>
                <w:lang w:val="en-US"/>
              </w:rPr>
              <w:t xml:space="preserve"> and </w:t>
            </w:r>
            <w:proofErr w:type="spellStart"/>
            <w:r w:rsidRPr="005A69F6">
              <w:rPr>
                <w:bCs/>
                <w:lang w:val="en-US"/>
              </w:rPr>
              <w:t>Mariellen</w:t>
            </w:r>
            <w:proofErr w:type="spellEnd"/>
            <w:r w:rsidRPr="005A69F6">
              <w:rPr>
                <w:bCs/>
                <w:lang w:val="en-US"/>
              </w:rPr>
              <w:t xml:space="preserve"> Kerr (</w:t>
            </w:r>
            <w:r w:rsidRPr="005A69F6">
              <w:rPr>
                <w:iCs/>
                <w:lang w:val="en-US"/>
              </w:rPr>
              <w:t>University in Pittsburgh, PA)</w:t>
            </w:r>
          </w:p>
          <w:p w:rsidR="00B60EC8" w:rsidRPr="00643663" w:rsidRDefault="005A69F6" w:rsidP="00D027F7">
            <w:pPr>
              <w:autoSpaceDE w:val="0"/>
              <w:autoSpaceDN w:val="0"/>
              <w:adjustRightInd w:val="0"/>
              <w:rPr>
                <w:b/>
                <w:bCs/>
                <w:lang w:val="en-US"/>
              </w:rPr>
            </w:pPr>
            <w:r>
              <w:rPr>
                <w:b/>
                <w:bCs/>
                <w:lang w:val="en-US"/>
              </w:rPr>
              <w:t xml:space="preserve">     </w:t>
            </w:r>
            <w:r w:rsidRPr="005A69F6">
              <w:rPr>
                <w:b/>
                <w:bCs/>
                <w:i/>
                <w:lang w:val="en-US"/>
              </w:rPr>
              <w:t>“</w:t>
            </w:r>
            <w:r w:rsidRPr="005A69F6">
              <w:rPr>
                <w:i/>
                <w:lang w:val="en-GB"/>
              </w:rPr>
              <w:t>When students repeat grades or are transferred out of school: What does it mean for education systems?”</w:t>
            </w:r>
            <w:r w:rsidR="00136D63">
              <w:rPr>
                <w:i/>
                <w:lang w:val="en-GB"/>
              </w:rPr>
              <w:t>,</w:t>
            </w:r>
            <w:r w:rsidRPr="005A69F6">
              <w:rPr>
                <w:b/>
                <w:bCs/>
                <w:lang w:val="en-GB"/>
              </w:rPr>
              <w:t xml:space="preserve"> </w:t>
            </w:r>
            <w:r w:rsidRPr="005A69F6">
              <w:rPr>
                <w:bCs/>
                <w:lang w:val="en-GB"/>
              </w:rPr>
              <w:t>PISA in Focus, 6</w:t>
            </w:r>
            <w:r w:rsidRPr="005A69F6">
              <w:rPr>
                <w:b/>
                <w:bCs/>
                <w:lang w:val="en-US"/>
              </w:rPr>
              <w:t xml:space="preserve"> </w:t>
            </w:r>
          </w:p>
        </w:tc>
      </w:tr>
      <w:tr w:rsidR="00262E2B" w:rsidRPr="00315D40" w:rsidTr="00315D40">
        <w:trPr>
          <w:trHeight w:val="384"/>
        </w:trPr>
        <w:tc>
          <w:tcPr>
            <w:tcW w:w="105" w:type="pct"/>
          </w:tcPr>
          <w:p w:rsidR="00262E2B" w:rsidRPr="00315D40" w:rsidRDefault="00262E2B" w:rsidP="00315D40">
            <w:pPr>
              <w:pStyle w:val="naiskr"/>
              <w:spacing w:before="0" w:after="0"/>
            </w:pPr>
            <w:r w:rsidRPr="00315D40">
              <w:t>4.</w:t>
            </w:r>
          </w:p>
        </w:tc>
        <w:tc>
          <w:tcPr>
            <w:tcW w:w="1311" w:type="pct"/>
          </w:tcPr>
          <w:p w:rsidR="00262E2B" w:rsidRPr="00315D40" w:rsidRDefault="000C790C" w:rsidP="00315D40">
            <w:pPr>
              <w:pStyle w:val="naiskr"/>
              <w:spacing w:before="0" w:after="0"/>
            </w:pPr>
            <w:r w:rsidRPr="00315D40">
              <w:t>Tiesiskā r</w:t>
            </w:r>
            <w:r w:rsidR="00400032" w:rsidRPr="00315D40">
              <w:t xml:space="preserve">egulējuma </w:t>
            </w:r>
            <w:r w:rsidR="00262E2B" w:rsidRPr="00315D40">
              <w:t>mērķis un būtība</w:t>
            </w:r>
          </w:p>
        </w:tc>
        <w:tc>
          <w:tcPr>
            <w:tcW w:w="3584" w:type="pct"/>
          </w:tcPr>
          <w:p w:rsidR="00F552E1" w:rsidRDefault="00643663" w:rsidP="00F552E1">
            <w:pPr>
              <w:autoSpaceDE w:val="0"/>
              <w:autoSpaceDN w:val="0"/>
              <w:adjustRightInd w:val="0"/>
              <w:jc w:val="both"/>
            </w:pPr>
            <w:r>
              <w:t xml:space="preserve">     </w:t>
            </w:r>
            <w:r w:rsidR="00C77CFC">
              <w:t>Noteikumu projekta mērķis ir noteikt kārtību, kādā izglītojamie tiek uzņemti vispārējās izglītības iestādēs un atskaitīti no tām (izņemot internātskolas un speciālās izglītības iestādes), un obligātās prasības pārcelšanai uz</w:t>
            </w:r>
            <w:r w:rsidR="00F552E1">
              <w:t xml:space="preserve"> nākamo klasi, pamatā balstoties</w:t>
            </w:r>
            <w:r w:rsidR="00C77CFC">
              <w:t xml:space="preserve"> </w:t>
            </w:r>
            <w:r>
              <w:t xml:space="preserve"> MK noteikumos Nr.822</w:t>
            </w:r>
            <w:r w:rsidR="00C77CFC">
              <w:t xml:space="preserve"> </w:t>
            </w:r>
            <w:r w:rsidR="00F552E1">
              <w:t>līdz šim noteiktajā kārtībā</w:t>
            </w:r>
            <w:r w:rsidR="00C77CFC">
              <w:t>.</w:t>
            </w:r>
            <w:r w:rsidR="001D7398">
              <w:t xml:space="preserve"> </w:t>
            </w:r>
            <w:r w:rsidR="00C77CFC">
              <w:t>No</w:t>
            </w:r>
            <w:r>
              <w:t xml:space="preserve">teikumu projekts </w:t>
            </w:r>
            <w:r w:rsidR="00C77CFC">
              <w:t>nosaka:</w:t>
            </w:r>
          </w:p>
          <w:p w:rsidR="00C77CFC" w:rsidRDefault="00F552E1" w:rsidP="00F552E1">
            <w:pPr>
              <w:autoSpaceDE w:val="0"/>
              <w:autoSpaceDN w:val="0"/>
              <w:adjustRightInd w:val="0"/>
              <w:jc w:val="both"/>
            </w:pPr>
            <w:r>
              <w:t xml:space="preserve">     </w:t>
            </w:r>
            <w:r w:rsidR="00C77CFC">
              <w:t xml:space="preserve">Vecākiem </w:t>
            </w:r>
            <w:r w:rsidR="009C788D">
              <w:t xml:space="preserve">(bērna likumiskajiem pārstāvjiem) </w:t>
            </w:r>
            <w:r w:rsidR="00643663">
              <w:t xml:space="preserve">un izglītojamiem, gatavojoties iestāties izglītības iestādē, </w:t>
            </w:r>
            <w:r w:rsidR="00C77CFC">
              <w:t xml:space="preserve">ir jānodrošina iespēja iepazīties ar būtiskiem izglītības iestādes </w:t>
            </w:r>
            <w:r>
              <w:t>darbību noteicošiem dokumentiem un iestājpārbaudījumu (ja tādi ir noteikti) kārtību.</w:t>
            </w:r>
            <w:r w:rsidR="003A7346">
              <w:t xml:space="preserve"> </w:t>
            </w:r>
            <w:r w:rsidR="003A7346" w:rsidRPr="005D60BB">
              <w:t xml:space="preserve"> Termina „bērna likumiskais pārstāvis” saturu veido jēdzieni „vecāki”, „aizbildnis”, „bāriņtiesa”, „</w:t>
            </w:r>
            <w:proofErr w:type="spellStart"/>
            <w:r w:rsidR="003A7346" w:rsidRPr="005D60BB">
              <w:t>ārpusģimenes</w:t>
            </w:r>
            <w:proofErr w:type="spellEnd"/>
            <w:r w:rsidR="003A7346" w:rsidRPr="005D60BB">
              <w:t xml:space="preserve"> aprūpes iestādes vadītājs”.</w:t>
            </w:r>
          </w:p>
          <w:p w:rsidR="00B67B78" w:rsidRDefault="00B67B78" w:rsidP="00F552E1">
            <w:pPr>
              <w:autoSpaceDE w:val="0"/>
              <w:autoSpaceDN w:val="0"/>
              <w:adjustRightInd w:val="0"/>
              <w:jc w:val="both"/>
            </w:pPr>
            <w:r>
              <w:t xml:space="preserve">     Ja uzņemšanai izglītības iestādē tiek iesniegts ārvalstīs izsniegts izglītības dokuments, vecākiem un izglītojamiem jāņem vērā Izglītības likuma </w:t>
            </w:r>
            <w:r w:rsidRPr="00196E4D">
              <w:t>11.</w:t>
            </w:r>
            <w:r w:rsidRPr="00196E4D">
              <w:rPr>
                <w:vertAlign w:val="superscript"/>
              </w:rPr>
              <w:t>1</w:t>
            </w:r>
            <w:r>
              <w:t> panta ceturtās daļas 4.punktā noteiktais, ka</w:t>
            </w:r>
            <w:r w:rsidRPr="00196E4D">
              <w:t xml:space="preserve"> </w:t>
            </w:r>
            <w:r w:rsidRPr="005E30ED">
              <w:t xml:space="preserve"> izglītības turpināšanai pamatizglītības vai vidējās izglītības pakāpē </w:t>
            </w:r>
            <w:r>
              <w:t>l</w:t>
            </w:r>
            <w:r w:rsidRPr="005E30ED">
              <w:t>ēmumu par izglītības dokumenta atzīšanu, pamatojoties uz Akadēmiskās informācijas centra izziņu,</w:t>
            </w:r>
            <w:r>
              <w:t xml:space="preserve"> </w:t>
            </w:r>
            <w:r w:rsidRPr="005E30ED">
              <w:t>pieņem Izglītības un zinātnes ministrija.</w:t>
            </w:r>
          </w:p>
          <w:p w:rsidR="00633598" w:rsidRDefault="00DA6421" w:rsidP="00057173">
            <w:pPr>
              <w:jc w:val="both"/>
              <w:rPr>
                <w:bCs/>
              </w:rPr>
            </w:pPr>
            <w:r>
              <w:t xml:space="preserve">       </w:t>
            </w:r>
            <w:r w:rsidR="00F552E1">
              <w:t>Vispārējās izglītības iestādēs var tikt integrēti izglītojamie ar speciā</w:t>
            </w:r>
            <w:r w:rsidR="003A7346">
              <w:t>lām vajadzībām.</w:t>
            </w:r>
            <w:r w:rsidR="00F552E1">
              <w:t xml:space="preserve"> </w:t>
            </w:r>
            <w:r w:rsidR="003A7346">
              <w:t>Izglītības iestādei ir</w:t>
            </w:r>
            <w:r w:rsidR="00F552E1">
              <w:t xml:space="preserve"> jān</w:t>
            </w:r>
            <w:r>
              <w:t>odrošina</w:t>
            </w:r>
            <w:r w:rsidR="00F552E1">
              <w:t xml:space="preserve"> prasības, kas noteiktas Ministru kabineta 2003.gada 21.oktobra noteikumos Nr.579 „</w:t>
            </w:r>
            <w:r w:rsidR="00F552E1" w:rsidRPr="00231664">
              <w:rPr>
                <w:bCs/>
              </w:rPr>
              <w:t>Noteikumi par vispārējās pamatizglītības un vispārējās vidējās izglītības iestāžu nodrošinājumu atbilstoši speciālām vajadzībām</w:t>
            </w:r>
            <w:r w:rsidR="00F552E1">
              <w:rPr>
                <w:bCs/>
              </w:rPr>
              <w:t xml:space="preserve">”. 2010./2011.m.g. </w:t>
            </w:r>
            <w:r w:rsidR="00F552E1" w:rsidRPr="005D6EAC">
              <w:rPr>
                <w:bCs/>
              </w:rPr>
              <w:t>vispārējās izglītības iestādē</w:t>
            </w:r>
            <w:r w:rsidR="00F552E1">
              <w:rPr>
                <w:bCs/>
              </w:rPr>
              <w:t>s bija integrēti 117</w:t>
            </w:r>
            <w:r w:rsidR="00F552E1" w:rsidRPr="005D6EAC">
              <w:rPr>
                <w:bCs/>
              </w:rPr>
              <w:t xml:space="preserve"> </w:t>
            </w:r>
            <w:r w:rsidR="00F552E1">
              <w:rPr>
                <w:bCs/>
              </w:rPr>
              <w:t>izglītojamie</w:t>
            </w:r>
            <w:r w:rsidR="00F552E1" w:rsidRPr="005D6EAC">
              <w:rPr>
                <w:bCs/>
              </w:rPr>
              <w:t xml:space="preserve"> ar speciālām va</w:t>
            </w:r>
            <w:r w:rsidR="009C788D">
              <w:rPr>
                <w:bCs/>
              </w:rPr>
              <w:t>jadzībām</w:t>
            </w:r>
            <w:r w:rsidR="00F552E1">
              <w:rPr>
                <w:bCs/>
              </w:rPr>
              <w:t>, kuri</w:t>
            </w:r>
            <w:r w:rsidR="00F552E1" w:rsidRPr="005D6EAC">
              <w:rPr>
                <w:bCs/>
              </w:rPr>
              <w:t xml:space="preserve"> māc</w:t>
            </w:r>
            <w:r w:rsidR="00F552E1">
              <w:rPr>
                <w:bCs/>
              </w:rPr>
              <w:t>īj</w:t>
            </w:r>
            <w:r w:rsidR="00F552E1" w:rsidRPr="005D6EAC">
              <w:rPr>
                <w:bCs/>
              </w:rPr>
              <w:t>ās pēc vispārējās izglītības programmas</w:t>
            </w:r>
            <w:r w:rsidR="00F552E1">
              <w:rPr>
                <w:bCs/>
              </w:rPr>
              <w:t xml:space="preserve"> un 1474 izglītojamie ar speciālām vajadzībām, kuri mācījās</w:t>
            </w:r>
            <w:r w:rsidR="00F552E1" w:rsidRPr="005D6EAC">
              <w:rPr>
                <w:bCs/>
              </w:rPr>
              <w:t xml:space="preserve"> pēc speciālās izglītības programmas</w:t>
            </w:r>
            <w:r w:rsidR="00F552E1">
              <w:rPr>
                <w:bCs/>
              </w:rPr>
              <w:t xml:space="preserve">. </w:t>
            </w:r>
            <w:r w:rsidR="00F552E1">
              <w:t>Skolēnu</w:t>
            </w:r>
            <w:r w:rsidR="00F552E1" w:rsidRPr="00DB21B7">
              <w:t xml:space="preserve"> skaitam, kas apgūst speciālās izglītības </w:t>
            </w:r>
            <w:r w:rsidR="00F552E1" w:rsidRPr="00DB21B7">
              <w:lastRenderedPageBreak/>
              <w:t>program</w:t>
            </w:r>
            <w:r w:rsidR="00F552E1">
              <w:t>mas</w:t>
            </w:r>
            <w:r w:rsidR="00F552E1" w:rsidRPr="00DB21B7">
              <w:t xml:space="preserve"> integrēti vispārējās i</w:t>
            </w:r>
            <w:r w:rsidR="00F552E1">
              <w:t>zglītības iestādēs, tiek piemērots koeficients 1,6 atbilstoši Ministru kabineta 2009.gada 22.decembra noteikumiem Nr.1616 „</w:t>
            </w:r>
            <w:r w:rsidR="00F552E1" w:rsidRPr="00125EC9">
              <w:rPr>
                <w:bCs/>
              </w:rP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sidR="00F552E1">
              <w:rPr>
                <w:bCs/>
              </w:rPr>
              <w:t>”.</w:t>
            </w:r>
          </w:p>
          <w:p w:rsidR="00C43169" w:rsidRDefault="00057173" w:rsidP="00E25D74">
            <w:pPr>
              <w:autoSpaceDE w:val="0"/>
              <w:autoSpaceDN w:val="0"/>
              <w:adjustRightInd w:val="0"/>
              <w:jc w:val="both"/>
            </w:pPr>
            <w:r>
              <w:rPr>
                <w:bCs/>
              </w:rPr>
              <w:t xml:space="preserve">     </w:t>
            </w:r>
            <w:r w:rsidR="001D7398">
              <w:rPr>
                <w:bCs/>
              </w:rPr>
              <w:t>Pilngadīgu i</w:t>
            </w:r>
            <w:r>
              <w:rPr>
                <w:bCs/>
              </w:rPr>
              <w:t xml:space="preserve">zglītojamo var uzņemt </w:t>
            </w:r>
            <w:r w:rsidR="001D7398">
              <w:rPr>
                <w:bCs/>
              </w:rPr>
              <w:t xml:space="preserve">izglītības iestādē </w:t>
            </w:r>
            <w:r>
              <w:rPr>
                <w:bCs/>
              </w:rPr>
              <w:t>arī kā eksterni</w:t>
            </w:r>
            <w:r w:rsidR="006B491E">
              <w:rPr>
                <w:bCs/>
              </w:rPr>
              <w:t xml:space="preserve">. </w:t>
            </w:r>
            <w:r w:rsidR="009B6742">
              <w:t xml:space="preserve"> P</w:t>
            </w:r>
            <w:r w:rsidR="009B6742" w:rsidRPr="005E30ED">
              <w:t>amatizglītības iegūšana vai pamatizglītības iegūšanas turpināšana līdz 18 gadu vecuma sasniegšanai</w:t>
            </w:r>
            <w:r w:rsidR="009B6742">
              <w:t xml:space="preserve"> ir obligāta</w:t>
            </w:r>
            <w:r w:rsidR="009B6742" w:rsidRPr="005E30ED">
              <w:t>.</w:t>
            </w:r>
            <w:r w:rsidR="009B6742">
              <w:t xml:space="preserve"> Ierobežojums, ka pamatizglītību līdz 18 gadu vecuma sasniegšanai nevar iegūt pašizglītības formā, ir noteikts, jo nepilngadīgais nevar būt </w:t>
            </w:r>
            <w:r w:rsidR="009C788D">
              <w:t xml:space="preserve">pilnā mērā </w:t>
            </w:r>
            <w:r w:rsidR="009B6742">
              <w:t xml:space="preserve">atbildīgs par izglītības ieguvi pašizglītības formā kā eksternis, viņam ir jāizvēlas dienas, vakara (maiņu) vai neklātienes (tajā skaitā tālmācības) izglītības programmas. </w:t>
            </w:r>
          </w:p>
          <w:p w:rsidR="003916A9" w:rsidRDefault="003916A9" w:rsidP="003916A9">
            <w:pPr>
              <w:jc w:val="both"/>
            </w:pPr>
            <w:r>
              <w:t xml:space="preserve">      Tā kā </w:t>
            </w:r>
            <w:r w:rsidRPr="00196E4D">
              <w:t>normatīvā akta projektā neietver normas, kas dublē augstāka vai tāda paša spēka normatīvā akta tiesību normās ietverto normatīvo regulējumu,</w:t>
            </w:r>
            <w:r>
              <w:t xml:space="preserve"> MK noteikumu Nr.822 13.punktā noteiktā skolēna apliecības noformēšana nav ietverta, jo to nosaka MK 2005.gada 18.oktobra noteikumu Nr.779 „</w:t>
            </w:r>
            <w:r w:rsidRPr="00F874D9">
              <w:rPr>
                <w:bCs/>
              </w:rPr>
              <w:t>Noteikumi par vispārējās izglītības iestāžu pedagoģiskā procesa organizēšanai nepieciešamo obligāto dokumentāciju</w:t>
            </w:r>
            <w:r>
              <w:rPr>
                <w:bCs/>
              </w:rPr>
              <w:t>” 3.12.apakšpunkts.</w:t>
            </w:r>
          </w:p>
          <w:p w:rsidR="0038366F" w:rsidRPr="0038366F" w:rsidRDefault="0038366F" w:rsidP="0038366F">
            <w:pPr>
              <w:jc w:val="both"/>
            </w:pPr>
            <w:r w:rsidRPr="0038366F">
              <w:t xml:space="preserve">     </w:t>
            </w:r>
            <w:r>
              <w:t>V</w:t>
            </w:r>
            <w:r w:rsidRPr="0038366F">
              <w:t xml:space="preserve">alsts vai pašvaldības </w:t>
            </w:r>
            <w:r>
              <w:t>izglītības iestāde</w:t>
            </w:r>
            <w:r w:rsidRPr="0038366F">
              <w:t xml:space="preserve"> izglītojamā uzņemšanu</w:t>
            </w:r>
            <w:r>
              <w:t xml:space="preserve"> var atteikt gadījumos, ja izglītības iestādei ir tiesības rīkot iestājpārbaudījumus, kurus izglītojamais nav nokārtojis, kā arī gadījumā, ja klašu piepildī</w:t>
            </w:r>
            <w:r w:rsidR="0059168F">
              <w:t xml:space="preserve">jums ir sasniedzis plānoto, bet pašvaldības administratīvajā teritorijā ir pieejama cita izglītības iestāde, kas īsteno līdzīgu izglītības programmu. Atteikt izglītojamā uzņemšanu speciālās izglītības programmā var gadījumā, ja skolēna integrēšanai nepieciešamie speciālisti nav pieejami (piemēram, </w:t>
            </w:r>
            <w:proofErr w:type="spellStart"/>
            <w:r w:rsidR="0059168F">
              <w:t>surdotulks</w:t>
            </w:r>
            <w:proofErr w:type="spellEnd"/>
            <w:r w:rsidR="0059168F">
              <w:t xml:space="preserve">) pašvaldībai iedalītā valsts budžeta mērķdotācija pedagogu darba samaksai nav pietiekama visu nepieciešamo pedagogu un speciālistu algošanai, vai arī, piemēram, nav iespējama skolas pielāgošana vienam izglītojamam ar kustību traucējumiem, ja sasniedzamā attālumā atrodas cita, pielāgota izglītības iestāde. </w:t>
            </w:r>
            <w:r w:rsidR="00C607B1">
              <w:t xml:space="preserve">Atteikums nedrīkst nonākt pretrunā ar Izglītības </w:t>
            </w:r>
            <w:r w:rsidR="00982E55">
              <w:t>likumā noteiktajām tiesībām uz izglītību un pašvaldībai noteikto pienākumu nodrošināt iespēju iegūt izglītību.</w:t>
            </w:r>
          </w:p>
          <w:p w:rsidR="0092780C" w:rsidRPr="00334FC4" w:rsidRDefault="00C43169" w:rsidP="00334FC4">
            <w:pPr>
              <w:jc w:val="both"/>
            </w:pPr>
            <w:r w:rsidRPr="00334FC4">
              <w:t xml:space="preserve">     </w:t>
            </w:r>
            <w:r w:rsidR="006B491E" w:rsidRPr="00334FC4">
              <w:t xml:space="preserve">Īpašos gadījumos 1.-4.klasē pieļaujama izglītības programmas apguve mājās vecāku atbildībā. </w:t>
            </w:r>
            <w:r w:rsidR="0092780C" w:rsidRPr="00334FC4">
              <w:t>Gadā šo iespēju izmanto 10-15 bērnu vecāki.</w:t>
            </w:r>
            <w:r w:rsidR="00334FC4" w:rsidRPr="00334FC4">
              <w:t xml:space="preserve"> </w:t>
            </w:r>
            <w:r w:rsidR="00334FC4">
              <w:t>Izglītības iestādes pienākums ir nepieciešamības gadījumā konsultēt vecākus izglītības programmas apguves jautājumos un pārliecināties, ka bērns apgūst vecumam atbilstošo izglītības standartu saskaņā ar valsts pamatizglītības standartā noteikto, bet vecāku pienākums ir radīt mājās</w:t>
            </w:r>
            <w:r w:rsidR="00334FC4" w:rsidRPr="00334FC4">
              <w:t xml:space="preserve"> </w:t>
            </w:r>
            <w:r w:rsidR="00334FC4">
              <w:t>bērna mācībām nepieciešamos apstākļus un nodrošināt izglītības ieguvi bērnam.</w:t>
            </w:r>
          </w:p>
          <w:p w:rsidR="004E775E" w:rsidRPr="00E25D74" w:rsidRDefault="00334FC4" w:rsidP="00E25D74">
            <w:pPr>
              <w:autoSpaceDE w:val="0"/>
              <w:autoSpaceDN w:val="0"/>
              <w:adjustRightInd w:val="0"/>
              <w:jc w:val="both"/>
              <w:rPr>
                <w:rFonts w:ascii="Arial" w:hAnsi="Arial" w:cs="Arial"/>
                <w:color w:val="000000"/>
                <w:sz w:val="20"/>
                <w:szCs w:val="20"/>
              </w:rPr>
            </w:pPr>
            <w:r>
              <w:t xml:space="preserve">     </w:t>
            </w:r>
            <w:r w:rsidR="004E775E">
              <w:t>Pāriešanai uz citu izglītības iestādi obligātajā izglītības vecumā ir noteikta kārtība, lai izglītojamais „nep</w:t>
            </w:r>
            <w:r w:rsidR="003916A9">
              <w:t>azustu” no izglītības sistēmas.</w:t>
            </w:r>
            <w:r w:rsidR="00391847">
              <w:rPr>
                <w:bCs/>
              </w:rPr>
              <w:t xml:space="preserve"> </w:t>
            </w:r>
            <w:r w:rsidR="00E25D74">
              <w:rPr>
                <w:color w:val="000000"/>
              </w:rPr>
              <w:t>G</w:t>
            </w:r>
            <w:r w:rsidR="00E25D74" w:rsidRPr="00E25D74">
              <w:rPr>
                <w:color w:val="000000"/>
              </w:rPr>
              <w:t xml:space="preserve">adījumos, kad tiek veikts skolas likvidācijas vai </w:t>
            </w:r>
            <w:r w:rsidR="00E25D74" w:rsidRPr="00E25D74">
              <w:rPr>
                <w:color w:val="000000"/>
              </w:rPr>
              <w:lastRenderedPageBreak/>
              <w:t>reorganizācijas process</w:t>
            </w:r>
            <w:r w:rsidR="00E25D74">
              <w:rPr>
                <w:color w:val="000000"/>
              </w:rPr>
              <w:t>, dibinātājam noteikts pienākums nodroši</w:t>
            </w:r>
            <w:r w:rsidR="001D7398">
              <w:rPr>
                <w:color w:val="000000"/>
              </w:rPr>
              <w:t>nāt</w:t>
            </w:r>
            <w:r w:rsidR="00E25D74">
              <w:rPr>
                <w:color w:val="000000"/>
              </w:rPr>
              <w:t xml:space="preserve"> izglītojamo iespējas turpināt izglītību citās izglītības iestādēs. </w:t>
            </w:r>
            <w:r w:rsidR="004E775E">
              <w:t>Paredzēti arī gadījumi, ja izglītojamais gatavojas turpināt izglītību citā vals</w:t>
            </w:r>
            <w:r w:rsidR="003A7346">
              <w:t>tī</w:t>
            </w:r>
            <w:r w:rsidR="004E775E">
              <w:t xml:space="preserve"> vai atgriežas no citas valsts, vai pirmo reizi ierodas Latvijā no citas valsts.</w:t>
            </w:r>
            <w:r w:rsidR="006B491E">
              <w:t xml:space="preserve"> Ja izglītojamais atgriežas Latvijā vai arī līdz šim nav dzīvojis Latvijā, izglītības i</w:t>
            </w:r>
            <w:r w:rsidR="001D7398">
              <w:t>estādei ir jānodrošina objektīvs</w:t>
            </w:r>
            <w:r w:rsidR="006B491E">
              <w:t xml:space="preserve"> apgū</w:t>
            </w:r>
            <w:r w:rsidR="001D7398">
              <w:t>tā izglītības satura izvērtējums</w:t>
            </w:r>
            <w:r w:rsidR="006B491E">
              <w:t xml:space="preserve"> un jānosaka nepieciešamie atbalsta pasākumi izglītības ieguves sekmīgai turpināšanai.</w:t>
            </w:r>
            <w:r w:rsidR="00E25D74">
              <w:t xml:space="preserve"> </w:t>
            </w:r>
          </w:p>
          <w:p w:rsidR="004A2F3F" w:rsidRPr="00860B29" w:rsidRDefault="00C562D1" w:rsidP="004A2F3F">
            <w:pPr>
              <w:jc w:val="both"/>
            </w:pPr>
            <w:r>
              <w:t xml:space="preserve">     </w:t>
            </w:r>
            <w:r w:rsidR="00707674">
              <w:t>Attiecībā uz pārcelšanu nākamajā klasē, salīdzinot ar MK noteikumiem Nr.8</w:t>
            </w:r>
            <w:r w:rsidR="003A6A5D">
              <w:t>22, ir veikti vairāki grozījumi ar mērķi pēc ies</w:t>
            </w:r>
            <w:r w:rsidR="001D1170">
              <w:t>p</w:t>
            </w:r>
            <w:r w:rsidR="003A6A5D">
              <w:t xml:space="preserve">ējas samazināt izglītojamo skaitu, kuri ir spiesti </w:t>
            </w:r>
            <w:r w:rsidR="001D1170">
              <w:t>palikt otru gadu tajā pašā klasē.</w:t>
            </w:r>
            <w:r w:rsidR="00707674">
              <w:t xml:space="preserve"> Noteikts, ka 1.-4.klasē izglītojamos uz otru gadu tajā pašā klasē neatstāj</w:t>
            </w:r>
            <w:r w:rsidR="0039221A">
              <w:t>, izņemot īpašus gadījumus</w:t>
            </w:r>
            <w:r>
              <w:t xml:space="preserve"> saistībā ar izglītojamā veselības stāvokli, vispārējo attīstību, sasniegumu attī</w:t>
            </w:r>
            <w:r w:rsidR="006B491E">
              <w:t>stības dinamiku</w:t>
            </w:r>
            <w:r>
              <w:t>, tas ir, pedagogiem veicot kompleksu izvērtējumu izglītojamā interesēs</w:t>
            </w:r>
            <w:r w:rsidR="00707674">
              <w:t xml:space="preserve">. </w:t>
            </w:r>
            <w:r w:rsidR="0039221A">
              <w:t xml:space="preserve">Tiem </w:t>
            </w:r>
            <w:r w:rsidR="00D027F7">
              <w:t>1.-4.klases</w:t>
            </w:r>
            <w:r w:rsidR="00707674">
              <w:t xml:space="preserve"> skolēniem, kuru mācību sasniegumi mācību gada noslēgumā nav pietiekami, tiek paredzēti papildu mācību pasākumi d</w:t>
            </w:r>
            <w:r w:rsidR="006B491E">
              <w:t>ivu nedēļu ilgumā</w:t>
            </w:r>
            <w:r w:rsidR="00707674">
              <w:t>.</w:t>
            </w:r>
            <w:r w:rsidR="004A2F3F">
              <w:t xml:space="preserve">  Ministru kabineta 2006.gada 19.decembra noteikumu Nr.1027 „</w:t>
            </w:r>
            <w:r w:rsidR="004A2F3F" w:rsidRPr="00FF571F">
              <w:rPr>
                <w:bCs/>
              </w:rPr>
              <w:t>Noteikumi par valsts standartu pamatizglītībā un pamatizglītības mācību priekšmetu standartiem</w:t>
            </w:r>
            <w:r w:rsidR="004A2F3F">
              <w:rPr>
                <w:bCs/>
              </w:rPr>
              <w:t>” 15.un 16.punktā ir noteikts, ka</w:t>
            </w:r>
            <w:r w:rsidR="004A2F3F">
              <w:t xml:space="preserve"> i</w:t>
            </w:r>
            <w:r w:rsidR="004A2F3F" w:rsidRPr="00860B29">
              <w:t>zglītojamā mācību sasniegumus 1.klasē vērtē aprakstoši. Tas ir īss mutisks un rakstisks vērtējums par izglītojamā mācību darbību, mācīšanās stilu, saskarsmes un sadarbības prasmēm, attieksmi pret mācībām un mācību sasniegumu attīstības dinamiku. </w:t>
            </w:r>
            <w:r w:rsidR="004A2F3F">
              <w:t xml:space="preserve">Tāpat arī </w:t>
            </w:r>
            <w:r w:rsidR="004A2F3F" w:rsidRPr="008D4AE5">
              <w:t>2. un 3.klasē</w:t>
            </w:r>
            <w:r w:rsidR="004A2F3F">
              <w:t xml:space="preserve"> (izņemot matemātiku, latviešu valodu</w:t>
            </w:r>
            <w:r w:rsidR="004A2F3F" w:rsidRPr="008D4AE5">
              <w:t>, latviešu valod</w:t>
            </w:r>
            <w:r w:rsidR="004A2F3F">
              <w:t>u un literatūru</w:t>
            </w:r>
            <w:r w:rsidR="004A2F3F" w:rsidRPr="008D4AE5">
              <w:t xml:space="preserve"> mazākumtautību</w:t>
            </w:r>
            <w:r w:rsidR="004A2F3F">
              <w:t xml:space="preserve"> izglītības programmās</w:t>
            </w:r>
            <w:r w:rsidR="004A2F3F" w:rsidRPr="008D4AE5">
              <w:t xml:space="preserve"> un </w:t>
            </w:r>
            <w:r w:rsidR="004A2F3F">
              <w:t>mazākumtautības valodu)</w:t>
            </w:r>
            <w:r w:rsidR="004A2F3F" w:rsidRPr="008D4AE5">
              <w:t xml:space="preserve">  izglītojamā mācību sasniegumus vērtē aprakstoši.</w:t>
            </w:r>
            <w:r w:rsidR="004A2F3F">
              <w:t xml:space="preserve"> Saņemtais aprakstošais </w:t>
            </w:r>
            <w:r w:rsidR="004A2F3F" w:rsidRPr="00906CEE">
              <w:t xml:space="preserve">mācību sasniegumu vērtējums </w:t>
            </w:r>
            <w:r w:rsidR="004A2F3F">
              <w:t xml:space="preserve">var norādīt uz </w:t>
            </w:r>
            <w:r w:rsidR="004A2F3F" w:rsidRPr="00906CEE">
              <w:t>neatbilst</w:t>
            </w:r>
            <w:r w:rsidR="004A2F3F">
              <w:t>ību</w:t>
            </w:r>
            <w:r w:rsidR="004A2F3F" w:rsidRPr="00906CEE">
              <w:t xml:space="preserve"> mācību priekšmeta standartā noteiktajiem sasniedzamajiem rezultātiem</w:t>
            </w:r>
            <w:r w:rsidR="004A2F3F">
              <w:t>, un arī šādā gadījumā skolēnam tiek paredzēti papildu mācību pasākumi.</w:t>
            </w:r>
          </w:p>
          <w:p w:rsidR="00707674" w:rsidRDefault="00707674" w:rsidP="006B491E">
            <w:pPr>
              <w:jc w:val="both"/>
            </w:pPr>
            <w:r>
              <w:t xml:space="preserve"> </w:t>
            </w:r>
            <w:r w:rsidR="004A2F3F">
              <w:t xml:space="preserve">     </w:t>
            </w:r>
            <w:r w:rsidR="00D027F7">
              <w:t>Noteikumu projektā</w:t>
            </w:r>
            <w:r w:rsidR="0039221A">
              <w:t xml:space="preserve"> paredzēts, ka 5.-9.klašu grupā uz nākamo klasi var pārcelt ar ne vairāk </w:t>
            </w:r>
            <w:r w:rsidR="00C562D1">
              <w:t xml:space="preserve">kā vienu nepietiekamu vērtējumu. Ar 2011./2012.mācību gadu arī apliecību par pamatizglītību varēs saņemt tikai ar ne vairāk kā vienu nepietiekamu vērtējumu (Vispārējās izglītības likuma 39.panta trešā daļa). </w:t>
            </w:r>
            <w:r w:rsidR="0039221A">
              <w:t>10.-12.klašu grupā tāpat kā šajā mācību gadā</w:t>
            </w:r>
            <w:r w:rsidR="00C562D1">
              <w:t xml:space="preserve"> nākamajā klasē </w:t>
            </w:r>
            <w:r w:rsidR="006B491E">
              <w:t>pārceļ</w:t>
            </w:r>
            <w:r w:rsidR="0039221A">
              <w:t xml:space="preserve"> tikai ar pietiekamiem vērtējumiem. Ja pietiekamu vērtējumu no 4 līdz 10 ballēm nav izdevies saņemt mācību gada laikā, paliek iespēja mācīties vēl papildus divas nedēļas pēc mācību gada beigām un kārtot pēcpārbaudījumu. Arī 10.-12.klasē uz otru gadu paredzēts atstāt tikai īpašos gadījumos. Pēc vakara (maiņu) un neklātienes skolu priekšlikuma</w:t>
            </w:r>
            <w:r w:rsidR="008C31D5">
              <w:t xml:space="preserve"> ir atstāta papildus iespēja š</w:t>
            </w:r>
            <w:r w:rsidR="006764FF">
              <w:t>o programmu izglītojamos pārcelt nākamajā klasē ar ne vairāk kā diviem</w:t>
            </w:r>
            <w:r w:rsidR="008C31D5">
              <w:t xml:space="preserve"> </w:t>
            </w:r>
            <w:r w:rsidR="006764FF">
              <w:t xml:space="preserve">nepietiekamiem vērtējumiem, nosakot individuālu plānu atbilstošo mācību priekšmetu pietiekamai apguvei. Vakara (maiņu) izglītības programmās lielākoties mācās pieauguši izglītojamie, bieži arī pēc ilgāka pārtraukuma mācībās. Tādēļ, atsākot mācības 10., 11. vai </w:t>
            </w:r>
            <w:r w:rsidR="006764FF">
              <w:lastRenderedPageBreak/>
              <w:t>12.klasē, var izrādīties nepieciešams papildus laiks mācību iemaņu atgūšanai</w:t>
            </w:r>
            <w:r w:rsidR="008C31D5">
              <w:t>.</w:t>
            </w:r>
            <w:r w:rsidR="0039221A">
              <w:t xml:space="preserve"> </w:t>
            </w:r>
            <w:r w:rsidR="006764FF">
              <w:t xml:space="preserve">Tas attiecas arī uz pamatizglītības pakāpi. </w:t>
            </w:r>
            <w:r>
              <w:t>Visās klašu grupās paredzēts, ka izglītojamo neatstāj tajā pašā klasē uz trešo gadu.</w:t>
            </w:r>
            <w:r w:rsidR="006764FF">
              <w:t xml:space="preserve"> Ja ir radusies situācija, ka arī pēc atkārtotas mācīšanās otru gadu tajā pašā klasē izglītojamais nespēj sasniegt pietiekamas zināšanas un prasmes, viņu pārceļ uz nākamo klasi, nosakot individuālu izglītības programmas īstenošanas plānu vai arī izvērtējot, vai nav nepieciešama cita izglītības programma.</w:t>
            </w:r>
          </w:p>
          <w:p w:rsidR="003916A9" w:rsidRDefault="003916A9" w:rsidP="006B491E">
            <w:pPr>
              <w:jc w:val="both"/>
            </w:pPr>
            <w:r>
              <w:t xml:space="preserve">     </w:t>
            </w:r>
            <w:r w:rsidR="003A7346">
              <w:t xml:space="preserve">Iepriekš </w:t>
            </w:r>
            <w:r>
              <w:t>MK noteikumu Nr.822 37.punktā noteiktais par mācību gada noslēguma pārbaudes darbiem neatbilst šo noteikumu kontekstam un dublē MK 2006.gada 19.decembra noteikumu Nr.1027 „</w:t>
            </w:r>
            <w:r w:rsidRPr="00FC3617">
              <w:rPr>
                <w:bCs/>
              </w:rPr>
              <w:t>Noteikumi par valsts standartu pamatizglītībā un pamatizglītības mācību priekšmetu standartiem</w:t>
            </w:r>
            <w:r>
              <w:rPr>
                <w:bCs/>
              </w:rPr>
              <w:t>” V nodaļā noteikto, tādēļ šī norma noteikumu projektā nav iekļauta.</w:t>
            </w:r>
          </w:p>
          <w:p w:rsidR="006764FF" w:rsidRDefault="006764FF" w:rsidP="006764FF">
            <w:pPr>
              <w:jc w:val="both"/>
            </w:pPr>
            <w:r>
              <w:t xml:space="preserve">     Ja izglītojamais tomēr ir atstāts uz otru gadu tajā pašā klasē, viņam obligāti jānosa</w:t>
            </w:r>
            <w:r w:rsidR="006B491E">
              <w:t>ka atbilstoši atbalsta pasākumi.</w:t>
            </w:r>
          </w:p>
          <w:p w:rsidR="00D430C5" w:rsidRDefault="00D430C5" w:rsidP="006764FF">
            <w:pPr>
              <w:jc w:val="both"/>
            </w:pPr>
            <w:r>
              <w:t xml:space="preserve">     Ja pēc 9.klases ir saņemta liecība, izglītojamais drīkst turpināt pamatizglītības ieguvi</w:t>
            </w:r>
            <w:r w:rsidR="006B491E">
              <w:t>, paliekot uz otru gadu 9.klasē, k</w:t>
            </w:r>
            <w:r w:rsidR="00446398">
              <w:t>amēr tiek iegūta pamatizglītība, jo p</w:t>
            </w:r>
            <w:r w:rsidR="00446398" w:rsidRPr="005E30ED">
              <w:t>amatizglītības iegūšana vai pamatizglītības iegūšanas turpināšana līdz 18 gadu vecuma sasniegšanai</w:t>
            </w:r>
            <w:r w:rsidR="00446398">
              <w:t xml:space="preserve"> ir obligāta</w:t>
            </w:r>
            <w:r w:rsidR="00446398" w:rsidRPr="005E30ED">
              <w:t>.</w:t>
            </w:r>
            <w:r w:rsidR="00446398">
              <w:t xml:space="preserve"> Ja saņemta liecība pēc 12.klases (2010./2011.m.g. tādi bija 95 jeb 0,7% izglītojamo), tas ir, nav iegūtas vismaz minimālās 4 balles no 10 ballēm kādā mācī</w:t>
            </w:r>
            <w:r w:rsidR="00AB2B26">
              <w:t xml:space="preserve">bu priekšmetā mācību gada laikā un nav nokārtots arī </w:t>
            </w:r>
            <w:proofErr w:type="spellStart"/>
            <w:r w:rsidR="00AB2B26">
              <w:t>pēcpārbaudījums</w:t>
            </w:r>
            <w:proofErr w:type="spellEnd"/>
            <w:r w:rsidR="00AB2B26">
              <w:t>, tad</w:t>
            </w:r>
            <w:r w:rsidR="00446398">
              <w:t xml:space="preserve"> pietiekami vērtējumi atbilstošajos mācību priekšmetos ir jāiegūst pašizglītības formā. 12.klases absolventi parasti </w:t>
            </w:r>
            <w:r w:rsidR="00446398" w:rsidRPr="00AB2B26">
              <w:t>ir sasnieguši vismaz 18-19 gadu vecumu.</w:t>
            </w:r>
            <w:r w:rsidR="00AB2B26" w:rsidRPr="00AB2B26">
              <w:t xml:space="preserve">  12.klasē </w:t>
            </w:r>
            <w:r w:rsidR="00AB2B26">
              <w:t>uz otru gadu</w:t>
            </w:r>
            <w:r w:rsidR="00AB2B26" w:rsidRPr="00AB2B26">
              <w:t xml:space="preserve"> </w:t>
            </w:r>
            <w:r w:rsidR="00AB2B26">
              <w:t xml:space="preserve">var palikt </w:t>
            </w:r>
            <w:r w:rsidR="00AB2B26" w:rsidRPr="00AB2B26">
              <w:t xml:space="preserve">tikai gadījumā, ja </w:t>
            </w:r>
            <w:r w:rsidR="00AB2B26">
              <w:t xml:space="preserve">nepietiekamie vērtējumi saņemti </w:t>
            </w:r>
            <w:r w:rsidR="00AB2B26" w:rsidRPr="00AB2B26">
              <w:t>attaisnojamu kavējumu</w:t>
            </w:r>
            <w:r w:rsidR="00AB2B26">
              <w:t xml:space="preserve"> (piemēram, slimības) dēļ.</w:t>
            </w:r>
          </w:p>
          <w:p w:rsidR="00D430C5" w:rsidRDefault="00D430C5" w:rsidP="006764FF">
            <w:pPr>
              <w:jc w:val="both"/>
            </w:pPr>
            <w:r>
              <w:t xml:space="preserve">    Atsevišķos gadījumos paredzēta iespēja, ka izglītojamais spēj apgūt divu vai vairāku klašu mācību priekšmetu saturu vienā gadā.</w:t>
            </w:r>
          </w:p>
          <w:p w:rsidR="00262E2B" w:rsidRDefault="003A4BA0" w:rsidP="00D027F7">
            <w:pPr>
              <w:pStyle w:val="naiskr"/>
              <w:spacing w:before="0" w:after="0"/>
              <w:jc w:val="both"/>
            </w:pPr>
            <w:r>
              <w:t xml:space="preserve">     </w:t>
            </w:r>
            <w:r w:rsidR="00707674">
              <w:t>Noteikumu proj</w:t>
            </w:r>
            <w:r w:rsidR="009C788D">
              <w:t>ekts papildināts ar sadaļu „V</w:t>
            </w:r>
            <w:r w:rsidR="00707674">
              <w:t xml:space="preserve"> </w:t>
            </w:r>
            <w:r w:rsidR="00707674" w:rsidRPr="00DF127C">
              <w:t>Izglītojamā atskaitīšana no vispārējās izglītības iestādes</w:t>
            </w:r>
            <w:r w:rsidR="00707674">
              <w:t xml:space="preserve">”. Izglītības iestādes vairākkārt vērsušās </w:t>
            </w:r>
            <w:r w:rsidR="00D430C5">
              <w:t xml:space="preserve">Izglītības un zinātnes </w:t>
            </w:r>
            <w:r w:rsidR="00707674">
              <w:t>ministrijā ar lūgumu paredzēt normatīvajos dokumentos punktus, pamatojoties uz kuriem var izdot rīkojumu par atskaitīšanu. Obligātajā izglītības vecumā atskaitīt var tikai tad, ja izglītojamais pāriet uz citu izglītības iestādi Latvijā vai ārpus Latvijas, bet vidējās izglītības pakāpē</w:t>
            </w:r>
            <w:r w:rsidR="00D430C5">
              <w:t xml:space="preserve"> arī tad</w:t>
            </w:r>
            <w:r w:rsidR="00707674">
              <w:t>, ja izglītojamais atkā</w:t>
            </w:r>
            <w:r w:rsidR="00D430C5">
              <w:t>rtoti neievēro Izglītības likumā</w:t>
            </w:r>
            <w:r w:rsidR="00707674">
              <w:t xml:space="preserve"> noteiktos pienākumus mācīties, apmeklēt mācību stundas, </w:t>
            </w:r>
            <w:r w:rsidR="00707674" w:rsidRPr="005E30ED">
              <w:t>ar cieņu izturēties pret Latvijas valsti, tās Satversmi, vēsturi, sabiedrību, valsts simboliem un latviešu valodu; ievērot pedagogu, izglītojamo un citu personu tiesības un intereses; nepieļaut emocionālu un fizisku vardarbību; neapdraudēt savu un citu personu veselību, drošību un dzīvību</w:t>
            </w:r>
            <w:r w:rsidR="00707674">
              <w:t xml:space="preserve"> u.c.</w:t>
            </w:r>
            <w:r w:rsidR="00E25D74">
              <w:t xml:space="preserve"> </w:t>
            </w:r>
          </w:p>
          <w:p w:rsidR="009C788D" w:rsidRPr="009C788D" w:rsidRDefault="003A7346" w:rsidP="009C788D">
            <w:pPr>
              <w:ind w:firstLine="288"/>
              <w:jc w:val="both"/>
            </w:pPr>
            <w:r>
              <w:t xml:space="preserve">  </w:t>
            </w:r>
            <w:r w:rsidR="009C788D" w:rsidRPr="009C788D">
              <w:t xml:space="preserve">Lai nemainītu noteikumus mācību gada vidū, </w:t>
            </w:r>
            <w:r w:rsidR="009C788D">
              <w:t xml:space="preserve">noteikumu projektā paredzēts, ka </w:t>
            </w:r>
            <w:r w:rsidR="009C788D" w:rsidRPr="009C788D">
              <w:rPr>
                <w:rFonts w:eastAsia="Calibri"/>
                <w:color w:val="000000"/>
              </w:rPr>
              <w:t xml:space="preserve">2011./2012.mācību gadā izglītojamo </w:t>
            </w:r>
            <w:r w:rsidR="009C788D">
              <w:rPr>
                <w:rFonts w:eastAsia="Calibri"/>
                <w:color w:val="000000"/>
              </w:rPr>
              <w:t xml:space="preserve">vēl </w:t>
            </w:r>
            <w:r w:rsidR="009C788D" w:rsidRPr="009C788D">
              <w:rPr>
                <w:rFonts w:eastAsia="Calibri"/>
                <w:color w:val="000000"/>
              </w:rPr>
              <w:t>pārceļ nākamajā klasē atbilstoši tiesiskajam regulējumam, kas bija spēkā līdz 2012.gada 1.janvārim.</w:t>
            </w:r>
          </w:p>
        </w:tc>
      </w:tr>
      <w:tr w:rsidR="00262E2B" w:rsidRPr="00315D40" w:rsidTr="00315D40">
        <w:trPr>
          <w:trHeight w:val="476"/>
        </w:trPr>
        <w:tc>
          <w:tcPr>
            <w:tcW w:w="105" w:type="pct"/>
          </w:tcPr>
          <w:p w:rsidR="00262E2B" w:rsidRPr="00315D40" w:rsidRDefault="00262E2B" w:rsidP="00315D40">
            <w:pPr>
              <w:pStyle w:val="naiskr"/>
              <w:spacing w:before="0" w:after="0"/>
            </w:pPr>
            <w:r w:rsidRPr="00315D40">
              <w:lastRenderedPageBreak/>
              <w:t>5.</w:t>
            </w:r>
          </w:p>
        </w:tc>
        <w:tc>
          <w:tcPr>
            <w:tcW w:w="1311" w:type="pct"/>
          </w:tcPr>
          <w:p w:rsidR="00262E2B" w:rsidRPr="00315D40" w:rsidRDefault="001A4066" w:rsidP="00315D40">
            <w:pPr>
              <w:pStyle w:val="naiskr"/>
              <w:spacing w:before="0" w:after="0"/>
            </w:pPr>
            <w:r w:rsidRPr="00315D40">
              <w:t>Projekta i</w:t>
            </w:r>
            <w:r w:rsidR="00262E2B" w:rsidRPr="00315D40">
              <w:t>zstrād</w:t>
            </w:r>
            <w:r w:rsidR="00420870" w:rsidRPr="00315D40">
              <w:t xml:space="preserve">ē </w:t>
            </w:r>
            <w:r w:rsidR="00262E2B" w:rsidRPr="00315D40">
              <w:lastRenderedPageBreak/>
              <w:t>iesaistītās institūcijas</w:t>
            </w:r>
          </w:p>
        </w:tc>
        <w:tc>
          <w:tcPr>
            <w:tcW w:w="3584" w:type="pct"/>
          </w:tcPr>
          <w:p w:rsidR="00D027F7" w:rsidRPr="00E25D74" w:rsidRDefault="00200838" w:rsidP="00D027F7">
            <w:pPr>
              <w:pStyle w:val="naiskr"/>
              <w:spacing w:before="0" w:after="0"/>
              <w:jc w:val="both"/>
              <w:rPr>
                <w:bCs/>
                <w:color w:val="000000"/>
              </w:rPr>
            </w:pPr>
            <w:r w:rsidRPr="00766421">
              <w:rPr>
                <w:iCs/>
              </w:rPr>
              <w:lastRenderedPageBreak/>
              <w:t>Valsts izglītības satura centrs</w:t>
            </w:r>
            <w:r w:rsidR="00766421">
              <w:rPr>
                <w:iCs/>
              </w:rPr>
              <w:t xml:space="preserve"> (VISC)</w:t>
            </w:r>
            <w:r w:rsidRPr="00766421">
              <w:rPr>
                <w:iCs/>
              </w:rPr>
              <w:t xml:space="preserve">, Izglītības kvalitātes valsts </w:t>
            </w:r>
            <w:r w:rsidR="00766421">
              <w:rPr>
                <w:iCs/>
              </w:rPr>
              <w:lastRenderedPageBreak/>
              <w:t>dienests (IKVD)</w:t>
            </w:r>
            <w:r w:rsidR="00683DE8">
              <w:rPr>
                <w:iCs/>
              </w:rPr>
              <w:t>.</w:t>
            </w:r>
          </w:p>
        </w:tc>
      </w:tr>
      <w:tr w:rsidR="00262E2B" w:rsidRPr="00315D40" w:rsidTr="00200838">
        <w:trPr>
          <w:trHeight w:val="906"/>
        </w:trPr>
        <w:tc>
          <w:tcPr>
            <w:tcW w:w="105" w:type="pct"/>
          </w:tcPr>
          <w:p w:rsidR="00262E2B" w:rsidRPr="00315D40" w:rsidRDefault="00262E2B" w:rsidP="00315D40">
            <w:pPr>
              <w:pStyle w:val="naiskr"/>
              <w:spacing w:before="0" w:after="0"/>
            </w:pPr>
            <w:r w:rsidRPr="00315D40">
              <w:lastRenderedPageBreak/>
              <w:t>6.</w:t>
            </w:r>
          </w:p>
        </w:tc>
        <w:tc>
          <w:tcPr>
            <w:tcW w:w="1311" w:type="pct"/>
          </w:tcPr>
          <w:p w:rsidR="00262E2B" w:rsidRPr="00315D40" w:rsidRDefault="00BB7C94" w:rsidP="00315D40">
            <w:pPr>
              <w:pStyle w:val="naiskr"/>
              <w:spacing w:before="0" w:after="0"/>
              <w:rPr>
                <w:i/>
                <w:highlight w:val="yellow"/>
              </w:rPr>
            </w:pPr>
            <w:r w:rsidRPr="00315D40">
              <w:t xml:space="preserve">Iemesli, kādēļ netika nodrošināta </w:t>
            </w:r>
            <w:r w:rsidR="00262E2B" w:rsidRPr="00315D40">
              <w:t xml:space="preserve">sabiedrības </w:t>
            </w:r>
            <w:r w:rsidRPr="00315D40">
              <w:t>līdzdalība</w:t>
            </w:r>
          </w:p>
        </w:tc>
        <w:tc>
          <w:tcPr>
            <w:tcW w:w="3584" w:type="pct"/>
          </w:tcPr>
          <w:p w:rsidR="00D20FF4" w:rsidRPr="00315D40" w:rsidRDefault="00D430C5" w:rsidP="00200838">
            <w:pPr>
              <w:pStyle w:val="naiskr"/>
              <w:spacing w:before="0" w:after="0"/>
            </w:pPr>
            <w:r>
              <w:t>Nav attiecināms</w:t>
            </w:r>
          </w:p>
        </w:tc>
      </w:tr>
      <w:tr w:rsidR="00262E2B" w:rsidRPr="00315D40" w:rsidTr="00315D40">
        <w:tc>
          <w:tcPr>
            <w:tcW w:w="105" w:type="pct"/>
          </w:tcPr>
          <w:p w:rsidR="00262E2B" w:rsidRPr="00315D40" w:rsidRDefault="00262E2B" w:rsidP="00315D40">
            <w:pPr>
              <w:pStyle w:val="naiskr"/>
              <w:spacing w:before="0" w:after="0"/>
            </w:pPr>
            <w:r w:rsidRPr="00315D40">
              <w:t>7.</w:t>
            </w:r>
          </w:p>
        </w:tc>
        <w:tc>
          <w:tcPr>
            <w:tcW w:w="1311" w:type="pct"/>
          </w:tcPr>
          <w:p w:rsidR="00262E2B" w:rsidRPr="00315D40" w:rsidRDefault="00262E2B" w:rsidP="00315D40">
            <w:pPr>
              <w:pStyle w:val="naiskr"/>
              <w:spacing w:before="0" w:after="0"/>
            </w:pPr>
            <w:r w:rsidRPr="00315D40">
              <w:t>Cita informācija</w:t>
            </w:r>
          </w:p>
        </w:tc>
        <w:tc>
          <w:tcPr>
            <w:tcW w:w="3584" w:type="pct"/>
          </w:tcPr>
          <w:p w:rsidR="00262E2B" w:rsidRPr="00315D40" w:rsidRDefault="00262E2B" w:rsidP="00315D40">
            <w:pPr>
              <w:pStyle w:val="naiskr"/>
              <w:spacing w:before="0" w:after="0"/>
            </w:pPr>
            <w:r w:rsidRPr="00315D40">
              <w:t>Nav</w:t>
            </w:r>
          </w:p>
        </w:tc>
      </w:tr>
    </w:tbl>
    <w:p w:rsidR="00852042" w:rsidRDefault="00852042" w:rsidP="006C4607">
      <w:pPr>
        <w:pStyle w:val="naisf"/>
        <w:spacing w:before="0" w:after="0"/>
      </w:pPr>
    </w:p>
    <w:p w:rsidR="00B60EC8" w:rsidRPr="007C0F2C" w:rsidRDefault="00B60EC8" w:rsidP="006C4607">
      <w:pPr>
        <w:pStyle w:val="naisf"/>
        <w:spacing w:before="0" w:after="0"/>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94"/>
        <w:gridCol w:w="3266"/>
        <w:gridCol w:w="5625"/>
      </w:tblGrid>
      <w:tr w:rsidR="0062298A" w:rsidRPr="00315D40" w:rsidTr="005B04C7">
        <w:tc>
          <w:tcPr>
            <w:tcW w:w="0" w:type="auto"/>
            <w:gridSpan w:val="3"/>
            <w:vAlign w:val="center"/>
          </w:tcPr>
          <w:p w:rsidR="0062298A" w:rsidRPr="00315D40" w:rsidRDefault="0062298A" w:rsidP="006C4607">
            <w:pPr>
              <w:pStyle w:val="naisnod"/>
              <w:spacing w:before="0" w:after="0"/>
            </w:pPr>
            <w:r w:rsidRPr="00315D40">
              <w:t>II</w:t>
            </w:r>
            <w:r w:rsidR="000941C5" w:rsidRPr="00315D40">
              <w:t>.</w:t>
            </w:r>
            <w:r w:rsidRPr="00315D40">
              <w:t xml:space="preserve"> Tiesību akta projekta ietekme uz sabiedrību</w:t>
            </w:r>
          </w:p>
        </w:tc>
      </w:tr>
      <w:tr w:rsidR="00E25D74" w:rsidRPr="00315D40" w:rsidTr="005B04C7">
        <w:trPr>
          <w:trHeight w:val="467"/>
        </w:trPr>
        <w:tc>
          <w:tcPr>
            <w:tcW w:w="0" w:type="auto"/>
          </w:tcPr>
          <w:p w:rsidR="0062298A" w:rsidRPr="00315D40" w:rsidRDefault="0062298A" w:rsidP="006C4607">
            <w:pPr>
              <w:pStyle w:val="naiskr"/>
              <w:spacing w:before="0" w:after="0"/>
            </w:pPr>
            <w:r w:rsidRPr="00315D40">
              <w:t>1.</w:t>
            </w:r>
          </w:p>
        </w:tc>
        <w:tc>
          <w:tcPr>
            <w:tcW w:w="0" w:type="auto"/>
          </w:tcPr>
          <w:p w:rsidR="0062298A" w:rsidRPr="00315D40" w:rsidRDefault="00C27A08" w:rsidP="006C4607">
            <w:pPr>
              <w:pStyle w:val="naiskr"/>
              <w:spacing w:before="0" w:after="0"/>
            </w:pPr>
            <w:r w:rsidRPr="00315D40">
              <w:t xml:space="preserve">Sabiedrības </w:t>
            </w:r>
            <w:proofErr w:type="spellStart"/>
            <w:r w:rsidRPr="00315D40">
              <w:t>mērķgrupa</w:t>
            </w:r>
            <w:proofErr w:type="spellEnd"/>
          </w:p>
        </w:tc>
        <w:tc>
          <w:tcPr>
            <w:tcW w:w="0" w:type="auto"/>
          </w:tcPr>
          <w:p w:rsidR="0062298A" w:rsidRPr="00315D40" w:rsidRDefault="009E12D7" w:rsidP="005B04C7">
            <w:pPr>
              <w:pStyle w:val="naiskr"/>
              <w:spacing w:before="0" w:after="0"/>
              <w:ind w:hanging="57"/>
              <w:jc w:val="both"/>
            </w:pPr>
            <w:r w:rsidRPr="00315D40">
              <w:rPr>
                <w:iCs/>
              </w:rPr>
              <w:t> </w:t>
            </w:r>
            <w:r w:rsidR="006747A7">
              <w:rPr>
                <w:iCs/>
              </w:rPr>
              <w:t xml:space="preserve">Latvijas vispārējās izglītības iestāžu izglītojamie </w:t>
            </w:r>
            <w:r w:rsidR="005B04C7">
              <w:rPr>
                <w:iCs/>
              </w:rPr>
              <w:t>(ap 217</w:t>
            </w:r>
            <w:r w:rsidR="00E85F5B">
              <w:rPr>
                <w:iCs/>
              </w:rPr>
              <w:t> </w:t>
            </w:r>
            <w:r w:rsidR="005B04C7">
              <w:rPr>
                <w:iCs/>
              </w:rPr>
              <w:t>000 skolēnu dienas skolās, ap 12</w:t>
            </w:r>
            <w:r w:rsidR="00E85F5B">
              <w:rPr>
                <w:iCs/>
              </w:rPr>
              <w:t> </w:t>
            </w:r>
            <w:r w:rsidR="005B04C7">
              <w:rPr>
                <w:iCs/>
              </w:rPr>
              <w:t>000 izglītojamo vakara (maiņu) un neklātienes skolās</w:t>
            </w:r>
            <w:r w:rsidR="00E25D74">
              <w:rPr>
                <w:iCs/>
              </w:rPr>
              <w:t xml:space="preserve"> un izglītības programmās</w:t>
            </w:r>
            <w:r w:rsidR="005B04C7">
              <w:rPr>
                <w:iCs/>
              </w:rPr>
              <w:t xml:space="preserve">) </w:t>
            </w:r>
            <w:r w:rsidR="006747A7">
              <w:rPr>
                <w:iCs/>
              </w:rPr>
              <w:t>un pedagogi</w:t>
            </w:r>
            <w:r w:rsidR="005B04C7">
              <w:rPr>
                <w:iCs/>
              </w:rPr>
              <w:t xml:space="preserve"> (28</w:t>
            </w:r>
            <w:r w:rsidR="00E85F5B">
              <w:rPr>
                <w:iCs/>
              </w:rPr>
              <w:t> </w:t>
            </w:r>
            <w:r w:rsidR="005B04C7">
              <w:rPr>
                <w:iCs/>
              </w:rPr>
              <w:t>000 dienas skolās, 890 vakara</w:t>
            </w:r>
            <w:r w:rsidR="00E25D74">
              <w:rPr>
                <w:iCs/>
              </w:rPr>
              <w:t xml:space="preserve"> (maiņu) skolās</w:t>
            </w:r>
            <w:r w:rsidR="005B04C7">
              <w:rPr>
                <w:iCs/>
              </w:rPr>
              <w:t>)</w:t>
            </w:r>
            <w:r w:rsidR="006747A7">
              <w:rPr>
                <w:iCs/>
              </w:rPr>
              <w:t>.</w:t>
            </w:r>
          </w:p>
        </w:tc>
      </w:tr>
      <w:tr w:rsidR="00E25D74" w:rsidRPr="00315D40" w:rsidTr="005B04C7">
        <w:trPr>
          <w:trHeight w:val="523"/>
        </w:trPr>
        <w:tc>
          <w:tcPr>
            <w:tcW w:w="0" w:type="auto"/>
          </w:tcPr>
          <w:p w:rsidR="0062298A" w:rsidRPr="00315D40" w:rsidRDefault="0062298A" w:rsidP="006C4607">
            <w:pPr>
              <w:pStyle w:val="naiskr"/>
              <w:spacing w:before="0" w:after="0"/>
            </w:pPr>
            <w:r w:rsidRPr="00315D40">
              <w:t>2.</w:t>
            </w:r>
          </w:p>
        </w:tc>
        <w:tc>
          <w:tcPr>
            <w:tcW w:w="0" w:type="auto"/>
          </w:tcPr>
          <w:p w:rsidR="00C1133D" w:rsidRPr="00315D40" w:rsidRDefault="00C27A08" w:rsidP="006C4607">
            <w:pPr>
              <w:pStyle w:val="naiskr"/>
              <w:spacing w:before="0" w:after="0"/>
            </w:pPr>
            <w:r w:rsidRPr="00315D40">
              <w:t xml:space="preserve">Citas sabiedrības grupas (bez </w:t>
            </w:r>
            <w:proofErr w:type="spellStart"/>
            <w:r w:rsidRPr="00315D40">
              <w:t>mērķgrupas</w:t>
            </w:r>
            <w:proofErr w:type="spellEnd"/>
            <w:r w:rsidRPr="00315D40">
              <w:t>), kuras tiesiskais regulējums arī ietekmē vai varētu ietekmēt</w:t>
            </w:r>
          </w:p>
        </w:tc>
        <w:tc>
          <w:tcPr>
            <w:tcW w:w="0" w:type="auto"/>
          </w:tcPr>
          <w:p w:rsidR="0062298A" w:rsidRPr="00315D40" w:rsidRDefault="003A4BA0" w:rsidP="00DD3684">
            <w:pPr>
              <w:pStyle w:val="naiskr"/>
              <w:spacing w:before="0" w:after="0"/>
              <w:jc w:val="both"/>
            </w:pPr>
            <w:r>
              <w:rPr>
                <w:iCs/>
              </w:rPr>
              <w:t>Otrgadnieku un trešgadnieku vecāki</w:t>
            </w:r>
            <w:r w:rsidR="00CB574B">
              <w:rPr>
                <w:iCs/>
              </w:rPr>
              <w:t xml:space="preserve">, kuru bērniem būs par gadu </w:t>
            </w:r>
            <w:r w:rsidR="00D027F7">
              <w:rPr>
                <w:iCs/>
              </w:rPr>
              <w:t xml:space="preserve">vai pat diviem gadiem </w:t>
            </w:r>
            <w:r w:rsidR="00CB574B">
              <w:rPr>
                <w:iCs/>
              </w:rPr>
              <w:t>īsāks skolas laiks, ja skolēni netiks atstāti uz otru gadu tajā pašā klasē</w:t>
            </w:r>
            <w:r w:rsidR="009E5D3A">
              <w:rPr>
                <w:iCs/>
              </w:rPr>
              <w:t>, bet viņiem tiks sniegts atbilstošs pedagoģiskais atbalsts.</w:t>
            </w:r>
          </w:p>
        </w:tc>
      </w:tr>
      <w:tr w:rsidR="00E25D74" w:rsidRPr="00315D40" w:rsidTr="005B04C7">
        <w:trPr>
          <w:trHeight w:val="517"/>
        </w:trPr>
        <w:tc>
          <w:tcPr>
            <w:tcW w:w="0" w:type="auto"/>
          </w:tcPr>
          <w:p w:rsidR="0062298A" w:rsidRPr="00315D40" w:rsidRDefault="0062298A" w:rsidP="006C4607">
            <w:pPr>
              <w:pStyle w:val="naiskr"/>
              <w:spacing w:before="0" w:after="0"/>
            </w:pPr>
            <w:r w:rsidRPr="00315D40">
              <w:t>3.</w:t>
            </w:r>
          </w:p>
        </w:tc>
        <w:tc>
          <w:tcPr>
            <w:tcW w:w="0" w:type="auto"/>
          </w:tcPr>
          <w:p w:rsidR="00C1133D" w:rsidRPr="00315D40" w:rsidRDefault="000C790C" w:rsidP="006C4607">
            <w:pPr>
              <w:pStyle w:val="naiskr"/>
              <w:spacing w:before="0" w:after="0"/>
            </w:pPr>
            <w:r w:rsidRPr="00315D40">
              <w:t>Tiesiskā r</w:t>
            </w:r>
            <w:r w:rsidR="003D21FF" w:rsidRPr="00315D40">
              <w:t>egulējuma</w:t>
            </w:r>
            <w:r w:rsidR="00C27A08" w:rsidRPr="00315D40">
              <w:t xml:space="preserve"> finansiālā ietekme</w:t>
            </w:r>
          </w:p>
        </w:tc>
        <w:tc>
          <w:tcPr>
            <w:tcW w:w="0" w:type="auto"/>
          </w:tcPr>
          <w:p w:rsidR="0062298A" w:rsidRPr="003A4BA0" w:rsidRDefault="009E5D3A" w:rsidP="00DD3684">
            <w:pPr>
              <w:pStyle w:val="naiskr"/>
              <w:spacing w:before="0" w:after="0"/>
              <w:jc w:val="both"/>
              <w:rPr>
                <w:iCs/>
              </w:rPr>
            </w:pPr>
            <w:r w:rsidRPr="00CB574B">
              <w:rPr>
                <w:iCs/>
              </w:rPr>
              <w:t>Projekts šo jomu neskar</w:t>
            </w:r>
          </w:p>
        </w:tc>
      </w:tr>
      <w:tr w:rsidR="00E25D74" w:rsidRPr="00315D40" w:rsidTr="005B04C7">
        <w:trPr>
          <w:trHeight w:val="517"/>
        </w:trPr>
        <w:tc>
          <w:tcPr>
            <w:tcW w:w="0" w:type="auto"/>
          </w:tcPr>
          <w:p w:rsidR="00C27A08" w:rsidRPr="00315D40" w:rsidRDefault="00C27A08" w:rsidP="006C4607">
            <w:pPr>
              <w:pStyle w:val="naiskr"/>
              <w:spacing w:before="0" w:after="0"/>
            </w:pPr>
            <w:r w:rsidRPr="00315D40">
              <w:t>4.</w:t>
            </w:r>
          </w:p>
        </w:tc>
        <w:tc>
          <w:tcPr>
            <w:tcW w:w="0" w:type="auto"/>
          </w:tcPr>
          <w:p w:rsidR="00C27A08" w:rsidRPr="00315D40" w:rsidRDefault="00C27A08" w:rsidP="006C4607">
            <w:pPr>
              <w:pStyle w:val="naiskr"/>
              <w:spacing w:before="0" w:after="0"/>
            </w:pPr>
            <w:r w:rsidRPr="00315D40">
              <w:t>Tiesiskā regulējuma nefinansiālā ietekme</w:t>
            </w:r>
          </w:p>
        </w:tc>
        <w:tc>
          <w:tcPr>
            <w:tcW w:w="0" w:type="auto"/>
          </w:tcPr>
          <w:p w:rsidR="00C27A08" w:rsidRPr="00315D40" w:rsidRDefault="003A4BA0" w:rsidP="00DD3684">
            <w:pPr>
              <w:pStyle w:val="naiskr"/>
              <w:spacing w:before="0" w:after="0"/>
              <w:jc w:val="both"/>
            </w:pPr>
            <w:r>
              <w:t>Paaugstinātos skolēnu vidējie mācību sasniegumi, kā arī mo</w:t>
            </w:r>
            <w:r w:rsidR="009E5D3A">
              <w:t>tivācija mācīties</w:t>
            </w:r>
            <w:r w:rsidR="00DD3684">
              <w:t>,</w:t>
            </w:r>
            <w:r>
              <w:t xml:space="preserve"> samazinātos </w:t>
            </w:r>
            <w:r w:rsidR="00DD3684">
              <w:t>„</w:t>
            </w:r>
            <w:r>
              <w:t>atbirums</w:t>
            </w:r>
            <w:r w:rsidR="00DD3684">
              <w:t>”</w:t>
            </w:r>
            <w:r>
              <w:t xml:space="preserve"> no skolām.</w:t>
            </w:r>
          </w:p>
        </w:tc>
      </w:tr>
      <w:tr w:rsidR="00E25D74" w:rsidRPr="00315D40" w:rsidTr="005B04C7">
        <w:trPr>
          <w:trHeight w:val="531"/>
        </w:trPr>
        <w:tc>
          <w:tcPr>
            <w:tcW w:w="0" w:type="auto"/>
          </w:tcPr>
          <w:p w:rsidR="0062298A" w:rsidRPr="00315D40" w:rsidRDefault="00C27A08" w:rsidP="006C4607">
            <w:pPr>
              <w:pStyle w:val="naiskr"/>
              <w:spacing w:before="0" w:after="0"/>
            </w:pPr>
            <w:r w:rsidRPr="00315D40">
              <w:t>5</w:t>
            </w:r>
            <w:r w:rsidR="0062298A" w:rsidRPr="00315D40">
              <w:t>.</w:t>
            </w:r>
          </w:p>
        </w:tc>
        <w:tc>
          <w:tcPr>
            <w:tcW w:w="0" w:type="auto"/>
          </w:tcPr>
          <w:p w:rsidR="00C1133D" w:rsidRPr="00315D40" w:rsidRDefault="00C1133D" w:rsidP="006C4607">
            <w:pPr>
              <w:pStyle w:val="naiskr"/>
              <w:spacing w:before="0" w:after="0"/>
            </w:pPr>
            <w:r w:rsidRPr="00315D40">
              <w:t>Administratīv</w:t>
            </w:r>
            <w:r w:rsidR="00C27A08" w:rsidRPr="00315D40">
              <w:t>ās</w:t>
            </w:r>
            <w:r w:rsidRPr="00315D40">
              <w:t xml:space="preserve"> procedūr</w:t>
            </w:r>
            <w:r w:rsidR="00965897" w:rsidRPr="00315D40">
              <w:t>a</w:t>
            </w:r>
            <w:r w:rsidRPr="00315D40">
              <w:t xml:space="preserve">s </w:t>
            </w:r>
            <w:r w:rsidR="00C27A08" w:rsidRPr="00315D40">
              <w:t>raksturojums</w:t>
            </w:r>
          </w:p>
        </w:tc>
        <w:tc>
          <w:tcPr>
            <w:tcW w:w="0" w:type="auto"/>
          </w:tcPr>
          <w:p w:rsidR="0062298A" w:rsidRPr="00CB574B" w:rsidRDefault="00A27CA6" w:rsidP="006C4607">
            <w:pPr>
              <w:pStyle w:val="naiskr"/>
              <w:spacing w:before="0" w:after="0"/>
            </w:pPr>
            <w:r w:rsidRPr="00CB574B">
              <w:rPr>
                <w:iCs/>
              </w:rPr>
              <w:t>Projekts šo jomu neskar</w:t>
            </w:r>
          </w:p>
        </w:tc>
      </w:tr>
      <w:tr w:rsidR="00E25D74" w:rsidRPr="00315D40" w:rsidTr="005B04C7">
        <w:trPr>
          <w:trHeight w:val="357"/>
        </w:trPr>
        <w:tc>
          <w:tcPr>
            <w:tcW w:w="0" w:type="auto"/>
          </w:tcPr>
          <w:p w:rsidR="0062298A" w:rsidRPr="00315D40" w:rsidRDefault="00C27A08" w:rsidP="006C4607">
            <w:pPr>
              <w:pStyle w:val="naiskr"/>
              <w:spacing w:before="0" w:after="0"/>
            </w:pPr>
            <w:r w:rsidRPr="00315D40">
              <w:t>6</w:t>
            </w:r>
            <w:r w:rsidR="0062298A" w:rsidRPr="00315D40">
              <w:t>.</w:t>
            </w:r>
          </w:p>
        </w:tc>
        <w:tc>
          <w:tcPr>
            <w:tcW w:w="0" w:type="auto"/>
          </w:tcPr>
          <w:p w:rsidR="00AE5066" w:rsidRPr="00315D40" w:rsidRDefault="00C27A08" w:rsidP="006C4607">
            <w:pPr>
              <w:pStyle w:val="naiskr"/>
              <w:spacing w:before="0" w:after="0"/>
            </w:pPr>
            <w:r w:rsidRPr="00315D40">
              <w:t xml:space="preserve">Administratīvo izmaksu </w:t>
            </w:r>
            <w:r w:rsidR="00502374" w:rsidRPr="00315D40">
              <w:t xml:space="preserve">monetārs </w:t>
            </w:r>
            <w:r w:rsidRPr="00315D40">
              <w:t>novērtējums</w:t>
            </w:r>
          </w:p>
        </w:tc>
        <w:tc>
          <w:tcPr>
            <w:tcW w:w="0" w:type="auto"/>
          </w:tcPr>
          <w:p w:rsidR="0062298A" w:rsidRPr="00CB574B" w:rsidRDefault="00A27CA6" w:rsidP="006C4607">
            <w:pPr>
              <w:pStyle w:val="naiskr"/>
              <w:spacing w:before="0" w:after="0"/>
            </w:pPr>
            <w:r w:rsidRPr="00CB574B">
              <w:rPr>
                <w:iCs/>
              </w:rPr>
              <w:t>Projekts šo jomu neskar</w:t>
            </w:r>
          </w:p>
        </w:tc>
      </w:tr>
      <w:tr w:rsidR="00E25D74" w:rsidRPr="00315D40" w:rsidTr="005B04C7">
        <w:tc>
          <w:tcPr>
            <w:tcW w:w="0" w:type="auto"/>
          </w:tcPr>
          <w:p w:rsidR="0062298A" w:rsidRPr="00315D40" w:rsidRDefault="00C27A08" w:rsidP="006C4607">
            <w:pPr>
              <w:pStyle w:val="naiskr"/>
              <w:spacing w:before="0" w:after="0"/>
            </w:pPr>
            <w:r w:rsidRPr="00315D40">
              <w:t>7</w:t>
            </w:r>
            <w:r w:rsidR="0062298A" w:rsidRPr="00315D40">
              <w:t>.</w:t>
            </w:r>
          </w:p>
        </w:tc>
        <w:tc>
          <w:tcPr>
            <w:tcW w:w="0" w:type="auto"/>
          </w:tcPr>
          <w:p w:rsidR="0062298A" w:rsidRPr="00315D40" w:rsidRDefault="009E12D7" w:rsidP="006C4607">
            <w:pPr>
              <w:pStyle w:val="naiskr"/>
              <w:spacing w:before="0" w:after="0"/>
            </w:pPr>
            <w:r w:rsidRPr="00315D40">
              <w:t>Cita informācija</w:t>
            </w:r>
          </w:p>
        </w:tc>
        <w:tc>
          <w:tcPr>
            <w:tcW w:w="0" w:type="auto"/>
          </w:tcPr>
          <w:p w:rsidR="0062298A" w:rsidRPr="00315D40" w:rsidRDefault="0062298A" w:rsidP="006C4607">
            <w:pPr>
              <w:pStyle w:val="naiskr"/>
              <w:spacing w:before="0" w:after="0"/>
            </w:pPr>
            <w:r w:rsidRPr="00315D40">
              <w:t>Nav</w:t>
            </w:r>
          </w:p>
        </w:tc>
      </w:tr>
    </w:tbl>
    <w:p w:rsidR="008C5649" w:rsidRDefault="008C5649" w:rsidP="006C4607">
      <w:pPr>
        <w:pStyle w:val="naisf"/>
        <w:spacing w:before="0" w:after="0"/>
      </w:pPr>
    </w:p>
    <w:p w:rsidR="00315D40" w:rsidRPr="00D80024" w:rsidRDefault="00315D40" w:rsidP="00CB574B">
      <w:pPr>
        <w:pStyle w:val="tvhtml"/>
        <w:spacing w:before="0" w:beforeAutospacing="0" w:after="0" w:afterAutospacing="0"/>
        <w:rPr>
          <w:sz w:val="24"/>
          <w:szCs w:val="24"/>
        </w:rPr>
      </w:pPr>
      <w:r w:rsidRPr="00D80024">
        <w:rPr>
          <w:i/>
          <w:iCs/>
          <w:sz w:val="24"/>
          <w:szCs w:val="24"/>
        </w:rPr>
        <w:t>Anotācijas III, IV un V sadaļa – projekts šīs jomas neskar.</w:t>
      </w:r>
    </w:p>
    <w:p w:rsidR="00C31E36" w:rsidRPr="00AF544C" w:rsidRDefault="00C31E36" w:rsidP="00C31E36"/>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30"/>
        <w:gridCol w:w="2841"/>
        <w:gridCol w:w="5860"/>
      </w:tblGrid>
      <w:tr w:rsidR="00277929" w:rsidRPr="00A901DB" w:rsidTr="00A901DB">
        <w:trPr>
          <w:jc w:val="center"/>
        </w:trPr>
        <w:tc>
          <w:tcPr>
            <w:tcW w:w="5000" w:type="pct"/>
            <w:gridSpan w:val="3"/>
          </w:tcPr>
          <w:p w:rsidR="00277929" w:rsidRPr="00A901DB" w:rsidRDefault="00277929" w:rsidP="007D099D">
            <w:pPr>
              <w:pStyle w:val="naisnod"/>
              <w:spacing w:before="0" w:after="0"/>
              <w:ind w:left="57" w:right="57"/>
            </w:pPr>
            <w:r w:rsidRPr="00A901DB">
              <w:t>VI</w:t>
            </w:r>
            <w:r w:rsidR="000941C5" w:rsidRPr="00A901DB">
              <w:t>.</w:t>
            </w:r>
            <w:r w:rsidRPr="00A901DB">
              <w:t xml:space="preserve"> Sabiedrības līdzdalība un šīs līdzdalības rezultāti</w:t>
            </w:r>
          </w:p>
        </w:tc>
      </w:tr>
      <w:tr w:rsidR="00183CC2" w:rsidRPr="00A901DB" w:rsidTr="00A901DB">
        <w:trPr>
          <w:trHeight w:val="553"/>
          <w:jc w:val="center"/>
        </w:trPr>
        <w:tc>
          <w:tcPr>
            <w:tcW w:w="287" w:type="pct"/>
          </w:tcPr>
          <w:p w:rsidR="00183CC2" w:rsidRPr="00A901DB" w:rsidRDefault="00183CC2" w:rsidP="007D099D">
            <w:pPr>
              <w:pStyle w:val="naiskr"/>
              <w:spacing w:before="0" w:after="0"/>
              <w:ind w:left="57" w:right="57"/>
              <w:rPr>
                <w:bCs/>
              </w:rPr>
            </w:pPr>
            <w:r w:rsidRPr="00A901DB">
              <w:rPr>
                <w:bCs/>
              </w:rPr>
              <w:t>1.</w:t>
            </w:r>
          </w:p>
        </w:tc>
        <w:tc>
          <w:tcPr>
            <w:tcW w:w="1539" w:type="pct"/>
          </w:tcPr>
          <w:p w:rsidR="00183CC2" w:rsidRPr="00A901DB" w:rsidRDefault="00183CC2" w:rsidP="007D099D">
            <w:pPr>
              <w:pStyle w:val="naiskr"/>
              <w:tabs>
                <w:tab w:val="left" w:pos="170"/>
              </w:tabs>
              <w:spacing w:before="0" w:after="0"/>
              <w:ind w:left="57" w:right="57"/>
            </w:pPr>
            <w:r w:rsidRPr="00A901DB">
              <w:t>Sabiedrības informēšana par projekta izstrādes uzsākšanu</w:t>
            </w:r>
          </w:p>
        </w:tc>
        <w:tc>
          <w:tcPr>
            <w:tcW w:w="3174" w:type="pct"/>
          </w:tcPr>
          <w:p w:rsidR="00183CC2" w:rsidRPr="00A901DB" w:rsidRDefault="00A27CA6" w:rsidP="007D099D">
            <w:pPr>
              <w:pStyle w:val="naiskr"/>
              <w:spacing w:before="0" w:after="0"/>
              <w:ind w:left="57" w:right="57"/>
              <w:jc w:val="both"/>
            </w:pPr>
            <w:r>
              <w:rPr>
                <w:iCs/>
              </w:rPr>
              <w:t>Par projekta izstrādes uzsākšanu informēti visi republikas pilsētu un novadu izglītības pārvalžu vadītāji un speciālisti 2011.gada 17.augusta seminārā.</w:t>
            </w:r>
            <w:r w:rsidR="009E5D3A">
              <w:rPr>
                <w:iCs/>
              </w:rPr>
              <w:t xml:space="preserve"> Noteikumu projekts nodots apspriešanai 2011.gada novembrī.</w:t>
            </w:r>
          </w:p>
        </w:tc>
      </w:tr>
      <w:tr w:rsidR="00277929" w:rsidRPr="00A901DB" w:rsidTr="00A901DB">
        <w:trPr>
          <w:trHeight w:val="339"/>
          <w:jc w:val="center"/>
        </w:trPr>
        <w:tc>
          <w:tcPr>
            <w:tcW w:w="287" w:type="pct"/>
          </w:tcPr>
          <w:p w:rsidR="00277929" w:rsidRPr="00A901DB" w:rsidRDefault="00183CC2" w:rsidP="007D099D">
            <w:pPr>
              <w:pStyle w:val="naiskr"/>
              <w:spacing w:before="0" w:after="0"/>
              <w:ind w:left="57" w:right="57"/>
              <w:rPr>
                <w:bCs/>
              </w:rPr>
            </w:pPr>
            <w:r w:rsidRPr="00A901DB">
              <w:rPr>
                <w:bCs/>
              </w:rPr>
              <w:t>2</w:t>
            </w:r>
            <w:r w:rsidR="00277929" w:rsidRPr="00A901DB">
              <w:rPr>
                <w:bCs/>
              </w:rPr>
              <w:t>.</w:t>
            </w:r>
          </w:p>
        </w:tc>
        <w:tc>
          <w:tcPr>
            <w:tcW w:w="1539" w:type="pct"/>
          </w:tcPr>
          <w:p w:rsidR="00277929" w:rsidRPr="00A901DB" w:rsidRDefault="00E179CD" w:rsidP="007D099D">
            <w:pPr>
              <w:pStyle w:val="naiskr"/>
              <w:spacing w:before="0" w:after="0"/>
              <w:ind w:left="57" w:right="57"/>
            </w:pPr>
            <w:r w:rsidRPr="00A901DB">
              <w:t>S</w:t>
            </w:r>
            <w:r w:rsidR="00DB073B" w:rsidRPr="00A901DB">
              <w:t>abiedrības</w:t>
            </w:r>
            <w:r w:rsidR="00B73166" w:rsidRPr="00A901DB">
              <w:t xml:space="preserve"> </w:t>
            </w:r>
            <w:r w:rsidR="00DB073B" w:rsidRPr="00A901DB">
              <w:t>līdzdalība</w:t>
            </w:r>
            <w:r w:rsidR="00B73166" w:rsidRPr="00A901DB">
              <w:t xml:space="preserve"> </w:t>
            </w:r>
            <w:r w:rsidR="00AB2B1A" w:rsidRPr="00A901DB">
              <w:t>projekta izstrādē</w:t>
            </w:r>
            <w:r w:rsidR="00DB073B" w:rsidRPr="00A901DB">
              <w:t xml:space="preserve"> </w:t>
            </w:r>
          </w:p>
        </w:tc>
        <w:tc>
          <w:tcPr>
            <w:tcW w:w="3174" w:type="pct"/>
          </w:tcPr>
          <w:p w:rsidR="00DD3684" w:rsidRPr="00A901DB" w:rsidRDefault="009E5D3A" w:rsidP="00D027F7">
            <w:pPr>
              <w:pStyle w:val="naiskr"/>
              <w:spacing w:before="0" w:after="0"/>
              <w:ind w:left="57" w:right="57"/>
              <w:jc w:val="both"/>
            </w:pPr>
            <w:r>
              <w:t>Saņemti LIVA un vēl 25 novadu un pilsētu izglītības pārvalžu, izglītības speciālistu un izglītības iestāžu vadītāju atzinumi un priekšlikumi.</w:t>
            </w:r>
          </w:p>
        </w:tc>
      </w:tr>
      <w:tr w:rsidR="00277929" w:rsidRPr="00A901DB" w:rsidTr="00A901DB">
        <w:trPr>
          <w:trHeight w:val="375"/>
          <w:jc w:val="center"/>
        </w:trPr>
        <w:tc>
          <w:tcPr>
            <w:tcW w:w="287" w:type="pct"/>
          </w:tcPr>
          <w:p w:rsidR="00277929" w:rsidRPr="00A901DB" w:rsidRDefault="00183CC2" w:rsidP="007D099D">
            <w:pPr>
              <w:pStyle w:val="naiskr"/>
              <w:spacing w:before="0" w:after="0"/>
              <w:ind w:left="57" w:right="57"/>
              <w:rPr>
                <w:bCs/>
              </w:rPr>
            </w:pPr>
            <w:r w:rsidRPr="00A901DB">
              <w:rPr>
                <w:bCs/>
              </w:rPr>
              <w:t>3</w:t>
            </w:r>
            <w:r w:rsidR="00277929" w:rsidRPr="00A901DB">
              <w:rPr>
                <w:bCs/>
              </w:rPr>
              <w:t>.</w:t>
            </w:r>
          </w:p>
        </w:tc>
        <w:tc>
          <w:tcPr>
            <w:tcW w:w="1539" w:type="pct"/>
          </w:tcPr>
          <w:p w:rsidR="00784422" w:rsidRPr="00A901DB" w:rsidRDefault="00DB78F0" w:rsidP="007D099D">
            <w:pPr>
              <w:pStyle w:val="naiskr"/>
              <w:spacing w:before="0" w:after="0"/>
              <w:ind w:left="57" w:right="57"/>
            </w:pPr>
            <w:r w:rsidRPr="00A901DB">
              <w:t xml:space="preserve">Sabiedrības līdzdalības rezultāti </w:t>
            </w:r>
          </w:p>
        </w:tc>
        <w:tc>
          <w:tcPr>
            <w:tcW w:w="3174" w:type="pct"/>
          </w:tcPr>
          <w:p w:rsidR="00DD3684" w:rsidRPr="00A901DB" w:rsidRDefault="009E5D3A" w:rsidP="00D027F7">
            <w:pPr>
              <w:pStyle w:val="naiskr"/>
              <w:spacing w:before="0" w:after="0"/>
              <w:ind w:left="57" w:right="57"/>
              <w:jc w:val="both"/>
            </w:pPr>
            <w:r>
              <w:t>Visi saņemtie priekšlikumi ir izvērtēti un pēc iespējas apkopotā veidā iestrādāti MK noteikumu projektā. Būtiski iebildumi par projektu netika saņemti.</w:t>
            </w:r>
          </w:p>
        </w:tc>
      </w:tr>
      <w:tr w:rsidR="00DE0B83" w:rsidRPr="00A901DB" w:rsidTr="00A901DB">
        <w:trPr>
          <w:trHeight w:val="397"/>
          <w:jc w:val="center"/>
        </w:trPr>
        <w:tc>
          <w:tcPr>
            <w:tcW w:w="287" w:type="pct"/>
          </w:tcPr>
          <w:p w:rsidR="00DE0B83" w:rsidRPr="00A901DB" w:rsidRDefault="00183CC2" w:rsidP="007D099D">
            <w:pPr>
              <w:pStyle w:val="naiskr"/>
              <w:spacing w:before="0" w:after="0"/>
              <w:ind w:left="57" w:right="57"/>
              <w:rPr>
                <w:bCs/>
              </w:rPr>
            </w:pPr>
            <w:r w:rsidRPr="00A901DB">
              <w:rPr>
                <w:bCs/>
              </w:rPr>
              <w:t>4</w:t>
            </w:r>
            <w:r w:rsidR="00DE0B83" w:rsidRPr="00A901DB">
              <w:rPr>
                <w:bCs/>
              </w:rPr>
              <w:t>.</w:t>
            </w:r>
          </w:p>
        </w:tc>
        <w:tc>
          <w:tcPr>
            <w:tcW w:w="1539" w:type="pct"/>
          </w:tcPr>
          <w:p w:rsidR="00DE0B83" w:rsidRPr="00A901DB" w:rsidRDefault="00DE0B83" w:rsidP="007D099D">
            <w:pPr>
              <w:pStyle w:val="naiskr"/>
              <w:spacing w:before="0" w:after="0"/>
              <w:ind w:left="57" w:right="57"/>
            </w:pPr>
            <w:r w:rsidRPr="00A901DB">
              <w:t>Saeimas un ekspertu līdzdalība</w:t>
            </w:r>
          </w:p>
        </w:tc>
        <w:tc>
          <w:tcPr>
            <w:tcW w:w="3174" w:type="pct"/>
          </w:tcPr>
          <w:p w:rsidR="00DE0B83" w:rsidRPr="00A901DB" w:rsidRDefault="00DD3684" w:rsidP="007D099D">
            <w:pPr>
              <w:pStyle w:val="naiskr"/>
              <w:spacing w:before="0" w:after="0"/>
              <w:ind w:left="57" w:right="57"/>
              <w:jc w:val="both"/>
            </w:pPr>
            <w:r w:rsidRPr="00CB574B">
              <w:rPr>
                <w:iCs/>
              </w:rPr>
              <w:t>Projekts šo jomu neskar</w:t>
            </w:r>
          </w:p>
        </w:tc>
      </w:tr>
      <w:tr w:rsidR="00277929" w:rsidRPr="00A901DB" w:rsidTr="00683DE8">
        <w:trPr>
          <w:trHeight w:val="344"/>
          <w:jc w:val="center"/>
        </w:trPr>
        <w:tc>
          <w:tcPr>
            <w:tcW w:w="287" w:type="pct"/>
          </w:tcPr>
          <w:p w:rsidR="00277929" w:rsidRPr="00A901DB" w:rsidRDefault="00183CC2" w:rsidP="007D099D">
            <w:pPr>
              <w:pStyle w:val="naiskr"/>
              <w:spacing w:before="0" w:after="0"/>
              <w:ind w:left="57" w:right="57"/>
              <w:rPr>
                <w:bCs/>
              </w:rPr>
            </w:pPr>
            <w:r w:rsidRPr="00A901DB">
              <w:rPr>
                <w:bCs/>
              </w:rPr>
              <w:t>5</w:t>
            </w:r>
            <w:r w:rsidR="00277929" w:rsidRPr="00A901DB">
              <w:rPr>
                <w:bCs/>
              </w:rPr>
              <w:t>.</w:t>
            </w:r>
          </w:p>
        </w:tc>
        <w:tc>
          <w:tcPr>
            <w:tcW w:w="1539" w:type="pct"/>
          </w:tcPr>
          <w:p w:rsidR="002F78C8" w:rsidRPr="00A901DB" w:rsidRDefault="006C4607" w:rsidP="007D099D">
            <w:pPr>
              <w:pStyle w:val="naiskr"/>
              <w:spacing w:before="0" w:after="0"/>
              <w:ind w:left="57" w:right="57"/>
            </w:pPr>
            <w:r w:rsidRPr="00A901DB">
              <w:t>Cita informācija</w:t>
            </w:r>
          </w:p>
        </w:tc>
        <w:tc>
          <w:tcPr>
            <w:tcW w:w="3174" w:type="pct"/>
          </w:tcPr>
          <w:p w:rsidR="00845811" w:rsidRPr="00A901DB" w:rsidRDefault="00BB0A82" w:rsidP="007D099D">
            <w:pPr>
              <w:pStyle w:val="naiskr"/>
              <w:spacing w:before="0" w:after="0"/>
              <w:ind w:left="57" w:right="57"/>
              <w:jc w:val="both"/>
            </w:pPr>
            <w:r w:rsidRPr="00A901DB">
              <w:t>Nav</w:t>
            </w:r>
          </w:p>
        </w:tc>
      </w:tr>
    </w:tbl>
    <w:p w:rsidR="0015060C" w:rsidRPr="007C0F2C" w:rsidRDefault="0015060C" w:rsidP="006C4607">
      <w:pPr>
        <w:pStyle w:val="naisf"/>
        <w:spacing w:before="0" w:after="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458"/>
        <w:gridCol w:w="4006"/>
        <w:gridCol w:w="4721"/>
      </w:tblGrid>
      <w:tr w:rsidR="0023436E" w:rsidRPr="00A901DB" w:rsidTr="00A901DB">
        <w:tc>
          <w:tcPr>
            <w:tcW w:w="5000" w:type="pct"/>
            <w:gridSpan w:val="3"/>
            <w:tcBorders>
              <w:top w:val="single" w:sz="4" w:space="0" w:color="auto"/>
            </w:tcBorders>
          </w:tcPr>
          <w:p w:rsidR="0023436E" w:rsidRPr="00A901DB" w:rsidRDefault="0023436E" w:rsidP="007D099D">
            <w:pPr>
              <w:pStyle w:val="naisnod"/>
              <w:spacing w:before="0" w:after="0"/>
              <w:ind w:left="57" w:right="57"/>
            </w:pPr>
            <w:r w:rsidRPr="00A901DB">
              <w:t>VII</w:t>
            </w:r>
            <w:r w:rsidR="000941C5" w:rsidRPr="00A901DB">
              <w:t>.</w:t>
            </w:r>
            <w:r w:rsidRPr="00A901DB">
              <w:t xml:space="preserve"> Tiesību akta projekta izpildes nodrošināšana un tās ietekme uz institūcijām</w:t>
            </w:r>
          </w:p>
        </w:tc>
      </w:tr>
      <w:tr w:rsidR="00A901DB" w:rsidRPr="00A901DB" w:rsidTr="00A901DB">
        <w:trPr>
          <w:trHeight w:val="427"/>
        </w:trPr>
        <w:tc>
          <w:tcPr>
            <w:tcW w:w="249" w:type="pct"/>
          </w:tcPr>
          <w:p w:rsidR="00A901DB" w:rsidRPr="00A901DB" w:rsidRDefault="00A901DB" w:rsidP="007D099D">
            <w:pPr>
              <w:pStyle w:val="naisnod"/>
              <w:spacing w:before="0" w:after="0"/>
              <w:ind w:left="57" w:right="57"/>
              <w:jc w:val="left"/>
              <w:rPr>
                <w:b w:val="0"/>
              </w:rPr>
            </w:pPr>
            <w:r w:rsidRPr="00A901DB">
              <w:rPr>
                <w:b w:val="0"/>
              </w:rPr>
              <w:t>1.</w:t>
            </w:r>
          </w:p>
        </w:tc>
        <w:tc>
          <w:tcPr>
            <w:tcW w:w="2181" w:type="pct"/>
          </w:tcPr>
          <w:p w:rsidR="00A901DB" w:rsidRPr="00A901DB" w:rsidRDefault="00A901DB" w:rsidP="007D099D">
            <w:pPr>
              <w:pStyle w:val="naisf"/>
              <w:spacing w:before="0" w:after="0"/>
              <w:ind w:left="57" w:right="57" w:firstLine="0"/>
              <w:jc w:val="left"/>
            </w:pPr>
            <w:r w:rsidRPr="00A901DB">
              <w:t xml:space="preserve">Projekta izpildē iesaistītās institūcijas </w:t>
            </w:r>
          </w:p>
        </w:tc>
        <w:tc>
          <w:tcPr>
            <w:tcW w:w="2570" w:type="pct"/>
          </w:tcPr>
          <w:p w:rsidR="00A901DB" w:rsidRPr="00115D93" w:rsidRDefault="00A901DB" w:rsidP="00A901DB">
            <w:pPr>
              <w:spacing w:before="50" w:after="50"/>
            </w:pPr>
            <w:r>
              <w:t>Vispārējās izglītības iestāžu administrācija</w:t>
            </w:r>
            <w:r w:rsidR="00B66122">
              <w:t xml:space="preserve"> un pedagoģiskais personāls</w:t>
            </w:r>
          </w:p>
        </w:tc>
      </w:tr>
      <w:tr w:rsidR="00A901DB" w:rsidRPr="00A901DB" w:rsidTr="00A901DB">
        <w:trPr>
          <w:trHeight w:val="463"/>
        </w:trPr>
        <w:tc>
          <w:tcPr>
            <w:tcW w:w="249" w:type="pct"/>
          </w:tcPr>
          <w:p w:rsidR="00A901DB" w:rsidRPr="00A901DB" w:rsidRDefault="00A901DB" w:rsidP="007D099D">
            <w:pPr>
              <w:pStyle w:val="naisnod"/>
              <w:spacing w:before="0" w:after="0"/>
              <w:ind w:left="57" w:right="57"/>
              <w:jc w:val="left"/>
              <w:rPr>
                <w:b w:val="0"/>
              </w:rPr>
            </w:pPr>
            <w:r w:rsidRPr="00A901DB">
              <w:rPr>
                <w:b w:val="0"/>
              </w:rPr>
              <w:lastRenderedPageBreak/>
              <w:t>2.</w:t>
            </w:r>
          </w:p>
        </w:tc>
        <w:tc>
          <w:tcPr>
            <w:tcW w:w="2181" w:type="pct"/>
          </w:tcPr>
          <w:p w:rsidR="00A901DB" w:rsidRPr="00A901DB" w:rsidRDefault="00A901DB" w:rsidP="007D099D">
            <w:pPr>
              <w:pStyle w:val="naisf"/>
              <w:spacing w:before="0" w:after="0"/>
              <w:ind w:left="57" w:right="57" w:firstLine="0"/>
              <w:jc w:val="left"/>
            </w:pPr>
            <w:r w:rsidRPr="00A901DB">
              <w:t xml:space="preserve">Projekta izpildes ietekme uz pārvaldes funkcijām </w:t>
            </w:r>
          </w:p>
        </w:tc>
        <w:tc>
          <w:tcPr>
            <w:tcW w:w="2570" w:type="pct"/>
          </w:tcPr>
          <w:p w:rsidR="00A901DB" w:rsidRPr="007B341F" w:rsidRDefault="00A901DB" w:rsidP="00A901DB">
            <w:pPr>
              <w:spacing w:before="50" w:after="50"/>
            </w:pPr>
            <w:r>
              <w:t xml:space="preserve"> </w:t>
            </w:r>
            <w:r w:rsidRPr="007B341F">
              <w:t>Funkcijas un uzdevumi netiek paplašināti</w:t>
            </w:r>
          </w:p>
        </w:tc>
      </w:tr>
      <w:tr w:rsidR="00A901DB" w:rsidRPr="00A901DB" w:rsidTr="00A901DB">
        <w:trPr>
          <w:trHeight w:val="725"/>
        </w:trPr>
        <w:tc>
          <w:tcPr>
            <w:tcW w:w="249" w:type="pct"/>
          </w:tcPr>
          <w:p w:rsidR="00A901DB" w:rsidRPr="00A901DB" w:rsidRDefault="00A901DB" w:rsidP="007D099D">
            <w:pPr>
              <w:pStyle w:val="naisnod"/>
              <w:spacing w:before="0" w:after="0"/>
              <w:ind w:left="57" w:right="57"/>
              <w:jc w:val="left"/>
              <w:rPr>
                <w:b w:val="0"/>
              </w:rPr>
            </w:pPr>
            <w:r w:rsidRPr="00A901DB">
              <w:rPr>
                <w:b w:val="0"/>
              </w:rPr>
              <w:t>3.</w:t>
            </w:r>
          </w:p>
        </w:tc>
        <w:tc>
          <w:tcPr>
            <w:tcW w:w="2181" w:type="pct"/>
          </w:tcPr>
          <w:p w:rsidR="00A901DB" w:rsidRPr="00A901DB" w:rsidRDefault="00A901DB" w:rsidP="007D099D">
            <w:pPr>
              <w:pStyle w:val="naisf"/>
              <w:spacing w:before="0" w:after="0"/>
              <w:ind w:left="57" w:right="57" w:firstLine="0"/>
              <w:jc w:val="left"/>
            </w:pPr>
            <w:r w:rsidRPr="00A901DB">
              <w:t>Projekta izpildes ietekme uz pārvaldes institucionālo struktūru.</w:t>
            </w:r>
          </w:p>
          <w:p w:rsidR="00A901DB" w:rsidRPr="00A901DB" w:rsidRDefault="00A901DB" w:rsidP="007D099D">
            <w:pPr>
              <w:pStyle w:val="naisf"/>
              <w:spacing w:before="0" w:after="0"/>
              <w:ind w:left="57" w:right="57" w:firstLine="0"/>
              <w:jc w:val="left"/>
            </w:pPr>
            <w:r w:rsidRPr="00A901DB">
              <w:t>Jaunu institūciju izveide</w:t>
            </w:r>
          </w:p>
        </w:tc>
        <w:tc>
          <w:tcPr>
            <w:tcW w:w="2570" w:type="pct"/>
          </w:tcPr>
          <w:p w:rsidR="00A901DB" w:rsidRPr="007B341F" w:rsidRDefault="00A901DB" w:rsidP="00A901DB">
            <w:pPr>
              <w:spacing w:before="50" w:after="50"/>
            </w:pPr>
            <w:r w:rsidRPr="007B341F">
              <w:t> Veidot jaunas institūcijas nav nepieciešams</w:t>
            </w:r>
          </w:p>
        </w:tc>
      </w:tr>
      <w:tr w:rsidR="00A901DB" w:rsidRPr="00A901DB" w:rsidTr="00A901DB">
        <w:trPr>
          <w:trHeight w:val="780"/>
        </w:trPr>
        <w:tc>
          <w:tcPr>
            <w:tcW w:w="249" w:type="pct"/>
          </w:tcPr>
          <w:p w:rsidR="00A901DB" w:rsidRPr="00A901DB" w:rsidRDefault="00A901DB" w:rsidP="007D099D">
            <w:pPr>
              <w:pStyle w:val="naisnod"/>
              <w:spacing w:before="0" w:after="0"/>
              <w:ind w:left="57" w:right="57"/>
              <w:jc w:val="left"/>
              <w:rPr>
                <w:b w:val="0"/>
              </w:rPr>
            </w:pPr>
            <w:r w:rsidRPr="00A901DB">
              <w:rPr>
                <w:b w:val="0"/>
              </w:rPr>
              <w:t>4.</w:t>
            </w:r>
          </w:p>
        </w:tc>
        <w:tc>
          <w:tcPr>
            <w:tcW w:w="2181" w:type="pct"/>
          </w:tcPr>
          <w:p w:rsidR="00A901DB" w:rsidRPr="00A901DB" w:rsidRDefault="00A901DB" w:rsidP="007D099D">
            <w:pPr>
              <w:pStyle w:val="naisf"/>
              <w:spacing w:before="0" w:after="0"/>
              <w:ind w:left="57" w:right="57" w:firstLine="0"/>
              <w:jc w:val="left"/>
            </w:pPr>
            <w:r w:rsidRPr="00A901DB">
              <w:t>Projekta izpildes ietekme uz pārvaldes institucionālo struktūru.</w:t>
            </w:r>
          </w:p>
          <w:p w:rsidR="00A901DB" w:rsidRPr="00A901DB" w:rsidRDefault="00A901DB" w:rsidP="007D099D">
            <w:pPr>
              <w:pStyle w:val="naisf"/>
              <w:spacing w:before="0" w:after="0"/>
              <w:ind w:left="57" w:right="57" w:firstLine="0"/>
              <w:jc w:val="left"/>
            </w:pPr>
            <w:r w:rsidRPr="00A901DB">
              <w:t>Esošu institūciju likvidācija</w:t>
            </w:r>
          </w:p>
        </w:tc>
        <w:tc>
          <w:tcPr>
            <w:tcW w:w="2570" w:type="pct"/>
          </w:tcPr>
          <w:p w:rsidR="00A901DB" w:rsidRPr="007B341F" w:rsidRDefault="00A901DB" w:rsidP="00A901DB">
            <w:pPr>
              <w:spacing w:before="50" w:after="50"/>
            </w:pPr>
            <w:r w:rsidRPr="007B341F">
              <w:t xml:space="preserve"> Likvidēt esošas institūcijas nav </w:t>
            </w:r>
            <w:r>
              <w:t>nepieciešams</w:t>
            </w:r>
          </w:p>
        </w:tc>
      </w:tr>
      <w:tr w:rsidR="00A901DB" w:rsidRPr="00A901DB" w:rsidTr="00A901DB">
        <w:trPr>
          <w:trHeight w:val="703"/>
        </w:trPr>
        <w:tc>
          <w:tcPr>
            <w:tcW w:w="249" w:type="pct"/>
          </w:tcPr>
          <w:p w:rsidR="00A901DB" w:rsidRPr="00A901DB" w:rsidRDefault="00A901DB" w:rsidP="007D099D">
            <w:pPr>
              <w:pStyle w:val="naisnod"/>
              <w:spacing w:before="0" w:after="0"/>
              <w:ind w:left="57" w:right="57"/>
              <w:jc w:val="left"/>
              <w:rPr>
                <w:b w:val="0"/>
              </w:rPr>
            </w:pPr>
            <w:r w:rsidRPr="00A901DB">
              <w:rPr>
                <w:b w:val="0"/>
              </w:rPr>
              <w:t>5.</w:t>
            </w:r>
          </w:p>
        </w:tc>
        <w:tc>
          <w:tcPr>
            <w:tcW w:w="2181" w:type="pct"/>
          </w:tcPr>
          <w:p w:rsidR="00A901DB" w:rsidRPr="00A901DB" w:rsidRDefault="00A901DB" w:rsidP="007D099D">
            <w:pPr>
              <w:pStyle w:val="naisf"/>
              <w:spacing w:before="0" w:after="0"/>
              <w:ind w:left="57" w:right="57" w:firstLine="0"/>
              <w:jc w:val="left"/>
            </w:pPr>
            <w:r w:rsidRPr="00A901DB">
              <w:t>Projekta izpildes ietekme uz pārvaldes institucionālo struktūru.</w:t>
            </w:r>
          </w:p>
          <w:p w:rsidR="00A901DB" w:rsidRPr="00A901DB" w:rsidRDefault="00A901DB" w:rsidP="007D099D">
            <w:pPr>
              <w:pStyle w:val="naisf"/>
              <w:spacing w:before="0" w:after="0"/>
              <w:ind w:left="57" w:right="57" w:firstLine="0"/>
              <w:jc w:val="left"/>
            </w:pPr>
            <w:r w:rsidRPr="00A901DB">
              <w:t>Esošu institūciju reorganizācija</w:t>
            </w:r>
          </w:p>
        </w:tc>
        <w:tc>
          <w:tcPr>
            <w:tcW w:w="2570" w:type="pct"/>
          </w:tcPr>
          <w:p w:rsidR="00A901DB" w:rsidRPr="007B341F" w:rsidRDefault="00A901DB" w:rsidP="00A901DB">
            <w:pPr>
              <w:spacing w:before="50" w:after="50"/>
            </w:pPr>
            <w:r w:rsidRPr="007B341F">
              <w:t> Esošas institūcijas reorganizācija vai esošu institūciju apvienošana nav plānota</w:t>
            </w:r>
          </w:p>
        </w:tc>
      </w:tr>
      <w:tr w:rsidR="00A901DB" w:rsidRPr="00A901DB" w:rsidTr="00683DE8">
        <w:trPr>
          <w:trHeight w:val="390"/>
        </w:trPr>
        <w:tc>
          <w:tcPr>
            <w:tcW w:w="249" w:type="pct"/>
          </w:tcPr>
          <w:p w:rsidR="00A901DB" w:rsidRPr="00A901DB" w:rsidRDefault="00A901DB" w:rsidP="007D099D">
            <w:pPr>
              <w:pStyle w:val="naiskr"/>
              <w:spacing w:before="0" w:after="0"/>
              <w:ind w:left="57" w:right="57"/>
            </w:pPr>
            <w:r w:rsidRPr="00A901DB">
              <w:t>6.</w:t>
            </w:r>
          </w:p>
        </w:tc>
        <w:tc>
          <w:tcPr>
            <w:tcW w:w="2181" w:type="pct"/>
          </w:tcPr>
          <w:p w:rsidR="00A901DB" w:rsidRPr="00A901DB" w:rsidRDefault="00A901DB" w:rsidP="007D099D">
            <w:pPr>
              <w:pStyle w:val="naiskr"/>
              <w:spacing w:before="0" w:after="0"/>
              <w:ind w:left="57" w:right="57"/>
            </w:pPr>
            <w:r w:rsidRPr="00A901DB">
              <w:t>Cita informācija</w:t>
            </w:r>
          </w:p>
        </w:tc>
        <w:tc>
          <w:tcPr>
            <w:tcW w:w="2570" w:type="pct"/>
          </w:tcPr>
          <w:p w:rsidR="00A901DB" w:rsidRPr="00115D93" w:rsidRDefault="00A901DB" w:rsidP="00A901DB">
            <w:pPr>
              <w:spacing w:before="50" w:after="50"/>
            </w:pPr>
            <w:r w:rsidRPr="00115D93">
              <w:t> </w:t>
            </w:r>
            <w:r>
              <w:t>Nav</w:t>
            </w:r>
          </w:p>
        </w:tc>
      </w:tr>
    </w:tbl>
    <w:p w:rsidR="00315D40" w:rsidRDefault="00315D40" w:rsidP="00315D40">
      <w:pPr>
        <w:spacing w:before="50" w:after="50"/>
        <w:ind w:firstLine="250"/>
      </w:pPr>
    </w:p>
    <w:p w:rsidR="00315D40" w:rsidRDefault="00315D40" w:rsidP="00315D40">
      <w:pPr>
        <w:spacing w:before="50" w:after="50"/>
        <w:ind w:firstLine="250"/>
      </w:pPr>
      <w:r w:rsidRPr="00115D93">
        <w:t> </w:t>
      </w:r>
    </w:p>
    <w:p w:rsidR="00315D40" w:rsidRDefault="00315D40" w:rsidP="00315D40">
      <w:pPr>
        <w:spacing w:before="50" w:after="50"/>
        <w:rPr>
          <w:sz w:val="28"/>
          <w:szCs w:val="28"/>
        </w:rPr>
      </w:pPr>
      <w:r>
        <w:rPr>
          <w:sz w:val="28"/>
          <w:szCs w:val="28"/>
        </w:rPr>
        <w:t>Izglītības u</w:t>
      </w:r>
      <w:r w:rsidR="009E5D3A">
        <w:rPr>
          <w:sz w:val="28"/>
          <w:szCs w:val="28"/>
        </w:rPr>
        <w:t>n zinātnes ministrs</w:t>
      </w:r>
      <w:r w:rsidR="009E5D3A">
        <w:rPr>
          <w:sz w:val="28"/>
          <w:szCs w:val="28"/>
        </w:rPr>
        <w:tab/>
      </w:r>
      <w:r w:rsidR="009E5D3A">
        <w:rPr>
          <w:sz w:val="28"/>
          <w:szCs w:val="28"/>
        </w:rPr>
        <w:tab/>
      </w:r>
      <w:r w:rsidR="009E5D3A">
        <w:rPr>
          <w:sz w:val="28"/>
          <w:szCs w:val="28"/>
        </w:rPr>
        <w:tab/>
      </w:r>
      <w:r w:rsidR="009E5D3A">
        <w:rPr>
          <w:sz w:val="28"/>
          <w:szCs w:val="28"/>
        </w:rPr>
        <w:tab/>
      </w:r>
      <w:r w:rsidR="009E5D3A">
        <w:rPr>
          <w:sz w:val="28"/>
          <w:szCs w:val="28"/>
        </w:rPr>
        <w:tab/>
      </w:r>
      <w:r w:rsidR="009E5D3A">
        <w:rPr>
          <w:sz w:val="28"/>
          <w:szCs w:val="28"/>
        </w:rPr>
        <w:tab/>
        <w:t>R.Ķīlis</w:t>
      </w:r>
    </w:p>
    <w:p w:rsidR="00315D40" w:rsidRDefault="00315D40" w:rsidP="00315D40">
      <w:pPr>
        <w:keepNext/>
        <w:rPr>
          <w:sz w:val="28"/>
          <w:szCs w:val="28"/>
        </w:rPr>
      </w:pPr>
    </w:p>
    <w:p w:rsidR="00315D40" w:rsidRDefault="00315D40" w:rsidP="00315D40">
      <w:pPr>
        <w:keepNext/>
        <w:rPr>
          <w:sz w:val="28"/>
          <w:szCs w:val="28"/>
        </w:rPr>
      </w:pPr>
    </w:p>
    <w:p w:rsidR="00315D40" w:rsidRDefault="00315D40" w:rsidP="00315D40">
      <w:pPr>
        <w:keepNext/>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M.Gruškevics</w:t>
      </w:r>
      <w:proofErr w:type="spellEnd"/>
    </w:p>
    <w:p w:rsidR="00315D40" w:rsidRDefault="00315D40" w:rsidP="00315D40">
      <w:pPr>
        <w:ind w:firstLine="720"/>
      </w:pPr>
    </w:p>
    <w:p w:rsidR="00315D40" w:rsidRDefault="00315D40" w:rsidP="00315D40">
      <w:pPr>
        <w:ind w:firstLine="720"/>
      </w:pPr>
    </w:p>
    <w:p w:rsidR="00315D40" w:rsidRDefault="00315D40" w:rsidP="00315D40">
      <w:pPr>
        <w:ind w:firstLine="720"/>
      </w:pPr>
    </w:p>
    <w:p w:rsidR="001031E2" w:rsidRDefault="001031E2" w:rsidP="00315D40">
      <w:pPr>
        <w:ind w:firstLine="720"/>
      </w:pPr>
    </w:p>
    <w:p w:rsidR="001031E2" w:rsidRDefault="001031E2" w:rsidP="00315D40">
      <w:pPr>
        <w:ind w:firstLine="720"/>
      </w:pPr>
    </w:p>
    <w:p w:rsidR="00B60EC8" w:rsidRDefault="00B60EC8" w:rsidP="00315D40">
      <w:pPr>
        <w:ind w:firstLine="720"/>
      </w:pPr>
    </w:p>
    <w:p w:rsidR="00B60EC8" w:rsidRDefault="00B60EC8" w:rsidP="00315D40">
      <w:pPr>
        <w:ind w:firstLine="720"/>
      </w:pPr>
    </w:p>
    <w:p w:rsidR="00B60EC8" w:rsidRDefault="00B60EC8" w:rsidP="00315D40">
      <w:pPr>
        <w:ind w:firstLine="720"/>
      </w:pPr>
    </w:p>
    <w:p w:rsidR="00B60EC8" w:rsidRDefault="00B60EC8" w:rsidP="00315D40">
      <w:pPr>
        <w:ind w:firstLine="720"/>
      </w:pPr>
    </w:p>
    <w:p w:rsidR="00AD5737" w:rsidRDefault="00AD5737" w:rsidP="00315D40">
      <w:pPr>
        <w:ind w:firstLine="720"/>
      </w:pPr>
    </w:p>
    <w:p w:rsidR="00AD5737" w:rsidRDefault="00AD5737" w:rsidP="00315D40">
      <w:pPr>
        <w:ind w:firstLine="720"/>
      </w:pPr>
    </w:p>
    <w:p w:rsidR="00AD5737" w:rsidRDefault="00AD5737" w:rsidP="00315D40">
      <w:pPr>
        <w:ind w:firstLine="720"/>
      </w:pPr>
    </w:p>
    <w:p w:rsidR="00AD5737" w:rsidRDefault="00AD5737" w:rsidP="00315D40">
      <w:pPr>
        <w:ind w:firstLine="720"/>
      </w:pPr>
    </w:p>
    <w:p w:rsidR="00AD5737" w:rsidRDefault="00AD5737" w:rsidP="00315D40">
      <w:pPr>
        <w:ind w:firstLine="720"/>
      </w:pPr>
    </w:p>
    <w:p w:rsidR="00AD5737" w:rsidRDefault="00AD5737" w:rsidP="00315D40">
      <w:pPr>
        <w:ind w:firstLine="720"/>
      </w:pPr>
    </w:p>
    <w:p w:rsidR="00AD5737" w:rsidRDefault="00AD5737" w:rsidP="00315D40">
      <w:pPr>
        <w:ind w:firstLine="720"/>
      </w:pPr>
    </w:p>
    <w:p w:rsidR="00AD5737" w:rsidRDefault="00AD5737" w:rsidP="00315D40">
      <w:pPr>
        <w:ind w:firstLine="720"/>
      </w:pPr>
    </w:p>
    <w:p w:rsidR="00AD5737" w:rsidRDefault="00AD5737" w:rsidP="00315D40">
      <w:pPr>
        <w:ind w:firstLine="720"/>
      </w:pPr>
    </w:p>
    <w:p w:rsidR="00AD5737" w:rsidRDefault="00AD5737" w:rsidP="00315D40">
      <w:pPr>
        <w:ind w:firstLine="720"/>
      </w:pPr>
    </w:p>
    <w:p w:rsidR="00AD5737" w:rsidRDefault="00AD5737" w:rsidP="00315D40">
      <w:pPr>
        <w:ind w:firstLine="720"/>
      </w:pPr>
    </w:p>
    <w:p w:rsidR="00AD5737" w:rsidRDefault="00AD5737" w:rsidP="00315D40">
      <w:pPr>
        <w:ind w:firstLine="720"/>
      </w:pPr>
    </w:p>
    <w:p w:rsidR="00AD5737" w:rsidRDefault="00AD5737" w:rsidP="00315D40">
      <w:pPr>
        <w:ind w:firstLine="720"/>
      </w:pPr>
    </w:p>
    <w:p w:rsidR="00B60EC8" w:rsidRDefault="00B60EC8" w:rsidP="00315D40">
      <w:pPr>
        <w:ind w:firstLine="720"/>
      </w:pPr>
    </w:p>
    <w:p w:rsidR="00683DE8" w:rsidRDefault="00683DE8" w:rsidP="00315D40">
      <w:pPr>
        <w:ind w:firstLine="720"/>
      </w:pPr>
    </w:p>
    <w:p w:rsidR="00315D40" w:rsidRDefault="00AD5737" w:rsidP="00315D40">
      <w:pPr>
        <w:ind w:firstLine="720"/>
      </w:pPr>
      <w:r>
        <w:t>17.01.2012 12:25</w:t>
      </w:r>
    </w:p>
    <w:p w:rsidR="00315D40" w:rsidRPr="001B09AE" w:rsidRDefault="00054151" w:rsidP="00315D40">
      <w:pPr>
        <w:ind w:firstLine="720"/>
      </w:pPr>
      <w:fldSimple w:instr=" DOCPROPERTY  Words  \* MERGEFORMAT ">
        <w:r w:rsidR="0060762A">
          <w:t>2998</w:t>
        </w:r>
      </w:fldSimple>
    </w:p>
    <w:p w:rsidR="00315D40" w:rsidRPr="001B09AE" w:rsidRDefault="00315D40" w:rsidP="00315D40">
      <w:r w:rsidRPr="001B09AE">
        <w:tab/>
        <w:t xml:space="preserve">E.Grīnis </w:t>
      </w:r>
    </w:p>
    <w:p w:rsidR="0015060C" w:rsidRPr="00683DE8" w:rsidRDefault="00315D40" w:rsidP="00683DE8">
      <w:pPr>
        <w:ind w:firstLine="720"/>
      </w:pPr>
      <w:r w:rsidRPr="001B09AE">
        <w:t xml:space="preserve">67047910, </w:t>
      </w:r>
      <w:hyperlink r:id="rId8" w:history="1">
        <w:r w:rsidRPr="001B09AE">
          <w:rPr>
            <w:rStyle w:val="Hyperlink"/>
          </w:rPr>
          <w:t>edgars.grinis@izm.gov.lv</w:t>
        </w:r>
      </w:hyperlink>
      <w:r w:rsidRPr="001B09AE">
        <w:t xml:space="preserve"> </w:t>
      </w:r>
    </w:p>
    <w:sectPr w:rsidR="0015060C" w:rsidRPr="00683DE8" w:rsidSect="00315D40">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CBD" w:rsidRDefault="00E74CBD">
      <w:r>
        <w:separator/>
      </w:r>
    </w:p>
  </w:endnote>
  <w:endnote w:type="continuationSeparator" w:id="0">
    <w:p w:rsidR="00E74CBD" w:rsidRDefault="00E74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20002A87" w:usb1="00000000" w:usb2="00000000"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98" w:rsidRPr="001848CA" w:rsidRDefault="00C84795" w:rsidP="001848CA">
    <w:pPr>
      <w:pStyle w:val="naislab"/>
      <w:spacing w:before="0" w:after="0"/>
      <w:jc w:val="both"/>
      <w:rPr>
        <w:b/>
        <w:sz w:val="28"/>
        <w:szCs w:val="28"/>
      </w:rPr>
    </w:pPr>
    <w:r>
      <w:rPr>
        <w:bCs/>
      </w:rPr>
      <w:t>IZMAnot_1</w:t>
    </w:r>
    <w:r w:rsidR="003A7346">
      <w:rPr>
        <w:bCs/>
      </w:rPr>
      <w:t>7</w:t>
    </w:r>
    <w:r w:rsidR="00446398">
      <w:rPr>
        <w:bCs/>
      </w:rPr>
      <w:t>0112</w:t>
    </w:r>
    <w:r w:rsidR="00446398" w:rsidRPr="00394A3F">
      <w:rPr>
        <w:bCs/>
      </w:rPr>
      <w:t>_uznemsana</w:t>
    </w:r>
    <w:r w:rsidR="00446398" w:rsidRPr="00394A3F">
      <w:t>; MK noteikumu projekts „</w:t>
    </w:r>
    <w:r w:rsidR="00446398" w:rsidRPr="000A30BD">
      <w:t>Kārtība, kādā izglītojamie tiek uzņemti vispārējās izglītības iestādēs un atskaitīti no tām, un obligātās prasības pārcelšanai uz nākamo klasi</w:t>
    </w:r>
    <w:r w:rsidR="00446398">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98" w:rsidRPr="001848CA" w:rsidRDefault="00C84795" w:rsidP="001848CA">
    <w:pPr>
      <w:pStyle w:val="naislab"/>
      <w:spacing w:before="0" w:after="0"/>
      <w:jc w:val="both"/>
      <w:rPr>
        <w:b/>
        <w:sz w:val="28"/>
        <w:szCs w:val="28"/>
      </w:rPr>
    </w:pPr>
    <w:r>
      <w:rPr>
        <w:bCs/>
      </w:rPr>
      <w:t>IZMAnot_1</w:t>
    </w:r>
    <w:r w:rsidR="003A7346">
      <w:rPr>
        <w:bCs/>
      </w:rPr>
      <w:t>7</w:t>
    </w:r>
    <w:r w:rsidR="00446398">
      <w:rPr>
        <w:bCs/>
      </w:rPr>
      <w:t>0112</w:t>
    </w:r>
    <w:r w:rsidR="00446398" w:rsidRPr="00394A3F">
      <w:rPr>
        <w:bCs/>
      </w:rPr>
      <w:t>_uznemsana</w:t>
    </w:r>
    <w:r w:rsidR="00446398" w:rsidRPr="00394A3F">
      <w:t>; MK noteikumu projekts „</w:t>
    </w:r>
    <w:r w:rsidR="00446398" w:rsidRPr="000A30BD">
      <w:t>Kārtība, kādā izglītojamie tiek uzņemti vispārējās izglītības iestādēs un atskaitīti no tām, un obligātās prasības pārcelšanai uz nākamo klasi</w:t>
    </w:r>
    <w:r w:rsidR="00446398">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CBD" w:rsidRDefault="00E74CBD">
      <w:r>
        <w:separator/>
      </w:r>
    </w:p>
  </w:footnote>
  <w:footnote w:type="continuationSeparator" w:id="0">
    <w:p w:rsidR="00E74CBD" w:rsidRDefault="00E74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98" w:rsidRDefault="00054151" w:rsidP="003C449B">
    <w:pPr>
      <w:pStyle w:val="Header"/>
      <w:framePr w:wrap="around" w:vAnchor="text" w:hAnchor="margin" w:xAlign="center" w:y="1"/>
      <w:rPr>
        <w:rStyle w:val="PageNumber"/>
      </w:rPr>
    </w:pPr>
    <w:r>
      <w:rPr>
        <w:rStyle w:val="PageNumber"/>
      </w:rPr>
      <w:fldChar w:fldCharType="begin"/>
    </w:r>
    <w:r w:rsidR="00446398">
      <w:rPr>
        <w:rStyle w:val="PageNumber"/>
      </w:rPr>
      <w:instrText xml:space="preserve">PAGE  </w:instrText>
    </w:r>
    <w:r>
      <w:rPr>
        <w:rStyle w:val="PageNumber"/>
      </w:rPr>
      <w:fldChar w:fldCharType="end"/>
    </w:r>
  </w:p>
  <w:p w:rsidR="00446398" w:rsidRDefault="004463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98" w:rsidRDefault="00054151" w:rsidP="003C449B">
    <w:pPr>
      <w:pStyle w:val="Header"/>
      <w:framePr w:wrap="around" w:vAnchor="text" w:hAnchor="margin" w:xAlign="center" w:y="1"/>
      <w:rPr>
        <w:rStyle w:val="PageNumber"/>
      </w:rPr>
    </w:pPr>
    <w:r>
      <w:rPr>
        <w:rStyle w:val="PageNumber"/>
      </w:rPr>
      <w:fldChar w:fldCharType="begin"/>
    </w:r>
    <w:r w:rsidR="00446398">
      <w:rPr>
        <w:rStyle w:val="PageNumber"/>
      </w:rPr>
      <w:instrText xml:space="preserve">PAGE  </w:instrText>
    </w:r>
    <w:r>
      <w:rPr>
        <w:rStyle w:val="PageNumber"/>
      </w:rPr>
      <w:fldChar w:fldCharType="separate"/>
    </w:r>
    <w:r w:rsidR="0060762A">
      <w:rPr>
        <w:rStyle w:val="PageNumber"/>
        <w:noProof/>
      </w:rPr>
      <w:t>9</w:t>
    </w:r>
    <w:r>
      <w:rPr>
        <w:rStyle w:val="PageNumber"/>
      </w:rPr>
      <w:fldChar w:fldCharType="end"/>
    </w:r>
  </w:p>
  <w:p w:rsidR="00446398" w:rsidRDefault="00446398">
    <w:pPr>
      <w:pStyle w:val="Header"/>
    </w:pPr>
  </w:p>
  <w:p w:rsidR="00446398" w:rsidRDefault="004463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485C42"/>
    <w:multiLevelType w:val="hybridMultilevel"/>
    <w:tmpl w:val="73A6026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2FD6510E"/>
    <w:multiLevelType w:val="hybridMultilevel"/>
    <w:tmpl w:val="7CE624E4"/>
    <w:lvl w:ilvl="0" w:tplc="E830FBDA">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361C0DCB"/>
    <w:multiLevelType w:val="hybridMultilevel"/>
    <w:tmpl w:val="02EC5B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4"/>
  </w:num>
  <w:num w:numId="3">
    <w:abstractNumId w:val="3"/>
  </w:num>
  <w:num w:numId="4">
    <w:abstractNumId w:val="1"/>
  </w:num>
  <w:num w:numId="5">
    <w:abstractNumId w:val="0"/>
  </w:num>
  <w:num w:numId="6">
    <w:abstractNumId w:val="11"/>
  </w:num>
  <w:num w:numId="7">
    <w:abstractNumId w:val="15"/>
  </w:num>
  <w:num w:numId="8">
    <w:abstractNumId w:val="8"/>
  </w:num>
  <w:num w:numId="9">
    <w:abstractNumId w:val="2"/>
  </w:num>
  <w:num w:numId="10">
    <w:abstractNumId w:val="9"/>
  </w:num>
  <w:num w:numId="11">
    <w:abstractNumId w:val="10"/>
  </w:num>
  <w:num w:numId="12">
    <w:abstractNumId w:val="12"/>
  </w:num>
  <w:num w:numId="13">
    <w:abstractNumId w:val="13"/>
  </w:num>
  <w:num w:numId="14">
    <w:abstractNumId w:val="7"/>
  </w:num>
  <w:num w:numId="15">
    <w:abstractNumId w:val="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000C"/>
    <w:rsid w:val="000013B8"/>
    <w:rsid w:val="00002045"/>
    <w:rsid w:val="0001003D"/>
    <w:rsid w:val="00011D24"/>
    <w:rsid w:val="000123F9"/>
    <w:rsid w:val="00013FF4"/>
    <w:rsid w:val="00020FE1"/>
    <w:rsid w:val="00021F9D"/>
    <w:rsid w:val="00022E13"/>
    <w:rsid w:val="00032388"/>
    <w:rsid w:val="0003277F"/>
    <w:rsid w:val="00035CE2"/>
    <w:rsid w:val="00054151"/>
    <w:rsid w:val="0005553B"/>
    <w:rsid w:val="00057173"/>
    <w:rsid w:val="000604D2"/>
    <w:rsid w:val="0009005E"/>
    <w:rsid w:val="000941C5"/>
    <w:rsid w:val="00096D83"/>
    <w:rsid w:val="000A0E6F"/>
    <w:rsid w:val="000A5CB6"/>
    <w:rsid w:val="000A6451"/>
    <w:rsid w:val="000B064E"/>
    <w:rsid w:val="000B4397"/>
    <w:rsid w:val="000B69CF"/>
    <w:rsid w:val="000C4FB2"/>
    <w:rsid w:val="000C790C"/>
    <w:rsid w:val="000F061D"/>
    <w:rsid w:val="000F22E5"/>
    <w:rsid w:val="000F4794"/>
    <w:rsid w:val="000F7D67"/>
    <w:rsid w:val="001031E2"/>
    <w:rsid w:val="00124F12"/>
    <w:rsid w:val="00136D63"/>
    <w:rsid w:val="00144E3A"/>
    <w:rsid w:val="00146059"/>
    <w:rsid w:val="0015060C"/>
    <w:rsid w:val="0016018A"/>
    <w:rsid w:val="00161F0E"/>
    <w:rsid w:val="0016326D"/>
    <w:rsid w:val="0016416D"/>
    <w:rsid w:val="001674AB"/>
    <w:rsid w:val="00170E2A"/>
    <w:rsid w:val="00176ADF"/>
    <w:rsid w:val="00177394"/>
    <w:rsid w:val="00182C18"/>
    <w:rsid w:val="00183CC2"/>
    <w:rsid w:val="001848CA"/>
    <w:rsid w:val="0018516D"/>
    <w:rsid w:val="001900E4"/>
    <w:rsid w:val="00190F88"/>
    <w:rsid w:val="001A4066"/>
    <w:rsid w:val="001A6AE4"/>
    <w:rsid w:val="001B01FD"/>
    <w:rsid w:val="001B4A71"/>
    <w:rsid w:val="001C5400"/>
    <w:rsid w:val="001D1170"/>
    <w:rsid w:val="001D5AC6"/>
    <w:rsid w:val="001D5B54"/>
    <w:rsid w:val="001D7398"/>
    <w:rsid w:val="001E1DBF"/>
    <w:rsid w:val="001E2F93"/>
    <w:rsid w:val="001E4639"/>
    <w:rsid w:val="001E4A7D"/>
    <w:rsid w:val="001E6C12"/>
    <w:rsid w:val="001F0A54"/>
    <w:rsid w:val="001F4209"/>
    <w:rsid w:val="001F43A8"/>
    <w:rsid w:val="001F54DD"/>
    <w:rsid w:val="001F5CD6"/>
    <w:rsid w:val="001F7571"/>
    <w:rsid w:val="00200838"/>
    <w:rsid w:val="002065CD"/>
    <w:rsid w:val="0021263D"/>
    <w:rsid w:val="00213F0C"/>
    <w:rsid w:val="00214094"/>
    <w:rsid w:val="0021592D"/>
    <w:rsid w:val="00222D76"/>
    <w:rsid w:val="00223EB1"/>
    <w:rsid w:val="00231344"/>
    <w:rsid w:val="0023436E"/>
    <w:rsid w:val="002347C0"/>
    <w:rsid w:val="00241A6C"/>
    <w:rsid w:val="00242D2B"/>
    <w:rsid w:val="00254A0F"/>
    <w:rsid w:val="00262E2B"/>
    <w:rsid w:val="00270429"/>
    <w:rsid w:val="002723E9"/>
    <w:rsid w:val="002749A6"/>
    <w:rsid w:val="00277929"/>
    <w:rsid w:val="00283B82"/>
    <w:rsid w:val="002846E9"/>
    <w:rsid w:val="00284C34"/>
    <w:rsid w:val="0029066C"/>
    <w:rsid w:val="00294E15"/>
    <w:rsid w:val="002A5DCF"/>
    <w:rsid w:val="002B50DB"/>
    <w:rsid w:val="002C12AB"/>
    <w:rsid w:val="002C6EF2"/>
    <w:rsid w:val="002C7CAC"/>
    <w:rsid w:val="002D3306"/>
    <w:rsid w:val="002D48AA"/>
    <w:rsid w:val="002D7BAA"/>
    <w:rsid w:val="002D7F54"/>
    <w:rsid w:val="002E3FF4"/>
    <w:rsid w:val="002F78C8"/>
    <w:rsid w:val="00301CF3"/>
    <w:rsid w:val="00315D40"/>
    <w:rsid w:val="00324E13"/>
    <w:rsid w:val="0032715C"/>
    <w:rsid w:val="00334FC4"/>
    <w:rsid w:val="00337CA5"/>
    <w:rsid w:val="003606AE"/>
    <w:rsid w:val="00362478"/>
    <w:rsid w:val="00375B25"/>
    <w:rsid w:val="0038132C"/>
    <w:rsid w:val="0038175B"/>
    <w:rsid w:val="0038366F"/>
    <w:rsid w:val="003916A9"/>
    <w:rsid w:val="00391847"/>
    <w:rsid w:val="0039221A"/>
    <w:rsid w:val="00396542"/>
    <w:rsid w:val="0039685B"/>
    <w:rsid w:val="00397CC5"/>
    <w:rsid w:val="003A1000"/>
    <w:rsid w:val="003A31A6"/>
    <w:rsid w:val="003A4BA0"/>
    <w:rsid w:val="003A6A5D"/>
    <w:rsid w:val="003A7346"/>
    <w:rsid w:val="003A7F0C"/>
    <w:rsid w:val="003A7F79"/>
    <w:rsid w:val="003B6404"/>
    <w:rsid w:val="003C449B"/>
    <w:rsid w:val="003D21FF"/>
    <w:rsid w:val="003D5042"/>
    <w:rsid w:val="003E6FC4"/>
    <w:rsid w:val="003F0112"/>
    <w:rsid w:val="003F071A"/>
    <w:rsid w:val="003F160B"/>
    <w:rsid w:val="00400032"/>
    <w:rsid w:val="00400B5B"/>
    <w:rsid w:val="00405A00"/>
    <w:rsid w:val="00420870"/>
    <w:rsid w:val="0042154F"/>
    <w:rsid w:val="00432D0C"/>
    <w:rsid w:val="0043791B"/>
    <w:rsid w:val="00441483"/>
    <w:rsid w:val="00441BCB"/>
    <w:rsid w:val="00446398"/>
    <w:rsid w:val="0045176A"/>
    <w:rsid w:val="00456332"/>
    <w:rsid w:val="00461826"/>
    <w:rsid w:val="00470FC4"/>
    <w:rsid w:val="0047484B"/>
    <w:rsid w:val="004800F9"/>
    <w:rsid w:val="00486FB5"/>
    <w:rsid w:val="0049134A"/>
    <w:rsid w:val="004A2F3F"/>
    <w:rsid w:val="004A58CB"/>
    <w:rsid w:val="004B1795"/>
    <w:rsid w:val="004B56DD"/>
    <w:rsid w:val="004C020F"/>
    <w:rsid w:val="004C1AFD"/>
    <w:rsid w:val="004C558B"/>
    <w:rsid w:val="004E775E"/>
    <w:rsid w:val="004F1F88"/>
    <w:rsid w:val="004F5F1B"/>
    <w:rsid w:val="00502374"/>
    <w:rsid w:val="005060A1"/>
    <w:rsid w:val="00516072"/>
    <w:rsid w:val="005332EC"/>
    <w:rsid w:val="00534418"/>
    <w:rsid w:val="005353AB"/>
    <w:rsid w:val="00547054"/>
    <w:rsid w:val="005560BC"/>
    <w:rsid w:val="00556782"/>
    <w:rsid w:val="005573BE"/>
    <w:rsid w:val="00572700"/>
    <w:rsid w:val="00575A57"/>
    <w:rsid w:val="00580468"/>
    <w:rsid w:val="00582231"/>
    <w:rsid w:val="00584BA9"/>
    <w:rsid w:val="0058603B"/>
    <w:rsid w:val="0059168F"/>
    <w:rsid w:val="0059431B"/>
    <w:rsid w:val="005A39CC"/>
    <w:rsid w:val="005A69F6"/>
    <w:rsid w:val="005B04C7"/>
    <w:rsid w:val="005B4730"/>
    <w:rsid w:val="005D50F6"/>
    <w:rsid w:val="005D6EAC"/>
    <w:rsid w:val="005E05D7"/>
    <w:rsid w:val="005E41E7"/>
    <w:rsid w:val="005E450F"/>
    <w:rsid w:val="00603080"/>
    <w:rsid w:val="0060511C"/>
    <w:rsid w:val="0060762A"/>
    <w:rsid w:val="0062298A"/>
    <w:rsid w:val="00626514"/>
    <w:rsid w:val="00626589"/>
    <w:rsid w:val="00631557"/>
    <w:rsid w:val="00633598"/>
    <w:rsid w:val="006339A0"/>
    <w:rsid w:val="00640E07"/>
    <w:rsid w:val="006413A8"/>
    <w:rsid w:val="00642E56"/>
    <w:rsid w:val="00643663"/>
    <w:rsid w:val="00644D1A"/>
    <w:rsid w:val="0064599F"/>
    <w:rsid w:val="00651E00"/>
    <w:rsid w:val="0065323C"/>
    <w:rsid w:val="006640F8"/>
    <w:rsid w:val="00674572"/>
    <w:rsid w:val="006747A7"/>
    <w:rsid w:val="006764FF"/>
    <w:rsid w:val="00683DE8"/>
    <w:rsid w:val="006848C3"/>
    <w:rsid w:val="00687763"/>
    <w:rsid w:val="0069129D"/>
    <w:rsid w:val="00692B0D"/>
    <w:rsid w:val="00693E0E"/>
    <w:rsid w:val="006A1AE3"/>
    <w:rsid w:val="006B491E"/>
    <w:rsid w:val="006C0082"/>
    <w:rsid w:val="006C30E1"/>
    <w:rsid w:val="006C4607"/>
    <w:rsid w:val="006D48F1"/>
    <w:rsid w:val="006F45BE"/>
    <w:rsid w:val="006F601C"/>
    <w:rsid w:val="007004FC"/>
    <w:rsid w:val="00706670"/>
    <w:rsid w:val="00707674"/>
    <w:rsid w:val="00711F59"/>
    <w:rsid w:val="007135FF"/>
    <w:rsid w:val="00716C93"/>
    <w:rsid w:val="007171E6"/>
    <w:rsid w:val="00717B58"/>
    <w:rsid w:val="0072417C"/>
    <w:rsid w:val="00725AC1"/>
    <w:rsid w:val="00734450"/>
    <w:rsid w:val="00745F67"/>
    <w:rsid w:val="0075039E"/>
    <w:rsid w:val="00752D9D"/>
    <w:rsid w:val="00754784"/>
    <w:rsid w:val="00757C6E"/>
    <w:rsid w:val="00762BDA"/>
    <w:rsid w:val="00766421"/>
    <w:rsid w:val="00770E94"/>
    <w:rsid w:val="007805FD"/>
    <w:rsid w:val="00784422"/>
    <w:rsid w:val="007B32D8"/>
    <w:rsid w:val="007B3B54"/>
    <w:rsid w:val="007B3FA0"/>
    <w:rsid w:val="007C0F2C"/>
    <w:rsid w:val="007C2BCC"/>
    <w:rsid w:val="007C4EF0"/>
    <w:rsid w:val="007D08ED"/>
    <w:rsid w:val="007D099D"/>
    <w:rsid w:val="007D774D"/>
    <w:rsid w:val="007D7B14"/>
    <w:rsid w:val="007E13D0"/>
    <w:rsid w:val="007E2664"/>
    <w:rsid w:val="007E3ABF"/>
    <w:rsid w:val="007E5BFA"/>
    <w:rsid w:val="007E6689"/>
    <w:rsid w:val="007E731C"/>
    <w:rsid w:val="007F0A03"/>
    <w:rsid w:val="00810040"/>
    <w:rsid w:val="008101B1"/>
    <w:rsid w:val="0082023A"/>
    <w:rsid w:val="00821A7A"/>
    <w:rsid w:val="008253F8"/>
    <w:rsid w:val="008325E4"/>
    <w:rsid w:val="00832A2B"/>
    <w:rsid w:val="00835563"/>
    <w:rsid w:val="008440C9"/>
    <w:rsid w:val="00845811"/>
    <w:rsid w:val="00846994"/>
    <w:rsid w:val="00850451"/>
    <w:rsid w:val="00852042"/>
    <w:rsid w:val="008531BA"/>
    <w:rsid w:val="008534C9"/>
    <w:rsid w:val="0085599D"/>
    <w:rsid w:val="0087510C"/>
    <w:rsid w:val="00880AD8"/>
    <w:rsid w:val="00884795"/>
    <w:rsid w:val="008968D2"/>
    <w:rsid w:val="0089738E"/>
    <w:rsid w:val="008A2164"/>
    <w:rsid w:val="008A3877"/>
    <w:rsid w:val="008B5FDB"/>
    <w:rsid w:val="008C31D5"/>
    <w:rsid w:val="008C50F4"/>
    <w:rsid w:val="008C5649"/>
    <w:rsid w:val="008D0A8A"/>
    <w:rsid w:val="008E44A2"/>
    <w:rsid w:val="008E697D"/>
    <w:rsid w:val="009014BC"/>
    <w:rsid w:val="00903263"/>
    <w:rsid w:val="00904E74"/>
    <w:rsid w:val="00906A21"/>
    <w:rsid w:val="009079C3"/>
    <w:rsid w:val="00910462"/>
    <w:rsid w:val="00915AB1"/>
    <w:rsid w:val="00917532"/>
    <w:rsid w:val="009235BA"/>
    <w:rsid w:val="00924023"/>
    <w:rsid w:val="009247E1"/>
    <w:rsid w:val="00924CE2"/>
    <w:rsid w:val="00925B9F"/>
    <w:rsid w:val="0092780C"/>
    <w:rsid w:val="00931AED"/>
    <w:rsid w:val="009340FB"/>
    <w:rsid w:val="009476A3"/>
    <w:rsid w:val="0095334F"/>
    <w:rsid w:val="00965897"/>
    <w:rsid w:val="00966F7A"/>
    <w:rsid w:val="0096765C"/>
    <w:rsid w:val="009727E4"/>
    <w:rsid w:val="00982E55"/>
    <w:rsid w:val="009934C5"/>
    <w:rsid w:val="00994C0F"/>
    <w:rsid w:val="0099501E"/>
    <w:rsid w:val="009B22D7"/>
    <w:rsid w:val="009B3B54"/>
    <w:rsid w:val="009B6742"/>
    <w:rsid w:val="009B72ED"/>
    <w:rsid w:val="009C099D"/>
    <w:rsid w:val="009C5200"/>
    <w:rsid w:val="009C5559"/>
    <w:rsid w:val="009C6DEB"/>
    <w:rsid w:val="009C788D"/>
    <w:rsid w:val="009D28EC"/>
    <w:rsid w:val="009D2F73"/>
    <w:rsid w:val="009D6504"/>
    <w:rsid w:val="009E0E07"/>
    <w:rsid w:val="009E12D7"/>
    <w:rsid w:val="009E5D3A"/>
    <w:rsid w:val="009E661A"/>
    <w:rsid w:val="00A0301C"/>
    <w:rsid w:val="00A06781"/>
    <w:rsid w:val="00A074C3"/>
    <w:rsid w:val="00A14750"/>
    <w:rsid w:val="00A1509C"/>
    <w:rsid w:val="00A15B39"/>
    <w:rsid w:val="00A249B9"/>
    <w:rsid w:val="00A27CA6"/>
    <w:rsid w:val="00A31BD5"/>
    <w:rsid w:val="00A34260"/>
    <w:rsid w:val="00A50EB9"/>
    <w:rsid w:val="00A61E37"/>
    <w:rsid w:val="00A6679F"/>
    <w:rsid w:val="00A70B71"/>
    <w:rsid w:val="00A70CFD"/>
    <w:rsid w:val="00A72A0B"/>
    <w:rsid w:val="00A81E42"/>
    <w:rsid w:val="00A83D89"/>
    <w:rsid w:val="00A864FE"/>
    <w:rsid w:val="00A86F41"/>
    <w:rsid w:val="00A87D04"/>
    <w:rsid w:val="00A901DB"/>
    <w:rsid w:val="00A950C5"/>
    <w:rsid w:val="00AA1D25"/>
    <w:rsid w:val="00AA3393"/>
    <w:rsid w:val="00AA6542"/>
    <w:rsid w:val="00AB2B1A"/>
    <w:rsid w:val="00AB2B26"/>
    <w:rsid w:val="00AB397F"/>
    <w:rsid w:val="00AB5832"/>
    <w:rsid w:val="00AC51F2"/>
    <w:rsid w:val="00AD3269"/>
    <w:rsid w:val="00AD5737"/>
    <w:rsid w:val="00AE5066"/>
    <w:rsid w:val="00AE5E24"/>
    <w:rsid w:val="00AE61B7"/>
    <w:rsid w:val="00AE6CBA"/>
    <w:rsid w:val="00AE742E"/>
    <w:rsid w:val="00AE79AD"/>
    <w:rsid w:val="00AF35E4"/>
    <w:rsid w:val="00AF5CDE"/>
    <w:rsid w:val="00B11A57"/>
    <w:rsid w:val="00B211C3"/>
    <w:rsid w:val="00B22858"/>
    <w:rsid w:val="00B25597"/>
    <w:rsid w:val="00B267B9"/>
    <w:rsid w:val="00B26A5C"/>
    <w:rsid w:val="00B33759"/>
    <w:rsid w:val="00B33E09"/>
    <w:rsid w:val="00B50708"/>
    <w:rsid w:val="00B50C68"/>
    <w:rsid w:val="00B51293"/>
    <w:rsid w:val="00B52B1E"/>
    <w:rsid w:val="00B55481"/>
    <w:rsid w:val="00B56C32"/>
    <w:rsid w:val="00B57ACF"/>
    <w:rsid w:val="00B60EC8"/>
    <w:rsid w:val="00B64BB1"/>
    <w:rsid w:val="00B66122"/>
    <w:rsid w:val="00B67B78"/>
    <w:rsid w:val="00B73166"/>
    <w:rsid w:val="00B8426C"/>
    <w:rsid w:val="00B91B8D"/>
    <w:rsid w:val="00B93C86"/>
    <w:rsid w:val="00B94E90"/>
    <w:rsid w:val="00BB0A82"/>
    <w:rsid w:val="00BB7C94"/>
    <w:rsid w:val="00BC0A9D"/>
    <w:rsid w:val="00BC24B0"/>
    <w:rsid w:val="00BF40ED"/>
    <w:rsid w:val="00BF5BC2"/>
    <w:rsid w:val="00C0289F"/>
    <w:rsid w:val="00C04A62"/>
    <w:rsid w:val="00C06752"/>
    <w:rsid w:val="00C1133D"/>
    <w:rsid w:val="00C11CFE"/>
    <w:rsid w:val="00C23574"/>
    <w:rsid w:val="00C27A08"/>
    <w:rsid w:val="00C31312"/>
    <w:rsid w:val="00C31E36"/>
    <w:rsid w:val="00C326C6"/>
    <w:rsid w:val="00C35295"/>
    <w:rsid w:val="00C36ADD"/>
    <w:rsid w:val="00C36E74"/>
    <w:rsid w:val="00C40595"/>
    <w:rsid w:val="00C41621"/>
    <w:rsid w:val="00C43169"/>
    <w:rsid w:val="00C449FA"/>
    <w:rsid w:val="00C45920"/>
    <w:rsid w:val="00C5384F"/>
    <w:rsid w:val="00C562D1"/>
    <w:rsid w:val="00C56964"/>
    <w:rsid w:val="00C607B1"/>
    <w:rsid w:val="00C60942"/>
    <w:rsid w:val="00C656D5"/>
    <w:rsid w:val="00C67103"/>
    <w:rsid w:val="00C71BB9"/>
    <w:rsid w:val="00C75F52"/>
    <w:rsid w:val="00C77CFC"/>
    <w:rsid w:val="00C84795"/>
    <w:rsid w:val="00C94C28"/>
    <w:rsid w:val="00C96570"/>
    <w:rsid w:val="00CA3242"/>
    <w:rsid w:val="00CA796F"/>
    <w:rsid w:val="00CB0247"/>
    <w:rsid w:val="00CB2D95"/>
    <w:rsid w:val="00CB3440"/>
    <w:rsid w:val="00CB526D"/>
    <w:rsid w:val="00CB574B"/>
    <w:rsid w:val="00CC1692"/>
    <w:rsid w:val="00CD138B"/>
    <w:rsid w:val="00CD3E31"/>
    <w:rsid w:val="00CD74A3"/>
    <w:rsid w:val="00CE0527"/>
    <w:rsid w:val="00CE5B23"/>
    <w:rsid w:val="00CF70AD"/>
    <w:rsid w:val="00CF7729"/>
    <w:rsid w:val="00D00059"/>
    <w:rsid w:val="00D027F7"/>
    <w:rsid w:val="00D029E1"/>
    <w:rsid w:val="00D107FA"/>
    <w:rsid w:val="00D12275"/>
    <w:rsid w:val="00D12766"/>
    <w:rsid w:val="00D15530"/>
    <w:rsid w:val="00D20FF4"/>
    <w:rsid w:val="00D24D2C"/>
    <w:rsid w:val="00D349B2"/>
    <w:rsid w:val="00D35881"/>
    <w:rsid w:val="00D430C5"/>
    <w:rsid w:val="00D432B2"/>
    <w:rsid w:val="00D44F01"/>
    <w:rsid w:val="00DA6421"/>
    <w:rsid w:val="00DA7DA5"/>
    <w:rsid w:val="00DB073B"/>
    <w:rsid w:val="00DB0A5D"/>
    <w:rsid w:val="00DB6F0C"/>
    <w:rsid w:val="00DB78F0"/>
    <w:rsid w:val="00DC0CEA"/>
    <w:rsid w:val="00DC2E43"/>
    <w:rsid w:val="00DD095C"/>
    <w:rsid w:val="00DD1020"/>
    <w:rsid w:val="00DD1330"/>
    <w:rsid w:val="00DD3684"/>
    <w:rsid w:val="00DE0B83"/>
    <w:rsid w:val="00DE1A81"/>
    <w:rsid w:val="00DE1C13"/>
    <w:rsid w:val="00DE4E10"/>
    <w:rsid w:val="00DE6539"/>
    <w:rsid w:val="00DF2F53"/>
    <w:rsid w:val="00E02ABF"/>
    <w:rsid w:val="00E14995"/>
    <w:rsid w:val="00E179CD"/>
    <w:rsid w:val="00E23E8D"/>
    <w:rsid w:val="00E25D74"/>
    <w:rsid w:val="00E30FC6"/>
    <w:rsid w:val="00E36AF7"/>
    <w:rsid w:val="00E37F98"/>
    <w:rsid w:val="00E46559"/>
    <w:rsid w:val="00E6670C"/>
    <w:rsid w:val="00E669C1"/>
    <w:rsid w:val="00E66D31"/>
    <w:rsid w:val="00E74CBD"/>
    <w:rsid w:val="00E776E8"/>
    <w:rsid w:val="00E85F5B"/>
    <w:rsid w:val="00E92C1F"/>
    <w:rsid w:val="00E95D4B"/>
    <w:rsid w:val="00EB199F"/>
    <w:rsid w:val="00EC23F7"/>
    <w:rsid w:val="00EC4BD8"/>
    <w:rsid w:val="00EC63EB"/>
    <w:rsid w:val="00ED412F"/>
    <w:rsid w:val="00EF3554"/>
    <w:rsid w:val="00EF36B2"/>
    <w:rsid w:val="00F1246B"/>
    <w:rsid w:val="00F201EC"/>
    <w:rsid w:val="00F208A9"/>
    <w:rsid w:val="00F30A99"/>
    <w:rsid w:val="00F37C5B"/>
    <w:rsid w:val="00F41D75"/>
    <w:rsid w:val="00F510F5"/>
    <w:rsid w:val="00F5139D"/>
    <w:rsid w:val="00F552E1"/>
    <w:rsid w:val="00F63DAC"/>
    <w:rsid w:val="00F7454F"/>
    <w:rsid w:val="00F74877"/>
    <w:rsid w:val="00F775C3"/>
    <w:rsid w:val="00F77988"/>
    <w:rsid w:val="00F77F48"/>
    <w:rsid w:val="00FB30F1"/>
    <w:rsid w:val="00FB53E7"/>
    <w:rsid w:val="00FD2A8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uiPriority w:val="99"/>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315D40"/>
    <w:pPr>
      <w:spacing w:before="100" w:beforeAutospacing="1" w:after="100" w:afterAutospacing="1"/>
      <w:jc w:val="both"/>
    </w:pPr>
    <w:rPr>
      <w:color w:val="000000"/>
      <w:sz w:val="22"/>
      <w:szCs w:val="22"/>
    </w:rPr>
  </w:style>
  <w:style w:type="character" w:customStyle="1" w:styleId="HeaderChar">
    <w:name w:val="Header Char"/>
    <w:basedOn w:val="DefaultParagraphFont"/>
    <w:link w:val="Header"/>
    <w:uiPriority w:val="99"/>
    <w:rsid w:val="00315D40"/>
    <w:rPr>
      <w:sz w:val="24"/>
      <w:szCs w:val="24"/>
    </w:rPr>
  </w:style>
  <w:style w:type="paragraph" w:styleId="ListParagraph">
    <w:name w:val="List Paragraph"/>
    <w:basedOn w:val="Normal"/>
    <w:uiPriority w:val="34"/>
    <w:qFormat/>
    <w:rsid w:val="009D28EC"/>
    <w:pPr>
      <w:ind w:left="720"/>
      <w:contextualSpacing/>
    </w:pPr>
  </w:style>
  <w:style w:type="paragraph" w:customStyle="1" w:styleId="Default">
    <w:name w:val="Default"/>
    <w:rsid w:val="009D28EC"/>
    <w:pPr>
      <w:autoSpaceDE w:val="0"/>
      <w:autoSpaceDN w:val="0"/>
      <w:adjustRightInd w:val="0"/>
    </w:pPr>
    <w:rPr>
      <w:color w:val="000000"/>
      <w:sz w:val="24"/>
      <w:szCs w:val="24"/>
    </w:rPr>
  </w:style>
  <w:style w:type="character" w:customStyle="1" w:styleId="sourcekey">
    <w:name w:val="source_key"/>
    <w:basedOn w:val="DefaultParagraphFont"/>
    <w:rsid w:val="00C0289F"/>
    <w:rPr>
      <w:rFonts w:ascii="Verdana" w:hAnsi="Verdana" w:hint="default"/>
      <w:b/>
      <w:bCs/>
      <w:vanish w:val="0"/>
      <w:webHidden w:val="0"/>
      <w:color w:val="000000"/>
      <w:sz w:val="22"/>
      <w:szCs w:val="22"/>
      <w:specVanish w:val="0"/>
    </w:rPr>
  </w:style>
  <w:style w:type="character" w:customStyle="1" w:styleId="sourcevalue">
    <w:name w:val="source_value"/>
    <w:basedOn w:val="DefaultParagraphFont"/>
    <w:rsid w:val="00C0289F"/>
    <w:rPr>
      <w:rFonts w:ascii="Verdana" w:hAnsi="Verdana" w:hint="default"/>
      <w:vanish w:val="0"/>
      <w:webHidden w:val="0"/>
      <w:sz w:val="22"/>
      <w:szCs w:val="22"/>
      <w:specVanish w:val="0"/>
    </w:rPr>
  </w:style>
  <w:style w:type="character" w:styleId="Strong">
    <w:name w:val="Strong"/>
    <w:basedOn w:val="DefaultParagraphFont"/>
    <w:uiPriority w:val="22"/>
    <w:qFormat/>
    <w:rsid w:val="00766421"/>
    <w:rPr>
      <w:b/>
      <w:bCs/>
    </w:rPr>
  </w:style>
</w:styles>
</file>

<file path=word/webSettings.xml><?xml version="1.0" encoding="utf-8"?>
<w:webSettings xmlns:r="http://schemas.openxmlformats.org/officeDocument/2006/relationships" xmlns:w="http://schemas.openxmlformats.org/wordprocessingml/2006/main">
  <w:divs>
    <w:div w:id="18360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grin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1AD1C-0118-43C0-8D69-BBD0C1C8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3048</Words>
  <Characters>20850</Characters>
  <Application>Microsoft Office Word</Application>
  <DocSecurity>0</DocSecurity>
  <Lines>563</Lines>
  <Paragraphs>204</Paragraphs>
  <ScaleCrop>false</ScaleCrop>
  <HeadingPairs>
    <vt:vector size="2" baseType="variant">
      <vt:variant>
        <vt:lpstr>Title</vt:lpstr>
      </vt:variant>
      <vt:variant>
        <vt:i4>1</vt:i4>
      </vt:variant>
    </vt:vector>
  </HeadingPairs>
  <TitlesOfParts>
    <vt:vector size="1" baseType="lpstr">
      <vt:lpstr>MK noteikumu projekts „Izglītojamo uzņemšana un atskaitīšana vispārējās izglītības iestādēs un prasības pārcelšanai uz nākamo klasi”</vt:lpstr>
    </vt:vector>
  </TitlesOfParts>
  <Manager>Inita Juhņēviča</Manager>
  <Company>IZM</Company>
  <LinksUpToDate>false</LinksUpToDate>
  <CharactersWithSpaces>23694</CharactersWithSpaces>
  <SharedDoc>false</SharedDoc>
  <HLinks>
    <vt:vector size="6" baseType="variant">
      <vt:variant>
        <vt:i4>2752526</vt:i4>
      </vt:variant>
      <vt:variant>
        <vt:i4>3</vt:i4>
      </vt:variant>
      <vt:variant>
        <vt:i4>0</vt:i4>
      </vt:variant>
      <vt:variant>
        <vt:i4>5</vt:i4>
      </vt:variant>
      <vt:variant>
        <vt:lpwstr>mailto:edgars.grinis@izm.gov.lv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„Izglītojamo uzņemšana un atskaitīšana vispārējās izglītības iestādēs un prasības pārcelšanai uz nākamo klasi”</dc:title>
  <dc:subject>MK noteikumu projekta anotācija</dc:subject>
  <dc:creator>Edgars Grīnis</dc:creator>
  <cp:keywords/>
  <dc:description>E.Grīnis 67047910_x000d_
edgars.grinis@izm.gov.lv </dc:description>
  <cp:lastModifiedBy>egrinis</cp:lastModifiedBy>
  <cp:revision>4</cp:revision>
  <cp:lastPrinted>2012-02-03T07:06:00Z</cp:lastPrinted>
  <dcterms:created xsi:type="dcterms:W3CDTF">2012-01-17T10:15:00Z</dcterms:created>
  <dcterms:modified xsi:type="dcterms:W3CDTF">2012-02-03T07:07:00Z</dcterms:modified>
</cp:coreProperties>
</file>