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0D" w:rsidRDefault="00E8399E" w:rsidP="00A0679C">
      <w:pPr>
        <w:pStyle w:val="Heading6"/>
        <w:ind w:right="-109"/>
      </w:pPr>
      <w:r w:rsidRPr="000E4A21">
        <w:rPr>
          <w:bCs/>
          <w:szCs w:val="28"/>
          <w:lang w:eastAsia="lv-LV"/>
        </w:rPr>
        <w:t xml:space="preserve">Ministru kabineta rīkojuma projekta </w:t>
      </w:r>
      <w:r w:rsidR="00A0679C" w:rsidRPr="006116D6">
        <w:t xml:space="preserve">„Par </w:t>
      </w:r>
      <w:r w:rsidR="0011180D">
        <w:t>valsts nekustamā</w:t>
      </w:r>
    </w:p>
    <w:p w:rsidR="004A6A4A" w:rsidRDefault="00A0679C" w:rsidP="004A6A4A">
      <w:pPr>
        <w:pStyle w:val="Heading6"/>
        <w:ind w:right="-109"/>
      </w:pPr>
      <w:r>
        <w:t xml:space="preserve">īpašuma </w:t>
      </w:r>
      <w:r w:rsidR="00FD0E09">
        <w:t>Aizkraukles ielā 21</w:t>
      </w:r>
      <w:r w:rsidR="0011180D">
        <w:t>, Rīgā, nodošanu</w:t>
      </w:r>
      <w:r w:rsidR="004A6A4A">
        <w:t xml:space="preserve"> Latvijas Organiskās</w:t>
      </w:r>
    </w:p>
    <w:p w:rsidR="004A6A4A" w:rsidRDefault="00FD0E09" w:rsidP="004A6A4A">
      <w:pPr>
        <w:pStyle w:val="Heading6"/>
        <w:ind w:right="-109"/>
        <w:rPr>
          <w:szCs w:val="28"/>
          <w:lang w:eastAsia="lv-LV"/>
        </w:rPr>
      </w:pPr>
      <w:r>
        <w:t>sintēzes</w:t>
      </w:r>
      <w:r w:rsidR="00A0679C">
        <w:t xml:space="preserve"> institūta </w:t>
      </w:r>
      <w:r w:rsidR="00A824CE">
        <w:t>īpašumā</w:t>
      </w:r>
      <w:r w:rsidR="00A0679C" w:rsidRPr="006116D6">
        <w:rPr>
          <w:szCs w:val="28"/>
        </w:rPr>
        <w:t>”</w:t>
      </w:r>
      <w:r w:rsidR="004A6A4A">
        <w:t xml:space="preserve"> </w:t>
      </w:r>
      <w:r w:rsidR="004A6A4A">
        <w:rPr>
          <w:szCs w:val="28"/>
          <w:lang w:eastAsia="lv-LV"/>
        </w:rPr>
        <w:t>sākotnējās ietekmes novērtējuma</w:t>
      </w:r>
    </w:p>
    <w:p w:rsidR="00576BB0" w:rsidRPr="004A6A4A" w:rsidRDefault="006605D2" w:rsidP="004A6A4A">
      <w:pPr>
        <w:pStyle w:val="Heading6"/>
        <w:ind w:right="-109"/>
      </w:pPr>
      <w:r w:rsidRPr="000E4A21">
        <w:rPr>
          <w:szCs w:val="28"/>
          <w:lang w:eastAsia="lv-LV"/>
        </w:rPr>
        <w:t>ziņojums (</w:t>
      </w:r>
      <w:r w:rsidR="00E8399E" w:rsidRPr="000E4A21">
        <w:rPr>
          <w:szCs w:val="28"/>
          <w:lang w:eastAsia="lv-LV"/>
        </w:rPr>
        <w:t>anotācija</w:t>
      </w:r>
      <w:r w:rsidRPr="000E4A21">
        <w:rPr>
          <w:szCs w:val="28"/>
          <w:lang w:eastAsia="lv-LV"/>
        </w:rPr>
        <w:t>)</w:t>
      </w:r>
    </w:p>
    <w:p w:rsidR="00550442" w:rsidRDefault="00550442" w:rsidP="000C3C64">
      <w:pPr>
        <w:spacing w:after="0" w:line="240" w:lineRule="auto"/>
        <w:rPr>
          <w:rFonts w:ascii="Times New Roman" w:eastAsia="Times New Roman" w:hAnsi="Times New Roman" w:cs="Times New Roman"/>
          <w:b/>
          <w:sz w:val="28"/>
          <w:szCs w:val="28"/>
          <w:lang w:eastAsia="lv-LV"/>
        </w:rPr>
      </w:pPr>
    </w:p>
    <w:p w:rsidR="00ED7481" w:rsidRPr="00550442" w:rsidRDefault="00ED7481" w:rsidP="000C3C64">
      <w:pPr>
        <w:spacing w:after="0" w:line="240" w:lineRule="auto"/>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4"/>
        <w:gridCol w:w="2007"/>
        <w:gridCol w:w="6519"/>
      </w:tblGrid>
      <w:tr w:rsidR="00576BB0" w:rsidRPr="004D59A3" w:rsidTr="0088136E">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76BB0" w:rsidRPr="004D59A3" w:rsidRDefault="00576BB0" w:rsidP="00DC769F">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590" w:type="pct"/>
            <w:tcBorders>
              <w:top w:val="outset" w:sz="6" w:space="0" w:color="000000"/>
              <w:left w:val="outset" w:sz="6" w:space="0" w:color="000000"/>
              <w:bottom w:val="outset" w:sz="6" w:space="0" w:color="000000"/>
              <w:right w:val="outset" w:sz="6" w:space="0" w:color="000000"/>
            </w:tcBorders>
            <w:hideMark/>
          </w:tcPr>
          <w:p w:rsidR="00C83C08" w:rsidRPr="00E01F19" w:rsidRDefault="00C83C08" w:rsidP="00C83C08">
            <w:pPr>
              <w:spacing w:after="0" w:line="20" w:lineRule="atLeast"/>
              <w:ind w:left="128" w:right="141" w:firstLine="581"/>
              <w:jc w:val="both"/>
              <w:rPr>
                <w:rFonts w:ascii="Times New Roman" w:hAnsi="Times New Roman" w:cs="Times New Roman"/>
                <w:sz w:val="28"/>
                <w:szCs w:val="28"/>
              </w:rPr>
            </w:pPr>
            <w:r w:rsidRPr="00E01F19">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576BB0" w:rsidRPr="00C83C08" w:rsidRDefault="00C83C08" w:rsidP="00C83C08">
            <w:pPr>
              <w:spacing w:after="0" w:line="20" w:lineRule="atLeast"/>
              <w:ind w:left="128" w:right="141" w:firstLine="581"/>
              <w:jc w:val="both"/>
              <w:rPr>
                <w:rFonts w:ascii="Times New Roman" w:hAnsi="Times New Roman"/>
                <w:b/>
                <w:sz w:val="28"/>
                <w:szCs w:val="28"/>
              </w:rPr>
            </w:pPr>
            <w:r w:rsidRPr="00E01F19">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576BB0" w:rsidRPr="004D59A3" w:rsidRDefault="00576BB0" w:rsidP="00DC769F">
            <w:pPr>
              <w:spacing w:after="0" w:line="240" w:lineRule="auto"/>
              <w:ind w:left="150" w:right="156"/>
              <w:rPr>
                <w:rFonts w:ascii="Times New Roman" w:eastAsia="Times New Roman" w:hAnsi="Times New Roman" w:cs="Times New Roman"/>
                <w:sz w:val="28"/>
                <w:szCs w:val="28"/>
                <w:lang w:eastAsia="lv-LV"/>
              </w:rPr>
            </w:pPr>
          </w:p>
        </w:tc>
        <w:tc>
          <w:tcPr>
            <w:tcW w:w="3590" w:type="pct"/>
            <w:tcBorders>
              <w:top w:val="outset" w:sz="6" w:space="0" w:color="000000"/>
              <w:left w:val="outset" w:sz="6" w:space="0" w:color="000000"/>
              <w:bottom w:val="outset" w:sz="6" w:space="0" w:color="000000"/>
              <w:right w:val="outset" w:sz="6" w:space="0" w:color="000000"/>
            </w:tcBorders>
            <w:hideMark/>
          </w:tcPr>
          <w:p w:rsidR="00F92BC5" w:rsidRPr="003B33FC" w:rsidRDefault="00E541F6" w:rsidP="003B33FC">
            <w:pPr>
              <w:tabs>
                <w:tab w:val="left" w:pos="5940"/>
              </w:tabs>
              <w:spacing w:after="0" w:line="20" w:lineRule="atLeast"/>
              <w:ind w:left="128" w:right="141" w:firstLine="581"/>
              <w:jc w:val="both"/>
              <w:rPr>
                <w:rFonts w:ascii="Times New Roman" w:eastAsia="Calibri" w:hAnsi="Times New Roman" w:cs="Times New Roman"/>
                <w:sz w:val="28"/>
                <w:szCs w:val="28"/>
              </w:rPr>
            </w:pPr>
            <w:r w:rsidRPr="003B33FC">
              <w:rPr>
                <w:rFonts w:ascii="Times New Roman" w:eastAsia="Calibri" w:hAnsi="Times New Roman" w:cs="Times New Roman"/>
                <w:sz w:val="28"/>
                <w:szCs w:val="28"/>
              </w:rPr>
              <w:t>Kopš 1962.gada</w:t>
            </w:r>
            <w:r w:rsidR="00F92BC5" w:rsidRPr="003B33FC">
              <w:rPr>
                <w:rFonts w:ascii="Times New Roman" w:eastAsia="Calibri" w:hAnsi="Times New Roman" w:cs="Times New Roman"/>
                <w:sz w:val="28"/>
                <w:szCs w:val="28"/>
              </w:rPr>
              <w:t xml:space="preserve"> valsts nekustamo īpašumu </w:t>
            </w:r>
            <w:r w:rsidR="00A824CE">
              <w:rPr>
                <w:rFonts w:ascii="Times New Roman" w:eastAsia="Calibri" w:hAnsi="Times New Roman" w:cs="Times New Roman"/>
                <w:sz w:val="28"/>
                <w:szCs w:val="28"/>
              </w:rPr>
              <w:t xml:space="preserve">(nekustamā īpašuma kadastra Nr.0100 115 0307) Aizkraukles ielā 21, Rīgā (turpmāk – valsts nekustamais īpašums), </w:t>
            </w:r>
            <w:r w:rsidR="00F92BC5" w:rsidRPr="003B33FC">
              <w:rPr>
                <w:rFonts w:ascii="Times New Roman" w:eastAsia="Calibri" w:hAnsi="Times New Roman" w:cs="Times New Roman"/>
                <w:sz w:val="28"/>
                <w:szCs w:val="28"/>
              </w:rPr>
              <w:t xml:space="preserve">lieto un apsaimnieko </w:t>
            </w:r>
            <w:r w:rsidR="00924DCC" w:rsidRPr="003B33FC">
              <w:rPr>
                <w:rFonts w:ascii="Times New Roman" w:eastAsia="Calibri" w:hAnsi="Times New Roman" w:cs="Times New Roman"/>
                <w:sz w:val="28"/>
                <w:szCs w:val="28"/>
              </w:rPr>
              <w:t>Latvijas Organiskās sintēzes</w:t>
            </w:r>
            <w:r w:rsidR="00F92BC5" w:rsidRPr="003B33FC">
              <w:rPr>
                <w:rFonts w:ascii="Times New Roman" w:eastAsia="Calibri" w:hAnsi="Times New Roman" w:cs="Times New Roman"/>
                <w:sz w:val="28"/>
                <w:szCs w:val="28"/>
              </w:rPr>
              <w:t xml:space="preserve"> institūts (turpmāk – institūts), kas saskaņā ar Ministru kabineta 2003.gada 16.septembra noteikumu Nr.528 „Izglītības un zinātnes ministrijas nolikums” 24.15.</w:t>
            </w:r>
            <w:r w:rsidR="00924DCC" w:rsidRPr="003B33FC">
              <w:rPr>
                <w:rFonts w:ascii="Times New Roman" w:eastAsia="Calibri" w:hAnsi="Times New Roman" w:cs="Times New Roman"/>
                <w:sz w:val="28"/>
                <w:szCs w:val="28"/>
                <w:vertAlign w:val="superscript"/>
              </w:rPr>
              <w:t>4</w:t>
            </w:r>
            <w:r w:rsidR="003F1B73" w:rsidRPr="003B33FC">
              <w:rPr>
                <w:rFonts w:ascii="Times New Roman" w:eastAsia="Calibri" w:hAnsi="Times New Roman" w:cs="Times New Roman"/>
                <w:sz w:val="28"/>
                <w:szCs w:val="28"/>
                <w:vertAlign w:val="superscript"/>
              </w:rPr>
              <w:t xml:space="preserve"> </w:t>
            </w:r>
            <w:r w:rsidR="00F92BC5" w:rsidRPr="003B33FC">
              <w:rPr>
                <w:rFonts w:ascii="Times New Roman" w:eastAsia="Calibri" w:hAnsi="Times New Roman" w:cs="Times New Roman"/>
                <w:sz w:val="28"/>
                <w:szCs w:val="28"/>
              </w:rPr>
              <w:t xml:space="preserve">apakšpunktu ir </w:t>
            </w:r>
            <w:r w:rsidR="005048CA">
              <w:rPr>
                <w:rFonts w:ascii="Times New Roman" w:eastAsia="Calibri" w:hAnsi="Times New Roman" w:cs="Times New Roman"/>
                <w:sz w:val="28"/>
                <w:szCs w:val="28"/>
              </w:rPr>
              <w:t xml:space="preserve">Izglītības un zinātnes </w:t>
            </w:r>
            <w:r w:rsidR="00F92BC5" w:rsidRPr="003B33FC">
              <w:rPr>
                <w:rFonts w:ascii="Times New Roman" w:eastAsia="Calibri" w:hAnsi="Times New Roman" w:cs="Times New Roman"/>
                <w:sz w:val="28"/>
                <w:szCs w:val="28"/>
              </w:rPr>
              <w:t>min</w:t>
            </w:r>
            <w:r w:rsidRPr="003B33FC">
              <w:rPr>
                <w:rFonts w:ascii="Times New Roman" w:eastAsia="Calibri" w:hAnsi="Times New Roman" w:cs="Times New Roman"/>
                <w:sz w:val="28"/>
                <w:szCs w:val="28"/>
              </w:rPr>
              <w:t xml:space="preserve">istrijas </w:t>
            </w:r>
            <w:r w:rsidR="005048CA">
              <w:rPr>
                <w:rFonts w:ascii="Times New Roman" w:eastAsia="Calibri" w:hAnsi="Times New Roman" w:cs="Times New Roman"/>
                <w:sz w:val="28"/>
                <w:szCs w:val="28"/>
              </w:rPr>
              <w:t xml:space="preserve">(turpmāk – ministrija) </w:t>
            </w:r>
            <w:r w:rsidRPr="003B33FC">
              <w:rPr>
                <w:rFonts w:ascii="Times New Roman" w:eastAsia="Calibri" w:hAnsi="Times New Roman" w:cs="Times New Roman"/>
                <w:sz w:val="28"/>
                <w:szCs w:val="28"/>
              </w:rPr>
              <w:t>padotībā esoša iestāde, kura atbilstoši valsts noteiktajai zinātnes un tehnoloģijas attīstības politikai veic zinātnisko darbību ķīmijas, farmācijas, farmakoloģijas, bioloģijas un citās dabaszinātņu nozarēs.</w:t>
            </w:r>
          </w:p>
          <w:p w:rsidR="003B29E4" w:rsidRDefault="003B29E4" w:rsidP="003B33FC">
            <w:pPr>
              <w:tabs>
                <w:tab w:val="left" w:pos="5940"/>
              </w:tabs>
              <w:spacing w:after="0" w:line="20" w:lineRule="atLeast"/>
              <w:ind w:left="128" w:right="141" w:firstLine="581"/>
              <w:jc w:val="both"/>
              <w:rPr>
                <w:rFonts w:ascii="Times New Roman" w:eastAsia="Calibri" w:hAnsi="Times New Roman" w:cs="Times New Roman"/>
                <w:sz w:val="28"/>
                <w:szCs w:val="28"/>
              </w:rPr>
            </w:pPr>
            <w:r w:rsidRPr="003B33FC">
              <w:rPr>
                <w:rFonts w:ascii="Times New Roman" w:eastAsia="Calibri" w:hAnsi="Times New Roman" w:cs="Times New Roman"/>
                <w:sz w:val="28"/>
                <w:szCs w:val="28"/>
              </w:rPr>
              <w:t>Pamatojoties uz Zinātniskās darbības likuma 21.</w:t>
            </w:r>
            <w:r w:rsidRPr="003B33FC">
              <w:rPr>
                <w:rFonts w:ascii="Times New Roman" w:eastAsia="Calibri" w:hAnsi="Times New Roman" w:cs="Times New Roman"/>
                <w:sz w:val="28"/>
                <w:szCs w:val="28"/>
                <w:vertAlign w:val="superscript"/>
              </w:rPr>
              <w:t xml:space="preserve">2 </w:t>
            </w:r>
            <w:r w:rsidRPr="003B33FC">
              <w:rPr>
                <w:rFonts w:ascii="Times New Roman" w:eastAsia="Calibri" w:hAnsi="Times New Roman" w:cs="Times New Roman"/>
                <w:sz w:val="28"/>
                <w:szCs w:val="28"/>
              </w:rPr>
              <w:t>panta sesto daļu</w:t>
            </w:r>
            <w:r w:rsidR="00F92BC5" w:rsidRPr="003B33FC">
              <w:rPr>
                <w:rFonts w:ascii="Times New Roman" w:eastAsia="Calibri" w:hAnsi="Times New Roman" w:cs="Times New Roman"/>
                <w:sz w:val="28"/>
                <w:szCs w:val="28"/>
              </w:rPr>
              <w:t>,</w:t>
            </w:r>
            <w:r w:rsidRPr="003B33FC">
              <w:rPr>
                <w:rFonts w:ascii="Times New Roman" w:eastAsia="Calibri" w:hAnsi="Times New Roman" w:cs="Times New Roman"/>
                <w:sz w:val="28"/>
                <w:szCs w:val="28"/>
              </w:rPr>
              <w:t xml:space="preserve"> institūts ir valsts zinātniskais institūts – atvasināta publiska persona.</w:t>
            </w:r>
          </w:p>
          <w:p w:rsidR="00A824CE" w:rsidRDefault="00A824CE" w:rsidP="003B33FC">
            <w:pPr>
              <w:tabs>
                <w:tab w:val="left" w:pos="5940"/>
              </w:tabs>
              <w:spacing w:after="0" w:line="20" w:lineRule="atLeast"/>
              <w:ind w:left="128" w:right="141" w:firstLine="581"/>
              <w:jc w:val="both"/>
              <w:rPr>
                <w:rFonts w:ascii="Times New Roman" w:eastAsia="Calibri" w:hAnsi="Times New Roman" w:cs="Times New Roman"/>
                <w:sz w:val="28"/>
                <w:szCs w:val="28"/>
              </w:rPr>
            </w:pPr>
            <w:r>
              <w:rPr>
                <w:rFonts w:ascii="Times New Roman" w:eastAsia="Calibri" w:hAnsi="Times New Roman" w:cs="Times New Roman"/>
                <w:sz w:val="28"/>
                <w:szCs w:val="28"/>
              </w:rPr>
              <w:t>Institūts 2011.gada 8.marta vēstul</w:t>
            </w:r>
            <w:r w:rsidR="00EC518A">
              <w:rPr>
                <w:rFonts w:ascii="Times New Roman" w:eastAsia="Calibri" w:hAnsi="Times New Roman" w:cs="Times New Roman"/>
                <w:sz w:val="28"/>
                <w:szCs w:val="28"/>
              </w:rPr>
              <w:t>ē</w:t>
            </w:r>
            <w:r>
              <w:rPr>
                <w:rFonts w:ascii="Times New Roman" w:eastAsia="Calibri" w:hAnsi="Times New Roman" w:cs="Times New Roman"/>
                <w:sz w:val="28"/>
                <w:szCs w:val="28"/>
              </w:rPr>
              <w:t xml:space="preserve"> Nr.1/17-89 „Par nekustamo īpašumu” lūdza ministriju nodot valsts nekustamo īpašumu tā īpašumā.</w:t>
            </w:r>
          </w:p>
          <w:p w:rsidR="000324CA" w:rsidRPr="00E01F19" w:rsidRDefault="000324CA" w:rsidP="003B33FC">
            <w:pPr>
              <w:tabs>
                <w:tab w:val="left" w:pos="5940"/>
              </w:tabs>
              <w:spacing w:after="0" w:line="20" w:lineRule="atLeast"/>
              <w:ind w:left="128" w:right="141" w:firstLine="581"/>
              <w:jc w:val="both"/>
              <w:rPr>
                <w:rFonts w:ascii="Times New Roman" w:eastAsia="Calibri" w:hAnsi="Times New Roman" w:cs="Times New Roman"/>
                <w:sz w:val="28"/>
                <w:szCs w:val="28"/>
              </w:rPr>
            </w:pPr>
            <w:r w:rsidRPr="00E01F19">
              <w:rPr>
                <w:rFonts w:ascii="Times New Roman" w:eastAsia="Calibri" w:hAnsi="Times New Roman" w:cs="Times New Roman"/>
                <w:sz w:val="28"/>
                <w:szCs w:val="28"/>
              </w:rPr>
              <w:t xml:space="preserve">Atbilstoši institūta zinātniskās padomes 2011.gada 13.jūnija sēdes </w:t>
            </w:r>
            <w:proofErr w:type="spellStart"/>
            <w:r w:rsidRPr="00E01F19">
              <w:rPr>
                <w:rFonts w:ascii="Times New Roman" w:eastAsia="Calibri" w:hAnsi="Times New Roman" w:cs="Times New Roman"/>
                <w:sz w:val="28"/>
                <w:szCs w:val="28"/>
              </w:rPr>
              <w:t>protokollēmumam</w:t>
            </w:r>
            <w:proofErr w:type="spellEnd"/>
            <w:r w:rsidRPr="00E01F19">
              <w:rPr>
                <w:rFonts w:ascii="Times New Roman" w:eastAsia="Calibri" w:hAnsi="Times New Roman" w:cs="Times New Roman"/>
                <w:sz w:val="28"/>
                <w:szCs w:val="28"/>
              </w:rPr>
              <w:t xml:space="preserve"> (prot. Nr.11 (484)) institūta zinātniskā padome atbalsta valsts nekustamā īpašuma pārņemšanu institūta īpašumā, lai </w:t>
            </w:r>
            <w:r w:rsidR="00E22778" w:rsidRPr="00E01F19">
              <w:rPr>
                <w:rFonts w:ascii="Times New Roman" w:eastAsia="Calibri" w:hAnsi="Times New Roman" w:cs="Times New Roman"/>
                <w:sz w:val="28"/>
                <w:szCs w:val="28"/>
              </w:rPr>
              <w:t xml:space="preserve">nodrošinātu </w:t>
            </w:r>
            <w:r w:rsidR="00E22778" w:rsidRPr="00E01F19">
              <w:rPr>
                <w:rFonts w:ascii="Times New Roman" w:hAnsi="Times New Roman" w:cs="Times New Roman"/>
                <w:sz w:val="28"/>
                <w:szCs w:val="28"/>
              </w:rPr>
              <w:t xml:space="preserve">Ministru kabineta rīkojuma projekta „Par valsts nekustamā īpašuma Aizkraukles ielā 21, Rīgā, nodošanu Latvijas Organiskās sintēzes institūta īpašumā” (turpmāk – rīkojuma projekts) </w:t>
            </w:r>
            <w:r w:rsidR="00E22778" w:rsidRPr="00E01F19">
              <w:rPr>
                <w:rFonts w:ascii="Times New Roman" w:hAnsi="Times New Roman" w:cs="Times New Roman"/>
                <w:sz w:val="28"/>
                <w:szCs w:val="28"/>
              </w:rPr>
              <w:lastRenderedPageBreak/>
              <w:t>3.1.apakšpunktā minēto funkciju veikšanu</w:t>
            </w:r>
            <w:r w:rsidRPr="00E01F19">
              <w:rPr>
                <w:rFonts w:ascii="Times New Roman" w:eastAsia="Calibri" w:hAnsi="Times New Roman" w:cs="Times New Roman"/>
                <w:sz w:val="28"/>
                <w:szCs w:val="28"/>
              </w:rPr>
              <w:t>.</w:t>
            </w:r>
          </w:p>
          <w:p w:rsidR="00E541F6" w:rsidRPr="003B33FC" w:rsidRDefault="00E541F6" w:rsidP="003B33FC">
            <w:pPr>
              <w:pStyle w:val="BodyText"/>
              <w:spacing w:after="0"/>
              <w:ind w:left="128" w:right="141" w:firstLine="720"/>
              <w:jc w:val="both"/>
              <w:rPr>
                <w:sz w:val="28"/>
                <w:szCs w:val="28"/>
              </w:rPr>
            </w:pPr>
            <w:r w:rsidRPr="00E01F19">
              <w:rPr>
                <w:sz w:val="28"/>
                <w:szCs w:val="28"/>
              </w:rPr>
              <w:t>Saskaņā ar Ministru kabineta 2006</w:t>
            </w:r>
            <w:r w:rsidRPr="003B33FC">
              <w:rPr>
                <w:sz w:val="28"/>
                <w:szCs w:val="28"/>
              </w:rPr>
              <w:t>.gada 21.februāra rīkojuma Nr.124 „Par valsts zinātniskās iestādes bezpeļņas organizācijas „Latvijas Organiskās sintēzes institūts” reorganizāciju un valsts aģentūras „Latvijas Organiskās sintēzes institūts” izveidošanu” 4.punktu institūts veic fundamentālos un lietišķos pētījumus organiskajā ķīmijā, farmācijā, farmakoloģijā, bioloģij</w:t>
            </w:r>
            <w:r w:rsidR="008B0097">
              <w:rPr>
                <w:sz w:val="28"/>
                <w:szCs w:val="28"/>
              </w:rPr>
              <w:t>ā un citās dabaszinātņu nozarēs,</w:t>
            </w:r>
            <w:r w:rsidRPr="003B33FC">
              <w:rPr>
                <w:sz w:val="28"/>
                <w:szCs w:val="28"/>
              </w:rPr>
              <w:t xml:space="preserve"> meklē un izpēta jaunas farmaceitiski aktīvas vielas, preparātus un reaģentus, lai izstrādātu un realizētu medicīnai, lauksaimniecībai un citām tautsaimniecības nozarēm nepieciešamos </w:t>
            </w:r>
            <w:r w:rsidR="001E5A1F">
              <w:rPr>
                <w:sz w:val="28"/>
                <w:szCs w:val="28"/>
              </w:rPr>
              <w:t>materiālus un programmproduktus,</w:t>
            </w:r>
            <w:r w:rsidRPr="003B33FC">
              <w:rPr>
                <w:sz w:val="28"/>
                <w:szCs w:val="28"/>
              </w:rPr>
              <w:t xml:space="preserve"> atbalsta akadēmisko izglītību, iesaista </w:t>
            </w:r>
            <w:r w:rsidR="00C34A2A">
              <w:rPr>
                <w:sz w:val="28"/>
                <w:szCs w:val="28"/>
              </w:rPr>
              <w:t>institūta</w:t>
            </w:r>
            <w:r w:rsidRPr="003B33FC">
              <w:rPr>
                <w:sz w:val="28"/>
                <w:szCs w:val="28"/>
              </w:rPr>
              <w:t xml:space="preserve"> pētnieciskajā darbībā bakalaura un maģistra studiju programmās studējošos un doktorantus, kā arī īsteno zinātniskās kvalifikācijas pilnveidošan</w:t>
            </w:r>
            <w:r w:rsidR="00D81917">
              <w:rPr>
                <w:sz w:val="28"/>
                <w:szCs w:val="28"/>
              </w:rPr>
              <w:t>as pasākumus attiecīgajā nozarē,</w:t>
            </w:r>
            <w:r w:rsidRPr="003B33FC">
              <w:rPr>
                <w:sz w:val="28"/>
                <w:szCs w:val="28"/>
              </w:rPr>
              <w:t xml:space="preserve"> atbilstoši kompetencei sniedz pakalpojumus pētniecības jomā, tajā skaitā veic ķīmiskās, bioķīmiskās</w:t>
            </w:r>
            <w:r w:rsidR="007E4DEC">
              <w:rPr>
                <w:sz w:val="28"/>
                <w:szCs w:val="28"/>
              </w:rPr>
              <w:t>, bioloģiskās un citas analīzes,</w:t>
            </w:r>
            <w:r w:rsidR="00233086">
              <w:rPr>
                <w:sz w:val="28"/>
                <w:szCs w:val="28"/>
              </w:rPr>
              <w:t xml:space="preserve"> kā arī</w:t>
            </w:r>
            <w:r w:rsidRPr="003B33FC">
              <w:rPr>
                <w:sz w:val="28"/>
                <w:szCs w:val="28"/>
              </w:rPr>
              <w:t xml:space="preserve"> attīsta ārējo ekonomisko sadarbību un starptautiskos sakarus zinātnē.</w:t>
            </w:r>
          </w:p>
          <w:p w:rsidR="00E541F6" w:rsidRPr="003B33FC" w:rsidRDefault="00E541F6" w:rsidP="00AB0104">
            <w:pPr>
              <w:pStyle w:val="BodyText"/>
              <w:spacing w:after="0"/>
              <w:ind w:left="128" w:right="141" w:firstLine="720"/>
              <w:jc w:val="both"/>
              <w:rPr>
                <w:sz w:val="28"/>
                <w:szCs w:val="28"/>
              </w:rPr>
            </w:pPr>
            <w:r w:rsidRPr="003B33FC">
              <w:rPr>
                <w:sz w:val="28"/>
                <w:szCs w:val="28"/>
              </w:rPr>
              <w:t xml:space="preserve">Institūta galvenie darbības virzieni ir zāļu vielu konstruēšana un organiskā sintēze, </w:t>
            </w:r>
            <w:proofErr w:type="spellStart"/>
            <w:r w:rsidRPr="003B33FC">
              <w:rPr>
                <w:sz w:val="28"/>
                <w:szCs w:val="28"/>
              </w:rPr>
              <w:t>farmakoloģiskie</w:t>
            </w:r>
            <w:proofErr w:type="spellEnd"/>
            <w:r w:rsidRPr="003B33FC">
              <w:rPr>
                <w:sz w:val="28"/>
                <w:szCs w:val="28"/>
              </w:rPr>
              <w:t xml:space="preserve"> un bioloģiskie pētījumi, analītiskais nodrošinājums, klīniskie pētījumi un jaunas organiskās sintēzes t</w:t>
            </w:r>
            <w:r w:rsidR="00A824CE">
              <w:rPr>
                <w:sz w:val="28"/>
                <w:szCs w:val="28"/>
              </w:rPr>
              <w:t>ehnoloģijas un to pielietojumi.</w:t>
            </w:r>
          </w:p>
          <w:p w:rsidR="005B4F2F" w:rsidRDefault="00926F7E" w:rsidP="005B4F2F">
            <w:pPr>
              <w:tabs>
                <w:tab w:val="left" w:pos="5940"/>
              </w:tabs>
              <w:spacing w:after="0" w:line="20" w:lineRule="atLeast"/>
              <w:ind w:left="128" w:right="141" w:firstLine="581"/>
              <w:jc w:val="both"/>
              <w:rPr>
                <w:rFonts w:ascii="Times New Roman" w:hAnsi="Times New Roman" w:cs="Times New Roman"/>
                <w:sz w:val="28"/>
                <w:szCs w:val="28"/>
              </w:rPr>
            </w:pPr>
            <w:r w:rsidRPr="003B33FC">
              <w:rPr>
                <w:rFonts w:ascii="Times New Roman" w:hAnsi="Times New Roman" w:cs="Times New Roman"/>
                <w:sz w:val="28"/>
                <w:szCs w:val="28"/>
              </w:rPr>
              <w:t xml:space="preserve">Institūts savā 2010.gada </w:t>
            </w:r>
            <w:r w:rsidR="00AB0104">
              <w:rPr>
                <w:rFonts w:ascii="Times New Roman" w:hAnsi="Times New Roman" w:cs="Times New Roman"/>
                <w:sz w:val="28"/>
                <w:szCs w:val="28"/>
              </w:rPr>
              <w:t>4.novembra</w:t>
            </w:r>
            <w:r w:rsidRPr="003B33FC">
              <w:rPr>
                <w:rFonts w:ascii="Times New Roman" w:hAnsi="Times New Roman" w:cs="Times New Roman"/>
                <w:sz w:val="28"/>
                <w:szCs w:val="28"/>
              </w:rPr>
              <w:t xml:space="preserve"> vēstulē Nr.1</w:t>
            </w:r>
            <w:r w:rsidR="00AB0104">
              <w:rPr>
                <w:rFonts w:ascii="Times New Roman" w:hAnsi="Times New Roman" w:cs="Times New Roman"/>
                <w:sz w:val="28"/>
                <w:szCs w:val="28"/>
              </w:rPr>
              <w:t xml:space="preserve">/17-379 </w:t>
            </w:r>
            <w:r w:rsidRPr="003B33FC">
              <w:rPr>
                <w:rFonts w:ascii="Times New Roman" w:hAnsi="Times New Roman" w:cs="Times New Roman"/>
                <w:sz w:val="28"/>
                <w:szCs w:val="28"/>
              </w:rPr>
              <w:t xml:space="preserve">„Par </w:t>
            </w:r>
            <w:r w:rsidR="00370956">
              <w:rPr>
                <w:rFonts w:ascii="Times New Roman" w:hAnsi="Times New Roman" w:cs="Times New Roman"/>
                <w:sz w:val="28"/>
                <w:szCs w:val="28"/>
              </w:rPr>
              <w:t>nekustamo īpašumu</w:t>
            </w:r>
            <w:r w:rsidRPr="003B33FC">
              <w:rPr>
                <w:rFonts w:ascii="Times New Roman" w:hAnsi="Times New Roman" w:cs="Times New Roman"/>
                <w:sz w:val="28"/>
                <w:szCs w:val="28"/>
              </w:rPr>
              <w:t xml:space="preserve">” </w:t>
            </w:r>
            <w:r w:rsidR="005B4F2F">
              <w:rPr>
                <w:rFonts w:ascii="Times New Roman" w:hAnsi="Times New Roman" w:cs="Times New Roman"/>
                <w:sz w:val="28"/>
                <w:szCs w:val="28"/>
              </w:rPr>
              <w:t xml:space="preserve">norāda, ka valsts nekustamais īpašums ir nepieciešams institūta darbības nodrošināšanai, tajā skaitā, </w:t>
            </w:r>
            <w:r w:rsidR="005B4F2F" w:rsidRPr="003B33FC">
              <w:rPr>
                <w:rFonts w:ascii="Times New Roman" w:hAnsi="Times New Roman" w:cs="Times New Roman"/>
                <w:sz w:val="28"/>
                <w:szCs w:val="28"/>
              </w:rPr>
              <w:t>institūta stratēģij</w:t>
            </w:r>
            <w:r w:rsidR="005B4F2F">
              <w:rPr>
                <w:rFonts w:ascii="Times New Roman" w:hAnsi="Times New Roman" w:cs="Times New Roman"/>
                <w:sz w:val="28"/>
                <w:szCs w:val="28"/>
              </w:rPr>
              <w:t>as</w:t>
            </w:r>
            <w:r w:rsidR="005B4F2F" w:rsidRPr="003B33FC">
              <w:rPr>
                <w:rFonts w:ascii="Times New Roman" w:hAnsi="Times New Roman" w:cs="Times New Roman"/>
                <w:sz w:val="28"/>
                <w:szCs w:val="28"/>
              </w:rPr>
              <w:t xml:space="preserve"> 20</w:t>
            </w:r>
            <w:r w:rsidR="005B4F2F">
              <w:rPr>
                <w:rFonts w:ascii="Times New Roman" w:hAnsi="Times New Roman" w:cs="Times New Roman"/>
                <w:sz w:val="28"/>
                <w:szCs w:val="28"/>
              </w:rPr>
              <w:t>09</w:t>
            </w:r>
            <w:r w:rsidR="005B4F2F" w:rsidRPr="003B33FC">
              <w:rPr>
                <w:rFonts w:ascii="Times New Roman" w:hAnsi="Times New Roman" w:cs="Times New Roman"/>
                <w:sz w:val="28"/>
                <w:szCs w:val="28"/>
              </w:rPr>
              <w:t>.-2016.gad</w:t>
            </w:r>
            <w:r w:rsidR="00933B75">
              <w:rPr>
                <w:rFonts w:ascii="Times New Roman" w:hAnsi="Times New Roman" w:cs="Times New Roman"/>
                <w:sz w:val="28"/>
                <w:szCs w:val="28"/>
              </w:rPr>
              <w:t>a</w:t>
            </w:r>
            <w:r w:rsidR="005B4F2F" w:rsidRPr="003B33FC">
              <w:rPr>
                <w:rFonts w:ascii="Times New Roman" w:hAnsi="Times New Roman" w:cs="Times New Roman"/>
                <w:sz w:val="28"/>
                <w:szCs w:val="28"/>
              </w:rPr>
              <w:t>m mērķ</w:t>
            </w:r>
            <w:r w:rsidR="005B4F2F">
              <w:rPr>
                <w:rFonts w:ascii="Times New Roman" w:hAnsi="Times New Roman" w:cs="Times New Roman"/>
                <w:sz w:val="28"/>
                <w:szCs w:val="28"/>
              </w:rPr>
              <w:t>u – kļūt par Eiropas mēroga ekselences centru pētījumiem organiskajā un medicīnas ķīmijā un nodrošināt iespēju realizēt pilna apjoma pētnieciskos darbus, kas nepieciešami jaunu zāļu izstrād</w:t>
            </w:r>
            <w:r w:rsidR="00A2226F">
              <w:rPr>
                <w:rFonts w:ascii="Times New Roman" w:hAnsi="Times New Roman" w:cs="Times New Roman"/>
                <w:sz w:val="28"/>
                <w:szCs w:val="28"/>
              </w:rPr>
              <w:t>es un ieviešanas nodrošināšanai</w:t>
            </w:r>
            <w:r w:rsidR="005B4F2F">
              <w:rPr>
                <w:rFonts w:ascii="Times New Roman" w:hAnsi="Times New Roman" w:cs="Times New Roman"/>
                <w:sz w:val="28"/>
                <w:szCs w:val="28"/>
              </w:rPr>
              <w:t xml:space="preserve"> – sasniegšanai. Vienlaikus institūts informē, ka valsts nekustamajā īpašumā plānots realizēt institūta pētnieciskās infrastruktūras modernizēšanas projektu darbības programmas „Uzņēmējdarbība un inovācijas” papildinājuma 2.1.1.3.1.apakšaktivitātes „Zinātnes infrastruktūras attīstība” ietvaros.</w:t>
            </w:r>
          </w:p>
          <w:p w:rsidR="008C2740" w:rsidRPr="003B33FC" w:rsidRDefault="0066187E" w:rsidP="003B33FC">
            <w:pPr>
              <w:pStyle w:val="BodyText"/>
              <w:tabs>
                <w:tab w:val="left" w:pos="5940"/>
              </w:tabs>
              <w:spacing w:after="0" w:line="20" w:lineRule="atLeast"/>
              <w:ind w:left="128" w:right="141" w:firstLine="581"/>
              <w:jc w:val="both"/>
              <w:rPr>
                <w:sz w:val="28"/>
                <w:szCs w:val="28"/>
              </w:rPr>
            </w:pPr>
            <w:r w:rsidRPr="003B33FC">
              <w:rPr>
                <w:sz w:val="28"/>
                <w:szCs w:val="28"/>
              </w:rPr>
              <w:t xml:space="preserve">Saskaņā ar </w:t>
            </w:r>
            <w:r w:rsidR="00DD6A5A" w:rsidRPr="003B33FC">
              <w:rPr>
                <w:sz w:val="28"/>
                <w:szCs w:val="28"/>
              </w:rPr>
              <w:t xml:space="preserve">Valsts zemes dienesta </w:t>
            </w:r>
            <w:r w:rsidR="00796F6D" w:rsidRPr="003B33FC">
              <w:rPr>
                <w:sz w:val="28"/>
                <w:szCs w:val="28"/>
              </w:rPr>
              <w:t xml:space="preserve">2010.gada </w:t>
            </w:r>
            <w:r w:rsidR="00796F6D" w:rsidRPr="003B33FC">
              <w:rPr>
                <w:sz w:val="28"/>
                <w:szCs w:val="28"/>
              </w:rPr>
              <w:lastRenderedPageBreak/>
              <w:t>20.aprīļa kadastra izziņu Nr.11-06/R-0066683</w:t>
            </w:r>
            <w:r w:rsidR="00DD6A5A" w:rsidRPr="003B33FC">
              <w:rPr>
                <w:sz w:val="28"/>
                <w:szCs w:val="28"/>
              </w:rPr>
              <w:t xml:space="preserve"> v</w:t>
            </w:r>
            <w:r w:rsidR="008C2740" w:rsidRPr="003B33FC">
              <w:rPr>
                <w:sz w:val="28"/>
                <w:szCs w:val="28"/>
              </w:rPr>
              <w:t xml:space="preserve">alsts nekustamais īpašums sastāv no zemes vienības </w:t>
            </w:r>
            <w:r w:rsidR="00796F6D" w:rsidRPr="003B33FC">
              <w:rPr>
                <w:sz w:val="28"/>
                <w:szCs w:val="28"/>
              </w:rPr>
              <w:t>1</w:t>
            </w:r>
            <w:r w:rsidR="00DF232C">
              <w:rPr>
                <w:sz w:val="28"/>
                <w:szCs w:val="28"/>
              </w:rPr>
              <w:t>,</w:t>
            </w:r>
            <w:r w:rsidR="00796F6D" w:rsidRPr="003B33FC">
              <w:rPr>
                <w:sz w:val="28"/>
                <w:szCs w:val="28"/>
              </w:rPr>
              <w:t xml:space="preserve">1953 </w:t>
            </w:r>
            <w:r w:rsidR="00022B34">
              <w:rPr>
                <w:sz w:val="28"/>
                <w:szCs w:val="28"/>
              </w:rPr>
              <w:t>ha</w:t>
            </w:r>
            <w:r w:rsidR="009021C8">
              <w:rPr>
                <w:sz w:val="28"/>
                <w:szCs w:val="28"/>
              </w:rPr>
              <w:t xml:space="preserve"> </w:t>
            </w:r>
            <w:r w:rsidR="00796F6D" w:rsidRPr="003B33FC">
              <w:rPr>
                <w:sz w:val="28"/>
                <w:szCs w:val="28"/>
              </w:rPr>
              <w:t xml:space="preserve">platībā </w:t>
            </w:r>
            <w:r w:rsidR="008C2740" w:rsidRPr="003B33FC">
              <w:rPr>
                <w:sz w:val="28"/>
                <w:szCs w:val="28"/>
              </w:rPr>
              <w:t xml:space="preserve">(zemes vienības kadastra apzīmējums </w:t>
            </w:r>
            <w:r w:rsidR="00796F6D" w:rsidRPr="003B33FC">
              <w:rPr>
                <w:sz w:val="28"/>
                <w:szCs w:val="28"/>
              </w:rPr>
              <w:t>0100 115 0307</w:t>
            </w:r>
            <w:r w:rsidR="008C2740" w:rsidRPr="003B33FC">
              <w:rPr>
                <w:sz w:val="28"/>
                <w:szCs w:val="28"/>
              </w:rPr>
              <w:t>)</w:t>
            </w:r>
            <w:r w:rsidR="00E5481B">
              <w:rPr>
                <w:sz w:val="28"/>
                <w:szCs w:val="28"/>
              </w:rPr>
              <w:t xml:space="preserve"> </w:t>
            </w:r>
            <w:r w:rsidR="00E5481B">
              <w:rPr>
                <w:rFonts w:eastAsia="Calibri"/>
                <w:sz w:val="28"/>
                <w:szCs w:val="28"/>
              </w:rPr>
              <w:t>Aizkraukles ielā 21, Rīgā,</w:t>
            </w:r>
            <w:r w:rsidR="008C2740" w:rsidRPr="003B33FC">
              <w:rPr>
                <w:sz w:val="28"/>
                <w:szCs w:val="28"/>
              </w:rPr>
              <w:t xml:space="preserve"> un </w:t>
            </w:r>
            <w:r w:rsidR="00796F6D" w:rsidRPr="003B33FC">
              <w:rPr>
                <w:sz w:val="28"/>
                <w:szCs w:val="28"/>
              </w:rPr>
              <w:t>deviņām</w:t>
            </w:r>
            <w:r w:rsidR="008C2740" w:rsidRPr="003B33FC">
              <w:rPr>
                <w:sz w:val="28"/>
                <w:szCs w:val="28"/>
              </w:rPr>
              <w:t xml:space="preserve"> būvēm </w:t>
            </w:r>
            <w:r w:rsidR="00796F6D" w:rsidRPr="003B33FC">
              <w:rPr>
                <w:sz w:val="28"/>
                <w:szCs w:val="28"/>
              </w:rPr>
              <w:t>(būvju kadastra apzīmējumi 0100 115 2028 001, 0100 115 2028 007, 0100 115 2028 008, 0100 115 2028 009, 0100 115 2028 017, 0100 115 2028 020, 0100 115 0307 001, 0100 115 0307 002 un 0100 115 0307 003)</w:t>
            </w:r>
            <w:r w:rsidR="00E5481B">
              <w:rPr>
                <w:sz w:val="28"/>
                <w:szCs w:val="28"/>
              </w:rPr>
              <w:t xml:space="preserve"> </w:t>
            </w:r>
            <w:r w:rsidR="00E5481B">
              <w:rPr>
                <w:rFonts w:eastAsia="Calibri"/>
                <w:sz w:val="28"/>
                <w:szCs w:val="28"/>
              </w:rPr>
              <w:t>Aizkraukles ielā 21, Rīgā</w:t>
            </w:r>
            <w:r w:rsidR="008C2740" w:rsidRPr="003B33FC">
              <w:rPr>
                <w:sz w:val="28"/>
                <w:szCs w:val="28"/>
              </w:rPr>
              <w:t>.</w:t>
            </w:r>
          </w:p>
          <w:p w:rsidR="008C2740" w:rsidRPr="003B33FC" w:rsidRDefault="009634BA" w:rsidP="003B33FC">
            <w:pPr>
              <w:pStyle w:val="BodyText"/>
              <w:tabs>
                <w:tab w:val="left" w:pos="5940"/>
              </w:tabs>
              <w:spacing w:after="0" w:line="20" w:lineRule="atLeast"/>
              <w:ind w:left="128" w:right="141" w:firstLine="581"/>
              <w:jc w:val="both"/>
              <w:rPr>
                <w:sz w:val="28"/>
                <w:szCs w:val="28"/>
              </w:rPr>
            </w:pPr>
            <w:r>
              <w:rPr>
                <w:sz w:val="28"/>
                <w:szCs w:val="28"/>
              </w:rPr>
              <w:t xml:space="preserve">Atbilstoši </w:t>
            </w:r>
            <w:r w:rsidR="008C2740" w:rsidRPr="003B33FC">
              <w:rPr>
                <w:sz w:val="28"/>
                <w:szCs w:val="28"/>
              </w:rPr>
              <w:t>ierakstiem Rīgas pilsētas zemesgrāmatu nodaļas Rīgas pilsētas zemesgrāmatas nodalījumā Nr.1000 00</w:t>
            </w:r>
            <w:r w:rsidR="00796F6D" w:rsidRPr="003B33FC">
              <w:rPr>
                <w:sz w:val="28"/>
                <w:szCs w:val="28"/>
              </w:rPr>
              <w:t>18</w:t>
            </w:r>
            <w:r w:rsidR="008C2740" w:rsidRPr="003B33FC">
              <w:rPr>
                <w:sz w:val="28"/>
                <w:szCs w:val="28"/>
              </w:rPr>
              <w:t xml:space="preserve"> </w:t>
            </w:r>
            <w:r w:rsidR="00796F6D" w:rsidRPr="003B33FC">
              <w:rPr>
                <w:sz w:val="28"/>
                <w:szCs w:val="28"/>
              </w:rPr>
              <w:t>9406</w:t>
            </w:r>
            <w:r w:rsidR="008C2740" w:rsidRPr="003B33FC">
              <w:rPr>
                <w:sz w:val="28"/>
                <w:szCs w:val="28"/>
              </w:rPr>
              <w:t xml:space="preserve"> īpašuma tiesības uz valsts nekustamo īpašumu ir nostiprinātas Latvijas valstij ministrijas personā.</w:t>
            </w:r>
          </w:p>
          <w:p w:rsidR="00D5330C" w:rsidRPr="003C5245" w:rsidRDefault="00D5330C" w:rsidP="007E29D9">
            <w:pPr>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Ministrijas Nekustamā īpašuma un valsts mantas apsaimniekošanas komisijas 201</w:t>
            </w:r>
            <w:r w:rsidR="00A824CE">
              <w:rPr>
                <w:rFonts w:ascii="Times New Roman" w:hAnsi="Times New Roman" w:cs="Times New Roman"/>
                <w:sz w:val="28"/>
                <w:szCs w:val="28"/>
              </w:rPr>
              <w:t>1</w:t>
            </w:r>
            <w:r>
              <w:rPr>
                <w:rFonts w:ascii="Times New Roman" w:hAnsi="Times New Roman" w:cs="Times New Roman"/>
                <w:sz w:val="28"/>
                <w:szCs w:val="28"/>
              </w:rPr>
              <w:t xml:space="preserve">.gada </w:t>
            </w:r>
            <w:r w:rsidR="007E29D9">
              <w:rPr>
                <w:rFonts w:ascii="Times New Roman" w:hAnsi="Times New Roman" w:cs="Times New Roman"/>
                <w:sz w:val="28"/>
                <w:szCs w:val="28"/>
              </w:rPr>
              <w:t>7.aprīļa</w:t>
            </w:r>
            <w:r>
              <w:rPr>
                <w:rFonts w:ascii="Times New Roman" w:hAnsi="Times New Roman" w:cs="Times New Roman"/>
                <w:sz w:val="28"/>
                <w:szCs w:val="28"/>
              </w:rPr>
              <w:t xml:space="preserve"> sēdē (prot. Nr.</w:t>
            </w:r>
            <w:r w:rsidR="00A824CE">
              <w:rPr>
                <w:rFonts w:ascii="Times New Roman" w:hAnsi="Times New Roman" w:cs="Times New Roman"/>
                <w:sz w:val="28"/>
                <w:szCs w:val="28"/>
              </w:rPr>
              <w:t>123</w:t>
            </w:r>
            <w:r>
              <w:rPr>
                <w:rFonts w:ascii="Times New Roman" w:hAnsi="Times New Roman" w:cs="Times New Roman"/>
                <w:sz w:val="28"/>
                <w:szCs w:val="28"/>
              </w:rPr>
              <w:t xml:space="preserve">, </w:t>
            </w:r>
            <w:r w:rsidR="007E29D9">
              <w:rPr>
                <w:rFonts w:ascii="Times New Roman" w:hAnsi="Times New Roman" w:cs="Times New Roman"/>
                <w:sz w:val="28"/>
                <w:szCs w:val="28"/>
              </w:rPr>
              <w:t>5</w:t>
            </w:r>
            <w:r>
              <w:rPr>
                <w:rFonts w:ascii="Times New Roman" w:hAnsi="Times New Roman" w:cs="Times New Roman"/>
                <w:sz w:val="28"/>
                <w:szCs w:val="28"/>
              </w:rPr>
              <w:t xml:space="preserve">.punkts) tika pieņemts lēmums </w:t>
            </w:r>
            <w:r w:rsidR="00D73867">
              <w:rPr>
                <w:rFonts w:ascii="Times New Roman" w:hAnsi="Times New Roman" w:cs="Times New Roman"/>
                <w:sz w:val="28"/>
                <w:szCs w:val="28"/>
              </w:rPr>
              <w:t xml:space="preserve">atbalstīt </w:t>
            </w:r>
            <w:r w:rsidR="0088136E" w:rsidRPr="003B33FC">
              <w:rPr>
                <w:rFonts w:ascii="Times New Roman" w:hAnsi="Times New Roman" w:cs="Times New Roman"/>
                <w:sz w:val="28"/>
                <w:szCs w:val="28"/>
              </w:rPr>
              <w:t xml:space="preserve">valsts nekustamā īpašuma nodošanu institūta </w:t>
            </w:r>
            <w:r w:rsidR="00A824CE">
              <w:rPr>
                <w:rFonts w:ascii="Times New Roman" w:hAnsi="Times New Roman" w:cs="Times New Roman"/>
                <w:sz w:val="28"/>
                <w:szCs w:val="28"/>
              </w:rPr>
              <w:t>īpašumā</w:t>
            </w:r>
            <w:r w:rsidR="0088136E">
              <w:rPr>
                <w:rFonts w:ascii="Times New Roman" w:hAnsi="Times New Roman" w:cs="Times New Roman"/>
                <w:sz w:val="28"/>
                <w:szCs w:val="28"/>
              </w:rPr>
              <w:t>.</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B44BD9">
            <w:pPr>
              <w:tabs>
                <w:tab w:val="center" w:pos="141"/>
              </w:tabs>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r w:rsidR="00576BB0" w:rsidRPr="004D59A3">
              <w:rPr>
                <w:rFonts w:ascii="Times New Roman" w:hAnsi="Times New Roman" w:cs="Times New Roman"/>
                <w:sz w:val="28"/>
                <w:szCs w:val="28"/>
              </w:rPr>
              <w:t>.</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590" w:type="pct"/>
            <w:tcBorders>
              <w:top w:val="outset" w:sz="6" w:space="0" w:color="000000"/>
              <w:left w:val="outset" w:sz="6" w:space="0" w:color="000000"/>
              <w:bottom w:val="outset" w:sz="6" w:space="0" w:color="000000"/>
              <w:right w:val="outset" w:sz="6" w:space="0" w:color="000000"/>
            </w:tcBorders>
            <w:hideMark/>
          </w:tcPr>
          <w:p w:rsidR="005B5A8D" w:rsidRDefault="00E22778" w:rsidP="00B44BD9">
            <w:pPr>
              <w:tabs>
                <w:tab w:val="center" w:pos="141"/>
              </w:tabs>
              <w:spacing w:after="0" w:line="240" w:lineRule="auto"/>
              <w:ind w:left="128" w:right="141" w:firstLine="581"/>
              <w:jc w:val="both"/>
              <w:rPr>
                <w:rFonts w:ascii="Times New Roman" w:eastAsia="Times New Roman" w:hAnsi="Times New Roman" w:cs="Times New Roman"/>
                <w:sz w:val="28"/>
                <w:szCs w:val="28"/>
                <w:lang w:eastAsia="lv-LV"/>
              </w:rPr>
            </w:pPr>
            <w:r>
              <w:rPr>
                <w:rFonts w:ascii="Times New Roman" w:hAnsi="Times New Roman" w:cs="Times New Roman"/>
                <w:sz w:val="28"/>
                <w:szCs w:val="28"/>
              </w:rPr>
              <w:t>Rīkojuma projekts</w:t>
            </w:r>
            <w:r w:rsidR="005048CA">
              <w:rPr>
                <w:rFonts w:ascii="Times New Roman" w:hAnsi="Times New Roman" w:cs="Times New Roman"/>
                <w:sz w:val="28"/>
                <w:szCs w:val="28"/>
              </w:rPr>
              <w:t xml:space="preserve"> </w:t>
            </w:r>
            <w:r w:rsidR="003D660F" w:rsidRPr="005D33A3">
              <w:rPr>
                <w:rFonts w:ascii="Times New Roman" w:eastAsia="Times New Roman" w:hAnsi="Times New Roman" w:cs="Times New Roman"/>
                <w:sz w:val="28"/>
                <w:szCs w:val="28"/>
                <w:lang w:eastAsia="lv-LV"/>
              </w:rPr>
              <w:t xml:space="preserve">paredz nodot </w:t>
            </w:r>
            <w:r w:rsidR="003D660F">
              <w:rPr>
                <w:rFonts w:ascii="Times New Roman" w:eastAsia="Times New Roman" w:hAnsi="Times New Roman" w:cs="Times New Roman"/>
                <w:sz w:val="28"/>
                <w:szCs w:val="28"/>
                <w:lang w:eastAsia="lv-LV"/>
              </w:rPr>
              <w:t xml:space="preserve">institūta </w:t>
            </w:r>
            <w:r w:rsidR="00E0430B">
              <w:rPr>
                <w:rFonts w:ascii="Times New Roman" w:eastAsia="Times New Roman" w:hAnsi="Times New Roman" w:cs="Times New Roman"/>
                <w:sz w:val="28"/>
                <w:szCs w:val="28"/>
                <w:lang w:eastAsia="lv-LV"/>
              </w:rPr>
              <w:t>īpašumā</w:t>
            </w:r>
            <w:r w:rsidR="003D660F">
              <w:rPr>
                <w:rFonts w:ascii="Times New Roman" w:eastAsia="Times New Roman" w:hAnsi="Times New Roman" w:cs="Times New Roman"/>
                <w:sz w:val="28"/>
                <w:szCs w:val="28"/>
                <w:lang w:eastAsia="lv-LV"/>
              </w:rPr>
              <w:t xml:space="preserve"> valsts nekustamo īpašumu.</w:t>
            </w:r>
          </w:p>
          <w:p w:rsidR="003D660F" w:rsidRPr="009634BA" w:rsidRDefault="003D660F" w:rsidP="009634BA">
            <w:pPr>
              <w:pStyle w:val="Footer"/>
              <w:tabs>
                <w:tab w:val="clear" w:pos="4153"/>
                <w:tab w:val="clear" w:pos="8306"/>
                <w:tab w:val="left" w:pos="5670"/>
                <w:tab w:val="right" w:pos="9072"/>
              </w:tabs>
              <w:ind w:left="130" w:right="142" w:firstLine="578"/>
              <w:jc w:val="both"/>
              <w:rPr>
                <w:rFonts w:ascii="Times New Roman" w:hAnsi="Times New Roman" w:cs="Times New Roman"/>
                <w:sz w:val="28"/>
                <w:szCs w:val="28"/>
              </w:rPr>
            </w:pPr>
            <w:r w:rsidRPr="009634BA">
              <w:rPr>
                <w:rFonts w:ascii="Times New Roman" w:hAnsi="Times New Roman" w:cs="Times New Roman"/>
                <w:sz w:val="28"/>
                <w:szCs w:val="28"/>
              </w:rPr>
              <w:t>Valsts nekust</w:t>
            </w:r>
            <w:r w:rsidR="00E0430B" w:rsidRPr="009634BA">
              <w:rPr>
                <w:rFonts w:ascii="Times New Roman" w:hAnsi="Times New Roman" w:cs="Times New Roman"/>
                <w:sz w:val="28"/>
                <w:szCs w:val="28"/>
              </w:rPr>
              <w:t>amajam īpašumam esot institūta īpašumā</w:t>
            </w:r>
            <w:r w:rsidRPr="009634BA">
              <w:rPr>
                <w:rFonts w:ascii="Times New Roman" w:hAnsi="Times New Roman" w:cs="Times New Roman"/>
                <w:sz w:val="28"/>
                <w:szCs w:val="28"/>
              </w:rPr>
              <w:t xml:space="preserve">, institūts varēs piesaistīt Eiropas </w:t>
            </w:r>
            <w:r w:rsidR="00B44BD9" w:rsidRPr="009634BA">
              <w:rPr>
                <w:rFonts w:ascii="Times New Roman" w:hAnsi="Times New Roman" w:cs="Times New Roman"/>
                <w:sz w:val="28"/>
                <w:szCs w:val="28"/>
              </w:rPr>
              <w:t>Savienības</w:t>
            </w:r>
            <w:r w:rsidRPr="009634BA">
              <w:rPr>
                <w:rFonts w:ascii="Times New Roman" w:hAnsi="Times New Roman" w:cs="Times New Roman"/>
                <w:sz w:val="28"/>
                <w:szCs w:val="28"/>
              </w:rPr>
              <w:t xml:space="preserve"> </w:t>
            </w:r>
            <w:r w:rsidR="00B44BD9" w:rsidRPr="009634BA">
              <w:rPr>
                <w:rFonts w:ascii="Times New Roman" w:hAnsi="Times New Roman" w:cs="Times New Roman"/>
                <w:sz w:val="28"/>
                <w:szCs w:val="28"/>
              </w:rPr>
              <w:t>struktūrfondu finanšu līdzekļus</w:t>
            </w:r>
            <w:r w:rsidRPr="009634BA">
              <w:rPr>
                <w:rFonts w:ascii="Times New Roman" w:eastAsia="Times New Roman" w:hAnsi="Times New Roman" w:cs="Times New Roman"/>
                <w:sz w:val="28"/>
                <w:szCs w:val="28"/>
                <w:lang w:eastAsia="lv-LV"/>
              </w:rPr>
              <w:t>, kā arī savus pašu ieņēmumus</w:t>
            </w:r>
            <w:r w:rsidRPr="009634BA">
              <w:rPr>
                <w:rFonts w:ascii="Times New Roman" w:hAnsi="Times New Roman" w:cs="Times New Roman"/>
                <w:sz w:val="28"/>
                <w:szCs w:val="28"/>
              </w:rPr>
              <w:t>, tādējādi nodrošinot valsts nekustamā īpašuma uzlabošanu un modernizēšanu.</w:t>
            </w:r>
          </w:p>
          <w:p w:rsidR="003D660F" w:rsidRPr="003C5245" w:rsidRDefault="009634BA" w:rsidP="005E2178">
            <w:pPr>
              <w:pStyle w:val="Footer"/>
              <w:tabs>
                <w:tab w:val="clear" w:pos="4153"/>
                <w:tab w:val="clear" w:pos="8306"/>
                <w:tab w:val="left" w:pos="5670"/>
                <w:tab w:val="right" w:pos="9072"/>
              </w:tabs>
              <w:ind w:left="130" w:right="142" w:firstLine="578"/>
              <w:jc w:val="both"/>
              <w:rPr>
                <w:rFonts w:ascii="Times New Roman" w:hAnsi="Times New Roman"/>
                <w:sz w:val="28"/>
                <w:szCs w:val="28"/>
              </w:rPr>
            </w:pPr>
            <w:r w:rsidRPr="009634BA">
              <w:rPr>
                <w:rFonts w:ascii="Times New Roman" w:hAnsi="Times New Roman" w:cs="Times New Roman"/>
                <w:sz w:val="28"/>
                <w:szCs w:val="28"/>
              </w:rPr>
              <w:t xml:space="preserve">Gadījumā, ja iestājas rīkojuma projekta </w:t>
            </w:r>
            <w:r w:rsidR="00111BF8" w:rsidRPr="00E01F19">
              <w:rPr>
                <w:rFonts w:ascii="Times New Roman" w:hAnsi="Times New Roman" w:cs="Times New Roman"/>
                <w:sz w:val="28"/>
                <w:szCs w:val="28"/>
              </w:rPr>
              <w:t>3</w:t>
            </w:r>
            <w:r w:rsidRPr="00E01F19">
              <w:rPr>
                <w:rFonts w:ascii="Times New Roman" w:hAnsi="Times New Roman" w:cs="Times New Roman"/>
                <w:sz w:val="28"/>
                <w:szCs w:val="28"/>
              </w:rPr>
              <w:t>.</w:t>
            </w:r>
            <w:r w:rsidR="000324CA" w:rsidRPr="00E01F19">
              <w:rPr>
                <w:rFonts w:ascii="Times New Roman" w:hAnsi="Times New Roman" w:cs="Times New Roman"/>
                <w:sz w:val="28"/>
                <w:szCs w:val="28"/>
              </w:rPr>
              <w:t>2.apakš</w:t>
            </w:r>
            <w:r w:rsidRPr="00E01F19">
              <w:rPr>
                <w:rFonts w:ascii="Times New Roman" w:hAnsi="Times New Roman" w:cs="Times New Roman"/>
                <w:sz w:val="28"/>
                <w:szCs w:val="28"/>
              </w:rPr>
              <w:t>punktā minētais</w:t>
            </w:r>
            <w:r w:rsidRPr="009634BA">
              <w:rPr>
                <w:rFonts w:ascii="Times New Roman" w:hAnsi="Times New Roman" w:cs="Times New Roman"/>
                <w:sz w:val="28"/>
                <w:szCs w:val="28"/>
              </w:rPr>
              <w:t xml:space="preserve"> nosacījums, </w:t>
            </w:r>
            <w:r w:rsidR="00466FAA" w:rsidRPr="009634BA">
              <w:rPr>
                <w:rFonts w:ascii="Times New Roman" w:hAnsi="Times New Roman" w:cs="Times New Roman"/>
                <w:sz w:val="28"/>
                <w:szCs w:val="28"/>
              </w:rPr>
              <w:t xml:space="preserve">institūtam </w:t>
            </w:r>
            <w:r>
              <w:rPr>
                <w:rFonts w:ascii="Times New Roman" w:hAnsi="Times New Roman" w:cs="Times New Roman"/>
                <w:sz w:val="28"/>
                <w:szCs w:val="28"/>
              </w:rPr>
              <w:t xml:space="preserve">ir </w:t>
            </w:r>
            <w:r w:rsidR="008D606E" w:rsidRPr="009634BA">
              <w:rPr>
                <w:rFonts w:ascii="Times New Roman" w:hAnsi="Times New Roman" w:cs="Times New Roman"/>
                <w:sz w:val="28"/>
                <w:szCs w:val="28"/>
              </w:rPr>
              <w:t>pienākum</w:t>
            </w:r>
            <w:r w:rsidR="00237818">
              <w:rPr>
                <w:rFonts w:ascii="Times New Roman" w:hAnsi="Times New Roman" w:cs="Times New Roman"/>
                <w:sz w:val="28"/>
                <w:szCs w:val="28"/>
              </w:rPr>
              <w:t>s</w:t>
            </w:r>
            <w:r w:rsidR="008D606E" w:rsidRPr="009634BA">
              <w:rPr>
                <w:rFonts w:ascii="Times New Roman" w:hAnsi="Times New Roman" w:cs="Times New Roman"/>
                <w:sz w:val="28"/>
                <w:szCs w:val="28"/>
              </w:rPr>
              <w:t xml:space="preserve"> nekustamo īpašumu </w:t>
            </w:r>
            <w:r w:rsidR="005E2178">
              <w:rPr>
                <w:rFonts w:ascii="Times New Roman" w:eastAsia="Calibri" w:hAnsi="Times New Roman" w:cs="Times New Roman"/>
                <w:sz w:val="28"/>
                <w:szCs w:val="28"/>
              </w:rPr>
              <w:t xml:space="preserve">(nekustamā īpašuma kadastra Nr.0100 115 0307) Aizkraukles ielā 21, Rīgā, </w:t>
            </w:r>
            <w:r w:rsidR="008D606E" w:rsidRPr="009634BA">
              <w:rPr>
                <w:rFonts w:ascii="Times New Roman" w:hAnsi="Times New Roman" w:cs="Times New Roman"/>
                <w:sz w:val="28"/>
                <w:szCs w:val="28"/>
              </w:rPr>
              <w:t>bez at</w:t>
            </w:r>
            <w:r w:rsidR="008D606E" w:rsidRPr="00CD72FC">
              <w:rPr>
                <w:rFonts w:ascii="Times New Roman" w:hAnsi="Times New Roman" w:cs="Times New Roman"/>
                <w:sz w:val="28"/>
                <w:szCs w:val="28"/>
              </w:rPr>
              <w:t xml:space="preserve">līdzības nodot </w:t>
            </w:r>
            <w:r w:rsidR="007943D3">
              <w:rPr>
                <w:rFonts w:ascii="Times New Roman" w:hAnsi="Times New Roman" w:cs="Times New Roman"/>
                <w:sz w:val="28"/>
                <w:szCs w:val="28"/>
              </w:rPr>
              <w:t>valst</w:t>
            </w:r>
            <w:r w:rsidR="006B1B8D">
              <w:rPr>
                <w:rFonts w:ascii="Times New Roman" w:hAnsi="Times New Roman" w:cs="Times New Roman"/>
                <w:sz w:val="28"/>
                <w:szCs w:val="28"/>
              </w:rPr>
              <w:t>s īpašumā</w:t>
            </w:r>
            <w:r w:rsidR="008D606E" w:rsidRPr="00CD72FC">
              <w:rPr>
                <w:rFonts w:ascii="Times New Roman" w:hAnsi="Times New Roman" w:cs="Times New Roman"/>
                <w:sz w:val="28"/>
                <w:szCs w:val="28"/>
              </w:rPr>
              <w:t xml:space="preserve">, </w:t>
            </w:r>
            <w:r w:rsidR="008D606E">
              <w:rPr>
                <w:rFonts w:ascii="Times New Roman" w:hAnsi="Times New Roman" w:cs="Times New Roman"/>
                <w:sz w:val="28"/>
                <w:szCs w:val="28"/>
              </w:rPr>
              <w:t xml:space="preserve">tādējādi paredzot iespēju </w:t>
            </w:r>
            <w:r w:rsidR="007943D3">
              <w:rPr>
                <w:rFonts w:ascii="Times New Roman" w:hAnsi="Times New Roman" w:cs="Times New Roman"/>
                <w:sz w:val="28"/>
                <w:szCs w:val="28"/>
              </w:rPr>
              <w:t>valstij</w:t>
            </w:r>
            <w:r w:rsidR="008D606E">
              <w:rPr>
                <w:rFonts w:ascii="Times New Roman" w:hAnsi="Times New Roman" w:cs="Times New Roman"/>
                <w:sz w:val="28"/>
                <w:szCs w:val="28"/>
              </w:rPr>
              <w:t xml:space="preserve"> izvērtēt </w:t>
            </w:r>
            <w:r w:rsidR="005E2178">
              <w:rPr>
                <w:rFonts w:ascii="Times New Roman" w:hAnsi="Times New Roman" w:cs="Times New Roman"/>
                <w:sz w:val="28"/>
                <w:szCs w:val="28"/>
              </w:rPr>
              <w:t>iepriekš minētā</w:t>
            </w:r>
            <w:r w:rsidR="008D606E">
              <w:rPr>
                <w:rFonts w:ascii="Times New Roman" w:hAnsi="Times New Roman" w:cs="Times New Roman"/>
                <w:sz w:val="28"/>
                <w:szCs w:val="28"/>
              </w:rPr>
              <w:t xml:space="preserve"> nekustamā īpašuma nepieciešamību tās funkciju nodrošināšanai.</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B44BD9">
            <w:pPr>
              <w:pStyle w:val="Footer"/>
              <w:tabs>
                <w:tab w:val="clear" w:pos="4153"/>
                <w:tab w:val="clear" w:pos="8306"/>
                <w:tab w:val="center" w:pos="141"/>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Iemesli, kādēļ </w:t>
            </w:r>
            <w:r w:rsidRPr="004D59A3">
              <w:rPr>
                <w:rFonts w:ascii="Times New Roman" w:eastAsia="Times New Roman" w:hAnsi="Times New Roman" w:cs="Times New Roman"/>
                <w:sz w:val="28"/>
                <w:szCs w:val="28"/>
                <w:lang w:eastAsia="lv-LV"/>
              </w:rPr>
              <w:lastRenderedPageBreak/>
              <w:t>netika nodrošināta sabiedrības līdzdalība</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7943D3">
            <w:pPr>
              <w:pStyle w:val="Footer"/>
              <w:tabs>
                <w:tab w:val="clear" w:pos="4153"/>
                <w:tab w:val="clear" w:pos="8306"/>
                <w:tab w:val="center" w:pos="141"/>
                <w:tab w:val="right" w:pos="9072"/>
              </w:tabs>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lastRenderedPageBreak/>
              <w:t xml:space="preserve">Jautājuma būtība ir saistīta ar ministrijas </w:t>
            </w:r>
            <w:r w:rsidRPr="004D59A3">
              <w:rPr>
                <w:rFonts w:ascii="Times New Roman" w:hAnsi="Times New Roman" w:cs="Times New Roman"/>
                <w:sz w:val="28"/>
                <w:szCs w:val="28"/>
              </w:rPr>
              <w:lastRenderedPageBreak/>
              <w:t>padotīb</w:t>
            </w:r>
            <w:r w:rsidR="00003636">
              <w:rPr>
                <w:rFonts w:ascii="Times New Roman" w:hAnsi="Times New Roman" w:cs="Times New Roman"/>
                <w:sz w:val="28"/>
                <w:szCs w:val="28"/>
              </w:rPr>
              <w:t>as</w:t>
            </w:r>
            <w:r w:rsidRPr="004D59A3">
              <w:rPr>
                <w:rFonts w:ascii="Times New Roman" w:hAnsi="Times New Roman" w:cs="Times New Roman"/>
                <w:sz w:val="28"/>
                <w:szCs w:val="28"/>
              </w:rPr>
              <w:t xml:space="preserve"> iestādes </w:t>
            </w:r>
            <w:r w:rsidR="00F92BC5">
              <w:rPr>
                <w:rFonts w:ascii="Times New Roman" w:hAnsi="Times New Roman" w:cs="Times New Roman"/>
                <w:sz w:val="28"/>
                <w:szCs w:val="28"/>
              </w:rPr>
              <w:t xml:space="preserve">lietojumā un </w:t>
            </w:r>
            <w:r w:rsidR="000E4A21">
              <w:rPr>
                <w:rFonts w:ascii="Times New Roman" w:hAnsi="Times New Roman" w:cs="Times New Roman"/>
                <w:sz w:val="28"/>
                <w:szCs w:val="28"/>
              </w:rPr>
              <w:t xml:space="preserve">apsaimniekošanā </w:t>
            </w:r>
            <w:r w:rsidR="005868BD">
              <w:rPr>
                <w:rFonts w:ascii="Times New Roman" w:hAnsi="Times New Roman" w:cs="Times New Roman"/>
                <w:sz w:val="28"/>
                <w:szCs w:val="28"/>
              </w:rPr>
              <w:t>esošā</w:t>
            </w:r>
            <w:r w:rsidRPr="004D59A3">
              <w:rPr>
                <w:rFonts w:ascii="Times New Roman" w:hAnsi="Times New Roman" w:cs="Times New Roman"/>
                <w:sz w:val="28"/>
                <w:szCs w:val="28"/>
              </w:rPr>
              <w:t xml:space="preserve"> </w:t>
            </w:r>
            <w:r w:rsidR="00F92BC5">
              <w:rPr>
                <w:rFonts w:ascii="Times New Roman" w:hAnsi="Times New Roman" w:cs="Times New Roman"/>
                <w:sz w:val="28"/>
                <w:szCs w:val="28"/>
              </w:rPr>
              <w:t>valsts</w:t>
            </w:r>
            <w:r w:rsidRPr="004D59A3">
              <w:rPr>
                <w:rFonts w:ascii="Times New Roman" w:hAnsi="Times New Roman" w:cs="Times New Roman"/>
                <w:sz w:val="28"/>
                <w:szCs w:val="28"/>
              </w:rPr>
              <w:t xml:space="preserve"> nekustam</w:t>
            </w:r>
            <w:r>
              <w:rPr>
                <w:rFonts w:ascii="Times New Roman" w:hAnsi="Times New Roman" w:cs="Times New Roman"/>
                <w:sz w:val="28"/>
                <w:szCs w:val="28"/>
              </w:rPr>
              <w:t>ā</w:t>
            </w:r>
            <w:r w:rsidRPr="004D59A3">
              <w:rPr>
                <w:rFonts w:ascii="Times New Roman" w:hAnsi="Times New Roman" w:cs="Times New Roman"/>
                <w:sz w:val="28"/>
                <w:szCs w:val="28"/>
              </w:rPr>
              <w:t xml:space="preserve"> īpašum</w:t>
            </w:r>
            <w:r>
              <w:rPr>
                <w:rFonts w:ascii="Times New Roman" w:hAnsi="Times New Roman" w:cs="Times New Roman"/>
                <w:sz w:val="28"/>
                <w:szCs w:val="28"/>
              </w:rPr>
              <w:t>a</w:t>
            </w:r>
            <w:r w:rsidR="005868BD">
              <w:rPr>
                <w:rFonts w:ascii="Times New Roman" w:hAnsi="Times New Roman" w:cs="Times New Roman"/>
                <w:sz w:val="28"/>
                <w:szCs w:val="28"/>
              </w:rPr>
              <w:t xml:space="preserve"> </w:t>
            </w:r>
            <w:r w:rsidR="00FE3950">
              <w:rPr>
                <w:rFonts w:ascii="Times New Roman" w:eastAsia="Calibri" w:hAnsi="Times New Roman" w:cs="Times New Roman"/>
                <w:sz w:val="28"/>
                <w:szCs w:val="28"/>
              </w:rPr>
              <w:t xml:space="preserve">nodošanu </w:t>
            </w:r>
            <w:r w:rsidR="007943D3">
              <w:rPr>
                <w:rFonts w:ascii="Times New Roman" w:eastAsia="Calibri" w:hAnsi="Times New Roman" w:cs="Times New Roman"/>
                <w:sz w:val="28"/>
                <w:szCs w:val="28"/>
              </w:rPr>
              <w:t>šīs iestādes īpašumā</w:t>
            </w:r>
            <w:r w:rsidR="008D606E">
              <w:rPr>
                <w:rFonts w:ascii="Times New Roman" w:eastAsia="Calibri" w:hAnsi="Times New Roman" w:cs="Times New Roman"/>
                <w:sz w:val="28"/>
                <w:szCs w:val="28"/>
              </w:rPr>
              <w:t>,</w:t>
            </w:r>
            <w:r w:rsidR="008D606E" w:rsidRPr="00903CEA">
              <w:rPr>
                <w:rFonts w:ascii="Times New Roman" w:hAnsi="Times New Roman" w:cs="Times New Roman"/>
                <w:sz w:val="28"/>
                <w:szCs w:val="28"/>
              </w:rPr>
              <w:t xml:space="preserve"> lai varētu nodrošināt pilnvērtīgu un nepārtrauktu valsts nekustam</w:t>
            </w:r>
            <w:r w:rsidR="008D606E">
              <w:rPr>
                <w:rFonts w:ascii="Times New Roman" w:hAnsi="Times New Roman" w:cs="Times New Roman"/>
                <w:sz w:val="28"/>
                <w:szCs w:val="28"/>
              </w:rPr>
              <w:t>ā</w:t>
            </w:r>
            <w:r w:rsidR="008D606E" w:rsidRPr="00903CEA">
              <w:rPr>
                <w:rFonts w:ascii="Times New Roman" w:hAnsi="Times New Roman" w:cs="Times New Roman"/>
                <w:sz w:val="28"/>
                <w:szCs w:val="28"/>
              </w:rPr>
              <w:t xml:space="preserve"> īpašum</w:t>
            </w:r>
            <w:r w:rsidR="008D606E">
              <w:rPr>
                <w:rFonts w:ascii="Times New Roman" w:hAnsi="Times New Roman" w:cs="Times New Roman"/>
                <w:sz w:val="28"/>
                <w:szCs w:val="28"/>
              </w:rPr>
              <w:t>a</w:t>
            </w:r>
            <w:r w:rsidR="008D606E" w:rsidRPr="00903CEA">
              <w:rPr>
                <w:rFonts w:ascii="Times New Roman" w:hAnsi="Times New Roman" w:cs="Times New Roman"/>
                <w:sz w:val="28"/>
                <w:szCs w:val="28"/>
              </w:rPr>
              <w:t xml:space="preserve"> apsaimniekošanu un attīstību, piesaistot Eiropas Savienības struktūrfondu finansējumu</w:t>
            </w:r>
            <w:r w:rsidR="008D606E">
              <w:rPr>
                <w:rFonts w:ascii="Times New Roman" w:hAnsi="Times New Roman" w:cs="Times New Roman"/>
                <w:sz w:val="28"/>
                <w:szCs w:val="28"/>
              </w:rPr>
              <w:t xml:space="preserve"> un pašu finanšu līdzekļus</w:t>
            </w:r>
            <w:r w:rsidR="00FE3950">
              <w:rPr>
                <w:rFonts w:ascii="Times New Roman" w:eastAsia="Calibri" w:hAnsi="Times New Roman" w:cs="Times New Roman"/>
                <w:sz w:val="28"/>
                <w:szCs w:val="28"/>
              </w:rPr>
              <w:t>.</w:t>
            </w:r>
            <w:r w:rsidR="009634BA">
              <w:rPr>
                <w:rFonts w:ascii="Times New Roman" w:hAnsi="Times New Roman" w:cs="Times New Roman"/>
                <w:sz w:val="28"/>
                <w:szCs w:val="28"/>
              </w:rPr>
              <w:t xml:space="preserve"> Līdz ar to</w:t>
            </w:r>
            <w:r w:rsidRPr="004D59A3">
              <w:rPr>
                <w:rFonts w:ascii="Times New Roman" w:hAnsi="Times New Roman" w:cs="Times New Roman"/>
                <w:sz w:val="28"/>
                <w:szCs w:val="28"/>
              </w:rPr>
              <w:t xml:space="preserve"> šis jautājums neparedz ieviest tādas izmaiņas, kas varētu ietekmēt sabiedrības intereses.</w:t>
            </w:r>
          </w:p>
        </w:tc>
      </w:tr>
      <w:tr w:rsidR="00576BB0" w:rsidRPr="004D59A3" w:rsidTr="004A6A4A">
        <w:tc>
          <w:tcPr>
            <w:tcW w:w="30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7.</w:t>
            </w:r>
          </w:p>
        </w:tc>
        <w:tc>
          <w:tcPr>
            <w:tcW w:w="1105"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590"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B44BD9">
            <w:pPr>
              <w:tabs>
                <w:tab w:val="center" w:pos="141"/>
              </w:tabs>
              <w:spacing w:after="0" w:line="240" w:lineRule="auto"/>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576BB0" w:rsidRPr="004D59A3" w:rsidRDefault="00576BB0" w:rsidP="00576BB0">
      <w:pPr>
        <w:spacing w:after="0" w:line="240" w:lineRule="auto"/>
        <w:rPr>
          <w:rFonts w:ascii="Times New Roman" w:eastAsia="Times New Roman" w:hAnsi="Times New Roman" w:cs="Times New Roman"/>
          <w:sz w:val="28"/>
          <w:szCs w:val="28"/>
          <w:lang w:eastAsia="lv-LV"/>
        </w:rPr>
      </w:pPr>
    </w:p>
    <w:p w:rsidR="00576BB0" w:rsidRPr="004D59A3" w:rsidRDefault="00576BB0" w:rsidP="00576BB0">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II, III, IV, V un VI sadaļa – </w:t>
      </w:r>
      <w:r w:rsidR="001A5C73">
        <w:rPr>
          <w:rFonts w:ascii="Times New Roman" w:eastAsia="Times New Roman" w:hAnsi="Times New Roman"/>
          <w:sz w:val="28"/>
          <w:szCs w:val="28"/>
          <w:lang w:eastAsia="lv-LV"/>
        </w:rPr>
        <w:t>projekts šīs jomas neskar</w:t>
      </w:r>
      <w:r w:rsidR="001A5C73" w:rsidRPr="006670F7">
        <w:rPr>
          <w:rFonts w:ascii="Times New Roman" w:eastAsia="Times New Roman" w:hAnsi="Times New Roman"/>
          <w:sz w:val="28"/>
          <w:szCs w:val="28"/>
          <w:lang w:eastAsia="lv-LV"/>
        </w:rPr>
        <w:t>.</w:t>
      </w:r>
    </w:p>
    <w:p w:rsidR="00576BB0" w:rsidRPr="004D59A3" w:rsidRDefault="00576BB0" w:rsidP="00576BB0">
      <w:pPr>
        <w:spacing w:after="0" w:line="240" w:lineRule="auto"/>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3"/>
        <w:gridCol w:w="3262"/>
        <w:gridCol w:w="5245"/>
      </w:tblGrid>
      <w:tr w:rsidR="00576BB0" w:rsidRPr="004D59A3" w:rsidTr="003C5245">
        <w:tc>
          <w:tcPr>
            <w:tcW w:w="5000" w:type="pct"/>
            <w:gridSpan w:val="3"/>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265EE" w:rsidP="00F92BC5">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576BB0" w:rsidRPr="004D59A3">
              <w:rPr>
                <w:rFonts w:ascii="Times New Roman" w:eastAsia="Times New Roman" w:hAnsi="Times New Roman" w:cs="Times New Roman"/>
                <w:sz w:val="28"/>
                <w:szCs w:val="28"/>
                <w:lang w:eastAsia="lv-LV"/>
              </w:rPr>
              <w:t xml:space="preserve"> projekta izpildi nodrošinās </w:t>
            </w:r>
            <w:r w:rsidR="005868BD">
              <w:rPr>
                <w:rFonts w:ascii="Times New Roman" w:eastAsia="Times New Roman" w:hAnsi="Times New Roman" w:cs="Times New Roman"/>
                <w:sz w:val="28"/>
                <w:szCs w:val="28"/>
                <w:lang w:eastAsia="lv-LV"/>
              </w:rPr>
              <w:t xml:space="preserve">ministrija un </w:t>
            </w:r>
            <w:r w:rsidR="00F92BC5">
              <w:rPr>
                <w:rFonts w:ascii="Times New Roman" w:eastAsia="Times New Roman" w:hAnsi="Times New Roman" w:cs="Times New Roman"/>
                <w:sz w:val="28"/>
                <w:szCs w:val="28"/>
                <w:lang w:eastAsia="lv-LV"/>
              </w:rPr>
              <w:t>institūts</w:t>
            </w:r>
            <w:r w:rsidR="00576BB0" w:rsidRPr="004D59A3">
              <w:rPr>
                <w:rFonts w:ascii="Times New Roman" w:eastAsia="Times New Roman" w:hAnsi="Times New Roman" w:cs="Times New Roman"/>
                <w:sz w:val="28"/>
                <w:szCs w:val="28"/>
                <w:lang w:eastAsia="lv-LV"/>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1A5C73"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576BB0" w:rsidRPr="004D59A3" w:rsidTr="008D0B92">
        <w:tc>
          <w:tcPr>
            <w:tcW w:w="316"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DC769F">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796" w:type="pct"/>
            <w:tcBorders>
              <w:top w:val="outset" w:sz="6" w:space="0" w:color="000000"/>
              <w:left w:val="outset" w:sz="6" w:space="0" w:color="000000"/>
              <w:bottom w:val="outset" w:sz="6" w:space="0" w:color="000000"/>
              <w:right w:val="outset" w:sz="6" w:space="0" w:color="000000"/>
            </w:tcBorders>
          </w:tcPr>
          <w:p w:rsidR="00576BB0" w:rsidRPr="004D59A3" w:rsidRDefault="00576BB0" w:rsidP="00DC769F">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888"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center" w:pos="141"/>
                <w:tab w:val="left" w:pos="3941"/>
              </w:tabs>
              <w:spacing w:after="0" w:line="240" w:lineRule="auto"/>
              <w:ind w:left="113" w:right="148" w:firstLine="709"/>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576BB0" w:rsidRPr="004D59A3" w:rsidRDefault="00576BB0" w:rsidP="00462F88">
            <w:pPr>
              <w:tabs>
                <w:tab w:val="left" w:pos="3941"/>
              </w:tabs>
              <w:spacing w:after="0" w:line="240" w:lineRule="auto"/>
              <w:ind w:left="113" w:right="148" w:firstLine="709"/>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576BB0" w:rsidRPr="004D59A3" w:rsidRDefault="00576BB0" w:rsidP="007943D3">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 xml:space="preserve">Ministru kabineta rīkojums </w:t>
            </w:r>
            <w:r w:rsidR="00C21D6C">
              <w:rPr>
                <w:rFonts w:ascii="Times New Roman" w:eastAsia="Calibri" w:hAnsi="Times New Roman" w:cs="Times New Roman"/>
                <w:sz w:val="28"/>
                <w:szCs w:val="28"/>
                <w:lang w:eastAsia="lv-LV"/>
              </w:rPr>
              <w:t>„</w:t>
            </w:r>
            <w:r w:rsidR="0028493F">
              <w:rPr>
                <w:rFonts w:ascii="Times New Roman" w:eastAsia="Calibri" w:hAnsi="Times New Roman" w:cs="Times New Roman"/>
                <w:sz w:val="28"/>
                <w:szCs w:val="28"/>
                <w:lang w:eastAsia="lv-LV"/>
              </w:rPr>
              <w:t xml:space="preserve">Par </w:t>
            </w:r>
            <w:r w:rsidR="006D150E">
              <w:rPr>
                <w:rFonts w:ascii="Times New Roman" w:eastAsia="Calibri" w:hAnsi="Times New Roman" w:cs="Times New Roman"/>
                <w:sz w:val="28"/>
                <w:szCs w:val="28"/>
                <w:lang w:eastAsia="lv-LV"/>
              </w:rPr>
              <w:t xml:space="preserve">valsts nekustamā īpašuma </w:t>
            </w:r>
            <w:r w:rsidR="007E06CE">
              <w:rPr>
                <w:rFonts w:ascii="Times New Roman" w:eastAsia="Calibri" w:hAnsi="Times New Roman" w:cs="Times New Roman"/>
                <w:sz w:val="28"/>
                <w:szCs w:val="28"/>
                <w:lang w:eastAsia="lv-LV"/>
              </w:rPr>
              <w:t>Aizkraukles ielā 21</w:t>
            </w:r>
            <w:r w:rsidR="006D150E">
              <w:rPr>
                <w:rFonts w:ascii="Times New Roman" w:eastAsia="Calibri" w:hAnsi="Times New Roman" w:cs="Times New Roman"/>
                <w:sz w:val="28"/>
                <w:szCs w:val="28"/>
                <w:lang w:eastAsia="lv-LV"/>
              </w:rPr>
              <w:t xml:space="preserve">, Rīgā, nodošanu </w:t>
            </w:r>
            <w:r w:rsidR="007E06CE">
              <w:rPr>
                <w:rFonts w:ascii="Times New Roman" w:eastAsia="Calibri" w:hAnsi="Times New Roman" w:cs="Times New Roman"/>
                <w:sz w:val="28"/>
                <w:szCs w:val="28"/>
                <w:lang w:eastAsia="lv-LV"/>
              </w:rPr>
              <w:t>Latvijas Organiskās sintēzes</w:t>
            </w:r>
            <w:r w:rsidR="006D150E">
              <w:rPr>
                <w:rFonts w:ascii="Times New Roman" w:eastAsia="Calibri" w:hAnsi="Times New Roman" w:cs="Times New Roman"/>
                <w:sz w:val="28"/>
                <w:szCs w:val="28"/>
                <w:lang w:eastAsia="lv-LV"/>
              </w:rPr>
              <w:t xml:space="preserve"> institūta </w:t>
            </w:r>
            <w:r w:rsidR="007943D3">
              <w:rPr>
                <w:rFonts w:ascii="Times New Roman" w:eastAsia="Calibri" w:hAnsi="Times New Roman" w:cs="Times New Roman"/>
                <w:sz w:val="28"/>
                <w:szCs w:val="28"/>
                <w:lang w:eastAsia="lv-LV"/>
              </w:rPr>
              <w:t>īpašumā</w:t>
            </w:r>
            <w:r w:rsidR="00C21D6C">
              <w:rPr>
                <w:rFonts w:ascii="Times New Roman" w:hAnsi="Times New Roman" w:cs="Times New Roman"/>
                <w:sz w:val="28"/>
                <w:szCs w:val="28"/>
              </w:rPr>
              <w:t>”</w:t>
            </w:r>
            <w:r w:rsidR="00022F1D">
              <w:rPr>
                <w:rFonts w:ascii="Times New Roman" w:hAnsi="Times New Roman" w:cs="Times New Roman"/>
                <w:sz w:val="28"/>
                <w:szCs w:val="28"/>
              </w:rPr>
              <w:t xml:space="preserve"> </w:t>
            </w:r>
            <w:r w:rsidRPr="004D59A3">
              <w:rPr>
                <w:rFonts w:ascii="Times New Roman" w:hAnsi="Times New Roman" w:cs="Times New Roman"/>
                <w:sz w:val="28"/>
                <w:szCs w:val="28"/>
              </w:rPr>
              <w:t>pēc apstiprināšanas Ministru kabinetā tiks publicēts laikrakstā „Latvijas Vēstnesis” u</w:t>
            </w:r>
            <w:r w:rsidR="001A5C73">
              <w:rPr>
                <w:rFonts w:ascii="Times New Roman" w:hAnsi="Times New Roman" w:cs="Times New Roman"/>
                <w:sz w:val="28"/>
                <w:szCs w:val="28"/>
              </w:rPr>
              <w:t xml:space="preserve">n </w:t>
            </w:r>
            <w:r w:rsidR="001A5C73">
              <w:rPr>
                <w:rFonts w:ascii="Times New Roman" w:hAnsi="Times New Roman" w:cs="Times New Roman"/>
                <w:sz w:val="28"/>
                <w:szCs w:val="28"/>
              </w:rPr>
              <w:lastRenderedPageBreak/>
              <w:t xml:space="preserve">būs pieejams Interneta tīklā: </w:t>
            </w:r>
            <w:r w:rsidRPr="004D59A3">
              <w:rPr>
                <w:rFonts w:ascii="Times New Roman" w:hAnsi="Times New Roman" w:cs="Times New Roman"/>
                <w:sz w:val="28"/>
                <w:szCs w:val="28"/>
              </w:rPr>
              <w:t xml:space="preserve">bezmaksas datu bāzē </w:t>
            </w:r>
            <w:hyperlink r:id="rId7" w:history="1">
              <w:r w:rsidRPr="004D59A3">
                <w:rPr>
                  <w:rStyle w:val="Hyperlink"/>
                  <w:rFonts w:ascii="Times New Roman" w:hAnsi="Times New Roman" w:cs="Times New Roman"/>
                  <w:color w:val="auto"/>
                  <w:sz w:val="28"/>
                  <w:szCs w:val="28"/>
                  <w:u w:val="none"/>
                </w:rPr>
                <w:t>www.likumi.lv</w:t>
              </w:r>
            </w:hyperlink>
            <w:r w:rsidRPr="004D59A3">
              <w:rPr>
                <w:rFonts w:ascii="Times New Roman" w:hAnsi="Times New Roman" w:cs="Times New Roman"/>
                <w:sz w:val="28"/>
                <w:szCs w:val="28"/>
              </w:rPr>
              <w:t>.</w:t>
            </w:r>
          </w:p>
        </w:tc>
      </w:tr>
    </w:tbl>
    <w:p w:rsidR="00576BB0" w:rsidRPr="00D445ED" w:rsidRDefault="00576BB0" w:rsidP="00576BB0">
      <w:pPr>
        <w:spacing w:after="0" w:line="240" w:lineRule="auto"/>
        <w:rPr>
          <w:rFonts w:ascii="Times New Roman" w:eastAsia="Times New Roman" w:hAnsi="Times New Roman" w:cs="Times New Roman"/>
          <w:bCs/>
          <w:sz w:val="28"/>
          <w:szCs w:val="28"/>
          <w:lang w:eastAsia="lv-LV"/>
        </w:rPr>
      </w:pPr>
    </w:p>
    <w:p w:rsidR="00576BB0" w:rsidRPr="00D445ED" w:rsidRDefault="00576BB0" w:rsidP="00576BB0">
      <w:pPr>
        <w:spacing w:after="0" w:line="240" w:lineRule="auto"/>
        <w:rPr>
          <w:rFonts w:ascii="Times New Roman" w:hAnsi="Times New Roman" w:cs="Times New Roman"/>
          <w:sz w:val="28"/>
          <w:szCs w:val="28"/>
        </w:rPr>
      </w:pPr>
    </w:p>
    <w:p w:rsidR="00576BB0" w:rsidRPr="004D59A3" w:rsidRDefault="00576BB0" w:rsidP="00314549">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r w:rsidR="00EE5C53">
        <w:rPr>
          <w:rFonts w:ascii="Times New Roman" w:hAnsi="Times New Roman" w:cs="Times New Roman"/>
          <w:sz w:val="28"/>
          <w:szCs w:val="28"/>
        </w:rPr>
        <w:t xml:space="preserve"> </w:t>
      </w:r>
      <w:r w:rsidRPr="00B903DA">
        <w:rPr>
          <w:rFonts w:ascii="Times New Roman" w:hAnsi="Times New Roman" w:cs="Times New Roman"/>
          <w:sz w:val="28"/>
          <w:szCs w:val="28"/>
        </w:rPr>
        <w:t>ministr</w:t>
      </w:r>
      <w:r w:rsidR="00571F8E">
        <w:rPr>
          <w:rFonts w:ascii="Times New Roman" w:hAnsi="Times New Roman" w:cs="Times New Roman"/>
          <w:sz w:val="28"/>
          <w:szCs w:val="28"/>
        </w:rPr>
        <w:t>s</w:t>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r w:rsidR="00571F8E">
        <w:rPr>
          <w:rFonts w:ascii="Times New Roman" w:hAnsi="Times New Roman" w:cs="Times New Roman"/>
          <w:sz w:val="28"/>
          <w:szCs w:val="28"/>
        </w:rPr>
        <w:tab/>
      </w:r>
      <w:proofErr w:type="spellStart"/>
      <w:r w:rsidR="007E06CE">
        <w:rPr>
          <w:rFonts w:ascii="Times New Roman" w:hAnsi="Times New Roman" w:cs="Times New Roman"/>
          <w:sz w:val="28"/>
          <w:szCs w:val="28"/>
        </w:rPr>
        <w:t>R.Broks</w:t>
      </w:r>
      <w:proofErr w:type="spellEnd"/>
    </w:p>
    <w:p w:rsidR="007943D3" w:rsidRPr="00D445ED" w:rsidRDefault="007943D3" w:rsidP="00576BB0">
      <w:pPr>
        <w:spacing w:after="0" w:line="240" w:lineRule="auto"/>
        <w:rPr>
          <w:rFonts w:ascii="Times New Roman" w:hAnsi="Times New Roman" w:cs="Times New Roman"/>
          <w:sz w:val="28"/>
          <w:szCs w:val="28"/>
        </w:rPr>
      </w:pPr>
    </w:p>
    <w:p w:rsidR="007943D3" w:rsidRDefault="007943D3" w:rsidP="00576BB0">
      <w:pPr>
        <w:spacing w:after="0" w:line="240" w:lineRule="auto"/>
        <w:rPr>
          <w:rFonts w:ascii="Times New Roman" w:hAnsi="Times New Roman" w:cs="Times New Roman"/>
          <w:sz w:val="28"/>
          <w:szCs w:val="28"/>
        </w:rPr>
      </w:pPr>
    </w:p>
    <w:p w:rsidR="00ED7481" w:rsidRDefault="00ED7481" w:rsidP="00576BB0">
      <w:pPr>
        <w:spacing w:after="0" w:line="240" w:lineRule="auto"/>
        <w:rPr>
          <w:rFonts w:ascii="Times New Roman" w:hAnsi="Times New Roman" w:cs="Times New Roman"/>
          <w:sz w:val="28"/>
          <w:szCs w:val="28"/>
        </w:rPr>
      </w:pPr>
    </w:p>
    <w:p w:rsidR="00ED7481" w:rsidRPr="00D445ED" w:rsidRDefault="00ED7481" w:rsidP="00576BB0">
      <w:pPr>
        <w:spacing w:after="0" w:line="240" w:lineRule="auto"/>
        <w:rPr>
          <w:rFonts w:ascii="Times New Roman" w:hAnsi="Times New Roman" w:cs="Times New Roman"/>
          <w:sz w:val="28"/>
          <w:szCs w:val="28"/>
        </w:rPr>
      </w:pPr>
    </w:p>
    <w:p w:rsidR="00576BB0" w:rsidRPr="000324CA" w:rsidRDefault="00576BB0" w:rsidP="000324CA">
      <w:pPr>
        <w:spacing w:after="0" w:line="240" w:lineRule="auto"/>
        <w:ind w:firstLine="709"/>
        <w:rPr>
          <w:rFonts w:ascii="Times New Roman" w:hAnsi="Times New Roman" w:cs="Times New Roman"/>
          <w:sz w:val="28"/>
          <w:szCs w:val="28"/>
        </w:rPr>
      </w:pPr>
      <w:r w:rsidRPr="000324CA">
        <w:rPr>
          <w:rFonts w:ascii="Times New Roman" w:hAnsi="Times New Roman" w:cs="Times New Roman"/>
          <w:sz w:val="28"/>
          <w:szCs w:val="28"/>
        </w:rPr>
        <w:t>Vizē:</w:t>
      </w:r>
    </w:p>
    <w:p w:rsidR="000324CA" w:rsidRPr="000324CA" w:rsidRDefault="00BD3CD2" w:rsidP="000324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Valsts sekretāra vietniece</w:t>
      </w:r>
      <w:r w:rsidR="000324CA" w:rsidRPr="000324CA">
        <w:rPr>
          <w:rFonts w:ascii="Times New Roman" w:hAnsi="Times New Roman" w:cs="Times New Roman"/>
          <w:sz w:val="28"/>
          <w:szCs w:val="28"/>
        </w:rPr>
        <w:t>,</w:t>
      </w:r>
    </w:p>
    <w:p w:rsidR="000324CA" w:rsidRPr="000324CA" w:rsidRDefault="000324CA" w:rsidP="000324CA">
      <w:pPr>
        <w:spacing w:after="0" w:line="240" w:lineRule="auto"/>
        <w:ind w:firstLine="720"/>
        <w:jc w:val="both"/>
        <w:rPr>
          <w:rFonts w:ascii="Times New Roman" w:hAnsi="Times New Roman" w:cs="Times New Roman"/>
        </w:rPr>
      </w:pPr>
      <w:r w:rsidRPr="000324CA">
        <w:rPr>
          <w:rFonts w:ascii="Times New Roman" w:hAnsi="Times New Roman" w:cs="Times New Roman"/>
          <w:sz w:val="28"/>
          <w:szCs w:val="28"/>
        </w:rPr>
        <w:t>valsts sekretāra pienākumu izpildītāja</w:t>
      </w:r>
      <w:r w:rsidRPr="000324CA">
        <w:rPr>
          <w:rFonts w:ascii="Times New Roman" w:hAnsi="Times New Roman" w:cs="Times New Roman"/>
          <w:sz w:val="28"/>
          <w:szCs w:val="28"/>
        </w:rPr>
        <w:tab/>
      </w:r>
      <w:r w:rsidRPr="000324CA">
        <w:rPr>
          <w:rFonts w:ascii="Times New Roman" w:hAnsi="Times New Roman" w:cs="Times New Roman"/>
          <w:sz w:val="28"/>
          <w:szCs w:val="28"/>
        </w:rPr>
        <w:tab/>
      </w:r>
      <w:r w:rsidRPr="000324CA">
        <w:rPr>
          <w:rFonts w:ascii="Times New Roman" w:hAnsi="Times New Roman" w:cs="Times New Roman"/>
          <w:sz w:val="28"/>
          <w:szCs w:val="28"/>
        </w:rPr>
        <w:tab/>
      </w:r>
      <w:r w:rsidRPr="000324CA">
        <w:rPr>
          <w:rFonts w:ascii="Times New Roman" w:hAnsi="Times New Roman" w:cs="Times New Roman"/>
          <w:sz w:val="28"/>
          <w:szCs w:val="28"/>
        </w:rPr>
        <w:tab/>
      </w:r>
      <w:proofErr w:type="spellStart"/>
      <w:r w:rsidRPr="000324CA">
        <w:rPr>
          <w:rFonts w:ascii="Times New Roman" w:hAnsi="Times New Roman" w:cs="Times New Roman"/>
          <w:sz w:val="28"/>
          <w:szCs w:val="28"/>
        </w:rPr>
        <w:t>I.Štāle</w:t>
      </w:r>
      <w:proofErr w:type="spellEnd"/>
    </w:p>
    <w:p w:rsidR="007E6A67" w:rsidRDefault="007E6A67" w:rsidP="0038025F">
      <w:pPr>
        <w:spacing w:after="0" w:line="240" w:lineRule="auto"/>
        <w:jc w:val="both"/>
        <w:rPr>
          <w:rFonts w:ascii="Times New Roman" w:eastAsia="Times New Roman" w:hAnsi="Times New Roman" w:cs="Times New Roman"/>
          <w:sz w:val="28"/>
          <w:szCs w:val="28"/>
          <w:lang w:eastAsia="lv-LV"/>
        </w:rPr>
      </w:pPr>
    </w:p>
    <w:p w:rsidR="0088136E" w:rsidRDefault="0088136E" w:rsidP="0038025F">
      <w:pPr>
        <w:spacing w:after="0" w:line="240" w:lineRule="auto"/>
        <w:jc w:val="both"/>
        <w:rPr>
          <w:rFonts w:ascii="Times New Roman" w:eastAsia="Times New Roman" w:hAnsi="Times New Roman" w:cs="Times New Roman"/>
          <w:sz w:val="28"/>
          <w:szCs w:val="28"/>
          <w:lang w:eastAsia="lv-LV"/>
        </w:rPr>
      </w:pPr>
    </w:p>
    <w:p w:rsidR="00E22778" w:rsidRDefault="00E22778" w:rsidP="0038025F">
      <w:pPr>
        <w:spacing w:after="0" w:line="240" w:lineRule="auto"/>
        <w:jc w:val="both"/>
        <w:rPr>
          <w:rFonts w:ascii="Times New Roman" w:eastAsia="Times New Roman" w:hAnsi="Times New Roman" w:cs="Times New Roman"/>
          <w:sz w:val="28"/>
          <w:szCs w:val="28"/>
          <w:lang w:eastAsia="lv-LV"/>
        </w:rPr>
      </w:pPr>
    </w:p>
    <w:p w:rsidR="00E22778" w:rsidRDefault="00E22778" w:rsidP="0038025F">
      <w:pPr>
        <w:spacing w:after="0" w:line="240" w:lineRule="auto"/>
        <w:jc w:val="both"/>
        <w:rPr>
          <w:rFonts w:ascii="Times New Roman" w:eastAsia="Times New Roman" w:hAnsi="Times New Roman" w:cs="Times New Roman"/>
          <w:sz w:val="28"/>
          <w:szCs w:val="28"/>
          <w:lang w:eastAsia="lv-LV"/>
        </w:rPr>
      </w:pPr>
    </w:p>
    <w:p w:rsidR="00E22778" w:rsidRDefault="00E22778" w:rsidP="0038025F">
      <w:pPr>
        <w:spacing w:after="0" w:line="240" w:lineRule="auto"/>
        <w:jc w:val="both"/>
        <w:rPr>
          <w:rFonts w:ascii="Times New Roman" w:eastAsia="Times New Roman" w:hAnsi="Times New Roman" w:cs="Times New Roman"/>
          <w:sz w:val="28"/>
          <w:szCs w:val="28"/>
          <w:lang w:eastAsia="lv-LV"/>
        </w:rPr>
      </w:pPr>
    </w:p>
    <w:p w:rsidR="00E22778" w:rsidRDefault="00E22778" w:rsidP="0038025F">
      <w:pPr>
        <w:spacing w:after="0" w:line="240" w:lineRule="auto"/>
        <w:jc w:val="both"/>
        <w:rPr>
          <w:rFonts w:ascii="Times New Roman" w:eastAsia="Times New Roman" w:hAnsi="Times New Roman" w:cs="Times New Roman"/>
          <w:sz w:val="28"/>
          <w:szCs w:val="28"/>
          <w:lang w:eastAsia="lv-LV"/>
        </w:rPr>
      </w:pPr>
    </w:p>
    <w:p w:rsidR="00E22778" w:rsidRDefault="00E22778"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D7481" w:rsidRDefault="00ED7481" w:rsidP="0038025F">
      <w:pPr>
        <w:spacing w:after="0" w:line="240" w:lineRule="auto"/>
        <w:jc w:val="both"/>
        <w:rPr>
          <w:rFonts w:ascii="Times New Roman" w:eastAsia="Times New Roman" w:hAnsi="Times New Roman" w:cs="Times New Roman"/>
          <w:sz w:val="28"/>
          <w:szCs w:val="28"/>
          <w:lang w:eastAsia="lv-LV"/>
        </w:rPr>
      </w:pPr>
    </w:p>
    <w:p w:rsidR="00E22778" w:rsidRDefault="00E22778" w:rsidP="0038025F">
      <w:pPr>
        <w:spacing w:after="0" w:line="240" w:lineRule="auto"/>
        <w:jc w:val="both"/>
        <w:rPr>
          <w:rFonts w:ascii="Times New Roman" w:eastAsia="Times New Roman" w:hAnsi="Times New Roman" w:cs="Times New Roman"/>
          <w:sz w:val="28"/>
          <w:szCs w:val="28"/>
          <w:lang w:eastAsia="lv-LV"/>
        </w:rPr>
      </w:pPr>
    </w:p>
    <w:p w:rsidR="00E22778" w:rsidRDefault="00E22778" w:rsidP="0038025F">
      <w:pPr>
        <w:spacing w:after="0" w:line="240" w:lineRule="auto"/>
        <w:jc w:val="both"/>
        <w:rPr>
          <w:rFonts w:ascii="Times New Roman" w:eastAsia="Times New Roman" w:hAnsi="Times New Roman" w:cs="Times New Roman"/>
          <w:sz w:val="28"/>
          <w:szCs w:val="28"/>
          <w:lang w:eastAsia="lv-LV"/>
        </w:rPr>
      </w:pPr>
    </w:p>
    <w:p w:rsidR="00E22778" w:rsidRDefault="00E22778" w:rsidP="0038025F">
      <w:pPr>
        <w:spacing w:after="0" w:line="240" w:lineRule="auto"/>
        <w:jc w:val="both"/>
        <w:rPr>
          <w:rFonts w:ascii="Times New Roman" w:eastAsia="Times New Roman" w:hAnsi="Times New Roman" w:cs="Times New Roman"/>
          <w:sz w:val="28"/>
          <w:szCs w:val="28"/>
          <w:lang w:eastAsia="lv-LV"/>
        </w:rPr>
      </w:pPr>
    </w:p>
    <w:p w:rsidR="00E22778" w:rsidRPr="005E6124" w:rsidRDefault="00E22778" w:rsidP="0038025F">
      <w:pPr>
        <w:spacing w:after="0" w:line="240" w:lineRule="auto"/>
        <w:jc w:val="both"/>
        <w:rPr>
          <w:rFonts w:ascii="Times New Roman" w:eastAsia="Times New Roman" w:hAnsi="Times New Roman" w:cs="Times New Roman"/>
          <w:sz w:val="28"/>
          <w:szCs w:val="28"/>
          <w:lang w:eastAsia="lv-LV"/>
        </w:rPr>
      </w:pPr>
    </w:p>
    <w:p w:rsidR="003A7D93" w:rsidRDefault="00094B82"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3A7D93">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ED7481">
        <w:rPr>
          <w:rFonts w:ascii="Times New Roman" w:hAnsi="Times New Roman" w:cs="Times New Roman"/>
          <w:noProof/>
          <w:sz w:val="24"/>
          <w:szCs w:val="24"/>
        </w:rPr>
        <w:t>17.06.2011 9:21</w:t>
      </w:r>
      <w:r>
        <w:rPr>
          <w:rFonts w:ascii="Times New Roman" w:hAnsi="Times New Roman" w:cs="Times New Roman"/>
          <w:sz w:val="24"/>
          <w:szCs w:val="24"/>
        </w:rPr>
        <w:fldChar w:fldCharType="end"/>
      </w:r>
    </w:p>
    <w:p w:rsidR="00F72F02" w:rsidRDefault="00094B82"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72F02">
        <w:rPr>
          <w:rFonts w:ascii="Times New Roman" w:hAnsi="Times New Roman" w:cs="Times New Roman"/>
          <w:sz w:val="24"/>
          <w:szCs w:val="24"/>
        </w:rPr>
        <w:instrText xml:space="preserve"> NUMWORDS  \# "0"  \* MERGEFORMAT </w:instrText>
      </w:r>
      <w:r>
        <w:rPr>
          <w:rFonts w:ascii="Times New Roman" w:hAnsi="Times New Roman" w:cs="Times New Roman"/>
          <w:sz w:val="24"/>
          <w:szCs w:val="24"/>
        </w:rPr>
        <w:fldChar w:fldCharType="separate"/>
      </w:r>
      <w:r w:rsidR="00000BF1">
        <w:rPr>
          <w:rFonts w:ascii="Times New Roman" w:hAnsi="Times New Roman" w:cs="Times New Roman"/>
          <w:noProof/>
          <w:sz w:val="24"/>
          <w:szCs w:val="24"/>
        </w:rPr>
        <w:t>918</w:t>
      </w:r>
      <w:r>
        <w:rPr>
          <w:rFonts w:ascii="Times New Roman" w:hAnsi="Times New Roman" w:cs="Times New Roman"/>
          <w:sz w:val="24"/>
          <w:szCs w:val="24"/>
        </w:rPr>
        <w:fldChar w:fldCharType="end"/>
      </w:r>
    </w:p>
    <w:p w:rsidR="002D4CA1" w:rsidRPr="002D4CA1" w:rsidRDefault="002D4CA1" w:rsidP="002D4CA1">
      <w:pPr>
        <w:tabs>
          <w:tab w:val="center" w:pos="0"/>
        </w:tabs>
        <w:spacing w:after="0" w:line="240" w:lineRule="auto"/>
        <w:ind w:right="-108" w:firstLine="709"/>
        <w:jc w:val="both"/>
        <w:rPr>
          <w:rFonts w:ascii="Times New Roman" w:hAnsi="Times New Roman" w:cs="Times New Roman"/>
          <w:sz w:val="24"/>
          <w:szCs w:val="24"/>
        </w:rPr>
      </w:pPr>
      <w:r w:rsidRPr="002D4CA1">
        <w:rPr>
          <w:rFonts w:ascii="Times New Roman" w:hAnsi="Times New Roman" w:cs="Times New Roman"/>
          <w:sz w:val="24"/>
          <w:szCs w:val="24"/>
        </w:rPr>
        <w:t>D.Putāne</w:t>
      </w:r>
    </w:p>
    <w:p w:rsidR="00E8399E" w:rsidRPr="001F1630" w:rsidRDefault="002D4CA1" w:rsidP="001F1630">
      <w:pPr>
        <w:tabs>
          <w:tab w:val="center" w:pos="0"/>
        </w:tabs>
        <w:spacing w:after="0" w:line="240" w:lineRule="auto"/>
        <w:ind w:right="-108" w:firstLine="709"/>
        <w:jc w:val="both"/>
        <w:rPr>
          <w:rFonts w:ascii="Times New Roman" w:hAnsi="Times New Roman" w:cs="Times New Roman"/>
          <w:sz w:val="24"/>
          <w:szCs w:val="24"/>
        </w:rPr>
      </w:pPr>
      <w:r w:rsidRPr="002D4CA1">
        <w:rPr>
          <w:rFonts w:ascii="Times New Roman" w:hAnsi="Times New Roman" w:cs="Times New Roman"/>
          <w:sz w:val="24"/>
          <w:szCs w:val="24"/>
        </w:rPr>
        <w:t>67047889, diana.putane@izm.gov.lv</w:t>
      </w:r>
    </w:p>
    <w:sectPr w:rsidR="00E8399E" w:rsidRPr="001F1630" w:rsidSect="004A6A4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24" w:rsidRDefault="00452824" w:rsidP="00AB4555">
      <w:pPr>
        <w:spacing w:after="0" w:line="240" w:lineRule="auto"/>
      </w:pPr>
      <w:r>
        <w:separator/>
      </w:r>
    </w:p>
  </w:endnote>
  <w:endnote w:type="continuationSeparator" w:id="0">
    <w:p w:rsidR="00452824" w:rsidRDefault="00452824"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8D" w:rsidRPr="00FD0E09" w:rsidRDefault="00094B82" w:rsidP="00FD0E09">
    <w:pPr>
      <w:spacing w:after="0" w:line="240" w:lineRule="auto"/>
      <w:jc w:val="both"/>
      <w:rPr>
        <w:rFonts w:ascii="Times New Roman" w:eastAsia="Times New Roman" w:hAnsi="Times New Roman" w:cs="Times New Roman"/>
        <w:sz w:val="24"/>
        <w:szCs w:val="24"/>
        <w:lang w:eastAsia="lv-LV"/>
      </w:rPr>
    </w:pPr>
    <w:fldSimple w:instr=" FILENAME   \* MERGEFORMAT ">
      <w:r w:rsidR="00ED7481" w:rsidRPr="00ED7481">
        <w:rPr>
          <w:rFonts w:ascii="Times New Roman" w:hAnsi="Times New Roman" w:cs="Times New Roman"/>
          <w:noProof/>
          <w:sz w:val="24"/>
          <w:szCs w:val="24"/>
        </w:rPr>
        <w:t>IZMAnot_170611_OSI</w:t>
      </w:r>
    </w:fldSimple>
    <w:r w:rsidR="00FD0E09" w:rsidRPr="003D6A06">
      <w:rPr>
        <w:rFonts w:ascii="Times New Roman" w:hAnsi="Times New Roman" w:cs="Times New Roman"/>
        <w:sz w:val="24"/>
        <w:szCs w:val="24"/>
      </w:rPr>
      <w:t xml:space="preserve">; </w:t>
    </w:r>
    <w:r w:rsidR="00FD0E09" w:rsidRPr="003D6A06">
      <w:rPr>
        <w:rFonts w:ascii="Times New Roman" w:eastAsia="Times New Roman" w:hAnsi="Times New Roman" w:cs="Times New Roman"/>
        <w:bCs/>
        <w:sz w:val="24"/>
        <w:szCs w:val="24"/>
        <w:lang w:eastAsia="lv-LV"/>
      </w:rPr>
      <w:t xml:space="preserve">Ministru kabineta rīkojuma projekta </w:t>
    </w:r>
    <w:r w:rsidR="00FD0E09" w:rsidRPr="0059554D">
      <w:rPr>
        <w:rFonts w:ascii="Times New Roman" w:hAnsi="Times New Roman"/>
        <w:sz w:val="24"/>
        <w:szCs w:val="24"/>
      </w:rPr>
      <w:t xml:space="preserve">„Par </w:t>
    </w:r>
    <w:r w:rsidR="00FD0E09">
      <w:rPr>
        <w:rFonts w:ascii="Times New Roman" w:hAnsi="Times New Roman"/>
        <w:sz w:val="24"/>
        <w:szCs w:val="24"/>
      </w:rPr>
      <w:t>valsts</w:t>
    </w:r>
    <w:r w:rsidR="00FD0E09" w:rsidRPr="0059554D">
      <w:rPr>
        <w:rFonts w:ascii="Times New Roman" w:hAnsi="Times New Roman"/>
        <w:sz w:val="24"/>
        <w:szCs w:val="24"/>
      </w:rPr>
      <w:t xml:space="preserve"> nekustamā īpašuma </w:t>
    </w:r>
    <w:r w:rsidR="00FD0E09">
      <w:rPr>
        <w:rFonts w:ascii="Times New Roman" w:hAnsi="Times New Roman"/>
        <w:sz w:val="24"/>
        <w:szCs w:val="24"/>
      </w:rPr>
      <w:t>Aizkraukles ielā 21, Rīgā,</w:t>
    </w:r>
    <w:r w:rsidR="00FD0E09" w:rsidRPr="0059554D">
      <w:rPr>
        <w:rFonts w:ascii="Times New Roman" w:hAnsi="Times New Roman"/>
        <w:sz w:val="24"/>
        <w:szCs w:val="24"/>
      </w:rPr>
      <w:t xml:space="preserve"> nodošanu </w:t>
    </w:r>
    <w:r w:rsidR="00FD0E09">
      <w:rPr>
        <w:rFonts w:ascii="Times New Roman" w:hAnsi="Times New Roman"/>
        <w:sz w:val="24"/>
        <w:szCs w:val="24"/>
      </w:rPr>
      <w:t>Latvijas</w:t>
    </w:r>
    <w:r w:rsidR="00A824CE">
      <w:rPr>
        <w:rFonts w:ascii="Times New Roman" w:hAnsi="Times New Roman"/>
        <w:sz w:val="24"/>
        <w:szCs w:val="24"/>
      </w:rPr>
      <w:t xml:space="preserve"> Organiskās sintēzes institūta īpašumā</w:t>
    </w:r>
    <w:r w:rsidR="00FD0E09" w:rsidRPr="0059554D">
      <w:rPr>
        <w:rFonts w:ascii="Times New Roman" w:hAnsi="Times New Roman"/>
        <w:sz w:val="24"/>
        <w:szCs w:val="24"/>
      </w:rPr>
      <w:t>”</w:t>
    </w:r>
    <w:r w:rsidR="00FD0E09" w:rsidRPr="003D6A06">
      <w:rPr>
        <w:rFonts w:ascii="Times New Roman" w:eastAsia="Times New Roman" w:hAnsi="Times New Roman" w:cs="Times New Roman"/>
        <w:sz w:val="24"/>
        <w:szCs w:val="24"/>
        <w:lang w:eastAsia="lv-LV"/>
      </w:rPr>
      <w:t xml:space="preserve"> </w:t>
    </w:r>
    <w:r w:rsidR="00FD0E09">
      <w:rPr>
        <w:rFonts w:ascii="Times New Roman" w:eastAsia="Times New Roman" w:hAnsi="Times New Roman" w:cs="Times New Roman"/>
        <w:sz w:val="24"/>
        <w:szCs w:val="24"/>
        <w:lang w:eastAsia="lv-LV"/>
      </w:rPr>
      <w:t>sākotnējās ietekmes novērtējuma ziņojums (</w:t>
    </w:r>
    <w:r w:rsidR="00FD0E09" w:rsidRPr="003D6A06">
      <w:rPr>
        <w:rFonts w:ascii="Times New Roman" w:eastAsia="Times New Roman" w:hAnsi="Times New Roman" w:cs="Times New Roman"/>
        <w:sz w:val="24"/>
        <w:szCs w:val="24"/>
        <w:lang w:eastAsia="lv-LV"/>
      </w:rPr>
      <w:t>anotācija</w:t>
    </w:r>
    <w:r w:rsidR="00FD0E09">
      <w:rPr>
        <w:rFonts w:ascii="Times New Roman" w:eastAsia="Times New Roman" w:hAnsi="Times New Roman" w:cs="Times New Roman"/>
        <w:sz w:val="24"/>
        <w:szCs w:val="24"/>
        <w:lang w:eastAsia="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8D" w:rsidRPr="00D72BFE" w:rsidRDefault="00094B82" w:rsidP="00D72BFE">
    <w:pPr>
      <w:spacing w:after="0" w:line="240" w:lineRule="auto"/>
      <w:jc w:val="both"/>
      <w:rPr>
        <w:rFonts w:ascii="Times New Roman" w:eastAsia="Times New Roman" w:hAnsi="Times New Roman" w:cs="Times New Roman"/>
        <w:sz w:val="24"/>
        <w:szCs w:val="24"/>
        <w:lang w:eastAsia="lv-LV"/>
      </w:rPr>
    </w:pPr>
    <w:fldSimple w:instr=" FILENAME   \* MERGEFORMAT ">
      <w:r w:rsidR="00ED7481" w:rsidRPr="00ED7481">
        <w:rPr>
          <w:rFonts w:ascii="Times New Roman" w:hAnsi="Times New Roman" w:cs="Times New Roman"/>
          <w:noProof/>
          <w:sz w:val="24"/>
          <w:szCs w:val="24"/>
        </w:rPr>
        <w:t>IZMAnot_170611_OSI</w:t>
      </w:r>
    </w:fldSimple>
    <w:r w:rsidR="00D72BFE" w:rsidRPr="003D6A06">
      <w:rPr>
        <w:rFonts w:ascii="Times New Roman" w:hAnsi="Times New Roman" w:cs="Times New Roman"/>
        <w:sz w:val="24"/>
        <w:szCs w:val="24"/>
      </w:rPr>
      <w:t xml:space="preserve">; </w:t>
    </w:r>
    <w:r w:rsidR="00D72BFE" w:rsidRPr="003D6A06">
      <w:rPr>
        <w:rFonts w:ascii="Times New Roman" w:eastAsia="Times New Roman" w:hAnsi="Times New Roman" w:cs="Times New Roman"/>
        <w:bCs/>
        <w:sz w:val="24"/>
        <w:szCs w:val="24"/>
        <w:lang w:eastAsia="lv-LV"/>
      </w:rPr>
      <w:t xml:space="preserve">Ministru kabineta rīkojuma projekta </w:t>
    </w:r>
    <w:r w:rsidR="000C3C64" w:rsidRPr="0059554D">
      <w:rPr>
        <w:rFonts w:ascii="Times New Roman" w:hAnsi="Times New Roman"/>
        <w:sz w:val="24"/>
        <w:szCs w:val="24"/>
      </w:rPr>
      <w:t xml:space="preserve">„Par </w:t>
    </w:r>
    <w:r w:rsidR="00B87D22">
      <w:rPr>
        <w:rFonts w:ascii="Times New Roman" w:hAnsi="Times New Roman"/>
        <w:sz w:val="24"/>
        <w:szCs w:val="24"/>
      </w:rPr>
      <w:t>valsts</w:t>
    </w:r>
    <w:r w:rsidR="000C3C64" w:rsidRPr="0059554D">
      <w:rPr>
        <w:rFonts w:ascii="Times New Roman" w:hAnsi="Times New Roman"/>
        <w:sz w:val="24"/>
        <w:szCs w:val="24"/>
      </w:rPr>
      <w:t xml:space="preserve"> nekustamā īpašuma </w:t>
    </w:r>
    <w:r w:rsidR="00FD0E09">
      <w:rPr>
        <w:rFonts w:ascii="Times New Roman" w:hAnsi="Times New Roman"/>
        <w:sz w:val="24"/>
        <w:szCs w:val="24"/>
      </w:rPr>
      <w:t>Aizkraukles ielā 21,</w:t>
    </w:r>
    <w:r w:rsidR="00B87D22">
      <w:rPr>
        <w:rFonts w:ascii="Times New Roman" w:hAnsi="Times New Roman"/>
        <w:sz w:val="24"/>
        <w:szCs w:val="24"/>
      </w:rPr>
      <w:t xml:space="preserve"> Rīgā,</w:t>
    </w:r>
    <w:r w:rsidR="000C3C64" w:rsidRPr="0059554D">
      <w:rPr>
        <w:rFonts w:ascii="Times New Roman" w:hAnsi="Times New Roman"/>
        <w:sz w:val="24"/>
        <w:szCs w:val="24"/>
      </w:rPr>
      <w:t xml:space="preserve"> nodošanu </w:t>
    </w:r>
    <w:r w:rsidR="00FD0E09">
      <w:rPr>
        <w:rFonts w:ascii="Times New Roman" w:hAnsi="Times New Roman"/>
        <w:sz w:val="24"/>
        <w:szCs w:val="24"/>
      </w:rPr>
      <w:t>Latvijas Organiskās sintēzes</w:t>
    </w:r>
    <w:r w:rsidR="00A824CE">
      <w:rPr>
        <w:rFonts w:ascii="Times New Roman" w:hAnsi="Times New Roman"/>
        <w:sz w:val="24"/>
        <w:szCs w:val="24"/>
      </w:rPr>
      <w:t xml:space="preserve"> institūta īpašumā</w:t>
    </w:r>
    <w:r w:rsidR="000C3C64" w:rsidRPr="0059554D">
      <w:rPr>
        <w:rFonts w:ascii="Times New Roman" w:hAnsi="Times New Roman"/>
        <w:sz w:val="24"/>
        <w:szCs w:val="24"/>
      </w:rPr>
      <w:t>”</w:t>
    </w:r>
    <w:r w:rsidR="00D72BFE" w:rsidRPr="003D6A06">
      <w:rPr>
        <w:rFonts w:ascii="Times New Roman" w:eastAsia="Times New Roman" w:hAnsi="Times New Roman" w:cs="Times New Roman"/>
        <w:sz w:val="24"/>
        <w:szCs w:val="24"/>
        <w:lang w:eastAsia="lv-LV"/>
      </w:rPr>
      <w:t xml:space="preserve"> </w:t>
    </w:r>
    <w:r w:rsidR="00D72BFE">
      <w:rPr>
        <w:rFonts w:ascii="Times New Roman" w:eastAsia="Times New Roman" w:hAnsi="Times New Roman" w:cs="Times New Roman"/>
        <w:sz w:val="24"/>
        <w:szCs w:val="24"/>
        <w:lang w:eastAsia="lv-LV"/>
      </w:rPr>
      <w:t>sākotnējās ietekmes novērtējuma ziņojums (</w:t>
    </w:r>
    <w:r w:rsidR="00D72BFE" w:rsidRPr="003D6A06">
      <w:rPr>
        <w:rFonts w:ascii="Times New Roman" w:eastAsia="Times New Roman" w:hAnsi="Times New Roman" w:cs="Times New Roman"/>
        <w:sz w:val="24"/>
        <w:szCs w:val="24"/>
        <w:lang w:eastAsia="lv-LV"/>
      </w:rPr>
      <w:t>anotācija</w:t>
    </w:r>
    <w:r w:rsidR="00D72BFE">
      <w:rPr>
        <w:rFonts w:ascii="Times New Roman" w:eastAsia="Times New Roman" w:hAnsi="Times New Roman" w:cs="Times New Roman"/>
        <w:sz w:val="24"/>
        <w:szCs w:val="24"/>
        <w:lang w:eastAsia="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24" w:rsidRDefault="00452824" w:rsidP="00AB4555">
      <w:pPr>
        <w:spacing w:after="0" w:line="240" w:lineRule="auto"/>
      </w:pPr>
      <w:r>
        <w:separator/>
      </w:r>
    </w:p>
  </w:footnote>
  <w:footnote w:type="continuationSeparator" w:id="0">
    <w:p w:rsidR="00452824" w:rsidRDefault="00452824"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D7B17" w:rsidRPr="00FD7B17" w:rsidRDefault="00094B8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67916"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ED7481">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FD7B17" w:rsidRDefault="004528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BF1"/>
    <w:rsid w:val="00003595"/>
    <w:rsid w:val="00003636"/>
    <w:rsid w:val="000111C8"/>
    <w:rsid w:val="00011712"/>
    <w:rsid w:val="00013B3B"/>
    <w:rsid w:val="00022B34"/>
    <w:rsid w:val="00022B97"/>
    <w:rsid w:val="00022F1D"/>
    <w:rsid w:val="00023CFA"/>
    <w:rsid w:val="00024790"/>
    <w:rsid w:val="00024AEC"/>
    <w:rsid w:val="00025AE0"/>
    <w:rsid w:val="000324CA"/>
    <w:rsid w:val="00034753"/>
    <w:rsid w:val="00046D5A"/>
    <w:rsid w:val="0006371D"/>
    <w:rsid w:val="000705C0"/>
    <w:rsid w:val="000722E2"/>
    <w:rsid w:val="00075861"/>
    <w:rsid w:val="00077647"/>
    <w:rsid w:val="000829B0"/>
    <w:rsid w:val="00090EB8"/>
    <w:rsid w:val="00091276"/>
    <w:rsid w:val="00094B82"/>
    <w:rsid w:val="000B2CCF"/>
    <w:rsid w:val="000B3781"/>
    <w:rsid w:val="000B59B2"/>
    <w:rsid w:val="000B7E66"/>
    <w:rsid w:val="000C073C"/>
    <w:rsid w:val="000C117E"/>
    <w:rsid w:val="000C2A2C"/>
    <w:rsid w:val="000C3AD7"/>
    <w:rsid w:val="000C3C64"/>
    <w:rsid w:val="000C5A16"/>
    <w:rsid w:val="000D14B7"/>
    <w:rsid w:val="000D16E0"/>
    <w:rsid w:val="000D179B"/>
    <w:rsid w:val="000E4A21"/>
    <w:rsid w:val="000F58FB"/>
    <w:rsid w:val="000F60E6"/>
    <w:rsid w:val="000F6EA8"/>
    <w:rsid w:val="00101CD8"/>
    <w:rsid w:val="0011180D"/>
    <w:rsid w:val="00111BF8"/>
    <w:rsid w:val="001125A0"/>
    <w:rsid w:val="001265EE"/>
    <w:rsid w:val="00127FBD"/>
    <w:rsid w:val="00132E73"/>
    <w:rsid w:val="001472C4"/>
    <w:rsid w:val="00147CA0"/>
    <w:rsid w:val="00154C03"/>
    <w:rsid w:val="001608DC"/>
    <w:rsid w:val="00161DE8"/>
    <w:rsid w:val="001653BC"/>
    <w:rsid w:val="0017165F"/>
    <w:rsid w:val="0018313F"/>
    <w:rsid w:val="00192631"/>
    <w:rsid w:val="001942C2"/>
    <w:rsid w:val="001946B8"/>
    <w:rsid w:val="00194CC7"/>
    <w:rsid w:val="001A00D9"/>
    <w:rsid w:val="001A193A"/>
    <w:rsid w:val="001A3A71"/>
    <w:rsid w:val="001A5C73"/>
    <w:rsid w:val="001C39AD"/>
    <w:rsid w:val="001D22C8"/>
    <w:rsid w:val="001E13E2"/>
    <w:rsid w:val="001E4F51"/>
    <w:rsid w:val="001E5A1F"/>
    <w:rsid w:val="001F1630"/>
    <w:rsid w:val="001F2605"/>
    <w:rsid w:val="001F4C1B"/>
    <w:rsid w:val="00200950"/>
    <w:rsid w:val="00207907"/>
    <w:rsid w:val="00221D11"/>
    <w:rsid w:val="00223D13"/>
    <w:rsid w:val="00226B3A"/>
    <w:rsid w:val="00230B43"/>
    <w:rsid w:val="00233086"/>
    <w:rsid w:val="00237818"/>
    <w:rsid w:val="0026395A"/>
    <w:rsid w:val="00266D1B"/>
    <w:rsid w:val="002722B6"/>
    <w:rsid w:val="00272E2E"/>
    <w:rsid w:val="0028493F"/>
    <w:rsid w:val="00285574"/>
    <w:rsid w:val="00285924"/>
    <w:rsid w:val="00287BA4"/>
    <w:rsid w:val="002B134C"/>
    <w:rsid w:val="002C6B4D"/>
    <w:rsid w:val="002D0A97"/>
    <w:rsid w:val="002D3B27"/>
    <w:rsid w:val="002D4CA1"/>
    <w:rsid w:val="00305C49"/>
    <w:rsid w:val="00311A37"/>
    <w:rsid w:val="00314549"/>
    <w:rsid w:val="0031604F"/>
    <w:rsid w:val="003221FB"/>
    <w:rsid w:val="003226AF"/>
    <w:rsid w:val="0032525F"/>
    <w:rsid w:val="003309F1"/>
    <w:rsid w:val="00330B66"/>
    <w:rsid w:val="003345D8"/>
    <w:rsid w:val="003352D5"/>
    <w:rsid w:val="00344F2D"/>
    <w:rsid w:val="0034556D"/>
    <w:rsid w:val="00347643"/>
    <w:rsid w:val="00356527"/>
    <w:rsid w:val="00357EAA"/>
    <w:rsid w:val="003618C1"/>
    <w:rsid w:val="00361FC8"/>
    <w:rsid w:val="003622C4"/>
    <w:rsid w:val="00363169"/>
    <w:rsid w:val="003663E1"/>
    <w:rsid w:val="00370956"/>
    <w:rsid w:val="003760A7"/>
    <w:rsid w:val="0038025F"/>
    <w:rsid w:val="00381ED4"/>
    <w:rsid w:val="00384BE0"/>
    <w:rsid w:val="0039263E"/>
    <w:rsid w:val="003A11B6"/>
    <w:rsid w:val="003A7D93"/>
    <w:rsid w:val="003B29E4"/>
    <w:rsid w:val="003B30BF"/>
    <w:rsid w:val="003B33FC"/>
    <w:rsid w:val="003B502B"/>
    <w:rsid w:val="003C5245"/>
    <w:rsid w:val="003C5349"/>
    <w:rsid w:val="003D660F"/>
    <w:rsid w:val="003D6A06"/>
    <w:rsid w:val="003E4299"/>
    <w:rsid w:val="003E6E0F"/>
    <w:rsid w:val="003E7C9B"/>
    <w:rsid w:val="003F1B73"/>
    <w:rsid w:val="003F75FC"/>
    <w:rsid w:val="003F78C4"/>
    <w:rsid w:val="00410809"/>
    <w:rsid w:val="00420A60"/>
    <w:rsid w:val="00421AD0"/>
    <w:rsid w:val="00432EC3"/>
    <w:rsid w:val="004356DC"/>
    <w:rsid w:val="00440399"/>
    <w:rsid w:val="0044122C"/>
    <w:rsid w:val="004426E1"/>
    <w:rsid w:val="0045225F"/>
    <w:rsid w:val="00452824"/>
    <w:rsid w:val="004551C3"/>
    <w:rsid w:val="00461B1C"/>
    <w:rsid w:val="00461BE3"/>
    <w:rsid w:val="00462F88"/>
    <w:rsid w:val="004650F7"/>
    <w:rsid w:val="00466FAA"/>
    <w:rsid w:val="00480CDA"/>
    <w:rsid w:val="00483791"/>
    <w:rsid w:val="004841A2"/>
    <w:rsid w:val="004A20D6"/>
    <w:rsid w:val="004A6A4A"/>
    <w:rsid w:val="004B56DF"/>
    <w:rsid w:val="004B576C"/>
    <w:rsid w:val="004C0B89"/>
    <w:rsid w:val="004E7F08"/>
    <w:rsid w:val="005048CA"/>
    <w:rsid w:val="005060A3"/>
    <w:rsid w:val="00506D48"/>
    <w:rsid w:val="005125C9"/>
    <w:rsid w:val="00517AAB"/>
    <w:rsid w:val="00520542"/>
    <w:rsid w:val="00535FD1"/>
    <w:rsid w:val="00550442"/>
    <w:rsid w:val="00552F0C"/>
    <w:rsid w:val="00555D69"/>
    <w:rsid w:val="00557F0B"/>
    <w:rsid w:val="00563ACA"/>
    <w:rsid w:val="00564A1B"/>
    <w:rsid w:val="00567D57"/>
    <w:rsid w:val="00570A8F"/>
    <w:rsid w:val="00571F8E"/>
    <w:rsid w:val="005727E7"/>
    <w:rsid w:val="005759B1"/>
    <w:rsid w:val="00576BB0"/>
    <w:rsid w:val="00580A9E"/>
    <w:rsid w:val="00583146"/>
    <w:rsid w:val="005857C0"/>
    <w:rsid w:val="00586181"/>
    <w:rsid w:val="005868BD"/>
    <w:rsid w:val="00586962"/>
    <w:rsid w:val="00586D00"/>
    <w:rsid w:val="00597D2A"/>
    <w:rsid w:val="005A4F9B"/>
    <w:rsid w:val="005A6D43"/>
    <w:rsid w:val="005A7724"/>
    <w:rsid w:val="005B1E94"/>
    <w:rsid w:val="005B4F2F"/>
    <w:rsid w:val="005B5A8D"/>
    <w:rsid w:val="005C3530"/>
    <w:rsid w:val="005C364F"/>
    <w:rsid w:val="005D7D6A"/>
    <w:rsid w:val="005E2178"/>
    <w:rsid w:val="005E773B"/>
    <w:rsid w:val="005E7E34"/>
    <w:rsid w:val="005F1FBC"/>
    <w:rsid w:val="00601EA2"/>
    <w:rsid w:val="0060246B"/>
    <w:rsid w:val="00610386"/>
    <w:rsid w:val="00611B82"/>
    <w:rsid w:val="00620614"/>
    <w:rsid w:val="006313CC"/>
    <w:rsid w:val="00633755"/>
    <w:rsid w:val="00633AA9"/>
    <w:rsid w:val="00635ADA"/>
    <w:rsid w:val="006417C5"/>
    <w:rsid w:val="0065052E"/>
    <w:rsid w:val="006542BE"/>
    <w:rsid w:val="006605D2"/>
    <w:rsid w:val="0066187E"/>
    <w:rsid w:val="0067306E"/>
    <w:rsid w:val="00687BE7"/>
    <w:rsid w:val="006918E8"/>
    <w:rsid w:val="00695B58"/>
    <w:rsid w:val="00697555"/>
    <w:rsid w:val="006A4A6C"/>
    <w:rsid w:val="006A747A"/>
    <w:rsid w:val="006B097A"/>
    <w:rsid w:val="006B0B1A"/>
    <w:rsid w:val="006B1B8D"/>
    <w:rsid w:val="006B4FCB"/>
    <w:rsid w:val="006B7729"/>
    <w:rsid w:val="006C0B5B"/>
    <w:rsid w:val="006C1E83"/>
    <w:rsid w:val="006C4839"/>
    <w:rsid w:val="006D150E"/>
    <w:rsid w:val="006E14B4"/>
    <w:rsid w:val="006F338F"/>
    <w:rsid w:val="006F4B31"/>
    <w:rsid w:val="0070593C"/>
    <w:rsid w:val="00714EE3"/>
    <w:rsid w:val="007159FB"/>
    <w:rsid w:val="00721313"/>
    <w:rsid w:val="00721611"/>
    <w:rsid w:val="007315B5"/>
    <w:rsid w:val="00734CE0"/>
    <w:rsid w:val="0073680E"/>
    <w:rsid w:val="007564EB"/>
    <w:rsid w:val="00757260"/>
    <w:rsid w:val="00761608"/>
    <w:rsid w:val="00764BF9"/>
    <w:rsid w:val="00786C16"/>
    <w:rsid w:val="00791790"/>
    <w:rsid w:val="00792AAD"/>
    <w:rsid w:val="00792CA0"/>
    <w:rsid w:val="007943D3"/>
    <w:rsid w:val="00794C76"/>
    <w:rsid w:val="00796F6D"/>
    <w:rsid w:val="007A1C68"/>
    <w:rsid w:val="007B1B81"/>
    <w:rsid w:val="007B3C65"/>
    <w:rsid w:val="007B54D6"/>
    <w:rsid w:val="007C395F"/>
    <w:rsid w:val="007D2800"/>
    <w:rsid w:val="007D3476"/>
    <w:rsid w:val="007E06CE"/>
    <w:rsid w:val="007E097F"/>
    <w:rsid w:val="007E29D9"/>
    <w:rsid w:val="007E4DEC"/>
    <w:rsid w:val="007E6A67"/>
    <w:rsid w:val="007F257E"/>
    <w:rsid w:val="007F386D"/>
    <w:rsid w:val="007F44FD"/>
    <w:rsid w:val="008023A0"/>
    <w:rsid w:val="00804D87"/>
    <w:rsid w:val="0081066C"/>
    <w:rsid w:val="00830892"/>
    <w:rsid w:val="00835EFE"/>
    <w:rsid w:val="008461D4"/>
    <w:rsid w:val="008573E8"/>
    <w:rsid w:val="00861834"/>
    <w:rsid w:val="00867AAA"/>
    <w:rsid w:val="00875273"/>
    <w:rsid w:val="008760F1"/>
    <w:rsid w:val="0088110B"/>
    <w:rsid w:val="0088136E"/>
    <w:rsid w:val="008A4334"/>
    <w:rsid w:val="008A579B"/>
    <w:rsid w:val="008B0097"/>
    <w:rsid w:val="008C2529"/>
    <w:rsid w:val="008C2740"/>
    <w:rsid w:val="008C4B9B"/>
    <w:rsid w:val="008D0B92"/>
    <w:rsid w:val="008D58BD"/>
    <w:rsid w:val="008D606E"/>
    <w:rsid w:val="008E0C3F"/>
    <w:rsid w:val="008E4330"/>
    <w:rsid w:val="008F2313"/>
    <w:rsid w:val="009021C8"/>
    <w:rsid w:val="00904296"/>
    <w:rsid w:val="00905735"/>
    <w:rsid w:val="00905808"/>
    <w:rsid w:val="00906769"/>
    <w:rsid w:val="00922B14"/>
    <w:rsid w:val="00924D58"/>
    <w:rsid w:val="00924DCC"/>
    <w:rsid w:val="00926F7E"/>
    <w:rsid w:val="00933B75"/>
    <w:rsid w:val="00941098"/>
    <w:rsid w:val="009544AB"/>
    <w:rsid w:val="009600C4"/>
    <w:rsid w:val="009634BA"/>
    <w:rsid w:val="00965686"/>
    <w:rsid w:val="00967916"/>
    <w:rsid w:val="00972019"/>
    <w:rsid w:val="00972EA7"/>
    <w:rsid w:val="0097319C"/>
    <w:rsid w:val="009866D2"/>
    <w:rsid w:val="009918D5"/>
    <w:rsid w:val="009A4A90"/>
    <w:rsid w:val="009B0328"/>
    <w:rsid w:val="009B5871"/>
    <w:rsid w:val="009C2FE6"/>
    <w:rsid w:val="009C36AB"/>
    <w:rsid w:val="009C3E52"/>
    <w:rsid w:val="009D0225"/>
    <w:rsid w:val="009D22FD"/>
    <w:rsid w:val="009F7682"/>
    <w:rsid w:val="009F7BF9"/>
    <w:rsid w:val="00A047AC"/>
    <w:rsid w:val="00A04D84"/>
    <w:rsid w:val="00A0679C"/>
    <w:rsid w:val="00A1070F"/>
    <w:rsid w:val="00A11B09"/>
    <w:rsid w:val="00A2226F"/>
    <w:rsid w:val="00A222F1"/>
    <w:rsid w:val="00A307E9"/>
    <w:rsid w:val="00A31278"/>
    <w:rsid w:val="00A32894"/>
    <w:rsid w:val="00A3301A"/>
    <w:rsid w:val="00A403C9"/>
    <w:rsid w:val="00A441AA"/>
    <w:rsid w:val="00A47E2C"/>
    <w:rsid w:val="00A54AE9"/>
    <w:rsid w:val="00A56E37"/>
    <w:rsid w:val="00A66F94"/>
    <w:rsid w:val="00A80FCF"/>
    <w:rsid w:val="00A82082"/>
    <w:rsid w:val="00A824CE"/>
    <w:rsid w:val="00A90068"/>
    <w:rsid w:val="00A92C7D"/>
    <w:rsid w:val="00A940FC"/>
    <w:rsid w:val="00A96ED8"/>
    <w:rsid w:val="00AB0104"/>
    <w:rsid w:val="00AB4555"/>
    <w:rsid w:val="00AB5516"/>
    <w:rsid w:val="00AC73E0"/>
    <w:rsid w:val="00AD7879"/>
    <w:rsid w:val="00B000B7"/>
    <w:rsid w:val="00B02125"/>
    <w:rsid w:val="00B14ED8"/>
    <w:rsid w:val="00B2031B"/>
    <w:rsid w:val="00B21BBC"/>
    <w:rsid w:val="00B21D0C"/>
    <w:rsid w:val="00B2259F"/>
    <w:rsid w:val="00B22BDE"/>
    <w:rsid w:val="00B40000"/>
    <w:rsid w:val="00B42971"/>
    <w:rsid w:val="00B432F3"/>
    <w:rsid w:val="00B44BD9"/>
    <w:rsid w:val="00B610F9"/>
    <w:rsid w:val="00B66F93"/>
    <w:rsid w:val="00B82872"/>
    <w:rsid w:val="00B87D22"/>
    <w:rsid w:val="00B917F0"/>
    <w:rsid w:val="00B951FD"/>
    <w:rsid w:val="00B95401"/>
    <w:rsid w:val="00B95F15"/>
    <w:rsid w:val="00BB0082"/>
    <w:rsid w:val="00BB3AF2"/>
    <w:rsid w:val="00BB4D79"/>
    <w:rsid w:val="00BD06D9"/>
    <w:rsid w:val="00BD3CD2"/>
    <w:rsid w:val="00BE3BFC"/>
    <w:rsid w:val="00BF28D9"/>
    <w:rsid w:val="00BF44F1"/>
    <w:rsid w:val="00C05310"/>
    <w:rsid w:val="00C21D6C"/>
    <w:rsid w:val="00C2368B"/>
    <w:rsid w:val="00C34A2A"/>
    <w:rsid w:val="00C3590C"/>
    <w:rsid w:val="00C41042"/>
    <w:rsid w:val="00C45EB5"/>
    <w:rsid w:val="00C646F4"/>
    <w:rsid w:val="00C65384"/>
    <w:rsid w:val="00C66742"/>
    <w:rsid w:val="00C70D92"/>
    <w:rsid w:val="00C749B9"/>
    <w:rsid w:val="00C83C08"/>
    <w:rsid w:val="00C96961"/>
    <w:rsid w:val="00CA21F5"/>
    <w:rsid w:val="00CA5699"/>
    <w:rsid w:val="00CD2024"/>
    <w:rsid w:val="00CD2326"/>
    <w:rsid w:val="00CD4B2C"/>
    <w:rsid w:val="00CE1044"/>
    <w:rsid w:val="00CE6CC3"/>
    <w:rsid w:val="00CF3B50"/>
    <w:rsid w:val="00CF3CD2"/>
    <w:rsid w:val="00D0017A"/>
    <w:rsid w:val="00D1213C"/>
    <w:rsid w:val="00D23355"/>
    <w:rsid w:val="00D24FCF"/>
    <w:rsid w:val="00D43382"/>
    <w:rsid w:val="00D445ED"/>
    <w:rsid w:val="00D5330C"/>
    <w:rsid w:val="00D6549D"/>
    <w:rsid w:val="00D65EFC"/>
    <w:rsid w:val="00D72BFE"/>
    <w:rsid w:val="00D73867"/>
    <w:rsid w:val="00D81917"/>
    <w:rsid w:val="00D84601"/>
    <w:rsid w:val="00DC3CC6"/>
    <w:rsid w:val="00DC49BF"/>
    <w:rsid w:val="00DC6E72"/>
    <w:rsid w:val="00DD1CDC"/>
    <w:rsid w:val="00DD32D7"/>
    <w:rsid w:val="00DD35ED"/>
    <w:rsid w:val="00DD3CF2"/>
    <w:rsid w:val="00DD5D68"/>
    <w:rsid w:val="00DD6A5A"/>
    <w:rsid w:val="00DE1D3C"/>
    <w:rsid w:val="00DE5D44"/>
    <w:rsid w:val="00DF232C"/>
    <w:rsid w:val="00DF3515"/>
    <w:rsid w:val="00DF3C54"/>
    <w:rsid w:val="00DF4F8C"/>
    <w:rsid w:val="00DF5AE8"/>
    <w:rsid w:val="00DF650A"/>
    <w:rsid w:val="00DF6CDB"/>
    <w:rsid w:val="00E01F19"/>
    <w:rsid w:val="00E0430B"/>
    <w:rsid w:val="00E05148"/>
    <w:rsid w:val="00E05AC2"/>
    <w:rsid w:val="00E13AE4"/>
    <w:rsid w:val="00E15E30"/>
    <w:rsid w:val="00E22778"/>
    <w:rsid w:val="00E233E1"/>
    <w:rsid w:val="00E254B1"/>
    <w:rsid w:val="00E33689"/>
    <w:rsid w:val="00E36C98"/>
    <w:rsid w:val="00E40705"/>
    <w:rsid w:val="00E468F9"/>
    <w:rsid w:val="00E507ED"/>
    <w:rsid w:val="00E541F6"/>
    <w:rsid w:val="00E5481B"/>
    <w:rsid w:val="00E56F63"/>
    <w:rsid w:val="00E61DCF"/>
    <w:rsid w:val="00E63280"/>
    <w:rsid w:val="00E63313"/>
    <w:rsid w:val="00E775E8"/>
    <w:rsid w:val="00E8399E"/>
    <w:rsid w:val="00E856ED"/>
    <w:rsid w:val="00EB3320"/>
    <w:rsid w:val="00EB6FF4"/>
    <w:rsid w:val="00EC2FF3"/>
    <w:rsid w:val="00EC518A"/>
    <w:rsid w:val="00EC5FBC"/>
    <w:rsid w:val="00ED7481"/>
    <w:rsid w:val="00EE55CE"/>
    <w:rsid w:val="00EE5C53"/>
    <w:rsid w:val="00EE6B56"/>
    <w:rsid w:val="00EE73F8"/>
    <w:rsid w:val="00EF545F"/>
    <w:rsid w:val="00F00A33"/>
    <w:rsid w:val="00F02095"/>
    <w:rsid w:val="00F050C2"/>
    <w:rsid w:val="00F05682"/>
    <w:rsid w:val="00F05969"/>
    <w:rsid w:val="00F06E12"/>
    <w:rsid w:val="00F07E80"/>
    <w:rsid w:val="00F07F93"/>
    <w:rsid w:val="00F109F8"/>
    <w:rsid w:val="00F30731"/>
    <w:rsid w:val="00F319D2"/>
    <w:rsid w:val="00F42435"/>
    <w:rsid w:val="00F444B4"/>
    <w:rsid w:val="00F516CD"/>
    <w:rsid w:val="00F665BD"/>
    <w:rsid w:val="00F66A96"/>
    <w:rsid w:val="00F72F02"/>
    <w:rsid w:val="00F92BC5"/>
    <w:rsid w:val="00F9780E"/>
    <w:rsid w:val="00FB0EB4"/>
    <w:rsid w:val="00FB5392"/>
    <w:rsid w:val="00FD08FA"/>
    <w:rsid w:val="00FD0E09"/>
    <w:rsid w:val="00FD3BA2"/>
    <w:rsid w:val="00FE2650"/>
    <w:rsid w:val="00FE3950"/>
    <w:rsid w:val="00FE5011"/>
    <w:rsid w:val="00FE54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paragraph" w:styleId="Heading6">
    <w:name w:val="heading 6"/>
    <w:basedOn w:val="Normal"/>
    <w:next w:val="Normal"/>
    <w:link w:val="Heading6Char"/>
    <w:unhideWhenUsed/>
    <w:qFormat/>
    <w:rsid w:val="000E4A21"/>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C41042"/>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rsid w:val="000E4A21"/>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1934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C1F3-7CFD-42CF-A6FF-38DA2625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5015</Words>
  <Characters>2859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Aizkraukles ielā 21, Rīgā, nodošanu Latvijas Organiskās sintēzes institūta īpašumā” sākotnējās ietekmes novērtējuma ziņojums (anotācija)</vt:lpstr>
    </vt:vector>
  </TitlesOfParts>
  <Manager>Sandra Sidiki</Manager>
  <Company> Izglītības un zinātnes ministrija</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Aizkraukles ielā 21, Rīgā, nodošanu Latvijas Organiskās sintēzes institūta īpašumā” sākotnējās ietekmes novērtējuma ziņojums (anotācija)</dc:title>
  <dc:subject>IZMAnot_170611_OSI</dc:subject>
  <dc:creator>Diāna Putāne</dc:creator>
  <cp:keywords>OSI</cp:keywords>
  <dc:description>diana.putane@izm.gov.lv;_x000d_
67047889</dc:description>
  <cp:lastModifiedBy>dputane</cp:lastModifiedBy>
  <cp:revision>469</cp:revision>
  <cp:lastPrinted>2011-06-17T06:21:00Z</cp:lastPrinted>
  <dcterms:created xsi:type="dcterms:W3CDTF">2009-05-13T08:32:00Z</dcterms:created>
  <dcterms:modified xsi:type="dcterms:W3CDTF">2011-06-17T06:21:00Z</dcterms:modified>
  <cp:category>Anotācija</cp:category>
</cp:coreProperties>
</file>