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C" w:rsidRPr="00283653" w:rsidRDefault="003E4CFC" w:rsidP="003E4CFC">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283653">
        <w:rPr>
          <w:b/>
          <w:sz w:val="26"/>
          <w:szCs w:val="26"/>
        </w:rPr>
        <w:t>Ministru kabineta noteikumu projekta</w:t>
      </w:r>
    </w:p>
    <w:p w:rsidR="002772AF" w:rsidRPr="00283653" w:rsidRDefault="003E4CFC" w:rsidP="002772AF">
      <w:pPr>
        <w:jc w:val="center"/>
        <w:rPr>
          <w:b/>
          <w:sz w:val="26"/>
          <w:szCs w:val="26"/>
        </w:rPr>
      </w:pPr>
      <w:r w:rsidRPr="00283653">
        <w:rPr>
          <w:b/>
          <w:sz w:val="26"/>
          <w:szCs w:val="26"/>
        </w:rPr>
        <w:t>„</w:t>
      </w:r>
      <w:r w:rsidR="002772AF" w:rsidRPr="00283653">
        <w:rPr>
          <w:b/>
          <w:sz w:val="26"/>
          <w:szCs w:val="26"/>
        </w:rPr>
        <w:t>Grozījumi Ministru kabineta 2012.gada 3.janvāra noteikumos Nr.26 „Noteikumi par kārtību, kādā piešķiramas naudas balvas par izciliem sasniegumiem sportā, un naudas balvu apmēru”</w:t>
      </w:r>
      <w:r w:rsidR="00A4033D">
        <w:rPr>
          <w:b/>
          <w:sz w:val="26"/>
          <w:szCs w:val="26"/>
        </w:rPr>
        <w:t>”</w:t>
      </w:r>
    </w:p>
    <w:bookmarkEnd w:id="0"/>
    <w:bookmarkEnd w:id="1"/>
    <w:p w:rsidR="00680733" w:rsidRPr="00283653" w:rsidRDefault="00680733" w:rsidP="003E4CFC">
      <w:pPr>
        <w:jc w:val="center"/>
        <w:rPr>
          <w:b/>
          <w:sz w:val="26"/>
          <w:szCs w:val="26"/>
        </w:rPr>
      </w:pPr>
      <w:r w:rsidRPr="00283653">
        <w:rPr>
          <w:b/>
          <w:sz w:val="26"/>
          <w:szCs w:val="26"/>
        </w:rPr>
        <w:t>sākotnējās ietekmes novērtējuma ziņojums</w:t>
      </w:r>
      <w:bookmarkEnd w:id="2"/>
      <w:bookmarkEnd w:id="3"/>
      <w:r w:rsidR="00663658" w:rsidRPr="00283653">
        <w:rPr>
          <w:b/>
          <w:sz w:val="26"/>
          <w:szCs w:val="26"/>
        </w:rPr>
        <w:t xml:space="preserve"> </w:t>
      </w:r>
      <w:r w:rsidRPr="00283653">
        <w:rPr>
          <w:b/>
          <w:sz w:val="26"/>
          <w:szCs w:val="26"/>
        </w:rPr>
        <w:t>(anotācija)</w:t>
      </w:r>
      <w:bookmarkEnd w:id="4"/>
      <w:bookmarkEnd w:id="5"/>
    </w:p>
    <w:p w:rsidR="00680733" w:rsidRPr="00283653" w:rsidRDefault="00680733" w:rsidP="00680733">
      <w:pPr>
        <w:pStyle w:val="naislab"/>
        <w:spacing w:before="0" w:after="0"/>
        <w:jc w:val="center"/>
        <w:outlineLvl w:val="0"/>
        <w:rPr>
          <w:b/>
          <w:sz w:val="26"/>
          <w:szCs w:val="26"/>
        </w:rPr>
      </w:pPr>
    </w:p>
    <w:tbl>
      <w:tblPr>
        <w:tblpPr w:leftFromText="180" w:rightFromText="180" w:vertAnchor="text" w:horzAnchor="margin" w:tblpXSpec="center" w:tblpY="1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122"/>
        <w:gridCol w:w="7655"/>
      </w:tblGrid>
      <w:tr w:rsidR="00680733" w:rsidRPr="00283653" w:rsidTr="00D37AC4">
        <w:tc>
          <w:tcPr>
            <w:tcW w:w="10349" w:type="dxa"/>
            <w:gridSpan w:val="3"/>
            <w:vAlign w:val="center"/>
          </w:tcPr>
          <w:p w:rsidR="00680733" w:rsidRPr="00283653" w:rsidRDefault="00680733" w:rsidP="00680733">
            <w:pPr>
              <w:pStyle w:val="naisnod"/>
              <w:spacing w:before="0" w:after="0"/>
              <w:rPr>
                <w:sz w:val="26"/>
                <w:szCs w:val="26"/>
              </w:rPr>
            </w:pPr>
            <w:r w:rsidRPr="00283653">
              <w:rPr>
                <w:sz w:val="26"/>
                <w:szCs w:val="26"/>
              </w:rPr>
              <w:t>I. Tiesību akta projekta izstrādes nepieciešamība</w:t>
            </w:r>
          </w:p>
        </w:tc>
      </w:tr>
      <w:tr w:rsidR="00680733" w:rsidRPr="00283653" w:rsidTr="00D37AC4">
        <w:trPr>
          <w:trHeight w:val="630"/>
        </w:trPr>
        <w:tc>
          <w:tcPr>
            <w:tcW w:w="572" w:type="dxa"/>
          </w:tcPr>
          <w:p w:rsidR="00680733" w:rsidRPr="00283653" w:rsidRDefault="00680733" w:rsidP="000836B2">
            <w:pPr>
              <w:pStyle w:val="naiskr"/>
              <w:spacing w:before="0" w:after="0"/>
              <w:jc w:val="center"/>
              <w:rPr>
                <w:sz w:val="26"/>
                <w:szCs w:val="26"/>
              </w:rPr>
            </w:pPr>
            <w:r w:rsidRPr="00283653">
              <w:rPr>
                <w:sz w:val="26"/>
                <w:szCs w:val="26"/>
              </w:rPr>
              <w:t>1.</w:t>
            </w:r>
          </w:p>
        </w:tc>
        <w:tc>
          <w:tcPr>
            <w:tcW w:w="2122" w:type="dxa"/>
          </w:tcPr>
          <w:p w:rsidR="00680733" w:rsidRPr="00283653" w:rsidRDefault="00680733" w:rsidP="00BE3C3B">
            <w:pPr>
              <w:pStyle w:val="naiskr"/>
              <w:spacing w:before="0" w:after="0"/>
              <w:ind w:left="77" w:right="71" w:hanging="10"/>
              <w:rPr>
                <w:sz w:val="26"/>
                <w:szCs w:val="26"/>
              </w:rPr>
            </w:pPr>
            <w:r w:rsidRPr="00283653">
              <w:rPr>
                <w:sz w:val="26"/>
                <w:szCs w:val="26"/>
              </w:rPr>
              <w:t>Pamatojums</w:t>
            </w:r>
          </w:p>
        </w:tc>
        <w:tc>
          <w:tcPr>
            <w:tcW w:w="7655" w:type="dxa"/>
          </w:tcPr>
          <w:p w:rsidR="00AA48B1" w:rsidRDefault="00BE1C59" w:rsidP="002F601C">
            <w:pPr>
              <w:ind w:left="70" w:right="141"/>
              <w:jc w:val="both"/>
              <w:rPr>
                <w:sz w:val="26"/>
                <w:szCs w:val="26"/>
              </w:rPr>
            </w:pPr>
            <w:r>
              <w:rPr>
                <w:sz w:val="26"/>
                <w:szCs w:val="26"/>
              </w:rPr>
              <w:t>1)</w:t>
            </w:r>
            <w:r w:rsidR="00231D74">
              <w:rPr>
                <w:sz w:val="26"/>
                <w:szCs w:val="26"/>
              </w:rPr>
              <w:t xml:space="preserve"> </w:t>
            </w:r>
            <w:r>
              <w:rPr>
                <w:sz w:val="26"/>
                <w:szCs w:val="26"/>
              </w:rPr>
              <w:t xml:space="preserve">Nepieciešamība </w:t>
            </w:r>
            <w:r w:rsidRPr="00BE1C59">
              <w:rPr>
                <w:sz w:val="26"/>
                <w:szCs w:val="26"/>
              </w:rPr>
              <w:t>no piešķiramo naudas balvu</w:t>
            </w:r>
            <w:r>
              <w:rPr>
                <w:sz w:val="26"/>
                <w:szCs w:val="26"/>
              </w:rPr>
              <w:t xml:space="preserve"> par izciliem sasniegumiem sportā (turpmāk arī – naudas balva)</w:t>
            </w:r>
            <w:r w:rsidRPr="00BE1C59">
              <w:rPr>
                <w:sz w:val="26"/>
                <w:szCs w:val="26"/>
              </w:rPr>
              <w:t xml:space="preserve"> apmēra viedokļa pielīdzināt sportistu ar invaliditāti sasniegumus</w:t>
            </w:r>
            <w:r w:rsidR="00373926">
              <w:rPr>
                <w:sz w:val="26"/>
                <w:szCs w:val="26"/>
              </w:rPr>
              <w:t xml:space="preserve"> sportā</w:t>
            </w:r>
            <w:r w:rsidRPr="00BE1C59">
              <w:rPr>
                <w:sz w:val="26"/>
                <w:szCs w:val="26"/>
              </w:rPr>
              <w:t xml:space="preserve"> tādiem sasniegumiem, kurus ir izcīnījuši sportisti bez invaliditātes, tādejādi pilnībā izslēdzot jebkādu atšķirīgas attieksmes iespējamību.</w:t>
            </w:r>
          </w:p>
          <w:p w:rsidR="007C5572" w:rsidRPr="00283653" w:rsidRDefault="00BE1C59" w:rsidP="003E3CDF">
            <w:pPr>
              <w:ind w:left="70" w:right="141"/>
              <w:jc w:val="both"/>
              <w:rPr>
                <w:sz w:val="26"/>
                <w:szCs w:val="26"/>
              </w:rPr>
            </w:pPr>
            <w:r>
              <w:rPr>
                <w:sz w:val="26"/>
                <w:szCs w:val="26"/>
              </w:rPr>
              <w:t xml:space="preserve">2) Latvijas Nacionālās sporta padomes </w:t>
            </w:r>
            <w:r w:rsidR="002637DF">
              <w:rPr>
                <w:sz w:val="26"/>
                <w:szCs w:val="26"/>
              </w:rPr>
              <w:t xml:space="preserve">(turpmāk – Padome) </w:t>
            </w:r>
            <w:r w:rsidR="008C10D6" w:rsidRPr="00283653">
              <w:rPr>
                <w:rFonts w:eastAsia="Calibri"/>
                <w:sz w:val="26"/>
                <w:szCs w:val="26"/>
              </w:rPr>
              <w:t>2012.gada 14.maija sēdē nol</w:t>
            </w:r>
            <w:r w:rsidR="008C10D6">
              <w:rPr>
                <w:rFonts w:eastAsia="Calibri"/>
                <w:sz w:val="26"/>
                <w:szCs w:val="26"/>
              </w:rPr>
              <w:t>e</w:t>
            </w:r>
            <w:r w:rsidR="008C10D6" w:rsidRPr="00283653">
              <w:rPr>
                <w:rFonts w:eastAsia="Calibri"/>
                <w:sz w:val="26"/>
                <w:szCs w:val="26"/>
              </w:rPr>
              <w:t>m</w:t>
            </w:r>
            <w:r w:rsidR="008C10D6">
              <w:rPr>
                <w:rFonts w:eastAsia="Calibri"/>
                <w:sz w:val="26"/>
                <w:szCs w:val="26"/>
              </w:rPr>
              <w:t>tais</w:t>
            </w:r>
            <w:r w:rsidR="008C10D6" w:rsidRPr="00283653">
              <w:rPr>
                <w:rFonts w:eastAsia="Calibri"/>
                <w:sz w:val="26"/>
                <w:szCs w:val="26"/>
              </w:rPr>
              <w:t xml:space="preserve"> (prot. Nr. 3 7.§)  </w:t>
            </w:r>
            <w:r w:rsidR="008C10D6">
              <w:rPr>
                <w:rFonts w:eastAsia="Calibri"/>
                <w:sz w:val="26"/>
                <w:szCs w:val="26"/>
              </w:rPr>
              <w:t xml:space="preserve">par </w:t>
            </w:r>
            <w:r w:rsidR="00E537CD">
              <w:rPr>
                <w:rFonts w:eastAsia="Calibri"/>
                <w:sz w:val="26"/>
                <w:szCs w:val="26"/>
              </w:rPr>
              <w:t xml:space="preserve">pasaules jaunatnes olimpisko spēļu iekļaušanu to sporta sacensību </w:t>
            </w:r>
            <w:r w:rsidR="000465AE">
              <w:rPr>
                <w:rFonts w:eastAsia="Calibri"/>
                <w:sz w:val="26"/>
                <w:szCs w:val="26"/>
              </w:rPr>
              <w:t>sarakstā, par sasniegumiem kurās Ministru kabinets var piešķirt naudas balvas</w:t>
            </w:r>
            <w:r w:rsidR="003E3CDF">
              <w:rPr>
                <w:rFonts w:eastAsia="Calibri"/>
                <w:sz w:val="26"/>
                <w:szCs w:val="26"/>
              </w:rPr>
              <w:t>.</w:t>
            </w:r>
            <w:r w:rsidR="007D7547">
              <w:rPr>
                <w:rFonts w:eastAsia="Calibri"/>
                <w:sz w:val="26"/>
                <w:szCs w:val="26"/>
              </w:rPr>
              <w:t xml:space="preserve"> </w:t>
            </w:r>
          </w:p>
        </w:tc>
      </w:tr>
      <w:tr w:rsidR="00680733" w:rsidRPr="00283653" w:rsidTr="00D37AC4">
        <w:trPr>
          <w:trHeight w:val="472"/>
        </w:trPr>
        <w:tc>
          <w:tcPr>
            <w:tcW w:w="572" w:type="dxa"/>
          </w:tcPr>
          <w:p w:rsidR="00680733" w:rsidRPr="00283653" w:rsidRDefault="00680733" w:rsidP="000836B2">
            <w:pPr>
              <w:pStyle w:val="naiskr"/>
              <w:spacing w:before="0" w:after="0"/>
              <w:jc w:val="center"/>
              <w:rPr>
                <w:sz w:val="26"/>
                <w:szCs w:val="26"/>
              </w:rPr>
            </w:pPr>
            <w:r w:rsidRPr="00283653">
              <w:rPr>
                <w:sz w:val="26"/>
                <w:szCs w:val="26"/>
              </w:rPr>
              <w:t>2.</w:t>
            </w:r>
          </w:p>
        </w:tc>
        <w:tc>
          <w:tcPr>
            <w:tcW w:w="2122" w:type="dxa"/>
          </w:tcPr>
          <w:p w:rsidR="00680733" w:rsidRPr="00283653" w:rsidRDefault="00680733" w:rsidP="00BE3C3B">
            <w:pPr>
              <w:pStyle w:val="naiskr"/>
              <w:tabs>
                <w:tab w:val="left" w:pos="170"/>
              </w:tabs>
              <w:spacing w:before="0" w:after="0"/>
              <w:ind w:left="77" w:right="71"/>
              <w:rPr>
                <w:sz w:val="26"/>
                <w:szCs w:val="26"/>
              </w:rPr>
            </w:pPr>
            <w:r w:rsidRPr="00283653">
              <w:rPr>
                <w:sz w:val="26"/>
                <w:szCs w:val="26"/>
              </w:rPr>
              <w:t>Pašreizējā situācija un problēmas</w:t>
            </w:r>
          </w:p>
        </w:tc>
        <w:tc>
          <w:tcPr>
            <w:tcW w:w="7655" w:type="dxa"/>
          </w:tcPr>
          <w:p w:rsidR="00C56D93" w:rsidRPr="00283653" w:rsidRDefault="00446C82" w:rsidP="002F601C">
            <w:pPr>
              <w:ind w:left="70" w:right="142"/>
              <w:jc w:val="both"/>
              <w:rPr>
                <w:bCs/>
                <w:sz w:val="26"/>
                <w:szCs w:val="26"/>
              </w:rPr>
            </w:pPr>
            <w:r w:rsidRPr="00283653">
              <w:rPr>
                <w:bCs/>
                <w:sz w:val="26"/>
                <w:szCs w:val="26"/>
              </w:rPr>
              <w:t xml:space="preserve">Saskaņā ar Sporta likuma 14.panta pirmo daļu Latvijas sportistiem, viņu treneriem, sportistus apkalpojošajiem sporta darbiniekiem, tai skaitā sporta ārstiem, apkalpojošajam personālam un attiecīgajām sporta federācijām Ministru kabinets var piešķirt naudas balvas par izciliem sasniegumiem sportā. </w:t>
            </w:r>
            <w:r w:rsidR="00C56D93" w:rsidRPr="00283653">
              <w:rPr>
                <w:bCs/>
                <w:sz w:val="26"/>
                <w:szCs w:val="26"/>
              </w:rPr>
              <w:t>Saskaņā ar Sporta likuma 14.panta otro daļu k</w:t>
            </w:r>
            <w:r w:rsidRPr="00283653">
              <w:rPr>
                <w:bCs/>
                <w:sz w:val="26"/>
                <w:szCs w:val="26"/>
              </w:rPr>
              <w:t>ārtību, kādā piešķiramas naudas balvas par izciliem sasniegumiem sportā, un naudas balvu apmēru nosaka Ministru kabinets.</w:t>
            </w:r>
            <w:r w:rsidR="00C23DC0" w:rsidRPr="00283653">
              <w:rPr>
                <w:bCs/>
                <w:sz w:val="26"/>
                <w:szCs w:val="26"/>
              </w:rPr>
              <w:t xml:space="preserve"> </w:t>
            </w:r>
            <w:r w:rsidR="00D83D16">
              <w:rPr>
                <w:bCs/>
                <w:sz w:val="26"/>
                <w:szCs w:val="26"/>
              </w:rPr>
              <w:t>M</w:t>
            </w:r>
            <w:r w:rsidR="00C56D93" w:rsidRPr="00283653">
              <w:rPr>
                <w:bCs/>
                <w:sz w:val="26"/>
                <w:szCs w:val="26"/>
              </w:rPr>
              <w:t xml:space="preserve">inētā kārtība ir noteikta Ministru kabineta </w:t>
            </w:r>
            <w:r w:rsidR="001E5C1B" w:rsidRPr="00283653">
              <w:rPr>
                <w:bCs/>
                <w:sz w:val="26"/>
                <w:szCs w:val="26"/>
              </w:rPr>
              <w:t>2012</w:t>
            </w:r>
            <w:r w:rsidR="00C56D93" w:rsidRPr="00283653">
              <w:rPr>
                <w:bCs/>
                <w:sz w:val="26"/>
                <w:szCs w:val="26"/>
              </w:rPr>
              <w:t xml:space="preserve">.gada </w:t>
            </w:r>
            <w:r w:rsidR="001E5C1B" w:rsidRPr="00283653">
              <w:rPr>
                <w:bCs/>
                <w:sz w:val="26"/>
                <w:szCs w:val="26"/>
              </w:rPr>
              <w:t>3.janvāra</w:t>
            </w:r>
            <w:r w:rsidR="00C56D93" w:rsidRPr="00283653">
              <w:rPr>
                <w:bCs/>
                <w:sz w:val="26"/>
                <w:szCs w:val="26"/>
              </w:rPr>
              <w:t xml:space="preserve"> noteikumos Nr.</w:t>
            </w:r>
            <w:r w:rsidR="001E5C1B" w:rsidRPr="00283653">
              <w:rPr>
                <w:bCs/>
                <w:sz w:val="26"/>
                <w:szCs w:val="26"/>
              </w:rPr>
              <w:t>26</w:t>
            </w:r>
            <w:r w:rsidR="00C56D93" w:rsidRPr="00283653">
              <w:rPr>
                <w:bCs/>
                <w:sz w:val="26"/>
                <w:szCs w:val="26"/>
              </w:rPr>
              <w:t xml:space="preserve"> „Noteikumi par kārtību, kādā piešķiramas naudas balvas par izciliem sasniegumiem sportā, un naudas balvu apmēru” (turpmāk –</w:t>
            </w:r>
            <w:r w:rsidR="00522BC3" w:rsidRPr="00283653">
              <w:rPr>
                <w:bCs/>
                <w:sz w:val="26"/>
                <w:szCs w:val="26"/>
              </w:rPr>
              <w:t xml:space="preserve"> N</w:t>
            </w:r>
            <w:r w:rsidR="00C56D93" w:rsidRPr="00283653">
              <w:rPr>
                <w:bCs/>
                <w:sz w:val="26"/>
                <w:szCs w:val="26"/>
              </w:rPr>
              <w:t>oteikumi).</w:t>
            </w:r>
          </w:p>
          <w:p w:rsidR="00446C82" w:rsidRPr="00283653" w:rsidRDefault="00446C82" w:rsidP="002F601C">
            <w:pPr>
              <w:ind w:left="70" w:right="142"/>
              <w:jc w:val="both"/>
              <w:rPr>
                <w:bCs/>
                <w:sz w:val="26"/>
                <w:szCs w:val="26"/>
              </w:rPr>
            </w:pPr>
          </w:p>
          <w:p w:rsidR="00B444D1" w:rsidRDefault="001E4EDA" w:rsidP="002F601C">
            <w:pPr>
              <w:ind w:left="70" w:right="142"/>
              <w:jc w:val="both"/>
              <w:rPr>
                <w:bCs/>
                <w:sz w:val="26"/>
                <w:szCs w:val="26"/>
              </w:rPr>
            </w:pPr>
            <w:r>
              <w:rPr>
                <w:bCs/>
                <w:sz w:val="26"/>
                <w:szCs w:val="26"/>
              </w:rPr>
              <w:t xml:space="preserve">Izstrādājot Noteikumus, notika plaša diskusija attiecībā uz </w:t>
            </w:r>
            <w:r w:rsidR="00B71CD7">
              <w:rPr>
                <w:bCs/>
                <w:sz w:val="26"/>
                <w:szCs w:val="26"/>
              </w:rPr>
              <w:t xml:space="preserve">piešķiramo </w:t>
            </w:r>
            <w:r>
              <w:rPr>
                <w:bCs/>
                <w:sz w:val="26"/>
                <w:szCs w:val="26"/>
              </w:rPr>
              <w:t>naudas balvu apmēr</w:t>
            </w:r>
            <w:r w:rsidR="00A74E94">
              <w:rPr>
                <w:bCs/>
                <w:sz w:val="26"/>
                <w:szCs w:val="26"/>
              </w:rPr>
              <w:t>a</w:t>
            </w:r>
            <w:r>
              <w:rPr>
                <w:bCs/>
                <w:sz w:val="26"/>
                <w:szCs w:val="26"/>
              </w:rPr>
              <w:t xml:space="preserve"> noteikšanu par sportistu ar invaliditāti sasniegumiem. Šo sporta virzienu (Paralimpiskā sporta) pārstāvošās valsts atzītās sporta organizācijas – biedrība „Latvijas Paralimpiskā komiteja” un biedrība „Latvijas Nedzirdīgo sporta federācija” – </w:t>
            </w:r>
            <w:r w:rsidR="00B71CD7">
              <w:rPr>
                <w:bCs/>
                <w:sz w:val="26"/>
                <w:szCs w:val="26"/>
              </w:rPr>
              <w:t>aicināja palielināt iepriekšējos Ministru kabineta noteikumos (</w:t>
            </w:r>
            <w:r w:rsidR="00B71CD7" w:rsidRPr="00B71CD7">
              <w:rPr>
                <w:bCs/>
                <w:sz w:val="26"/>
                <w:szCs w:val="26"/>
              </w:rPr>
              <w:t>Ministru kabineta 2005.gada 25.oktobra noteikum</w:t>
            </w:r>
            <w:r w:rsidR="00B71CD7">
              <w:rPr>
                <w:bCs/>
                <w:sz w:val="26"/>
                <w:szCs w:val="26"/>
              </w:rPr>
              <w:t>i</w:t>
            </w:r>
            <w:r w:rsidR="00B71CD7" w:rsidRPr="00B71CD7">
              <w:rPr>
                <w:bCs/>
                <w:sz w:val="26"/>
                <w:szCs w:val="26"/>
              </w:rPr>
              <w:t xml:space="preserve"> Nr.787 „Noteikumi par kārtību, kādā piešķiramas naudas balvas par izciliem sasniegumiem sportā, un naudas balvu apmēru”</w:t>
            </w:r>
            <w:r w:rsidR="00B71CD7">
              <w:rPr>
                <w:bCs/>
                <w:sz w:val="26"/>
                <w:szCs w:val="26"/>
              </w:rPr>
              <w:t xml:space="preserve">) noteikto naudas balvu apmēru, jo </w:t>
            </w:r>
            <w:r w:rsidR="002B1304">
              <w:rPr>
                <w:bCs/>
                <w:sz w:val="26"/>
                <w:szCs w:val="26"/>
              </w:rPr>
              <w:t>tobrīd noteiktais naudas balv</w:t>
            </w:r>
            <w:r w:rsidR="008716C9">
              <w:rPr>
                <w:bCs/>
                <w:sz w:val="26"/>
                <w:szCs w:val="26"/>
              </w:rPr>
              <w:t>u</w:t>
            </w:r>
            <w:r w:rsidR="002B1304">
              <w:rPr>
                <w:bCs/>
                <w:sz w:val="26"/>
                <w:szCs w:val="26"/>
              </w:rPr>
              <w:t xml:space="preserve"> apmērs par sportistu ar invaliditāti sasniegumiem salīdzinot ar pārējo sportistu sasniegumiem bija būtiski mazāks (piemēram, par sasniegumiem paralimpiskajās </w:t>
            </w:r>
            <w:r w:rsidR="00296027">
              <w:rPr>
                <w:bCs/>
                <w:sz w:val="26"/>
                <w:szCs w:val="26"/>
              </w:rPr>
              <w:t xml:space="preserve">spēlēs </w:t>
            </w:r>
            <w:r w:rsidR="002B1304">
              <w:rPr>
                <w:bCs/>
                <w:sz w:val="26"/>
                <w:szCs w:val="26"/>
              </w:rPr>
              <w:t xml:space="preserve">un nedzirdīgo spēlēs </w:t>
            </w:r>
            <w:r w:rsidR="00545B46">
              <w:t xml:space="preserve"> (</w:t>
            </w:r>
            <w:proofErr w:type="spellStart"/>
            <w:r w:rsidR="00545B46" w:rsidRPr="00545B46">
              <w:rPr>
                <w:bCs/>
                <w:i/>
                <w:sz w:val="26"/>
                <w:szCs w:val="26"/>
              </w:rPr>
              <w:t>Deaflympics</w:t>
            </w:r>
            <w:proofErr w:type="spellEnd"/>
            <w:r w:rsidR="00545B46">
              <w:rPr>
                <w:bCs/>
                <w:sz w:val="26"/>
                <w:szCs w:val="26"/>
              </w:rPr>
              <w:t>)</w:t>
            </w:r>
            <w:r w:rsidR="00545B46" w:rsidRPr="00545B46">
              <w:rPr>
                <w:bCs/>
                <w:sz w:val="26"/>
                <w:szCs w:val="26"/>
              </w:rPr>
              <w:t xml:space="preserve"> </w:t>
            </w:r>
            <w:r w:rsidR="002B1304">
              <w:rPr>
                <w:bCs/>
                <w:sz w:val="26"/>
                <w:szCs w:val="26"/>
              </w:rPr>
              <w:t xml:space="preserve">varēja piešķirt līdz 20`000 latu, savukārt par sasniegumiem olimpiskajās spēlēs – līdz </w:t>
            </w:r>
            <w:r w:rsidR="00104CF0">
              <w:rPr>
                <w:bCs/>
                <w:sz w:val="26"/>
                <w:szCs w:val="26"/>
              </w:rPr>
              <w:t>100`000 latu).</w:t>
            </w:r>
            <w:r w:rsidR="00296027">
              <w:rPr>
                <w:bCs/>
                <w:sz w:val="26"/>
                <w:szCs w:val="26"/>
              </w:rPr>
              <w:t xml:space="preserve"> Būtiski ir atzīmēt, ka arī </w:t>
            </w:r>
            <w:r w:rsidR="00296027" w:rsidRPr="00D83D16">
              <w:rPr>
                <w:bCs/>
                <w:sz w:val="26"/>
                <w:szCs w:val="26"/>
              </w:rPr>
              <w:t xml:space="preserve"> Latvijas Republikas Tiesībsargs</w:t>
            </w:r>
            <w:r w:rsidR="00296027">
              <w:rPr>
                <w:bCs/>
                <w:sz w:val="26"/>
                <w:szCs w:val="26"/>
              </w:rPr>
              <w:t xml:space="preserve">, </w:t>
            </w:r>
            <w:r w:rsidR="00D83D16" w:rsidRPr="00D83D16">
              <w:rPr>
                <w:bCs/>
                <w:sz w:val="26"/>
                <w:szCs w:val="26"/>
              </w:rPr>
              <w:t xml:space="preserve">izskatot iesniegumu par iespējamu diskrimināciju uz invaliditātes pamata saistībā ar naudas balvu piešķiršanu, </w:t>
            </w:r>
            <w:r w:rsidR="00562F4A">
              <w:rPr>
                <w:bCs/>
                <w:sz w:val="26"/>
                <w:szCs w:val="26"/>
              </w:rPr>
              <w:t xml:space="preserve">diskriminācijas faktu </w:t>
            </w:r>
            <w:r w:rsidR="00562F4A">
              <w:rPr>
                <w:bCs/>
                <w:sz w:val="26"/>
                <w:szCs w:val="26"/>
              </w:rPr>
              <w:lastRenderedPageBreak/>
              <w:t xml:space="preserve">nekonstatēja, tomēr </w:t>
            </w:r>
            <w:r w:rsidR="00F53997">
              <w:rPr>
                <w:bCs/>
                <w:sz w:val="26"/>
                <w:szCs w:val="26"/>
              </w:rPr>
              <w:t xml:space="preserve">aicināja </w:t>
            </w:r>
            <w:r w:rsidR="00D83D16" w:rsidRPr="00D83D16">
              <w:rPr>
                <w:bCs/>
                <w:sz w:val="26"/>
                <w:szCs w:val="26"/>
              </w:rPr>
              <w:t>pārvērtēt esoš</w:t>
            </w:r>
            <w:r w:rsidR="00527A71">
              <w:rPr>
                <w:bCs/>
                <w:sz w:val="26"/>
                <w:szCs w:val="26"/>
              </w:rPr>
              <w:t>o</w:t>
            </w:r>
            <w:r w:rsidR="00D83D16" w:rsidRPr="00D83D16">
              <w:rPr>
                <w:bCs/>
                <w:sz w:val="26"/>
                <w:szCs w:val="26"/>
              </w:rPr>
              <w:t xml:space="preserve"> naudas balvas piešķiršanas apjomu, palielinot </w:t>
            </w:r>
            <w:proofErr w:type="spellStart"/>
            <w:r w:rsidR="00D83D16" w:rsidRPr="00D83D16">
              <w:rPr>
                <w:bCs/>
                <w:sz w:val="26"/>
                <w:szCs w:val="26"/>
              </w:rPr>
              <w:t>paralimpiešiem</w:t>
            </w:r>
            <w:proofErr w:type="spellEnd"/>
            <w:r w:rsidR="00D83D16" w:rsidRPr="00D83D16">
              <w:rPr>
                <w:bCs/>
                <w:sz w:val="26"/>
                <w:szCs w:val="26"/>
              </w:rPr>
              <w:t xml:space="preserve"> prēmijas vismaz līdz pusei no olimpisko spēļu zelta medaļas ieguvējam piešķiramās prēmijas. Šādu aicinājumu izteica arī Invalīdu lietu nacionālā padome. </w:t>
            </w:r>
            <w:r w:rsidR="00B71B73">
              <w:rPr>
                <w:bCs/>
                <w:sz w:val="26"/>
                <w:szCs w:val="26"/>
              </w:rPr>
              <w:t xml:space="preserve">Ievērojot minēto, </w:t>
            </w:r>
            <w:r w:rsidR="000F0A05">
              <w:rPr>
                <w:bCs/>
                <w:sz w:val="26"/>
                <w:szCs w:val="26"/>
              </w:rPr>
              <w:t>izstrādājot Noteikumus, piešķiramo naudas balvu apmērs par sportistu ar invaliditāti sasniegumiem</w:t>
            </w:r>
            <w:r w:rsidR="000C128A">
              <w:rPr>
                <w:bCs/>
                <w:sz w:val="26"/>
                <w:szCs w:val="26"/>
              </w:rPr>
              <w:t xml:space="preserve"> (ne tikai paralimpiskajās un nedzirdīgo spēlēs, bet arī citās augstākā līmeņa starptautiskās sporta sacensībās)</w:t>
            </w:r>
            <w:r w:rsidR="000F0A05">
              <w:rPr>
                <w:bCs/>
                <w:sz w:val="26"/>
                <w:szCs w:val="26"/>
              </w:rPr>
              <w:t xml:space="preserve"> tika palielināts līdz pusei no pārējo sportistu sasniegumiem</w:t>
            </w:r>
            <w:r w:rsidR="00296027">
              <w:rPr>
                <w:bCs/>
                <w:sz w:val="26"/>
                <w:szCs w:val="26"/>
              </w:rPr>
              <w:t xml:space="preserve"> (piemēram, par sasniegumiem paralimpiskajās spēlēs un nedzirdīgo spēlēs paredzot naudas balvu līdz 50`000 latu).</w:t>
            </w:r>
          </w:p>
          <w:p w:rsidR="00FB72CC" w:rsidRDefault="00FB72CC" w:rsidP="002F601C">
            <w:pPr>
              <w:ind w:left="70" w:right="142"/>
              <w:jc w:val="both"/>
              <w:rPr>
                <w:bCs/>
                <w:sz w:val="26"/>
                <w:szCs w:val="26"/>
              </w:rPr>
            </w:pPr>
          </w:p>
          <w:p w:rsidR="00BD2B26" w:rsidRDefault="00FB72CC" w:rsidP="00DF50E5">
            <w:pPr>
              <w:ind w:left="70" w:right="142"/>
              <w:jc w:val="both"/>
              <w:rPr>
                <w:bCs/>
                <w:sz w:val="26"/>
                <w:szCs w:val="26"/>
              </w:rPr>
            </w:pPr>
            <w:r>
              <w:rPr>
                <w:bCs/>
                <w:sz w:val="26"/>
                <w:szCs w:val="26"/>
              </w:rPr>
              <w:t>2012.gada 12.augustā noslēdzās 2012.gada Londonas Olimpiskās spēles, kurā</w:t>
            </w:r>
            <w:r w:rsidR="000974FB">
              <w:rPr>
                <w:bCs/>
                <w:sz w:val="26"/>
                <w:szCs w:val="26"/>
              </w:rPr>
              <w:t>s</w:t>
            </w:r>
            <w:r>
              <w:rPr>
                <w:bCs/>
                <w:sz w:val="26"/>
                <w:szCs w:val="26"/>
              </w:rPr>
              <w:t xml:space="preserve"> ar teicamiem panākumiem startēja arī </w:t>
            </w:r>
            <w:r w:rsidR="00A637E2">
              <w:rPr>
                <w:bCs/>
                <w:sz w:val="26"/>
                <w:szCs w:val="26"/>
              </w:rPr>
              <w:t xml:space="preserve">Latvijas </w:t>
            </w:r>
            <w:r w:rsidR="000974FB">
              <w:rPr>
                <w:bCs/>
                <w:sz w:val="26"/>
                <w:szCs w:val="26"/>
              </w:rPr>
              <w:t>olimpieš</w:t>
            </w:r>
            <w:r w:rsidR="00482871">
              <w:rPr>
                <w:bCs/>
                <w:sz w:val="26"/>
                <w:szCs w:val="26"/>
              </w:rPr>
              <w:t>i</w:t>
            </w:r>
            <w:r w:rsidR="000974FB">
              <w:rPr>
                <w:bCs/>
                <w:sz w:val="26"/>
                <w:szCs w:val="26"/>
              </w:rPr>
              <w:t xml:space="preserve"> (Māris </w:t>
            </w:r>
            <w:proofErr w:type="spellStart"/>
            <w:r w:rsidR="000974FB">
              <w:rPr>
                <w:bCs/>
                <w:sz w:val="26"/>
                <w:szCs w:val="26"/>
              </w:rPr>
              <w:t>Štrombergs</w:t>
            </w:r>
            <w:proofErr w:type="spellEnd"/>
            <w:r w:rsidR="000974FB">
              <w:rPr>
                <w:bCs/>
                <w:sz w:val="26"/>
                <w:szCs w:val="26"/>
              </w:rPr>
              <w:t xml:space="preserve"> izcīnīja pirmo vietu BMX riteņbraukšanā, Mārtiņš </w:t>
            </w:r>
            <w:proofErr w:type="spellStart"/>
            <w:r w:rsidR="000974FB">
              <w:rPr>
                <w:bCs/>
                <w:sz w:val="26"/>
                <w:szCs w:val="26"/>
              </w:rPr>
              <w:t>Pļaviņš</w:t>
            </w:r>
            <w:proofErr w:type="spellEnd"/>
            <w:r w:rsidR="000974FB">
              <w:rPr>
                <w:bCs/>
                <w:sz w:val="26"/>
                <w:szCs w:val="26"/>
              </w:rPr>
              <w:t xml:space="preserve"> un Jānis </w:t>
            </w:r>
            <w:proofErr w:type="spellStart"/>
            <w:r w:rsidR="000974FB">
              <w:rPr>
                <w:bCs/>
                <w:sz w:val="26"/>
                <w:szCs w:val="26"/>
              </w:rPr>
              <w:t>Šmēdiņš</w:t>
            </w:r>
            <w:proofErr w:type="spellEnd"/>
            <w:r w:rsidR="000974FB">
              <w:rPr>
                <w:bCs/>
                <w:sz w:val="26"/>
                <w:szCs w:val="26"/>
              </w:rPr>
              <w:t xml:space="preserve"> izcīnīja trešo vietu pludmales volejbolā, savukārt </w:t>
            </w:r>
            <w:r w:rsidR="00236A7A">
              <w:rPr>
                <w:bCs/>
                <w:sz w:val="26"/>
                <w:szCs w:val="26"/>
              </w:rPr>
              <w:t xml:space="preserve">Ineta </w:t>
            </w:r>
            <w:proofErr w:type="spellStart"/>
            <w:r w:rsidR="00236A7A">
              <w:rPr>
                <w:bCs/>
                <w:sz w:val="26"/>
                <w:szCs w:val="26"/>
              </w:rPr>
              <w:t>Radeviča</w:t>
            </w:r>
            <w:proofErr w:type="spellEnd"/>
            <w:r w:rsidR="00236A7A">
              <w:rPr>
                <w:bCs/>
                <w:sz w:val="26"/>
                <w:szCs w:val="26"/>
              </w:rPr>
              <w:t xml:space="preserve"> izcīnīja ceturto vietu tāllēkšanā), </w:t>
            </w:r>
            <w:r w:rsidR="000974FB">
              <w:rPr>
                <w:bCs/>
                <w:sz w:val="26"/>
                <w:szCs w:val="26"/>
              </w:rPr>
              <w:t>valstu kopvērtējumā izcīnot 49 viet</w:t>
            </w:r>
            <w:r w:rsidR="00770230">
              <w:rPr>
                <w:bCs/>
                <w:sz w:val="26"/>
                <w:szCs w:val="26"/>
              </w:rPr>
              <w:t>u</w:t>
            </w:r>
            <w:r w:rsidR="000974FB">
              <w:rPr>
                <w:bCs/>
                <w:sz w:val="26"/>
                <w:szCs w:val="26"/>
              </w:rPr>
              <w:t xml:space="preserve"> (no 204)</w:t>
            </w:r>
            <w:r w:rsidR="00DF50E5">
              <w:rPr>
                <w:bCs/>
                <w:sz w:val="26"/>
                <w:szCs w:val="26"/>
              </w:rPr>
              <w:t>. 20</w:t>
            </w:r>
            <w:r w:rsidR="00BD2B26">
              <w:rPr>
                <w:bCs/>
                <w:sz w:val="26"/>
                <w:szCs w:val="26"/>
              </w:rPr>
              <w:t>12.gada 9.septembrī noslēdzās 2012.gada Londonas Paralim</w:t>
            </w:r>
            <w:r w:rsidR="0037707A">
              <w:rPr>
                <w:bCs/>
                <w:sz w:val="26"/>
                <w:szCs w:val="26"/>
              </w:rPr>
              <w:t>p</w:t>
            </w:r>
            <w:r w:rsidR="00BD2B26">
              <w:rPr>
                <w:bCs/>
                <w:sz w:val="26"/>
                <w:szCs w:val="26"/>
              </w:rPr>
              <w:t xml:space="preserve">iskās spēles, kurās ar </w:t>
            </w:r>
            <w:r>
              <w:rPr>
                <w:bCs/>
                <w:sz w:val="26"/>
                <w:szCs w:val="26"/>
              </w:rPr>
              <w:t>teicamiem</w:t>
            </w:r>
            <w:r w:rsidR="00BD2B26">
              <w:rPr>
                <w:bCs/>
                <w:sz w:val="26"/>
                <w:szCs w:val="26"/>
              </w:rPr>
              <w:t xml:space="preserve"> </w:t>
            </w:r>
            <w:r>
              <w:rPr>
                <w:bCs/>
                <w:sz w:val="26"/>
                <w:szCs w:val="26"/>
              </w:rPr>
              <w:t>panākumiem</w:t>
            </w:r>
            <w:r w:rsidR="00BD2B26">
              <w:rPr>
                <w:bCs/>
                <w:sz w:val="26"/>
                <w:szCs w:val="26"/>
              </w:rPr>
              <w:t xml:space="preserve"> startēja arī Latvijas </w:t>
            </w:r>
            <w:r>
              <w:rPr>
                <w:bCs/>
                <w:sz w:val="26"/>
                <w:szCs w:val="26"/>
              </w:rPr>
              <w:t xml:space="preserve">paralimpiskie </w:t>
            </w:r>
            <w:r w:rsidR="00BD2B26">
              <w:rPr>
                <w:bCs/>
                <w:sz w:val="26"/>
                <w:szCs w:val="26"/>
              </w:rPr>
              <w:t xml:space="preserve">sportisti (Aigars Apinis izcīnīja </w:t>
            </w:r>
            <w:r w:rsidR="00175E0B">
              <w:rPr>
                <w:bCs/>
                <w:sz w:val="26"/>
                <w:szCs w:val="26"/>
              </w:rPr>
              <w:t xml:space="preserve">pirmo vietu </w:t>
            </w:r>
            <w:r w:rsidR="00BD2B26">
              <w:rPr>
                <w:bCs/>
                <w:sz w:val="26"/>
                <w:szCs w:val="26"/>
              </w:rPr>
              <w:t xml:space="preserve">lodes grūšanā un </w:t>
            </w:r>
            <w:r w:rsidR="00175E0B">
              <w:rPr>
                <w:bCs/>
                <w:sz w:val="26"/>
                <w:szCs w:val="26"/>
              </w:rPr>
              <w:t>otro vietu</w:t>
            </w:r>
            <w:r w:rsidR="00BD2B26">
              <w:rPr>
                <w:bCs/>
                <w:sz w:val="26"/>
                <w:szCs w:val="26"/>
              </w:rPr>
              <w:t xml:space="preserve"> diska mešanā, savukārt </w:t>
            </w:r>
            <w:r w:rsidR="00BD2B26" w:rsidRPr="00BD2B26">
              <w:rPr>
                <w:bCs/>
                <w:sz w:val="26"/>
                <w:szCs w:val="26"/>
              </w:rPr>
              <w:t>Rihard</w:t>
            </w:r>
            <w:r w:rsidR="00BD2B26">
              <w:rPr>
                <w:bCs/>
                <w:sz w:val="26"/>
                <w:szCs w:val="26"/>
              </w:rPr>
              <w:t>s</w:t>
            </w:r>
            <w:r w:rsidR="00BD2B26" w:rsidRPr="00BD2B26">
              <w:rPr>
                <w:bCs/>
                <w:sz w:val="26"/>
                <w:szCs w:val="26"/>
              </w:rPr>
              <w:t xml:space="preserve"> </w:t>
            </w:r>
            <w:proofErr w:type="spellStart"/>
            <w:r w:rsidR="00BD2B26" w:rsidRPr="00BD2B26">
              <w:rPr>
                <w:bCs/>
                <w:sz w:val="26"/>
                <w:szCs w:val="26"/>
              </w:rPr>
              <w:t>Sniku</w:t>
            </w:r>
            <w:r w:rsidR="00BD2B26">
              <w:rPr>
                <w:bCs/>
                <w:sz w:val="26"/>
                <w:szCs w:val="26"/>
              </w:rPr>
              <w:t>s</w:t>
            </w:r>
            <w:proofErr w:type="spellEnd"/>
            <w:r w:rsidR="00BD2B26" w:rsidRPr="00BD2B26">
              <w:rPr>
                <w:bCs/>
                <w:sz w:val="26"/>
                <w:szCs w:val="26"/>
              </w:rPr>
              <w:t xml:space="preserve"> </w:t>
            </w:r>
            <w:r w:rsidR="00BD2B26">
              <w:rPr>
                <w:bCs/>
                <w:sz w:val="26"/>
                <w:szCs w:val="26"/>
              </w:rPr>
              <w:t xml:space="preserve">izcīnīja ceturto </w:t>
            </w:r>
            <w:r w:rsidR="00AA48B1">
              <w:rPr>
                <w:bCs/>
                <w:sz w:val="26"/>
                <w:szCs w:val="26"/>
              </w:rPr>
              <w:t xml:space="preserve">un sesto </w:t>
            </w:r>
            <w:r w:rsidR="00BD2B26">
              <w:rPr>
                <w:bCs/>
                <w:sz w:val="26"/>
                <w:szCs w:val="26"/>
              </w:rPr>
              <w:t xml:space="preserve">vietu </w:t>
            </w:r>
            <w:r w:rsidR="00BD2B26" w:rsidRPr="00BD2B26">
              <w:rPr>
                <w:bCs/>
                <w:sz w:val="26"/>
                <w:szCs w:val="26"/>
              </w:rPr>
              <w:t>jāšanas sporta iejāde</w:t>
            </w:r>
            <w:r w:rsidR="00BD2B26">
              <w:rPr>
                <w:bCs/>
                <w:sz w:val="26"/>
                <w:szCs w:val="26"/>
              </w:rPr>
              <w:t>s sacensībās)</w:t>
            </w:r>
            <w:r w:rsidR="005614BA">
              <w:rPr>
                <w:bCs/>
                <w:sz w:val="26"/>
                <w:szCs w:val="26"/>
              </w:rPr>
              <w:t>, valstu kopvērtējumā izcīnot 47 vietu</w:t>
            </w:r>
            <w:r w:rsidR="009843BA">
              <w:rPr>
                <w:bCs/>
                <w:sz w:val="26"/>
                <w:szCs w:val="26"/>
              </w:rPr>
              <w:t xml:space="preserve"> (no 164)</w:t>
            </w:r>
            <w:r w:rsidR="00BD2B26">
              <w:rPr>
                <w:bCs/>
                <w:sz w:val="26"/>
                <w:szCs w:val="26"/>
              </w:rPr>
              <w:t>.</w:t>
            </w:r>
            <w:r w:rsidR="004775B6">
              <w:rPr>
                <w:bCs/>
                <w:sz w:val="26"/>
                <w:szCs w:val="26"/>
              </w:rPr>
              <w:t xml:space="preserve"> </w:t>
            </w:r>
            <w:r w:rsidR="00B37D67">
              <w:rPr>
                <w:bCs/>
                <w:sz w:val="26"/>
                <w:szCs w:val="26"/>
              </w:rPr>
              <w:t xml:space="preserve">2013.gadā norisināsies Nedzirdīgo spēles. </w:t>
            </w:r>
            <w:r w:rsidR="00782D76">
              <w:rPr>
                <w:bCs/>
                <w:sz w:val="26"/>
                <w:szCs w:val="26"/>
              </w:rPr>
              <w:t xml:space="preserve">Šobrīd </w:t>
            </w:r>
            <w:r w:rsidR="00E50623">
              <w:rPr>
                <w:bCs/>
                <w:sz w:val="26"/>
                <w:szCs w:val="26"/>
              </w:rPr>
              <w:t xml:space="preserve">sabiedrībā ir aktualizējusies diskusija par </w:t>
            </w:r>
            <w:r w:rsidR="00E50623">
              <w:rPr>
                <w:sz w:val="26"/>
                <w:szCs w:val="26"/>
              </w:rPr>
              <w:t>valsts atšķirīgo attieksmi naudas balvu piešķiršanā par sportistu ar invaliditāti sasniegumiem</w:t>
            </w:r>
            <w:r w:rsidR="00E50623" w:rsidRPr="00BE1C59">
              <w:rPr>
                <w:sz w:val="26"/>
                <w:szCs w:val="26"/>
              </w:rPr>
              <w:t>.</w:t>
            </w:r>
          </w:p>
          <w:p w:rsidR="00746672" w:rsidRDefault="00746672" w:rsidP="00DF50E5">
            <w:pPr>
              <w:ind w:left="70" w:right="142"/>
              <w:jc w:val="both"/>
              <w:rPr>
                <w:bCs/>
                <w:sz w:val="26"/>
                <w:szCs w:val="26"/>
              </w:rPr>
            </w:pPr>
          </w:p>
          <w:p w:rsidR="005E7671" w:rsidRDefault="005E7671" w:rsidP="005E7671">
            <w:pPr>
              <w:ind w:left="70" w:right="142"/>
              <w:jc w:val="both"/>
              <w:rPr>
                <w:bCs/>
                <w:sz w:val="26"/>
                <w:szCs w:val="26"/>
              </w:rPr>
            </w:pPr>
            <w:r w:rsidRPr="00D83D16">
              <w:rPr>
                <w:bCs/>
                <w:sz w:val="26"/>
                <w:szCs w:val="26"/>
              </w:rPr>
              <w:t xml:space="preserve">Sports cilvēkiem ar invaliditāti </w:t>
            </w:r>
            <w:r>
              <w:rPr>
                <w:bCs/>
                <w:sz w:val="26"/>
                <w:szCs w:val="26"/>
              </w:rPr>
              <w:t xml:space="preserve">jeb paralimpiskais sports </w:t>
            </w:r>
            <w:r w:rsidRPr="00D83D16">
              <w:rPr>
                <w:bCs/>
                <w:sz w:val="26"/>
                <w:szCs w:val="26"/>
              </w:rPr>
              <w:t xml:space="preserve">ir viens no Latvijas sporta politikas apakšmērķiem, kas noteikts gan Sporta politikas pamatnostādnēs 2004.–2012.gadam (apstiprinātas ar Ministru kabineta 2004.gada 15.septembra rīkojumu Nr.632), gan Nacionālajā sporta attīstības programmā 2006.–2012.gadam (apstiprināta ar Ministru kabineta 2006.gada 31.oktobra rīkojumu Nr.838). </w:t>
            </w:r>
            <w:r>
              <w:rPr>
                <w:bCs/>
                <w:sz w:val="26"/>
                <w:szCs w:val="26"/>
              </w:rPr>
              <w:t>Arī jaunajās Sporta politikas pamatnostādnēs, pie kuru izstrādes šobrīd norit aktīvs darbs, paralimpiskais sports ir izvirzīts kā viens no turpmākās valsts sporta politikas virzieniem.</w:t>
            </w:r>
          </w:p>
          <w:p w:rsidR="006F43C8" w:rsidRDefault="006F43C8" w:rsidP="005E7671">
            <w:pPr>
              <w:ind w:left="70" w:right="142"/>
              <w:jc w:val="both"/>
              <w:rPr>
                <w:bCs/>
                <w:sz w:val="26"/>
                <w:szCs w:val="26"/>
              </w:rPr>
            </w:pPr>
          </w:p>
          <w:p w:rsidR="00BA008B" w:rsidRDefault="009440B5" w:rsidP="00BA008B">
            <w:pPr>
              <w:ind w:left="70" w:right="142"/>
              <w:jc w:val="both"/>
              <w:rPr>
                <w:bCs/>
                <w:sz w:val="26"/>
                <w:szCs w:val="26"/>
              </w:rPr>
            </w:pPr>
            <w:r>
              <w:rPr>
                <w:bCs/>
                <w:sz w:val="26"/>
                <w:szCs w:val="26"/>
              </w:rPr>
              <w:t xml:space="preserve">Lai gan sportisti ar invaliditāti </w:t>
            </w:r>
            <w:r w:rsidR="00BA008B" w:rsidRPr="001C00F2">
              <w:rPr>
                <w:bCs/>
                <w:sz w:val="26"/>
                <w:szCs w:val="26"/>
              </w:rPr>
              <w:t xml:space="preserve">neatrodas vienādos un salīdzināmos apstākļos </w:t>
            </w:r>
            <w:r w:rsidR="00283D8E">
              <w:rPr>
                <w:bCs/>
                <w:sz w:val="26"/>
                <w:szCs w:val="26"/>
              </w:rPr>
              <w:t xml:space="preserve">ar pārējiem sportistiem </w:t>
            </w:r>
            <w:r w:rsidR="00F73174">
              <w:rPr>
                <w:bCs/>
                <w:sz w:val="26"/>
                <w:szCs w:val="26"/>
              </w:rPr>
              <w:t>(jo objektīvu iemeslu dēļ startē atšķirīgās sporta sacensībās)</w:t>
            </w:r>
            <w:r w:rsidR="00BA008B" w:rsidRPr="001C00F2">
              <w:rPr>
                <w:bCs/>
                <w:sz w:val="26"/>
                <w:szCs w:val="26"/>
              </w:rPr>
              <w:t xml:space="preserve">, </w:t>
            </w:r>
            <w:r w:rsidR="00283D8E">
              <w:rPr>
                <w:bCs/>
                <w:sz w:val="26"/>
                <w:szCs w:val="26"/>
              </w:rPr>
              <w:t xml:space="preserve">kā rezultātā </w:t>
            </w:r>
            <w:r w:rsidR="00BA008B" w:rsidRPr="001C00F2">
              <w:rPr>
                <w:bCs/>
                <w:sz w:val="26"/>
                <w:szCs w:val="26"/>
              </w:rPr>
              <w:t xml:space="preserve">nav pamata </w:t>
            </w:r>
            <w:r w:rsidR="00BE1C59">
              <w:rPr>
                <w:bCs/>
                <w:sz w:val="26"/>
                <w:szCs w:val="26"/>
              </w:rPr>
              <w:t>uzskatīt</w:t>
            </w:r>
            <w:r w:rsidR="00BA008B" w:rsidRPr="001C00F2">
              <w:rPr>
                <w:bCs/>
                <w:sz w:val="26"/>
                <w:szCs w:val="26"/>
              </w:rPr>
              <w:t xml:space="preserve"> </w:t>
            </w:r>
            <w:r w:rsidR="00BA008B">
              <w:rPr>
                <w:bCs/>
                <w:sz w:val="26"/>
                <w:szCs w:val="26"/>
              </w:rPr>
              <w:t xml:space="preserve">esošo </w:t>
            </w:r>
            <w:r w:rsidR="00BA008B" w:rsidRPr="001C00F2">
              <w:rPr>
                <w:bCs/>
                <w:sz w:val="26"/>
                <w:szCs w:val="26"/>
              </w:rPr>
              <w:t>normatīvo regulējumu naudas balv</w:t>
            </w:r>
            <w:r w:rsidR="00BE1C59">
              <w:rPr>
                <w:bCs/>
                <w:sz w:val="26"/>
                <w:szCs w:val="26"/>
              </w:rPr>
              <w:t>u</w:t>
            </w:r>
            <w:r w:rsidR="00BA008B" w:rsidRPr="001C00F2">
              <w:rPr>
                <w:bCs/>
                <w:sz w:val="26"/>
                <w:szCs w:val="26"/>
              </w:rPr>
              <w:t xml:space="preserve"> piešķiršanā par diskriminējošu un prettiesisku</w:t>
            </w:r>
            <w:r w:rsidR="00BA008B">
              <w:rPr>
                <w:bCs/>
                <w:sz w:val="26"/>
                <w:szCs w:val="26"/>
              </w:rPr>
              <w:t>, Izglītības un zinātnes ministrija</w:t>
            </w:r>
            <w:r w:rsidR="00E50623">
              <w:rPr>
                <w:bCs/>
                <w:sz w:val="26"/>
                <w:szCs w:val="26"/>
              </w:rPr>
              <w:t xml:space="preserve"> (turpmāk </w:t>
            </w:r>
            <w:r w:rsidR="002637DF">
              <w:rPr>
                <w:bCs/>
                <w:sz w:val="26"/>
                <w:szCs w:val="26"/>
              </w:rPr>
              <w:t xml:space="preserve">arī </w:t>
            </w:r>
            <w:r w:rsidR="00E50623">
              <w:rPr>
                <w:bCs/>
                <w:sz w:val="26"/>
                <w:szCs w:val="26"/>
              </w:rPr>
              <w:t>– ministrija)</w:t>
            </w:r>
            <w:r w:rsidR="00BA008B">
              <w:rPr>
                <w:bCs/>
                <w:sz w:val="26"/>
                <w:szCs w:val="26"/>
              </w:rPr>
              <w:t xml:space="preserve">, kura </w:t>
            </w:r>
            <w:r w:rsidR="00BA008B" w:rsidRPr="005E7671">
              <w:rPr>
                <w:bCs/>
                <w:sz w:val="26"/>
                <w:szCs w:val="26"/>
              </w:rPr>
              <w:t>saskaņā ar Sporta likuma 5.panta pirmo daļu pilda valsts pārvaldes funkcijas sporta nozarē</w:t>
            </w:r>
            <w:r w:rsidR="00BA008B">
              <w:rPr>
                <w:bCs/>
                <w:sz w:val="26"/>
                <w:szCs w:val="26"/>
              </w:rPr>
              <w:t xml:space="preserve">, atkārtoti izvērtējot jautājumu par Noteikumos noteikto piešķiramo naudas balvu apmēru par sportistu ar invaliditāti sasniegumiem, </w:t>
            </w:r>
            <w:r w:rsidR="00BE1C59">
              <w:rPr>
                <w:bCs/>
                <w:sz w:val="26"/>
                <w:szCs w:val="26"/>
              </w:rPr>
              <w:t xml:space="preserve">pamatojoties uz taisnīguma principu, </w:t>
            </w:r>
            <w:r w:rsidR="00CA57B3">
              <w:rPr>
                <w:bCs/>
                <w:sz w:val="26"/>
                <w:szCs w:val="26"/>
              </w:rPr>
              <w:t>ierosina</w:t>
            </w:r>
            <w:r w:rsidR="00BA008B">
              <w:rPr>
                <w:bCs/>
                <w:sz w:val="26"/>
                <w:szCs w:val="26"/>
              </w:rPr>
              <w:t xml:space="preserve"> no piešķiramo naudas balvu apmēra viedokļa pielīdzināt </w:t>
            </w:r>
            <w:r w:rsidR="00BA008B">
              <w:rPr>
                <w:bCs/>
                <w:sz w:val="26"/>
                <w:szCs w:val="26"/>
              </w:rPr>
              <w:lastRenderedPageBreak/>
              <w:t xml:space="preserve">sportistu ar invaliditāti sasniegumus </w:t>
            </w:r>
            <w:r w:rsidR="00373926">
              <w:rPr>
                <w:bCs/>
                <w:sz w:val="26"/>
                <w:szCs w:val="26"/>
              </w:rPr>
              <w:t xml:space="preserve">sportā </w:t>
            </w:r>
            <w:r w:rsidR="00BA008B">
              <w:rPr>
                <w:bCs/>
                <w:sz w:val="26"/>
                <w:szCs w:val="26"/>
              </w:rPr>
              <w:t xml:space="preserve">tādiem sasniegumiem, kurus ir izcīnījuši sportisti bez invaliditātes, tādejādi pilnībā izslēdzot jebkādu atšķirīgas attieksmes </w:t>
            </w:r>
            <w:r w:rsidR="00BE1C59">
              <w:rPr>
                <w:bCs/>
                <w:sz w:val="26"/>
                <w:szCs w:val="26"/>
              </w:rPr>
              <w:t>iespējamību.</w:t>
            </w:r>
          </w:p>
          <w:p w:rsidR="00AE5877" w:rsidRDefault="00AE5877" w:rsidP="00BA008B">
            <w:pPr>
              <w:ind w:left="70" w:right="142"/>
              <w:jc w:val="both"/>
              <w:rPr>
                <w:bCs/>
                <w:sz w:val="26"/>
                <w:szCs w:val="26"/>
              </w:rPr>
            </w:pPr>
          </w:p>
          <w:p w:rsidR="008D3D32" w:rsidRDefault="00AE5877" w:rsidP="008D3D32">
            <w:pPr>
              <w:ind w:left="70" w:right="142"/>
              <w:jc w:val="both"/>
              <w:rPr>
                <w:bCs/>
                <w:sz w:val="26"/>
                <w:szCs w:val="26"/>
              </w:rPr>
            </w:pPr>
            <w:r>
              <w:rPr>
                <w:bCs/>
                <w:sz w:val="26"/>
                <w:szCs w:val="26"/>
              </w:rPr>
              <w:t xml:space="preserve">Papildus minētam konstatējams, ka </w:t>
            </w:r>
            <w:r w:rsidR="00545B46">
              <w:rPr>
                <w:bCs/>
                <w:sz w:val="26"/>
                <w:szCs w:val="26"/>
              </w:rPr>
              <w:t xml:space="preserve">Noteikumi šobrīd neparedz naudas balvu piešķiršanu </w:t>
            </w:r>
            <w:r w:rsidR="009E5A9C">
              <w:rPr>
                <w:bCs/>
                <w:sz w:val="26"/>
                <w:szCs w:val="26"/>
              </w:rPr>
              <w:t xml:space="preserve">sporta veida attīstības veicināšanai </w:t>
            </w:r>
            <w:r w:rsidR="00545B46">
              <w:rPr>
                <w:bCs/>
                <w:sz w:val="26"/>
                <w:szCs w:val="26"/>
              </w:rPr>
              <w:t xml:space="preserve">par vairākiem </w:t>
            </w:r>
            <w:r w:rsidR="00CA57B3">
              <w:rPr>
                <w:bCs/>
                <w:sz w:val="26"/>
                <w:szCs w:val="26"/>
              </w:rPr>
              <w:t xml:space="preserve">sportistu ar invaliditāti </w:t>
            </w:r>
            <w:r w:rsidR="009E5A9C">
              <w:rPr>
                <w:bCs/>
                <w:sz w:val="26"/>
                <w:szCs w:val="26"/>
              </w:rPr>
              <w:t xml:space="preserve">komandu sporta spēļu izlašu </w:t>
            </w:r>
            <w:r w:rsidR="00545B46">
              <w:rPr>
                <w:bCs/>
                <w:sz w:val="26"/>
                <w:szCs w:val="26"/>
              </w:rPr>
              <w:t xml:space="preserve">sasniegumiem, par kuriem </w:t>
            </w:r>
            <w:r w:rsidR="009E5A9C">
              <w:rPr>
                <w:bCs/>
                <w:sz w:val="26"/>
                <w:szCs w:val="26"/>
              </w:rPr>
              <w:t xml:space="preserve">sportistu bez invaliditātes komandu sporta spēļu izlašu </w:t>
            </w:r>
            <w:r w:rsidR="00545B46">
              <w:rPr>
                <w:bCs/>
                <w:sz w:val="26"/>
                <w:szCs w:val="26"/>
              </w:rPr>
              <w:t>sasniegumiem naudas balva</w:t>
            </w:r>
            <w:r w:rsidR="00770230">
              <w:rPr>
                <w:bCs/>
                <w:sz w:val="26"/>
                <w:szCs w:val="26"/>
              </w:rPr>
              <w:t>s</w:t>
            </w:r>
            <w:r w:rsidR="00545B46">
              <w:rPr>
                <w:bCs/>
                <w:sz w:val="26"/>
                <w:szCs w:val="26"/>
              </w:rPr>
              <w:t xml:space="preserve"> tiek paredz</w:t>
            </w:r>
            <w:r w:rsidR="009E5A9C">
              <w:rPr>
                <w:bCs/>
                <w:sz w:val="26"/>
                <w:szCs w:val="26"/>
              </w:rPr>
              <w:t>ēta</w:t>
            </w:r>
            <w:r w:rsidR="00770230">
              <w:rPr>
                <w:bCs/>
                <w:sz w:val="26"/>
                <w:szCs w:val="26"/>
              </w:rPr>
              <w:t>s</w:t>
            </w:r>
            <w:r w:rsidR="009E5A9C">
              <w:rPr>
                <w:bCs/>
                <w:sz w:val="26"/>
                <w:szCs w:val="26"/>
              </w:rPr>
              <w:t xml:space="preserve"> – par izlašu iegūtajām tiesībām startēt paralimpiskajās spēlēs, nedzirdīgo spēlēs, pasaules un Eiropas čempionātos. </w:t>
            </w:r>
            <w:r w:rsidR="005E0184">
              <w:rPr>
                <w:bCs/>
                <w:sz w:val="26"/>
                <w:szCs w:val="26"/>
              </w:rPr>
              <w:t>Tāpēc arī attiecībā uz šo jaut</w:t>
            </w:r>
            <w:r w:rsidR="00A307C1">
              <w:rPr>
                <w:bCs/>
                <w:sz w:val="26"/>
                <w:szCs w:val="26"/>
              </w:rPr>
              <w:t xml:space="preserve">ājumu ministrija, pamatojoties uz taisnīguma principu, </w:t>
            </w:r>
            <w:r w:rsidR="00CA57B3">
              <w:rPr>
                <w:bCs/>
                <w:sz w:val="26"/>
                <w:szCs w:val="26"/>
              </w:rPr>
              <w:t>ierosina</w:t>
            </w:r>
            <w:r w:rsidR="00A307C1">
              <w:rPr>
                <w:bCs/>
                <w:sz w:val="26"/>
                <w:szCs w:val="26"/>
              </w:rPr>
              <w:t xml:space="preserve"> </w:t>
            </w:r>
            <w:r w:rsidR="008D3D32">
              <w:rPr>
                <w:bCs/>
                <w:sz w:val="26"/>
                <w:szCs w:val="26"/>
              </w:rPr>
              <w:t>šo nepilnību novērst, tādejādi pilnībā izslēdzot jebkādu atšķirīgas attieksmes iespējamību.</w:t>
            </w:r>
          </w:p>
          <w:p w:rsidR="00CA57B3" w:rsidRDefault="00CA57B3" w:rsidP="008D3D32">
            <w:pPr>
              <w:ind w:left="70" w:right="142"/>
              <w:jc w:val="both"/>
              <w:rPr>
                <w:bCs/>
                <w:sz w:val="26"/>
                <w:szCs w:val="26"/>
              </w:rPr>
            </w:pPr>
          </w:p>
          <w:p w:rsidR="00902CDA" w:rsidRDefault="00902CDA" w:rsidP="008D3D32">
            <w:pPr>
              <w:ind w:left="70" w:right="142"/>
              <w:jc w:val="both"/>
              <w:rPr>
                <w:bCs/>
                <w:sz w:val="26"/>
                <w:szCs w:val="26"/>
              </w:rPr>
            </w:pPr>
          </w:p>
          <w:p w:rsidR="00902CDA" w:rsidRPr="00902CDA" w:rsidRDefault="00902CDA" w:rsidP="00902CDA">
            <w:pPr>
              <w:ind w:left="70" w:right="142"/>
              <w:jc w:val="both"/>
              <w:rPr>
                <w:sz w:val="26"/>
                <w:szCs w:val="26"/>
                <w:u w:val="single"/>
              </w:rPr>
            </w:pPr>
            <w:r w:rsidRPr="00283653">
              <w:rPr>
                <w:sz w:val="26"/>
                <w:szCs w:val="26"/>
              </w:rPr>
              <w:t xml:space="preserve">2012.gada janvārī </w:t>
            </w:r>
            <w:proofErr w:type="spellStart"/>
            <w:r w:rsidRPr="00283653">
              <w:rPr>
                <w:sz w:val="26"/>
                <w:szCs w:val="26"/>
              </w:rPr>
              <w:t>Insbrukā</w:t>
            </w:r>
            <w:proofErr w:type="spellEnd"/>
            <w:r w:rsidRPr="00283653">
              <w:rPr>
                <w:sz w:val="26"/>
                <w:szCs w:val="26"/>
              </w:rPr>
              <w:t xml:space="preserve"> (Austrija) Pasaules Jaunatnes ziemas I olimpiskajās spēlēs Latvijas jaunie sportisti izcīnīja pilnu medaļu komplektu: zeltu – Augusts Valdis </w:t>
            </w:r>
            <w:proofErr w:type="spellStart"/>
            <w:r w:rsidRPr="00283653">
              <w:rPr>
                <w:sz w:val="26"/>
                <w:szCs w:val="26"/>
              </w:rPr>
              <w:t>Vasiļonoks</w:t>
            </w:r>
            <w:proofErr w:type="spellEnd"/>
            <w:r w:rsidRPr="00283653">
              <w:rPr>
                <w:sz w:val="26"/>
                <w:szCs w:val="26"/>
              </w:rPr>
              <w:t xml:space="preserve"> hokejistu individuālo prasmju turnīrā</w:t>
            </w:r>
            <w:r w:rsidRPr="00283653">
              <w:rPr>
                <w:i/>
                <w:sz w:val="26"/>
                <w:szCs w:val="26"/>
              </w:rPr>
              <w:t>,</w:t>
            </w:r>
            <w:r>
              <w:rPr>
                <w:i/>
                <w:sz w:val="26"/>
                <w:szCs w:val="26"/>
              </w:rPr>
              <w:t xml:space="preserve"> </w:t>
            </w:r>
            <w:r w:rsidRPr="00283653">
              <w:rPr>
                <w:sz w:val="26"/>
                <w:szCs w:val="26"/>
              </w:rPr>
              <w:t xml:space="preserve">sudrabu – kamaniņu braucējs </w:t>
            </w:r>
            <w:proofErr w:type="spellStart"/>
            <w:r w:rsidRPr="00283653">
              <w:rPr>
                <w:sz w:val="26"/>
                <w:szCs w:val="26"/>
              </w:rPr>
              <w:t>Riks</w:t>
            </w:r>
            <w:proofErr w:type="spellEnd"/>
            <w:r w:rsidRPr="00283653">
              <w:rPr>
                <w:sz w:val="26"/>
                <w:szCs w:val="26"/>
              </w:rPr>
              <w:t xml:space="preserve"> </w:t>
            </w:r>
            <w:proofErr w:type="spellStart"/>
            <w:r w:rsidRPr="00283653">
              <w:rPr>
                <w:sz w:val="26"/>
                <w:szCs w:val="26"/>
              </w:rPr>
              <w:t>Kristens</w:t>
            </w:r>
            <w:proofErr w:type="spellEnd"/>
            <w:r w:rsidRPr="00283653">
              <w:rPr>
                <w:sz w:val="26"/>
                <w:szCs w:val="26"/>
              </w:rPr>
              <w:t xml:space="preserve"> </w:t>
            </w:r>
            <w:proofErr w:type="spellStart"/>
            <w:r w:rsidRPr="00283653">
              <w:rPr>
                <w:sz w:val="26"/>
                <w:szCs w:val="26"/>
              </w:rPr>
              <w:t>Rozītis</w:t>
            </w:r>
            <w:proofErr w:type="spellEnd"/>
            <w:r w:rsidRPr="00283653">
              <w:rPr>
                <w:i/>
                <w:sz w:val="26"/>
                <w:szCs w:val="26"/>
              </w:rPr>
              <w:t xml:space="preserve">, </w:t>
            </w:r>
            <w:r w:rsidRPr="00283653">
              <w:rPr>
                <w:sz w:val="26"/>
                <w:szCs w:val="26"/>
              </w:rPr>
              <w:t xml:space="preserve">bronzu – kamaniņu braucēja Ulla </w:t>
            </w:r>
            <w:proofErr w:type="spellStart"/>
            <w:r w:rsidRPr="00283653">
              <w:rPr>
                <w:sz w:val="26"/>
                <w:szCs w:val="26"/>
              </w:rPr>
              <w:t>Zirne</w:t>
            </w:r>
            <w:proofErr w:type="spellEnd"/>
            <w:r w:rsidRPr="00283653">
              <w:rPr>
                <w:i/>
                <w:sz w:val="26"/>
                <w:szCs w:val="26"/>
              </w:rPr>
              <w:t>.</w:t>
            </w:r>
          </w:p>
          <w:p w:rsidR="00902CDA" w:rsidRDefault="00902CDA" w:rsidP="002F601C">
            <w:pPr>
              <w:ind w:left="70" w:right="142"/>
              <w:jc w:val="both"/>
              <w:rPr>
                <w:rFonts w:eastAsia="Calibri"/>
                <w:sz w:val="26"/>
                <w:szCs w:val="26"/>
              </w:rPr>
            </w:pPr>
          </w:p>
          <w:p w:rsidR="00CA57B3" w:rsidRDefault="003D69DC" w:rsidP="002F601C">
            <w:pPr>
              <w:ind w:left="70" w:right="142"/>
              <w:jc w:val="both"/>
              <w:rPr>
                <w:rFonts w:eastAsia="Calibri"/>
                <w:sz w:val="26"/>
                <w:szCs w:val="26"/>
              </w:rPr>
            </w:pPr>
            <w:r w:rsidRPr="00283653">
              <w:rPr>
                <w:rFonts w:eastAsia="Calibri"/>
                <w:sz w:val="26"/>
                <w:szCs w:val="26"/>
              </w:rPr>
              <w:t>Izstrādājot Noteikumus</w:t>
            </w:r>
            <w:r w:rsidR="00EB5C84" w:rsidRPr="00283653">
              <w:rPr>
                <w:rFonts w:eastAsia="Calibri"/>
                <w:sz w:val="26"/>
                <w:szCs w:val="26"/>
              </w:rPr>
              <w:t>,</w:t>
            </w:r>
            <w:r w:rsidRPr="00283653">
              <w:rPr>
                <w:rFonts w:eastAsia="Calibri"/>
                <w:sz w:val="26"/>
                <w:szCs w:val="26"/>
              </w:rPr>
              <w:t xml:space="preserve"> </w:t>
            </w:r>
            <w:r w:rsidR="00CA57B3">
              <w:rPr>
                <w:rFonts w:eastAsia="Calibri"/>
                <w:sz w:val="26"/>
                <w:szCs w:val="26"/>
              </w:rPr>
              <w:t xml:space="preserve">to sporta sacensību kategorijā, par sasniegumiem kurās var tikt piešķirtas naudas balvas, </w:t>
            </w:r>
            <w:r w:rsidR="00402277">
              <w:rPr>
                <w:rFonts w:eastAsia="Calibri"/>
                <w:sz w:val="26"/>
                <w:szCs w:val="26"/>
              </w:rPr>
              <w:t>netika</w:t>
            </w:r>
            <w:r w:rsidR="00CA57B3">
              <w:rPr>
                <w:rFonts w:eastAsia="Calibri"/>
                <w:sz w:val="26"/>
                <w:szCs w:val="26"/>
              </w:rPr>
              <w:t xml:space="preserve"> iekļautas pasaules jaunatnes olimpiskās spēles, jo, paaugstinot kritērijus naudas balvu piešķiršanai, ministrija rosināja </w:t>
            </w:r>
            <w:r w:rsidR="00902CDA">
              <w:rPr>
                <w:rFonts w:eastAsia="Calibri"/>
                <w:sz w:val="26"/>
                <w:szCs w:val="26"/>
              </w:rPr>
              <w:t xml:space="preserve">Noteikumos </w:t>
            </w:r>
            <w:r w:rsidR="00CA57B3">
              <w:rPr>
                <w:rFonts w:eastAsia="Calibri"/>
                <w:sz w:val="26"/>
                <w:szCs w:val="26"/>
              </w:rPr>
              <w:t xml:space="preserve">iekļaut tikai tās </w:t>
            </w:r>
            <w:r w:rsidR="00902CDA">
              <w:rPr>
                <w:rFonts w:eastAsia="Calibri"/>
                <w:sz w:val="26"/>
                <w:szCs w:val="26"/>
              </w:rPr>
              <w:t xml:space="preserve">sporta </w:t>
            </w:r>
            <w:r w:rsidR="00CA57B3">
              <w:rPr>
                <w:rFonts w:eastAsia="Calibri"/>
                <w:sz w:val="26"/>
                <w:szCs w:val="26"/>
              </w:rPr>
              <w:t xml:space="preserve">sacensības, kuras paredzētas sportistiem no </w:t>
            </w:r>
            <w:r w:rsidR="00902CDA">
              <w:rPr>
                <w:rFonts w:eastAsia="Calibri"/>
                <w:sz w:val="26"/>
                <w:szCs w:val="26"/>
              </w:rPr>
              <w:t>18</w:t>
            </w:r>
            <w:r w:rsidR="00CA57B3">
              <w:rPr>
                <w:rFonts w:eastAsia="Calibri"/>
                <w:sz w:val="26"/>
                <w:szCs w:val="26"/>
              </w:rPr>
              <w:t xml:space="preserve"> gadu vecuma, savukārt </w:t>
            </w:r>
            <w:r w:rsidR="00902CDA">
              <w:rPr>
                <w:rFonts w:eastAsia="Calibri"/>
                <w:sz w:val="26"/>
                <w:szCs w:val="26"/>
              </w:rPr>
              <w:t xml:space="preserve">pasaules jaunatnes olimpiskajās spēlēs </w:t>
            </w:r>
            <w:r w:rsidR="00CA57B3">
              <w:rPr>
                <w:rFonts w:eastAsia="Calibri"/>
                <w:sz w:val="26"/>
                <w:szCs w:val="26"/>
              </w:rPr>
              <w:t>piedalās sportisti no 14 līdz 18 gadu vecumam</w:t>
            </w:r>
            <w:r w:rsidR="00902CDA">
              <w:rPr>
                <w:rFonts w:eastAsia="Calibri"/>
                <w:sz w:val="26"/>
                <w:szCs w:val="26"/>
              </w:rPr>
              <w:t>.</w:t>
            </w:r>
            <w:r w:rsidR="00402277">
              <w:rPr>
                <w:rFonts w:eastAsia="Calibri"/>
                <w:sz w:val="26"/>
                <w:szCs w:val="26"/>
              </w:rPr>
              <w:t xml:space="preserve"> Lai gan sākotnējais ministrijas izstrādātais Ministru kabineta noteikumu projekts (TA-2806) atbilstoši </w:t>
            </w:r>
            <w:r w:rsidR="00902CDA" w:rsidRPr="00902CDA">
              <w:rPr>
                <w:rFonts w:eastAsia="Calibri"/>
                <w:sz w:val="26"/>
                <w:szCs w:val="26"/>
              </w:rPr>
              <w:t>Ministru kabineta komitejas 2011.gada 12.decembra sēdē dot</w:t>
            </w:r>
            <w:r w:rsidR="00402277">
              <w:rPr>
                <w:rFonts w:eastAsia="Calibri"/>
                <w:sz w:val="26"/>
                <w:szCs w:val="26"/>
              </w:rPr>
              <w:t>am</w:t>
            </w:r>
            <w:r w:rsidR="00902CDA" w:rsidRPr="00902CDA">
              <w:rPr>
                <w:rFonts w:eastAsia="Calibri"/>
                <w:sz w:val="26"/>
                <w:szCs w:val="26"/>
              </w:rPr>
              <w:t xml:space="preserve"> uzdevum</w:t>
            </w:r>
            <w:r w:rsidR="00402277">
              <w:rPr>
                <w:rFonts w:eastAsia="Calibri"/>
                <w:sz w:val="26"/>
                <w:szCs w:val="26"/>
              </w:rPr>
              <w:t>am</w:t>
            </w:r>
            <w:r w:rsidR="00902CDA" w:rsidRPr="00902CDA">
              <w:rPr>
                <w:rFonts w:eastAsia="Calibri"/>
                <w:sz w:val="26"/>
                <w:szCs w:val="26"/>
              </w:rPr>
              <w:t xml:space="preserve"> (prot.Nr.49 4.§, 2.1.apakšpunkts)</w:t>
            </w:r>
            <w:r w:rsidR="00402277">
              <w:rPr>
                <w:rFonts w:eastAsia="Calibri"/>
                <w:sz w:val="26"/>
                <w:szCs w:val="26"/>
              </w:rPr>
              <w:t xml:space="preserve"> tika precizēts, iekļaujot sporta sacensības, kas </w:t>
            </w:r>
            <w:r w:rsidR="00402277" w:rsidRPr="00402277">
              <w:rPr>
                <w:rFonts w:eastAsia="Calibri"/>
                <w:sz w:val="26"/>
                <w:szCs w:val="26"/>
              </w:rPr>
              <w:t xml:space="preserve">paredzētas </w:t>
            </w:r>
            <w:r w:rsidR="00402277">
              <w:rPr>
                <w:rFonts w:eastAsia="Calibri"/>
                <w:sz w:val="26"/>
                <w:szCs w:val="26"/>
              </w:rPr>
              <w:t xml:space="preserve">sportistiem vecumā no 16 gadiem, pasaules jaunatnes olimpiskās spēles </w:t>
            </w:r>
            <w:r w:rsidR="007D7547">
              <w:rPr>
                <w:rFonts w:eastAsia="Calibri"/>
                <w:sz w:val="26"/>
                <w:szCs w:val="26"/>
              </w:rPr>
              <w:t>šim kritērijam neatbilda un Noteikumos iekļautas netika.</w:t>
            </w:r>
          </w:p>
          <w:p w:rsidR="00CA57B3" w:rsidRDefault="00CA57B3" w:rsidP="002F601C">
            <w:pPr>
              <w:ind w:left="70" w:right="142"/>
              <w:jc w:val="both"/>
              <w:rPr>
                <w:rFonts w:eastAsia="Calibri"/>
                <w:sz w:val="26"/>
                <w:szCs w:val="26"/>
              </w:rPr>
            </w:pPr>
          </w:p>
          <w:p w:rsidR="003E3CDF" w:rsidRDefault="009B46AF" w:rsidP="002F601C">
            <w:pPr>
              <w:ind w:left="70" w:right="142"/>
              <w:jc w:val="both"/>
              <w:rPr>
                <w:sz w:val="26"/>
                <w:szCs w:val="26"/>
              </w:rPr>
            </w:pPr>
            <w:r w:rsidRPr="00283653">
              <w:rPr>
                <w:sz w:val="26"/>
                <w:szCs w:val="26"/>
              </w:rPr>
              <w:t>Ministrijā</w:t>
            </w:r>
            <w:r w:rsidR="001743C4" w:rsidRPr="00283653">
              <w:rPr>
                <w:sz w:val="26"/>
                <w:szCs w:val="26"/>
              </w:rPr>
              <w:t xml:space="preserve"> </w:t>
            </w:r>
            <w:r w:rsidR="003E3CDF">
              <w:rPr>
                <w:sz w:val="26"/>
                <w:szCs w:val="26"/>
              </w:rPr>
              <w:t>ir</w:t>
            </w:r>
            <w:r w:rsidR="001743C4" w:rsidRPr="00283653">
              <w:rPr>
                <w:sz w:val="26"/>
                <w:szCs w:val="26"/>
              </w:rPr>
              <w:t xml:space="preserve"> </w:t>
            </w:r>
            <w:r w:rsidR="002F1247">
              <w:rPr>
                <w:sz w:val="26"/>
                <w:szCs w:val="26"/>
              </w:rPr>
              <w:t xml:space="preserve">saņemts </w:t>
            </w:r>
            <w:r w:rsidR="002F1247" w:rsidRPr="00283653">
              <w:rPr>
                <w:sz w:val="26"/>
                <w:szCs w:val="26"/>
              </w:rPr>
              <w:t xml:space="preserve"> biedrība</w:t>
            </w:r>
            <w:r w:rsidR="002F1247">
              <w:rPr>
                <w:sz w:val="26"/>
                <w:szCs w:val="26"/>
              </w:rPr>
              <w:t>s</w:t>
            </w:r>
            <w:r w:rsidR="002F1247" w:rsidRPr="00283653">
              <w:rPr>
                <w:sz w:val="26"/>
                <w:szCs w:val="26"/>
              </w:rPr>
              <w:t xml:space="preserve"> „Latvijas Hokeja federācija”</w:t>
            </w:r>
            <w:r w:rsidR="002F1247">
              <w:rPr>
                <w:sz w:val="26"/>
                <w:szCs w:val="26"/>
              </w:rPr>
              <w:t xml:space="preserve"> iesniegums </w:t>
            </w:r>
            <w:r w:rsidR="001743C4" w:rsidRPr="00283653">
              <w:rPr>
                <w:sz w:val="26"/>
                <w:szCs w:val="26"/>
              </w:rPr>
              <w:t xml:space="preserve">par naudas balvu piešķiršanu </w:t>
            </w:r>
            <w:proofErr w:type="spellStart"/>
            <w:r w:rsidR="004C2FBD">
              <w:rPr>
                <w:sz w:val="26"/>
                <w:szCs w:val="26"/>
              </w:rPr>
              <w:t>A.V.</w:t>
            </w:r>
            <w:r w:rsidR="001743C4" w:rsidRPr="00283653">
              <w:rPr>
                <w:sz w:val="26"/>
                <w:szCs w:val="26"/>
              </w:rPr>
              <w:t>Vasiļonokam</w:t>
            </w:r>
            <w:proofErr w:type="spellEnd"/>
            <w:r w:rsidR="001743C4" w:rsidRPr="00283653">
              <w:rPr>
                <w:sz w:val="26"/>
                <w:szCs w:val="26"/>
              </w:rPr>
              <w:t xml:space="preserve"> un viņa trenerim</w:t>
            </w:r>
            <w:r w:rsidR="002F1247">
              <w:rPr>
                <w:sz w:val="26"/>
                <w:szCs w:val="26"/>
              </w:rPr>
              <w:t xml:space="preserve">. </w:t>
            </w:r>
            <w:r w:rsidR="003E3CDF">
              <w:rPr>
                <w:sz w:val="26"/>
                <w:szCs w:val="26"/>
              </w:rPr>
              <w:t xml:space="preserve">Tāpat ministrijā ir saņemts </w:t>
            </w:r>
            <w:r w:rsidR="002F1247">
              <w:rPr>
                <w:sz w:val="26"/>
                <w:szCs w:val="26"/>
              </w:rPr>
              <w:t>biedrība</w:t>
            </w:r>
            <w:r w:rsidR="003E3CDF">
              <w:rPr>
                <w:sz w:val="26"/>
                <w:szCs w:val="26"/>
              </w:rPr>
              <w:t>s</w:t>
            </w:r>
            <w:r w:rsidR="002F1247">
              <w:rPr>
                <w:sz w:val="26"/>
                <w:szCs w:val="26"/>
              </w:rPr>
              <w:t xml:space="preserve"> „Latvijas Kamaniņu sporta federācija” </w:t>
            </w:r>
            <w:r w:rsidR="003E3CDF">
              <w:rPr>
                <w:sz w:val="26"/>
                <w:szCs w:val="26"/>
              </w:rPr>
              <w:t xml:space="preserve">iesniegums ar lūgumu precizēt Noteikumus, lai naudas balvas varētu tikt piešķirtas arī </w:t>
            </w:r>
            <w:proofErr w:type="spellStart"/>
            <w:r w:rsidR="003E3CDF">
              <w:rPr>
                <w:sz w:val="26"/>
                <w:szCs w:val="26"/>
              </w:rPr>
              <w:t>R.K.Rozītim</w:t>
            </w:r>
            <w:proofErr w:type="spellEnd"/>
            <w:r w:rsidR="003E3CDF">
              <w:rPr>
                <w:sz w:val="26"/>
                <w:szCs w:val="26"/>
              </w:rPr>
              <w:t xml:space="preserve"> un </w:t>
            </w:r>
            <w:proofErr w:type="spellStart"/>
            <w:r w:rsidR="003E3CDF">
              <w:rPr>
                <w:sz w:val="26"/>
                <w:szCs w:val="26"/>
              </w:rPr>
              <w:t>U.Zirn</w:t>
            </w:r>
            <w:r w:rsidR="009A6602">
              <w:rPr>
                <w:sz w:val="26"/>
                <w:szCs w:val="26"/>
              </w:rPr>
              <w:t>e</w:t>
            </w:r>
            <w:r w:rsidR="003E3CDF">
              <w:rPr>
                <w:sz w:val="26"/>
                <w:szCs w:val="26"/>
              </w:rPr>
              <w:t>i</w:t>
            </w:r>
            <w:proofErr w:type="spellEnd"/>
            <w:r w:rsidR="003E3CDF">
              <w:rPr>
                <w:sz w:val="26"/>
                <w:szCs w:val="26"/>
              </w:rPr>
              <w:t xml:space="preserve"> par sasniegumiem </w:t>
            </w:r>
            <w:r w:rsidR="003E3CDF" w:rsidRPr="00283653">
              <w:rPr>
                <w:sz w:val="26"/>
                <w:szCs w:val="26"/>
              </w:rPr>
              <w:t>Pasaules Jaunatnes ziemas I olimpiskajās spēlēs</w:t>
            </w:r>
            <w:r w:rsidR="003E3CDF">
              <w:rPr>
                <w:sz w:val="26"/>
                <w:szCs w:val="26"/>
              </w:rPr>
              <w:t>. Uzdevums ministrijai izvērtēt</w:t>
            </w:r>
            <w:r w:rsidR="003E3CDF" w:rsidRPr="00283653">
              <w:rPr>
                <w:sz w:val="26"/>
                <w:szCs w:val="26"/>
              </w:rPr>
              <w:t xml:space="preserve"> nepieciešamību grozīt </w:t>
            </w:r>
            <w:r w:rsidR="003E3CDF">
              <w:rPr>
                <w:sz w:val="26"/>
                <w:szCs w:val="26"/>
              </w:rPr>
              <w:t xml:space="preserve">Noteikumus, </w:t>
            </w:r>
            <w:r w:rsidR="003E3CDF" w:rsidRPr="00283653">
              <w:rPr>
                <w:sz w:val="26"/>
                <w:szCs w:val="26"/>
              </w:rPr>
              <w:t xml:space="preserve">iekļaujot tajos </w:t>
            </w:r>
            <w:r w:rsidR="003E3CDF">
              <w:rPr>
                <w:sz w:val="26"/>
                <w:szCs w:val="26"/>
              </w:rPr>
              <w:t>p</w:t>
            </w:r>
            <w:r w:rsidR="003E3CDF" w:rsidRPr="00283653">
              <w:rPr>
                <w:sz w:val="26"/>
                <w:szCs w:val="26"/>
              </w:rPr>
              <w:t xml:space="preserve">asaules </w:t>
            </w:r>
            <w:r w:rsidR="003E3CDF">
              <w:rPr>
                <w:sz w:val="26"/>
                <w:szCs w:val="26"/>
              </w:rPr>
              <w:t xml:space="preserve">jaunatnes olimpiskās spēles, tika ietverts arī </w:t>
            </w:r>
            <w:r w:rsidR="003E3CDF" w:rsidRPr="00283653">
              <w:rPr>
                <w:sz w:val="26"/>
                <w:szCs w:val="26"/>
              </w:rPr>
              <w:t>Ministru prezidenta V.Dombrovska</w:t>
            </w:r>
            <w:r w:rsidR="003E3CDF">
              <w:rPr>
                <w:sz w:val="26"/>
                <w:szCs w:val="26"/>
              </w:rPr>
              <w:t xml:space="preserve"> 2012.gada 20.aprīļa rezolūcijā</w:t>
            </w:r>
            <w:r w:rsidR="003E3CDF" w:rsidRPr="00283653">
              <w:rPr>
                <w:sz w:val="26"/>
                <w:szCs w:val="26"/>
              </w:rPr>
              <w:t xml:space="preserve"> Nr.20/V-937</w:t>
            </w:r>
            <w:r w:rsidR="003E3CDF">
              <w:rPr>
                <w:sz w:val="26"/>
                <w:szCs w:val="26"/>
              </w:rPr>
              <w:t>.</w:t>
            </w:r>
          </w:p>
          <w:p w:rsidR="009B46AF" w:rsidRPr="00283653" w:rsidRDefault="009B46AF" w:rsidP="002F601C">
            <w:pPr>
              <w:ind w:left="70" w:right="142"/>
              <w:jc w:val="both"/>
              <w:rPr>
                <w:sz w:val="26"/>
                <w:szCs w:val="26"/>
              </w:rPr>
            </w:pPr>
          </w:p>
          <w:p w:rsidR="002E4827" w:rsidRDefault="003E3CDF" w:rsidP="002F601C">
            <w:pPr>
              <w:ind w:left="70" w:right="142"/>
              <w:jc w:val="both"/>
              <w:rPr>
                <w:sz w:val="26"/>
                <w:szCs w:val="26"/>
              </w:rPr>
            </w:pPr>
            <w:r>
              <w:rPr>
                <w:sz w:val="26"/>
                <w:szCs w:val="26"/>
              </w:rPr>
              <w:lastRenderedPageBreak/>
              <w:t xml:space="preserve">Izskatot šo jautājumu </w:t>
            </w:r>
            <w:r w:rsidR="002637DF">
              <w:rPr>
                <w:sz w:val="26"/>
                <w:szCs w:val="26"/>
              </w:rPr>
              <w:t>P</w:t>
            </w:r>
            <w:r>
              <w:rPr>
                <w:sz w:val="26"/>
                <w:szCs w:val="26"/>
              </w:rPr>
              <w:t xml:space="preserve">adomes </w:t>
            </w:r>
            <w:r w:rsidRPr="00283653">
              <w:rPr>
                <w:rFonts w:eastAsia="Calibri"/>
                <w:sz w:val="26"/>
                <w:szCs w:val="26"/>
              </w:rPr>
              <w:t>2012.gada 14.maija sēdē</w:t>
            </w:r>
            <w:r>
              <w:rPr>
                <w:rFonts w:eastAsia="Calibri"/>
                <w:sz w:val="26"/>
                <w:szCs w:val="26"/>
              </w:rPr>
              <w:t xml:space="preserve">, tika nolemts </w:t>
            </w:r>
            <w:r w:rsidRPr="00283653">
              <w:rPr>
                <w:rFonts w:eastAsia="Calibri"/>
                <w:sz w:val="26"/>
                <w:szCs w:val="26"/>
              </w:rPr>
              <w:t xml:space="preserve">(prot. Nr. 3 7.§)  </w:t>
            </w:r>
            <w:r w:rsidR="002E4827" w:rsidRPr="00283653">
              <w:rPr>
                <w:rFonts w:eastAsia="Calibri"/>
                <w:sz w:val="26"/>
                <w:szCs w:val="26"/>
              </w:rPr>
              <w:t>aicināt ministriju</w:t>
            </w:r>
            <w:r w:rsidR="00FC7EDD" w:rsidRPr="00283653">
              <w:rPr>
                <w:rFonts w:eastAsia="Calibri"/>
                <w:sz w:val="26"/>
                <w:szCs w:val="26"/>
              </w:rPr>
              <w:t xml:space="preserve"> sagatavot grozījumus </w:t>
            </w:r>
            <w:r>
              <w:rPr>
                <w:sz w:val="26"/>
                <w:szCs w:val="26"/>
              </w:rPr>
              <w:t xml:space="preserve">Noteikumos, </w:t>
            </w:r>
            <w:r w:rsidR="002E4827" w:rsidRPr="00283653">
              <w:rPr>
                <w:sz w:val="26"/>
                <w:szCs w:val="26"/>
              </w:rPr>
              <w:t xml:space="preserve">iekļaujot tajos </w:t>
            </w:r>
            <w:r>
              <w:rPr>
                <w:sz w:val="26"/>
                <w:szCs w:val="26"/>
              </w:rPr>
              <w:t>p</w:t>
            </w:r>
            <w:r w:rsidR="002E4827" w:rsidRPr="00283653">
              <w:rPr>
                <w:sz w:val="26"/>
                <w:szCs w:val="26"/>
              </w:rPr>
              <w:t xml:space="preserve">asaules </w:t>
            </w:r>
            <w:r>
              <w:rPr>
                <w:sz w:val="26"/>
                <w:szCs w:val="26"/>
              </w:rPr>
              <w:t>j</w:t>
            </w:r>
            <w:r w:rsidR="002E4827" w:rsidRPr="00283653">
              <w:rPr>
                <w:sz w:val="26"/>
                <w:szCs w:val="26"/>
              </w:rPr>
              <w:t>aunatnes olimpiskās spēles, piešķiramās naudas b</w:t>
            </w:r>
            <w:r w:rsidR="00E641C7" w:rsidRPr="00283653">
              <w:rPr>
                <w:sz w:val="26"/>
                <w:szCs w:val="26"/>
              </w:rPr>
              <w:t>alvas maksimālo apmēru pasaules j</w:t>
            </w:r>
            <w:r w:rsidR="002E4827" w:rsidRPr="00283653">
              <w:rPr>
                <w:sz w:val="26"/>
                <w:szCs w:val="26"/>
              </w:rPr>
              <w:t>aunatnes olimpisko spēļu pirmo trīs vietu ieguvējiem nosakot kā pasaules vai Eiropas čempionātu sportistiem vecumā no 16 – 23 gadi</w:t>
            </w:r>
            <w:r>
              <w:rPr>
                <w:sz w:val="26"/>
                <w:szCs w:val="26"/>
              </w:rPr>
              <w:t>em pirmo trīs vietu ieguvējiem.</w:t>
            </w:r>
          </w:p>
          <w:p w:rsidR="003E3CDF" w:rsidRDefault="003E3CDF" w:rsidP="002F601C">
            <w:pPr>
              <w:ind w:left="70" w:right="142"/>
              <w:jc w:val="both"/>
              <w:rPr>
                <w:rFonts w:eastAsia="Calibri"/>
                <w:sz w:val="26"/>
                <w:szCs w:val="26"/>
              </w:rPr>
            </w:pPr>
          </w:p>
          <w:p w:rsidR="006D68B0" w:rsidRPr="00283653" w:rsidRDefault="003E3CDF" w:rsidP="00373926">
            <w:pPr>
              <w:ind w:left="70" w:right="142"/>
              <w:jc w:val="both"/>
              <w:rPr>
                <w:color w:val="FF0000"/>
                <w:sz w:val="26"/>
                <w:szCs w:val="26"/>
              </w:rPr>
            </w:pPr>
            <w:r>
              <w:rPr>
                <w:rFonts w:eastAsia="Calibri"/>
                <w:sz w:val="26"/>
                <w:szCs w:val="26"/>
              </w:rPr>
              <w:t xml:space="preserve">Ievērojot minēto, ministrija ir izstrādājusi </w:t>
            </w:r>
            <w:r w:rsidR="00373926">
              <w:rPr>
                <w:rFonts w:eastAsia="Calibri"/>
                <w:sz w:val="26"/>
                <w:szCs w:val="26"/>
              </w:rPr>
              <w:t>Ministru kabineta noteikumu projektu „</w:t>
            </w:r>
            <w:r w:rsidR="00BE3F71" w:rsidRPr="00283653">
              <w:rPr>
                <w:sz w:val="26"/>
                <w:szCs w:val="26"/>
              </w:rPr>
              <w:t>Grozījumi Ministru kabineta 2012.gada 3.janvāra noteikumos Nr.26 „Noteikumi par kārtību, kādā piešķiramas naudas balvas par izciliem sasniegumiem sportā, un naudas balvu apmēru</w:t>
            </w:r>
            <w:r w:rsidR="005B284F" w:rsidRPr="00283653">
              <w:rPr>
                <w:rFonts w:eastAsia="Calibri"/>
                <w:sz w:val="26"/>
                <w:szCs w:val="26"/>
              </w:rPr>
              <w:t>”</w:t>
            </w:r>
            <w:r w:rsidR="00373926">
              <w:rPr>
                <w:rFonts w:eastAsia="Calibri"/>
                <w:sz w:val="26"/>
                <w:szCs w:val="26"/>
              </w:rPr>
              <w:t xml:space="preserve">” </w:t>
            </w:r>
            <w:r w:rsidR="00CB3E8A" w:rsidRPr="00283653">
              <w:rPr>
                <w:rFonts w:eastAsia="Calibri"/>
                <w:sz w:val="26"/>
                <w:szCs w:val="26"/>
              </w:rPr>
              <w:t>(turpmāk – Projekts)</w:t>
            </w:r>
            <w:r w:rsidR="00373926">
              <w:rPr>
                <w:rFonts w:eastAsia="Calibri"/>
                <w:sz w:val="26"/>
                <w:szCs w:val="26"/>
              </w:rPr>
              <w:t>.</w:t>
            </w:r>
          </w:p>
        </w:tc>
      </w:tr>
      <w:tr w:rsidR="00680733" w:rsidRPr="00283653" w:rsidTr="00D37AC4">
        <w:trPr>
          <w:trHeight w:val="530"/>
        </w:trPr>
        <w:tc>
          <w:tcPr>
            <w:tcW w:w="572" w:type="dxa"/>
          </w:tcPr>
          <w:p w:rsidR="00680733" w:rsidRPr="00283653" w:rsidRDefault="00680733" w:rsidP="000836B2">
            <w:pPr>
              <w:pStyle w:val="naiskr"/>
              <w:spacing w:before="0" w:after="0"/>
              <w:jc w:val="center"/>
              <w:rPr>
                <w:sz w:val="26"/>
                <w:szCs w:val="26"/>
              </w:rPr>
            </w:pPr>
            <w:r w:rsidRPr="00283653">
              <w:rPr>
                <w:sz w:val="26"/>
                <w:szCs w:val="26"/>
              </w:rPr>
              <w:lastRenderedPageBreak/>
              <w:t>3.</w:t>
            </w:r>
          </w:p>
        </w:tc>
        <w:tc>
          <w:tcPr>
            <w:tcW w:w="2122" w:type="dxa"/>
          </w:tcPr>
          <w:p w:rsidR="00680733" w:rsidRPr="00283653" w:rsidRDefault="00680733" w:rsidP="00BE3C3B">
            <w:pPr>
              <w:pStyle w:val="naiskr"/>
              <w:spacing w:before="0" w:after="0"/>
              <w:ind w:left="77" w:right="71"/>
              <w:rPr>
                <w:sz w:val="26"/>
                <w:szCs w:val="26"/>
              </w:rPr>
            </w:pPr>
            <w:r w:rsidRPr="00283653">
              <w:rPr>
                <w:sz w:val="26"/>
                <w:szCs w:val="26"/>
              </w:rPr>
              <w:t>Saistītie politikas ietekmes novērtējumi un pētījumi</w:t>
            </w:r>
          </w:p>
        </w:tc>
        <w:tc>
          <w:tcPr>
            <w:tcW w:w="7655" w:type="dxa"/>
          </w:tcPr>
          <w:p w:rsidR="00680733" w:rsidRPr="00283653" w:rsidRDefault="0010379F" w:rsidP="002F601C">
            <w:pPr>
              <w:pStyle w:val="FootnoteText"/>
              <w:ind w:left="70" w:right="141"/>
              <w:rPr>
                <w:sz w:val="26"/>
                <w:szCs w:val="26"/>
              </w:rPr>
            </w:pPr>
            <w:r w:rsidRPr="00283653">
              <w:rPr>
                <w:sz w:val="26"/>
                <w:szCs w:val="26"/>
              </w:rPr>
              <w:t>Projekts šo jomu neskar</w:t>
            </w:r>
            <w:r w:rsidR="00680733" w:rsidRPr="00283653">
              <w:rPr>
                <w:sz w:val="26"/>
                <w:szCs w:val="26"/>
              </w:rPr>
              <w:t>.</w:t>
            </w:r>
          </w:p>
        </w:tc>
      </w:tr>
      <w:tr w:rsidR="00680733" w:rsidRPr="00283653" w:rsidTr="00D37AC4">
        <w:trPr>
          <w:trHeight w:val="384"/>
        </w:trPr>
        <w:tc>
          <w:tcPr>
            <w:tcW w:w="572" w:type="dxa"/>
          </w:tcPr>
          <w:p w:rsidR="00680733" w:rsidRPr="00283653" w:rsidRDefault="00680733" w:rsidP="000836B2">
            <w:pPr>
              <w:pStyle w:val="naiskr"/>
              <w:spacing w:before="0" w:after="0"/>
              <w:jc w:val="center"/>
              <w:rPr>
                <w:sz w:val="26"/>
                <w:szCs w:val="26"/>
              </w:rPr>
            </w:pPr>
            <w:r w:rsidRPr="00283653">
              <w:rPr>
                <w:sz w:val="26"/>
                <w:szCs w:val="26"/>
              </w:rPr>
              <w:t>4.</w:t>
            </w:r>
          </w:p>
        </w:tc>
        <w:tc>
          <w:tcPr>
            <w:tcW w:w="2122" w:type="dxa"/>
          </w:tcPr>
          <w:p w:rsidR="00680733" w:rsidRPr="00283653" w:rsidRDefault="00680733" w:rsidP="00BE3C3B">
            <w:pPr>
              <w:pStyle w:val="naiskr"/>
              <w:spacing w:before="0" w:after="0"/>
              <w:ind w:left="77" w:right="71"/>
              <w:rPr>
                <w:sz w:val="26"/>
                <w:szCs w:val="26"/>
              </w:rPr>
            </w:pPr>
            <w:r w:rsidRPr="00283653">
              <w:rPr>
                <w:sz w:val="26"/>
                <w:szCs w:val="26"/>
              </w:rPr>
              <w:t>Tiesiskā regulējuma mērķis un būtība</w:t>
            </w:r>
          </w:p>
        </w:tc>
        <w:tc>
          <w:tcPr>
            <w:tcW w:w="7655" w:type="dxa"/>
          </w:tcPr>
          <w:p w:rsidR="00373926" w:rsidRDefault="00373926" w:rsidP="00373926">
            <w:pPr>
              <w:tabs>
                <w:tab w:val="left" w:pos="70"/>
              </w:tabs>
              <w:ind w:left="70" w:right="141"/>
              <w:jc w:val="both"/>
              <w:rPr>
                <w:bCs/>
                <w:sz w:val="26"/>
                <w:szCs w:val="26"/>
              </w:rPr>
            </w:pPr>
            <w:r w:rsidRPr="00373926">
              <w:rPr>
                <w:rFonts w:eastAsia="Calibri"/>
                <w:sz w:val="26"/>
                <w:szCs w:val="26"/>
              </w:rPr>
              <w:t xml:space="preserve">Projekts paredz </w:t>
            </w:r>
            <w:r w:rsidRPr="00373926">
              <w:rPr>
                <w:sz w:val="26"/>
                <w:szCs w:val="26"/>
              </w:rPr>
              <w:t xml:space="preserve">pielīdzināt </w:t>
            </w:r>
            <w:r w:rsidRPr="00373926">
              <w:rPr>
                <w:rFonts w:eastAsia="Calibri"/>
                <w:sz w:val="26"/>
                <w:szCs w:val="26"/>
              </w:rPr>
              <w:t xml:space="preserve">sportistu ar invaliditāti sasniegumus tādiem sasniegumiem, kurus ir izcīnījuši sportisti bez invaliditātes, </w:t>
            </w:r>
            <w:r w:rsidR="00D434B8">
              <w:rPr>
                <w:rFonts w:eastAsia="Calibri"/>
                <w:sz w:val="26"/>
                <w:szCs w:val="26"/>
              </w:rPr>
              <w:t>nosakot</w:t>
            </w:r>
            <w:r w:rsidR="00C7043A">
              <w:rPr>
                <w:rFonts w:eastAsia="Calibri"/>
                <w:sz w:val="26"/>
                <w:szCs w:val="26"/>
              </w:rPr>
              <w:t xml:space="preserve"> </w:t>
            </w:r>
            <w:r w:rsidR="0043686A">
              <w:rPr>
                <w:rFonts w:eastAsia="Calibri"/>
                <w:sz w:val="26"/>
                <w:szCs w:val="26"/>
              </w:rPr>
              <w:t>vienādu</w:t>
            </w:r>
            <w:r w:rsidR="00C7043A">
              <w:rPr>
                <w:rFonts w:eastAsia="Calibri"/>
                <w:sz w:val="26"/>
                <w:szCs w:val="26"/>
              </w:rPr>
              <w:t xml:space="preserve"> </w:t>
            </w:r>
            <w:r w:rsidR="00E65762">
              <w:rPr>
                <w:rFonts w:eastAsia="Calibri"/>
                <w:sz w:val="26"/>
                <w:szCs w:val="26"/>
              </w:rPr>
              <w:t xml:space="preserve">maksimāli piešķiramo naudas balvas apmēru, kā arī </w:t>
            </w:r>
            <w:r w:rsidR="00C7043A">
              <w:rPr>
                <w:rFonts w:eastAsia="Calibri"/>
                <w:sz w:val="26"/>
                <w:szCs w:val="26"/>
              </w:rPr>
              <w:t xml:space="preserve">paredzot </w:t>
            </w:r>
            <w:r w:rsidR="0043686A">
              <w:rPr>
                <w:rFonts w:eastAsia="Calibri"/>
                <w:sz w:val="26"/>
                <w:szCs w:val="26"/>
              </w:rPr>
              <w:t>vienādu</w:t>
            </w:r>
            <w:r w:rsidR="00C7043A">
              <w:rPr>
                <w:rFonts w:eastAsia="Calibri"/>
                <w:sz w:val="26"/>
                <w:szCs w:val="26"/>
              </w:rPr>
              <w:t xml:space="preserve"> </w:t>
            </w:r>
            <w:r w:rsidR="00210429">
              <w:rPr>
                <w:rFonts w:eastAsia="Calibri"/>
                <w:sz w:val="26"/>
                <w:szCs w:val="26"/>
              </w:rPr>
              <w:t xml:space="preserve">iespējamo atbalstu par </w:t>
            </w:r>
            <w:r w:rsidR="00210429">
              <w:rPr>
                <w:bCs/>
                <w:sz w:val="26"/>
                <w:szCs w:val="26"/>
              </w:rPr>
              <w:t>sportistu ar invaliditāti komandu sporta spēļu izlašu sasniegumiem.</w:t>
            </w:r>
          </w:p>
          <w:p w:rsidR="00782CAF" w:rsidRDefault="00782CAF" w:rsidP="00373926">
            <w:pPr>
              <w:tabs>
                <w:tab w:val="left" w:pos="70"/>
              </w:tabs>
              <w:ind w:left="70" w:right="141"/>
              <w:jc w:val="both"/>
              <w:rPr>
                <w:bCs/>
                <w:sz w:val="26"/>
                <w:szCs w:val="26"/>
              </w:rPr>
            </w:pPr>
          </w:p>
          <w:p w:rsidR="00782CAF" w:rsidRDefault="00782CAF" w:rsidP="00373926">
            <w:pPr>
              <w:tabs>
                <w:tab w:val="left" w:pos="70"/>
              </w:tabs>
              <w:ind w:left="70" w:right="141"/>
              <w:jc w:val="both"/>
              <w:rPr>
                <w:rFonts w:eastAsia="Calibri"/>
                <w:sz w:val="26"/>
                <w:szCs w:val="26"/>
              </w:rPr>
            </w:pPr>
            <w:r>
              <w:rPr>
                <w:bCs/>
                <w:sz w:val="26"/>
                <w:szCs w:val="26"/>
              </w:rPr>
              <w:t>T</w:t>
            </w:r>
            <w:r w:rsidR="004A04C2">
              <w:rPr>
                <w:bCs/>
                <w:sz w:val="26"/>
                <w:szCs w:val="26"/>
              </w:rPr>
              <w:t>āpat P</w:t>
            </w:r>
            <w:r w:rsidR="004124BF">
              <w:rPr>
                <w:bCs/>
                <w:sz w:val="26"/>
                <w:szCs w:val="26"/>
              </w:rPr>
              <w:t xml:space="preserve">rojekts paredz </w:t>
            </w:r>
            <w:r w:rsidR="00157D40">
              <w:rPr>
                <w:bCs/>
                <w:sz w:val="26"/>
                <w:szCs w:val="26"/>
              </w:rPr>
              <w:t xml:space="preserve">iekļaut </w:t>
            </w:r>
            <w:r w:rsidR="00AE7EAA">
              <w:rPr>
                <w:rFonts w:eastAsia="Calibri"/>
                <w:sz w:val="26"/>
                <w:szCs w:val="26"/>
              </w:rPr>
              <w:t>p</w:t>
            </w:r>
            <w:r w:rsidR="00157D40">
              <w:rPr>
                <w:rFonts w:eastAsia="Calibri"/>
                <w:sz w:val="26"/>
                <w:szCs w:val="26"/>
              </w:rPr>
              <w:t>asaules jaunatnes olimpiskās spēles</w:t>
            </w:r>
            <w:r w:rsidR="00AE7EAA">
              <w:rPr>
                <w:rFonts w:eastAsia="Calibri"/>
                <w:sz w:val="26"/>
                <w:szCs w:val="26"/>
              </w:rPr>
              <w:t xml:space="preserve"> to sporta sacensību sarakstā, par sasniegumiem kurās Ministru kabinets var piešķirt naudas balvas</w:t>
            </w:r>
            <w:r w:rsidR="00D434B8">
              <w:rPr>
                <w:rFonts w:eastAsia="Calibri"/>
                <w:sz w:val="26"/>
                <w:szCs w:val="26"/>
              </w:rPr>
              <w:t xml:space="preserve">, piešķiramās naudas balvas apmēru nosakot </w:t>
            </w:r>
            <w:r w:rsidR="00D434B8">
              <w:t xml:space="preserve"> </w:t>
            </w:r>
            <w:r w:rsidR="00D434B8" w:rsidRPr="00D434B8">
              <w:rPr>
                <w:rFonts w:eastAsia="Calibri"/>
                <w:sz w:val="26"/>
                <w:szCs w:val="26"/>
              </w:rPr>
              <w:t xml:space="preserve">kā </w:t>
            </w:r>
            <w:r w:rsidR="00A34832">
              <w:rPr>
                <w:rFonts w:eastAsia="Calibri"/>
                <w:sz w:val="26"/>
                <w:szCs w:val="26"/>
              </w:rPr>
              <w:t xml:space="preserve">par sasniegumiem </w:t>
            </w:r>
            <w:r w:rsidR="00D434B8" w:rsidRPr="00D434B8">
              <w:rPr>
                <w:rFonts w:eastAsia="Calibri"/>
                <w:sz w:val="26"/>
                <w:szCs w:val="26"/>
              </w:rPr>
              <w:t>pasa</w:t>
            </w:r>
            <w:r w:rsidR="00A34832">
              <w:rPr>
                <w:rFonts w:eastAsia="Calibri"/>
                <w:sz w:val="26"/>
                <w:szCs w:val="26"/>
              </w:rPr>
              <w:t>ules vai Eiropas čempionātā</w:t>
            </w:r>
            <w:r w:rsidR="00D434B8" w:rsidRPr="00D434B8">
              <w:rPr>
                <w:rFonts w:eastAsia="Calibri"/>
                <w:sz w:val="26"/>
                <w:szCs w:val="26"/>
              </w:rPr>
              <w:t xml:space="preserve"> </w:t>
            </w:r>
            <w:r w:rsidR="00D434B8">
              <w:rPr>
                <w:rFonts w:eastAsia="Calibri"/>
                <w:sz w:val="26"/>
                <w:szCs w:val="26"/>
              </w:rPr>
              <w:t xml:space="preserve">(olimpiskajos sporta veidos) </w:t>
            </w:r>
            <w:r w:rsidR="00D434B8" w:rsidRPr="00D434B8">
              <w:rPr>
                <w:rFonts w:eastAsia="Calibri"/>
                <w:sz w:val="26"/>
                <w:szCs w:val="26"/>
              </w:rPr>
              <w:t>sportistiem vecumā no 16 – 23 gadiem.</w:t>
            </w:r>
          </w:p>
          <w:p w:rsidR="00D434B8" w:rsidRDefault="00D434B8" w:rsidP="00373926">
            <w:pPr>
              <w:tabs>
                <w:tab w:val="left" w:pos="70"/>
              </w:tabs>
              <w:ind w:left="70" w:right="141"/>
              <w:jc w:val="both"/>
              <w:rPr>
                <w:rFonts w:eastAsia="Calibri"/>
                <w:sz w:val="26"/>
                <w:szCs w:val="26"/>
              </w:rPr>
            </w:pPr>
          </w:p>
          <w:p w:rsidR="005453FD" w:rsidRPr="00283653" w:rsidRDefault="00290722" w:rsidP="00770230">
            <w:pPr>
              <w:tabs>
                <w:tab w:val="left" w:pos="70"/>
              </w:tabs>
              <w:ind w:left="70" w:right="141"/>
              <w:jc w:val="both"/>
              <w:rPr>
                <w:b/>
                <w:sz w:val="26"/>
                <w:szCs w:val="26"/>
              </w:rPr>
            </w:pPr>
            <w:r>
              <w:rPr>
                <w:bCs/>
                <w:sz w:val="26"/>
                <w:szCs w:val="26"/>
              </w:rPr>
              <w:t>Ņemot vērā to, ka saskaņā ar Noteikumu 5.punktu iesniegumi par</w:t>
            </w:r>
            <w:r w:rsidRPr="00290722">
              <w:rPr>
                <w:bCs/>
                <w:sz w:val="26"/>
                <w:szCs w:val="26"/>
              </w:rPr>
              <w:t xml:space="preserve"> sasniegumiem, kas gūti </w:t>
            </w:r>
            <w:r>
              <w:rPr>
                <w:bCs/>
                <w:sz w:val="26"/>
                <w:szCs w:val="26"/>
              </w:rPr>
              <w:t>l</w:t>
            </w:r>
            <w:r w:rsidRPr="00290722">
              <w:rPr>
                <w:bCs/>
                <w:sz w:val="26"/>
                <w:szCs w:val="26"/>
              </w:rPr>
              <w:t xml:space="preserve">aikposmā no iepriekšējā gada 1.oktobra </w:t>
            </w:r>
            <w:r>
              <w:rPr>
                <w:bCs/>
                <w:sz w:val="26"/>
                <w:szCs w:val="26"/>
              </w:rPr>
              <w:t xml:space="preserve">līdz kārtējā gada 30.septembrim, ministrijā iesniedzami līdz </w:t>
            </w:r>
            <w:r w:rsidRPr="00290722">
              <w:rPr>
                <w:bCs/>
                <w:sz w:val="26"/>
                <w:szCs w:val="26"/>
              </w:rPr>
              <w:t>kārtējā gada 15.oktobrim</w:t>
            </w:r>
            <w:r>
              <w:rPr>
                <w:bCs/>
                <w:sz w:val="26"/>
                <w:szCs w:val="26"/>
              </w:rPr>
              <w:t xml:space="preserve">, </w:t>
            </w:r>
            <w:r w:rsidR="00FF70EA">
              <w:rPr>
                <w:bCs/>
                <w:sz w:val="26"/>
                <w:szCs w:val="26"/>
              </w:rPr>
              <w:t xml:space="preserve">kā rezultātā Ministru kabinets </w:t>
            </w:r>
            <w:r w:rsidR="00331BBF">
              <w:rPr>
                <w:bCs/>
                <w:sz w:val="26"/>
                <w:szCs w:val="26"/>
              </w:rPr>
              <w:t xml:space="preserve">jautājumu </w:t>
            </w:r>
            <w:r w:rsidR="00FF70EA">
              <w:rPr>
                <w:bCs/>
                <w:sz w:val="26"/>
                <w:szCs w:val="26"/>
              </w:rPr>
              <w:t xml:space="preserve">par naudas balvu piešķiršanu pēc </w:t>
            </w:r>
            <w:r w:rsidR="002637DF">
              <w:rPr>
                <w:bCs/>
                <w:sz w:val="26"/>
                <w:szCs w:val="26"/>
              </w:rPr>
              <w:t>P</w:t>
            </w:r>
            <w:r w:rsidR="00FF70EA">
              <w:rPr>
                <w:bCs/>
                <w:sz w:val="26"/>
                <w:szCs w:val="26"/>
              </w:rPr>
              <w:t xml:space="preserve">adomes priekšlikuma izskata </w:t>
            </w:r>
            <w:r w:rsidR="00331BBF">
              <w:rPr>
                <w:bCs/>
                <w:sz w:val="26"/>
                <w:szCs w:val="26"/>
              </w:rPr>
              <w:t xml:space="preserve">laikposmā līdz attiecīgā gada beigām (šogad – līdz 2012.gada beigām), </w:t>
            </w:r>
            <w:r w:rsidR="00D961CD">
              <w:rPr>
                <w:bCs/>
                <w:sz w:val="26"/>
                <w:szCs w:val="26"/>
              </w:rPr>
              <w:t xml:space="preserve">Projektā iekļautās normas būs attiecināmas arī uz sasniegumiem </w:t>
            </w:r>
            <w:r w:rsidR="00B145CF">
              <w:rPr>
                <w:bCs/>
                <w:sz w:val="26"/>
                <w:szCs w:val="26"/>
              </w:rPr>
              <w:t xml:space="preserve">2012.gada Londonas Paralimpiskajās spēlēs un </w:t>
            </w:r>
            <w:r w:rsidR="00C73C9D">
              <w:rPr>
                <w:bCs/>
                <w:sz w:val="26"/>
                <w:szCs w:val="26"/>
              </w:rPr>
              <w:t xml:space="preserve"> </w:t>
            </w:r>
            <w:r w:rsidR="00B145CF" w:rsidRPr="00283653">
              <w:rPr>
                <w:sz w:val="26"/>
                <w:szCs w:val="26"/>
              </w:rPr>
              <w:t>2012.gada Pasaules Jaunatnes ziemas I olimpiskajās spēlēs</w:t>
            </w:r>
            <w:r w:rsidR="00AC16A4">
              <w:rPr>
                <w:sz w:val="26"/>
                <w:szCs w:val="26"/>
              </w:rPr>
              <w:t>.</w:t>
            </w:r>
            <w:r w:rsidR="00AC16A4" w:rsidRPr="00283653">
              <w:rPr>
                <w:b/>
                <w:sz w:val="26"/>
                <w:szCs w:val="26"/>
              </w:rPr>
              <w:t xml:space="preserve"> </w:t>
            </w:r>
          </w:p>
        </w:tc>
      </w:tr>
      <w:tr w:rsidR="00680733" w:rsidRPr="00283653" w:rsidTr="00D37AC4">
        <w:trPr>
          <w:trHeight w:val="476"/>
        </w:trPr>
        <w:tc>
          <w:tcPr>
            <w:tcW w:w="572" w:type="dxa"/>
          </w:tcPr>
          <w:p w:rsidR="00680733" w:rsidRPr="00283653" w:rsidRDefault="00680733" w:rsidP="000836B2">
            <w:pPr>
              <w:pStyle w:val="naiskr"/>
              <w:spacing w:before="0" w:after="0"/>
              <w:jc w:val="center"/>
              <w:rPr>
                <w:sz w:val="26"/>
                <w:szCs w:val="26"/>
              </w:rPr>
            </w:pPr>
            <w:r w:rsidRPr="00283653">
              <w:rPr>
                <w:sz w:val="26"/>
                <w:szCs w:val="26"/>
              </w:rPr>
              <w:t>5.</w:t>
            </w:r>
          </w:p>
        </w:tc>
        <w:tc>
          <w:tcPr>
            <w:tcW w:w="2122" w:type="dxa"/>
          </w:tcPr>
          <w:p w:rsidR="00680733" w:rsidRPr="00283653" w:rsidRDefault="00680733" w:rsidP="00BE3C3B">
            <w:pPr>
              <w:pStyle w:val="naiskr"/>
              <w:spacing w:before="0" w:after="0"/>
              <w:ind w:left="77" w:right="71"/>
              <w:rPr>
                <w:sz w:val="26"/>
                <w:szCs w:val="26"/>
              </w:rPr>
            </w:pPr>
            <w:r w:rsidRPr="00283653">
              <w:rPr>
                <w:sz w:val="26"/>
                <w:szCs w:val="26"/>
              </w:rPr>
              <w:t>Projekta izstrādē iesaistītās institūcijas</w:t>
            </w:r>
          </w:p>
        </w:tc>
        <w:tc>
          <w:tcPr>
            <w:tcW w:w="7655" w:type="dxa"/>
          </w:tcPr>
          <w:p w:rsidR="00AC16A4" w:rsidRPr="00C2362E" w:rsidRDefault="00AC16A4" w:rsidP="002F601C">
            <w:pPr>
              <w:pStyle w:val="NoSpacing"/>
              <w:ind w:left="70" w:right="141"/>
              <w:jc w:val="both"/>
              <w:rPr>
                <w:rFonts w:ascii="Times New Roman" w:hAnsi="Times New Roman"/>
                <w:sz w:val="26"/>
                <w:szCs w:val="26"/>
              </w:rPr>
            </w:pPr>
            <w:r w:rsidRPr="00C2362E">
              <w:rPr>
                <w:rFonts w:ascii="Times New Roman" w:hAnsi="Times New Roman"/>
                <w:sz w:val="26"/>
                <w:szCs w:val="26"/>
              </w:rPr>
              <w:t xml:space="preserve">Jautājums par Projektā iekļautajām normām attiecībā uz sportistu ar invaliditāti naudas balvu apmēru </w:t>
            </w:r>
            <w:r w:rsidR="003939DD" w:rsidRPr="00C2362E">
              <w:rPr>
                <w:rFonts w:ascii="Times New Roman" w:hAnsi="Times New Roman"/>
                <w:sz w:val="26"/>
                <w:szCs w:val="26"/>
              </w:rPr>
              <w:t xml:space="preserve">pārrunāts </w:t>
            </w:r>
            <w:r w:rsidR="00C2362E" w:rsidRPr="00C2362E">
              <w:rPr>
                <w:rFonts w:ascii="Times New Roman" w:hAnsi="Times New Roman"/>
                <w:sz w:val="26"/>
                <w:szCs w:val="26"/>
              </w:rPr>
              <w:t>starp izglītības un zinātnes ministru</w:t>
            </w:r>
            <w:r w:rsidR="00BE0350">
              <w:rPr>
                <w:rFonts w:ascii="Times New Roman" w:hAnsi="Times New Roman"/>
                <w:sz w:val="26"/>
                <w:szCs w:val="26"/>
              </w:rPr>
              <w:t xml:space="preserve"> R.Ķīli</w:t>
            </w:r>
            <w:r w:rsidR="00C2362E" w:rsidRPr="00C2362E">
              <w:rPr>
                <w:rFonts w:ascii="Times New Roman" w:hAnsi="Times New Roman"/>
                <w:sz w:val="26"/>
                <w:szCs w:val="26"/>
              </w:rPr>
              <w:t>, labklājības ministr</w:t>
            </w:r>
            <w:r w:rsidR="00BE0350">
              <w:rPr>
                <w:rFonts w:ascii="Times New Roman" w:hAnsi="Times New Roman"/>
                <w:sz w:val="26"/>
                <w:szCs w:val="26"/>
              </w:rPr>
              <w:t xml:space="preserve">i </w:t>
            </w:r>
            <w:proofErr w:type="spellStart"/>
            <w:r w:rsidR="00BE0350">
              <w:rPr>
                <w:rFonts w:ascii="Times New Roman" w:hAnsi="Times New Roman"/>
                <w:sz w:val="26"/>
                <w:szCs w:val="26"/>
              </w:rPr>
              <w:t>I.Viņķeli</w:t>
            </w:r>
            <w:proofErr w:type="spellEnd"/>
            <w:r w:rsidR="00C2362E" w:rsidRPr="00C2362E">
              <w:rPr>
                <w:rFonts w:ascii="Times New Roman" w:hAnsi="Times New Roman"/>
                <w:sz w:val="26"/>
                <w:szCs w:val="26"/>
              </w:rPr>
              <w:t xml:space="preserve"> un finanšu ministru</w:t>
            </w:r>
            <w:r w:rsidR="00BE0350">
              <w:rPr>
                <w:rFonts w:ascii="Times New Roman" w:hAnsi="Times New Roman"/>
                <w:sz w:val="26"/>
                <w:szCs w:val="26"/>
              </w:rPr>
              <w:t xml:space="preserve"> </w:t>
            </w:r>
            <w:proofErr w:type="spellStart"/>
            <w:r w:rsidR="00BE0350">
              <w:rPr>
                <w:rFonts w:ascii="Times New Roman" w:hAnsi="Times New Roman"/>
                <w:sz w:val="26"/>
                <w:szCs w:val="26"/>
              </w:rPr>
              <w:t>A.Vilku</w:t>
            </w:r>
            <w:proofErr w:type="spellEnd"/>
            <w:r w:rsidR="00C2362E" w:rsidRPr="00C2362E">
              <w:rPr>
                <w:rFonts w:ascii="Times New Roman" w:hAnsi="Times New Roman"/>
                <w:sz w:val="26"/>
                <w:szCs w:val="26"/>
              </w:rPr>
              <w:t>.</w:t>
            </w:r>
          </w:p>
          <w:p w:rsidR="00C2362E" w:rsidRPr="00C2362E" w:rsidRDefault="00C2362E" w:rsidP="002F601C">
            <w:pPr>
              <w:pStyle w:val="NoSpacing"/>
              <w:ind w:left="70" w:right="141"/>
              <w:jc w:val="both"/>
              <w:rPr>
                <w:rFonts w:ascii="Times New Roman" w:hAnsi="Times New Roman"/>
                <w:sz w:val="26"/>
                <w:szCs w:val="26"/>
              </w:rPr>
            </w:pPr>
          </w:p>
          <w:p w:rsidR="00680733" w:rsidRPr="00AC16A4" w:rsidRDefault="00C2362E" w:rsidP="002637DF">
            <w:pPr>
              <w:pStyle w:val="NoSpacing"/>
              <w:ind w:left="70" w:right="141"/>
              <w:jc w:val="both"/>
            </w:pPr>
            <w:r w:rsidRPr="00C2362E">
              <w:rPr>
                <w:rFonts w:ascii="Times New Roman" w:hAnsi="Times New Roman"/>
                <w:sz w:val="26"/>
                <w:szCs w:val="26"/>
              </w:rPr>
              <w:t xml:space="preserve">Jautājums </w:t>
            </w:r>
            <w:r>
              <w:rPr>
                <w:rFonts w:ascii="Times New Roman" w:hAnsi="Times New Roman"/>
                <w:sz w:val="26"/>
                <w:szCs w:val="26"/>
              </w:rPr>
              <w:t xml:space="preserve">par </w:t>
            </w:r>
            <w:r w:rsidR="00BE0350" w:rsidRPr="00BE0350">
              <w:rPr>
                <w:rFonts w:ascii="Times New Roman" w:hAnsi="Times New Roman"/>
                <w:sz w:val="26"/>
                <w:szCs w:val="26"/>
              </w:rPr>
              <w:t>pasaules jaunatnes olimpisko spēļu iekļaušanu to sporta sacensību sarakstā, par sasniegumiem kurās Ministru kabinets var piešķirt naudas balvas</w:t>
            </w:r>
            <w:r w:rsidR="00BE0350">
              <w:rPr>
                <w:rFonts w:ascii="Times New Roman" w:hAnsi="Times New Roman"/>
                <w:sz w:val="26"/>
                <w:szCs w:val="26"/>
              </w:rPr>
              <w:t xml:space="preserve">, izskatīts </w:t>
            </w:r>
            <w:r w:rsidR="002637DF">
              <w:rPr>
                <w:rFonts w:ascii="Times New Roman" w:hAnsi="Times New Roman"/>
                <w:sz w:val="26"/>
                <w:szCs w:val="26"/>
              </w:rPr>
              <w:t>P</w:t>
            </w:r>
            <w:r w:rsidR="00A80207" w:rsidRPr="00C2362E">
              <w:rPr>
                <w:rFonts w:ascii="Times New Roman" w:hAnsi="Times New Roman"/>
                <w:sz w:val="26"/>
                <w:szCs w:val="26"/>
              </w:rPr>
              <w:t>adome</w:t>
            </w:r>
            <w:r w:rsidR="00BE0350">
              <w:rPr>
                <w:rFonts w:ascii="Times New Roman" w:hAnsi="Times New Roman"/>
                <w:sz w:val="26"/>
                <w:szCs w:val="26"/>
              </w:rPr>
              <w:t xml:space="preserve">s </w:t>
            </w:r>
            <w:r w:rsidR="00BE0350" w:rsidRPr="00BE0350">
              <w:rPr>
                <w:rFonts w:ascii="Times New Roman" w:hAnsi="Times New Roman"/>
                <w:sz w:val="26"/>
                <w:szCs w:val="26"/>
              </w:rPr>
              <w:t xml:space="preserve">2012.gada 14.maija sēdē </w:t>
            </w:r>
            <w:r w:rsidR="00BE0350" w:rsidRPr="00BE0350">
              <w:rPr>
                <w:rFonts w:ascii="Times New Roman" w:hAnsi="Times New Roman"/>
                <w:sz w:val="26"/>
                <w:szCs w:val="26"/>
              </w:rPr>
              <w:lastRenderedPageBreak/>
              <w:t>(prot. Nr. 3 7.§)</w:t>
            </w:r>
            <w:r w:rsidR="00BE0350">
              <w:rPr>
                <w:rFonts w:ascii="Times New Roman" w:hAnsi="Times New Roman"/>
                <w:sz w:val="26"/>
                <w:szCs w:val="26"/>
              </w:rPr>
              <w:t>.</w:t>
            </w:r>
          </w:p>
        </w:tc>
      </w:tr>
      <w:tr w:rsidR="00680733" w:rsidRPr="00283653" w:rsidTr="00D37AC4">
        <w:trPr>
          <w:trHeight w:val="557"/>
        </w:trPr>
        <w:tc>
          <w:tcPr>
            <w:tcW w:w="572" w:type="dxa"/>
          </w:tcPr>
          <w:p w:rsidR="00680733" w:rsidRPr="00283653" w:rsidRDefault="00680733" w:rsidP="000836B2">
            <w:pPr>
              <w:pStyle w:val="naiskr"/>
              <w:spacing w:before="0" w:after="0"/>
              <w:jc w:val="center"/>
              <w:rPr>
                <w:sz w:val="26"/>
                <w:szCs w:val="26"/>
              </w:rPr>
            </w:pPr>
            <w:r w:rsidRPr="00283653">
              <w:rPr>
                <w:sz w:val="26"/>
                <w:szCs w:val="26"/>
              </w:rPr>
              <w:lastRenderedPageBreak/>
              <w:t>6.</w:t>
            </w:r>
          </w:p>
        </w:tc>
        <w:tc>
          <w:tcPr>
            <w:tcW w:w="2122" w:type="dxa"/>
          </w:tcPr>
          <w:p w:rsidR="00680733" w:rsidRPr="00283653" w:rsidRDefault="00680733" w:rsidP="00BE3C3B">
            <w:pPr>
              <w:pStyle w:val="naiskr"/>
              <w:spacing w:before="0" w:after="0"/>
              <w:ind w:left="77" w:right="71"/>
              <w:rPr>
                <w:i/>
                <w:sz w:val="26"/>
                <w:szCs w:val="26"/>
                <w:highlight w:val="yellow"/>
              </w:rPr>
            </w:pPr>
            <w:r w:rsidRPr="00283653">
              <w:rPr>
                <w:sz w:val="26"/>
                <w:szCs w:val="26"/>
              </w:rPr>
              <w:t>Iemesli, kādēļ netika nodrošināta sabiedrības līdzdalība</w:t>
            </w:r>
          </w:p>
        </w:tc>
        <w:tc>
          <w:tcPr>
            <w:tcW w:w="7655" w:type="dxa"/>
          </w:tcPr>
          <w:p w:rsidR="00680733" w:rsidRPr="00283653" w:rsidRDefault="0010379F" w:rsidP="002F601C">
            <w:pPr>
              <w:pStyle w:val="FootnoteText"/>
              <w:ind w:left="70" w:right="141"/>
              <w:jc w:val="both"/>
              <w:rPr>
                <w:sz w:val="26"/>
                <w:szCs w:val="26"/>
              </w:rPr>
            </w:pPr>
            <w:r w:rsidRPr="00283653">
              <w:rPr>
                <w:sz w:val="26"/>
                <w:szCs w:val="26"/>
              </w:rPr>
              <w:t>Projekts šo jomu neskar</w:t>
            </w:r>
            <w:r w:rsidR="000E0ECD" w:rsidRPr="00283653">
              <w:rPr>
                <w:sz w:val="26"/>
                <w:szCs w:val="26"/>
              </w:rPr>
              <w:t>.</w:t>
            </w:r>
          </w:p>
        </w:tc>
      </w:tr>
      <w:tr w:rsidR="00680733" w:rsidRPr="00283653" w:rsidTr="00D37AC4">
        <w:tc>
          <w:tcPr>
            <w:tcW w:w="572" w:type="dxa"/>
          </w:tcPr>
          <w:p w:rsidR="00680733" w:rsidRPr="00283653" w:rsidRDefault="00680733" w:rsidP="000836B2">
            <w:pPr>
              <w:pStyle w:val="naiskr"/>
              <w:spacing w:before="0" w:after="0"/>
              <w:jc w:val="center"/>
              <w:rPr>
                <w:sz w:val="26"/>
                <w:szCs w:val="26"/>
              </w:rPr>
            </w:pPr>
            <w:r w:rsidRPr="00283653">
              <w:rPr>
                <w:sz w:val="26"/>
                <w:szCs w:val="26"/>
              </w:rPr>
              <w:t>7.</w:t>
            </w:r>
          </w:p>
        </w:tc>
        <w:tc>
          <w:tcPr>
            <w:tcW w:w="2122" w:type="dxa"/>
          </w:tcPr>
          <w:p w:rsidR="00680733" w:rsidRPr="00283653" w:rsidRDefault="00680733" w:rsidP="00BE3C3B">
            <w:pPr>
              <w:pStyle w:val="naiskr"/>
              <w:spacing w:before="0" w:after="0"/>
              <w:ind w:left="77" w:right="71"/>
              <w:rPr>
                <w:sz w:val="26"/>
                <w:szCs w:val="26"/>
              </w:rPr>
            </w:pPr>
            <w:r w:rsidRPr="00283653">
              <w:rPr>
                <w:sz w:val="26"/>
                <w:szCs w:val="26"/>
              </w:rPr>
              <w:t>Cita informācija</w:t>
            </w:r>
          </w:p>
        </w:tc>
        <w:tc>
          <w:tcPr>
            <w:tcW w:w="7655" w:type="dxa"/>
          </w:tcPr>
          <w:p w:rsidR="00680733" w:rsidRDefault="00281951" w:rsidP="002F601C">
            <w:pPr>
              <w:pStyle w:val="naiskr"/>
              <w:spacing w:before="0" w:after="0"/>
              <w:ind w:left="70" w:right="141"/>
              <w:rPr>
                <w:sz w:val="26"/>
                <w:szCs w:val="26"/>
              </w:rPr>
            </w:pPr>
            <w:r w:rsidRPr="00283653">
              <w:rPr>
                <w:sz w:val="26"/>
                <w:szCs w:val="26"/>
              </w:rPr>
              <w:t xml:space="preserve">Projekts </w:t>
            </w:r>
            <w:r w:rsidR="006B0E49" w:rsidRPr="00283653">
              <w:rPr>
                <w:sz w:val="26"/>
                <w:szCs w:val="26"/>
              </w:rPr>
              <w:t>attiecas  uz tūrisma, sporta un brīvā laika politiku.</w:t>
            </w:r>
          </w:p>
          <w:p w:rsidR="00BE0350" w:rsidRPr="00283653" w:rsidRDefault="00BE0350" w:rsidP="002F601C">
            <w:pPr>
              <w:pStyle w:val="naiskr"/>
              <w:spacing w:before="0" w:after="0"/>
              <w:ind w:left="70" w:right="141"/>
              <w:rPr>
                <w:sz w:val="26"/>
                <w:szCs w:val="26"/>
              </w:rPr>
            </w:pPr>
            <w:r>
              <w:rPr>
                <w:sz w:val="26"/>
                <w:szCs w:val="26"/>
              </w:rPr>
              <w:t xml:space="preserve"> </w:t>
            </w:r>
          </w:p>
        </w:tc>
      </w:tr>
    </w:tbl>
    <w:p w:rsidR="00680733" w:rsidRDefault="00680733" w:rsidP="00680733">
      <w:pPr>
        <w:spacing w:line="270" w:lineRule="atLeast"/>
        <w:rPr>
          <w:rStyle w:val="apple-style-span"/>
          <w:color w:val="000000"/>
          <w:sz w:val="26"/>
          <w:szCs w:val="26"/>
        </w:rPr>
      </w:pPr>
    </w:p>
    <w:tbl>
      <w:tblPr>
        <w:tblpPr w:leftFromText="180" w:rightFromText="180" w:vertAnchor="text" w:horzAnchor="margin" w:tblpXSpec="center" w:tblpY="149"/>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353"/>
      </w:tblGrid>
      <w:tr w:rsidR="0077589E" w:rsidRPr="0012460A" w:rsidTr="0077589E">
        <w:tc>
          <w:tcPr>
            <w:tcW w:w="10353" w:type="dxa"/>
            <w:vAlign w:val="center"/>
          </w:tcPr>
          <w:p w:rsidR="0077589E" w:rsidRPr="0012460A" w:rsidRDefault="0077589E" w:rsidP="00B4436A">
            <w:pPr>
              <w:pStyle w:val="naisnod"/>
              <w:spacing w:before="0" w:after="0"/>
              <w:rPr>
                <w:sz w:val="26"/>
                <w:szCs w:val="26"/>
              </w:rPr>
            </w:pPr>
            <w:r w:rsidRPr="0012460A">
              <w:rPr>
                <w:sz w:val="26"/>
                <w:szCs w:val="26"/>
              </w:rPr>
              <w:t>II. Tiesību akta projekta ietekme uz sabiedrību</w:t>
            </w:r>
          </w:p>
        </w:tc>
      </w:tr>
      <w:tr w:rsidR="0077589E" w:rsidRPr="0012460A" w:rsidTr="0077589E">
        <w:tc>
          <w:tcPr>
            <w:tcW w:w="10353" w:type="dxa"/>
            <w:vAlign w:val="center"/>
          </w:tcPr>
          <w:p w:rsidR="0077589E" w:rsidRPr="0012460A" w:rsidRDefault="0077589E" w:rsidP="00B4436A">
            <w:pPr>
              <w:pStyle w:val="naisnod"/>
              <w:spacing w:before="0" w:after="0"/>
              <w:rPr>
                <w:sz w:val="26"/>
                <w:szCs w:val="26"/>
              </w:rPr>
            </w:pPr>
            <w:r w:rsidRPr="0012460A">
              <w:rPr>
                <w:b w:val="0"/>
                <w:sz w:val="26"/>
                <w:szCs w:val="26"/>
              </w:rPr>
              <w:t>Nav attiecināms</w:t>
            </w:r>
          </w:p>
        </w:tc>
      </w:tr>
    </w:tbl>
    <w:p w:rsidR="0077589E" w:rsidRPr="0012460A" w:rsidRDefault="0077589E" w:rsidP="0077589E">
      <w:pPr>
        <w:pStyle w:val="naisf"/>
        <w:spacing w:before="0" w:after="0"/>
        <w:rPr>
          <w:sz w:val="26"/>
          <w:szCs w:val="26"/>
        </w:rPr>
      </w:pPr>
    </w:p>
    <w:tbl>
      <w:tblPr>
        <w:tblW w:w="10313" w:type="dxa"/>
        <w:jc w:val="center"/>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1194"/>
        <w:gridCol w:w="1509"/>
        <w:gridCol w:w="1507"/>
        <w:gridCol w:w="1507"/>
        <w:gridCol w:w="1698"/>
      </w:tblGrid>
      <w:tr w:rsidR="0077589E" w:rsidRPr="0012460A" w:rsidTr="0077589E">
        <w:trPr>
          <w:trHeight w:val="652"/>
          <w:jc w:val="center"/>
        </w:trPr>
        <w:tc>
          <w:tcPr>
            <w:tcW w:w="10313" w:type="dxa"/>
            <w:gridSpan w:val="6"/>
          </w:tcPr>
          <w:p w:rsidR="0077589E" w:rsidRPr="0012460A" w:rsidRDefault="0077589E" w:rsidP="00B4436A">
            <w:pPr>
              <w:pStyle w:val="naisnod"/>
              <w:spacing w:before="0" w:after="0"/>
              <w:rPr>
                <w:i/>
                <w:sz w:val="26"/>
                <w:szCs w:val="26"/>
              </w:rPr>
            </w:pPr>
            <w:r w:rsidRPr="0012460A">
              <w:rPr>
                <w:sz w:val="26"/>
                <w:szCs w:val="26"/>
              </w:rPr>
              <w:br w:type="page"/>
              <w:t>III. Tiesību akta projekta ietekme uz valsts budžetu un pašvaldību budžetiem</w:t>
            </w:r>
          </w:p>
        </w:tc>
      </w:tr>
      <w:tr w:rsidR="0077589E" w:rsidRPr="0012460A" w:rsidTr="0077589E">
        <w:trPr>
          <w:jc w:val="center"/>
        </w:trPr>
        <w:tc>
          <w:tcPr>
            <w:tcW w:w="2898" w:type="dxa"/>
            <w:vMerge w:val="restart"/>
            <w:vAlign w:val="center"/>
          </w:tcPr>
          <w:p w:rsidR="0077589E" w:rsidRPr="0012460A" w:rsidRDefault="0077589E" w:rsidP="00B4436A">
            <w:pPr>
              <w:pStyle w:val="naisf"/>
              <w:spacing w:before="0" w:after="0"/>
              <w:ind w:firstLine="0"/>
              <w:jc w:val="center"/>
              <w:rPr>
                <w:b/>
                <w:sz w:val="26"/>
                <w:szCs w:val="26"/>
              </w:rPr>
            </w:pPr>
            <w:r w:rsidRPr="0012460A">
              <w:rPr>
                <w:b/>
                <w:sz w:val="26"/>
                <w:szCs w:val="26"/>
              </w:rPr>
              <w:t>Rādītāji</w:t>
            </w:r>
          </w:p>
        </w:tc>
        <w:tc>
          <w:tcPr>
            <w:tcW w:w="2703" w:type="dxa"/>
            <w:gridSpan w:val="2"/>
            <w:vMerge w:val="restart"/>
            <w:vAlign w:val="center"/>
          </w:tcPr>
          <w:p w:rsidR="0077589E" w:rsidRPr="0012460A" w:rsidRDefault="0077589E" w:rsidP="00B4436A">
            <w:pPr>
              <w:pStyle w:val="naisf"/>
              <w:spacing w:before="0" w:after="0"/>
              <w:ind w:firstLine="0"/>
              <w:jc w:val="center"/>
              <w:rPr>
                <w:b/>
                <w:sz w:val="26"/>
                <w:szCs w:val="26"/>
              </w:rPr>
            </w:pPr>
            <w:r w:rsidRPr="0012460A">
              <w:rPr>
                <w:b/>
                <w:sz w:val="26"/>
                <w:szCs w:val="26"/>
              </w:rPr>
              <w:t>2012.gads</w:t>
            </w:r>
          </w:p>
        </w:tc>
        <w:tc>
          <w:tcPr>
            <w:tcW w:w="4712" w:type="dxa"/>
            <w:gridSpan w:val="3"/>
            <w:vAlign w:val="center"/>
          </w:tcPr>
          <w:p w:rsidR="0077589E" w:rsidRPr="0012460A" w:rsidRDefault="0077589E" w:rsidP="00B4436A">
            <w:pPr>
              <w:pStyle w:val="naisf"/>
              <w:spacing w:before="0" w:after="0"/>
              <w:ind w:firstLine="0"/>
              <w:jc w:val="center"/>
              <w:rPr>
                <w:b/>
                <w:i/>
                <w:sz w:val="26"/>
                <w:szCs w:val="26"/>
              </w:rPr>
            </w:pPr>
            <w:r w:rsidRPr="0012460A">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12460A">
                <w:rPr>
                  <w:sz w:val="26"/>
                  <w:szCs w:val="26"/>
                </w:rPr>
                <w:t>. latu</w:t>
              </w:r>
            </w:smartTag>
            <w:r w:rsidRPr="0012460A">
              <w:rPr>
                <w:sz w:val="26"/>
                <w:szCs w:val="26"/>
              </w:rPr>
              <w:t>)</w:t>
            </w:r>
          </w:p>
        </w:tc>
      </w:tr>
      <w:tr w:rsidR="0077589E" w:rsidRPr="0012460A" w:rsidTr="0077589E">
        <w:trPr>
          <w:jc w:val="center"/>
        </w:trPr>
        <w:tc>
          <w:tcPr>
            <w:tcW w:w="2898" w:type="dxa"/>
            <w:vMerge/>
            <w:vAlign w:val="center"/>
          </w:tcPr>
          <w:p w:rsidR="0077589E" w:rsidRPr="0012460A" w:rsidRDefault="0077589E" w:rsidP="00B4436A">
            <w:pPr>
              <w:pStyle w:val="naisf"/>
              <w:spacing w:before="0" w:after="0"/>
              <w:ind w:firstLine="0"/>
              <w:jc w:val="center"/>
              <w:rPr>
                <w:b/>
                <w:i/>
                <w:sz w:val="26"/>
                <w:szCs w:val="26"/>
              </w:rPr>
            </w:pPr>
          </w:p>
        </w:tc>
        <w:tc>
          <w:tcPr>
            <w:tcW w:w="2703" w:type="dxa"/>
            <w:gridSpan w:val="2"/>
            <w:vMerge/>
            <w:vAlign w:val="center"/>
          </w:tcPr>
          <w:p w:rsidR="0077589E" w:rsidRPr="0012460A" w:rsidRDefault="0077589E" w:rsidP="00B4436A">
            <w:pPr>
              <w:pStyle w:val="naisf"/>
              <w:spacing w:before="0" w:after="0"/>
              <w:ind w:firstLine="0"/>
              <w:jc w:val="center"/>
              <w:rPr>
                <w:b/>
                <w:i/>
                <w:sz w:val="26"/>
                <w:szCs w:val="26"/>
              </w:rPr>
            </w:pPr>
          </w:p>
        </w:tc>
        <w:tc>
          <w:tcPr>
            <w:tcW w:w="1507" w:type="dxa"/>
            <w:vAlign w:val="center"/>
          </w:tcPr>
          <w:p w:rsidR="0077589E" w:rsidRPr="0012460A" w:rsidRDefault="0077589E" w:rsidP="00B4436A">
            <w:pPr>
              <w:pStyle w:val="naisf"/>
              <w:spacing w:before="0" w:after="0"/>
              <w:ind w:firstLine="0"/>
              <w:jc w:val="center"/>
              <w:rPr>
                <w:b/>
                <w:i/>
                <w:sz w:val="26"/>
                <w:szCs w:val="26"/>
              </w:rPr>
            </w:pPr>
            <w:r w:rsidRPr="0012460A">
              <w:rPr>
                <w:b/>
                <w:bCs/>
                <w:sz w:val="26"/>
                <w:szCs w:val="26"/>
              </w:rPr>
              <w:t>2013</w:t>
            </w:r>
          </w:p>
        </w:tc>
        <w:tc>
          <w:tcPr>
            <w:tcW w:w="1507" w:type="dxa"/>
            <w:vAlign w:val="center"/>
          </w:tcPr>
          <w:p w:rsidR="0077589E" w:rsidRPr="0012460A" w:rsidRDefault="0077589E" w:rsidP="00B4436A">
            <w:pPr>
              <w:pStyle w:val="naisf"/>
              <w:spacing w:before="0" w:after="0"/>
              <w:ind w:firstLine="0"/>
              <w:jc w:val="center"/>
              <w:rPr>
                <w:b/>
                <w:i/>
                <w:sz w:val="26"/>
                <w:szCs w:val="26"/>
              </w:rPr>
            </w:pPr>
            <w:r w:rsidRPr="0012460A">
              <w:rPr>
                <w:b/>
                <w:bCs/>
                <w:sz w:val="26"/>
                <w:szCs w:val="26"/>
              </w:rPr>
              <w:t>2014</w:t>
            </w:r>
          </w:p>
        </w:tc>
        <w:tc>
          <w:tcPr>
            <w:tcW w:w="1698" w:type="dxa"/>
            <w:vAlign w:val="center"/>
          </w:tcPr>
          <w:p w:rsidR="0077589E" w:rsidRPr="0012460A" w:rsidRDefault="0077589E" w:rsidP="00B4436A">
            <w:pPr>
              <w:pStyle w:val="naisf"/>
              <w:spacing w:before="0" w:after="0"/>
              <w:ind w:firstLine="0"/>
              <w:jc w:val="center"/>
              <w:rPr>
                <w:b/>
                <w:i/>
                <w:sz w:val="26"/>
                <w:szCs w:val="26"/>
              </w:rPr>
            </w:pPr>
            <w:r w:rsidRPr="0012460A">
              <w:rPr>
                <w:b/>
                <w:bCs/>
                <w:sz w:val="26"/>
                <w:szCs w:val="26"/>
              </w:rPr>
              <w:t>2015</w:t>
            </w:r>
          </w:p>
        </w:tc>
      </w:tr>
      <w:tr w:rsidR="0077589E" w:rsidRPr="0012460A" w:rsidTr="0077589E">
        <w:trPr>
          <w:jc w:val="center"/>
        </w:trPr>
        <w:tc>
          <w:tcPr>
            <w:tcW w:w="2898" w:type="dxa"/>
            <w:vMerge/>
            <w:vAlign w:val="center"/>
          </w:tcPr>
          <w:p w:rsidR="0077589E" w:rsidRPr="0012460A" w:rsidRDefault="0077589E" w:rsidP="00B4436A">
            <w:pPr>
              <w:pStyle w:val="naisf"/>
              <w:spacing w:before="0" w:after="0"/>
              <w:ind w:firstLine="0"/>
              <w:jc w:val="center"/>
              <w:rPr>
                <w:b/>
                <w:i/>
                <w:sz w:val="26"/>
                <w:szCs w:val="26"/>
              </w:rPr>
            </w:pPr>
          </w:p>
        </w:tc>
        <w:tc>
          <w:tcPr>
            <w:tcW w:w="1194" w:type="dxa"/>
            <w:vAlign w:val="center"/>
          </w:tcPr>
          <w:p w:rsidR="0077589E" w:rsidRPr="0012460A" w:rsidRDefault="0077589E" w:rsidP="00B4436A">
            <w:pPr>
              <w:pStyle w:val="naisf"/>
              <w:spacing w:before="0" w:after="0"/>
              <w:ind w:firstLine="0"/>
              <w:jc w:val="center"/>
              <w:rPr>
                <w:b/>
                <w:i/>
                <w:sz w:val="26"/>
                <w:szCs w:val="26"/>
              </w:rPr>
            </w:pPr>
            <w:r w:rsidRPr="0012460A">
              <w:rPr>
                <w:sz w:val="26"/>
                <w:szCs w:val="26"/>
              </w:rPr>
              <w:t>Saskaņā ar valsts budžetu kārtējam gadam</w:t>
            </w:r>
          </w:p>
        </w:tc>
        <w:tc>
          <w:tcPr>
            <w:tcW w:w="1509" w:type="dxa"/>
            <w:vAlign w:val="center"/>
          </w:tcPr>
          <w:p w:rsidR="0077589E" w:rsidRPr="0012460A" w:rsidRDefault="0077589E" w:rsidP="00B4436A">
            <w:pPr>
              <w:pStyle w:val="naisf"/>
              <w:spacing w:before="0" w:after="0"/>
              <w:ind w:firstLine="0"/>
              <w:jc w:val="center"/>
              <w:rPr>
                <w:b/>
                <w:i/>
                <w:sz w:val="26"/>
                <w:szCs w:val="26"/>
              </w:rPr>
            </w:pPr>
            <w:r w:rsidRPr="0012460A">
              <w:rPr>
                <w:sz w:val="26"/>
                <w:szCs w:val="26"/>
              </w:rPr>
              <w:t>Izmaiņas kārtējā gadā, salīdzinot ar budžetu kārtējam gadam</w:t>
            </w:r>
          </w:p>
        </w:tc>
        <w:tc>
          <w:tcPr>
            <w:tcW w:w="1507" w:type="dxa"/>
            <w:vAlign w:val="center"/>
          </w:tcPr>
          <w:p w:rsidR="0077589E" w:rsidRPr="0012460A" w:rsidRDefault="0077589E" w:rsidP="00B4436A">
            <w:pPr>
              <w:pStyle w:val="naisf"/>
              <w:spacing w:before="0" w:after="0"/>
              <w:ind w:firstLine="0"/>
              <w:jc w:val="center"/>
              <w:rPr>
                <w:sz w:val="26"/>
                <w:szCs w:val="26"/>
              </w:rPr>
            </w:pPr>
            <w:r w:rsidRPr="0012460A">
              <w:rPr>
                <w:sz w:val="26"/>
                <w:szCs w:val="26"/>
              </w:rPr>
              <w:t>Izmaiņas, salīdzinot ar kārtējo (2012)</w:t>
            </w:r>
          </w:p>
          <w:p w:rsidR="0077589E" w:rsidRPr="0012460A" w:rsidRDefault="0077589E" w:rsidP="00B4436A">
            <w:pPr>
              <w:pStyle w:val="naisf"/>
              <w:spacing w:before="0" w:after="0"/>
              <w:ind w:firstLine="0"/>
              <w:jc w:val="center"/>
              <w:rPr>
                <w:b/>
                <w:i/>
                <w:sz w:val="26"/>
                <w:szCs w:val="26"/>
              </w:rPr>
            </w:pPr>
            <w:r w:rsidRPr="0012460A">
              <w:rPr>
                <w:sz w:val="26"/>
                <w:szCs w:val="26"/>
              </w:rPr>
              <w:t>gadu</w:t>
            </w:r>
          </w:p>
        </w:tc>
        <w:tc>
          <w:tcPr>
            <w:tcW w:w="1507" w:type="dxa"/>
            <w:vAlign w:val="center"/>
          </w:tcPr>
          <w:p w:rsidR="0077589E" w:rsidRPr="0012460A" w:rsidRDefault="0077589E" w:rsidP="00B4436A">
            <w:pPr>
              <w:pStyle w:val="naisf"/>
              <w:spacing w:before="0" w:after="0"/>
              <w:ind w:firstLine="0"/>
              <w:jc w:val="center"/>
              <w:rPr>
                <w:sz w:val="26"/>
                <w:szCs w:val="26"/>
              </w:rPr>
            </w:pPr>
            <w:r w:rsidRPr="0012460A">
              <w:rPr>
                <w:sz w:val="26"/>
                <w:szCs w:val="26"/>
              </w:rPr>
              <w:t>Izmaiņas, salīdzinot ar kārtējo (2012)</w:t>
            </w:r>
          </w:p>
          <w:p w:rsidR="0077589E" w:rsidRPr="0012460A" w:rsidRDefault="0077589E" w:rsidP="00B4436A">
            <w:pPr>
              <w:pStyle w:val="naisf"/>
              <w:spacing w:before="0" w:after="0"/>
              <w:ind w:firstLine="0"/>
              <w:jc w:val="center"/>
              <w:rPr>
                <w:b/>
                <w:i/>
                <w:sz w:val="26"/>
                <w:szCs w:val="26"/>
              </w:rPr>
            </w:pPr>
            <w:r w:rsidRPr="0012460A">
              <w:rPr>
                <w:sz w:val="26"/>
                <w:szCs w:val="26"/>
              </w:rPr>
              <w:t>gadu</w:t>
            </w:r>
          </w:p>
        </w:tc>
        <w:tc>
          <w:tcPr>
            <w:tcW w:w="1698" w:type="dxa"/>
            <w:vAlign w:val="center"/>
          </w:tcPr>
          <w:p w:rsidR="0077589E" w:rsidRPr="0012460A" w:rsidRDefault="0077589E" w:rsidP="00B4436A">
            <w:pPr>
              <w:pStyle w:val="naisf"/>
              <w:spacing w:before="0" w:after="0"/>
              <w:ind w:firstLine="0"/>
              <w:jc w:val="center"/>
              <w:rPr>
                <w:sz w:val="26"/>
                <w:szCs w:val="26"/>
              </w:rPr>
            </w:pPr>
            <w:r w:rsidRPr="0012460A">
              <w:rPr>
                <w:sz w:val="26"/>
                <w:szCs w:val="26"/>
              </w:rPr>
              <w:t>Izmaiņas, salīdzinot ar kārtējo (2012)</w:t>
            </w:r>
          </w:p>
          <w:p w:rsidR="0077589E" w:rsidRPr="0012460A" w:rsidRDefault="0077589E" w:rsidP="00B4436A">
            <w:pPr>
              <w:pStyle w:val="naisf"/>
              <w:spacing w:before="0" w:after="0"/>
              <w:ind w:firstLine="0"/>
              <w:jc w:val="center"/>
              <w:rPr>
                <w:b/>
                <w:i/>
                <w:sz w:val="26"/>
                <w:szCs w:val="26"/>
              </w:rPr>
            </w:pPr>
            <w:r w:rsidRPr="0012460A">
              <w:rPr>
                <w:sz w:val="26"/>
                <w:szCs w:val="26"/>
              </w:rPr>
              <w:t>gadu</w:t>
            </w:r>
          </w:p>
        </w:tc>
      </w:tr>
      <w:tr w:rsidR="0077589E" w:rsidRPr="0012460A" w:rsidTr="0077589E">
        <w:trPr>
          <w:jc w:val="center"/>
        </w:trPr>
        <w:tc>
          <w:tcPr>
            <w:tcW w:w="2898"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1</w:t>
            </w:r>
          </w:p>
        </w:tc>
        <w:tc>
          <w:tcPr>
            <w:tcW w:w="1194"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2</w:t>
            </w:r>
          </w:p>
        </w:tc>
        <w:tc>
          <w:tcPr>
            <w:tcW w:w="1509"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3</w:t>
            </w:r>
          </w:p>
        </w:tc>
        <w:tc>
          <w:tcPr>
            <w:tcW w:w="1507"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4</w:t>
            </w:r>
          </w:p>
        </w:tc>
        <w:tc>
          <w:tcPr>
            <w:tcW w:w="1507"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5</w:t>
            </w:r>
          </w:p>
        </w:tc>
        <w:tc>
          <w:tcPr>
            <w:tcW w:w="1698" w:type="dxa"/>
            <w:vAlign w:val="center"/>
          </w:tcPr>
          <w:p w:rsidR="0077589E" w:rsidRPr="0012460A" w:rsidRDefault="0077589E" w:rsidP="00B4436A">
            <w:pPr>
              <w:pStyle w:val="naisf"/>
              <w:spacing w:before="0" w:after="0"/>
              <w:ind w:firstLine="0"/>
              <w:jc w:val="center"/>
              <w:rPr>
                <w:bCs/>
                <w:sz w:val="26"/>
                <w:szCs w:val="26"/>
              </w:rPr>
            </w:pPr>
            <w:r w:rsidRPr="0012460A">
              <w:rPr>
                <w:bCs/>
                <w:sz w:val="26"/>
                <w:szCs w:val="26"/>
              </w:rPr>
              <w:t>6</w:t>
            </w:r>
          </w:p>
        </w:tc>
      </w:tr>
      <w:tr w:rsidR="0077589E" w:rsidRPr="0012460A" w:rsidTr="0077589E">
        <w:trPr>
          <w:jc w:val="center"/>
        </w:trPr>
        <w:tc>
          <w:tcPr>
            <w:tcW w:w="2898" w:type="dxa"/>
          </w:tcPr>
          <w:p w:rsidR="0077589E" w:rsidRPr="0012460A" w:rsidRDefault="0077589E" w:rsidP="00B4436A">
            <w:pPr>
              <w:pStyle w:val="naisf"/>
              <w:spacing w:before="0" w:after="0"/>
              <w:ind w:firstLine="0"/>
              <w:rPr>
                <w:i/>
                <w:sz w:val="26"/>
                <w:szCs w:val="26"/>
              </w:rPr>
            </w:pPr>
            <w:r w:rsidRPr="0012460A">
              <w:rPr>
                <w:sz w:val="26"/>
                <w:szCs w:val="26"/>
              </w:rPr>
              <w:t>1. Budžeta ieņēmumi:</w:t>
            </w:r>
          </w:p>
        </w:tc>
        <w:tc>
          <w:tcPr>
            <w:tcW w:w="1194" w:type="dxa"/>
          </w:tcPr>
          <w:p w:rsidR="0077589E" w:rsidRPr="0012460A" w:rsidRDefault="0077589E" w:rsidP="00B4436A">
            <w:pPr>
              <w:pStyle w:val="naisf"/>
              <w:spacing w:before="0" w:after="0"/>
              <w:ind w:firstLine="0"/>
              <w:jc w:val="center"/>
              <w:rPr>
                <w:b/>
                <w:sz w:val="26"/>
                <w:szCs w:val="26"/>
              </w:rPr>
            </w:pPr>
            <w:r>
              <w:rPr>
                <w:b/>
                <w:sz w:val="26"/>
                <w:szCs w:val="26"/>
              </w:rPr>
              <w:t>0</w:t>
            </w:r>
          </w:p>
        </w:tc>
        <w:tc>
          <w:tcPr>
            <w:tcW w:w="1509" w:type="dxa"/>
          </w:tcPr>
          <w:p w:rsidR="0077589E" w:rsidRPr="0012460A" w:rsidRDefault="0077589E" w:rsidP="00B4436A">
            <w:pPr>
              <w:pStyle w:val="naisf"/>
              <w:spacing w:before="0" w:after="0"/>
              <w:ind w:firstLine="0"/>
              <w:jc w:val="center"/>
              <w:rPr>
                <w:b/>
                <w:sz w:val="26"/>
                <w:szCs w:val="26"/>
              </w:rPr>
            </w:pPr>
            <w:r w:rsidRPr="0012460A">
              <w:rPr>
                <w:b/>
                <w:sz w:val="26"/>
                <w:szCs w:val="26"/>
              </w:rPr>
              <w:t>0</w:t>
            </w:r>
          </w:p>
        </w:tc>
        <w:tc>
          <w:tcPr>
            <w:tcW w:w="1507"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c>
          <w:tcPr>
            <w:tcW w:w="1507"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c>
          <w:tcPr>
            <w:tcW w:w="1698"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r>
      <w:tr w:rsidR="0077589E" w:rsidRPr="0012460A" w:rsidTr="0077589E">
        <w:trPr>
          <w:trHeight w:val="1403"/>
          <w:jc w:val="center"/>
        </w:trPr>
        <w:tc>
          <w:tcPr>
            <w:tcW w:w="2898" w:type="dxa"/>
          </w:tcPr>
          <w:p w:rsidR="0077589E" w:rsidRPr="0012460A" w:rsidRDefault="0077589E" w:rsidP="00B4436A">
            <w:pPr>
              <w:pStyle w:val="naisf"/>
              <w:spacing w:before="0" w:after="0"/>
              <w:ind w:firstLine="0"/>
              <w:rPr>
                <w:i/>
                <w:sz w:val="26"/>
                <w:szCs w:val="26"/>
              </w:rPr>
            </w:pPr>
            <w:r w:rsidRPr="0012460A">
              <w:rPr>
                <w:sz w:val="26"/>
                <w:szCs w:val="26"/>
              </w:rPr>
              <w:t>1.1. valsts pamatbudžets, tai skaitā ieņēmumi no maksas pakalpojumiem un citi pašu ieņēmumi</w:t>
            </w:r>
          </w:p>
        </w:tc>
        <w:tc>
          <w:tcPr>
            <w:tcW w:w="1194" w:type="dxa"/>
          </w:tcPr>
          <w:p w:rsidR="0077589E" w:rsidRPr="0012460A" w:rsidRDefault="0077589E" w:rsidP="00B4436A">
            <w:pPr>
              <w:pStyle w:val="naisf"/>
              <w:spacing w:before="0" w:after="0"/>
              <w:ind w:firstLine="0"/>
              <w:jc w:val="center"/>
              <w:rPr>
                <w:i/>
                <w:sz w:val="26"/>
                <w:szCs w:val="26"/>
              </w:rPr>
            </w:pPr>
          </w:p>
          <w:p w:rsidR="0077589E" w:rsidRPr="0012460A" w:rsidRDefault="0077589E" w:rsidP="00B4436A">
            <w:pPr>
              <w:pStyle w:val="naisf"/>
              <w:spacing w:before="0" w:after="0"/>
              <w:ind w:firstLine="0"/>
              <w:jc w:val="center"/>
              <w:rPr>
                <w:i/>
                <w:sz w:val="26"/>
                <w:szCs w:val="26"/>
              </w:rPr>
            </w:pPr>
          </w:p>
          <w:p w:rsidR="0077589E" w:rsidRPr="0012460A" w:rsidRDefault="0077589E" w:rsidP="00B4436A">
            <w:pPr>
              <w:pStyle w:val="naisf"/>
              <w:spacing w:before="0" w:after="0"/>
              <w:ind w:firstLine="0"/>
              <w:jc w:val="center"/>
              <w:rPr>
                <w:sz w:val="26"/>
                <w:szCs w:val="26"/>
              </w:rPr>
            </w:pPr>
            <w:r>
              <w:rPr>
                <w:sz w:val="26"/>
                <w:szCs w:val="26"/>
              </w:rPr>
              <w:t>0</w:t>
            </w:r>
          </w:p>
        </w:tc>
        <w:tc>
          <w:tcPr>
            <w:tcW w:w="1509" w:type="dxa"/>
          </w:tcPr>
          <w:p w:rsidR="0077589E" w:rsidRPr="0012460A" w:rsidRDefault="0077589E" w:rsidP="00B4436A">
            <w:pPr>
              <w:jc w:val="center"/>
              <w:rPr>
                <w:i/>
                <w:sz w:val="26"/>
                <w:szCs w:val="26"/>
              </w:rPr>
            </w:pPr>
          </w:p>
          <w:p w:rsidR="0077589E" w:rsidRPr="0012460A" w:rsidRDefault="0077589E" w:rsidP="00B4436A">
            <w:pPr>
              <w:jc w:val="center"/>
              <w:rPr>
                <w:i/>
                <w:sz w:val="26"/>
                <w:szCs w:val="26"/>
              </w:rPr>
            </w:pPr>
          </w:p>
          <w:p w:rsidR="0077589E" w:rsidRPr="0012460A" w:rsidRDefault="0077589E" w:rsidP="00B4436A">
            <w:pPr>
              <w:jc w:val="center"/>
              <w:rPr>
                <w:sz w:val="26"/>
                <w:szCs w:val="26"/>
              </w:rPr>
            </w:pPr>
            <w:r w:rsidRPr="0012460A">
              <w:rPr>
                <w:sz w:val="26"/>
                <w:szCs w:val="26"/>
              </w:rPr>
              <w:t>0</w:t>
            </w:r>
          </w:p>
        </w:tc>
        <w:tc>
          <w:tcPr>
            <w:tcW w:w="1507" w:type="dxa"/>
          </w:tcPr>
          <w:p w:rsidR="0077589E" w:rsidRPr="0012460A" w:rsidRDefault="0077589E" w:rsidP="00B4436A">
            <w:pPr>
              <w:jc w:val="center"/>
              <w:rPr>
                <w:i/>
                <w:sz w:val="26"/>
                <w:szCs w:val="26"/>
              </w:rPr>
            </w:pPr>
          </w:p>
          <w:p w:rsidR="0077589E" w:rsidRPr="0012460A" w:rsidRDefault="0077589E" w:rsidP="00B4436A">
            <w:pPr>
              <w:jc w:val="center"/>
              <w:rPr>
                <w:sz w:val="26"/>
                <w:szCs w:val="26"/>
              </w:rPr>
            </w:pPr>
          </w:p>
          <w:p w:rsidR="0077589E" w:rsidRPr="0012460A" w:rsidRDefault="0077589E" w:rsidP="00B4436A">
            <w:pPr>
              <w:jc w:val="center"/>
              <w:rPr>
                <w:sz w:val="26"/>
                <w:szCs w:val="26"/>
              </w:rPr>
            </w:pPr>
            <w:r w:rsidRPr="0012460A">
              <w:rPr>
                <w:sz w:val="26"/>
                <w:szCs w:val="26"/>
              </w:rPr>
              <w:t>0</w:t>
            </w:r>
          </w:p>
        </w:tc>
        <w:tc>
          <w:tcPr>
            <w:tcW w:w="1507" w:type="dxa"/>
          </w:tcPr>
          <w:p w:rsidR="0077589E" w:rsidRPr="0012460A" w:rsidRDefault="0077589E" w:rsidP="00B4436A">
            <w:pPr>
              <w:jc w:val="center"/>
              <w:rPr>
                <w:sz w:val="26"/>
                <w:szCs w:val="26"/>
              </w:rPr>
            </w:pPr>
          </w:p>
          <w:p w:rsidR="0077589E" w:rsidRPr="0012460A" w:rsidRDefault="0077589E" w:rsidP="00B4436A">
            <w:pPr>
              <w:jc w:val="center"/>
              <w:rPr>
                <w:sz w:val="26"/>
                <w:szCs w:val="26"/>
              </w:rPr>
            </w:pPr>
          </w:p>
          <w:p w:rsidR="0077589E" w:rsidRPr="0012460A" w:rsidRDefault="0077589E" w:rsidP="00B4436A">
            <w:pPr>
              <w:jc w:val="center"/>
              <w:rPr>
                <w:sz w:val="26"/>
                <w:szCs w:val="26"/>
              </w:rPr>
            </w:pPr>
            <w:r w:rsidRPr="0012460A">
              <w:rPr>
                <w:sz w:val="26"/>
                <w:szCs w:val="26"/>
              </w:rPr>
              <w:t>0</w:t>
            </w:r>
          </w:p>
        </w:tc>
        <w:tc>
          <w:tcPr>
            <w:tcW w:w="1698" w:type="dxa"/>
          </w:tcPr>
          <w:p w:rsidR="0077589E" w:rsidRPr="0012460A" w:rsidRDefault="0077589E" w:rsidP="00B4436A">
            <w:pPr>
              <w:jc w:val="center"/>
              <w:rPr>
                <w:sz w:val="26"/>
                <w:szCs w:val="26"/>
              </w:rPr>
            </w:pPr>
          </w:p>
          <w:p w:rsidR="0077589E" w:rsidRPr="0012460A" w:rsidRDefault="0077589E" w:rsidP="00B4436A">
            <w:pPr>
              <w:jc w:val="center"/>
              <w:rPr>
                <w:sz w:val="26"/>
                <w:szCs w:val="26"/>
              </w:rPr>
            </w:pPr>
          </w:p>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pStyle w:val="naisf"/>
              <w:spacing w:before="0" w:after="0"/>
              <w:ind w:firstLine="0"/>
              <w:rPr>
                <w:i/>
                <w:sz w:val="26"/>
                <w:szCs w:val="26"/>
              </w:rPr>
            </w:pPr>
            <w:r w:rsidRPr="0012460A">
              <w:rPr>
                <w:sz w:val="26"/>
                <w:szCs w:val="26"/>
              </w:rPr>
              <w:t>1.2. valsts speciālais budžets</w:t>
            </w:r>
          </w:p>
        </w:tc>
        <w:tc>
          <w:tcPr>
            <w:tcW w:w="1194" w:type="dxa"/>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pStyle w:val="naisf"/>
              <w:spacing w:before="0" w:after="0"/>
              <w:ind w:firstLine="0"/>
              <w:rPr>
                <w:i/>
                <w:sz w:val="26"/>
                <w:szCs w:val="26"/>
              </w:rPr>
            </w:pPr>
            <w:r w:rsidRPr="0012460A">
              <w:rPr>
                <w:sz w:val="26"/>
                <w:szCs w:val="26"/>
              </w:rPr>
              <w:t>1.3. pašvaldību budžets</w:t>
            </w:r>
          </w:p>
        </w:tc>
        <w:tc>
          <w:tcPr>
            <w:tcW w:w="1194" w:type="dxa"/>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2. Budžeta izdevumi:</w:t>
            </w:r>
          </w:p>
        </w:tc>
        <w:tc>
          <w:tcPr>
            <w:tcW w:w="1194" w:type="dxa"/>
          </w:tcPr>
          <w:p w:rsidR="0077589E" w:rsidRPr="0012460A" w:rsidRDefault="0077589E" w:rsidP="00B4436A">
            <w:pPr>
              <w:pStyle w:val="naisf"/>
              <w:spacing w:before="0" w:after="0"/>
              <w:ind w:firstLine="0"/>
              <w:jc w:val="center"/>
              <w:rPr>
                <w:b/>
                <w:sz w:val="26"/>
                <w:szCs w:val="26"/>
              </w:rPr>
            </w:pPr>
            <w:r>
              <w:rPr>
                <w:b/>
                <w:sz w:val="26"/>
                <w:szCs w:val="26"/>
              </w:rPr>
              <w:t>0</w:t>
            </w:r>
          </w:p>
        </w:tc>
        <w:tc>
          <w:tcPr>
            <w:tcW w:w="1509" w:type="dxa"/>
          </w:tcPr>
          <w:p w:rsidR="0077589E" w:rsidRPr="0012460A" w:rsidRDefault="0077589E" w:rsidP="00B4436A">
            <w:pPr>
              <w:pStyle w:val="naisf"/>
              <w:spacing w:before="0" w:after="0"/>
              <w:ind w:firstLine="0"/>
              <w:jc w:val="center"/>
              <w:rPr>
                <w:b/>
                <w:sz w:val="26"/>
                <w:szCs w:val="26"/>
              </w:rPr>
            </w:pPr>
            <w:r>
              <w:rPr>
                <w:b/>
                <w:sz w:val="26"/>
                <w:szCs w:val="26"/>
              </w:rPr>
              <w:t>0</w:t>
            </w:r>
          </w:p>
        </w:tc>
        <w:tc>
          <w:tcPr>
            <w:tcW w:w="1507"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c>
          <w:tcPr>
            <w:tcW w:w="1507"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c>
          <w:tcPr>
            <w:tcW w:w="1698" w:type="dxa"/>
          </w:tcPr>
          <w:p w:rsidR="0077589E" w:rsidRPr="0012460A" w:rsidRDefault="0077589E" w:rsidP="00B4436A">
            <w:pPr>
              <w:pStyle w:val="naisf"/>
              <w:spacing w:before="0" w:after="0"/>
              <w:ind w:firstLine="0"/>
              <w:jc w:val="center"/>
              <w:rPr>
                <w:b/>
                <w:i/>
                <w:sz w:val="26"/>
                <w:szCs w:val="26"/>
              </w:rPr>
            </w:pPr>
            <w:r w:rsidRPr="0012460A">
              <w:rPr>
                <w:b/>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2.1. valsts pamatbudžets</w:t>
            </w:r>
          </w:p>
        </w:tc>
        <w:tc>
          <w:tcPr>
            <w:tcW w:w="1194" w:type="dxa"/>
          </w:tcPr>
          <w:p w:rsidR="0077589E" w:rsidRPr="0012460A" w:rsidRDefault="0077589E" w:rsidP="00B4436A">
            <w:pPr>
              <w:pStyle w:val="naisf"/>
              <w:spacing w:before="0" w:after="0"/>
              <w:ind w:firstLine="0"/>
              <w:jc w:val="center"/>
              <w:rPr>
                <w:i/>
                <w:sz w:val="26"/>
                <w:szCs w:val="26"/>
              </w:rPr>
            </w:pPr>
            <w:r>
              <w:rPr>
                <w:sz w:val="26"/>
                <w:szCs w:val="26"/>
              </w:rPr>
              <w:t>0</w:t>
            </w:r>
          </w:p>
        </w:tc>
        <w:tc>
          <w:tcPr>
            <w:tcW w:w="1509" w:type="dxa"/>
          </w:tcPr>
          <w:p w:rsidR="0077589E" w:rsidRPr="0012460A" w:rsidRDefault="0077589E" w:rsidP="00B4436A">
            <w:pPr>
              <w:pStyle w:val="naisf"/>
              <w:spacing w:before="0" w:after="0"/>
              <w:ind w:firstLine="0"/>
              <w:jc w:val="center"/>
              <w:rPr>
                <w:sz w:val="26"/>
                <w:szCs w:val="26"/>
              </w:rPr>
            </w:pPr>
            <w:r>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2.2. valsts speciālais budžets</w:t>
            </w:r>
          </w:p>
        </w:tc>
        <w:tc>
          <w:tcPr>
            <w:tcW w:w="1194" w:type="dxa"/>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 xml:space="preserve">2.3. pašvaldību budžets </w:t>
            </w:r>
          </w:p>
        </w:tc>
        <w:tc>
          <w:tcPr>
            <w:tcW w:w="1194" w:type="dxa"/>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3. Finansiālā ietekme:</w:t>
            </w:r>
          </w:p>
        </w:tc>
        <w:tc>
          <w:tcPr>
            <w:tcW w:w="1194" w:type="dxa"/>
            <w:shd w:val="clear" w:color="auto" w:fill="auto"/>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77589E" w:rsidRDefault="0077589E" w:rsidP="00B4436A">
            <w:pPr>
              <w:jc w:val="center"/>
              <w:rPr>
                <w:sz w:val="26"/>
                <w:szCs w:val="26"/>
              </w:rPr>
            </w:pPr>
            <w:r w:rsidRPr="0077589E">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3.1. valsts pamatbudžets</w:t>
            </w:r>
          </w:p>
        </w:tc>
        <w:tc>
          <w:tcPr>
            <w:tcW w:w="1194" w:type="dxa"/>
            <w:shd w:val="clear" w:color="auto" w:fill="auto"/>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3.2. speciālais budžets</w:t>
            </w:r>
          </w:p>
        </w:tc>
        <w:tc>
          <w:tcPr>
            <w:tcW w:w="1194" w:type="dxa"/>
            <w:shd w:val="clear" w:color="auto" w:fill="auto"/>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 xml:space="preserve">3.3. pašvaldību budžets </w:t>
            </w:r>
          </w:p>
        </w:tc>
        <w:tc>
          <w:tcPr>
            <w:tcW w:w="1194" w:type="dxa"/>
            <w:shd w:val="clear" w:color="auto" w:fill="auto"/>
            <w:vAlign w:val="center"/>
          </w:tcPr>
          <w:p w:rsidR="0077589E" w:rsidRPr="0012460A" w:rsidRDefault="0077589E" w:rsidP="00B4436A">
            <w:pPr>
              <w:jc w:val="center"/>
              <w:rPr>
                <w:sz w:val="26"/>
                <w:szCs w:val="26"/>
              </w:rPr>
            </w:pPr>
            <w:r w:rsidRPr="0012460A">
              <w:rPr>
                <w:sz w:val="26"/>
                <w:szCs w:val="26"/>
              </w:rPr>
              <w:t>0</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vMerge w:val="restart"/>
          </w:tcPr>
          <w:p w:rsidR="0077589E" w:rsidRPr="0012460A" w:rsidRDefault="0077589E" w:rsidP="00B4436A">
            <w:pPr>
              <w:rPr>
                <w:sz w:val="26"/>
                <w:szCs w:val="26"/>
              </w:rPr>
            </w:pPr>
            <w:r w:rsidRPr="0012460A">
              <w:rPr>
                <w:sz w:val="26"/>
                <w:szCs w:val="26"/>
              </w:rPr>
              <w:t>4. Finanšu līdzekļi papildu izde</w:t>
            </w:r>
            <w:r w:rsidRPr="0012460A">
              <w:rPr>
                <w:sz w:val="26"/>
                <w:szCs w:val="26"/>
              </w:rPr>
              <w:softHyphen/>
              <w:t xml:space="preserve">vumu finansēšanai </w:t>
            </w:r>
            <w:r w:rsidRPr="0012460A">
              <w:rPr>
                <w:sz w:val="26"/>
                <w:szCs w:val="26"/>
              </w:rPr>
              <w:lastRenderedPageBreak/>
              <w:t>(kompensējošu izdevumu samazinājumu norāda ar "+" zīmi)</w:t>
            </w:r>
          </w:p>
        </w:tc>
        <w:tc>
          <w:tcPr>
            <w:tcW w:w="1194" w:type="dxa"/>
            <w:vMerge w:val="restart"/>
          </w:tcPr>
          <w:p w:rsidR="0077589E" w:rsidRPr="0012460A" w:rsidRDefault="0077589E" w:rsidP="00B4436A">
            <w:pPr>
              <w:pStyle w:val="naisf"/>
              <w:spacing w:before="0" w:after="0"/>
              <w:ind w:firstLine="0"/>
              <w:jc w:val="center"/>
              <w:rPr>
                <w:i/>
                <w:sz w:val="26"/>
                <w:szCs w:val="26"/>
              </w:rPr>
            </w:pPr>
            <w:r w:rsidRPr="0012460A">
              <w:rPr>
                <w:sz w:val="26"/>
                <w:szCs w:val="26"/>
              </w:rPr>
              <w:lastRenderedPageBreak/>
              <w:t>X</w:t>
            </w:r>
          </w:p>
        </w:tc>
        <w:tc>
          <w:tcPr>
            <w:tcW w:w="1509" w:type="dxa"/>
            <w:vAlign w:val="center"/>
          </w:tcPr>
          <w:p w:rsidR="0077589E" w:rsidRPr="003864F8" w:rsidRDefault="003864F8" w:rsidP="003864F8">
            <w:pPr>
              <w:jc w:val="center"/>
              <w:rPr>
                <w:sz w:val="26"/>
                <w:szCs w:val="26"/>
              </w:rPr>
            </w:pPr>
            <w:r>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vMerge/>
          </w:tcPr>
          <w:p w:rsidR="0077589E" w:rsidRPr="0012460A" w:rsidRDefault="0077589E" w:rsidP="00B4436A">
            <w:pPr>
              <w:rPr>
                <w:sz w:val="26"/>
                <w:szCs w:val="26"/>
              </w:rPr>
            </w:pPr>
          </w:p>
        </w:tc>
        <w:tc>
          <w:tcPr>
            <w:tcW w:w="1194" w:type="dxa"/>
            <w:vMerge/>
          </w:tcPr>
          <w:p w:rsidR="0077589E" w:rsidRPr="0012460A" w:rsidRDefault="0077589E" w:rsidP="00B4436A">
            <w:pPr>
              <w:pStyle w:val="naisf"/>
              <w:spacing w:before="0" w:after="0"/>
              <w:ind w:firstLine="0"/>
              <w:jc w:val="center"/>
              <w:rPr>
                <w:i/>
                <w:sz w:val="26"/>
                <w:szCs w:val="26"/>
              </w:rPr>
            </w:pP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vMerge/>
          </w:tcPr>
          <w:p w:rsidR="0077589E" w:rsidRPr="0012460A" w:rsidRDefault="0077589E" w:rsidP="00B4436A">
            <w:pPr>
              <w:rPr>
                <w:sz w:val="26"/>
                <w:szCs w:val="26"/>
              </w:rPr>
            </w:pPr>
          </w:p>
        </w:tc>
        <w:tc>
          <w:tcPr>
            <w:tcW w:w="1194" w:type="dxa"/>
            <w:vMerge/>
          </w:tcPr>
          <w:p w:rsidR="0077589E" w:rsidRPr="0012460A" w:rsidRDefault="0077589E" w:rsidP="00B4436A">
            <w:pPr>
              <w:pStyle w:val="naisf"/>
              <w:spacing w:before="0" w:after="0"/>
              <w:ind w:firstLine="0"/>
              <w:jc w:val="center"/>
              <w:rPr>
                <w:i/>
                <w:sz w:val="26"/>
                <w:szCs w:val="26"/>
              </w:rPr>
            </w:pP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lastRenderedPageBreak/>
              <w:t>5. Precizēta finansiālā ietekme:</w:t>
            </w:r>
          </w:p>
        </w:tc>
        <w:tc>
          <w:tcPr>
            <w:tcW w:w="1194" w:type="dxa"/>
            <w:vMerge w:val="restart"/>
          </w:tcPr>
          <w:p w:rsidR="0077589E" w:rsidRPr="0012460A" w:rsidRDefault="0077589E" w:rsidP="00B4436A">
            <w:pPr>
              <w:pStyle w:val="naisf"/>
              <w:spacing w:before="0" w:after="0"/>
              <w:ind w:firstLine="0"/>
              <w:jc w:val="center"/>
              <w:rPr>
                <w:i/>
                <w:sz w:val="26"/>
                <w:szCs w:val="26"/>
              </w:rPr>
            </w:pPr>
            <w:r w:rsidRPr="0012460A">
              <w:rPr>
                <w:sz w:val="26"/>
                <w:szCs w:val="26"/>
              </w:rPr>
              <w:t>X</w:t>
            </w: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5.1. valsts pamatbudžets</w:t>
            </w:r>
          </w:p>
        </w:tc>
        <w:tc>
          <w:tcPr>
            <w:tcW w:w="1194" w:type="dxa"/>
            <w:vMerge/>
            <w:vAlign w:val="center"/>
          </w:tcPr>
          <w:p w:rsidR="0077589E" w:rsidRPr="0012460A" w:rsidRDefault="0077589E" w:rsidP="00B4436A">
            <w:pPr>
              <w:pStyle w:val="naisf"/>
              <w:spacing w:before="0" w:after="0"/>
              <w:ind w:firstLine="0"/>
              <w:jc w:val="center"/>
              <w:rPr>
                <w:i/>
                <w:sz w:val="26"/>
                <w:szCs w:val="26"/>
              </w:rPr>
            </w:pP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5.2. speciālais budžets</w:t>
            </w:r>
          </w:p>
        </w:tc>
        <w:tc>
          <w:tcPr>
            <w:tcW w:w="1194" w:type="dxa"/>
            <w:vMerge/>
            <w:vAlign w:val="center"/>
          </w:tcPr>
          <w:p w:rsidR="0077589E" w:rsidRPr="0012460A" w:rsidRDefault="0077589E" w:rsidP="00B4436A">
            <w:pPr>
              <w:pStyle w:val="naisf"/>
              <w:spacing w:before="0" w:after="0"/>
              <w:ind w:firstLine="0"/>
              <w:jc w:val="center"/>
              <w:rPr>
                <w:i/>
                <w:sz w:val="26"/>
                <w:szCs w:val="26"/>
              </w:rPr>
            </w:pP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 xml:space="preserve">5.3. pašvaldību budžets </w:t>
            </w:r>
          </w:p>
        </w:tc>
        <w:tc>
          <w:tcPr>
            <w:tcW w:w="1194" w:type="dxa"/>
            <w:vMerge/>
            <w:vAlign w:val="center"/>
          </w:tcPr>
          <w:p w:rsidR="0077589E" w:rsidRPr="0012460A" w:rsidRDefault="0077589E" w:rsidP="00B4436A">
            <w:pPr>
              <w:pStyle w:val="naisf"/>
              <w:spacing w:before="0" w:after="0"/>
              <w:ind w:firstLine="0"/>
              <w:jc w:val="center"/>
              <w:rPr>
                <w:i/>
                <w:sz w:val="26"/>
                <w:szCs w:val="26"/>
              </w:rPr>
            </w:pPr>
          </w:p>
        </w:tc>
        <w:tc>
          <w:tcPr>
            <w:tcW w:w="1509"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507" w:type="dxa"/>
            <w:vAlign w:val="center"/>
          </w:tcPr>
          <w:p w:rsidR="0077589E" w:rsidRPr="0012460A" w:rsidRDefault="0077589E" w:rsidP="00B4436A">
            <w:pPr>
              <w:jc w:val="center"/>
              <w:rPr>
                <w:sz w:val="26"/>
                <w:szCs w:val="26"/>
              </w:rPr>
            </w:pPr>
            <w:r w:rsidRPr="0012460A">
              <w:rPr>
                <w:sz w:val="26"/>
                <w:szCs w:val="26"/>
              </w:rPr>
              <w:t>0</w:t>
            </w:r>
          </w:p>
        </w:tc>
        <w:tc>
          <w:tcPr>
            <w:tcW w:w="1698" w:type="dxa"/>
            <w:vAlign w:val="center"/>
          </w:tcPr>
          <w:p w:rsidR="0077589E" w:rsidRPr="0012460A" w:rsidRDefault="0077589E" w:rsidP="00B4436A">
            <w:pPr>
              <w:jc w:val="center"/>
              <w:rPr>
                <w:sz w:val="26"/>
                <w:szCs w:val="26"/>
              </w:rPr>
            </w:pPr>
            <w:r w:rsidRPr="0012460A">
              <w:rPr>
                <w:sz w:val="26"/>
                <w:szCs w:val="26"/>
              </w:rPr>
              <w:t>0</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6. Detalizēts ieņēmumu un izdevu</w:t>
            </w:r>
            <w:r w:rsidRPr="0012460A">
              <w:rPr>
                <w:sz w:val="26"/>
                <w:szCs w:val="26"/>
              </w:rPr>
              <w:softHyphen/>
              <w:t>mu aprēķins (ja nepieciešams, detalizētu ieņēmumu un izdevumu aprēķinu var pievienot anotācijas pielikumā):</w:t>
            </w:r>
          </w:p>
        </w:tc>
        <w:tc>
          <w:tcPr>
            <w:tcW w:w="7415" w:type="dxa"/>
            <w:gridSpan w:val="5"/>
            <w:vMerge w:val="restart"/>
          </w:tcPr>
          <w:p w:rsidR="0077589E" w:rsidRPr="0012460A" w:rsidRDefault="003864F8" w:rsidP="003864F8">
            <w:pPr>
              <w:pStyle w:val="naisf"/>
              <w:ind w:firstLine="0"/>
              <w:rPr>
                <w:sz w:val="26"/>
                <w:szCs w:val="26"/>
              </w:rPr>
            </w:pPr>
            <w:r>
              <w:rPr>
                <w:sz w:val="26"/>
                <w:szCs w:val="26"/>
              </w:rPr>
              <w:t>Nav</w:t>
            </w:r>
            <w:r w:rsidR="00A000AC">
              <w:rPr>
                <w:sz w:val="26"/>
                <w:szCs w:val="26"/>
              </w:rPr>
              <w:t>.</w:t>
            </w: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6.1. detalizēts ieņēmumu aprēķins</w:t>
            </w:r>
          </w:p>
        </w:tc>
        <w:tc>
          <w:tcPr>
            <w:tcW w:w="7415" w:type="dxa"/>
            <w:gridSpan w:val="5"/>
            <w:vMerge/>
          </w:tcPr>
          <w:p w:rsidR="0077589E" w:rsidRPr="0012460A" w:rsidRDefault="0077589E" w:rsidP="00B4436A">
            <w:pPr>
              <w:pStyle w:val="naisf"/>
              <w:spacing w:before="0" w:after="0"/>
              <w:ind w:firstLine="0"/>
              <w:rPr>
                <w:b/>
                <w:i/>
                <w:sz w:val="26"/>
                <w:szCs w:val="26"/>
              </w:rPr>
            </w:pP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6.2. detalizēts izdevumu aprēķins</w:t>
            </w:r>
          </w:p>
        </w:tc>
        <w:tc>
          <w:tcPr>
            <w:tcW w:w="7415" w:type="dxa"/>
            <w:gridSpan w:val="5"/>
            <w:vMerge/>
          </w:tcPr>
          <w:p w:rsidR="0077589E" w:rsidRPr="0012460A" w:rsidRDefault="0077589E" w:rsidP="00B4436A">
            <w:pPr>
              <w:pStyle w:val="naisf"/>
              <w:spacing w:before="0" w:after="0"/>
              <w:ind w:firstLine="0"/>
              <w:rPr>
                <w:b/>
                <w:i/>
                <w:sz w:val="26"/>
                <w:szCs w:val="26"/>
              </w:rPr>
            </w:pPr>
          </w:p>
        </w:tc>
      </w:tr>
      <w:tr w:rsidR="0077589E" w:rsidRPr="0012460A" w:rsidTr="0077589E">
        <w:trPr>
          <w:jc w:val="center"/>
        </w:trPr>
        <w:tc>
          <w:tcPr>
            <w:tcW w:w="2898" w:type="dxa"/>
          </w:tcPr>
          <w:p w:rsidR="0077589E" w:rsidRPr="0012460A" w:rsidRDefault="0077589E" w:rsidP="00B4436A">
            <w:pPr>
              <w:rPr>
                <w:sz w:val="26"/>
                <w:szCs w:val="26"/>
              </w:rPr>
            </w:pPr>
            <w:r w:rsidRPr="0012460A">
              <w:rPr>
                <w:sz w:val="26"/>
                <w:szCs w:val="26"/>
              </w:rPr>
              <w:t>7. Cita informācija</w:t>
            </w:r>
          </w:p>
        </w:tc>
        <w:tc>
          <w:tcPr>
            <w:tcW w:w="7415" w:type="dxa"/>
            <w:gridSpan w:val="5"/>
          </w:tcPr>
          <w:p w:rsidR="003D108C" w:rsidRDefault="00522E79" w:rsidP="00B4436A">
            <w:pPr>
              <w:pStyle w:val="naisf"/>
              <w:tabs>
                <w:tab w:val="left" w:pos="4644"/>
              </w:tabs>
              <w:spacing w:before="0" w:after="0"/>
              <w:ind w:firstLine="0"/>
              <w:rPr>
                <w:rFonts w:eastAsia="Calibri"/>
                <w:sz w:val="26"/>
                <w:szCs w:val="26"/>
              </w:rPr>
            </w:pPr>
            <w:r>
              <w:rPr>
                <w:bCs/>
                <w:sz w:val="26"/>
                <w:szCs w:val="26"/>
              </w:rPr>
              <w:t xml:space="preserve">Projektam var būt ietekme uz valsts budžeta izdevumiem, jo Projekts pēc būtības paredz palielināt maksimāli piešķiramo naudas balvu apmēru par sportistu ar invaliditāti sasniegumiem, kā arī paredz </w:t>
            </w:r>
            <w:r w:rsidR="003D108C">
              <w:rPr>
                <w:bCs/>
                <w:sz w:val="26"/>
                <w:szCs w:val="26"/>
              </w:rPr>
              <w:t xml:space="preserve">iespēju piešķirt naudas balvas par sasniegumiem </w:t>
            </w:r>
            <w:r>
              <w:rPr>
                <w:bCs/>
                <w:sz w:val="26"/>
                <w:szCs w:val="26"/>
              </w:rPr>
              <w:t xml:space="preserve"> </w:t>
            </w:r>
            <w:r w:rsidR="003D108C">
              <w:rPr>
                <w:rFonts w:eastAsia="Calibri"/>
                <w:sz w:val="26"/>
                <w:szCs w:val="26"/>
              </w:rPr>
              <w:t>pasaules jaunatnes olimpiskajās spēlēs.</w:t>
            </w:r>
          </w:p>
          <w:p w:rsidR="00522E79" w:rsidRDefault="00522E79" w:rsidP="00B4436A">
            <w:pPr>
              <w:pStyle w:val="naisf"/>
              <w:tabs>
                <w:tab w:val="left" w:pos="4644"/>
              </w:tabs>
              <w:spacing w:before="0" w:after="0"/>
              <w:ind w:firstLine="0"/>
              <w:rPr>
                <w:bCs/>
                <w:sz w:val="26"/>
                <w:szCs w:val="26"/>
              </w:rPr>
            </w:pPr>
          </w:p>
          <w:p w:rsidR="003D108C" w:rsidRDefault="003D108C" w:rsidP="00B4436A">
            <w:pPr>
              <w:pStyle w:val="naisf"/>
              <w:tabs>
                <w:tab w:val="left" w:pos="4644"/>
              </w:tabs>
              <w:spacing w:before="0" w:after="0"/>
              <w:ind w:firstLine="0"/>
              <w:rPr>
                <w:bCs/>
                <w:sz w:val="26"/>
                <w:szCs w:val="26"/>
              </w:rPr>
            </w:pPr>
            <w:r>
              <w:rPr>
                <w:bCs/>
                <w:sz w:val="26"/>
                <w:szCs w:val="26"/>
              </w:rPr>
              <w:t xml:space="preserve">Pieņemot, ka Ministru kabinets pēc Padomes priekšlikuma par sportistu </w:t>
            </w:r>
            <w:r w:rsidRPr="003D108C">
              <w:rPr>
                <w:bCs/>
                <w:sz w:val="26"/>
                <w:szCs w:val="26"/>
              </w:rPr>
              <w:t>sasniegumiem 2012.gada Londonas Paralimpiskajās spēlēs un  2012.gada Pasaules Jaunatnes ziemas I olimpiskajās spēlēs</w:t>
            </w:r>
            <w:r>
              <w:rPr>
                <w:bCs/>
                <w:sz w:val="26"/>
                <w:szCs w:val="26"/>
              </w:rPr>
              <w:t xml:space="preserve"> piešķirs maksimāli iespējamās naudas balvas, secināms, ka:</w:t>
            </w:r>
          </w:p>
          <w:p w:rsidR="003D108C" w:rsidRDefault="003D108C" w:rsidP="00B4436A">
            <w:pPr>
              <w:pStyle w:val="naisf"/>
              <w:tabs>
                <w:tab w:val="left" w:pos="4644"/>
              </w:tabs>
              <w:spacing w:before="0" w:after="0"/>
              <w:ind w:firstLine="0"/>
              <w:rPr>
                <w:bCs/>
                <w:sz w:val="26"/>
                <w:szCs w:val="26"/>
              </w:rPr>
            </w:pPr>
          </w:p>
          <w:p w:rsidR="003D108C" w:rsidRDefault="003D108C" w:rsidP="00B4436A">
            <w:pPr>
              <w:pStyle w:val="naisf"/>
              <w:tabs>
                <w:tab w:val="left" w:pos="4644"/>
              </w:tabs>
              <w:spacing w:before="0" w:after="0"/>
              <w:ind w:firstLine="0"/>
              <w:rPr>
                <w:bCs/>
                <w:sz w:val="26"/>
                <w:szCs w:val="26"/>
              </w:rPr>
            </w:pPr>
            <w:r>
              <w:rPr>
                <w:bCs/>
                <w:sz w:val="26"/>
                <w:szCs w:val="26"/>
              </w:rPr>
              <w:t xml:space="preserve">(1) saskaņā ar esošo Noteikumu redakciju par sasniegumiem </w:t>
            </w:r>
            <w:r w:rsidRPr="003D108C">
              <w:rPr>
                <w:bCs/>
                <w:sz w:val="26"/>
                <w:szCs w:val="26"/>
              </w:rPr>
              <w:t>2012.gada Londonas Paralimpiskajās spēlēs</w:t>
            </w:r>
            <w:r>
              <w:rPr>
                <w:bCs/>
                <w:sz w:val="26"/>
                <w:szCs w:val="26"/>
              </w:rPr>
              <w:t xml:space="preserve"> kopumā varētu tikt piešķirti 145`265 lati (tai skaitā 29`065 lati nodokļu samaksai)</w:t>
            </w:r>
            <w:r w:rsidRPr="003D108C">
              <w:rPr>
                <w:bCs/>
                <w:sz w:val="26"/>
                <w:szCs w:val="26"/>
                <w:vertAlign w:val="superscript"/>
              </w:rPr>
              <w:t>*</w:t>
            </w:r>
            <w:r>
              <w:rPr>
                <w:bCs/>
                <w:sz w:val="26"/>
                <w:szCs w:val="26"/>
              </w:rPr>
              <w:t>;</w:t>
            </w:r>
          </w:p>
          <w:p w:rsidR="003D108C" w:rsidRDefault="003D108C" w:rsidP="00B4436A">
            <w:pPr>
              <w:pStyle w:val="naisf"/>
              <w:tabs>
                <w:tab w:val="left" w:pos="4644"/>
              </w:tabs>
              <w:spacing w:before="0" w:after="0"/>
              <w:ind w:firstLine="0"/>
              <w:rPr>
                <w:bCs/>
                <w:sz w:val="26"/>
                <w:szCs w:val="26"/>
              </w:rPr>
            </w:pPr>
            <w:r>
              <w:rPr>
                <w:bCs/>
                <w:sz w:val="26"/>
                <w:szCs w:val="26"/>
              </w:rPr>
              <w:t xml:space="preserve">(2)  pēc Projekta spēkā stāšanās par sasniegumiem </w:t>
            </w:r>
            <w:r w:rsidRPr="003D108C">
              <w:rPr>
                <w:bCs/>
                <w:sz w:val="26"/>
                <w:szCs w:val="26"/>
              </w:rPr>
              <w:t>2012.gada Londonas Paralimpiskajās spēlēs</w:t>
            </w:r>
            <w:r>
              <w:rPr>
                <w:bCs/>
                <w:sz w:val="26"/>
                <w:szCs w:val="26"/>
              </w:rPr>
              <w:t xml:space="preserve"> kopumā varēs tikt piešķirti 266`865 lati (tai skaitā 59`465 lati nodokļu samaksai)</w:t>
            </w:r>
            <w:r w:rsidRPr="003D108C">
              <w:rPr>
                <w:bCs/>
                <w:sz w:val="26"/>
                <w:szCs w:val="26"/>
                <w:vertAlign w:val="superscript"/>
              </w:rPr>
              <w:t>*</w:t>
            </w:r>
            <w:r>
              <w:rPr>
                <w:bCs/>
                <w:sz w:val="26"/>
                <w:szCs w:val="26"/>
              </w:rPr>
              <w:t>;</w:t>
            </w:r>
          </w:p>
          <w:p w:rsidR="003D108C" w:rsidRDefault="00C32D6D" w:rsidP="00B4436A">
            <w:pPr>
              <w:pStyle w:val="naisf"/>
              <w:tabs>
                <w:tab w:val="left" w:pos="4644"/>
              </w:tabs>
              <w:spacing w:before="0" w:after="0"/>
              <w:ind w:firstLine="0"/>
              <w:rPr>
                <w:bCs/>
                <w:sz w:val="26"/>
                <w:szCs w:val="26"/>
              </w:rPr>
            </w:pPr>
            <w:r>
              <w:rPr>
                <w:bCs/>
                <w:sz w:val="26"/>
                <w:szCs w:val="26"/>
              </w:rPr>
              <w:t xml:space="preserve">(3) pēc Projekta spēkā stāšanās par sasniegumiem </w:t>
            </w:r>
            <w:r w:rsidRPr="003D108C">
              <w:rPr>
                <w:bCs/>
                <w:sz w:val="26"/>
                <w:szCs w:val="26"/>
              </w:rPr>
              <w:t>2012.gada Pasaules Jaunatnes ziemas I olimpiskajās spēlēs</w:t>
            </w:r>
            <w:r>
              <w:rPr>
                <w:bCs/>
                <w:sz w:val="26"/>
                <w:szCs w:val="26"/>
              </w:rPr>
              <w:t xml:space="preserve"> kopumā varēs tikt piešķirti 21`128 lati (tai skaitā 3`488 lati nodokļu samaksai)</w:t>
            </w:r>
            <w:r w:rsidRPr="003D108C">
              <w:rPr>
                <w:bCs/>
                <w:sz w:val="26"/>
                <w:szCs w:val="26"/>
                <w:vertAlign w:val="superscript"/>
              </w:rPr>
              <w:t>*</w:t>
            </w:r>
            <w:r>
              <w:rPr>
                <w:bCs/>
                <w:sz w:val="26"/>
                <w:szCs w:val="26"/>
              </w:rPr>
              <w:t>.</w:t>
            </w:r>
          </w:p>
          <w:p w:rsidR="00C32D6D" w:rsidRDefault="00C32D6D" w:rsidP="00B4436A">
            <w:pPr>
              <w:pStyle w:val="naisf"/>
              <w:tabs>
                <w:tab w:val="left" w:pos="4644"/>
              </w:tabs>
              <w:spacing w:before="0" w:after="0"/>
              <w:ind w:firstLine="0"/>
              <w:rPr>
                <w:bCs/>
                <w:sz w:val="26"/>
                <w:szCs w:val="26"/>
              </w:rPr>
            </w:pPr>
          </w:p>
          <w:p w:rsidR="0077589E" w:rsidRPr="0012460A" w:rsidRDefault="003D108C" w:rsidP="00C32D6D">
            <w:pPr>
              <w:pStyle w:val="naisf"/>
              <w:tabs>
                <w:tab w:val="left" w:pos="4644"/>
              </w:tabs>
              <w:spacing w:before="0" w:after="0"/>
              <w:ind w:firstLine="0"/>
              <w:rPr>
                <w:sz w:val="26"/>
                <w:szCs w:val="26"/>
              </w:rPr>
            </w:pPr>
            <w:r>
              <w:rPr>
                <w:bCs/>
                <w:sz w:val="26"/>
                <w:szCs w:val="26"/>
              </w:rPr>
              <w:t>[</w:t>
            </w:r>
            <w:r w:rsidRPr="003D108C">
              <w:rPr>
                <w:bCs/>
                <w:sz w:val="26"/>
                <w:szCs w:val="26"/>
                <w:vertAlign w:val="superscript"/>
              </w:rPr>
              <w:t>*</w:t>
            </w:r>
            <w:r w:rsidRPr="00C32D6D">
              <w:rPr>
                <w:bCs/>
                <w:i/>
                <w:sz w:val="26"/>
                <w:szCs w:val="26"/>
              </w:rPr>
              <w:t>Piezīme – ņemot vērā faktu, ka vēl nav saņemti iesniegumi par konkrētu naudas balvu piešķiršanu</w:t>
            </w:r>
            <w:r w:rsidR="00C32D6D">
              <w:rPr>
                <w:bCs/>
                <w:i/>
                <w:sz w:val="26"/>
                <w:szCs w:val="26"/>
              </w:rPr>
              <w:t xml:space="preserve"> (tie saskaņā ar Noteikumu 5.punktu iesniedzami līdz 15.oktobrim)</w:t>
            </w:r>
            <w:r w:rsidRPr="00C32D6D">
              <w:rPr>
                <w:bCs/>
                <w:i/>
                <w:sz w:val="26"/>
                <w:szCs w:val="26"/>
              </w:rPr>
              <w:t xml:space="preserve">, atkarībā no </w:t>
            </w:r>
            <w:r w:rsidR="00C32D6D" w:rsidRPr="00C32D6D">
              <w:rPr>
                <w:bCs/>
                <w:i/>
                <w:sz w:val="26"/>
                <w:szCs w:val="26"/>
              </w:rPr>
              <w:t>sportistu apkalpojošo sporta darbinieku, tai skaitā sporta ārstu, apkalpojošā personāla skaita, var atšķirties nodokļu samaksai paredzētā summa un līdz ar to – arī atšķirties kopējā piešķiramā naudas balva, tomēr atšķirības ir nebūtiskas.</w:t>
            </w:r>
            <w:r w:rsidR="00C32D6D">
              <w:rPr>
                <w:bCs/>
                <w:sz w:val="26"/>
                <w:szCs w:val="26"/>
              </w:rPr>
              <w:t>]</w:t>
            </w:r>
          </w:p>
        </w:tc>
      </w:tr>
    </w:tbl>
    <w:p w:rsidR="006900FA" w:rsidRDefault="006900FA" w:rsidP="006900FA">
      <w:pPr>
        <w:rPr>
          <w:sz w:val="26"/>
          <w:szCs w:val="26"/>
        </w:rPr>
      </w:pPr>
      <w:r w:rsidRPr="00E42B06">
        <w:rPr>
          <w:sz w:val="26"/>
          <w:szCs w:val="26"/>
        </w:rPr>
        <w:lastRenderedPageBreak/>
        <w:t xml:space="preserve">Anotācijas IV un V sadaļa – </w:t>
      </w:r>
      <w:r>
        <w:rPr>
          <w:sz w:val="26"/>
          <w:szCs w:val="26"/>
        </w:rPr>
        <w:t>P</w:t>
      </w:r>
      <w:r w:rsidRPr="00E42B06">
        <w:rPr>
          <w:sz w:val="26"/>
          <w:szCs w:val="26"/>
        </w:rPr>
        <w:t>rojekts šīs jomas neskar.</w:t>
      </w:r>
    </w:p>
    <w:p w:rsidR="005A3E4D" w:rsidRPr="00283653" w:rsidRDefault="005A3E4D" w:rsidP="00680733">
      <w:pPr>
        <w:spacing w:line="270" w:lineRule="atLeast"/>
        <w:rPr>
          <w:rStyle w:val="apple-style-span"/>
          <w:color w:val="000000"/>
          <w:sz w:val="26"/>
          <w:szCs w:val="26"/>
        </w:rPr>
      </w:pPr>
    </w:p>
    <w:tbl>
      <w:tblPr>
        <w:tblW w:w="5665" w:type="pct"/>
        <w:tblInd w:w="-60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1"/>
        <w:gridCol w:w="3695"/>
        <w:gridCol w:w="6089"/>
      </w:tblGrid>
      <w:tr w:rsidR="00167BDA" w:rsidRPr="00283653" w:rsidTr="00D37AC4">
        <w:tc>
          <w:tcPr>
            <w:tcW w:w="5000" w:type="pct"/>
            <w:gridSpan w:val="3"/>
            <w:tcBorders>
              <w:top w:val="single" w:sz="6" w:space="0" w:color="000000"/>
              <w:left w:val="single" w:sz="6" w:space="0" w:color="000000"/>
              <w:bottom w:val="outset" w:sz="6" w:space="0" w:color="000000"/>
              <w:right w:val="single" w:sz="6" w:space="0" w:color="000000"/>
            </w:tcBorders>
          </w:tcPr>
          <w:p w:rsidR="00167BDA" w:rsidRPr="00283653" w:rsidRDefault="00167BDA" w:rsidP="00915A9A">
            <w:pPr>
              <w:pStyle w:val="NormalWeb"/>
              <w:jc w:val="center"/>
              <w:rPr>
                <w:b/>
                <w:bCs/>
                <w:sz w:val="26"/>
                <w:szCs w:val="26"/>
              </w:rPr>
            </w:pPr>
            <w:r w:rsidRPr="00283653">
              <w:rPr>
                <w:b/>
                <w:bCs/>
                <w:sz w:val="26"/>
                <w:szCs w:val="26"/>
              </w:rPr>
              <w:t>VI. Sabiedrības līdzdalība un šīs līdzdalības rezultāti</w:t>
            </w:r>
          </w:p>
        </w:tc>
      </w:tr>
      <w:tr w:rsidR="00590B1A" w:rsidRPr="00283653" w:rsidTr="00BE3C3B">
        <w:tc>
          <w:tcPr>
            <w:tcW w:w="271" w:type="pct"/>
            <w:tcBorders>
              <w:top w:val="outset" w:sz="6" w:space="0" w:color="000000"/>
              <w:left w:val="outset" w:sz="6" w:space="0" w:color="000000"/>
              <w:bottom w:val="outset" w:sz="6" w:space="0" w:color="000000"/>
              <w:right w:val="outset" w:sz="6" w:space="0" w:color="000000"/>
            </w:tcBorders>
          </w:tcPr>
          <w:p w:rsidR="00590B1A" w:rsidRPr="00283653" w:rsidRDefault="00590B1A" w:rsidP="000836B2">
            <w:pPr>
              <w:pStyle w:val="NormalWeb"/>
              <w:jc w:val="center"/>
              <w:rPr>
                <w:sz w:val="26"/>
                <w:szCs w:val="26"/>
              </w:rPr>
            </w:pPr>
            <w:r w:rsidRPr="00283653">
              <w:rPr>
                <w:sz w:val="26"/>
                <w:szCs w:val="26"/>
              </w:rPr>
              <w:t>1.</w:t>
            </w:r>
          </w:p>
        </w:tc>
        <w:tc>
          <w:tcPr>
            <w:tcW w:w="1786" w:type="pct"/>
            <w:tcBorders>
              <w:top w:val="outset" w:sz="6" w:space="0" w:color="000000"/>
              <w:left w:val="outset" w:sz="6" w:space="0" w:color="000000"/>
              <w:bottom w:val="outset" w:sz="6" w:space="0" w:color="000000"/>
              <w:right w:val="outset" w:sz="6" w:space="0" w:color="000000"/>
            </w:tcBorders>
          </w:tcPr>
          <w:p w:rsidR="00590B1A" w:rsidRPr="00283653" w:rsidRDefault="00590B1A" w:rsidP="00BE3C3B">
            <w:pPr>
              <w:ind w:left="39" w:right="52"/>
              <w:rPr>
                <w:sz w:val="26"/>
                <w:szCs w:val="26"/>
              </w:rPr>
            </w:pPr>
            <w:r w:rsidRPr="00283653">
              <w:rPr>
                <w:sz w:val="26"/>
                <w:szCs w:val="26"/>
              </w:rPr>
              <w:t>Sabiedrības informēšana par projekta izstrādes uzsākšanu</w:t>
            </w:r>
          </w:p>
        </w:tc>
        <w:tc>
          <w:tcPr>
            <w:tcW w:w="2943" w:type="pct"/>
            <w:tcBorders>
              <w:top w:val="outset" w:sz="6" w:space="0" w:color="000000"/>
              <w:left w:val="outset" w:sz="6" w:space="0" w:color="000000"/>
              <w:bottom w:val="outset" w:sz="6" w:space="0" w:color="000000"/>
              <w:right w:val="outset" w:sz="6" w:space="0" w:color="000000"/>
            </w:tcBorders>
          </w:tcPr>
          <w:p w:rsidR="005A3E4D" w:rsidRDefault="005A3E4D" w:rsidP="002F601C">
            <w:pPr>
              <w:autoSpaceDE w:val="0"/>
              <w:autoSpaceDN w:val="0"/>
              <w:adjustRightInd w:val="0"/>
              <w:ind w:left="111" w:right="113"/>
              <w:jc w:val="both"/>
              <w:rPr>
                <w:sz w:val="26"/>
                <w:szCs w:val="26"/>
              </w:rPr>
            </w:pPr>
            <w:r w:rsidRPr="00283653">
              <w:rPr>
                <w:sz w:val="26"/>
                <w:szCs w:val="26"/>
              </w:rPr>
              <w:t>Par Projekta izstrādes uzsākšanu</w:t>
            </w:r>
            <w:r>
              <w:rPr>
                <w:sz w:val="26"/>
                <w:szCs w:val="26"/>
              </w:rPr>
              <w:t xml:space="preserve"> attiecībā uz </w:t>
            </w:r>
            <w:r w:rsidRPr="00BE0350">
              <w:rPr>
                <w:sz w:val="26"/>
                <w:szCs w:val="26"/>
              </w:rPr>
              <w:t>pasaules jaunatnes olimpisko spēļu iekļaušanu to sporta sacensību sarakstā, par sasniegumiem kurās Ministru kabinets var piešķirt naudas balvas</w:t>
            </w:r>
            <w:r>
              <w:rPr>
                <w:sz w:val="26"/>
                <w:szCs w:val="26"/>
              </w:rPr>
              <w:t xml:space="preserve">, nevalstiskās sporta organizācijas </w:t>
            </w:r>
            <w:r w:rsidR="00BD60CB" w:rsidRPr="00283653">
              <w:rPr>
                <w:sz w:val="26"/>
                <w:szCs w:val="26"/>
              </w:rPr>
              <w:t>(biedrība „Latvijas Olimpiskā komiteja”, biedrība „Latvijas Sporta federāciju padome”</w:t>
            </w:r>
            <w:r w:rsidR="00BE75C1">
              <w:rPr>
                <w:sz w:val="26"/>
                <w:szCs w:val="26"/>
              </w:rPr>
              <w:t xml:space="preserve"> un </w:t>
            </w:r>
            <w:r w:rsidR="00BD60CB">
              <w:rPr>
                <w:sz w:val="26"/>
                <w:szCs w:val="26"/>
              </w:rPr>
              <w:t>biedrība „Latvijas Paralimpiskā komiteja”</w:t>
            </w:r>
            <w:r w:rsidR="00BD60CB" w:rsidRPr="00283653">
              <w:rPr>
                <w:sz w:val="26"/>
                <w:szCs w:val="26"/>
              </w:rPr>
              <w:t xml:space="preserve">) </w:t>
            </w:r>
            <w:r w:rsidR="00BD60CB">
              <w:rPr>
                <w:sz w:val="26"/>
                <w:szCs w:val="26"/>
              </w:rPr>
              <w:t xml:space="preserve">informētas, piedaloties </w:t>
            </w:r>
            <w:r w:rsidR="002637DF">
              <w:rPr>
                <w:sz w:val="26"/>
                <w:szCs w:val="26"/>
              </w:rPr>
              <w:t>P</w:t>
            </w:r>
            <w:r w:rsidRPr="00C2362E">
              <w:rPr>
                <w:sz w:val="26"/>
                <w:szCs w:val="26"/>
              </w:rPr>
              <w:t>adome</w:t>
            </w:r>
            <w:r>
              <w:rPr>
                <w:sz w:val="26"/>
                <w:szCs w:val="26"/>
              </w:rPr>
              <w:t xml:space="preserve">s </w:t>
            </w:r>
            <w:r w:rsidRPr="00BE0350">
              <w:rPr>
                <w:sz w:val="26"/>
                <w:szCs w:val="26"/>
              </w:rPr>
              <w:t>2012.gada 14.maija sēdē (prot. Nr. 3 7.§)</w:t>
            </w:r>
            <w:r>
              <w:rPr>
                <w:sz w:val="26"/>
                <w:szCs w:val="26"/>
              </w:rPr>
              <w:t>.</w:t>
            </w:r>
          </w:p>
          <w:p w:rsidR="005A3E4D" w:rsidRDefault="005A3E4D" w:rsidP="002F601C">
            <w:pPr>
              <w:autoSpaceDE w:val="0"/>
              <w:autoSpaceDN w:val="0"/>
              <w:adjustRightInd w:val="0"/>
              <w:ind w:left="111" w:right="113"/>
              <w:jc w:val="both"/>
              <w:rPr>
                <w:sz w:val="26"/>
                <w:szCs w:val="26"/>
              </w:rPr>
            </w:pPr>
          </w:p>
          <w:p w:rsidR="00700EA5" w:rsidRPr="00283653" w:rsidRDefault="00700EA5" w:rsidP="00864A24">
            <w:pPr>
              <w:autoSpaceDE w:val="0"/>
              <w:autoSpaceDN w:val="0"/>
              <w:adjustRightInd w:val="0"/>
              <w:ind w:left="111" w:right="113"/>
              <w:jc w:val="both"/>
              <w:rPr>
                <w:sz w:val="26"/>
                <w:szCs w:val="26"/>
              </w:rPr>
            </w:pPr>
            <w:r>
              <w:rPr>
                <w:sz w:val="26"/>
                <w:szCs w:val="26"/>
              </w:rPr>
              <w:t xml:space="preserve">Par Projekta izstrādes uzsākšanu attiecībā uz </w:t>
            </w:r>
            <w:r w:rsidRPr="00373926">
              <w:rPr>
                <w:rFonts w:eastAsia="Calibri"/>
                <w:sz w:val="26"/>
                <w:szCs w:val="26"/>
              </w:rPr>
              <w:t>sportistu ar invaliditāti sasniegumu</w:t>
            </w:r>
            <w:r>
              <w:rPr>
                <w:rFonts w:eastAsia="Calibri"/>
                <w:sz w:val="26"/>
                <w:szCs w:val="26"/>
              </w:rPr>
              <w:t xml:space="preserve"> pielīdzināšanu </w:t>
            </w:r>
            <w:r w:rsidRPr="00373926">
              <w:rPr>
                <w:rFonts w:eastAsia="Calibri"/>
                <w:sz w:val="26"/>
                <w:szCs w:val="26"/>
              </w:rPr>
              <w:t xml:space="preserve">tādiem sasniegumiem, kurus ir izcīnījuši sportisti bez invaliditātes, </w:t>
            </w:r>
            <w:r w:rsidR="00392D06">
              <w:rPr>
                <w:rFonts w:eastAsia="Calibri"/>
                <w:sz w:val="26"/>
                <w:szCs w:val="26"/>
              </w:rPr>
              <w:t xml:space="preserve">sabiedrība tika informēta </w:t>
            </w:r>
            <w:r w:rsidR="00B802C2">
              <w:rPr>
                <w:rFonts w:eastAsia="Calibri"/>
                <w:sz w:val="26"/>
                <w:szCs w:val="26"/>
              </w:rPr>
              <w:t xml:space="preserve">ar </w:t>
            </w:r>
            <w:proofErr w:type="spellStart"/>
            <w:r w:rsidR="00B802C2">
              <w:rPr>
                <w:rFonts w:eastAsia="Calibri"/>
                <w:sz w:val="26"/>
                <w:szCs w:val="26"/>
              </w:rPr>
              <w:t>plašsaziņas</w:t>
            </w:r>
            <w:proofErr w:type="spellEnd"/>
            <w:r w:rsidR="00B802C2">
              <w:rPr>
                <w:rFonts w:eastAsia="Calibri"/>
                <w:sz w:val="26"/>
                <w:szCs w:val="26"/>
              </w:rPr>
              <w:t xml:space="preserve"> līdzekļu starpniecību </w:t>
            </w:r>
            <w:r w:rsidR="00636703">
              <w:rPr>
                <w:rFonts w:eastAsia="Calibri"/>
                <w:sz w:val="26"/>
                <w:szCs w:val="26"/>
              </w:rPr>
              <w:t xml:space="preserve">2012.gada 11.septembrī, atspoguļojot </w:t>
            </w:r>
            <w:r w:rsidR="00864A24">
              <w:rPr>
                <w:rFonts w:eastAsia="Calibri"/>
                <w:sz w:val="26"/>
                <w:szCs w:val="26"/>
              </w:rPr>
              <w:t xml:space="preserve">informāciju par Latvijas paralimpiešu sagaidīšanu </w:t>
            </w:r>
            <w:r w:rsidR="00BE75C1">
              <w:rPr>
                <w:rFonts w:eastAsia="Calibri"/>
                <w:sz w:val="26"/>
                <w:szCs w:val="26"/>
              </w:rPr>
              <w:t xml:space="preserve">starptautiskajā </w:t>
            </w:r>
            <w:r w:rsidR="00864A24">
              <w:rPr>
                <w:rFonts w:eastAsia="Calibri"/>
                <w:sz w:val="26"/>
                <w:szCs w:val="26"/>
              </w:rPr>
              <w:t>lidostā „Rīga” 2012.gada 10.septembrī</w:t>
            </w:r>
            <w:r w:rsidR="000D7F6E">
              <w:rPr>
                <w:rFonts w:eastAsia="Calibri"/>
                <w:sz w:val="26"/>
                <w:szCs w:val="26"/>
              </w:rPr>
              <w:t>, kā arī atspoguļojot Ministru kabineta 2012.gada 11.septembra sēdē pārrunāto</w:t>
            </w:r>
            <w:r w:rsidR="00864A24">
              <w:rPr>
                <w:rFonts w:eastAsia="Calibri"/>
                <w:sz w:val="26"/>
                <w:szCs w:val="26"/>
              </w:rPr>
              <w:t>.</w:t>
            </w:r>
          </w:p>
        </w:tc>
      </w:tr>
      <w:tr w:rsidR="00590B1A" w:rsidRPr="00283653" w:rsidTr="00BE3C3B">
        <w:tc>
          <w:tcPr>
            <w:tcW w:w="271" w:type="pct"/>
            <w:tcBorders>
              <w:top w:val="outset" w:sz="6" w:space="0" w:color="000000"/>
              <w:left w:val="outset" w:sz="6" w:space="0" w:color="000000"/>
              <w:bottom w:val="outset" w:sz="6" w:space="0" w:color="000000"/>
              <w:right w:val="outset" w:sz="6" w:space="0" w:color="000000"/>
            </w:tcBorders>
          </w:tcPr>
          <w:p w:rsidR="00590B1A" w:rsidRPr="00283653" w:rsidRDefault="00590B1A" w:rsidP="000836B2">
            <w:pPr>
              <w:pStyle w:val="NormalWeb"/>
              <w:jc w:val="center"/>
              <w:rPr>
                <w:sz w:val="26"/>
                <w:szCs w:val="26"/>
              </w:rPr>
            </w:pPr>
            <w:r w:rsidRPr="00283653">
              <w:rPr>
                <w:sz w:val="26"/>
                <w:szCs w:val="26"/>
              </w:rPr>
              <w:t>2.</w:t>
            </w:r>
          </w:p>
        </w:tc>
        <w:tc>
          <w:tcPr>
            <w:tcW w:w="1786" w:type="pct"/>
            <w:tcBorders>
              <w:top w:val="outset" w:sz="6" w:space="0" w:color="000000"/>
              <w:left w:val="outset" w:sz="6" w:space="0" w:color="000000"/>
              <w:bottom w:val="outset" w:sz="6" w:space="0" w:color="000000"/>
              <w:right w:val="outset" w:sz="6" w:space="0" w:color="000000"/>
            </w:tcBorders>
          </w:tcPr>
          <w:p w:rsidR="00590B1A" w:rsidRPr="00283653" w:rsidRDefault="00590B1A" w:rsidP="00BE3C3B">
            <w:pPr>
              <w:ind w:left="39" w:right="52"/>
              <w:rPr>
                <w:sz w:val="26"/>
                <w:szCs w:val="26"/>
              </w:rPr>
            </w:pPr>
            <w:r w:rsidRPr="00283653">
              <w:rPr>
                <w:sz w:val="26"/>
                <w:szCs w:val="26"/>
              </w:rPr>
              <w:t xml:space="preserve">Sabiedrības līdzdalība projekta izstrādē </w:t>
            </w:r>
          </w:p>
        </w:tc>
        <w:tc>
          <w:tcPr>
            <w:tcW w:w="2943" w:type="pct"/>
            <w:tcBorders>
              <w:top w:val="outset" w:sz="6" w:space="0" w:color="000000"/>
              <w:left w:val="outset" w:sz="6" w:space="0" w:color="000000"/>
              <w:bottom w:val="outset" w:sz="6" w:space="0" w:color="000000"/>
              <w:right w:val="outset" w:sz="6" w:space="0" w:color="000000"/>
            </w:tcBorders>
          </w:tcPr>
          <w:p w:rsidR="00590B1A" w:rsidRPr="00283653" w:rsidRDefault="00864A24" w:rsidP="005C0D8C">
            <w:pPr>
              <w:tabs>
                <w:tab w:val="left" w:pos="1403"/>
              </w:tabs>
              <w:ind w:left="111" w:right="113"/>
              <w:jc w:val="both"/>
              <w:rPr>
                <w:sz w:val="26"/>
                <w:szCs w:val="26"/>
              </w:rPr>
            </w:pPr>
            <w:r>
              <w:rPr>
                <w:sz w:val="26"/>
                <w:szCs w:val="26"/>
              </w:rPr>
              <w:t xml:space="preserve">Notikušas konsultācijas ar biedrības „Latvijas Paralimpiskā komiteja” </w:t>
            </w:r>
            <w:r w:rsidR="009B1C93">
              <w:rPr>
                <w:sz w:val="26"/>
                <w:szCs w:val="26"/>
              </w:rPr>
              <w:t xml:space="preserve">pārstāvjiem (attiecībā uz </w:t>
            </w:r>
            <w:r w:rsidR="009B1C93" w:rsidRPr="00373926">
              <w:rPr>
                <w:rFonts w:eastAsia="Calibri"/>
                <w:sz w:val="26"/>
                <w:szCs w:val="26"/>
              </w:rPr>
              <w:t>sportistu ar invaliditāti sasniegumu</w:t>
            </w:r>
            <w:r w:rsidR="009B1C93">
              <w:rPr>
                <w:rFonts w:eastAsia="Calibri"/>
                <w:sz w:val="26"/>
                <w:szCs w:val="26"/>
              </w:rPr>
              <w:t xml:space="preserve"> pielīdzināšanu </w:t>
            </w:r>
            <w:r w:rsidR="009B1C93" w:rsidRPr="00373926">
              <w:rPr>
                <w:rFonts w:eastAsia="Calibri"/>
                <w:sz w:val="26"/>
                <w:szCs w:val="26"/>
              </w:rPr>
              <w:t>tādiem sasniegumiem, kurus ir izcīnījuši sportisti bez invaliditātes</w:t>
            </w:r>
            <w:r w:rsidR="009B1C93">
              <w:rPr>
                <w:rFonts w:eastAsia="Calibri"/>
                <w:sz w:val="26"/>
                <w:szCs w:val="26"/>
              </w:rPr>
              <w:t xml:space="preserve">), kā arī </w:t>
            </w:r>
            <w:r w:rsidR="009B1C93">
              <w:rPr>
                <w:sz w:val="26"/>
                <w:szCs w:val="26"/>
              </w:rPr>
              <w:t>jautājums</w:t>
            </w:r>
            <w:r>
              <w:rPr>
                <w:sz w:val="26"/>
                <w:szCs w:val="26"/>
              </w:rPr>
              <w:t xml:space="preserve"> </w:t>
            </w:r>
            <w:r w:rsidR="005537A6" w:rsidRPr="00283653">
              <w:rPr>
                <w:sz w:val="26"/>
                <w:szCs w:val="26"/>
              </w:rPr>
              <w:t xml:space="preserve">izskatīts </w:t>
            </w:r>
            <w:r w:rsidR="002637DF">
              <w:rPr>
                <w:sz w:val="26"/>
                <w:szCs w:val="26"/>
              </w:rPr>
              <w:t>P</w:t>
            </w:r>
            <w:r w:rsidRPr="00C2362E">
              <w:rPr>
                <w:sz w:val="26"/>
                <w:szCs w:val="26"/>
              </w:rPr>
              <w:t>adome</w:t>
            </w:r>
            <w:r>
              <w:rPr>
                <w:sz w:val="26"/>
                <w:szCs w:val="26"/>
              </w:rPr>
              <w:t xml:space="preserve">s </w:t>
            </w:r>
            <w:r w:rsidRPr="00BE0350">
              <w:rPr>
                <w:sz w:val="26"/>
                <w:szCs w:val="26"/>
              </w:rPr>
              <w:t>2012.gada 14.maija sēdē (prot. Nr. 3 7.§)</w:t>
            </w:r>
            <w:r w:rsidR="009B1C93">
              <w:rPr>
                <w:sz w:val="26"/>
                <w:szCs w:val="26"/>
              </w:rPr>
              <w:t xml:space="preserve"> (attiecībā uz </w:t>
            </w:r>
            <w:r w:rsidR="009B1C93" w:rsidRPr="00BE0350">
              <w:rPr>
                <w:sz w:val="26"/>
                <w:szCs w:val="26"/>
              </w:rPr>
              <w:t>pasaules jaunatnes olimpisko spēļu iekļaušanu to sporta sacensību sarakstā, par sasniegumiem kurās Ministru kabinets var piešķirt naudas balvas</w:t>
            </w:r>
            <w:r w:rsidR="009B1C93">
              <w:rPr>
                <w:sz w:val="26"/>
                <w:szCs w:val="26"/>
              </w:rPr>
              <w:t>).</w:t>
            </w:r>
          </w:p>
        </w:tc>
      </w:tr>
      <w:tr w:rsidR="00590B1A" w:rsidRPr="00283653" w:rsidTr="00BE3C3B">
        <w:tc>
          <w:tcPr>
            <w:tcW w:w="271" w:type="pct"/>
            <w:tcBorders>
              <w:top w:val="outset" w:sz="6" w:space="0" w:color="000000"/>
              <w:left w:val="outset" w:sz="6" w:space="0" w:color="000000"/>
              <w:bottom w:val="outset" w:sz="6" w:space="0" w:color="000000"/>
              <w:right w:val="outset" w:sz="6" w:space="0" w:color="000000"/>
            </w:tcBorders>
          </w:tcPr>
          <w:p w:rsidR="00590B1A" w:rsidRPr="00283653" w:rsidRDefault="00590B1A" w:rsidP="000836B2">
            <w:pPr>
              <w:pStyle w:val="NormalWeb"/>
              <w:jc w:val="center"/>
              <w:rPr>
                <w:sz w:val="26"/>
                <w:szCs w:val="26"/>
              </w:rPr>
            </w:pPr>
            <w:r w:rsidRPr="00283653">
              <w:rPr>
                <w:sz w:val="26"/>
                <w:szCs w:val="26"/>
              </w:rPr>
              <w:t>3.</w:t>
            </w:r>
          </w:p>
        </w:tc>
        <w:tc>
          <w:tcPr>
            <w:tcW w:w="1786" w:type="pct"/>
            <w:tcBorders>
              <w:top w:val="outset" w:sz="6" w:space="0" w:color="000000"/>
              <w:left w:val="outset" w:sz="6" w:space="0" w:color="000000"/>
              <w:bottom w:val="outset" w:sz="6" w:space="0" w:color="000000"/>
              <w:right w:val="outset" w:sz="6" w:space="0" w:color="000000"/>
            </w:tcBorders>
          </w:tcPr>
          <w:p w:rsidR="00590B1A" w:rsidRPr="00283653" w:rsidRDefault="00590B1A" w:rsidP="00BE3C3B">
            <w:pPr>
              <w:ind w:left="39" w:right="52"/>
              <w:rPr>
                <w:sz w:val="26"/>
                <w:szCs w:val="26"/>
              </w:rPr>
            </w:pPr>
            <w:r w:rsidRPr="00283653">
              <w:rPr>
                <w:sz w:val="26"/>
                <w:szCs w:val="26"/>
              </w:rPr>
              <w:t xml:space="preserve">Sabiedrības līdzdalības rezultāti </w:t>
            </w:r>
          </w:p>
        </w:tc>
        <w:tc>
          <w:tcPr>
            <w:tcW w:w="2943" w:type="pct"/>
            <w:tcBorders>
              <w:top w:val="outset" w:sz="6" w:space="0" w:color="000000"/>
              <w:left w:val="outset" w:sz="6" w:space="0" w:color="000000"/>
              <w:bottom w:val="outset" w:sz="6" w:space="0" w:color="000000"/>
              <w:right w:val="outset" w:sz="6" w:space="0" w:color="000000"/>
            </w:tcBorders>
          </w:tcPr>
          <w:p w:rsidR="002637DF" w:rsidRDefault="002637DF" w:rsidP="002637DF">
            <w:pPr>
              <w:ind w:left="70" w:right="142"/>
              <w:jc w:val="both"/>
              <w:rPr>
                <w:sz w:val="26"/>
                <w:szCs w:val="26"/>
              </w:rPr>
            </w:pPr>
            <w:r>
              <w:rPr>
                <w:sz w:val="26"/>
                <w:szCs w:val="26"/>
              </w:rPr>
              <w:t xml:space="preserve">Padomes </w:t>
            </w:r>
            <w:r w:rsidRPr="00283653">
              <w:rPr>
                <w:rFonts w:eastAsia="Calibri"/>
                <w:sz w:val="26"/>
                <w:szCs w:val="26"/>
              </w:rPr>
              <w:t>2012.gada 14.maija sēdē</w:t>
            </w:r>
            <w:r>
              <w:rPr>
                <w:rFonts w:eastAsia="Calibri"/>
                <w:sz w:val="26"/>
                <w:szCs w:val="26"/>
              </w:rPr>
              <w:t xml:space="preserve"> </w:t>
            </w:r>
            <w:r w:rsidRPr="00283653">
              <w:rPr>
                <w:rFonts w:eastAsia="Calibri"/>
                <w:sz w:val="26"/>
                <w:szCs w:val="26"/>
              </w:rPr>
              <w:t xml:space="preserve">(prot. Nr. 3 7.§) </w:t>
            </w:r>
            <w:r>
              <w:rPr>
                <w:rFonts w:eastAsia="Calibri"/>
                <w:sz w:val="26"/>
                <w:szCs w:val="26"/>
              </w:rPr>
              <w:t>izteikts atbalsts Projektā iekļautajām normām attiecībā uz</w:t>
            </w:r>
            <w:r>
              <w:rPr>
                <w:sz w:val="26"/>
                <w:szCs w:val="26"/>
              </w:rPr>
              <w:t xml:space="preserve"> </w:t>
            </w:r>
            <w:r w:rsidRPr="00BE0350">
              <w:rPr>
                <w:sz w:val="26"/>
                <w:szCs w:val="26"/>
              </w:rPr>
              <w:t>pasaules jaunatnes olimpisko spēļu iekļaušanu to sporta sacensību sarakstā, par sasniegumiem kurās Ministru kabinets var piešķirt naudas balvas</w:t>
            </w:r>
            <w:r>
              <w:rPr>
                <w:sz w:val="26"/>
                <w:szCs w:val="26"/>
              </w:rPr>
              <w:t>.</w:t>
            </w:r>
          </w:p>
          <w:p w:rsidR="00590B1A" w:rsidRPr="00283653" w:rsidRDefault="002637DF" w:rsidP="002637DF">
            <w:pPr>
              <w:ind w:left="70" w:right="142"/>
              <w:jc w:val="both"/>
              <w:rPr>
                <w:sz w:val="26"/>
                <w:szCs w:val="26"/>
              </w:rPr>
            </w:pPr>
            <w:r>
              <w:rPr>
                <w:sz w:val="26"/>
                <w:szCs w:val="26"/>
              </w:rPr>
              <w:t xml:space="preserve">Biedrība „Latvijas Paralimpiskā komiteja” atbalsta Projektā iekļautās normas attiecībā uz </w:t>
            </w:r>
            <w:r w:rsidRPr="00373926">
              <w:rPr>
                <w:rFonts w:eastAsia="Calibri"/>
                <w:sz w:val="26"/>
                <w:szCs w:val="26"/>
              </w:rPr>
              <w:t>sportistu ar invaliditāti sasniegumu</w:t>
            </w:r>
            <w:r>
              <w:rPr>
                <w:rFonts w:eastAsia="Calibri"/>
                <w:sz w:val="26"/>
                <w:szCs w:val="26"/>
              </w:rPr>
              <w:t xml:space="preserve"> pielīdzināšanu </w:t>
            </w:r>
            <w:r w:rsidRPr="00373926">
              <w:rPr>
                <w:rFonts w:eastAsia="Calibri"/>
                <w:sz w:val="26"/>
                <w:szCs w:val="26"/>
              </w:rPr>
              <w:t>tādiem sasniegumiem, kurus ir izcīnījuši sportisti bez invaliditātes</w:t>
            </w:r>
            <w:r>
              <w:rPr>
                <w:rFonts w:eastAsia="Calibri"/>
                <w:sz w:val="26"/>
                <w:szCs w:val="26"/>
              </w:rPr>
              <w:t>.</w:t>
            </w:r>
          </w:p>
        </w:tc>
      </w:tr>
      <w:tr w:rsidR="00590B1A" w:rsidRPr="00283653" w:rsidTr="00BE3C3B">
        <w:tc>
          <w:tcPr>
            <w:tcW w:w="271" w:type="pct"/>
            <w:tcBorders>
              <w:top w:val="outset" w:sz="6" w:space="0" w:color="000000"/>
              <w:left w:val="outset" w:sz="6" w:space="0" w:color="000000"/>
              <w:bottom w:val="outset" w:sz="6" w:space="0" w:color="000000"/>
              <w:right w:val="outset" w:sz="6" w:space="0" w:color="000000"/>
            </w:tcBorders>
          </w:tcPr>
          <w:p w:rsidR="00590B1A" w:rsidRPr="00283653" w:rsidRDefault="00590B1A" w:rsidP="000836B2">
            <w:pPr>
              <w:pStyle w:val="NormalWeb"/>
              <w:jc w:val="center"/>
              <w:rPr>
                <w:sz w:val="26"/>
                <w:szCs w:val="26"/>
              </w:rPr>
            </w:pPr>
            <w:r w:rsidRPr="00283653">
              <w:rPr>
                <w:sz w:val="26"/>
                <w:szCs w:val="26"/>
              </w:rPr>
              <w:t>4.</w:t>
            </w:r>
          </w:p>
        </w:tc>
        <w:tc>
          <w:tcPr>
            <w:tcW w:w="1786" w:type="pct"/>
            <w:tcBorders>
              <w:top w:val="outset" w:sz="6" w:space="0" w:color="000000"/>
              <w:left w:val="outset" w:sz="6" w:space="0" w:color="000000"/>
              <w:bottom w:val="outset" w:sz="6" w:space="0" w:color="000000"/>
              <w:right w:val="outset" w:sz="6" w:space="0" w:color="000000"/>
            </w:tcBorders>
          </w:tcPr>
          <w:p w:rsidR="00590B1A" w:rsidRPr="00283653" w:rsidRDefault="00590B1A" w:rsidP="00BE3C3B">
            <w:pPr>
              <w:ind w:left="39" w:right="52"/>
              <w:rPr>
                <w:sz w:val="26"/>
                <w:szCs w:val="26"/>
              </w:rPr>
            </w:pPr>
            <w:r w:rsidRPr="00283653">
              <w:rPr>
                <w:sz w:val="26"/>
                <w:szCs w:val="26"/>
              </w:rPr>
              <w:t>Saeimas un ekspertu līdzdalība</w:t>
            </w:r>
          </w:p>
        </w:tc>
        <w:tc>
          <w:tcPr>
            <w:tcW w:w="2943" w:type="pct"/>
            <w:tcBorders>
              <w:top w:val="outset" w:sz="6" w:space="0" w:color="000000"/>
              <w:left w:val="outset" w:sz="6" w:space="0" w:color="000000"/>
              <w:bottom w:val="outset" w:sz="6" w:space="0" w:color="000000"/>
              <w:right w:val="outset" w:sz="6" w:space="0" w:color="000000"/>
            </w:tcBorders>
          </w:tcPr>
          <w:p w:rsidR="00EE2170" w:rsidRPr="00283653" w:rsidRDefault="00B2286F" w:rsidP="00B2286F">
            <w:pPr>
              <w:ind w:left="111" w:right="113"/>
              <w:jc w:val="both"/>
              <w:rPr>
                <w:sz w:val="26"/>
                <w:szCs w:val="26"/>
              </w:rPr>
            </w:pPr>
            <w:r>
              <w:rPr>
                <w:sz w:val="26"/>
                <w:szCs w:val="26"/>
              </w:rPr>
              <w:t>Biedrības „Latvijas Paralimpiskā komiteja”, b</w:t>
            </w:r>
            <w:r w:rsidR="00C51751" w:rsidRPr="00283653">
              <w:rPr>
                <w:sz w:val="26"/>
                <w:szCs w:val="26"/>
              </w:rPr>
              <w:t>iedrības</w:t>
            </w:r>
            <w:r w:rsidR="002C44C5" w:rsidRPr="00283653">
              <w:rPr>
                <w:sz w:val="26"/>
                <w:szCs w:val="26"/>
              </w:rPr>
              <w:t xml:space="preserve"> </w:t>
            </w:r>
            <w:r w:rsidR="00C51751" w:rsidRPr="00283653">
              <w:rPr>
                <w:sz w:val="26"/>
                <w:szCs w:val="26"/>
              </w:rPr>
              <w:t>„Latvijas Olim</w:t>
            </w:r>
            <w:r w:rsidR="00674491" w:rsidRPr="00283653">
              <w:rPr>
                <w:sz w:val="26"/>
                <w:szCs w:val="26"/>
              </w:rPr>
              <w:t>piskā komiteja” un</w:t>
            </w:r>
            <w:r w:rsidR="00C51751" w:rsidRPr="00283653">
              <w:rPr>
                <w:sz w:val="26"/>
                <w:szCs w:val="26"/>
              </w:rPr>
              <w:t xml:space="preserve"> biedrības „Latvijas Sporta federāciju padome” </w:t>
            </w:r>
            <w:r w:rsidR="00590B1A" w:rsidRPr="00283653">
              <w:rPr>
                <w:sz w:val="26"/>
                <w:szCs w:val="26"/>
              </w:rPr>
              <w:t>pārstāvji ir uzskatāmi par ekspertiem sporta nozarē.</w:t>
            </w:r>
          </w:p>
        </w:tc>
      </w:tr>
      <w:tr w:rsidR="00590B1A" w:rsidRPr="00283653" w:rsidTr="00BE3C3B">
        <w:tc>
          <w:tcPr>
            <w:tcW w:w="271" w:type="pct"/>
            <w:tcBorders>
              <w:top w:val="outset" w:sz="6" w:space="0" w:color="000000"/>
              <w:left w:val="outset" w:sz="6" w:space="0" w:color="000000"/>
              <w:bottom w:val="outset" w:sz="6" w:space="0" w:color="000000"/>
              <w:right w:val="outset" w:sz="6" w:space="0" w:color="000000"/>
            </w:tcBorders>
          </w:tcPr>
          <w:p w:rsidR="00590B1A" w:rsidRPr="00283653" w:rsidRDefault="00590B1A" w:rsidP="000836B2">
            <w:pPr>
              <w:pStyle w:val="NormalWeb"/>
              <w:jc w:val="center"/>
              <w:rPr>
                <w:sz w:val="26"/>
                <w:szCs w:val="26"/>
              </w:rPr>
            </w:pPr>
            <w:r w:rsidRPr="00283653">
              <w:rPr>
                <w:sz w:val="26"/>
                <w:szCs w:val="26"/>
              </w:rPr>
              <w:lastRenderedPageBreak/>
              <w:t>5.</w:t>
            </w:r>
          </w:p>
        </w:tc>
        <w:tc>
          <w:tcPr>
            <w:tcW w:w="1786" w:type="pct"/>
            <w:tcBorders>
              <w:top w:val="outset" w:sz="6" w:space="0" w:color="000000"/>
              <w:left w:val="outset" w:sz="6" w:space="0" w:color="000000"/>
              <w:bottom w:val="outset" w:sz="6" w:space="0" w:color="000000"/>
              <w:right w:val="outset" w:sz="6" w:space="0" w:color="000000"/>
            </w:tcBorders>
          </w:tcPr>
          <w:p w:rsidR="00590B1A" w:rsidRPr="00283653" w:rsidRDefault="00590B1A" w:rsidP="00BE3C3B">
            <w:pPr>
              <w:ind w:left="39" w:right="52"/>
              <w:rPr>
                <w:sz w:val="26"/>
                <w:szCs w:val="26"/>
              </w:rPr>
            </w:pPr>
            <w:r w:rsidRPr="00283653">
              <w:rPr>
                <w:sz w:val="26"/>
                <w:szCs w:val="26"/>
              </w:rPr>
              <w:t>Cita informācija</w:t>
            </w:r>
          </w:p>
        </w:tc>
        <w:tc>
          <w:tcPr>
            <w:tcW w:w="2943" w:type="pct"/>
            <w:tcBorders>
              <w:top w:val="outset" w:sz="6" w:space="0" w:color="000000"/>
              <w:left w:val="outset" w:sz="6" w:space="0" w:color="000000"/>
              <w:bottom w:val="outset" w:sz="6" w:space="0" w:color="000000"/>
              <w:right w:val="outset" w:sz="6" w:space="0" w:color="000000"/>
            </w:tcBorders>
          </w:tcPr>
          <w:p w:rsidR="00590B1A" w:rsidRPr="00283653" w:rsidRDefault="00B36C02" w:rsidP="002F601C">
            <w:pPr>
              <w:ind w:left="111" w:right="113"/>
              <w:jc w:val="both"/>
              <w:rPr>
                <w:sz w:val="26"/>
                <w:szCs w:val="26"/>
              </w:rPr>
            </w:pPr>
            <w:r w:rsidRPr="00283653">
              <w:rPr>
                <w:sz w:val="26"/>
                <w:szCs w:val="26"/>
              </w:rPr>
              <w:t>Nav.</w:t>
            </w:r>
          </w:p>
        </w:tc>
      </w:tr>
    </w:tbl>
    <w:p w:rsidR="00167BDA" w:rsidRPr="00283653" w:rsidRDefault="00167BDA" w:rsidP="00680733">
      <w:pPr>
        <w:pStyle w:val="NormalWeb"/>
        <w:spacing w:before="0" w:beforeAutospacing="0" w:after="0" w:afterAutospacing="0"/>
        <w:rPr>
          <w:sz w:val="26"/>
          <w:szCs w:val="26"/>
        </w:rPr>
      </w:pPr>
    </w:p>
    <w:tbl>
      <w:tblPr>
        <w:tblW w:w="10336" w:type="dxa"/>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3"/>
        <w:gridCol w:w="3719"/>
        <w:gridCol w:w="6054"/>
      </w:tblGrid>
      <w:tr w:rsidR="00680733" w:rsidRPr="00283653" w:rsidTr="00D37AC4">
        <w:trPr>
          <w:jc w:val="center"/>
        </w:trPr>
        <w:tc>
          <w:tcPr>
            <w:tcW w:w="10336" w:type="dxa"/>
            <w:gridSpan w:val="3"/>
            <w:tcBorders>
              <w:top w:val="single" w:sz="4" w:space="0" w:color="auto"/>
            </w:tcBorders>
          </w:tcPr>
          <w:p w:rsidR="00680733" w:rsidRPr="00283653" w:rsidRDefault="00680733" w:rsidP="00680733">
            <w:pPr>
              <w:pStyle w:val="naisnod"/>
              <w:spacing w:before="0" w:after="0"/>
              <w:ind w:left="57" w:right="57"/>
              <w:rPr>
                <w:sz w:val="26"/>
                <w:szCs w:val="26"/>
              </w:rPr>
            </w:pPr>
            <w:r w:rsidRPr="00283653">
              <w:rPr>
                <w:sz w:val="26"/>
                <w:szCs w:val="26"/>
              </w:rPr>
              <w:t>VII. Tiesību akta projekta izpildes nodrošināšana un tās ietekme uz institūcijām</w:t>
            </w:r>
          </w:p>
        </w:tc>
      </w:tr>
      <w:tr w:rsidR="00680733" w:rsidRPr="00283653" w:rsidTr="00D37AC4">
        <w:trPr>
          <w:trHeight w:val="427"/>
          <w:jc w:val="center"/>
        </w:trPr>
        <w:tc>
          <w:tcPr>
            <w:tcW w:w="563" w:type="dxa"/>
          </w:tcPr>
          <w:p w:rsidR="00680733" w:rsidRPr="00283653" w:rsidRDefault="00680733" w:rsidP="000836B2">
            <w:pPr>
              <w:pStyle w:val="naisnod"/>
              <w:spacing w:before="0" w:after="0"/>
              <w:ind w:left="57" w:right="57"/>
              <w:rPr>
                <w:b w:val="0"/>
                <w:sz w:val="26"/>
                <w:szCs w:val="26"/>
              </w:rPr>
            </w:pPr>
            <w:r w:rsidRPr="00283653">
              <w:rPr>
                <w:b w:val="0"/>
                <w:sz w:val="26"/>
                <w:szCs w:val="26"/>
              </w:rPr>
              <w:t>1.</w:t>
            </w:r>
          </w:p>
        </w:tc>
        <w:tc>
          <w:tcPr>
            <w:tcW w:w="3719" w:type="dxa"/>
          </w:tcPr>
          <w:p w:rsidR="00680733" w:rsidRPr="00283653" w:rsidRDefault="00680733" w:rsidP="00680733">
            <w:pPr>
              <w:pStyle w:val="naisf"/>
              <w:spacing w:before="0" w:after="0"/>
              <w:ind w:left="57" w:right="57" w:firstLine="0"/>
              <w:jc w:val="left"/>
              <w:rPr>
                <w:sz w:val="26"/>
                <w:szCs w:val="26"/>
              </w:rPr>
            </w:pPr>
            <w:r w:rsidRPr="00283653">
              <w:rPr>
                <w:sz w:val="26"/>
                <w:szCs w:val="26"/>
              </w:rPr>
              <w:t xml:space="preserve">Projekta izpildē iesaistītās institūcijas </w:t>
            </w:r>
          </w:p>
        </w:tc>
        <w:tc>
          <w:tcPr>
            <w:tcW w:w="6054" w:type="dxa"/>
          </w:tcPr>
          <w:p w:rsidR="00680733" w:rsidRPr="00283653" w:rsidRDefault="00C51751" w:rsidP="00BE3C3B">
            <w:pPr>
              <w:pStyle w:val="naisnod"/>
              <w:spacing w:before="0" w:after="0"/>
              <w:ind w:left="57" w:right="57"/>
              <w:jc w:val="both"/>
              <w:rPr>
                <w:b w:val="0"/>
                <w:sz w:val="26"/>
                <w:szCs w:val="26"/>
              </w:rPr>
            </w:pPr>
            <w:r w:rsidRPr="00283653">
              <w:rPr>
                <w:b w:val="0"/>
                <w:sz w:val="26"/>
                <w:szCs w:val="26"/>
              </w:rPr>
              <w:t>Izglītības un zinātnes ministrija</w:t>
            </w:r>
          </w:p>
        </w:tc>
      </w:tr>
      <w:tr w:rsidR="00F4687B" w:rsidRPr="00283653" w:rsidTr="00D37AC4">
        <w:trPr>
          <w:trHeight w:val="463"/>
          <w:jc w:val="center"/>
        </w:trPr>
        <w:tc>
          <w:tcPr>
            <w:tcW w:w="563" w:type="dxa"/>
          </w:tcPr>
          <w:p w:rsidR="00F4687B" w:rsidRPr="00283653" w:rsidRDefault="00F4687B" w:rsidP="000836B2">
            <w:pPr>
              <w:pStyle w:val="naisnod"/>
              <w:spacing w:before="0" w:after="0"/>
              <w:ind w:left="57" w:right="57"/>
              <w:rPr>
                <w:b w:val="0"/>
                <w:sz w:val="26"/>
                <w:szCs w:val="26"/>
              </w:rPr>
            </w:pPr>
            <w:r w:rsidRPr="00283653">
              <w:rPr>
                <w:b w:val="0"/>
                <w:sz w:val="26"/>
                <w:szCs w:val="26"/>
              </w:rPr>
              <w:t>2.</w:t>
            </w:r>
          </w:p>
        </w:tc>
        <w:tc>
          <w:tcPr>
            <w:tcW w:w="3719" w:type="dxa"/>
          </w:tcPr>
          <w:p w:rsidR="00F4687B" w:rsidRPr="00283653" w:rsidRDefault="00F4687B" w:rsidP="00680733">
            <w:pPr>
              <w:pStyle w:val="naisf"/>
              <w:spacing w:before="0" w:after="0"/>
              <w:ind w:left="57" w:right="57" w:firstLine="0"/>
              <w:jc w:val="left"/>
              <w:rPr>
                <w:sz w:val="26"/>
                <w:szCs w:val="26"/>
              </w:rPr>
            </w:pPr>
            <w:r w:rsidRPr="00283653">
              <w:rPr>
                <w:sz w:val="26"/>
                <w:szCs w:val="26"/>
              </w:rPr>
              <w:t xml:space="preserve">Projekta izpildes ietekme uz pārvaldes funkcijām </w:t>
            </w:r>
          </w:p>
        </w:tc>
        <w:tc>
          <w:tcPr>
            <w:tcW w:w="6054" w:type="dxa"/>
          </w:tcPr>
          <w:p w:rsidR="00F4687B" w:rsidRPr="00283653" w:rsidRDefault="00F4687B" w:rsidP="00BE3C3B">
            <w:pPr>
              <w:ind w:left="57" w:right="57"/>
              <w:jc w:val="both"/>
              <w:rPr>
                <w:sz w:val="26"/>
                <w:szCs w:val="26"/>
              </w:rPr>
            </w:pPr>
            <w:r w:rsidRPr="00283653">
              <w:rPr>
                <w:sz w:val="26"/>
                <w:szCs w:val="26"/>
              </w:rPr>
              <w:t>Jaunas valsts institūcijas netiks radītas, kā arī netiks paplašinātas esošo institūciju funkcijas.</w:t>
            </w:r>
          </w:p>
        </w:tc>
      </w:tr>
      <w:tr w:rsidR="00F4687B" w:rsidRPr="00283653" w:rsidTr="00D37AC4">
        <w:trPr>
          <w:trHeight w:val="725"/>
          <w:jc w:val="center"/>
        </w:trPr>
        <w:tc>
          <w:tcPr>
            <w:tcW w:w="563" w:type="dxa"/>
          </w:tcPr>
          <w:p w:rsidR="00F4687B" w:rsidRPr="00283653" w:rsidRDefault="00F4687B" w:rsidP="000836B2">
            <w:pPr>
              <w:pStyle w:val="naisnod"/>
              <w:spacing w:before="0" w:after="0"/>
              <w:ind w:left="57" w:right="57"/>
              <w:rPr>
                <w:b w:val="0"/>
                <w:sz w:val="26"/>
                <w:szCs w:val="26"/>
              </w:rPr>
            </w:pPr>
            <w:r w:rsidRPr="00283653">
              <w:rPr>
                <w:b w:val="0"/>
                <w:sz w:val="26"/>
                <w:szCs w:val="26"/>
              </w:rPr>
              <w:t>3.</w:t>
            </w:r>
          </w:p>
        </w:tc>
        <w:tc>
          <w:tcPr>
            <w:tcW w:w="3719" w:type="dxa"/>
          </w:tcPr>
          <w:p w:rsidR="00F4687B" w:rsidRPr="00283653" w:rsidRDefault="00F4687B" w:rsidP="00680733">
            <w:pPr>
              <w:pStyle w:val="naisf"/>
              <w:spacing w:before="0" w:after="0"/>
              <w:ind w:left="57" w:right="57" w:firstLine="0"/>
              <w:jc w:val="left"/>
              <w:rPr>
                <w:sz w:val="26"/>
                <w:szCs w:val="26"/>
              </w:rPr>
            </w:pPr>
            <w:r w:rsidRPr="00283653">
              <w:rPr>
                <w:sz w:val="26"/>
                <w:szCs w:val="26"/>
              </w:rPr>
              <w:t>Projekta izpildes ietekme uz pārvaldes institucionālo struktūru.</w:t>
            </w:r>
          </w:p>
          <w:p w:rsidR="00F4687B" w:rsidRPr="00283653" w:rsidRDefault="00F4687B" w:rsidP="00680733">
            <w:pPr>
              <w:pStyle w:val="naisf"/>
              <w:spacing w:before="0" w:after="0"/>
              <w:ind w:left="57" w:right="57" w:firstLine="0"/>
              <w:jc w:val="left"/>
              <w:rPr>
                <w:sz w:val="26"/>
                <w:szCs w:val="26"/>
              </w:rPr>
            </w:pPr>
            <w:r w:rsidRPr="00283653">
              <w:rPr>
                <w:sz w:val="26"/>
                <w:szCs w:val="26"/>
              </w:rPr>
              <w:t>Jaunu institūciju izveide</w:t>
            </w:r>
          </w:p>
        </w:tc>
        <w:tc>
          <w:tcPr>
            <w:tcW w:w="6054" w:type="dxa"/>
          </w:tcPr>
          <w:p w:rsidR="00F4687B" w:rsidRPr="00283653" w:rsidRDefault="00F4687B" w:rsidP="00BE3C3B">
            <w:pPr>
              <w:ind w:left="57" w:right="57"/>
              <w:rPr>
                <w:sz w:val="26"/>
                <w:szCs w:val="26"/>
              </w:rPr>
            </w:pPr>
            <w:r w:rsidRPr="00283653">
              <w:rPr>
                <w:sz w:val="26"/>
                <w:szCs w:val="26"/>
              </w:rPr>
              <w:t>Jaunas valsts institūcijas netiek radītas.</w:t>
            </w:r>
          </w:p>
        </w:tc>
      </w:tr>
      <w:tr w:rsidR="00F4687B" w:rsidRPr="00283653" w:rsidTr="00D37AC4">
        <w:trPr>
          <w:trHeight w:val="780"/>
          <w:jc w:val="center"/>
        </w:trPr>
        <w:tc>
          <w:tcPr>
            <w:tcW w:w="563" w:type="dxa"/>
          </w:tcPr>
          <w:p w:rsidR="00F4687B" w:rsidRPr="00283653" w:rsidRDefault="00F4687B" w:rsidP="000836B2">
            <w:pPr>
              <w:pStyle w:val="naisnod"/>
              <w:spacing w:before="0" w:after="0"/>
              <w:ind w:left="57" w:right="57"/>
              <w:rPr>
                <w:b w:val="0"/>
                <w:sz w:val="26"/>
                <w:szCs w:val="26"/>
              </w:rPr>
            </w:pPr>
            <w:r w:rsidRPr="00283653">
              <w:rPr>
                <w:b w:val="0"/>
                <w:sz w:val="26"/>
                <w:szCs w:val="26"/>
              </w:rPr>
              <w:t>4.</w:t>
            </w:r>
          </w:p>
        </w:tc>
        <w:tc>
          <w:tcPr>
            <w:tcW w:w="3719" w:type="dxa"/>
          </w:tcPr>
          <w:p w:rsidR="00F4687B" w:rsidRPr="00283653" w:rsidRDefault="00F4687B" w:rsidP="00680733">
            <w:pPr>
              <w:pStyle w:val="naisf"/>
              <w:spacing w:before="0" w:after="0"/>
              <w:ind w:left="57" w:right="57" w:firstLine="0"/>
              <w:jc w:val="left"/>
              <w:rPr>
                <w:sz w:val="26"/>
                <w:szCs w:val="26"/>
              </w:rPr>
            </w:pPr>
            <w:r w:rsidRPr="00283653">
              <w:rPr>
                <w:sz w:val="26"/>
                <w:szCs w:val="26"/>
              </w:rPr>
              <w:t>Projekta izpildes ietekme uz pārvaldes institucionālo struktūru.</w:t>
            </w:r>
          </w:p>
          <w:p w:rsidR="00F4687B" w:rsidRPr="00283653" w:rsidRDefault="00F4687B" w:rsidP="00680733">
            <w:pPr>
              <w:pStyle w:val="naisf"/>
              <w:spacing w:before="0" w:after="0"/>
              <w:ind w:left="57" w:right="57" w:firstLine="0"/>
              <w:jc w:val="left"/>
              <w:rPr>
                <w:sz w:val="26"/>
                <w:szCs w:val="26"/>
              </w:rPr>
            </w:pPr>
            <w:r w:rsidRPr="00283653">
              <w:rPr>
                <w:sz w:val="26"/>
                <w:szCs w:val="26"/>
              </w:rPr>
              <w:t>Esošu institūciju likvidācija</w:t>
            </w:r>
          </w:p>
        </w:tc>
        <w:tc>
          <w:tcPr>
            <w:tcW w:w="6054" w:type="dxa"/>
          </w:tcPr>
          <w:p w:rsidR="00F4687B" w:rsidRPr="00283653" w:rsidRDefault="0010379F" w:rsidP="00BE3C3B">
            <w:pPr>
              <w:ind w:left="57" w:right="57"/>
              <w:rPr>
                <w:sz w:val="26"/>
                <w:szCs w:val="26"/>
              </w:rPr>
            </w:pPr>
            <w:r w:rsidRPr="00283653">
              <w:rPr>
                <w:sz w:val="26"/>
                <w:szCs w:val="26"/>
              </w:rPr>
              <w:t>Projekts šo jomu neskar</w:t>
            </w:r>
            <w:r w:rsidR="00F4687B" w:rsidRPr="00283653">
              <w:rPr>
                <w:sz w:val="26"/>
                <w:szCs w:val="26"/>
              </w:rPr>
              <w:t>.</w:t>
            </w:r>
          </w:p>
        </w:tc>
      </w:tr>
      <w:tr w:rsidR="00F4687B" w:rsidRPr="00283653" w:rsidTr="00D37AC4">
        <w:trPr>
          <w:trHeight w:val="396"/>
          <w:jc w:val="center"/>
        </w:trPr>
        <w:tc>
          <w:tcPr>
            <w:tcW w:w="563" w:type="dxa"/>
          </w:tcPr>
          <w:p w:rsidR="00F4687B" w:rsidRPr="00283653" w:rsidRDefault="00F4687B" w:rsidP="000836B2">
            <w:pPr>
              <w:pStyle w:val="naisnod"/>
              <w:spacing w:before="0" w:after="0"/>
              <w:ind w:left="57" w:right="57"/>
              <w:rPr>
                <w:b w:val="0"/>
                <w:sz w:val="26"/>
                <w:szCs w:val="26"/>
              </w:rPr>
            </w:pPr>
            <w:r w:rsidRPr="00283653">
              <w:rPr>
                <w:b w:val="0"/>
                <w:sz w:val="26"/>
                <w:szCs w:val="26"/>
              </w:rPr>
              <w:t>5.</w:t>
            </w:r>
          </w:p>
        </w:tc>
        <w:tc>
          <w:tcPr>
            <w:tcW w:w="3719" w:type="dxa"/>
          </w:tcPr>
          <w:p w:rsidR="00F4687B" w:rsidRPr="00283653" w:rsidRDefault="00F4687B" w:rsidP="00680733">
            <w:pPr>
              <w:pStyle w:val="naisf"/>
              <w:spacing w:before="0" w:after="0"/>
              <w:ind w:left="57" w:right="57" w:firstLine="0"/>
              <w:jc w:val="left"/>
              <w:rPr>
                <w:sz w:val="26"/>
                <w:szCs w:val="26"/>
              </w:rPr>
            </w:pPr>
            <w:r w:rsidRPr="00283653">
              <w:rPr>
                <w:sz w:val="26"/>
                <w:szCs w:val="26"/>
              </w:rPr>
              <w:t>Projekta izpildes ietekme uz pārvaldes institucionālo struktūru.</w:t>
            </w:r>
          </w:p>
          <w:p w:rsidR="00F4687B" w:rsidRPr="00283653" w:rsidRDefault="00F4687B" w:rsidP="00680733">
            <w:pPr>
              <w:pStyle w:val="naisf"/>
              <w:spacing w:before="0" w:after="0"/>
              <w:ind w:left="57" w:right="57" w:firstLine="0"/>
              <w:jc w:val="left"/>
              <w:rPr>
                <w:sz w:val="26"/>
                <w:szCs w:val="26"/>
              </w:rPr>
            </w:pPr>
            <w:r w:rsidRPr="00283653">
              <w:rPr>
                <w:sz w:val="26"/>
                <w:szCs w:val="26"/>
              </w:rPr>
              <w:t>Esošu institūciju reorganizācija</w:t>
            </w:r>
          </w:p>
        </w:tc>
        <w:tc>
          <w:tcPr>
            <w:tcW w:w="6054" w:type="dxa"/>
          </w:tcPr>
          <w:p w:rsidR="00F4687B" w:rsidRPr="00283653" w:rsidRDefault="0010379F" w:rsidP="00BE3C3B">
            <w:pPr>
              <w:ind w:left="57" w:right="57"/>
              <w:rPr>
                <w:sz w:val="26"/>
                <w:szCs w:val="26"/>
              </w:rPr>
            </w:pPr>
            <w:r w:rsidRPr="00283653">
              <w:rPr>
                <w:sz w:val="26"/>
                <w:szCs w:val="26"/>
              </w:rPr>
              <w:t>Projekts šo jomu neskar</w:t>
            </w:r>
            <w:r w:rsidR="00F4687B" w:rsidRPr="00283653">
              <w:rPr>
                <w:sz w:val="26"/>
                <w:szCs w:val="26"/>
              </w:rPr>
              <w:t>.</w:t>
            </w:r>
          </w:p>
        </w:tc>
      </w:tr>
      <w:tr w:rsidR="00F4687B" w:rsidRPr="00283653" w:rsidTr="00D37AC4">
        <w:trPr>
          <w:trHeight w:val="476"/>
          <w:jc w:val="center"/>
        </w:trPr>
        <w:tc>
          <w:tcPr>
            <w:tcW w:w="563" w:type="dxa"/>
          </w:tcPr>
          <w:p w:rsidR="00F4687B" w:rsidRPr="00283653" w:rsidRDefault="00F4687B" w:rsidP="000836B2">
            <w:pPr>
              <w:pStyle w:val="naiskr"/>
              <w:spacing w:before="0" w:after="0"/>
              <w:ind w:left="57" w:right="57"/>
              <w:jc w:val="center"/>
              <w:rPr>
                <w:sz w:val="26"/>
                <w:szCs w:val="26"/>
              </w:rPr>
            </w:pPr>
            <w:r w:rsidRPr="00283653">
              <w:rPr>
                <w:sz w:val="26"/>
                <w:szCs w:val="26"/>
              </w:rPr>
              <w:t>6.</w:t>
            </w:r>
          </w:p>
        </w:tc>
        <w:tc>
          <w:tcPr>
            <w:tcW w:w="3719" w:type="dxa"/>
          </w:tcPr>
          <w:p w:rsidR="00F4687B" w:rsidRPr="00283653" w:rsidRDefault="00F4687B" w:rsidP="00680733">
            <w:pPr>
              <w:pStyle w:val="naiskr"/>
              <w:spacing w:before="0" w:after="0"/>
              <w:ind w:left="57" w:right="57"/>
              <w:rPr>
                <w:sz w:val="26"/>
                <w:szCs w:val="26"/>
              </w:rPr>
            </w:pPr>
            <w:r w:rsidRPr="00283653">
              <w:rPr>
                <w:sz w:val="26"/>
                <w:szCs w:val="26"/>
              </w:rPr>
              <w:t>Cita informācija</w:t>
            </w:r>
          </w:p>
        </w:tc>
        <w:tc>
          <w:tcPr>
            <w:tcW w:w="6054" w:type="dxa"/>
          </w:tcPr>
          <w:p w:rsidR="00F4687B" w:rsidRPr="00283653" w:rsidRDefault="00F4687B" w:rsidP="00BE3C3B">
            <w:pPr>
              <w:ind w:left="57" w:right="57"/>
              <w:rPr>
                <w:sz w:val="26"/>
                <w:szCs w:val="26"/>
              </w:rPr>
            </w:pPr>
            <w:r w:rsidRPr="00283653">
              <w:rPr>
                <w:sz w:val="26"/>
                <w:szCs w:val="26"/>
              </w:rPr>
              <w:t>Nav</w:t>
            </w:r>
            <w:r w:rsidR="00DF14F2" w:rsidRPr="00283653">
              <w:rPr>
                <w:sz w:val="26"/>
                <w:szCs w:val="26"/>
              </w:rPr>
              <w:t>.</w:t>
            </w:r>
          </w:p>
        </w:tc>
      </w:tr>
    </w:tbl>
    <w:p w:rsidR="00680733" w:rsidRPr="00283653" w:rsidRDefault="00680733" w:rsidP="00680733">
      <w:pPr>
        <w:pStyle w:val="naisf"/>
        <w:tabs>
          <w:tab w:val="left" w:pos="5760"/>
        </w:tabs>
        <w:spacing w:before="0" w:after="0"/>
        <w:ind w:firstLine="720"/>
        <w:rPr>
          <w:sz w:val="26"/>
          <w:szCs w:val="26"/>
        </w:rPr>
      </w:pPr>
    </w:p>
    <w:p w:rsidR="000A5C8C" w:rsidRPr="00283653" w:rsidRDefault="000A5C8C" w:rsidP="00680733">
      <w:pPr>
        <w:pStyle w:val="naisf"/>
        <w:tabs>
          <w:tab w:val="left" w:pos="5760"/>
        </w:tabs>
        <w:spacing w:before="0" w:after="0"/>
        <w:ind w:firstLine="720"/>
        <w:rPr>
          <w:sz w:val="26"/>
          <w:szCs w:val="26"/>
        </w:rPr>
      </w:pPr>
    </w:p>
    <w:p w:rsidR="001D1DC5" w:rsidRPr="00283653" w:rsidRDefault="001D1DC5" w:rsidP="001D1DC5">
      <w:pPr>
        <w:tabs>
          <w:tab w:val="left" w:pos="6804"/>
        </w:tabs>
        <w:ind w:firstLine="567"/>
        <w:jc w:val="both"/>
        <w:rPr>
          <w:sz w:val="26"/>
          <w:szCs w:val="26"/>
        </w:rPr>
      </w:pPr>
      <w:r w:rsidRPr="00283653">
        <w:rPr>
          <w:sz w:val="26"/>
          <w:szCs w:val="26"/>
        </w:rPr>
        <w:t xml:space="preserve">Izglītības un zinātnes ministrs                              </w:t>
      </w:r>
      <w:r w:rsidRPr="00283653">
        <w:rPr>
          <w:sz w:val="26"/>
          <w:szCs w:val="26"/>
        </w:rPr>
        <w:tab/>
        <w:t xml:space="preserve">   </w:t>
      </w:r>
      <w:r w:rsidRPr="00283653">
        <w:rPr>
          <w:sz w:val="26"/>
          <w:szCs w:val="26"/>
        </w:rPr>
        <w:tab/>
      </w:r>
      <w:r w:rsidRPr="00283653">
        <w:rPr>
          <w:sz w:val="26"/>
          <w:szCs w:val="26"/>
        </w:rPr>
        <w:tab/>
        <w:t>R.Ķīlis</w:t>
      </w:r>
    </w:p>
    <w:p w:rsidR="001D1DC5" w:rsidRPr="00283653" w:rsidRDefault="001D1DC5" w:rsidP="001D1DC5">
      <w:pPr>
        <w:ind w:firstLine="567"/>
        <w:jc w:val="both"/>
        <w:rPr>
          <w:sz w:val="26"/>
          <w:szCs w:val="26"/>
        </w:rPr>
      </w:pPr>
    </w:p>
    <w:p w:rsidR="001D1DC5" w:rsidRPr="00283653" w:rsidRDefault="001D1DC5" w:rsidP="001D1DC5">
      <w:pPr>
        <w:ind w:firstLine="567"/>
        <w:jc w:val="both"/>
        <w:rPr>
          <w:sz w:val="26"/>
          <w:szCs w:val="26"/>
        </w:rPr>
      </w:pPr>
    </w:p>
    <w:p w:rsidR="001D1DC5" w:rsidRPr="00283653" w:rsidRDefault="001D1DC5" w:rsidP="001D1DC5">
      <w:pPr>
        <w:ind w:firstLine="567"/>
        <w:jc w:val="both"/>
        <w:rPr>
          <w:sz w:val="26"/>
          <w:szCs w:val="26"/>
        </w:rPr>
      </w:pPr>
      <w:r w:rsidRPr="00283653">
        <w:rPr>
          <w:sz w:val="26"/>
          <w:szCs w:val="26"/>
        </w:rPr>
        <w:t>Vizē:</w:t>
      </w:r>
    </w:p>
    <w:p w:rsidR="001D1DC5" w:rsidRPr="00283653" w:rsidRDefault="001D1DC5" w:rsidP="001D1DC5">
      <w:pPr>
        <w:autoSpaceDE w:val="0"/>
        <w:autoSpaceDN w:val="0"/>
        <w:adjustRightInd w:val="0"/>
        <w:ind w:firstLine="567"/>
        <w:rPr>
          <w:bCs/>
          <w:color w:val="000000"/>
          <w:sz w:val="26"/>
          <w:szCs w:val="26"/>
        </w:rPr>
      </w:pPr>
      <w:r w:rsidRPr="00283653">
        <w:rPr>
          <w:bCs/>
          <w:color w:val="000000"/>
          <w:sz w:val="26"/>
          <w:szCs w:val="26"/>
        </w:rPr>
        <w:t>Valsts sekretāra vietniece</w:t>
      </w:r>
      <w:r w:rsidRPr="00283653">
        <w:rPr>
          <w:bCs/>
          <w:color w:val="000000"/>
          <w:sz w:val="26"/>
          <w:szCs w:val="26"/>
        </w:rPr>
        <w:softHyphen/>
        <w:t xml:space="preserve"> –</w:t>
      </w:r>
      <w:bookmarkStart w:id="6" w:name="str06"/>
      <w:bookmarkEnd w:id="6"/>
    </w:p>
    <w:p w:rsidR="001D1DC5" w:rsidRPr="00283653" w:rsidRDefault="001D1DC5" w:rsidP="001D1DC5">
      <w:pPr>
        <w:autoSpaceDE w:val="0"/>
        <w:autoSpaceDN w:val="0"/>
        <w:adjustRightInd w:val="0"/>
        <w:ind w:firstLine="567"/>
        <w:rPr>
          <w:bCs/>
          <w:kern w:val="36"/>
          <w:sz w:val="26"/>
          <w:szCs w:val="26"/>
        </w:rPr>
      </w:pPr>
      <w:r w:rsidRPr="00283653">
        <w:rPr>
          <w:bCs/>
          <w:kern w:val="36"/>
          <w:sz w:val="26"/>
          <w:szCs w:val="26"/>
        </w:rPr>
        <w:t xml:space="preserve">Struktūrfondu un starptautisko finanšu instrumentu </w:t>
      </w:r>
    </w:p>
    <w:p w:rsidR="001D1DC5" w:rsidRPr="00283653" w:rsidRDefault="001D1DC5" w:rsidP="001D1DC5">
      <w:pPr>
        <w:autoSpaceDE w:val="0"/>
        <w:autoSpaceDN w:val="0"/>
        <w:adjustRightInd w:val="0"/>
        <w:ind w:firstLine="567"/>
        <w:rPr>
          <w:bCs/>
          <w:color w:val="000000"/>
          <w:sz w:val="26"/>
          <w:szCs w:val="26"/>
        </w:rPr>
      </w:pPr>
      <w:r w:rsidRPr="00283653">
        <w:rPr>
          <w:bCs/>
          <w:kern w:val="36"/>
          <w:sz w:val="26"/>
          <w:szCs w:val="26"/>
        </w:rPr>
        <w:t>departamenta direktore,</w:t>
      </w:r>
    </w:p>
    <w:p w:rsidR="001D1DC5" w:rsidRPr="00283653" w:rsidRDefault="001D1DC5" w:rsidP="001D1DC5">
      <w:pPr>
        <w:autoSpaceDE w:val="0"/>
        <w:autoSpaceDN w:val="0"/>
        <w:adjustRightInd w:val="0"/>
        <w:ind w:firstLine="567"/>
        <w:rPr>
          <w:bCs/>
          <w:color w:val="000000"/>
          <w:sz w:val="26"/>
          <w:szCs w:val="26"/>
        </w:rPr>
      </w:pPr>
      <w:r w:rsidRPr="00283653">
        <w:rPr>
          <w:bCs/>
          <w:color w:val="000000"/>
          <w:sz w:val="26"/>
          <w:szCs w:val="26"/>
        </w:rPr>
        <w:t xml:space="preserve">valsts sekretāra pienākumu izpildītāja </w:t>
      </w:r>
      <w:r w:rsidRPr="00283653">
        <w:rPr>
          <w:bCs/>
          <w:color w:val="000000"/>
          <w:sz w:val="26"/>
          <w:szCs w:val="26"/>
        </w:rPr>
        <w:tab/>
      </w:r>
      <w:r w:rsidRPr="00283653">
        <w:rPr>
          <w:bCs/>
          <w:color w:val="000000"/>
          <w:sz w:val="26"/>
          <w:szCs w:val="26"/>
        </w:rPr>
        <w:tab/>
      </w:r>
      <w:r w:rsidRPr="00283653">
        <w:rPr>
          <w:bCs/>
          <w:color w:val="000000"/>
          <w:sz w:val="26"/>
          <w:szCs w:val="26"/>
        </w:rPr>
        <w:tab/>
        <w:t xml:space="preserve"> </w:t>
      </w:r>
      <w:r w:rsidRPr="00283653">
        <w:rPr>
          <w:bCs/>
          <w:color w:val="000000"/>
          <w:sz w:val="26"/>
          <w:szCs w:val="26"/>
        </w:rPr>
        <w:tab/>
      </w:r>
      <w:r w:rsidRPr="00283653">
        <w:rPr>
          <w:bCs/>
          <w:color w:val="000000"/>
          <w:sz w:val="26"/>
          <w:szCs w:val="26"/>
        </w:rPr>
        <w:tab/>
        <w:t>L. Sīka</w:t>
      </w:r>
    </w:p>
    <w:p w:rsidR="001D1DC5" w:rsidRDefault="001D1DC5" w:rsidP="001D1DC5">
      <w:pPr>
        <w:jc w:val="both"/>
        <w:rPr>
          <w:sz w:val="26"/>
          <w:szCs w:val="26"/>
        </w:rPr>
      </w:pPr>
    </w:p>
    <w:p w:rsidR="00676468" w:rsidRDefault="00676468" w:rsidP="001D1DC5">
      <w:pPr>
        <w:jc w:val="both"/>
        <w:rPr>
          <w:sz w:val="26"/>
          <w:szCs w:val="26"/>
        </w:rPr>
      </w:pPr>
    </w:p>
    <w:p w:rsidR="00676468" w:rsidRDefault="00676468" w:rsidP="001D1DC5">
      <w:pPr>
        <w:jc w:val="both"/>
        <w:rPr>
          <w:sz w:val="26"/>
          <w:szCs w:val="26"/>
        </w:rPr>
      </w:pPr>
    </w:p>
    <w:p w:rsidR="00676468" w:rsidRDefault="00676468" w:rsidP="001D1DC5">
      <w:pPr>
        <w:jc w:val="both"/>
        <w:rPr>
          <w:sz w:val="26"/>
          <w:szCs w:val="26"/>
        </w:rPr>
      </w:pPr>
    </w:p>
    <w:p w:rsidR="002637DF" w:rsidRDefault="002637DF" w:rsidP="001D1DC5">
      <w:pPr>
        <w:jc w:val="both"/>
        <w:rPr>
          <w:sz w:val="26"/>
          <w:szCs w:val="26"/>
        </w:rPr>
      </w:pPr>
    </w:p>
    <w:p w:rsidR="009C4A4F" w:rsidRPr="002637DF" w:rsidRDefault="009C4A4F" w:rsidP="009C4A4F">
      <w:pPr>
        <w:ind w:firstLine="567"/>
        <w:rPr>
          <w:sz w:val="22"/>
          <w:szCs w:val="22"/>
        </w:rPr>
      </w:pPr>
      <w:r w:rsidRPr="002637DF">
        <w:rPr>
          <w:sz w:val="22"/>
          <w:szCs w:val="22"/>
        </w:rPr>
        <w:t>1</w:t>
      </w:r>
      <w:r w:rsidR="00327F02">
        <w:rPr>
          <w:sz w:val="22"/>
          <w:szCs w:val="22"/>
        </w:rPr>
        <w:t>7</w:t>
      </w:r>
      <w:r w:rsidRPr="002637DF">
        <w:rPr>
          <w:sz w:val="22"/>
          <w:szCs w:val="22"/>
        </w:rPr>
        <w:t xml:space="preserve">.09.2012. </w:t>
      </w:r>
      <w:r w:rsidR="00676468">
        <w:rPr>
          <w:sz w:val="22"/>
          <w:szCs w:val="22"/>
        </w:rPr>
        <w:t>16</w:t>
      </w:r>
      <w:r w:rsidRPr="002637DF">
        <w:rPr>
          <w:sz w:val="22"/>
          <w:szCs w:val="22"/>
        </w:rPr>
        <w:t>:</w:t>
      </w:r>
      <w:r w:rsidR="00676468">
        <w:rPr>
          <w:sz w:val="22"/>
          <w:szCs w:val="22"/>
        </w:rPr>
        <w:t>11</w:t>
      </w:r>
    </w:p>
    <w:p w:rsidR="009C4A4F" w:rsidRPr="002637DF" w:rsidRDefault="00676468" w:rsidP="009C4A4F">
      <w:pPr>
        <w:ind w:firstLine="567"/>
        <w:rPr>
          <w:sz w:val="22"/>
          <w:szCs w:val="22"/>
        </w:rPr>
      </w:pPr>
      <w:bookmarkStart w:id="7" w:name="OLE_LINK10"/>
      <w:bookmarkStart w:id="8" w:name="OLE_LINK11"/>
      <w:r>
        <w:rPr>
          <w:sz w:val="22"/>
          <w:szCs w:val="22"/>
        </w:rPr>
        <w:t>2160</w:t>
      </w:r>
    </w:p>
    <w:p w:rsidR="009C4A4F" w:rsidRPr="002637DF" w:rsidRDefault="009C4A4F" w:rsidP="009C4A4F">
      <w:pPr>
        <w:ind w:firstLine="567"/>
        <w:rPr>
          <w:sz w:val="22"/>
          <w:szCs w:val="22"/>
        </w:rPr>
      </w:pPr>
      <w:r w:rsidRPr="002637DF">
        <w:rPr>
          <w:sz w:val="22"/>
          <w:szCs w:val="22"/>
        </w:rPr>
        <w:t>S.Roze</w:t>
      </w:r>
    </w:p>
    <w:p w:rsidR="009C4A4F" w:rsidRPr="002637DF" w:rsidRDefault="009C4A4F" w:rsidP="009C4A4F">
      <w:pPr>
        <w:ind w:firstLine="567"/>
        <w:rPr>
          <w:sz w:val="22"/>
          <w:szCs w:val="22"/>
        </w:rPr>
      </w:pPr>
      <w:r w:rsidRPr="002637DF">
        <w:rPr>
          <w:sz w:val="22"/>
          <w:szCs w:val="22"/>
        </w:rPr>
        <w:t>67047933, santa.roze@izm.gov.lv</w:t>
      </w:r>
    </w:p>
    <w:p w:rsidR="009C4A4F" w:rsidRPr="002637DF" w:rsidRDefault="009C4A4F" w:rsidP="009C4A4F">
      <w:pPr>
        <w:ind w:firstLine="567"/>
        <w:rPr>
          <w:sz w:val="22"/>
          <w:szCs w:val="22"/>
        </w:rPr>
      </w:pPr>
      <w:r w:rsidRPr="002637DF">
        <w:rPr>
          <w:sz w:val="22"/>
          <w:szCs w:val="22"/>
        </w:rPr>
        <w:t>E.Severs</w:t>
      </w:r>
    </w:p>
    <w:p w:rsidR="009C4A4F" w:rsidRPr="00283653" w:rsidRDefault="009C4A4F">
      <w:pPr>
        <w:ind w:firstLine="567"/>
        <w:rPr>
          <w:sz w:val="22"/>
          <w:szCs w:val="22"/>
        </w:rPr>
      </w:pPr>
      <w:r w:rsidRPr="002637DF">
        <w:rPr>
          <w:sz w:val="22"/>
          <w:szCs w:val="22"/>
        </w:rPr>
        <w:t>67047935, edgars.severs@izm.gov.lv</w:t>
      </w:r>
      <w:bookmarkEnd w:id="7"/>
      <w:bookmarkEnd w:id="8"/>
    </w:p>
    <w:sectPr w:rsidR="009C4A4F" w:rsidRPr="00283653" w:rsidSect="00AB21EB">
      <w:headerReference w:type="even" r:id="rId7"/>
      <w:headerReference w:type="default" r:id="rId8"/>
      <w:footerReference w:type="default" r:id="rId9"/>
      <w:footerReference w:type="first" r:id="rId10"/>
      <w:pgSz w:w="11906" w:h="16838" w:code="9"/>
      <w:pgMar w:top="1418" w:right="1134" w:bottom="1134" w:left="1701" w:header="709" w:footer="4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75" w:rsidRDefault="00D72975">
      <w:r>
        <w:separator/>
      </w:r>
    </w:p>
  </w:endnote>
  <w:endnote w:type="continuationSeparator" w:id="0">
    <w:p w:rsidR="00D72975" w:rsidRDefault="00D72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Pr="00333610" w:rsidRDefault="00333610" w:rsidP="00333610">
    <w:pPr>
      <w:jc w:val="both"/>
      <w:rPr>
        <w:szCs w:val="22"/>
      </w:rPr>
    </w:pPr>
    <w:r w:rsidRPr="0093381C">
      <w:rPr>
        <w:sz w:val="22"/>
        <w:szCs w:val="22"/>
      </w:rPr>
      <w:t>IZMAnot_</w:t>
    </w:r>
    <w:r>
      <w:rPr>
        <w:sz w:val="22"/>
        <w:szCs w:val="22"/>
      </w:rPr>
      <w:t>1</w:t>
    </w:r>
    <w:r w:rsidR="00327F02">
      <w:rPr>
        <w:sz w:val="22"/>
        <w:szCs w:val="22"/>
      </w:rPr>
      <w:t>7</w:t>
    </w:r>
    <w:r>
      <w:rPr>
        <w:sz w:val="22"/>
        <w:szCs w:val="22"/>
      </w:rPr>
      <w:t>0912</w:t>
    </w:r>
    <w:r w:rsidRPr="0093381C">
      <w:rPr>
        <w:sz w:val="22"/>
        <w:szCs w:val="22"/>
      </w:rPr>
      <w:t>_</w:t>
    </w:r>
    <w:r>
      <w:rPr>
        <w:sz w:val="22"/>
        <w:szCs w:val="22"/>
      </w:rPr>
      <w:t>balvas</w:t>
    </w:r>
    <w:r w:rsidRPr="0093381C">
      <w:rPr>
        <w:sz w:val="22"/>
        <w:szCs w:val="22"/>
      </w:rPr>
      <w:t xml:space="preserve">; </w:t>
    </w:r>
    <w:r>
      <w:rPr>
        <w:sz w:val="22"/>
        <w:szCs w:val="22"/>
      </w:rPr>
      <w:t>Ministru kabineta noteikumu projekta „</w:t>
    </w:r>
    <w:r w:rsidRPr="002772AF">
      <w:rPr>
        <w:sz w:val="22"/>
        <w:szCs w:val="22"/>
      </w:rPr>
      <w:t>Grozījumi Ministru kabineta 2012.gada 3.janvāra noteikumos Nr.26 „Noteikumi par kārtību, kādā piešķiramas naudas balvas par izciliem sasniegumiem sportā, un naudas balvu apmēru”</w:t>
    </w:r>
    <w:r>
      <w:rPr>
        <w:sz w:val="22"/>
        <w:szCs w:val="22"/>
      </w:rPr>
      <w:t>”</w:t>
    </w:r>
    <w:r w:rsidRPr="00B0137A">
      <w:rPr>
        <w:sz w:val="22"/>
        <w:szCs w:val="22"/>
      </w:rPr>
      <w:t xml:space="preserve"> </w:t>
    </w:r>
    <w:r w:rsidRPr="0093381C">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Pr="0093381C" w:rsidRDefault="00F147FB" w:rsidP="002772AF">
    <w:pPr>
      <w:jc w:val="both"/>
      <w:rPr>
        <w:sz w:val="22"/>
        <w:szCs w:val="22"/>
      </w:rPr>
    </w:pPr>
    <w:bookmarkStart w:id="9" w:name="OLE_LINK7"/>
    <w:bookmarkStart w:id="10" w:name="OLE_LINK8"/>
    <w:bookmarkStart w:id="11" w:name="_Hlk283991344"/>
    <w:r w:rsidRPr="0093381C">
      <w:rPr>
        <w:sz w:val="22"/>
        <w:szCs w:val="22"/>
      </w:rPr>
      <w:t>IZMAnot_</w:t>
    </w:r>
    <w:r w:rsidR="00333610">
      <w:rPr>
        <w:sz w:val="22"/>
        <w:szCs w:val="22"/>
      </w:rPr>
      <w:t>1</w:t>
    </w:r>
    <w:r w:rsidR="00327F02">
      <w:rPr>
        <w:sz w:val="22"/>
        <w:szCs w:val="22"/>
      </w:rPr>
      <w:t>7</w:t>
    </w:r>
    <w:r w:rsidR="00333610">
      <w:rPr>
        <w:sz w:val="22"/>
        <w:szCs w:val="22"/>
      </w:rPr>
      <w:t>09</w:t>
    </w:r>
    <w:r w:rsidR="002772AF">
      <w:rPr>
        <w:sz w:val="22"/>
        <w:szCs w:val="22"/>
      </w:rPr>
      <w:t>12</w:t>
    </w:r>
    <w:r w:rsidRPr="0093381C">
      <w:rPr>
        <w:sz w:val="22"/>
        <w:szCs w:val="22"/>
      </w:rPr>
      <w:t>_</w:t>
    </w:r>
    <w:r w:rsidR="00B0137A">
      <w:rPr>
        <w:sz w:val="22"/>
        <w:szCs w:val="22"/>
      </w:rPr>
      <w:t>balvas</w:t>
    </w:r>
    <w:r w:rsidRPr="0093381C">
      <w:rPr>
        <w:sz w:val="22"/>
        <w:szCs w:val="22"/>
      </w:rPr>
      <w:t xml:space="preserve">; </w:t>
    </w:r>
    <w:r w:rsidR="00B0137A">
      <w:rPr>
        <w:sz w:val="22"/>
        <w:szCs w:val="22"/>
      </w:rPr>
      <w:t>Ministru kabineta noteikumu projekta „</w:t>
    </w:r>
    <w:r w:rsidR="002772AF" w:rsidRPr="002772AF">
      <w:rPr>
        <w:sz w:val="22"/>
        <w:szCs w:val="22"/>
      </w:rPr>
      <w:t>Grozījumi Ministru kabineta 2012.gada 3.janvāra noteikumos Nr.26 „Noteikumi par kārtību, kādā piešķiramas naudas balvas par izciliem sasniegumiem sportā, un naudas balvu apmēru”</w:t>
    </w:r>
    <w:r w:rsidR="00B0137A">
      <w:rPr>
        <w:sz w:val="22"/>
        <w:szCs w:val="22"/>
      </w:rPr>
      <w:t>”</w:t>
    </w:r>
    <w:r w:rsidR="00B0137A" w:rsidRPr="00B0137A">
      <w:rPr>
        <w:sz w:val="22"/>
        <w:szCs w:val="22"/>
      </w:rPr>
      <w:t xml:space="preserve"> </w:t>
    </w:r>
    <w:r w:rsidRPr="0093381C">
      <w:rPr>
        <w:sz w:val="22"/>
        <w:szCs w:val="22"/>
      </w:rPr>
      <w:t>sākotnējās ietekmes novērtējuma ziņojums (anotācija)</w:t>
    </w:r>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75" w:rsidRDefault="00D72975">
      <w:r>
        <w:separator/>
      </w:r>
    </w:p>
  </w:footnote>
  <w:footnote w:type="continuationSeparator" w:id="0">
    <w:p w:rsidR="00D72975" w:rsidRDefault="00D72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Default="00105C29" w:rsidP="00680733">
    <w:pPr>
      <w:pStyle w:val="Header"/>
      <w:framePr w:wrap="around" w:vAnchor="text" w:hAnchor="margin" w:xAlign="center" w:y="1"/>
      <w:rPr>
        <w:rStyle w:val="PageNumber"/>
      </w:rPr>
    </w:pPr>
    <w:r>
      <w:rPr>
        <w:rStyle w:val="PageNumber"/>
      </w:rPr>
      <w:fldChar w:fldCharType="begin"/>
    </w:r>
    <w:r w:rsidR="00F147FB">
      <w:rPr>
        <w:rStyle w:val="PageNumber"/>
      </w:rPr>
      <w:instrText xml:space="preserve">PAGE  </w:instrText>
    </w:r>
    <w:r>
      <w:rPr>
        <w:rStyle w:val="PageNumber"/>
      </w:rPr>
      <w:fldChar w:fldCharType="end"/>
    </w:r>
  </w:p>
  <w:p w:rsidR="00F147FB" w:rsidRDefault="00F147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FB" w:rsidRDefault="00105C29" w:rsidP="002D26B8">
    <w:pPr>
      <w:pStyle w:val="Header"/>
      <w:framePr w:h="423" w:hRule="exact" w:wrap="around" w:vAnchor="text" w:hAnchor="margin" w:xAlign="center" w:y="-145"/>
      <w:rPr>
        <w:rStyle w:val="PageNumber"/>
      </w:rPr>
    </w:pPr>
    <w:r>
      <w:rPr>
        <w:rStyle w:val="PageNumber"/>
      </w:rPr>
      <w:fldChar w:fldCharType="begin"/>
    </w:r>
    <w:r w:rsidR="00F147FB">
      <w:rPr>
        <w:rStyle w:val="PageNumber"/>
      </w:rPr>
      <w:instrText xml:space="preserve">PAGE  </w:instrText>
    </w:r>
    <w:r>
      <w:rPr>
        <w:rStyle w:val="PageNumber"/>
      </w:rPr>
      <w:fldChar w:fldCharType="separate"/>
    </w:r>
    <w:r w:rsidR="00676468">
      <w:rPr>
        <w:rStyle w:val="PageNumber"/>
        <w:noProof/>
      </w:rPr>
      <w:t>8</w:t>
    </w:r>
    <w:r>
      <w:rPr>
        <w:rStyle w:val="PageNumber"/>
      </w:rPr>
      <w:fldChar w:fldCharType="end"/>
    </w:r>
  </w:p>
  <w:p w:rsidR="00F147FB" w:rsidRDefault="00F147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0F875476"/>
    <w:multiLevelType w:val="hybridMultilevel"/>
    <w:tmpl w:val="9580D4E6"/>
    <w:lvl w:ilvl="0" w:tplc="B6847F56">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nsid w:val="204F26CC"/>
    <w:multiLevelType w:val="hybridMultilevel"/>
    <w:tmpl w:val="8AEC1C20"/>
    <w:lvl w:ilvl="0" w:tplc="A6C44648">
      <w:start w:val="1"/>
      <w:numFmt w:val="decimal"/>
      <w:lvlText w:val="%1)"/>
      <w:lvlJc w:val="left"/>
      <w:pPr>
        <w:ind w:left="475" w:hanging="405"/>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3">
    <w:nsid w:val="2C94613A"/>
    <w:multiLevelType w:val="hybridMultilevel"/>
    <w:tmpl w:val="C88632EE"/>
    <w:lvl w:ilvl="0" w:tplc="125A506C">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nsid w:val="39292BBD"/>
    <w:multiLevelType w:val="hybridMultilevel"/>
    <w:tmpl w:val="CC4ABA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DD4399F"/>
    <w:multiLevelType w:val="hybridMultilevel"/>
    <w:tmpl w:val="080ABEA2"/>
    <w:lvl w:ilvl="0" w:tplc="DE2A7D44">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4323531D"/>
    <w:multiLevelType w:val="hybridMultilevel"/>
    <w:tmpl w:val="7A3CEFF2"/>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44B19D9"/>
    <w:multiLevelType w:val="hybridMultilevel"/>
    <w:tmpl w:val="25B05B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24C23A1"/>
    <w:multiLevelType w:val="hybridMultilevel"/>
    <w:tmpl w:val="5F18B008"/>
    <w:lvl w:ilvl="0" w:tplc="C8CA9264">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78FF1E08"/>
    <w:multiLevelType w:val="hybridMultilevel"/>
    <w:tmpl w:val="28989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0"/>
  </w:num>
  <w:num w:numId="2">
    <w:abstractNumId w:val="11"/>
  </w:num>
  <w:num w:numId="3">
    <w:abstractNumId w:val="6"/>
  </w:num>
  <w:num w:numId="4">
    <w:abstractNumId w:val="3"/>
  </w:num>
  <w:num w:numId="5">
    <w:abstractNumId w:val="9"/>
  </w:num>
  <w:num w:numId="6">
    <w:abstractNumId w:val="2"/>
  </w:num>
  <w:num w:numId="7">
    <w:abstractNumId w:val="4"/>
  </w:num>
  <w:num w:numId="8">
    <w:abstractNumId w:val="1"/>
  </w:num>
  <w:num w:numId="9">
    <w:abstractNumId w:val="7"/>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27650"/>
  </w:hdrShapeDefaults>
  <w:footnotePr>
    <w:footnote w:id="-1"/>
    <w:footnote w:id="0"/>
  </w:footnotePr>
  <w:endnotePr>
    <w:endnote w:id="-1"/>
    <w:endnote w:id="0"/>
  </w:endnotePr>
  <w:compat/>
  <w:rsids>
    <w:rsidRoot w:val="00680733"/>
    <w:rsid w:val="0000079B"/>
    <w:rsid w:val="0000412C"/>
    <w:rsid w:val="00004B71"/>
    <w:rsid w:val="00007C59"/>
    <w:rsid w:val="0001057D"/>
    <w:rsid w:val="00020BFE"/>
    <w:rsid w:val="0002257E"/>
    <w:rsid w:val="00023E72"/>
    <w:rsid w:val="00030D75"/>
    <w:rsid w:val="00032A45"/>
    <w:rsid w:val="000368D2"/>
    <w:rsid w:val="00036A35"/>
    <w:rsid w:val="00040744"/>
    <w:rsid w:val="00044851"/>
    <w:rsid w:val="000465AE"/>
    <w:rsid w:val="00046748"/>
    <w:rsid w:val="000509AC"/>
    <w:rsid w:val="00054F7C"/>
    <w:rsid w:val="00055DEF"/>
    <w:rsid w:val="0005613D"/>
    <w:rsid w:val="00056484"/>
    <w:rsid w:val="000602E2"/>
    <w:rsid w:val="0007404A"/>
    <w:rsid w:val="00075165"/>
    <w:rsid w:val="00076725"/>
    <w:rsid w:val="000802D1"/>
    <w:rsid w:val="00081063"/>
    <w:rsid w:val="000836B2"/>
    <w:rsid w:val="00083BA0"/>
    <w:rsid w:val="00083DA5"/>
    <w:rsid w:val="00085E84"/>
    <w:rsid w:val="00086D6D"/>
    <w:rsid w:val="00091EB4"/>
    <w:rsid w:val="00092C1E"/>
    <w:rsid w:val="000936D0"/>
    <w:rsid w:val="000974FB"/>
    <w:rsid w:val="000A1B99"/>
    <w:rsid w:val="000A3DD1"/>
    <w:rsid w:val="000A5C8C"/>
    <w:rsid w:val="000B51AE"/>
    <w:rsid w:val="000B7231"/>
    <w:rsid w:val="000C128A"/>
    <w:rsid w:val="000D44F5"/>
    <w:rsid w:val="000D4F85"/>
    <w:rsid w:val="000D791D"/>
    <w:rsid w:val="000D7F6E"/>
    <w:rsid w:val="000E0ECD"/>
    <w:rsid w:val="000E1AB6"/>
    <w:rsid w:val="000F0A05"/>
    <w:rsid w:val="000F2652"/>
    <w:rsid w:val="000F6A77"/>
    <w:rsid w:val="00103023"/>
    <w:rsid w:val="0010379F"/>
    <w:rsid w:val="00103985"/>
    <w:rsid w:val="00103E8E"/>
    <w:rsid w:val="00104CF0"/>
    <w:rsid w:val="00105C29"/>
    <w:rsid w:val="00106AA3"/>
    <w:rsid w:val="00115DF5"/>
    <w:rsid w:val="00117B0E"/>
    <w:rsid w:val="00124112"/>
    <w:rsid w:val="00124996"/>
    <w:rsid w:val="00124CA9"/>
    <w:rsid w:val="00125F18"/>
    <w:rsid w:val="00127A8A"/>
    <w:rsid w:val="00132652"/>
    <w:rsid w:val="001344EA"/>
    <w:rsid w:val="001363EC"/>
    <w:rsid w:val="00136F62"/>
    <w:rsid w:val="00146762"/>
    <w:rsid w:val="00152686"/>
    <w:rsid w:val="00156DE8"/>
    <w:rsid w:val="00157D40"/>
    <w:rsid w:val="001611D6"/>
    <w:rsid w:val="00167BDA"/>
    <w:rsid w:val="00170A68"/>
    <w:rsid w:val="0017128A"/>
    <w:rsid w:val="001743C4"/>
    <w:rsid w:val="00175E0B"/>
    <w:rsid w:val="00186E5C"/>
    <w:rsid w:val="001A2B9B"/>
    <w:rsid w:val="001A490B"/>
    <w:rsid w:val="001B5054"/>
    <w:rsid w:val="001B79DD"/>
    <w:rsid w:val="001C00F2"/>
    <w:rsid w:val="001C53D6"/>
    <w:rsid w:val="001C5EA1"/>
    <w:rsid w:val="001D1DC5"/>
    <w:rsid w:val="001D3205"/>
    <w:rsid w:val="001D4D32"/>
    <w:rsid w:val="001D7675"/>
    <w:rsid w:val="001D7D36"/>
    <w:rsid w:val="001E0264"/>
    <w:rsid w:val="001E4EDA"/>
    <w:rsid w:val="001E5C1B"/>
    <w:rsid w:val="001E709B"/>
    <w:rsid w:val="001F470E"/>
    <w:rsid w:val="00201BBF"/>
    <w:rsid w:val="002026EF"/>
    <w:rsid w:val="002055C0"/>
    <w:rsid w:val="00210429"/>
    <w:rsid w:val="00210D60"/>
    <w:rsid w:val="00214FC4"/>
    <w:rsid w:val="00231993"/>
    <w:rsid w:val="00231D74"/>
    <w:rsid w:val="00233341"/>
    <w:rsid w:val="00233904"/>
    <w:rsid w:val="002366C8"/>
    <w:rsid w:val="00236706"/>
    <w:rsid w:val="00236A7A"/>
    <w:rsid w:val="0023790C"/>
    <w:rsid w:val="00244952"/>
    <w:rsid w:val="00252439"/>
    <w:rsid w:val="0025416F"/>
    <w:rsid w:val="00260B57"/>
    <w:rsid w:val="00261109"/>
    <w:rsid w:val="00262F86"/>
    <w:rsid w:val="002637DF"/>
    <w:rsid w:val="002703E7"/>
    <w:rsid w:val="002712AE"/>
    <w:rsid w:val="00276972"/>
    <w:rsid w:val="00276D06"/>
    <w:rsid w:val="002772AF"/>
    <w:rsid w:val="002814FC"/>
    <w:rsid w:val="00281951"/>
    <w:rsid w:val="002819C8"/>
    <w:rsid w:val="00283653"/>
    <w:rsid w:val="00283D8E"/>
    <w:rsid w:val="00290722"/>
    <w:rsid w:val="002944A2"/>
    <w:rsid w:val="00294767"/>
    <w:rsid w:val="00296027"/>
    <w:rsid w:val="00297616"/>
    <w:rsid w:val="00297A3E"/>
    <w:rsid w:val="002A01C1"/>
    <w:rsid w:val="002A6E89"/>
    <w:rsid w:val="002B1304"/>
    <w:rsid w:val="002B1DCB"/>
    <w:rsid w:val="002B3EA7"/>
    <w:rsid w:val="002B6569"/>
    <w:rsid w:val="002B6C42"/>
    <w:rsid w:val="002C44C5"/>
    <w:rsid w:val="002C59F9"/>
    <w:rsid w:val="002C6BFC"/>
    <w:rsid w:val="002D031D"/>
    <w:rsid w:val="002D26B8"/>
    <w:rsid w:val="002D43E5"/>
    <w:rsid w:val="002D6DC8"/>
    <w:rsid w:val="002E0391"/>
    <w:rsid w:val="002E4827"/>
    <w:rsid w:val="002E770A"/>
    <w:rsid w:val="002F1247"/>
    <w:rsid w:val="002F1BC8"/>
    <w:rsid w:val="002F313A"/>
    <w:rsid w:val="002F45F8"/>
    <w:rsid w:val="002F554F"/>
    <w:rsid w:val="002F5F53"/>
    <w:rsid w:val="002F601C"/>
    <w:rsid w:val="00301219"/>
    <w:rsid w:val="00304201"/>
    <w:rsid w:val="00304DF3"/>
    <w:rsid w:val="003074DA"/>
    <w:rsid w:val="00313D67"/>
    <w:rsid w:val="003221B6"/>
    <w:rsid w:val="003260CF"/>
    <w:rsid w:val="00327F02"/>
    <w:rsid w:val="003301BF"/>
    <w:rsid w:val="00331BBF"/>
    <w:rsid w:val="00333610"/>
    <w:rsid w:val="00343506"/>
    <w:rsid w:val="003438F1"/>
    <w:rsid w:val="00344451"/>
    <w:rsid w:val="00356D41"/>
    <w:rsid w:val="00357BE9"/>
    <w:rsid w:val="00362341"/>
    <w:rsid w:val="00362800"/>
    <w:rsid w:val="0036624E"/>
    <w:rsid w:val="00373926"/>
    <w:rsid w:val="003741B3"/>
    <w:rsid w:val="0037707A"/>
    <w:rsid w:val="00381B47"/>
    <w:rsid w:val="003864F8"/>
    <w:rsid w:val="003868F2"/>
    <w:rsid w:val="00387F71"/>
    <w:rsid w:val="00392D06"/>
    <w:rsid w:val="003936D7"/>
    <w:rsid w:val="003939DD"/>
    <w:rsid w:val="003A1361"/>
    <w:rsid w:val="003B09C3"/>
    <w:rsid w:val="003B0C56"/>
    <w:rsid w:val="003B0D6A"/>
    <w:rsid w:val="003B3AE9"/>
    <w:rsid w:val="003B5A14"/>
    <w:rsid w:val="003B5D7C"/>
    <w:rsid w:val="003B6EF0"/>
    <w:rsid w:val="003C2485"/>
    <w:rsid w:val="003C49E7"/>
    <w:rsid w:val="003D07DB"/>
    <w:rsid w:val="003D108C"/>
    <w:rsid w:val="003D3A44"/>
    <w:rsid w:val="003D69DC"/>
    <w:rsid w:val="003D7722"/>
    <w:rsid w:val="003E3CDF"/>
    <w:rsid w:val="003E444F"/>
    <w:rsid w:val="003E4CFC"/>
    <w:rsid w:val="003E5BF0"/>
    <w:rsid w:val="003E62B4"/>
    <w:rsid w:val="003E64CC"/>
    <w:rsid w:val="003F38AB"/>
    <w:rsid w:val="003F5EF5"/>
    <w:rsid w:val="00402277"/>
    <w:rsid w:val="00405236"/>
    <w:rsid w:val="00407BAD"/>
    <w:rsid w:val="0041212A"/>
    <w:rsid w:val="004124BF"/>
    <w:rsid w:val="00420F85"/>
    <w:rsid w:val="00422D60"/>
    <w:rsid w:val="00423B43"/>
    <w:rsid w:val="004329B2"/>
    <w:rsid w:val="00433192"/>
    <w:rsid w:val="0043686A"/>
    <w:rsid w:val="004407B5"/>
    <w:rsid w:val="00440CDA"/>
    <w:rsid w:val="004419FF"/>
    <w:rsid w:val="00443574"/>
    <w:rsid w:val="00444A46"/>
    <w:rsid w:val="00446C82"/>
    <w:rsid w:val="00447E81"/>
    <w:rsid w:val="00451992"/>
    <w:rsid w:val="00455C4A"/>
    <w:rsid w:val="00464C24"/>
    <w:rsid w:val="0046633B"/>
    <w:rsid w:val="0047220A"/>
    <w:rsid w:val="004751A4"/>
    <w:rsid w:val="004775B6"/>
    <w:rsid w:val="00482871"/>
    <w:rsid w:val="00496B98"/>
    <w:rsid w:val="004A04C2"/>
    <w:rsid w:val="004A3072"/>
    <w:rsid w:val="004A396F"/>
    <w:rsid w:val="004A51F3"/>
    <w:rsid w:val="004A7165"/>
    <w:rsid w:val="004B0617"/>
    <w:rsid w:val="004B0E85"/>
    <w:rsid w:val="004B7F4A"/>
    <w:rsid w:val="004C0E0E"/>
    <w:rsid w:val="004C2330"/>
    <w:rsid w:val="004C2FBD"/>
    <w:rsid w:val="004C5C00"/>
    <w:rsid w:val="004D7CD5"/>
    <w:rsid w:val="004E21AE"/>
    <w:rsid w:val="004E4144"/>
    <w:rsid w:val="004E49EB"/>
    <w:rsid w:val="004E5B49"/>
    <w:rsid w:val="004E765B"/>
    <w:rsid w:val="004F0F64"/>
    <w:rsid w:val="004F65E5"/>
    <w:rsid w:val="005039A2"/>
    <w:rsid w:val="00510BCF"/>
    <w:rsid w:val="00510DF8"/>
    <w:rsid w:val="00514801"/>
    <w:rsid w:val="00517186"/>
    <w:rsid w:val="005203BB"/>
    <w:rsid w:val="00522BC3"/>
    <w:rsid w:val="00522E79"/>
    <w:rsid w:val="00526E53"/>
    <w:rsid w:val="00527A71"/>
    <w:rsid w:val="005428E8"/>
    <w:rsid w:val="005453FD"/>
    <w:rsid w:val="00545B46"/>
    <w:rsid w:val="005537A6"/>
    <w:rsid w:val="00554A33"/>
    <w:rsid w:val="0056046E"/>
    <w:rsid w:val="005614BA"/>
    <w:rsid w:val="0056262E"/>
    <w:rsid w:val="00562F4A"/>
    <w:rsid w:val="0056338C"/>
    <w:rsid w:val="0057330B"/>
    <w:rsid w:val="00575D25"/>
    <w:rsid w:val="0058165A"/>
    <w:rsid w:val="00590B1A"/>
    <w:rsid w:val="00597414"/>
    <w:rsid w:val="005A15C6"/>
    <w:rsid w:val="005A2C71"/>
    <w:rsid w:val="005A39E3"/>
    <w:rsid w:val="005A3E4D"/>
    <w:rsid w:val="005A51F7"/>
    <w:rsid w:val="005B284F"/>
    <w:rsid w:val="005B51B4"/>
    <w:rsid w:val="005C0D8C"/>
    <w:rsid w:val="005D7444"/>
    <w:rsid w:val="005E0184"/>
    <w:rsid w:val="005E5975"/>
    <w:rsid w:val="005E7671"/>
    <w:rsid w:val="005F01FB"/>
    <w:rsid w:val="005F3201"/>
    <w:rsid w:val="005F381B"/>
    <w:rsid w:val="005F3844"/>
    <w:rsid w:val="00602451"/>
    <w:rsid w:val="006043F0"/>
    <w:rsid w:val="00611644"/>
    <w:rsid w:val="00613343"/>
    <w:rsid w:val="00616F4C"/>
    <w:rsid w:val="00617F10"/>
    <w:rsid w:val="006203DD"/>
    <w:rsid w:val="006213C4"/>
    <w:rsid w:val="0062141E"/>
    <w:rsid w:val="00622733"/>
    <w:rsid w:val="00625EA0"/>
    <w:rsid w:val="00625EB2"/>
    <w:rsid w:val="00626A77"/>
    <w:rsid w:val="00634B98"/>
    <w:rsid w:val="00636703"/>
    <w:rsid w:val="006373B1"/>
    <w:rsid w:val="00637905"/>
    <w:rsid w:val="00641789"/>
    <w:rsid w:val="00650052"/>
    <w:rsid w:val="006519CC"/>
    <w:rsid w:val="00654527"/>
    <w:rsid w:val="00656007"/>
    <w:rsid w:val="00663658"/>
    <w:rsid w:val="00663EBA"/>
    <w:rsid w:val="00665463"/>
    <w:rsid w:val="00665493"/>
    <w:rsid w:val="006661A4"/>
    <w:rsid w:val="00666B21"/>
    <w:rsid w:val="006728CC"/>
    <w:rsid w:val="00674491"/>
    <w:rsid w:val="00675017"/>
    <w:rsid w:val="00675605"/>
    <w:rsid w:val="00676468"/>
    <w:rsid w:val="00680650"/>
    <w:rsid w:val="00680733"/>
    <w:rsid w:val="00684FC9"/>
    <w:rsid w:val="006900FA"/>
    <w:rsid w:val="00690BB9"/>
    <w:rsid w:val="00694187"/>
    <w:rsid w:val="0069663A"/>
    <w:rsid w:val="00697E68"/>
    <w:rsid w:val="006A16FA"/>
    <w:rsid w:val="006A1F54"/>
    <w:rsid w:val="006A7019"/>
    <w:rsid w:val="006B0E49"/>
    <w:rsid w:val="006C29BE"/>
    <w:rsid w:val="006C54A3"/>
    <w:rsid w:val="006C5A97"/>
    <w:rsid w:val="006C69AA"/>
    <w:rsid w:val="006C760D"/>
    <w:rsid w:val="006D68B0"/>
    <w:rsid w:val="006D7840"/>
    <w:rsid w:val="006E23C9"/>
    <w:rsid w:val="006E4AE9"/>
    <w:rsid w:val="006F4067"/>
    <w:rsid w:val="006F43C8"/>
    <w:rsid w:val="006F51F2"/>
    <w:rsid w:val="00700EA5"/>
    <w:rsid w:val="0070135F"/>
    <w:rsid w:val="00705EFC"/>
    <w:rsid w:val="00707470"/>
    <w:rsid w:val="0071142A"/>
    <w:rsid w:val="00711E14"/>
    <w:rsid w:val="00715501"/>
    <w:rsid w:val="00715AE9"/>
    <w:rsid w:val="00722B05"/>
    <w:rsid w:val="00723E55"/>
    <w:rsid w:val="00727C10"/>
    <w:rsid w:val="00740AEB"/>
    <w:rsid w:val="007453A0"/>
    <w:rsid w:val="00746672"/>
    <w:rsid w:val="00752298"/>
    <w:rsid w:val="00752C2B"/>
    <w:rsid w:val="00755C87"/>
    <w:rsid w:val="007566D5"/>
    <w:rsid w:val="0076289D"/>
    <w:rsid w:val="00770230"/>
    <w:rsid w:val="0077589E"/>
    <w:rsid w:val="0077621B"/>
    <w:rsid w:val="007808A2"/>
    <w:rsid w:val="00782C13"/>
    <w:rsid w:val="00782CAF"/>
    <w:rsid w:val="00782D76"/>
    <w:rsid w:val="00783CD1"/>
    <w:rsid w:val="0078404D"/>
    <w:rsid w:val="007904A7"/>
    <w:rsid w:val="00795C9E"/>
    <w:rsid w:val="007A0109"/>
    <w:rsid w:val="007B2F6E"/>
    <w:rsid w:val="007B45F9"/>
    <w:rsid w:val="007B50D8"/>
    <w:rsid w:val="007C1A54"/>
    <w:rsid w:val="007C5572"/>
    <w:rsid w:val="007C6A34"/>
    <w:rsid w:val="007D324E"/>
    <w:rsid w:val="007D539C"/>
    <w:rsid w:val="007D5568"/>
    <w:rsid w:val="007D6930"/>
    <w:rsid w:val="007D7547"/>
    <w:rsid w:val="007E1693"/>
    <w:rsid w:val="007E2B83"/>
    <w:rsid w:val="007E7483"/>
    <w:rsid w:val="007F38DA"/>
    <w:rsid w:val="007F4911"/>
    <w:rsid w:val="00801170"/>
    <w:rsid w:val="00801E69"/>
    <w:rsid w:val="00803C92"/>
    <w:rsid w:val="00804A9C"/>
    <w:rsid w:val="00814DFE"/>
    <w:rsid w:val="00815862"/>
    <w:rsid w:val="00825BEB"/>
    <w:rsid w:val="00827AF3"/>
    <w:rsid w:val="008310F3"/>
    <w:rsid w:val="00837051"/>
    <w:rsid w:val="00837EA4"/>
    <w:rsid w:val="0084297C"/>
    <w:rsid w:val="0084671C"/>
    <w:rsid w:val="008500C6"/>
    <w:rsid w:val="00860E58"/>
    <w:rsid w:val="00862CA0"/>
    <w:rsid w:val="00864A24"/>
    <w:rsid w:val="00870F3A"/>
    <w:rsid w:val="008716C9"/>
    <w:rsid w:val="0087389C"/>
    <w:rsid w:val="008745C7"/>
    <w:rsid w:val="008772EA"/>
    <w:rsid w:val="008815F7"/>
    <w:rsid w:val="00883743"/>
    <w:rsid w:val="00883FF8"/>
    <w:rsid w:val="008922B3"/>
    <w:rsid w:val="00896138"/>
    <w:rsid w:val="008A2EA7"/>
    <w:rsid w:val="008B3A79"/>
    <w:rsid w:val="008B3C19"/>
    <w:rsid w:val="008C10D6"/>
    <w:rsid w:val="008C4E3F"/>
    <w:rsid w:val="008C75D9"/>
    <w:rsid w:val="008C7665"/>
    <w:rsid w:val="008C7825"/>
    <w:rsid w:val="008D25A8"/>
    <w:rsid w:val="008D3CDE"/>
    <w:rsid w:val="008D3D32"/>
    <w:rsid w:val="008E1263"/>
    <w:rsid w:val="008E5278"/>
    <w:rsid w:val="008E5D3D"/>
    <w:rsid w:val="008E6524"/>
    <w:rsid w:val="008E6A6A"/>
    <w:rsid w:val="008F239E"/>
    <w:rsid w:val="008F26E0"/>
    <w:rsid w:val="008F49C3"/>
    <w:rsid w:val="008F4A53"/>
    <w:rsid w:val="008F57D4"/>
    <w:rsid w:val="00902CDA"/>
    <w:rsid w:val="0090378E"/>
    <w:rsid w:val="009041F5"/>
    <w:rsid w:val="00904F17"/>
    <w:rsid w:val="009060B5"/>
    <w:rsid w:val="0091521D"/>
    <w:rsid w:val="00915A9A"/>
    <w:rsid w:val="00920C4A"/>
    <w:rsid w:val="009215F9"/>
    <w:rsid w:val="00922624"/>
    <w:rsid w:val="00925546"/>
    <w:rsid w:val="009331E5"/>
    <w:rsid w:val="0093381C"/>
    <w:rsid w:val="00943A08"/>
    <w:rsid w:val="009440B5"/>
    <w:rsid w:val="0094682F"/>
    <w:rsid w:val="0095253E"/>
    <w:rsid w:val="00957BC9"/>
    <w:rsid w:val="00961CFC"/>
    <w:rsid w:val="0096470D"/>
    <w:rsid w:val="00966568"/>
    <w:rsid w:val="00966BC3"/>
    <w:rsid w:val="00970B30"/>
    <w:rsid w:val="00973EB9"/>
    <w:rsid w:val="00977380"/>
    <w:rsid w:val="00983171"/>
    <w:rsid w:val="009838E9"/>
    <w:rsid w:val="009843BA"/>
    <w:rsid w:val="00986416"/>
    <w:rsid w:val="00987BE7"/>
    <w:rsid w:val="00987EBB"/>
    <w:rsid w:val="00990876"/>
    <w:rsid w:val="009912C7"/>
    <w:rsid w:val="00991F8D"/>
    <w:rsid w:val="009920F6"/>
    <w:rsid w:val="0099385A"/>
    <w:rsid w:val="00994185"/>
    <w:rsid w:val="009A2C91"/>
    <w:rsid w:val="009A3383"/>
    <w:rsid w:val="009A5ADC"/>
    <w:rsid w:val="009A6602"/>
    <w:rsid w:val="009B1C93"/>
    <w:rsid w:val="009B3890"/>
    <w:rsid w:val="009B46AF"/>
    <w:rsid w:val="009B50B4"/>
    <w:rsid w:val="009B5D10"/>
    <w:rsid w:val="009B6DF8"/>
    <w:rsid w:val="009B72A6"/>
    <w:rsid w:val="009C0161"/>
    <w:rsid w:val="009C4A4F"/>
    <w:rsid w:val="009C68E8"/>
    <w:rsid w:val="009D0D04"/>
    <w:rsid w:val="009D5ABD"/>
    <w:rsid w:val="009E197A"/>
    <w:rsid w:val="009E19BF"/>
    <w:rsid w:val="009E34A5"/>
    <w:rsid w:val="009E4C93"/>
    <w:rsid w:val="009E5A9C"/>
    <w:rsid w:val="009E6E74"/>
    <w:rsid w:val="009E7987"/>
    <w:rsid w:val="009F5190"/>
    <w:rsid w:val="009F5551"/>
    <w:rsid w:val="00A000AC"/>
    <w:rsid w:val="00A01B1B"/>
    <w:rsid w:val="00A11071"/>
    <w:rsid w:val="00A13243"/>
    <w:rsid w:val="00A26961"/>
    <w:rsid w:val="00A27BF8"/>
    <w:rsid w:val="00A307C1"/>
    <w:rsid w:val="00A33A4B"/>
    <w:rsid w:val="00A34832"/>
    <w:rsid w:val="00A35F56"/>
    <w:rsid w:val="00A4033D"/>
    <w:rsid w:val="00A42E1C"/>
    <w:rsid w:val="00A47DD1"/>
    <w:rsid w:val="00A52298"/>
    <w:rsid w:val="00A549B5"/>
    <w:rsid w:val="00A56D8B"/>
    <w:rsid w:val="00A637E2"/>
    <w:rsid w:val="00A65265"/>
    <w:rsid w:val="00A66433"/>
    <w:rsid w:val="00A67033"/>
    <w:rsid w:val="00A74E94"/>
    <w:rsid w:val="00A7551F"/>
    <w:rsid w:val="00A77AD4"/>
    <w:rsid w:val="00A80207"/>
    <w:rsid w:val="00A83AC1"/>
    <w:rsid w:val="00A859D6"/>
    <w:rsid w:val="00A906D0"/>
    <w:rsid w:val="00A93996"/>
    <w:rsid w:val="00A93E89"/>
    <w:rsid w:val="00A94B36"/>
    <w:rsid w:val="00A97074"/>
    <w:rsid w:val="00AA1283"/>
    <w:rsid w:val="00AA48B1"/>
    <w:rsid w:val="00AA5701"/>
    <w:rsid w:val="00AB21EB"/>
    <w:rsid w:val="00AC16A4"/>
    <w:rsid w:val="00AC3F53"/>
    <w:rsid w:val="00AC44A5"/>
    <w:rsid w:val="00AD07F1"/>
    <w:rsid w:val="00AE0217"/>
    <w:rsid w:val="00AE4CC9"/>
    <w:rsid w:val="00AE5877"/>
    <w:rsid w:val="00AE7720"/>
    <w:rsid w:val="00AE7EAA"/>
    <w:rsid w:val="00AF3977"/>
    <w:rsid w:val="00AF4932"/>
    <w:rsid w:val="00B0137A"/>
    <w:rsid w:val="00B043BC"/>
    <w:rsid w:val="00B10FAC"/>
    <w:rsid w:val="00B145CF"/>
    <w:rsid w:val="00B2286F"/>
    <w:rsid w:val="00B31993"/>
    <w:rsid w:val="00B332FC"/>
    <w:rsid w:val="00B36A40"/>
    <w:rsid w:val="00B36C02"/>
    <w:rsid w:val="00B37D67"/>
    <w:rsid w:val="00B402BD"/>
    <w:rsid w:val="00B40A7F"/>
    <w:rsid w:val="00B444D1"/>
    <w:rsid w:val="00B52F84"/>
    <w:rsid w:val="00B61185"/>
    <w:rsid w:val="00B63BF8"/>
    <w:rsid w:val="00B70A0A"/>
    <w:rsid w:val="00B71B73"/>
    <w:rsid w:val="00B71CD7"/>
    <w:rsid w:val="00B73F9A"/>
    <w:rsid w:val="00B76C98"/>
    <w:rsid w:val="00B802C2"/>
    <w:rsid w:val="00B85135"/>
    <w:rsid w:val="00B85CFB"/>
    <w:rsid w:val="00B90BE7"/>
    <w:rsid w:val="00B95B96"/>
    <w:rsid w:val="00BA008B"/>
    <w:rsid w:val="00BA3864"/>
    <w:rsid w:val="00BB12CF"/>
    <w:rsid w:val="00BB2EAA"/>
    <w:rsid w:val="00BB5527"/>
    <w:rsid w:val="00BB763F"/>
    <w:rsid w:val="00BC0F83"/>
    <w:rsid w:val="00BC14EC"/>
    <w:rsid w:val="00BC2C97"/>
    <w:rsid w:val="00BC5FE6"/>
    <w:rsid w:val="00BC5FF8"/>
    <w:rsid w:val="00BC6521"/>
    <w:rsid w:val="00BC69CD"/>
    <w:rsid w:val="00BC7292"/>
    <w:rsid w:val="00BD0A64"/>
    <w:rsid w:val="00BD1EB4"/>
    <w:rsid w:val="00BD2B26"/>
    <w:rsid w:val="00BD60CB"/>
    <w:rsid w:val="00BE0350"/>
    <w:rsid w:val="00BE1C59"/>
    <w:rsid w:val="00BE3C3B"/>
    <w:rsid w:val="00BE3F71"/>
    <w:rsid w:val="00BE497C"/>
    <w:rsid w:val="00BE75C1"/>
    <w:rsid w:val="00BE7C4C"/>
    <w:rsid w:val="00BE7DFB"/>
    <w:rsid w:val="00BF213B"/>
    <w:rsid w:val="00BF6375"/>
    <w:rsid w:val="00BF7140"/>
    <w:rsid w:val="00C0779E"/>
    <w:rsid w:val="00C11DD1"/>
    <w:rsid w:val="00C13A06"/>
    <w:rsid w:val="00C16BA8"/>
    <w:rsid w:val="00C20307"/>
    <w:rsid w:val="00C2362E"/>
    <w:rsid w:val="00C23DC0"/>
    <w:rsid w:val="00C31007"/>
    <w:rsid w:val="00C3175C"/>
    <w:rsid w:val="00C32D6D"/>
    <w:rsid w:val="00C33D43"/>
    <w:rsid w:val="00C34D9A"/>
    <w:rsid w:val="00C4368E"/>
    <w:rsid w:val="00C43791"/>
    <w:rsid w:val="00C51751"/>
    <w:rsid w:val="00C56D93"/>
    <w:rsid w:val="00C6458B"/>
    <w:rsid w:val="00C648DF"/>
    <w:rsid w:val="00C67A99"/>
    <w:rsid w:val="00C70372"/>
    <w:rsid w:val="00C7043A"/>
    <w:rsid w:val="00C7378D"/>
    <w:rsid w:val="00C73A72"/>
    <w:rsid w:val="00C73C9D"/>
    <w:rsid w:val="00C74AB4"/>
    <w:rsid w:val="00C81B38"/>
    <w:rsid w:val="00C861FD"/>
    <w:rsid w:val="00C91C88"/>
    <w:rsid w:val="00C91DAB"/>
    <w:rsid w:val="00C95AFC"/>
    <w:rsid w:val="00CA0688"/>
    <w:rsid w:val="00CA31AD"/>
    <w:rsid w:val="00CA3D66"/>
    <w:rsid w:val="00CA4087"/>
    <w:rsid w:val="00CA57B3"/>
    <w:rsid w:val="00CB2E79"/>
    <w:rsid w:val="00CB3E8A"/>
    <w:rsid w:val="00CC4EAA"/>
    <w:rsid w:val="00CC7FBE"/>
    <w:rsid w:val="00CD047B"/>
    <w:rsid w:val="00CD07EE"/>
    <w:rsid w:val="00CD3695"/>
    <w:rsid w:val="00CD79BA"/>
    <w:rsid w:val="00CE4A55"/>
    <w:rsid w:val="00CE5040"/>
    <w:rsid w:val="00CE5D6D"/>
    <w:rsid w:val="00CF10AE"/>
    <w:rsid w:val="00CF2428"/>
    <w:rsid w:val="00CF3B01"/>
    <w:rsid w:val="00CF471A"/>
    <w:rsid w:val="00CF4EDE"/>
    <w:rsid w:val="00CF65DE"/>
    <w:rsid w:val="00D00AFF"/>
    <w:rsid w:val="00D028DE"/>
    <w:rsid w:val="00D05E4F"/>
    <w:rsid w:val="00D172C0"/>
    <w:rsid w:val="00D221A7"/>
    <w:rsid w:val="00D24A01"/>
    <w:rsid w:val="00D271B6"/>
    <w:rsid w:val="00D30890"/>
    <w:rsid w:val="00D37AC4"/>
    <w:rsid w:val="00D37F7D"/>
    <w:rsid w:val="00D41B85"/>
    <w:rsid w:val="00D4349A"/>
    <w:rsid w:val="00D434B8"/>
    <w:rsid w:val="00D43FCE"/>
    <w:rsid w:val="00D51F99"/>
    <w:rsid w:val="00D52E32"/>
    <w:rsid w:val="00D56DF6"/>
    <w:rsid w:val="00D5715D"/>
    <w:rsid w:val="00D57198"/>
    <w:rsid w:val="00D576E4"/>
    <w:rsid w:val="00D62B45"/>
    <w:rsid w:val="00D657D4"/>
    <w:rsid w:val="00D71557"/>
    <w:rsid w:val="00D720BC"/>
    <w:rsid w:val="00D72975"/>
    <w:rsid w:val="00D76D6B"/>
    <w:rsid w:val="00D77172"/>
    <w:rsid w:val="00D81706"/>
    <w:rsid w:val="00D81DBF"/>
    <w:rsid w:val="00D83D16"/>
    <w:rsid w:val="00D87670"/>
    <w:rsid w:val="00D87B79"/>
    <w:rsid w:val="00D90C4E"/>
    <w:rsid w:val="00D91BC7"/>
    <w:rsid w:val="00D94EB2"/>
    <w:rsid w:val="00D961CD"/>
    <w:rsid w:val="00DA58DD"/>
    <w:rsid w:val="00DA58E8"/>
    <w:rsid w:val="00DC437E"/>
    <w:rsid w:val="00DE5367"/>
    <w:rsid w:val="00DE75CA"/>
    <w:rsid w:val="00DF14F2"/>
    <w:rsid w:val="00DF298E"/>
    <w:rsid w:val="00DF50E5"/>
    <w:rsid w:val="00E024DC"/>
    <w:rsid w:val="00E1217F"/>
    <w:rsid w:val="00E16C2F"/>
    <w:rsid w:val="00E22D02"/>
    <w:rsid w:val="00E25927"/>
    <w:rsid w:val="00E26D4A"/>
    <w:rsid w:val="00E33E60"/>
    <w:rsid w:val="00E33E81"/>
    <w:rsid w:val="00E407A2"/>
    <w:rsid w:val="00E42B06"/>
    <w:rsid w:val="00E4780C"/>
    <w:rsid w:val="00E47B60"/>
    <w:rsid w:val="00E50623"/>
    <w:rsid w:val="00E537CD"/>
    <w:rsid w:val="00E55D19"/>
    <w:rsid w:val="00E56A02"/>
    <w:rsid w:val="00E616B8"/>
    <w:rsid w:val="00E618BF"/>
    <w:rsid w:val="00E641C7"/>
    <w:rsid w:val="00E65383"/>
    <w:rsid w:val="00E65762"/>
    <w:rsid w:val="00E70B5D"/>
    <w:rsid w:val="00E7312C"/>
    <w:rsid w:val="00E73963"/>
    <w:rsid w:val="00E80196"/>
    <w:rsid w:val="00E82C37"/>
    <w:rsid w:val="00E8682D"/>
    <w:rsid w:val="00E90F7D"/>
    <w:rsid w:val="00EA3568"/>
    <w:rsid w:val="00EB5C84"/>
    <w:rsid w:val="00EB778D"/>
    <w:rsid w:val="00EB7F5C"/>
    <w:rsid w:val="00EC09E4"/>
    <w:rsid w:val="00EC57CD"/>
    <w:rsid w:val="00ED33B6"/>
    <w:rsid w:val="00ED62D8"/>
    <w:rsid w:val="00EE1F3E"/>
    <w:rsid w:val="00EE2170"/>
    <w:rsid w:val="00EF27C8"/>
    <w:rsid w:val="00EF5B83"/>
    <w:rsid w:val="00EF79A5"/>
    <w:rsid w:val="00F01C3A"/>
    <w:rsid w:val="00F020A2"/>
    <w:rsid w:val="00F02B62"/>
    <w:rsid w:val="00F02CD3"/>
    <w:rsid w:val="00F053BC"/>
    <w:rsid w:val="00F06C42"/>
    <w:rsid w:val="00F06CBB"/>
    <w:rsid w:val="00F147FB"/>
    <w:rsid w:val="00F32BBB"/>
    <w:rsid w:val="00F3452E"/>
    <w:rsid w:val="00F42DB0"/>
    <w:rsid w:val="00F4687B"/>
    <w:rsid w:val="00F50BBE"/>
    <w:rsid w:val="00F5100A"/>
    <w:rsid w:val="00F519A1"/>
    <w:rsid w:val="00F5258B"/>
    <w:rsid w:val="00F526BC"/>
    <w:rsid w:val="00F52B6B"/>
    <w:rsid w:val="00F53997"/>
    <w:rsid w:val="00F5452F"/>
    <w:rsid w:val="00F55D0B"/>
    <w:rsid w:val="00F5661C"/>
    <w:rsid w:val="00F66318"/>
    <w:rsid w:val="00F73174"/>
    <w:rsid w:val="00F87E5B"/>
    <w:rsid w:val="00F90209"/>
    <w:rsid w:val="00F92B9A"/>
    <w:rsid w:val="00F95CCE"/>
    <w:rsid w:val="00F9617B"/>
    <w:rsid w:val="00F976BE"/>
    <w:rsid w:val="00FA2325"/>
    <w:rsid w:val="00FA2E1C"/>
    <w:rsid w:val="00FA425F"/>
    <w:rsid w:val="00FA75AB"/>
    <w:rsid w:val="00FB0C73"/>
    <w:rsid w:val="00FB47F2"/>
    <w:rsid w:val="00FB72CC"/>
    <w:rsid w:val="00FC4015"/>
    <w:rsid w:val="00FC631B"/>
    <w:rsid w:val="00FC7EDD"/>
    <w:rsid w:val="00FD000E"/>
    <w:rsid w:val="00FD13B5"/>
    <w:rsid w:val="00FD7144"/>
    <w:rsid w:val="00FE0F50"/>
    <w:rsid w:val="00FE46B5"/>
    <w:rsid w:val="00FE481E"/>
    <w:rsid w:val="00FF06E7"/>
    <w:rsid w:val="00FF31CA"/>
    <w:rsid w:val="00FF5218"/>
    <w:rsid w:val="00FF70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3"/>
    <w:pPr>
      <w:tabs>
        <w:tab w:val="center" w:pos="4153"/>
        <w:tab w:val="right" w:pos="8306"/>
      </w:tabs>
    </w:pPr>
  </w:style>
  <w:style w:type="character" w:customStyle="1" w:styleId="HeaderChar">
    <w:name w:val="Header Char"/>
    <w:basedOn w:val="DefaultParagraphFont"/>
    <w:link w:val="Header"/>
    <w:rsid w:val="00680733"/>
    <w:rPr>
      <w:sz w:val="24"/>
      <w:szCs w:val="24"/>
      <w:lang w:val="lv-LV" w:eastAsia="lv-LV" w:bidi="ar-SA"/>
    </w:rPr>
  </w:style>
  <w:style w:type="character" w:styleId="PageNumber">
    <w:name w:val="page number"/>
    <w:basedOn w:val="DefaultParagraphFont"/>
    <w:rsid w:val="00680733"/>
  </w:style>
  <w:style w:type="paragraph" w:customStyle="1" w:styleId="naisf">
    <w:name w:val="naisf"/>
    <w:basedOn w:val="Normal"/>
    <w:rsid w:val="00680733"/>
    <w:pPr>
      <w:spacing w:before="75" w:after="75"/>
      <w:ind w:firstLine="375"/>
      <w:jc w:val="both"/>
    </w:pPr>
  </w:style>
  <w:style w:type="paragraph" w:customStyle="1" w:styleId="naisnod">
    <w:name w:val="naisnod"/>
    <w:basedOn w:val="Normal"/>
    <w:rsid w:val="00680733"/>
    <w:pPr>
      <w:spacing w:before="150" w:after="150"/>
      <w:jc w:val="center"/>
    </w:pPr>
    <w:rPr>
      <w:b/>
      <w:bCs/>
    </w:rPr>
  </w:style>
  <w:style w:type="paragraph" w:customStyle="1" w:styleId="naislab">
    <w:name w:val="naislab"/>
    <w:basedOn w:val="Normal"/>
    <w:rsid w:val="00680733"/>
    <w:pPr>
      <w:spacing w:before="75" w:after="75"/>
      <w:jc w:val="right"/>
    </w:pPr>
  </w:style>
  <w:style w:type="paragraph" w:customStyle="1" w:styleId="naiskr">
    <w:name w:val="naiskr"/>
    <w:basedOn w:val="Normal"/>
    <w:rsid w:val="00680733"/>
    <w:pPr>
      <w:spacing w:before="75" w:after="75"/>
    </w:pPr>
  </w:style>
  <w:style w:type="paragraph" w:customStyle="1" w:styleId="naisc">
    <w:name w:val="naisc"/>
    <w:basedOn w:val="Normal"/>
    <w:rsid w:val="00680733"/>
    <w:pPr>
      <w:spacing w:before="75" w:after="75"/>
      <w:jc w:val="center"/>
    </w:pPr>
  </w:style>
  <w:style w:type="paragraph" w:styleId="FootnoteText">
    <w:name w:val="footnote text"/>
    <w:basedOn w:val="Normal"/>
    <w:link w:val="FootnoteTextChar"/>
    <w:semiHidden/>
    <w:rsid w:val="00680733"/>
    <w:rPr>
      <w:sz w:val="20"/>
      <w:szCs w:val="20"/>
    </w:rPr>
  </w:style>
  <w:style w:type="character" w:customStyle="1" w:styleId="FootnoteTextChar">
    <w:name w:val="Footnote Text Char"/>
    <w:basedOn w:val="DefaultParagraphFont"/>
    <w:link w:val="FootnoteText"/>
    <w:semiHidden/>
    <w:rsid w:val="00680733"/>
    <w:rPr>
      <w:lang w:val="lv-LV" w:eastAsia="lv-LV" w:bidi="ar-SA"/>
    </w:rPr>
  </w:style>
  <w:style w:type="character" w:customStyle="1" w:styleId="apple-style-span">
    <w:name w:val="apple-style-span"/>
    <w:basedOn w:val="DefaultParagraphFont"/>
    <w:rsid w:val="00680733"/>
  </w:style>
  <w:style w:type="paragraph" w:styleId="NormalWeb">
    <w:name w:val="Normal (Web)"/>
    <w:basedOn w:val="Normal"/>
    <w:rsid w:val="00680733"/>
    <w:pPr>
      <w:spacing w:before="100" w:beforeAutospacing="1" w:after="100" w:afterAutospacing="1"/>
    </w:pPr>
  </w:style>
  <w:style w:type="paragraph" w:styleId="ListParagraph">
    <w:name w:val="List Paragraph"/>
    <w:basedOn w:val="Normal"/>
    <w:qFormat/>
    <w:rsid w:val="00680733"/>
    <w:pPr>
      <w:ind w:left="720"/>
    </w:pPr>
    <w:rPr>
      <w:rFonts w:ascii="Calibri" w:eastAsia="Calibri" w:hAnsi="Calibri"/>
      <w:sz w:val="22"/>
      <w:szCs w:val="22"/>
    </w:rPr>
  </w:style>
  <w:style w:type="paragraph" w:styleId="BodyText">
    <w:name w:val="Body Text"/>
    <w:basedOn w:val="Normal"/>
    <w:link w:val="BodyTextChar"/>
    <w:unhideWhenUsed/>
    <w:rsid w:val="00680733"/>
    <w:pPr>
      <w:spacing w:after="120"/>
    </w:pPr>
    <w:rPr>
      <w:lang w:val="en-GB" w:eastAsia="en-US"/>
    </w:rPr>
  </w:style>
  <w:style w:type="character" w:customStyle="1" w:styleId="BodyTextChar">
    <w:name w:val="Body Text Char"/>
    <w:basedOn w:val="DefaultParagraphFont"/>
    <w:link w:val="BodyText"/>
    <w:rsid w:val="00680733"/>
    <w:rPr>
      <w:sz w:val="24"/>
      <w:szCs w:val="24"/>
      <w:lang w:val="en-GB" w:eastAsia="en-US" w:bidi="ar-SA"/>
    </w:rPr>
  </w:style>
  <w:style w:type="paragraph" w:customStyle="1" w:styleId="RakstzCharCharRakstzCharCharRakstz">
    <w:name w:val="Rakstz. Char Char Rakstz. Char Char Rakstz."/>
    <w:basedOn w:val="Normal"/>
    <w:rsid w:val="00C33D43"/>
    <w:pPr>
      <w:spacing w:after="160" w:line="240" w:lineRule="exact"/>
    </w:pPr>
    <w:rPr>
      <w:rFonts w:ascii="Tahoma" w:hAnsi="Tahoma"/>
      <w:sz w:val="20"/>
      <w:szCs w:val="20"/>
      <w:lang w:val="en-US" w:eastAsia="en-US"/>
    </w:rPr>
  </w:style>
  <w:style w:type="paragraph" w:styleId="Footer">
    <w:name w:val="footer"/>
    <w:basedOn w:val="Normal"/>
    <w:rsid w:val="00F66318"/>
    <w:pPr>
      <w:tabs>
        <w:tab w:val="center" w:pos="4153"/>
        <w:tab w:val="right" w:pos="8306"/>
      </w:tabs>
    </w:pPr>
  </w:style>
  <w:style w:type="character" w:styleId="Hyperlink">
    <w:name w:val="Hyperlink"/>
    <w:basedOn w:val="DefaultParagraphFont"/>
    <w:rsid w:val="00103985"/>
    <w:rPr>
      <w:color w:val="0000FF"/>
      <w:u w:val="single"/>
    </w:rPr>
  </w:style>
  <w:style w:type="paragraph" w:styleId="BalloonText">
    <w:name w:val="Balloon Text"/>
    <w:basedOn w:val="Normal"/>
    <w:semiHidden/>
    <w:rsid w:val="006F4067"/>
    <w:rPr>
      <w:rFonts w:ascii="Tahoma" w:hAnsi="Tahoma" w:cs="Tahoma"/>
      <w:sz w:val="16"/>
      <w:szCs w:val="16"/>
    </w:rPr>
  </w:style>
  <w:style w:type="paragraph" w:styleId="NoSpacing">
    <w:name w:val="No Spacing"/>
    <w:uiPriority w:val="1"/>
    <w:qFormat/>
    <w:rsid w:val="000A5C8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4150180">
      <w:bodyDiv w:val="1"/>
      <w:marLeft w:val="0"/>
      <w:marRight w:val="0"/>
      <w:marTop w:val="0"/>
      <w:marBottom w:val="0"/>
      <w:divBdr>
        <w:top w:val="none" w:sz="0" w:space="0" w:color="auto"/>
        <w:left w:val="none" w:sz="0" w:space="0" w:color="auto"/>
        <w:bottom w:val="none" w:sz="0" w:space="0" w:color="auto"/>
        <w:right w:val="none" w:sz="0" w:space="0" w:color="auto"/>
      </w:divBdr>
    </w:div>
    <w:div w:id="601454291">
      <w:bodyDiv w:val="1"/>
      <w:marLeft w:val="35"/>
      <w:marRight w:val="35"/>
      <w:marTop w:val="69"/>
      <w:marBottom w:val="69"/>
      <w:divBdr>
        <w:top w:val="none" w:sz="0" w:space="0" w:color="auto"/>
        <w:left w:val="none" w:sz="0" w:space="0" w:color="auto"/>
        <w:bottom w:val="none" w:sz="0" w:space="0" w:color="auto"/>
        <w:right w:val="none" w:sz="0" w:space="0" w:color="auto"/>
      </w:divBdr>
      <w:divsChild>
        <w:div w:id="623081731">
          <w:marLeft w:val="0"/>
          <w:marRight w:val="0"/>
          <w:marTop w:val="240"/>
          <w:marBottom w:val="0"/>
          <w:divBdr>
            <w:top w:val="none" w:sz="0" w:space="0" w:color="auto"/>
            <w:left w:val="none" w:sz="0" w:space="0" w:color="auto"/>
            <w:bottom w:val="none" w:sz="0" w:space="0" w:color="auto"/>
            <w:right w:val="none" w:sz="0" w:space="0" w:color="auto"/>
          </w:divBdr>
        </w:div>
      </w:divsChild>
    </w:div>
    <w:div w:id="1505780216">
      <w:bodyDiv w:val="1"/>
      <w:marLeft w:val="0"/>
      <w:marRight w:val="0"/>
      <w:marTop w:val="0"/>
      <w:marBottom w:val="0"/>
      <w:divBdr>
        <w:top w:val="none" w:sz="0" w:space="0" w:color="auto"/>
        <w:left w:val="none" w:sz="0" w:space="0" w:color="auto"/>
        <w:bottom w:val="none" w:sz="0" w:space="0" w:color="auto"/>
        <w:right w:val="none" w:sz="0" w:space="0" w:color="auto"/>
      </w:divBdr>
      <w:divsChild>
        <w:div w:id="1216353714">
          <w:marLeft w:val="0"/>
          <w:marRight w:val="0"/>
          <w:marTop w:val="0"/>
          <w:marBottom w:val="0"/>
          <w:divBdr>
            <w:top w:val="none" w:sz="0" w:space="0" w:color="auto"/>
            <w:left w:val="none" w:sz="0" w:space="0" w:color="auto"/>
            <w:bottom w:val="none" w:sz="0" w:space="0" w:color="auto"/>
            <w:right w:val="none" w:sz="0" w:space="0" w:color="auto"/>
          </w:divBdr>
          <w:divsChild>
            <w:div w:id="1309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6122">
      <w:bodyDiv w:val="1"/>
      <w:marLeft w:val="0"/>
      <w:marRight w:val="0"/>
      <w:marTop w:val="0"/>
      <w:marBottom w:val="0"/>
      <w:divBdr>
        <w:top w:val="none" w:sz="0" w:space="0" w:color="auto"/>
        <w:left w:val="none" w:sz="0" w:space="0" w:color="auto"/>
        <w:bottom w:val="none" w:sz="0" w:space="0" w:color="auto"/>
        <w:right w:val="none" w:sz="0" w:space="0" w:color="auto"/>
      </w:divBdr>
      <w:divsChild>
        <w:div w:id="654991630">
          <w:marLeft w:val="0"/>
          <w:marRight w:val="0"/>
          <w:marTop w:val="0"/>
          <w:marBottom w:val="0"/>
          <w:divBdr>
            <w:top w:val="none" w:sz="0" w:space="0" w:color="auto"/>
            <w:left w:val="none" w:sz="0" w:space="0" w:color="auto"/>
            <w:bottom w:val="none" w:sz="0" w:space="0" w:color="auto"/>
            <w:right w:val="none" w:sz="0" w:space="0" w:color="auto"/>
          </w:divBdr>
          <w:divsChild>
            <w:div w:id="18573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10973</Words>
  <Characters>6255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Grozījumi Ministru kabineta 2012.gada 3.janvāra noteikumos Nr.26 "Noteikumi par kārtību, kādā piešķiramas naudas balvas par izciliem sasniegumiem sportā, un naudas balvu apmēru"</vt:lpstr>
    </vt:vector>
  </TitlesOfParts>
  <Company>Ārlietu ministrija</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3.janvāra noteikumos Nr.26 "Noteikumi par kārtību, kādā piešķiramas naudas balvas par izciliem sasniegumiem sportā, un naudas balvu apmēru"</dc:title>
  <dc:subject>Sākotnējās ietekmes novērtējuma ziņojums (anotācija)</dc:subject>
  <dc:creator>E.Severs, S.Roze</dc:creator>
  <dc:description>Izglītības un zinātnes ministrijas Sporta un jaunatnes departamenta direktora vietnieks sporta jomā E.Severs
Tel: 67047935
e-pasts: edgars.severs@izm.gov.lv
Fakss: 67047929
Izglītības un zinātnes ministrijas
Sporta un jaunatnes departamenta vecākā referente Santa Roze
tel.67047933, santa.roze@izm.gov.lv
fax: 67047929</dc:description>
  <cp:lastModifiedBy>Edgars Severs</cp:lastModifiedBy>
  <cp:revision>9</cp:revision>
  <cp:lastPrinted>2012-09-13T07:59:00Z</cp:lastPrinted>
  <dcterms:created xsi:type="dcterms:W3CDTF">2012-09-17T07:10:00Z</dcterms:created>
  <dcterms:modified xsi:type="dcterms:W3CDTF">2012-09-17T13:11:00Z</dcterms:modified>
</cp:coreProperties>
</file>