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85" w:rsidRPr="00291D3D" w:rsidRDefault="003D0BEA" w:rsidP="003D0BEA">
      <w:pPr>
        <w:pStyle w:val="BodyText"/>
        <w:ind w:left="-142"/>
        <w:jc w:val="center"/>
        <w:rPr>
          <w:b/>
          <w:sz w:val="28"/>
          <w:szCs w:val="28"/>
          <w:lang w:val="lv-LV"/>
        </w:rPr>
      </w:pPr>
      <w:r w:rsidRPr="00291D3D">
        <w:rPr>
          <w:b/>
          <w:sz w:val="28"/>
          <w:szCs w:val="28"/>
          <w:lang w:val="lv-LV"/>
        </w:rPr>
        <w:t>Ministru kabineta noteikumu projekta</w:t>
      </w:r>
    </w:p>
    <w:p w:rsidR="003D0BEA" w:rsidRPr="00291D3D" w:rsidRDefault="003D0BEA" w:rsidP="003D0BEA">
      <w:pPr>
        <w:pStyle w:val="BodyText"/>
        <w:ind w:left="-142"/>
        <w:jc w:val="center"/>
        <w:rPr>
          <w:sz w:val="28"/>
          <w:szCs w:val="28"/>
          <w:lang w:val="lv-LV"/>
        </w:rPr>
      </w:pPr>
      <w:r w:rsidRPr="00291D3D">
        <w:rPr>
          <w:b/>
          <w:color w:val="000000"/>
          <w:spacing w:val="15"/>
          <w:sz w:val="28"/>
          <w:szCs w:val="28"/>
          <w:lang w:val="lv-LV"/>
        </w:rPr>
        <w:t>„</w:t>
      </w:r>
      <w:r w:rsidR="009538D9" w:rsidRPr="00291D3D">
        <w:rPr>
          <w:b/>
          <w:color w:val="000000"/>
          <w:sz w:val="28"/>
          <w:szCs w:val="28"/>
          <w:lang w:val="lv-LV"/>
        </w:rPr>
        <w:t>Par L</w:t>
      </w:r>
      <w:r w:rsidRPr="00291D3D">
        <w:rPr>
          <w:b/>
          <w:color w:val="000000"/>
          <w:sz w:val="28"/>
          <w:szCs w:val="28"/>
          <w:lang w:val="lv-LV"/>
        </w:rPr>
        <w:t xml:space="preserve">īgumu starp </w:t>
      </w:r>
      <w:r w:rsidRPr="00291D3D">
        <w:rPr>
          <w:b/>
          <w:iCs/>
          <w:color w:val="000000"/>
          <w:sz w:val="28"/>
          <w:szCs w:val="28"/>
          <w:lang w:val="lv-LV"/>
        </w:rPr>
        <w:t>EUREKA Sekretariātu</w:t>
      </w:r>
      <w:r w:rsidRPr="00291D3D">
        <w:rPr>
          <w:b/>
          <w:color w:val="000000"/>
          <w:sz w:val="28"/>
          <w:szCs w:val="28"/>
          <w:lang w:val="lv-LV"/>
        </w:rPr>
        <w:t xml:space="preserve"> un </w:t>
      </w:r>
      <w:r w:rsidR="002E4F44" w:rsidRPr="00291D3D">
        <w:rPr>
          <w:b/>
          <w:color w:val="000000"/>
          <w:sz w:val="28"/>
          <w:szCs w:val="28"/>
          <w:lang w:val="lv-LV"/>
        </w:rPr>
        <w:t>Latvijas Republikas Izglītības un zinātnes ministriju</w:t>
      </w:r>
      <w:r w:rsidRPr="00291D3D">
        <w:rPr>
          <w:b/>
          <w:sz w:val="28"/>
          <w:szCs w:val="28"/>
          <w:lang w:val="lv-LV"/>
        </w:rPr>
        <w:t>”</w:t>
      </w:r>
      <w:r w:rsidR="00770F17" w:rsidRPr="00291D3D">
        <w:rPr>
          <w:b/>
          <w:bCs/>
          <w:sz w:val="28"/>
          <w:szCs w:val="28"/>
          <w:lang w:val="lv-LV"/>
        </w:rPr>
        <w:t xml:space="preserve"> sākotnējās ietekmes novērtējuma </w:t>
      </w:r>
      <w:smartTag w:uri="schemas-tilde-lv/tildestengine" w:element="veidnes">
        <w:smartTagPr>
          <w:attr w:name="id" w:val="-1"/>
          <w:attr w:name="baseform" w:val="ziņojums"/>
          <w:attr w:name="text" w:val="ziņojums"/>
        </w:smartTagPr>
        <w:r w:rsidR="00770F17" w:rsidRPr="00291D3D">
          <w:rPr>
            <w:b/>
            <w:bCs/>
            <w:sz w:val="28"/>
            <w:szCs w:val="28"/>
            <w:lang w:val="lv-LV"/>
          </w:rPr>
          <w:t>ziņojums</w:t>
        </w:r>
      </w:smartTag>
      <w:r w:rsidR="00770F17" w:rsidRPr="00291D3D">
        <w:rPr>
          <w:b/>
          <w:bCs/>
          <w:sz w:val="28"/>
          <w:szCs w:val="28"/>
          <w:lang w:val="lv-LV"/>
        </w:rPr>
        <w:t xml:space="preserve"> (</w:t>
      </w:r>
      <w:r w:rsidR="00730685" w:rsidRPr="00291D3D">
        <w:rPr>
          <w:b/>
          <w:bCs/>
          <w:sz w:val="28"/>
          <w:szCs w:val="28"/>
          <w:lang w:val="lv-LV"/>
        </w:rPr>
        <w:t>A</w:t>
      </w:r>
      <w:r w:rsidR="00770F17" w:rsidRPr="00291D3D">
        <w:rPr>
          <w:b/>
          <w:bCs/>
          <w:sz w:val="28"/>
          <w:szCs w:val="28"/>
          <w:lang w:val="lv-LV"/>
        </w:rPr>
        <w:t>notācija)</w:t>
      </w:r>
    </w:p>
    <w:p w:rsidR="001C541A" w:rsidRPr="00291D3D" w:rsidRDefault="001C541A" w:rsidP="00354450">
      <w:pPr>
        <w:jc w:val="center"/>
        <w:rPr>
          <w:b/>
          <w:bCs/>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43"/>
        <w:gridCol w:w="7057"/>
      </w:tblGrid>
      <w:tr w:rsidR="001C541A" w:rsidRPr="00291D3D">
        <w:tc>
          <w:tcPr>
            <w:tcW w:w="10440" w:type="dxa"/>
            <w:gridSpan w:val="3"/>
          </w:tcPr>
          <w:p w:rsidR="001C541A" w:rsidRPr="00291D3D" w:rsidRDefault="001C541A" w:rsidP="00FA7BE0">
            <w:pPr>
              <w:pStyle w:val="naislab"/>
              <w:jc w:val="center"/>
              <w:outlineLvl w:val="0"/>
              <w:rPr>
                <w:b/>
              </w:rPr>
            </w:pPr>
            <w:r w:rsidRPr="00291D3D">
              <w:rPr>
                <w:b/>
              </w:rPr>
              <w:t>I Tiesību akta projekta izstrādes nepieciešamība</w:t>
            </w:r>
          </w:p>
        </w:tc>
      </w:tr>
      <w:tr w:rsidR="001C541A" w:rsidRPr="00291D3D">
        <w:tc>
          <w:tcPr>
            <w:tcW w:w="540" w:type="dxa"/>
          </w:tcPr>
          <w:p w:rsidR="001C541A" w:rsidRPr="00291D3D" w:rsidRDefault="001C541A" w:rsidP="00FA7BE0">
            <w:pPr>
              <w:pStyle w:val="naislab"/>
              <w:ind w:hanging="180"/>
              <w:jc w:val="center"/>
              <w:outlineLvl w:val="0"/>
            </w:pPr>
            <w:r w:rsidRPr="00291D3D">
              <w:t>1.</w:t>
            </w:r>
          </w:p>
        </w:tc>
        <w:tc>
          <w:tcPr>
            <w:tcW w:w="2843" w:type="dxa"/>
          </w:tcPr>
          <w:p w:rsidR="001C541A" w:rsidRPr="00291D3D" w:rsidRDefault="001C541A" w:rsidP="00FA7BE0">
            <w:pPr>
              <w:pStyle w:val="naislab"/>
              <w:jc w:val="left"/>
              <w:outlineLvl w:val="0"/>
            </w:pPr>
            <w:r w:rsidRPr="00291D3D">
              <w:t>Pamatojums</w:t>
            </w:r>
          </w:p>
        </w:tc>
        <w:tc>
          <w:tcPr>
            <w:tcW w:w="7057" w:type="dxa"/>
          </w:tcPr>
          <w:p w:rsidR="0075047C" w:rsidRPr="00291D3D" w:rsidRDefault="003670CE" w:rsidP="0075047C">
            <w:pPr>
              <w:pStyle w:val="naislab"/>
              <w:jc w:val="both"/>
              <w:outlineLvl w:val="0"/>
            </w:pPr>
            <w:r w:rsidRPr="00291D3D">
              <w:t>Ministru kabineta noteikumu projekts</w:t>
            </w:r>
            <w:r w:rsidRPr="00291D3D">
              <w:rPr>
                <w:color w:val="000000"/>
                <w:spacing w:val="15"/>
              </w:rPr>
              <w:t xml:space="preserve"> „</w:t>
            </w:r>
            <w:r w:rsidRPr="00291D3D">
              <w:rPr>
                <w:color w:val="000000"/>
              </w:rPr>
              <w:t xml:space="preserve">Par Līgumu starp </w:t>
            </w:r>
            <w:r w:rsidRPr="00291D3D">
              <w:rPr>
                <w:iCs/>
                <w:color w:val="000000"/>
              </w:rPr>
              <w:t>EUREKA Sekretariātu</w:t>
            </w:r>
            <w:r w:rsidRPr="00291D3D">
              <w:rPr>
                <w:color w:val="000000"/>
              </w:rPr>
              <w:t xml:space="preserve"> un </w:t>
            </w:r>
            <w:r w:rsidR="001731A1" w:rsidRPr="00291D3D">
              <w:rPr>
                <w:color w:val="000000"/>
              </w:rPr>
              <w:t>Latvijas Zinātņu akadēmiju</w:t>
            </w:r>
            <w:r w:rsidRPr="00291D3D">
              <w:t>” (turpmāk</w:t>
            </w:r>
            <w:r w:rsidRPr="00291D3D">
              <w:rPr>
                <w:b/>
              </w:rPr>
              <w:t xml:space="preserve"> - </w:t>
            </w:r>
            <w:r w:rsidRPr="00291D3D">
              <w:t xml:space="preserve">Noteikumu projekts) </w:t>
            </w:r>
            <w:r w:rsidR="003D0BEA" w:rsidRPr="00291D3D">
              <w:t xml:space="preserve">izstrādāts saskaņā ar Zinātniskās darbības likuma 13.panta trešās daļas 3.un 4. punktu, kas nosaka, ka Izglītības un zinātnes ministrija koordinē starptautiskās sadarbības programmas pētniecības un tehnoloģiju jomās, un Ministru kabineta noteiktajā kārtībā nodrošina atbalstu dalībai šajās programmās un deklarācijas par Ministru kabineta iecerēto darbību 10.12.uzdevumu sekmēt tādu zinātnes sasniegumu un inovāciju pārnesi tautsaimniecībā, kas nodrošinātu augstas pievienotās vērtības produktu piedāvājumu, atbalstot pētniecības un attīstības darbu veicošo mazo un vidējo uzņēmumu dalību </w:t>
            </w:r>
            <w:proofErr w:type="spellStart"/>
            <w:r w:rsidR="003D0BEA" w:rsidRPr="00291D3D">
              <w:t>kopprogrammā</w:t>
            </w:r>
            <w:proofErr w:type="spellEnd"/>
            <w:r w:rsidR="003D0BEA" w:rsidRPr="00291D3D">
              <w:t xml:space="preserve"> </w:t>
            </w:r>
            <w:proofErr w:type="spellStart"/>
            <w:r w:rsidR="003D0BEA" w:rsidRPr="00291D3D">
              <w:t>E</w:t>
            </w:r>
            <w:r w:rsidR="00730685" w:rsidRPr="00291D3D">
              <w:t>urostars</w:t>
            </w:r>
            <w:proofErr w:type="spellEnd"/>
            <w:r w:rsidR="003D0BEA" w:rsidRPr="00291D3D">
              <w:t>.</w:t>
            </w:r>
          </w:p>
        </w:tc>
      </w:tr>
      <w:tr w:rsidR="001C541A" w:rsidRPr="00291D3D">
        <w:tc>
          <w:tcPr>
            <w:tcW w:w="540" w:type="dxa"/>
          </w:tcPr>
          <w:p w:rsidR="001C541A" w:rsidRPr="00291D3D" w:rsidRDefault="001C541A" w:rsidP="00FA7BE0">
            <w:pPr>
              <w:pStyle w:val="naislab"/>
              <w:ind w:hanging="180"/>
              <w:jc w:val="center"/>
              <w:outlineLvl w:val="0"/>
            </w:pPr>
            <w:r w:rsidRPr="00291D3D">
              <w:t>2.</w:t>
            </w:r>
          </w:p>
        </w:tc>
        <w:tc>
          <w:tcPr>
            <w:tcW w:w="2843" w:type="dxa"/>
          </w:tcPr>
          <w:p w:rsidR="001C541A" w:rsidRPr="00291D3D" w:rsidRDefault="001C541A" w:rsidP="00FA7BE0">
            <w:pPr>
              <w:pStyle w:val="naislab"/>
              <w:jc w:val="center"/>
              <w:outlineLvl w:val="0"/>
            </w:pPr>
            <w:r w:rsidRPr="00291D3D">
              <w:t>Pašreizējā situācija un problēmas</w:t>
            </w:r>
          </w:p>
        </w:tc>
        <w:tc>
          <w:tcPr>
            <w:tcW w:w="7057" w:type="dxa"/>
          </w:tcPr>
          <w:p w:rsidR="003D0BEA" w:rsidRPr="00291D3D" w:rsidRDefault="003D0BEA" w:rsidP="003670CE">
            <w:pPr>
              <w:ind w:firstLine="360"/>
              <w:jc w:val="both"/>
            </w:pPr>
            <w:r w:rsidRPr="00291D3D">
              <w:t xml:space="preserve">Eiropas </w:t>
            </w:r>
            <w:r w:rsidR="00535162" w:rsidRPr="00291D3D">
              <w:t>Savienīb</w:t>
            </w:r>
            <w:r w:rsidRPr="00291D3D">
              <w:t xml:space="preserve">as Septītā Ietvara programmas pētniecības, tehnoloģiju attīstības un demonstrējumu pasākumiem (2007.–2013.) (turpmāk - 7.IP) speciālās programmas „Iespējas” ietvaros ir izdalīts finansējums MEUR100 (7.IP darbības laikam), lai atbalstītu jaunu instrumentu - </w:t>
            </w:r>
            <w:proofErr w:type="spellStart"/>
            <w:r w:rsidR="003670CE" w:rsidRPr="00291D3D">
              <w:t>kop</w:t>
            </w:r>
            <w:r w:rsidRPr="00291D3D">
              <w:t>programmu</w:t>
            </w:r>
            <w:proofErr w:type="spellEnd"/>
            <w:r w:rsidRPr="00291D3D">
              <w:t xml:space="preserve"> </w:t>
            </w:r>
            <w:proofErr w:type="spellStart"/>
            <w:r w:rsidR="00730685" w:rsidRPr="00291D3D">
              <w:t>Eurostars</w:t>
            </w:r>
            <w:proofErr w:type="spellEnd"/>
            <w:r w:rsidRPr="00291D3D">
              <w:t xml:space="preserve"> </w:t>
            </w:r>
            <w:r w:rsidR="00CC7CBC" w:rsidRPr="00291D3D">
              <w:t>tirgus orientētas</w:t>
            </w:r>
            <w:r w:rsidRPr="00291D3D">
              <w:t xml:space="preserve"> pētniecīb</w:t>
            </w:r>
            <w:r w:rsidR="00CC7CBC" w:rsidRPr="00291D3D">
              <w:t>as</w:t>
            </w:r>
            <w:r w:rsidRPr="00291D3D">
              <w:t xml:space="preserve"> un inovatīvu tehnoloģiju izstrādē Eiropas mērogā, apvienojot Eiropas Savienības (ES), tās dalībvalstu pētniecības programmu, kā arī privāto komercsabiedrību resursus, tādējādi sekmējot konkrētu ekonomikas jomas attīstību Eiropā.</w:t>
            </w:r>
          </w:p>
          <w:p w:rsidR="003D0BEA" w:rsidRPr="00291D3D" w:rsidRDefault="003670CE" w:rsidP="00FA7BE0">
            <w:pPr>
              <w:ind w:firstLine="360"/>
              <w:jc w:val="both"/>
            </w:pPr>
            <w:proofErr w:type="spellStart"/>
            <w:r w:rsidRPr="00291D3D">
              <w:t>Kopprogrammai</w:t>
            </w:r>
            <w:proofErr w:type="spellEnd"/>
            <w:r w:rsidRPr="00291D3D">
              <w:t xml:space="preserve"> </w:t>
            </w:r>
            <w:proofErr w:type="spellStart"/>
            <w:r w:rsidR="00730685" w:rsidRPr="00291D3D">
              <w:t>Eurostars</w:t>
            </w:r>
            <w:proofErr w:type="spellEnd"/>
            <w:r w:rsidR="003D0BEA" w:rsidRPr="00291D3D">
              <w:t xml:space="preserve"> ir šādi galvenie mērķi:</w:t>
            </w:r>
          </w:p>
          <w:p w:rsidR="003D0BEA" w:rsidRPr="00291D3D" w:rsidRDefault="003D0BEA" w:rsidP="00FA7BE0">
            <w:pPr>
              <w:pStyle w:val="ListParagraph"/>
              <w:numPr>
                <w:ilvl w:val="0"/>
                <w:numId w:val="14"/>
              </w:numPr>
              <w:ind w:left="0"/>
              <w:jc w:val="both"/>
              <w:rPr>
                <w:lang w:val="lv-LV"/>
              </w:rPr>
            </w:pPr>
            <w:r w:rsidRPr="00291D3D">
              <w:rPr>
                <w:lang w:val="lv-LV"/>
              </w:rPr>
              <w:t>Atbalstīt pētniecības un attīstības darbu veicošos mazos un vidējos uzņēmumus, atbalstot inovatīvu produktu, pakalpojumu un tehnoloģiju ar augstu pievienoto vērtību izstrādi un ieviešanu</w:t>
            </w:r>
            <w:r w:rsidRPr="00291D3D">
              <w:rPr>
                <w:rFonts w:eastAsia="+mn-ea"/>
                <w:lang w:val="lv-LV"/>
              </w:rPr>
              <w:t xml:space="preserve">, kas ir svarīgi konkurētspējai un izaugsmei Eiropas līmenī, </w:t>
            </w:r>
          </w:p>
          <w:p w:rsidR="003D0BEA" w:rsidRPr="00291D3D" w:rsidRDefault="003D0BEA" w:rsidP="00FA7BE0">
            <w:pPr>
              <w:pStyle w:val="ListParagraph"/>
              <w:numPr>
                <w:ilvl w:val="0"/>
                <w:numId w:val="14"/>
              </w:numPr>
              <w:ind w:left="0"/>
              <w:jc w:val="both"/>
              <w:rPr>
                <w:lang w:val="lv-LV"/>
              </w:rPr>
            </w:pPr>
            <w:r w:rsidRPr="00291D3D">
              <w:rPr>
                <w:rFonts w:eastAsia="+mn-ea"/>
                <w:lang w:val="lv-LV"/>
              </w:rPr>
              <w:t xml:space="preserve">Apvienot un koordinēt pētniecības intelektuālo potenciālu Eiropas mērogā, smeļoties no visiem pētniecības un attīstības investīciju avotiem — gan publiskā (tai skaitā nacionālā), gan privātā sektora,  </w:t>
            </w:r>
          </w:p>
          <w:p w:rsidR="003D0BEA" w:rsidRPr="00291D3D" w:rsidRDefault="003D0BEA" w:rsidP="00FA7BE0">
            <w:pPr>
              <w:pStyle w:val="ListParagraph"/>
              <w:numPr>
                <w:ilvl w:val="0"/>
                <w:numId w:val="14"/>
              </w:numPr>
              <w:ind w:left="0"/>
              <w:jc w:val="both"/>
              <w:rPr>
                <w:rFonts w:eastAsia="Calibri"/>
                <w:lang w:val="lv-LV"/>
              </w:rPr>
            </w:pPr>
            <w:r w:rsidRPr="00291D3D">
              <w:rPr>
                <w:rFonts w:eastAsia="+mn-ea"/>
                <w:lang w:val="lv-LV"/>
              </w:rPr>
              <w:t>Nodrošināt ciešāku saikni starp rūpniecību un pētniecību, tādējādi veicinot Eiropas Pētniecības telpas izveidi un Lisabonas stratēģijas mērķu īstenošanu.</w:t>
            </w:r>
          </w:p>
          <w:p w:rsidR="003D0BEA" w:rsidRPr="00291D3D" w:rsidRDefault="003D0BEA" w:rsidP="00FA7BE0">
            <w:pPr>
              <w:ind w:firstLine="360"/>
              <w:jc w:val="both"/>
            </w:pPr>
            <w:r w:rsidRPr="00291D3D">
              <w:t xml:space="preserve">Lai īstenotu </w:t>
            </w:r>
            <w:proofErr w:type="spellStart"/>
            <w:r w:rsidRPr="00291D3D">
              <w:t>kopprogrammu</w:t>
            </w:r>
            <w:proofErr w:type="spellEnd"/>
            <w:r w:rsidRPr="00291D3D">
              <w:t xml:space="preserve"> </w:t>
            </w:r>
            <w:proofErr w:type="spellStart"/>
            <w:r w:rsidR="00730685" w:rsidRPr="00291D3D">
              <w:t>Eurostars</w:t>
            </w:r>
            <w:proofErr w:type="spellEnd"/>
            <w:r w:rsidRPr="00291D3D">
              <w:t xml:space="preserve"> pētniecības un attīstības darbu veicošo mazo un vidējo uzņēmumu atbalsta jomā, 2008. gada 09. jūlijā tika pieņemts Eiropas Parlamenta un Eiropas Padomes </w:t>
            </w:r>
            <w:smartTag w:uri="schemas-tilde-lv/tildestengine" w:element="veidnes">
              <w:smartTagPr>
                <w:attr w:name="text" w:val="lēmums"/>
                <w:attr w:name="baseform" w:val="lēmums"/>
                <w:attr w:name="id" w:val="-1"/>
              </w:smartTagPr>
              <w:r w:rsidRPr="00291D3D">
                <w:t>lēmums</w:t>
              </w:r>
            </w:smartTag>
            <w:r w:rsidRPr="00291D3D">
              <w:t xml:space="preserve"> Nr.743/2008/EK </w:t>
            </w:r>
            <w:r w:rsidR="00667067" w:rsidRPr="00291D3D">
              <w:t xml:space="preserve">(Turpmāk – „Lēmums”) </w:t>
            </w:r>
            <w:r w:rsidRPr="00291D3D">
              <w:t>par kopienas dalību pētniecības un attīstības programmā, ko uzsākušas vairākas dalībvalstis ar mērķi atbalstīt pētniecības un attīstības darbu veicošos mazos un vidējos uzņēmumus.</w:t>
            </w:r>
          </w:p>
          <w:p w:rsidR="003D0BEA" w:rsidRPr="00291D3D" w:rsidRDefault="003D0BEA" w:rsidP="00FA7BE0">
            <w:pPr>
              <w:ind w:firstLine="360"/>
              <w:jc w:val="both"/>
            </w:pPr>
            <w:smartTag w:uri="schemas-tilde-lv/tildestengine" w:element="veidnes">
              <w:smartTagPr>
                <w:attr w:name="id" w:val="-1"/>
                <w:attr w:name="baseform" w:val="lēmums"/>
                <w:attr w:name="text" w:val="lēmums"/>
              </w:smartTagPr>
              <w:r w:rsidRPr="00291D3D">
                <w:lastRenderedPageBreak/>
                <w:t>Lēmums</w:t>
              </w:r>
            </w:smartTag>
            <w:r w:rsidRPr="00291D3D">
              <w:t xml:space="preserve"> nosaka, ka </w:t>
            </w:r>
            <w:proofErr w:type="spellStart"/>
            <w:r w:rsidR="003670CE" w:rsidRPr="00291D3D">
              <w:t>kopprogramma</w:t>
            </w:r>
            <w:r w:rsidR="00A21589" w:rsidRPr="00291D3D">
              <w:t>s</w:t>
            </w:r>
            <w:proofErr w:type="spellEnd"/>
            <w:r w:rsidR="003670CE" w:rsidRPr="00291D3D">
              <w:t xml:space="preserve"> </w:t>
            </w:r>
            <w:proofErr w:type="spellStart"/>
            <w:r w:rsidR="00730685" w:rsidRPr="00291D3D">
              <w:t>Eurostars</w:t>
            </w:r>
            <w:proofErr w:type="spellEnd"/>
            <w:r w:rsidRPr="00291D3D">
              <w:t xml:space="preserve"> īstenošana notiek saskaņā ar Eiropas kopienas dibināšanas līguma 169. un 172. pantu un to veic programmas EUREKA Sekretariāts.</w:t>
            </w:r>
          </w:p>
          <w:p w:rsidR="003D0BEA" w:rsidRPr="00291D3D" w:rsidRDefault="003D0BEA" w:rsidP="00FA7BE0">
            <w:pPr>
              <w:jc w:val="both"/>
            </w:pPr>
            <w:smartTag w:uri="schemas-tilde-lv/tildestengine" w:element="veidnes">
              <w:smartTagPr>
                <w:attr w:name="id" w:val="-1"/>
                <w:attr w:name="baseform" w:val="lēmums"/>
                <w:attr w:name="text" w:val="lēmums"/>
              </w:smartTagPr>
              <w:r w:rsidRPr="00291D3D">
                <w:t>Lēmums</w:t>
              </w:r>
            </w:smartTag>
            <w:r w:rsidRPr="00291D3D">
              <w:t xml:space="preserve"> nosaka </w:t>
            </w:r>
            <w:proofErr w:type="spellStart"/>
            <w:r w:rsidRPr="00291D3D">
              <w:t>kopprogrammas</w:t>
            </w:r>
            <w:proofErr w:type="spellEnd"/>
            <w:r w:rsidRPr="00291D3D">
              <w:t xml:space="preserve"> </w:t>
            </w:r>
            <w:proofErr w:type="spellStart"/>
            <w:r w:rsidR="00730685" w:rsidRPr="00291D3D">
              <w:t>Eurostars</w:t>
            </w:r>
            <w:proofErr w:type="spellEnd"/>
            <w:r w:rsidRPr="00291D3D">
              <w:t xml:space="preserve"> mērķus, uzdevumus, darbības principus un finansēšanas mehānismu, kā arī visu dalībnieku atbildību par savu saistību izpildi. </w:t>
            </w:r>
          </w:p>
          <w:p w:rsidR="003D0BEA" w:rsidRPr="00291D3D" w:rsidRDefault="003D0BEA" w:rsidP="00FA7BE0">
            <w:pPr>
              <w:ind w:firstLine="360"/>
              <w:jc w:val="both"/>
            </w:pPr>
          </w:p>
          <w:p w:rsidR="00291D3D" w:rsidRPr="00291D3D" w:rsidRDefault="00291D3D" w:rsidP="00291D3D">
            <w:pPr>
              <w:ind w:firstLine="360"/>
              <w:jc w:val="both"/>
            </w:pPr>
            <w:r w:rsidRPr="00291D3D">
              <w:t xml:space="preserve">Saskaņā ar Lēmumu </w:t>
            </w:r>
            <w:proofErr w:type="spellStart"/>
            <w:r w:rsidRPr="00291D3D">
              <w:t>Eurostars</w:t>
            </w:r>
            <w:proofErr w:type="spellEnd"/>
            <w:r w:rsidRPr="00291D3D">
              <w:t xml:space="preserve"> Sekretariāts nodrošina projektu pieteikumu konkursus. Iesaistoties </w:t>
            </w:r>
            <w:proofErr w:type="spellStart"/>
            <w:r w:rsidRPr="00291D3D">
              <w:t>kopprogrammas</w:t>
            </w:r>
            <w:proofErr w:type="spellEnd"/>
            <w:r w:rsidRPr="00291D3D">
              <w:t xml:space="preserve"> </w:t>
            </w:r>
            <w:proofErr w:type="spellStart"/>
            <w:r w:rsidRPr="00291D3D">
              <w:t>Eurostars</w:t>
            </w:r>
            <w:proofErr w:type="spellEnd"/>
            <w:r w:rsidRPr="00291D3D">
              <w:t xml:space="preserve"> izsludinātajos projektu pieteikumu konkursos, Latvijas mazajiem un vidējiem uzņēmumiem (MVU) un zinātniskajām institūcijām, kas reģistrētas IZM Zinātnisko institūciju reģistrā, būs iespēja veidot ciešu sadarbību inovatīvu produktu, pakalpojumu un tehnoloģiju izstrādē un ieviešanā ar Eiropas uzņēmumiem un zinātniskajām institūcijām, kopīgi risinot aktuālas problēmas tehnoloģisko inovāciju jomā, kā arī piesaistīt ES finansējumu inovatīvo tehnoloģiju izpētei un izstrādnei, tādējādi ceļot savas valsts konkurētspēju. </w:t>
            </w:r>
          </w:p>
          <w:p w:rsidR="00291D3D" w:rsidRPr="00291D3D" w:rsidRDefault="00291D3D" w:rsidP="00291D3D">
            <w:pPr>
              <w:ind w:firstLine="360"/>
              <w:jc w:val="both"/>
            </w:pPr>
          </w:p>
          <w:p w:rsidR="00291D3D" w:rsidRPr="00291D3D" w:rsidRDefault="00291D3D" w:rsidP="00291D3D">
            <w:pPr>
              <w:ind w:firstLine="360"/>
              <w:jc w:val="both"/>
            </w:pPr>
            <w:r w:rsidRPr="00291D3D">
              <w:t xml:space="preserve">Finansējumu </w:t>
            </w:r>
            <w:proofErr w:type="spellStart"/>
            <w:r w:rsidRPr="00291D3D">
              <w:t>Eurostars</w:t>
            </w:r>
            <w:proofErr w:type="spellEnd"/>
            <w:r w:rsidRPr="00291D3D">
              <w:t xml:space="preserve"> atbalstam Latvijā izdalīs esošā IZM Valsts budžeta kārtējam gadam zinātnei paredzēto izdevumu ietvaros. Jauni izdevumi valsts budžetam neradīsies.</w:t>
            </w:r>
          </w:p>
          <w:p w:rsidR="00291D3D" w:rsidRPr="00291D3D" w:rsidRDefault="00291D3D" w:rsidP="00291D3D">
            <w:pPr>
              <w:jc w:val="both"/>
            </w:pPr>
          </w:p>
          <w:p w:rsidR="00291D3D" w:rsidRPr="00291D3D" w:rsidRDefault="00291D3D" w:rsidP="00291D3D">
            <w:pPr>
              <w:pStyle w:val="naisc"/>
              <w:spacing w:before="0" w:after="120"/>
              <w:ind w:left="109"/>
              <w:jc w:val="both"/>
            </w:pPr>
            <w:smartTag w:uri="schemas-tilde-lv/tildestengine" w:element="veidnes">
              <w:smartTagPr>
                <w:attr w:name="text" w:val="Līgums"/>
                <w:attr w:name="baseform" w:val="Līgums"/>
                <w:attr w:name="id" w:val="-1"/>
              </w:smartTagPr>
              <w:r w:rsidRPr="00291D3D">
                <w:t>Līgums</w:t>
              </w:r>
            </w:smartTag>
            <w:r w:rsidRPr="00291D3D">
              <w:t xml:space="preserve"> ir nepieciešams, jo </w:t>
            </w:r>
            <w:smartTag w:uri="schemas-tilde-lv/tildestengine" w:element="veidnes">
              <w:smartTagPr>
                <w:attr w:name="text" w:val="lēmums"/>
                <w:attr w:name="baseform" w:val="lēmums"/>
                <w:attr w:name="id" w:val="-1"/>
              </w:smartTagPr>
              <w:r w:rsidRPr="00291D3D">
                <w:t>Lēmums</w:t>
              </w:r>
            </w:smartTag>
            <w:r w:rsidRPr="00291D3D">
              <w:t xml:space="preserve"> satur galvenokārt noteikumus par:</w:t>
            </w:r>
          </w:p>
          <w:p w:rsidR="00291D3D" w:rsidRPr="00291D3D" w:rsidRDefault="00291D3D" w:rsidP="00291D3D">
            <w:pPr>
              <w:pStyle w:val="naisc"/>
              <w:numPr>
                <w:ilvl w:val="0"/>
                <w:numId w:val="25"/>
              </w:numPr>
              <w:tabs>
                <w:tab w:val="clear" w:pos="2160"/>
                <w:tab w:val="num" w:pos="-7091"/>
              </w:tabs>
              <w:spacing w:before="0" w:after="120"/>
              <w:ind w:left="709" w:hanging="240"/>
              <w:jc w:val="both"/>
            </w:pPr>
            <w:proofErr w:type="spellStart"/>
            <w:r w:rsidRPr="00291D3D">
              <w:t>Eurostars</w:t>
            </w:r>
            <w:proofErr w:type="spellEnd"/>
            <w:r w:rsidRPr="00291D3D">
              <w:t xml:space="preserve"> mērķiem, mērķa auditoriju un funkcionēšanas pamatprincipiem;</w:t>
            </w:r>
          </w:p>
          <w:p w:rsidR="00291D3D" w:rsidRPr="00291D3D" w:rsidRDefault="00291D3D" w:rsidP="00291D3D">
            <w:pPr>
              <w:pStyle w:val="naisc"/>
              <w:numPr>
                <w:ilvl w:val="0"/>
                <w:numId w:val="25"/>
              </w:numPr>
              <w:tabs>
                <w:tab w:val="clear" w:pos="2160"/>
                <w:tab w:val="num" w:pos="-7091"/>
              </w:tabs>
              <w:spacing w:before="0" w:after="120"/>
              <w:ind w:left="709" w:hanging="240"/>
              <w:jc w:val="both"/>
            </w:pPr>
            <w:r w:rsidRPr="00291D3D">
              <w:t xml:space="preserve">Eiropas Savienības un EUREKA Sekretariāta galvenajiem mērķiem, pienākumiem un saistībām, ieskaitot </w:t>
            </w:r>
            <w:proofErr w:type="spellStart"/>
            <w:r w:rsidRPr="00291D3D">
              <w:t>kopprogrammas</w:t>
            </w:r>
            <w:proofErr w:type="spellEnd"/>
            <w:r w:rsidRPr="00291D3D">
              <w:t xml:space="preserve"> pārvaldes sistēmas uzbūvi un principus;</w:t>
            </w:r>
          </w:p>
          <w:p w:rsidR="00291D3D" w:rsidRPr="00291D3D" w:rsidRDefault="00291D3D" w:rsidP="00291D3D">
            <w:pPr>
              <w:pStyle w:val="naisc"/>
              <w:numPr>
                <w:ilvl w:val="0"/>
                <w:numId w:val="25"/>
              </w:numPr>
              <w:tabs>
                <w:tab w:val="clear" w:pos="2160"/>
                <w:tab w:val="num" w:pos="-7091"/>
              </w:tabs>
              <w:spacing w:before="0" w:after="120"/>
              <w:ind w:left="709" w:hanging="240"/>
              <w:jc w:val="both"/>
            </w:pPr>
            <w:r w:rsidRPr="00291D3D">
              <w:t xml:space="preserve">Centralizēto </w:t>
            </w:r>
            <w:proofErr w:type="spellStart"/>
            <w:r w:rsidRPr="00291D3D">
              <w:t>Eurostars</w:t>
            </w:r>
            <w:proofErr w:type="spellEnd"/>
            <w:r w:rsidRPr="00291D3D">
              <w:t xml:space="preserve"> projektu novērtēšanas procedūru;</w:t>
            </w:r>
          </w:p>
          <w:p w:rsidR="00291D3D" w:rsidRPr="00291D3D" w:rsidRDefault="00291D3D" w:rsidP="00291D3D">
            <w:pPr>
              <w:pStyle w:val="naisc"/>
              <w:numPr>
                <w:ilvl w:val="0"/>
                <w:numId w:val="25"/>
              </w:numPr>
              <w:tabs>
                <w:tab w:val="clear" w:pos="2160"/>
                <w:tab w:val="num" w:pos="-7091"/>
              </w:tabs>
              <w:spacing w:before="0" w:after="120"/>
              <w:ind w:left="709" w:hanging="240"/>
              <w:jc w:val="both"/>
            </w:pPr>
            <w:r w:rsidRPr="00291D3D">
              <w:t>Projektu finansēšanu no Nacionālajām finansēšanas sistēmām;</w:t>
            </w:r>
          </w:p>
          <w:p w:rsidR="00291D3D" w:rsidRPr="00291D3D" w:rsidRDefault="00291D3D" w:rsidP="00291D3D">
            <w:pPr>
              <w:pStyle w:val="naisc"/>
              <w:numPr>
                <w:ilvl w:val="0"/>
                <w:numId w:val="25"/>
              </w:numPr>
              <w:tabs>
                <w:tab w:val="clear" w:pos="2160"/>
                <w:tab w:val="num" w:pos="-7091"/>
              </w:tabs>
              <w:spacing w:before="0" w:after="120"/>
              <w:ind w:left="709" w:hanging="240"/>
              <w:jc w:val="both"/>
            </w:pPr>
            <w:r w:rsidRPr="00291D3D">
              <w:t>Eiropas Savienības papildus finansējuma avotus, pārskatīšanas procedūru, kontroli u.c.</w:t>
            </w:r>
          </w:p>
          <w:p w:rsidR="00291D3D" w:rsidRPr="00291D3D" w:rsidRDefault="00291D3D" w:rsidP="00291D3D">
            <w:pPr>
              <w:pStyle w:val="naisc"/>
              <w:spacing w:before="0" w:after="120"/>
              <w:ind w:left="109"/>
              <w:jc w:val="both"/>
            </w:pPr>
            <w:r w:rsidRPr="00291D3D">
              <w:t xml:space="preserve">Vienlaicīgi </w:t>
            </w:r>
            <w:smartTag w:uri="schemas-tilde-lv/tildestengine" w:element="veidnes">
              <w:smartTagPr>
                <w:attr w:name="text" w:val="lēmums"/>
                <w:attr w:name="baseform" w:val="lēmums"/>
                <w:attr w:name="id" w:val="-1"/>
              </w:smartTagPr>
              <w:r w:rsidRPr="00291D3D">
                <w:t>Lēmums</w:t>
              </w:r>
            </w:smartTag>
            <w:r w:rsidRPr="00291D3D">
              <w:t xml:space="preserve"> un citi atbilstošie Eiropas Savienības tiesību akti nesatur sistematizētu mērķu, pienākumu, saistību, sankciju u.c. izklāstu sakarā </w:t>
            </w:r>
            <w:proofErr w:type="spellStart"/>
            <w:r w:rsidRPr="00291D3D">
              <w:t>kopprogrammas</w:t>
            </w:r>
            <w:proofErr w:type="spellEnd"/>
            <w:r w:rsidRPr="00291D3D">
              <w:t xml:space="preserve"> </w:t>
            </w:r>
            <w:proofErr w:type="spellStart"/>
            <w:r w:rsidRPr="00291D3D">
              <w:t>Eurostars</w:t>
            </w:r>
            <w:proofErr w:type="spellEnd"/>
            <w:r w:rsidRPr="00291D3D">
              <w:t xml:space="preserve"> ieviešanu attiecīgajā dalībvalstī. Tādēļ EUREKA Sekretariāts ir izstrādājis projektu attiecīgajam Divpusējam Līgumam starp īpašo </w:t>
            </w:r>
            <w:proofErr w:type="spellStart"/>
            <w:r w:rsidRPr="00291D3D">
              <w:t>kopprogrammas</w:t>
            </w:r>
            <w:proofErr w:type="spellEnd"/>
            <w:r w:rsidRPr="00291D3D">
              <w:t xml:space="preserve"> </w:t>
            </w:r>
            <w:proofErr w:type="spellStart"/>
            <w:r w:rsidRPr="00291D3D">
              <w:t>Eurostars</w:t>
            </w:r>
            <w:proofErr w:type="spellEnd"/>
            <w:r w:rsidRPr="00291D3D">
              <w:t xml:space="preserve"> ieviešanas struktūru – EUREKA Sekretariātu un dalībvalsts </w:t>
            </w:r>
            <w:proofErr w:type="spellStart"/>
            <w:r w:rsidRPr="00291D3D">
              <w:t>ieviesējinstitūciju</w:t>
            </w:r>
            <w:proofErr w:type="spellEnd"/>
            <w:r w:rsidRPr="00291D3D">
              <w:t xml:space="preserve">. Šis </w:t>
            </w:r>
            <w:smartTag w:uri="schemas-tilde-lv/tildestengine" w:element="veidnes">
              <w:smartTagPr>
                <w:attr w:name="text" w:val="Līgums"/>
                <w:attr w:name="baseform" w:val="Līgums"/>
                <w:attr w:name="id" w:val="-1"/>
              </w:smartTagPr>
              <w:r w:rsidRPr="00291D3D">
                <w:t>līgums</w:t>
              </w:r>
            </w:smartTag>
            <w:r w:rsidRPr="00291D3D">
              <w:t xml:space="preserve"> nosaka:</w:t>
            </w:r>
          </w:p>
          <w:p w:rsidR="00291D3D" w:rsidRPr="00291D3D" w:rsidRDefault="00291D3D" w:rsidP="00291D3D">
            <w:pPr>
              <w:pStyle w:val="naisc"/>
              <w:numPr>
                <w:ilvl w:val="0"/>
                <w:numId w:val="26"/>
              </w:numPr>
              <w:tabs>
                <w:tab w:val="clear" w:pos="2160"/>
              </w:tabs>
              <w:spacing w:before="0" w:after="120"/>
              <w:ind w:left="829" w:hanging="240"/>
              <w:jc w:val="both"/>
            </w:pPr>
            <w:r w:rsidRPr="00291D3D">
              <w:t>Pušu informācijas apmaiņas sistēmu un principus;</w:t>
            </w:r>
          </w:p>
          <w:p w:rsidR="00291D3D" w:rsidRPr="00291D3D" w:rsidRDefault="00291D3D" w:rsidP="00291D3D">
            <w:pPr>
              <w:pStyle w:val="naisc"/>
              <w:numPr>
                <w:ilvl w:val="0"/>
                <w:numId w:val="26"/>
              </w:numPr>
              <w:tabs>
                <w:tab w:val="clear" w:pos="2160"/>
              </w:tabs>
              <w:spacing w:before="0" w:after="120"/>
              <w:ind w:left="829" w:hanging="240"/>
              <w:jc w:val="both"/>
            </w:pPr>
            <w:r w:rsidRPr="00291D3D">
              <w:t xml:space="preserve">Pušu savstarpējās finansiālās saistības, kā arī </w:t>
            </w:r>
            <w:proofErr w:type="spellStart"/>
            <w:r w:rsidRPr="00291D3D">
              <w:t>ieviesējinstitūcijas</w:t>
            </w:r>
            <w:proofErr w:type="spellEnd"/>
            <w:r w:rsidRPr="00291D3D">
              <w:t xml:space="preserve"> saistības pret Eiropas Savienību un projektu dalībniekiem;</w:t>
            </w:r>
          </w:p>
          <w:p w:rsidR="00291D3D" w:rsidRPr="00291D3D" w:rsidRDefault="00291D3D" w:rsidP="00291D3D">
            <w:pPr>
              <w:pStyle w:val="naisc"/>
              <w:numPr>
                <w:ilvl w:val="0"/>
                <w:numId w:val="26"/>
              </w:numPr>
              <w:tabs>
                <w:tab w:val="clear" w:pos="2160"/>
              </w:tabs>
              <w:spacing w:before="0" w:after="120"/>
              <w:ind w:left="829" w:hanging="240"/>
              <w:jc w:val="both"/>
            </w:pPr>
            <w:r w:rsidRPr="00291D3D">
              <w:t xml:space="preserve">Audita un kontroles sistēmu dalībvalsts </w:t>
            </w:r>
            <w:proofErr w:type="spellStart"/>
            <w:r w:rsidRPr="00291D3D">
              <w:t>ieviesējinstitūcijā</w:t>
            </w:r>
            <w:proofErr w:type="spellEnd"/>
            <w:r w:rsidRPr="00291D3D">
              <w:t xml:space="preserve"> un projektos;</w:t>
            </w:r>
          </w:p>
          <w:p w:rsidR="00291D3D" w:rsidRPr="00291D3D" w:rsidRDefault="00291D3D" w:rsidP="00291D3D">
            <w:pPr>
              <w:pStyle w:val="naisc"/>
              <w:numPr>
                <w:ilvl w:val="0"/>
                <w:numId w:val="26"/>
              </w:numPr>
              <w:tabs>
                <w:tab w:val="clear" w:pos="2160"/>
              </w:tabs>
              <w:spacing w:before="0" w:after="120"/>
              <w:ind w:left="829" w:hanging="240"/>
              <w:jc w:val="both"/>
            </w:pPr>
            <w:r w:rsidRPr="00291D3D">
              <w:t>Sankcijas par saistību, t.sk. finansiālo, nepildīšanu;</w:t>
            </w:r>
          </w:p>
          <w:p w:rsidR="00291D3D" w:rsidRPr="00291D3D" w:rsidRDefault="00291D3D" w:rsidP="00291D3D">
            <w:pPr>
              <w:pStyle w:val="naisc"/>
              <w:numPr>
                <w:ilvl w:val="0"/>
                <w:numId w:val="26"/>
              </w:numPr>
              <w:tabs>
                <w:tab w:val="clear" w:pos="2160"/>
              </w:tabs>
              <w:spacing w:before="0" w:after="120"/>
              <w:ind w:left="829" w:hanging="240"/>
              <w:jc w:val="both"/>
            </w:pPr>
            <w:r w:rsidRPr="00291D3D">
              <w:t>Strīdu izšķiršanu u.c.</w:t>
            </w:r>
          </w:p>
          <w:p w:rsidR="00291D3D" w:rsidRPr="00291D3D" w:rsidRDefault="00291D3D" w:rsidP="00291D3D">
            <w:pPr>
              <w:pStyle w:val="naisc"/>
              <w:spacing w:before="0" w:after="120"/>
              <w:ind w:left="229"/>
              <w:jc w:val="both"/>
              <w:rPr>
                <w:sz w:val="26"/>
                <w:szCs w:val="26"/>
              </w:rPr>
            </w:pPr>
            <w:r w:rsidRPr="00291D3D">
              <w:t xml:space="preserve">Var secināt, ka minētais Divpusējais </w:t>
            </w:r>
            <w:smartTag w:uri="schemas-tilde-lv/tildestengine" w:element="veidnes">
              <w:smartTagPr>
                <w:attr w:name="text" w:val="Līgums"/>
                <w:attr w:name="baseform" w:val="Līgums"/>
                <w:attr w:name="id" w:val="-1"/>
              </w:smartTagPr>
              <w:r w:rsidRPr="00291D3D">
                <w:t>Līgums</w:t>
              </w:r>
            </w:smartTag>
            <w:r w:rsidRPr="00291D3D">
              <w:t xml:space="preserve"> ir būtiski nepieciešama sastāvdaļa, lai dalībvalstī ieviestu </w:t>
            </w:r>
            <w:proofErr w:type="spellStart"/>
            <w:r w:rsidRPr="00291D3D">
              <w:t>kopprogrammu</w:t>
            </w:r>
            <w:proofErr w:type="spellEnd"/>
            <w:r w:rsidRPr="00291D3D">
              <w:t xml:space="preserve"> </w:t>
            </w:r>
            <w:proofErr w:type="spellStart"/>
            <w:r w:rsidRPr="00291D3D">
              <w:t>Eurostars</w:t>
            </w:r>
            <w:proofErr w:type="spellEnd"/>
            <w:r w:rsidRPr="00291D3D">
              <w:t>.</w:t>
            </w:r>
          </w:p>
          <w:p w:rsidR="003D0BEA" w:rsidRPr="00291D3D" w:rsidRDefault="003D0BEA" w:rsidP="00FA7BE0">
            <w:pPr>
              <w:ind w:firstLine="360"/>
              <w:jc w:val="both"/>
            </w:pPr>
          </w:p>
          <w:p w:rsidR="003D0BEA" w:rsidRPr="00291D3D" w:rsidRDefault="003D0BEA" w:rsidP="00FA7BE0">
            <w:pPr>
              <w:tabs>
                <w:tab w:val="num" w:pos="426"/>
              </w:tabs>
              <w:jc w:val="both"/>
            </w:pPr>
            <w:r w:rsidRPr="00291D3D">
              <w:t xml:space="preserve">Pētniecības un attīstības darbu veicošo MVU atbalsts ir instruments, ko aizvien plašāk realizē valstis, kas grib nodrošināt savu ekonomiku konkurētspēju. Saskaņā ar </w:t>
            </w:r>
            <w:proofErr w:type="spellStart"/>
            <w:r w:rsidR="003670CE" w:rsidRPr="00291D3D">
              <w:t>kopprogrammas</w:t>
            </w:r>
            <w:proofErr w:type="spellEnd"/>
            <w:r w:rsidR="003670CE" w:rsidRPr="00291D3D">
              <w:t xml:space="preserve"> </w:t>
            </w:r>
            <w:proofErr w:type="spellStart"/>
            <w:r w:rsidR="00730685" w:rsidRPr="00291D3D">
              <w:t>Eurostars</w:t>
            </w:r>
            <w:proofErr w:type="spellEnd"/>
            <w:r w:rsidRPr="00291D3D">
              <w:t xml:space="preserve"> definīciju pētniecības un attīstības (P&amp;A) darbu veicošs MVU ir tāds uzņēmums, kas</w:t>
            </w:r>
            <w:r w:rsidRPr="00291D3D">
              <w:rPr>
                <w:b/>
              </w:rPr>
              <w:t xml:space="preserve"> </w:t>
            </w:r>
            <w:r w:rsidRPr="00291D3D">
              <w:t xml:space="preserve">P&amp;A velta vismaz 10% no apgrozījuma vai 10% no strādājošo pilna laika ekvivalenta. P&amp;A darbu veicoši uzņēmumi Latvijā ir </w:t>
            </w:r>
            <w:proofErr w:type="spellStart"/>
            <w:r w:rsidRPr="00291D3D">
              <w:t>a.s</w:t>
            </w:r>
            <w:proofErr w:type="spellEnd"/>
            <w:r w:rsidRPr="00291D3D">
              <w:t xml:space="preserve">. </w:t>
            </w:r>
            <w:proofErr w:type="spellStart"/>
            <w:r w:rsidRPr="00291D3D">
              <w:t>Neomat</w:t>
            </w:r>
            <w:proofErr w:type="spellEnd"/>
            <w:r w:rsidRPr="00291D3D">
              <w:t xml:space="preserve">, </w:t>
            </w:r>
            <w:proofErr w:type="spellStart"/>
            <w:r w:rsidRPr="00291D3D">
              <w:t>a.s</w:t>
            </w:r>
            <w:proofErr w:type="spellEnd"/>
            <w:r w:rsidRPr="00291D3D">
              <w:t xml:space="preserve">. Biotehniskais centrs, SIA </w:t>
            </w:r>
            <w:proofErr w:type="spellStart"/>
            <w:r w:rsidRPr="00291D3D">
              <w:t>Ritols</w:t>
            </w:r>
            <w:proofErr w:type="spellEnd"/>
            <w:r w:rsidRPr="00291D3D">
              <w:t xml:space="preserve"> u</w:t>
            </w:r>
            <w:r w:rsidR="00E5725B" w:rsidRPr="00291D3D">
              <w:t>.</w:t>
            </w:r>
            <w:r w:rsidRPr="00291D3D">
              <w:t xml:space="preserve">c., kas darbojas jaunu materiālu, biotehnoloģiju u.c. jomās. </w:t>
            </w:r>
          </w:p>
          <w:p w:rsidR="003D0BEA" w:rsidRPr="00291D3D" w:rsidRDefault="003D0BEA" w:rsidP="00FA7BE0">
            <w:pPr>
              <w:ind w:firstLine="360"/>
              <w:jc w:val="both"/>
            </w:pPr>
          </w:p>
          <w:p w:rsidR="001C541A" w:rsidRPr="00291D3D" w:rsidRDefault="003670CE" w:rsidP="00FA7BE0">
            <w:pPr>
              <w:pStyle w:val="naislab"/>
              <w:jc w:val="both"/>
              <w:outlineLvl w:val="0"/>
            </w:pPr>
            <w:proofErr w:type="spellStart"/>
            <w:r w:rsidRPr="00291D3D">
              <w:t>Kopprogrammas</w:t>
            </w:r>
            <w:proofErr w:type="spellEnd"/>
            <w:r w:rsidRPr="00291D3D">
              <w:t xml:space="preserve"> </w:t>
            </w:r>
            <w:proofErr w:type="spellStart"/>
            <w:r w:rsidR="00730685" w:rsidRPr="00291D3D">
              <w:t>Eurostars</w:t>
            </w:r>
            <w:proofErr w:type="spellEnd"/>
            <w:r w:rsidR="003D0BEA" w:rsidRPr="00291D3D">
              <w:t xml:space="preserve"> projektu pieteikumu konkursos </w:t>
            </w:r>
            <w:r w:rsidR="00291D3D" w:rsidRPr="00291D3D">
              <w:t xml:space="preserve">līdz 2010. gada septembrim </w:t>
            </w:r>
            <w:r w:rsidR="004D1BEF" w:rsidRPr="00291D3D">
              <w:t>ir</w:t>
            </w:r>
            <w:r w:rsidR="003D0BEA" w:rsidRPr="00291D3D">
              <w:t xml:space="preserve"> iesniegti </w:t>
            </w:r>
            <w:r w:rsidR="00CC7CBC" w:rsidRPr="00291D3D">
              <w:t>10</w:t>
            </w:r>
            <w:r w:rsidR="003D0BEA" w:rsidRPr="00291D3D">
              <w:t xml:space="preserve"> projekti ar Latvijas institūciju līdzdalību. No tiem </w:t>
            </w:r>
            <w:r w:rsidR="00CC7CBC" w:rsidRPr="00291D3D">
              <w:t>četri</w:t>
            </w:r>
            <w:r w:rsidR="003D0BEA" w:rsidRPr="00291D3D">
              <w:t xml:space="preserve"> ir sekmīgi izgāj</w:t>
            </w:r>
            <w:r w:rsidR="00E5725B" w:rsidRPr="00291D3D">
              <w:t xml:space="preserve">uši </w:t>
            </w:r>
            <w:r w:rsidR="00CC7CBC" w:rsidRPr="00291D3D">
              <w:t xml:space="preserve">centralizēto </w:t>
            </w:r>
            <w:r w:rsidR="003D0BEA" w:rsidRPr="00291D3D">
              <w:t>ekspertīz</w:t>
            </w:r>
            <w:r w:rsidR="00E5725B" w:rsidRPr="00291D3D">
              <w:t>i (E!4798 ILT</w:t>
            </w:r>
            <w:r w:rsidR="00C2331B" w:rsidRPr="00291D3D">
              <w:t xml:space="preserve">, </w:t>
            </w:r>
            <w:r w:rsidR="00E5725B" w:rsidRPr="00291D3D">
              <w:t>E!5131 NORM</w:t>
            </w:r>
            <w:r w:rsidR="00CC7CBC" w:rsidRPr="00291D3D">
              <w:t xml:space="preserve">, </w:t>
            </w:r>
            <w:r w:rsidR="00C2331B" w:rsidRPr="00291D3D">
              <w:t xml:space="preserve">E!5487 </w:t>
            </w:r>
            <w:proofErr w:type="spellStart"/>
            <w:r w:rsidR="00C2331B" w:rsidRPr="00291D3D">
              <w:t>Seprofast</w:t>
            </w:r>
            <w:proofErr w:type="spellEnd"/>
            <w:r w:rsidR="00C2331B" w:rsidRPr="00291D3D">
              <w:t xml:space="preserve"> un E! REAL-</w:t>
            </w:r>
            <w:proofErr w:type="spellStart"/>
            <w:r w:rsidR="00C2331B" w:rsidRPr="00291D3D">
              <w:t>Bridge</w:t>
            </w:r>
            <w:proofErr w:type="spellEnd"/>
            <w:r w:rsidR="00C2331B" w:rsidRPr="00291D3D">
              <w:t xml:space="preserve"> DBS</w:t>
            </w:r>
            <w:r w:rsidR="00E5725B" w:rsidRPr="00291D3D">
              <w:t>).</w:t>
            </w:r>
          </w:p>
          <w:p w:rsidR="00E32101" w:rsidRPr="00291D3D" w:rsidRDefault="00E32101" w:rsidP="00FA7BE0">
            <w:pPr>
              <w:pStyle w:val="naislab"/>
              <w:jc w:val="both"/>
              <w:outlineLvl w:val="0"/>
              <w:rPr>
                <w:spacing w:val="-1"/>
              </w:rPr>
            </w:pPr>
            <w:r w:rsidRPr="00291D3D">
              <w:t xml:space="preserve">Finansējumu </w:t>
            </w:r>
            <w:proofErr w:type="spellStart"/>
            <w:r w:rsidRPr="00291D3D">
              <w:t>Eurostars</w:t>
            </w:r>
            <w:proofErr w:type="spellEnd"/>
            <w:r w:rsidRPr="00291D3D">
              <w:t xml:space="preserve"> atbalstam izdalīs esošā IZM Valsts budžeta kārtējam gadam zinātnei paredzēto izdevumu ietvaros. Jauni izdevumi valsts budžetam neradīsies.</w:t>
            </w:r>
          </w:p>
        </w:tc>
      </w:tr>
      <w:tr w:rsidR="001C541A" w:rsidRPr="00291D3D">
        <w:tc>
          <w:tcPr>
            <w:tcW w:w="540" w:type="dxa"/>
          </w:tcPr>
          <w:p w:rsidR="001C541A" w:rsidRPr="00291D3D" w:rsidRDefault="000A75C8" w:rsidP="00FA7BE0">
            <w:pPr>
              <w:pStyle w:val="naislab"/>
              <w:ind w:hanging="180"/>
              <w:jc w:val="center"/>
              <w:outlineLvl w:val="0"/>
            </w:pPr>
            <w:r w:rsidRPr="00291D3D">
              <w:lastRenderedPageBreak/>
              <w:t>3.</w:t>
            </w:r>
          </w:p>
        </w:tc>
        <w:tc>
          <w:tcPr>
            <w:tcW w:w="2843" w:type="dxa"/>
          </w:tcPr>
          <w:p w:rsidR="001C541A" w:rsidRPr="00291D3D" w:rsidRDefault="008F339E" w:rsidP="00FA7BE0">
            <w:pPr>
              <w:pStyle w:val="naiskr"/>
              <w:jc w:val="center"/>
            </w:pPr>
            <w:r w:rsidRPr="00291D3D">
              <w:t>Saistītie politikas ietekmes novērtējumi un pētījumi</w:t>
            </w:r>
          </w:p>
        </w:tc>
        <w:tc>
          <w:tcPr>
            <w:tcW w:w="7057" w:type="dxa"/>
          </w:tcPr>
          <w:p w:rsidR="001C541A" w:rsidRPr="00291D3D" w:rsidRDefault="00FA5FA2" w:rsidP="003F2799">
            <w:pPr>
              <w:pStyle w:val="naislab"/>
              <w:jc w:val="left"/>
              <w:outlineLvl w:val="0"/>
              <w:rPr>
                <w:spacing w:val="-1"/>
              </w:rPr>
            </w:pPr>
            <w:r w:rsidRPr="00291D3D">
              <w:t xml:space="preserve">Nav </w:t>
            </w:r>
          </w:p>
        </w:tc>
      </w:tr>
      <w:tr w:rsidR="008F339E" w:rsidRPr="00291D3D">
        <w:tc>
          <w:tcPr>
            <w:tcW w:w="540" w:type="dxa"/>
          </w:tcPr>
          <w:p w:rsidR="008F339E" w:rsidRPr="00291D3D" w:rsidRDefault="000A75C8" w:rsidP="00FA7BE0">
            <w:pPr>
              <w:pStyle w:val="naislab"/>
              <w:ind w:hanging="180"/>
              <w:jc w:val="center"/>
              <w:outlineLvl w:val="0"/>
            </w:pPr>
            <w:r w:rsidRPr="00291D3D">
              <w:t>4.</w:t>
            </w:r>
          </w:p>
        </w:tc>
        <w:tc>
          <w:tcPr>
            <w:tcW w:w="2843" w:type="dxa"/>
          </w:tcPr>
          <w:p w:rsidR="008F339E" w:rsidRPr="00291D3D" w:rsidRDefault="008F339E" w:rsidP="00FA7BE0">
            <w:pPr>
              <w:pStyle w:val="naiskr"/>
              <w:jc w:val="center"/>
            </w:pPr>
            <w:r w:rsidRPr="00291D3D">
              <w:t>Tiesiskā regulējuma mērķis un būtība</w:t>
            </w:r>
          </w:p>
          <w:p w:rsidR="008F339E" w:rsidRPr="00291D3D" w:rsidRDefault="008F339E" w:rsidP="00FA7BE0">
            <w:pPr>
              <w:pStyle w:val="naiskr"/>
              <w:jc w:val="center"/>
            </w:pPr>
          </w:p>
        </w:tc>
        <w:tc>
          <w:tcPr>
            <w:tcW w:w="7057" w:type="dxa"/>
          </w:tcPr>
          <w:p w:rsidR="003D0BEA" w:rsidRPr="00291D3D" w:rsidRDefault="003670CE" w:rsidP="00091B42">
            <w:pPr>
              <w:autoSpaceDE w:val="0"/>
              <w:autoSpaceDN w:val="0"/>
              <w:adjustRightInd w:val="0"/>
              <w:ind w:left="109"/>
              <w:jc w:val="both"/>
            </w:pPr>
            <w:proofErr w:type="spellStart"/>
            <w:r w:rsidRPr="00291D3D">
              <w:t>Kopprogrammas</w:t>
            </w:r>
            <w:proofErr w:type="spellEnd"/>
            <w:r w:rsidRPr="00291D3D">
              <w:t xml:space="preserve"> </w:t>
            </w:r>
            <w:proofErr w:type="spellStart"/>
            <w:r w:rsidR="00730685" w:rsidRPr="00291D3D">
              <w:t>Eurostars</w:t>
            </w:r>
            <w:proofErr w:type="spellEnd"/>
            <w:r w:rsidR="003D0BEA" w:rsidRPr="00291D3D">
              <w:t xml:space="preserve"> darbības rezultātā tiek apvienotas privātā sektora investīcijas ar valsts un Eiropas Kopienas publisko finansējumu, tostarp dotācijām no 7.IP un aizdevumiem un garantiju finansējumu, ko piešķīrusi Eiropas Investīciju banka. </w:t>
            </w:r>
          </w:p>
          <w:p w:rsidR="008F339E" w:rsidRPr="00291D3D" w:rsidRDefault="003670CE" w:rsidP="00091B42">
            <w:pPr>
              <w:pStyle w:val="naislab"/>
              <w:ind w:left="109"/>
              <w:jc w:val="both"/>
              <w:outlineLvl w:val="0"/>
              <w:rPr>
                <w:color w:val="000000"/>
              </w:rPr>
            </w:pPr>
            <w:proofErr w:type="spellStart"/>
            <w:r w:rsidRPr="00291D3D">
              <w:t>Kopprogrammas</w:t>
            </w:r>
            <w:proofErr w:type="spellEnd"/>
            <w:r w:rsidRPr="00291D3D">
              <w:t xml:space="preserve"> </w:t>
            </w:r>
            <w:proofErr w:type="spellStart"/>
            <w:r w:rsidR="00730685" w:rsidRPr="00291D3D">
              <w:t>Eurostars</w:t>
            </w:r>
            <w:proofErr w:type="spellEnd"/>
            <w:r w:rsidR="003D0BEA" w:rsidRPr="00291D3D">
              <w:t xml:space="preserve"> kā atvērts un novatorisks </w:t>
            </w:r>
            <w:r w:rsidR="00CC7CBC" w:rsidRPr="00291D3D">
              <w:t>pētniecības un attīstības darbu veicošo MVU atbalsta</w:t>
            </w:r>
            <w:r w:rsidR="003D0BEA" w:rsidRPr="00291D3D">
              <w:t xml:space="preserve"> modelis veicinās Eiropas ieguldījumus inovatīvu, tirgus pieprasītu produktu, pakalpojumu un tehnoloģiju izstrādi un ieviešanu un ātru ievadīšanu tirgū.</w:t>
            </w:r>
          </w:p>
        </w:tc>
      </w:tr>
      <w:tr w:rsidR="000A75C8" w:rsidRPr="00291D3D">
        <w:tc>
          <w:tcPr>
            <w:tcW w:w="540" w:type="dxa"/>
          </w:tcPr>
          <w:p w:rsidR="000A75C8" w:rsidRPr="00291D3D" w:rsidRDefault="000A75C8" w:rsidP="00FA7BE0">
            <w:pPr>
              <w:pStyle w:val="naislab"/>
              <w:ind w:hanging="180"/>
              <w:jc w:val="center"/>
              <w:outlineLvl w:val="0"/>
            </w:pPr>
            <w:r w:rsidRPr="00291D3D">
              <w:t>5.</w:t>
            </w:r>
          </w:p>
        </w:tc>
        <w:tc>
          <w:tcPr>
            <w:tcW w:w="2843" w:type="dxa"/>
            <w:vAlign w:val="center"/>
          </w:tcPr>
          <w:p w:rsidR="000A75C8" w:rsidRPr="00291D3D" w:rsidRDefault="000A75C8" w:rsidP="00FA7BE0">
            <w:pPr>
              <w:jc w:val="center"/>
            </w:pPr>
            <w:r w:rsidRPr="00291D3D">
              <w:t>Projekta izstrādē iesaistītās institūcijas</w:t>
            </w:r>
          </w:p>
        </w:tc>
        <w:tc>
          <w:tcPr>
            <w:tcW w:w="7057" w:type="dxa"/>
            <w:vAlign w:val="center"/>
          </w:tcPr>
          <w:p w:rsidR="000A75C8" w:rsidRPr="00291D3D" w:rsidRDefault="003D0BEA" w:rsidP="003D0BEA">
            <w:pPr>
              <w:pStyle w:val="naiskr"/>
            </w:pPr>
            <w:r w:rsidRPr="00291D3D">
              <w:rPr>
                <w:iCs/>
              </w:rPr>
              <w:t>Latvijas Zinātņu akadēmija</w:t>
            </w:r>
          </w:p>
        </w:tc>
      </w:tr>
      <w:tr w:rsidR="00D20108" w:rsidRPr="00291D3D">
        <w:tc>
          <w:tcPr>
            <w:tcW w:w="540" w:type="dxa"/>
          </w:tcPr>
          <w:p w:rsidR="00D20108" w:rsidRPr="00291D3D" w:rsidRDefault="00D20108" w:rsidP="00FA7BE0">
            <w:pPr>
              <w:pStyle w:val="naislab"/>
              <w:ind w:hanging="180"/>
              <w:jc w:val="center"/>
              <w:outlineLvl w:val="0"/>
            </w:pPr>
            <w:r w:rsidRPr="00291D3D">
              <w:t>6.</w:t>
            </w:r>
          </w:p>
        </w:tc>
        <w:tc>
          <w:tcPr>
            <w:tcW w:w="2843" w:type="dxa"/>
            <w:vAlign w:val="center"/>
          </w:tcPr>
          <w:p w:rsidR="00D20108" w:rsidRPr="00291D3D" w:rsidRDefault="00D20108" w:rsidP="00FA7BE0">
            <w:pPr>
              <w:jc w:val="center"/>
            </w:pPr>
            <w:r w:rsidRPr="00291D3D">
              <w:t>Iemesli, kādēļ netika nodrošināta sabiedrības līdzdalība</w:t>
            </w:r>
          </w:p>
        </w:tc>
        <w:tc>
          <w:tcPr>
            <w:tcW w:w="7057" w:type="dxa"/>
            <w:vAlign w:val="center"/>
          </w:tcPr>
          <w:p w:rsidR="00D20108" w:rsidRPr="00291D3D" w:rsidRDefault="00D20108" w:rsidP="00D20108">
            <w:pPr>
              <w:pStyle w:val="naiskr"/>
              <w:jc w:val="both"/>
            </w:pPr>
            <w:r w:rsidRPr="00291D3D">
              <w:t xml:space="preserve">Latvija </w:t>
            </w:r>
            <w:proofErr w:type="spellStart"/>
            <w:r w:rsidRPr="00291D3D">
              <w:t>kopprogrammā</w:t>
            </w:r>
            <w:proofErr w:type="spellEnd"/>
            <w:r w:rsidRPr="00291D3D">
              <w:t xml:space="preserve"> </w:t>
            </w:r>
            <w:proofErr w:type="spellStart"/>
            <w:r w:rsidRPr="00291D3D">
              <w:t>Eurostars</w:t>
            </w:r>
            <w:proofErr w:type="spellEnd"/>
            <w:r w:rsidRPr="00291D3D">
              <w:t xml:space="preserve"> apliecina jau uzņemtās saistības: </w:t>
            </w:r>
          </w:p>
          <w:p w:rsidR="00D20108" w:rsidRPr="00291D3D" w:rsidRDefault="00D20108" w:rsidP="00D20108">
            <w:pPr>
              <w:pStyle w:val="naiskr"/>
              <w:rPr>
                <w:iCs/>
              </w:rPr>
            </w:pPr>
            <w:r w:rsidRPr="00291D3D">
              <w:t xml:space="preserve">Eiropas Parlamenta un Eiropas Padomes </w:t>
            </w:r>
            <w:smartTag w:uri="schemas-tilde-lv/tildestengine" w:element="veidnes">
              <w:smartTagPr>
                <w:attr w:name="text" w:val="lēmums"/>
                <w:attr w:name="baseform" w:val="lēmums"/>
                <w:attr w:name="id" w:val="-1"/>
              </w:smartTagPr>
              <w:r w:rsidRPr="00291D3D">
                <w:t>lēmums</w:t>
              </w:r>
            </w:smartTag>
            <w:r w:rsidRPr="00291D3D">
              <w:t xml:space="preserve"> Nr.743/2008/EK, 2008. gada 09. jūlijs, („Lēmums”) par kopienas dalību pētniecības un attīstības programmā, ko uzsākušas vairākas dalībvalstis ar mērķi atbalstīt pētniecības un attīstības darbu veicošos mazos un vidējos uzņēmumus (</w:t>
            </w:r>
            <w:proofErr w:type="spellStart"/>
            <w:r w:rsidRPr="00291D3D">
              <w:t>Decision</w:t>
            </w:r>
            <w:proofErr w:type="spellEnd"/>
            <w:r w:rsidRPr="00291D3D">
              <w:t xml:space="preserve"> N0 743/2008/EC </w:t>
            </w:r>
            <w:proofErr w:type="spellStart"/>
            <w:r w:rsidRPr="00291D3D">
              <w:t>of</w:t>
            </w:r>
            <w:proofErr w:type="spellEnd"/>
            <w:r w:rsidRPr="00291D3D">
              <w:t xml:space="preserve"> </w:t>
            </w:r>
            <w:proofErr w:type="spellStart"/>
            <w:r w:rsidRPr="00291D3D">
              <w:t>the</w:t>
            </w:r>
            <w:proofErr w:type="spellEnd"/>
            <w:r w:rsidRPr="00291D3D">
              <w:t xml:space="preserve"> </w:t>
            </w:r>
            <w:proofErr w:type="spellStart"/>
            <w:r w:rsidRPr="00291D3D">
              <w:t>European</w:t>
            </w:r>
            <w:proofErr w:type="spellEnd"/>
            <w:r w:rsidRPr="00291D3D">
              <w:t xml:space="preserve"> </w:t>
            </w:r>
            <w:proofErr w:type="spellStart"/>
            <w:r w:rsidRPr="00291D3D">
              <w:t>parliament</w:t>
            </w:r>
            <w:proofErr w:type="spellEnd"/>
            <w:r w:rsidRPr="00291D3D">
              <w:t xml:space="preserve"> </w:t>
            </w:r>
            <w:proofErr w:type="spellStart"/>
            <w:r w:rsidRPr="00291D3D">
              <w:t>and</w:t>
            </w:r>
            <w:proofErr w:type="spellEnd"/>
            <w:r w:rsidRPr="00291D3D">
              <w:t xml:space="preserve"> </w:t>
            </w:r>
            <w:proofErr w:type="spellStart"/>
            <w:r w:rsidRPr="00291D3D">
              <w:t>of</w:t>
            </w:r>
            <w:proofErr w:type="spellEnd"/>
            <w:r w:rsidRPr="00291D3D">
              <w:t xml:space="preserve"> </w:t>
            </w:r>
            <w:proofErr w:type="spellStart"/>
            <w:r w:rsidRPr="00291D3D">
              <w:t>the</w:t>
            </w:r>
            <w:proofErr w:type="spellEnd"/>
            <w:r w:rsidRPr="00291D3D">
              <w:t xml:space="preserve"> </w:t>
            </w:r>
            <w:proofErr w:type="spellStart"/>
            <w:r w:rsidRPr="00291D3D">
              <w:t>Councli</w:t>
            </w:r>
            <w:proofErr w:type="spellEnd"/>
            <w:r w:rsidRPr="00291D3D">
              <w:t xml:space="preserve"> od 9 </w:t>
            </w:r>
            <w:proofErr w:type="spellStart"/>
            <w:r w:rsidRPr="00291D3D">
              <w:t>July</w:t>
            </w:r>
            <w:proofErr w:type="spellEnd"/>
            <w:r w:rsidRPr="00291D3D">
              <w:t xml:space="preserve"> 2008), līdz ar to sabiedrības līdzdalība nav nepieciešama.</w:t>
            </w:r>
          </w:p>
        </w:tc>
      </w:tr>
    </w:tbl>
    <w:p w:rsidR="00D20108" w:rsidRDefault="00D20108"/>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43"/>
        <w:gridCol w:w="7057"/>
      </w:tblGrid>
      <w:tr w:rsidR="00D20108" w:rsidRPr="00291D3D" w:rsidTr="00506946">
        <w:trPr>
          <w:trHeight w:val="405"/>
        </w:trPr>
        <w:tc>
          <w:tcPr>
            <w:tcW w:w="10440" w:type="dxa"/>
            <w:gridSpan w:val="3"/>
          </w:tcPr>
          <w:p w:rsidR="00D20108" w:rsidRPr="00D20108" w:rsidRDefault="00D20108" w:rsidP="00FA7BE0">
            <w:pPr>
              <w:pStyle w:val="naiskr"/>
              <w:jc w:val="both"/>
              <w:rPr>
                <w:b/>
              </w:rPr>
            </w:pPr>
            <w:r w:rsidRPr="00D20108">
              <w:rPr>
                <w:b/>
              </w:rPr>
              <w:t>II Tiesību akta projekta ietekme uz sabiedrību</w:t>
            </w:r>
          </w:p>
        </w:tc>
      </w:tr>
      <w:tr w:rsidR="00D20108" w:rsidRPr="00291D3D" w:rsidTr="00D20108">
        <w:trPr>
          <w:trHeight w:val="405"/>
        </w:trPr>
        <w:tc>
          <w:tcPr>
            <w:tcW w:w="540" w:type="dxa"/>
          </w:tcPr>
          <w:p w:rsidR="00D20108" w:rsidRPr="00291D3D" w:rsidRDefault="00D20108" w:rsidP="00FA7BE0">
            <w:pPr>
              <w:pStyle w:val="naislab"/>
              <w:ind w:hanging="180"/>
              <w:jc w:val="center"/>
              <w:outlineLvl w:val="0"/>
            </w:pPr>
            <w:r w:rsidRPr="00291D3D">
              <w:t>1.</w:t>
            </w:r>
          </w:p>
        </w:tc>
        <w:tc>
          <w:tcPr>
            <w:tcW w:w="2843" w:type="dxa"/>
            <w:vAlign w:val="center"/>
          </w:tcPr>
          <w:p w:rsidR="00D20108" w:rsidRPr="00291D3D" w:rsidRDefault="00D20108" w:rsidP="00D20108">
            <w:r w:rsidRPr="00291D3D">
              <w:t>Sabiedrības mērķgrupa</w:t>
            </w:r>
          </w:p>
        </w:tc>
        <w:tc>
          <w:tcPr>
            <w:tcW w:w="7057" w:type="dxa"/>
            <w:vAlign w:val="center"/>
          </w:tcPr>
          <w:p w:rsidR="00D20108" w:rsidRPr="00291D3D" w:rsidRDefault="00D20108" w:rsidP="00FA7BE0">
            <w:pPr>
              <w:pStyle w:val="naiskr"/>
              <w:jc w:val="both"/>
            </w:pPr>
            <w:r w:rsidRPr="00291D3D">
              <w:rPr>
                <w:iCs/>
              </w:rPr>
              <w:t>Pētniecības un attīstības darbu veicošie mazie un vidējie uzņēmumi</w:t>
            </w:r>
          </w:p>
        </w:tc>
      </w:tr>
      <w:tr w:rsidR="00D20108" w:rsidRPr="00291D3D" w:rsidTr="00D20108">
        <w:trPr>
          <w:trHeight w:val="405"/>
        </w:trPr>
        <w:tc>
          <w:tcPr>
            <w:tcW w:w="540" w:type="dxa"/>
            <w:vAlign w:val="center"/>
          </w:tcPr>
          <w:p w:rsidR="00D20108" w:rsidRPr="00291D3D" w:rsidRDefault="00D20108" w:rsidP="00D20108">
            <w:pPr>
              <w:pStyle w:val="naislab"/>
              <w:ind w:hanging="180"/>
              <w:jc w:val="center"/>
              <w:outlineLvl w:val="0"/>
            </w:pPr>
            <w:r w:rsidRPr="00291D3D">
              <w:t>2.</w:t>
            </w:r>
          </w:p>
        </w:tc>
        <w:tc>
          <w:tcPr>
            <w:tcW w:w="2843" w:type="dxa"/>
            <w:vAlign w:val="center"/>
          </w:tcPr>
          <w:p w:rsidR="00D20108" w:rsidRPr="00291D3D" w:rsidRDefault="00D20108" w:rsidP="00D20108">
            <w:r w:rsidRPr="00291D3D">
              <w:t>Citas sabiedrības grupas (bez mērķgrupas), kuras tiesiskais regulējums arī ietekmē vai varētu ietekmēt</w:t>
            </w:r>
          </w:p>
        </w:tc>
        <w:tc>
          <w:tcPr>
            <w:tcW w:w="7057" w:type="dxa"/>
            <w:vAlign w:val="center"/>
          </w:tcPr>
          <w:p w:rsidR="00D20108" w:rsidRPr="00291D3D" w:rsidRDefault="00D20108" w:rsidP="00D20108">
            <w:pPr>
              <w:ind w:left="76"/>
              <w:jc w:val="both"/>
            </w:pPr>
            <w:r w:rsidRPr="00291D3D">
              <w:t xml:space="preserve">Sakarā ar tirgus iespējamo papildināšanos ar tautsaimniecībai nepieciešamām precēm un pakalpojumiem, kā arī ar jaunu darba vietu izveidi ietekme uz sociālo situāciju varētu būt pozitīva.  </w:t>
            </w:r>
          </w:p>
          <w:p w:rsidR="00D20108" w:rsidRPr="00291D3D" w:rsidRDefault="00D20108" w:rsidP="00D20108">
            <w:pPr>
              <w:ind w:left="76"/>
              <w:jc w:val="both"/>
            </w:pPr>
          </w:p>
          <w:p w:rsidR="00D20108" w:rsidRPr="00291D3D" w:rsidRDefault="00D20108" w:rsidP="00D20108">
            <w:pPr>
              <w:pStyle w:val="naiskr"/>
              <w:jc w:val="both"/>
              <w:rPr>
                <w:iCs/>
              </w:rPr>
            </w:pPr>
            <w:r w:rsidRPr="00291D3D">
              <w:t>Nodarbinātība varētu pieaugt sakarā ar jaunu, augsti kvalificētu darba vietu veidošanos.</w:t>
            </w:r>
          </w:p>
        </w:tc>
      </w:tr>
      <w:tr w:rsidR="00D20108" w:rsidRPr="00291D3D" w:rsidTr="00D20108">
        <w:trPr>
          <w:trHeight w:val="4822"/>
        </w:trPr>
        <w:tc>
          <w:tcPr>
            <w:tcW w:w="540" w:type="dxa"/>
            <w:vAlign w:val="center"/>
          </w:tcPr>
          <w:p w:rsidR="00D20108" w:rsidRPr="00291D3D" w:rsidRDefault="00D20108" w:rsidP="00D20108">
            <w:pPr>
              <w:pStyle w:val="naislab"/>
              <w:ind w:hanging="180"/>
              <w:jc w:val="center"/>
              <w:outlineLvl w:val="0"/>
            </w:pPr>
            <w:r w:rsidRPr="00291D3D">
              <w:t>3.</w:t>
            </w:r>
          </w:p>
        </w:tc>
        <w:tc>
          <w:tcPr>
            <w:tcW w:w="2843" w:type="dxa"/>
            <w:vAlign w:val="center"/>
          </w:tcPr>
          <w:p w:rsidR="00D20108" w:rsidRPr="00291D3D" w:rsidRDefault="00D20108" w:rsidP="00D20108">
            <w:r w:rsidRPr="00291D3D">
              <w:t>Tiesiskā regulējuma finansiālā ietekme</w:t>
            </w:r>
          </w:p>
        </w:tc>
        <w:tc>
          <w:tcPr>
            <w:tcW w:w="7057" w:type="dxa"/>
            <w:vAlign w:val="center"/>
          </w:tcPr>
          <w:p w:rsidR="00D20108" w:rsidRPr="00291D3D" w:rsidRDefault="00D20108" w:rsidP="00D20108">
            <w:pPr>
              <w:spacing w:after="120"/>
              <w:ind w:left="196" w:hanging="120"/>
              <w:jc w:val="both"/>
            </w:pPr>
            <w:r w:rsidRPr="00291D3D">
              <w:rPr>
                <w:iCs/>
              </w:rPr>
              <w:t xml:space="preserve">1) Projektos izstrādātos, inovatīvos un konkurētspējīgos produktus un/vai tehnoloģijas (vai to </w:t>
            </w:r>
            <w:proofErr w:type="spellStart"/>
            <w:r w:rsidRPr="00291D3D">
              <w:rPr>
                <w:iCs/>
              </w:rPr>
              <w:t>licenzes</w:t>
            </w:r>
            <w:proofErr w:type="spellEnd"/>
            <w:r w:rsidRPr="00291D3D">
              <w:rPr>
                <w:iCs/>
              </w:rPr>
              <w:t xml:space="preserve">) pārdodot vai pielietojot, Latvijas MVU – </w:t>
            </w:r>
            <w:proofErr w:type="spellStart"/>
            <w:r w:rsidRPr="00291D3D">
              <w:rPr>
                <w:iCs/>
              </w:rPr>
              <w:t>Eurostars</w:t>
            </w:r>
            <w:proofErr w:type="spellEnd"/>
            <w:r w:rsidRPr="00291D3D">
              <w:rPr>
                <w:iCs/>
              </w:rPr>
              <w:t xml:space="preserve"> projektu dalībniekiem varētu augt apgrozījums un attiecīgi palielināties Valsts budžetā iemaksātie nodokļi;</w:t>
            </w:r>
          </w:p>
          <w:p w:rsidR="00D20108" w:rsidRPr="00291D3D" w:rsidRDefault="00D20108" w:rsidP="00D20108">
            <w:pPr>
              <w:pStyle w:val="naiskr"/>
              <w:ind w:left="142"/>
            </w:pPr>
            <w:r w:rsidRPr="00291D3D">
              <w:t>2) Jaunie produkti varētu būt konkurētspējīgi, ar eksporta potenciālu, kas sekmētu valūtas ieplūšanu valstī;</w:t>
            </w:r>
          </w:p>
          <w:p w:rsidR="00D20108" w:rsidRPr="00291D3D" w:rsidRDefault="00D20108" w:rsidP="00D20108">
            <w:pPr>
              <w:spacing w:after="120"/>
              <w:ind w:left="142"/>
              <w:jc w:val="both"/>
            </w:pPr>
            <w:r w:rsidRPr="00291D3D">
              <w:t xml:space="preserve">3) Saskaņā ar Lēmumu, Latvijas institūcijas – sekmīgo </w:t>
            </w:r>
            <w:proofErr w:type="spellStart"/>
            <w:r w:rsidRPr="00291D3D">
              <w:t>Eurostars</w:t>
            </w:r>
            <w:proofErr w:type="spellEnd"/>
            <w:r w:rsidRPr="00291D3D">
              <w:t xml:space="preserve"> projekta dalībnieki (MVU un zinātniskās institūcijas, kas ir reģistrētas IZM Zinātnisko institūciju reģistrā) papildus Nacionālā budžeta atbalstam vēl saņem Eiropas Savienības līdzfinansējumu ar tādu apjomu, kas maksimāli sastāda 1/3 no </w:t>
            </w:r>
            <w:proofErr w:type="spellStart"/>
            <w:r w:rsidRPr="00291D3D">
              <w:t>Eurostars</w:t>
            </w:r>
            <w:proofErr w:type="spellEnd"/>
            <w:r w:rsidRPr="00291D3D">
              <w:t xml:space="preserve"> projektos ieguldītā Latvijas valsts budžeta finansējuma;</w:t>
            </w:r>
          </w:p>
          <w:p w:rsidR="00D20108" w:rsidRPr="00291D3D" w:rsidRDefault="00D20108" w:rsidP="00D20108">
            <w:pPr>
              <w:spacing w:after="120"/>
              <w:ind w:left="142"/>
              <w:jc w:val="both"/>
            </w:pPr>
            <w:r w:rsidRPr="00291D3D">
              <w:t xml:space="preserve">4) Lai atbalstītu </w:t>
            </w:r>
            <w:proofErr w:type="spellStart"/>
            <w:r w:rsidRPr="00291D3D">
              <w:t>Eurostars</w:t>
            </w:r>
            <w:proofErr w:type="spellEnd"/>
            <w:r w:rsidRPr="00291D3D">
              <w:t xml:space="preserve"> projektu dalībniekus no Latvijas, finansējumu izdalīs esošā IZM Valsts budžeta kārtējam gadam zinātnei paredzēto izdevumu ietvaros. Jauni izdevumi Valsts budžetam neradīsies.</w:t>
            </w:r>
          </w:p>
        </w:tc>
      </w:tr>
      <w:tr w:rsidR="00D20108" w:rsidRPr="00291D3D" w:rsidTr="00D20108">
        <w:trPr>
          <w:trHeight w:val="405"/>
        </w:trPr>
        <w:tc>
          <w:tcPr>
            <w:tcW w:w="540" w:type="dxa"/>
            <w:vAlign w:val="center"/>
          </w:tcPr>
          <w:p w:rsidR="00D20108" w:rsidRPr="00291D3D" w:rsidRDefault="00D20108" w:rsidP="00D20108">
            <w:pPr>
              <w:pStyle w:val="naislab"/>
              <w:ind w:hanging="180"/>
              <w:jc w:val="center"/>
              <w:outlineLvl w:val="0"/>
            </w:pPr>
            <w:r w:rsidRPr="00291D3D">
              <w:t>4</w:t>
            </w:r>
            <w:r>
              <w:t>.</w:t>
            </w:r>
          </w:p>
        </w:tc>
        <w:tc>
          <w:tcPr>
            <w:tcW w:w="2843" w:type="dxa"/>
            <w:vAlign w:val="center"/>
          </w:tcPr>
          <w:p w:rsidR="00D20108" w:rsidRPr="00291D3D" w:rsidRDefault="00D20108" w:rsidP="00D20108">
            <w:r w:rsidRPr="00291D3D">
              <w:t>Tiesiskā regulējuma nefinansiālā ietekme</w:t>
            </w:r>
          </w:p>
        </w:tc>
        <w:tc>
          <w:tcPr>
            <w:tcW w:w="7057" w:type="dxa"/>
            <w:vAlign w:val="center"/>
          </w:tcPr>
          <w:p w:rsidR="00D20108" w:rsidRPr="00291D3D" w:rsidRDefault="00D20108" w:rsidP="00D20108">
            <w:pPr>
              <w:ind w:left="142"/>
              <w:jc w:val="both"/>
            </w:pPr>
            <w:r w:rsidRPr="00291D3D">
              <w:t xml:space="preserve">Tā kā </w:t>
            </w:r>
            <w:proofErr w:type="spellStart"/>
            <w:r w:rsidRPr="00291D3D">
              <w:t>kopprogrammas</w:t>
            </w:r>
            <w:proofErr w:type="spellEnd"/>
            <w:r w:rsidRPr="00291D3D">
              <w:t xml:space="preserve">  </w:t>
            </w:r>
            <w:proofErr w:type="spellStart"/>
            <w:r w:rsidRPr="00291D3D">
              <w:t>Eurostars</w:t>
            </w:r>
            <w:proofErr w:type="spellEnd"/>
            <w:r w:rsidRPr="00291D3D">
              <w:t xml:space="preserve">  projektu ekspertīze notiek centralizēti un to veic Eiropas līmeņa eksperti no visām dalībvalstīm pēc iepriekš saskaņotiem un apstiprinātiem kritērijiem, kas atspoguļo pašas jaunākās, aktuālākās Eiropas likumdošanas prasības, var sagaidīt, ka </w:t>
            </w:r>
            <w:proofErr w:type="spellStart"/>
            <w:r w:rsidRPr="00291D3D">
              <w:t>kopprogrammas</w:t>
            </w:r>
            <w:proofErr w:type="spellEnd"/>
            <w:r w:rsidRPr="00291D3D">
              <w:t xml:space="preserve">  </w:t>
            </w:r>
            <w:proofErr w:type="spellStart"/>
            <w:r w:rsidRPr="00291D3D">
              <w:t>Eurostars</w:t>
            </w:r>
            <w:proofErr w:type="spellEnd"/>
            <w:r w:rsidRPr="00291D3D">
              <w:t xml:space="preserve">  projektu izstrādnes: </w:t>
            </w:r>
          </w:p>
          <w:p w:rsidR="00D20108" w:rsidRPr="00291D3D" w:rsidRDefault="00D20108" w:rsidP="00D20108">
            <w:pPr>
              <w:ind w:left="142"/>
              <w:jc w:val="both"/>
            </w:pPr>
          </w:p>
          <w:p w:rsidR="00D20108" w:rsidRPr="00291D3D" w:rsidRDefault="00D20108" w:rsidP="00D20108">
            <w:pPr>
              <w:numPr>
                <w:ilvl w:val="0"/>
                <w:numId w:val="15"/>
              </w:numPr>
              <w:jc w:val="both"/>
            </w:pPr>
            <w:r w:rsidRPr="00291D3D">
              <w:t>Varētu sekmēt ekonomiskāku, ilgtspējīgu dabas resursu izmantošanu, ekoloģiskās situācijas uzlabošanos;</w:t>
            </w:r>
          </w:p>
          <w:p w:rsidR="00D20108" w:rsidRPr="00291D3D" w:rsidRDefault="00D20108" w:rsidP="00D20108">
            <w:pPr>
              <w:numPr>
                <w:ilvl w:val="0"/>
                <w:numId w:val="15"/>
              </w:numPr>
              <w:jc w:val="both"/>
            </w:pPr>
            <w:r w:rsidRPr="00291D3D">
              <w:t>Varētu sekmēt piesārņojošo vielu emisijas vidē mazināšanos;</w:t>
            </w:r>
          </w:p>
          <w:p w:rsidR="00D20108" w:rsidRPr="00291D3D" w:rsidRDefault="00D20108" w:rsidP="00D20108">
            <w:pPr>
              <w:numPr>
                <w:ilvl w:val="0"/>
                <w:numId w:val="15"/>
              </w:numPr>
              <w:jc w:val="both"/>
            </w:pPr>
            <w:r w:rsidRPr="00291D3D">
              <w:t>Varētu mazināt darbības radītos atkritumus.</w:t>
            </w:r>
          </w:p>
          <w:p w:rsidR="00D20108" w:rsidRPr="00291D3D" w:rsidRDefault="00D20108" w:rsidP="00D20108">
            <w:pPr>
              <w:spacing w:after="120"/>
              <w:ind w:left="196" w:hanging="120"/>
              <w:jc w:val="both"/>
              <w:rPr>
                <w:iCs/>
              </w:rPr>
            </w:pPr>
          </w:p>
        </w:tc>
      </w:tr>
      <w:tr w:rsidR="00D20108" w:rsidRPr="00291D3D" w:rsidTr="00D20108">
        <w:trPr>
          <w:trHeight w:val="405"/>
        </w:trPr>
        <w:tc>
          <w:tcPr>
            <w:tcW w:w="540" w:type="dxa"/>
          </w:tcPr>
          <w:p w:rsidR="00D20108" w:rsidRPr="00291D3D" w:rsidRDefault="00D20108" w:rsidP="00FA7BE0">
            <w:pPr>
              <w:pStyle w:val="naislab"/>
              <w:ind w:hanging="180"/>
              <w:jc w:val="center"/>
              <w:outlineLvl w:val="0"/>
            </w:pPr>
            <w:r w:rsidRPr="00291D3D">
              <w:t>5.</w:t>
            </w:r>
          </w:p>
        </w:tc>
        <w:tc>
          <w:tcPr>
            <w:tcW w:w="2843" w:type="dxa"/>
            <w:vAlign w:val="center"/>
          </w:tcPr>
          <w:p w:rsidR="00D20108" w:rsidRPr="00291D3D" w:rsidRDefault="00D20108" w:rsidP="00D20108">
            <w:r w:rsidRPr="00291D3D">
              <w:t>Administratīvās procedūras raksturojums</w:t>
            </w:r>
          </w:p>
        </w:tc>
        <w:tc>
          <w:tcPr>
            <w:tcW w:w="7057" w:type="dxa"/>
            <w:vAlign w:val="center"/>
          </w:tcPr>
          <w:p w:rsidR="00D20108" w:rsidRPr="00291D3D" w:rsidRDefault="00D20108" w:rsidP="00D20108">
            <w:pPr>
              <w:ind w:left="142"/>
              <w:jc w:val="both"/>
            </w:pPr>
            <w:r w:rsidRPr="00291D3D">
              <w:rPr>
                <w:iCs/>
              </w:rPr>
              <w:t>Nav</w:t>
            </w:r>
          </w:p>
        </w:tc>
      </w:tr>
      <w:tr w:rsidR="00D20108" w:rsidRPr="00291D3D" w:rsidTr="00D20108">
        <w:trPr>
          <w:trHeight w:val="405"/>
        </w:trPr>
        <w:tc>
          <w:tcPr>
            <w:tcW w:w="540" w:type="dxa"/>
          </w:tcPr>
          <w:p w:rsidR="00D20108" w:rsidRPr="00291D3D" w:rsidRDefault="00D20108" w:rsidP="00FA7BE0">
            <w:pPr>
              <w:pStyle w:val="naislab"/>
              <w:ind w:hanging="180"/>
              <w:jc w:val="center"/>
              <w:outlineLvl w:val="0"/>
            </w:pPr>
            <w:r w:rsidRPr="00291D3D">
              <w:t>6.</w:t>
            </w:r>
          </w:p>
        </w:tc>
        <w:tc>
          <w:tcPr>
            <w:tcW w:w="2843" w:type="dxa"/>
            <w:vAlign w:val="center"/>
          </w:tcPr>
          <w:p w:rsidR="00D20108" w:rsidRPr="00291D3D" w:rsidRDefault="00D20108" w:rsidP="00D20108">
            <w:r w:rsidRPr="00291D3D">
              <w:t xml:space="preserve">Administratīvo </w:t>
            </w:r>
            <w:proofErr w:type="spellStart"/>
            <w:r w:rsidRPr="00291D3D">
              <w:t>izmaksu.monetārs</w:t>
            </w:r>
            <w:proofErr w:type="spellEnd"/>
            <w:r w:rsidRPr="00291D3D">
              <w:t xml:space="preserve"> novērtējums</w:t>
            </w:r>
          </w:p>
        </w:tc>
        <w:tc>
          <w:tcPr>
            <w:tcW w:w="7057" w:type="dxa"/>
            <w:vAlign w:val="center"/>
          </w:tcPr>
          <w:p w:rsidR="00D20108" w:rsidRPr="00291D3D" w:rsidRDefault="00D20108" w:rsidP="00D20108">
            <w:pPr>
              <w:ind w:left="142"/>
              <w:jc w:val="both"/>
              <w:rPr>
                <w:iCs/>
              </w:rPr>
            </w:pPr>
            <w:r w:rsidRPr="00291D3D">
              <w:rPr>
                <w:iCs/>
              </w:rPr>
              <w:t>Nav</w:t>
            </w:r>
          </w:p>
        </w:tc>
      </w:tr>
      <w:tr w:rsidR="00D20108" w:rsidRPr="00291D3D" w:rsidTr="00D20108">
        <w:trPr>
          <w:trHeight w:val="405"/>
        </w:trPr>
        <w:tc>
          <w:tcPr>
            <w:tcW w:w="540" w:type="dxa"/>
          </w:tcPr>
          <w:p w:rsidR="00D20108" w:rsidRPr="00291D3D" w:rsidRDefault="00D20108" w:rsidP="00FA7BE0">
            <w:pPr>
              <w:pStyle w:val="naislab"/>
              <w:ind w:hanging="180"/>
              <w:jc w:val="center"/>
              <w:outlineLvl w:val="0"/>
            </w:pPr>
            <w:r w:rsidRPr="00291D3D">
              <w:t>7.</w:t>
            </w:r>
          </w:p>
        </w:tc>
        <w:tc>
          <w:tcPr>
            <w:tcW w:w="2843" w:type="dxa"/>
            <w:vAlign w:val="center"/>
          </w:tcPr>
          <w:p w:rsidR="00D20108" w:rsidRPr="00291D3D" w:rsidRDefault="00D20108" w:rsidP="00D20108">
            <w:r w:rsidRPr="00291D3D">
              <w:t>Cita informācija</w:t>
            </w:r>
          </w:p>
        </w:tc>
        <w:tc>
          <w:tcPr>
            <w:tcW w:w="7057" w:type="dxa"/>
            <w:vAlign w:val="center"/>
          </w:tcPr>
          <w:p w:rsidR="00D20108" w:rsidRPr="00291D3D" w:rsidRDefault="00D20108" w:rsidP="00D20108">
            <w:pPr>
              <w:ind w:left="142"/>
              <w:jc w:val="both"/>
              <w:rPr>
                <w:iCs/>
              </w:rPr>
            </w:pPr>
            <w:r w:rsidRPr="00291D3D">
              <w:t>Nav</w:t>
            </w:r>
          </w:p>
        </w:tc>
      </w:tr>
    </w:tbl>
    <w:p w:rsidR="00D20108" w:rsidRDefault="00D20108"/>
    <w:p w:rsidR="00FD6E18" w:rsidRPr="00291D3D" w:rsidRDefault="00FD6E18" w:rsidP="00FD6E18">
      <w:pPr>
        <w:pStyle w:val="naisf"/>
        <w:ind w:firstLine="0"/>
      </w:pPr>
    </w:p>
    <w:tbl>
      <w:tblPr>
        <w:tblW w:w="10263" w:type="dxa"/>
        <w:tblInd w:w="-972" w:type="dxa"/>
        <w:tblBorders>
          <w:top w:val="single" w:sz="12" w:space="0" w:color="auto"/>
          <w:left w:val="single" w:sz="12" w:space="0" w:color="auto"/>
          <w:bottom w:val="single" w:sz="12" w:space="0" w:color="auto"/>
          <w:right w:val="single" w:sz="12" w:space="0" w:color="auto"/>
        </w:tblBorders>
        <w:tblLook w:val="01E0"/>
      </w:tblPr>
      <w:tblGrid>
        <w:gridCol w:w="3365"/>
        <w:gridCol w:w="1492"/>
        <w:gridCol w:w="1351"/>
        <w:gridCol w:w="1351"/>
        <w:gridCol w:w="1352"/>
        <w:gridCol w:w="1352"/>
      </w:tblGrid>
      <w:tr w:rsidR="00730685" w:rsidRPr="00291D3D">
        <w:trPr>
          <w:trHeight w:val="869"/>
        </w:trPr>
        <w:tc>
          <w:tcPr>
            <w:tcW w:w="10263" w:type="dxa"/>
            <w:gridSpan w:val="6"/>
            <w:tcBorders>
              <w:top w:val="single" w:sz="12" w:space="0" w:color="auto"/>
            </w:tcBorders>
          </w:tcPr>
          <w:p w:rsidR="00730685" w:rsidRPr="00291D3D" w:rsidRDefault="00730685" w:rsidP="00FA7BE0">
            <w:pPr>
              <w:jc w:val="center"/>
            </w:pPr>
            <w:r w:rsidRPr="00291D3D">
              <w:br w:type="page"/>
            </w:r>
          </w:p>
          <w:p w:rsidR="00730685" w:rsidRPr="00291D3D" w:rsidRDefault="00730685" w:rsidP="00FA7BE0">
            <w:pPr>
              <w:jc w:val="center"/>
              <w:rPr>
                <w:b/>
                <w:bCs/>
              </w:rPr>
            </w:pPr>
            <w:r w:rsidRPr="00291D3D">
              <w:rPr>
                <w:b/>
                <w:bCs/>
              </w:rPr>
              <w:t>III Tiesību akta projekta ietekme uz valsts budžetu un pašvaldību budžetiem</w:t>
            </w:r>
          </w:p>
          <w:p w:rsidR="00730685" w:rsidRPr="00291D3D" w:rsidRDefault="00730685" w:rsidP="00FA7BE0">
            <w:pPr>
              <w:jc w:val="center"/>
            </w:pPr>
            <w:r w:rsidRPr="00291D3D">
              <w:t>(tūkst</w:t>
            </w:r>
            <w:smartTag w:uri="schemas-tilde-lv/tildestengine" w:element="currency2">
              <w:smartTagPr>
                <w:attr w:name="currency_id" w:val="48"/>
                <w:attr w:name="currency_key" w:val="LVL"/>
                <w:attr w:name="currency_value" w:val="."/>
                <w:attr w:name="currency_text" w:val="latu"/>
              </w:smartTagPr>
              <w:r w:rsidRPr="00291D3D">
                <w:t>. latu</w:t>
              </w:r>
            </w:smartTag>
            <w:r w:rsidRPr="00291D3D">
              <w:t>)</w:t>
            </w:r>
          </w:p>
        </w:tc>
      </w:tr>
      <w:tr w:rsidR="00FD6E18" w:rsidRPr="00291D3D">
        <w:tc>
          <w:tcPr>
            <w:tcW w:w="3365" w:type="dxa"/>
            <w:vMerge w:val="restart"/>
            <w:tcBorders>
              <w:top w:val="single" w:sz="12" w:space="0" w:color="auto"/>
              <w:bottom w:val="single" w:sz="12" w:space="0" w:color="auto"/>
              <w:right w:val="single" w:sz="12" w:space="0" w:color="auto"/>
            </w:tcBorders>
            <w:vAlign w:val="bottom"/>
          </w:tcPr>
          <w:p w:rsidR="00FD6E18" w:rsidRPr="00291D3D" w:rsidRDefault="00FD6E18" w:rsidP="00FA7BE0">
            <w:pPr>
              <w:pStyle w:val="naisf"/>
              <w:spacing w:before="0" w:after="0"/>
              <w:jc w:val="center"/>
            </w:pPr>
            <w:r w:rsidRPr="00291D3D">
              <w:t>Rādītāji</w:t>
            </w:r>
          </w:p>
          <w:p w:rsidR="00FD6E18" w:rsidRPr="00291D3D" w:rsidRDefault="00FD6E18" w:rsidP="00FA7BE0">
            <w:pPr>
              <w:pStyle w:val="naisf"/>
              <w:spacing w:before="0" w:after="0"/>
              <w:jc w:val="center"/>
            </w:pPr>
          </w:p>
        </w:tc>
        <w:tc>
          <w:tcPr>
            <w:tcW w:w="2843" w:type="dxa"/>
            <w:gridSpan w:val="2"/>
            <w:vMerge w:val="restart"/>
            <w:tcBorders>
              <w:top w:val="single" w:sz="12" w:space="0" w:color="auto"/>
              <w:left w:val="single" w:sz="12" w:space="0" w:color="auto"/>
              <w:bottom w:val="single" w:sz="12" w:space="0" w:color="auto"/>
              <w:right w:val="single" w:sz="12" w:space="0" w:color="auto"/>
            </w:tcBorders>
            <w:vAlign w:val="bottom"/>
          </w:tcPr>
          <w:p w:rsidR="00FD6E18" w:rsidRPr="00291D3D" w:rsidRDefault="00FD6E18" w:rsidP="00FA7BE0">
            <w:pPr>
              <w:pStyle w:val="naisf"/>
              <w:spacing w:before="0" w:after="0"/>
              <w:jc w:val="center"/>
            </w:pPr>
            <w:r w:rsidRPr="00291D3D">
              <w:t>2010. gads</w:t>
            </w:r>
          </w:p>
        </w:tc>
        <w:tc>
          <w:tcPr>
            <w:tcW w:w="4055" w:type="dxa"/>
            <w:gridSpan w:val="3"/>
            <w:tcBorders>
              <w:top w:val="single" w:sz="12" w:space="0" w:color="auto"/>
              <w:left w:val="single" w:sz="12" w:space="0" w:color="auto"/>
              <w:bottom w:val="single" w:sz="12" w:space="0" w:color="auto"/>
            </w:tcBorders>
          </w:tcPr>
          <w:p w:rsidR="00FD6E18" w:rsidRPr="00291D3D" w:rsidRDefault="00FD6E18" w:rsidP="00FA7BE0">
            <w:pPr>
              <w:pStyle w:val="naisf"/>
              <w:spacing w:before="0" w:after="0"/>
              <w:ind w:firstLine="0"/>
              <w:jc w:val="center"/>
            </w:pPr>
            <w:r w:rsidRPr="00291D3D">
              <w:t>Turpmākie trīs gadi</w:t>
            </w:r>
          </w:p>
        </w:tc>
      </w:tr>
      <w:tr w:rsidR="00FD6E18" w:rsidRPr="00291D3D">
        <w:tc>
          <w:tcPr>
            <w:tcW w:w="3365" w:type="dxa"/>
            <w:vMerge/>
            <w:tcBorders>
              <w:top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pPr>
          </w:p>
        </w:tc>
        <w:tc>
          <w:tcPr>
            <w:tcW w:w="2843" w:type="dxa"/>
            <w:gridSpan w:val="2"/>
            <w:vMerge/>
            <w:tcBorders>
              <w:top w:val="single" w:sz="12" w:space="0" w:color="auto"/>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pPr>
          </w:p>
        </w:tc>
        <w:tc>
          <w:tcPr>
            <w:tcW w:w="1351" w:type="dxa"/>
            <w:tcBorders>
              <w:top w:val="single" w:sz="12" w:space="0" w:color="auto"/>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rPr>
                <w:bCs/>
              </w:rPr>
              <w:t>2011</w:t>
            </w:r>
          </w:p>
        </w:tc>
        <w:tc>
          <w:tcPr>
            <w:tcW w:w="1352" w:type="dxa"/>
            <w:tcBorders>
              <w:top w:val="single" w:sz="12" w:space="0" w:color="auto"/>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rPr>
                <w:bCs/>
              </w:rPr>
              <w:t>2012</w:t>
            </w:r>
          </w:p>
        </w:tc>
        <w:tc>
          <w:tcPr>
            <w:tcW w:w="1352" w:type="dxa"/>
            <w:tcBorders>
              <w:top w:val="single" w:sz="12" w:space="0" w:color="auto"/>
              <w:left w:val="single" w:sz="12" w:space="0" w:color="auto"/>
              <w:bottom w:val="single" w:sz="12" w:space="0" w:color="auto"/>
            </w:tcBorders>
          </w:tcPr>
          <w:p w:rsidR="00FD6E18" w:rsidRPr="00291D3D" w:rsidRDefault="00FD6E18" w:rsidP="00FA7BE0">
            <w:pPr>
              <w:pStyle w:val="naisf"/>
              <w:spacing w:before="0" w:after="0"/>
              <w:ind w:firstLine="0"/>
              <w:jc w:val="center"/>
            </w:pPr>
            <w:r w:rsidRPr="00291D3D">
              <w:rPr>
                <w:bCs/>
              </w:rPr>
              <w:t>2013</w:t>
            </w:r>
          </w:p>
        </w:tc>
      </w:tr>
      <w:tr w:rsidR="00FD6E18" w:rsidRPr="00291D3D">
        <w:tc>
          <w:tcPr>
            <w:tcW w:w="3365" w:type="dxa"/>
            <w:vMerge/>
            <w:tcBorders>
              <w:top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pPr>
          </w:p>
        </w:tc>
        <w:tc>
          <w:tcPr>
            <w:tcW w:w="1492" w:type="dxa"/>
            <w:tcBorders>
              <w:top w:val="single" w:sz="12" w:space="0" w:color="auto"/>
              <w:left w:val="single" w:sz="12" w:space="0" w:color="auto"/>
              <w:bottom w:val="single" w:sz="12" w:space="0" w:color="auto"/>
              <w:right w:val="single" w:sz="12" w:space="0" w:color="auto"/>
            </w:tcBorders>
            <w:vAlign w:val="center"/>
          </w:tcPr>
          <w:p w:rsidR="00FD6E18" w:rsidRPr="00291D3D" w:rsidRDefault="00FD6E18" w:rsidP="00FA7BE0">
            <w:pPr>
              <w:pStyle w:val="naisf"/>
              <w:spacing w:before="0" w:after="0"/>
              <w:ind w:firstLine="0"/>
              <w:jc w:val="center"/>
            </w:pPr>
            <w:r w:rsidRPr="00291D3D">
              <w:t>Saskaņā ar valsts budžetu kārtējam gadam</w:t>
            </w:r>
          </w:p>
        </w:tc>
        <w:tc>
          <w:tcPr>
            <w:tcW w:w="1351" w:type="dxa"/>
            <w:tcBorders>
              <w:top w:val="single" w:sz="12" w:space="0" w:color="auto"/>
              <w:left w:val="single" w:sz="12" w:space="0" w:color="auto"/>
              <w:bottom w:val="single" w:sz="12" w:space="0" w:color="auto"/>
              <w:right w:val="single" w:sz="12" w:space="0" w:color="auto"/>
            </w:tcBorders>
            <w:vAlign w:val="center"/>
          </w:tcPr>
          <w:p w:rsidR="00FD6E18" w:rsidRPr="00291D3D" w:rsidRDefault="00FD6E18" w:rsidP="00FA7BE0">
            <w:pPr>
              <w:pStyle w:val="naisf"/>
              <w:spacing w:before="0" w:after="0"/>
              <w:ind w:firstLine="0"/>
              <w:jc w:val="center"/>
            </w:pPr>
            <w:r w:rsidRPr="00291D3D">
              <w:t>Izmaiņas kārtējā gadā salīdzinot ar budžetu kārtējam gadam</w:t>
            </w:r>
          </w:p>
        </w:tc>
        <w:tc>
          <w:tcPr>
            <w:tcW w:w="1351" w:type="dxa"/>
            <w:tcBorders>
              <w:top w:val="single" w:sz="12" w:space="0" w:color="auto"/>
              <w:left w:val="single" w:sz="12" w:space="0" w:color="auto"/>
              <w:bottom w:val="single" w:sz="12" w:space="0" w:color="auto"/>
              <w:right w:val="single" w:sz="12" w:space="0" w:color="auto"/>
            </w:tcBorders>
            <w:vAlign w:val="center"/>
          </w:tcPr>
          <w:p w:rsidR="00FD6E18" w:rsidRPr="00291D3D" w:rsidRDefault="00FD6E18" w:rsidP="00FA7BE0">
            <w:pPr>
              <w:pStyle w:val="naisf"/>
              <w:spacing w:before="0" w:after="0"/>
              <w:ind w:firstLine="0"/>
              <w:jc w:val="center"/>
            </w:pPr>
            <w:r w:rsidRPr="00291D3D">
              <w:t>Izmaiņas salīdzinot ar 2010. gadu</w:t>
            </w:r>
          </w:p>
        </w:tc>
        <w:tc>
          <w:tcPr>
            <w:tcW w:w="1352" w:type="dxa"/>
            <w:tcBorders>
              <w:top w:val="single" w:sz="12" w:space="0" w:color="auto"/>
              <w:left w:val="single" w:sz="12" w:space="0" w:color="auto"/>
              <w:bottom w:val="single" w:sz="12" w:space="0" w:color="auto"/>
              <w:right w:val="single" w:sz="12" w:space="0" w:color="auto"/>
            </w:tcBorders>
            <w:vAlign w:val="center"/>
          </w:tcPr>
          <w:p w:rsidR="00FD6E18" w:rsidRPr="00291D3D" w:rsidRDefault="00FD6E18" w:rsidP="00FA7BE0">
            <w:pPr>
              <w:jc w:val="center"/>
            </w:pPr>
            <w:r w:rsidRPr="00291D3D">
              <w:t>Izmaiņas salīdzinot ar 2010. gadu</w:t>
            </w:r>
          </w:p>
        </w:tc>
        <w:tc>
          <w:tcPr>
            <w:tcW w:w="1352" w:type="dxa"/>
            <w:tcBorders>
              <w:top w:val="single" w:sz="12" w:space="0" w:color="auto"/>
              <w:left w:val="single" w:sz="12" w:space="0" w:color="auto"/>
              <w:bottom w:val="single" w:sz="12" w:space="0" w:color="auto"/>
            </w:tcBorders>
            <w:vAlign w:val="center"/>
          </w:tcPr>
          <w:p w:rsidR="00FD6E18" w:rsidRPr="00291D3D" w:rsidRDefault="00FD6E18" w:rsidP="00FA7BE0">
            <w:pPr>
              <w:jc w:val="center"/>
            </w:pPr>
            <w:r w:rsidRPr="00291D3D">
              <w:t>Izmaiņas salīdzinot ar 2010. gadu</w:t>
            </w:r>
          </w:p>
        </w:tc>
      </w:tr>
      <w:tr w:rsidR="00FD6E18" w:rsidRPr="00291D3D">
        <w:tc>
          <w:tcPr>
            <w:tcW w:w="3365" w:type="dxa"/>
            <w:tcBorders>
              <w:top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1</w:t>
            </w:r>
          </w:p>
        </w:tc>
        <w:tc>
          <w:tcPr>
            <w:tcW w:w="1492" w:type="dxa"/>
            <w:tcBorders>
              <w:top w:val="single" w:sz="12" w:space="0" w:color="auto"/>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2</w:t>
            </w:r>
          </w:p>
        </w:tc>
        <w:tc>
          <w:tcPr>
            <w:tcW w:w="1351" w:type="dxa"/>
            <w:tcBorders>
              <w:top w:val="single" w:sz="12" w:space="0" w:color="auto"/>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3</w:t>
            </w:r>
          </w:p>
        </w:tc>
        <w:tc>
          <w:tcPr>
            <w:tcW w:w="1351" w:type="dxa"/>
            <w:tcBorders>
              <w:top w:val="single" w:sz="12" w:space="0" w:color="auto"/>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4</w:t>
            </w:r>
          </w:p>
        </w:tc>
        <w:tc>
          <w:tcPr>
            <w:tcW w:w="1352" w:type="dxa"/>
            <w:tcBorders>
              <w:top w:val="single" w:sz="12" w:space="0" w:color="auto"/>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5</w:t>
            </w:r>
          </w:p>
        </w:tc>
        <w:tc>
          <w:tcPr>
            <w:tcW w:w="1352" w:type="dxa"/>
            <w:tcBorders>
              <w:top w:val="single" w:sz="12" w:space="0" w:color="auto"/>
              <w:left w:val="single" w:sz="12" w:space="0" w:color="auto"/>
              <w:bottom w:val="single" w:sz="12" w:space="0" w:color="auto"/>
            </w:tcBorders>
          </w:tcPr>
          <w:p w:rsidR="00FD6E18" w:rsidRPr="00291D3D" w:rsidRDefault="00FD6E18" w:rsidP="00FA7BE0">
            <w:pPr>
              <w:pStyle w:val="naisf"/>
              <w:spacing w:before="0" w:after="0"/>
              <w:ind w:firstLine="0"/>
              <w:jc w:val="center"/>
            </w:pPr>
            <w:r w:rsidRPr="00291D3D">
              <w:t>6</w:t>
            </w:r>
          </w:p>
        </w:tc>
      </w:tr>
      <w:tr w:rsidR="00FD6E18" w:rsidRPr="00291D3D">
        <w:tc>
          <w:tcPr>
            <w:tcW w:w="3365" w:type="dxa"/>
            <w:tcBorders>
              <w:top w:val="single" w:sz="12" w:space="0" w:color="auto"/>
              <w:bottom w:val="nil"/>
              <w:right w:val="single" w:sz="12" w:space="0" w:color="auto"/>
            </w:tcBorders>
          </w:tcPr>
          <w:p w:rsidR="00FD6E18" w:rsidRPr="00291D3D" w:rsidRDefault="00FD6E18" w:rsidP="00FA7BE0">
            <w:pPr>
              <w:pStyle w:val="naisf"/>
              <w:spacing w:before="0" w:after="0"/>
              <w:ind w:firstLine="0"/>
            </w:pPr>
            <w:r w:rsidRPr="00291D3D">
              <w:t>1. Budžeta ieņēmumi:</w:t>
            </w:r>
          </w:p>
        </w:tc>
        <w:tc>
          <w:tcPr>
            <w:tcW w:w="1492" w:type="dxa"/>
            <w:tcBorders>
              <w:top w:val="single" w:sz="12" w:space="0" w:color="auto"/>
              <w:left w:val="single" w:sz="12" w:space="0" w:color="auto"/>
              <w:bottom w:val="nil"/>
              <w:right w:val="single" w:sz="12" w:space="0" w:color="auto"/>
            </w:tcBorders>
          </w:tcPr>
          <w:p w:rsidR="00FD6E18" w:rsidRPr="00291D3D" w:rsidRDefault="00214E14" w:rsidP="00FA7BE0">
            <w:pPr>
              <w:pStyle w:val="naisf"/>
              <w:spacing w:before="0" w:after="0"/>
              <w:ind w:firstLine="0"/>
              <w:jc w:val="center"/>
            </w:pPr>
            <w:r w:rsidRPr="00291D3D">
              <w:t>0</w:t>
            </w:r>
          </w:p>
        </w:tc>
        <w:tc>
          <w:tcPr>
            <w:tcW w:w="1351" w:type="dxa"/>
            <w:tcBorders>
              <w:top w:val="single" w:sz="12" w:space="0" w:color="auto"/>
              <w:left w:val="single" w:sz="12" w:space="0" w:color="auto"/>
              <w:bottom w:val="nil"/>
              <w:right w:val="single" w:sz="12" w:space="0" w:color="auto"/>
            </w:tcBorders>
          </w:tcPr>
          <w:p w:rsidR="00FD6E18" w:rsidRPr="00291D3D" w:rsidRDefault="00CF26B9" w:rsidP="00FA7BE0">
            <w:pPr>
              <w:pStyle w:val="naisf"/>
              <w:spacing w:before="0" w:after="0"/>
              <w:ind w:firstLine="0"/>
              <w:jc w:val="center"/>
            </w:pPr>
            <w:r w:rsidRPr="00291D3D">
              <w:t>0</w:t>
            </w:r>
          </w:p>
        </w:tc>
        <w:tc>
          <w:tcPr>
            <w:tcW w:w="1351" w:type="dxa"/>
            <w:tcBorders>
              <w:top w:val="single" w:sz="12" w:space="0" w:color="auto"/>
              <w:left w:val="single" w:sz="12" w:space="0" w:color="auto"/>
              <w:bottom w:val="nil"/>
              <w:right w:val="single" w:sz="12" w:space="0" w:color="auto"/>
            </w:tcBorders>
          </w:tcPr>
          <w:p w:rsidR="00FD6E18" w:rsidRPr="00291D3D" w:rsidRDefault="00CF26B9" w:rsidP="00FA7BE0">
            <w:pPr>
              <w:pStyle w:val="naisf"/>
              <w:spacing w:before="0" w:after="0"/>
              <w:ind w:firstLine="0"/>
              <w:jc w:val="center"/>
            </w:pPr>
            <w:r w:rsidRPr="00291D3D">
              <w:t>0</w:t>
            </w:r>
          </w:p>
        </w:tc>
        <w:tc>
          <w:tcPr>
            <w:tcW w:w="1352" w:type="dxa"/>
            <w:tcBorders>
              <w:top w:val="single" w:sz="12" w:space="0" w:color="auto"/>
              <w:left w:val="single" w:sz="12" w:space="0" w:color="auto"/>
              <w:bottom w:val="nil"/>
              <w:right w:val="single" w:sz="12" w:space="0" w:color="auto"/>
            </w:tcBorders>
          </w:tcPr>
          <w:p w:rsidR="00FD6E18" w:rsidRPr="00291D3D" w:rsidRDefault="00CF26B9" w:rsidP="00FA7BE0">
            <w:pPr>
              <w:pStyle w:val="naisf"/>
              <w:spacing w:before="0" w:after="0"/>
              <w:ind w:firstLine="0"/>
              <w:jc w:val="center"/>
            </w:pPr>
            <w:r w:rsidRPr="00291D3D">
              <w:t>0</w:t>
            </w:r>
          </w:p>
        </w:tc>
        <w:tc>
          <w:tcPr>
            <w:tcW w:w="1352" w:type="dxa"/>
            <w:tcBorders>
              <w:top w:val="single" w:sz="12" w:space="0" w:color="auto"/>
              <w:left w:val="single" w:sz="12" w:space="0" w:color="auto"/>
              <w:bottom w:val="nil"/>
            </w:tcBorders>
          </w:tcPr>
          <w:p w:rsidR="00FD6E18" w:rsidRPr="00291D3D" w:rsidRDefault="00FD6E18" w:rsidP="00FA7BE0">
            <w:pPr>
              <w:pStyle w:val="naisf"/>
              <w:spacing w:before="0" w:after="0"/>
              <w:ind w:firstLine="0"/>
              <w:jc w:val="center"/>
            </w:pPr>
            <w:r w:rsidRPr="00291D3D">
              <w:t>0</w:t>
            </w:r>
          </w:p>
        </w:tc>
      </w:tr>
      <w:tr w:rsidR="00FD6E18" w:rsidRPr="00291D3D">
        <w:tc>
          <w:tcPr>
            <w:tcW w:w="3365" w:type="dxa"/>
            <w:tcBorders>
              <w:top w:val="nil"/>
              <w:bottom w:val="nil"/>
              <w:right w:val="single" w:sz="12" w:space="0" w:color="auto"/>
            </w:tcBorders>
          </w:tcPr>
          <w:p w:rsidR="00FD6E18" w:rsidRPr="00291D3D" w:rsidRDefault="00FD6E18" w:rsidP="00FA7BE0">
            <w:pPr>
              <w:pStyle w:val="naisf"/>
              <w:spacing w:before="0" w:after="0"/>
              <w:ind w:firstLine="0"/>
            </w:pPr>
            <w:r w:rsidRPr="00291D3D">
              <w:t>1.1. valsts pamatbudžets, tai skaitā ieņēmumi no maksas pakalpojumiem un citi pašu ieņēmumi;</w:t>
            </w:r>
          </w:p>
        </w:tc>
        <w:tc>
          <w:tcPr>
            <w:tcW w:w="1492" w:type="dxa"/>
            <w:tcBorders>
              <w:top w:val="nil"/>
              <w:left w:val="single" w:sz="12" w:space="0" w:color="auto"/>
              <w:bottom w:val="nil"/>
              <w:right w:val="single" w:sz="12" w:space="0" w:color="auto"/>
            </w:tcBorders>
          </w:tcPr>
          <w:p w:rsidR="00FD6E18" w:rsidRPr="00291D3D" w:rsidRDefault="00214E14"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nil"/>
            </w:tcBorders>
          </w:tcPr>
          <w:p w:rsidR="00FD6E18" w:rsidRPr="00291D3D" w:rsidRDefault="00FD6E18" w:rsidP="00FA7BE0">
            <w:pPr>
              <w:pStyle w:val="naisf"/>
              <w:spacing w:before="0" w:after="0"/>
              <w:ind w:firstLine="0"/>
              <w:jc w:val="center"/>
            </w:pPr>
            <w:r w:rsidRPr="00291D3D">
              <w:t>0</w:t>
            </w:r>
          </w:p>
        </w:tc>
      </w:tr>
      <w:tr w:rsidR="00FD6E18" w:rsidRPr="00291D3D">
        <w:tc>
          <w:tcPr>
            <w:tcW w:w="3365" w:type="dxa"/>
            <w:tcBorders>
              <w:top w:val="nil"/>
              <w:bottom w:val="nil"/>
              <w:right w:val="single" w:sz="12" w:space="0" w:color="auto"/>
            </w:tcBorders>
          </w:tcPr>
          <w:p w:rsidR="00FD6E18" w:rsidRPr="00291D3D" w:rsidRDefault="00FD6E18" w:rsidP="00FA7BE0">
            <w:pPr>
              <w:pStyle w:val="naisf"/>
              <w:spacing w:before="0" w:after="0"/>
              <w:ind w:firstLine="0"/>
            </w:pPr>
            <w:r w:rsidRPr="00291D3D">
              <w:t>1.2. valsts speciālais budžets;</w:t>
            </w:r>
          </w:p>
        </w:tc>
        <w:tc>
          <w:tcPr>
            <w:tcW w:w="1492"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nil"/>
            </w:tcBorders>
          </w:tcPr>
          <w:p w:rsidR="00FD6E18" w:rsidRPr="00291D3D" w:rsidRDefault="00FD6E18" w:rsidP="00FA7BE0">
            <w:pPr>
              <w:pStyle w:val="naisf"/>
              <w:spacing w:before="0" w:after="0"/>
              <w:ind w:firstLine="0"/>
              <w:jc w:val="center"/>
            </w:pPr>
            <w:r w:rsidRPr="00291D3D">
              <w:t>0</w:t>
            </w:r>
          </w:p>
        </w:tc>
      </w:tr>
      <w:tr w:rsidR="00FD6E18" w:rsidRPr="00291D3D">
        <w:tc>
          <w:tcPr>
            <w:tcW w:w="3365" w:type="dxa"/>
            <w:tcBorders>
              <w:top w:val="nil"/>
              <w:bottom w:val="single" w:sz="12" w:space="0" w:color="auto"/>
              <w:right w:val="single" w:sz="12" w:space="0" w:color="auto"/>
            </w:tcBorders>
          </w:tcPr>
          <w:p w:rsidR="00FD6E18" w:rsidRPr="00291D3D" w:rsidRDefault="00FD6E18" w:rsidP="00FA7BE0">
            <w:pPr>
              <w:pStyle w:val="naisf"/>
              <w:spacing w:before="0" w:after="0"/>
              <w:ind w:firstLine="0"/>
            </w:pPr>
            <w:r w:rsidRPr="00291D3D">
              <w:t>1.3. pašvaldību budžets</w:t>
            </w:r>
          </w:p>
        </w:tc>
        <w:tc>
          <w:tcPr>
            <w:tcW w:w="1492"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single" w:sz="12" w:space="0" w:color="auto"/>
            </w:tcBorders>
          </w:tcPr>
          <w:p w:rsidR="00FD6E18" w:rsidRPr="00291D3D" w:rsidRDefault="00FD6E18" w:rsidP="00FA7BE0">
            <w:pPr>
              <w:pStyle w:val="naisf"/>
              <w:spacing w:before="0" w:after="0"/>
              <w:ind w:firstLine="0"/>
              <w:jc w:val="center"/>
            </w:pPr>
            <w:r w:rsidRPr="00291D3D">
              <w:t>0</w:t>
            </w:r>
          </w:p>
        </w:tc>
      </w:tr>
      <w:tr w:rsidR="00FD6E18" w:rsidRPr="00291D3D">
        <w:tc>
          <w:tcPr>
            <w:tcW w:w="3365" w:type="dxa"/>
            <w:tcBorders>
              <w:top w:val="single" w:sz="12" w:space="0" w:color="auto"/>
              <w:bottom w:val="nil"/>
              <w:right w:val="single" w:sz="12" w:space="0" w:color="auto"/>
            </w:tcBorders>
          </w:tcPr>
          <w:p w:rsidR="00FD6E18" w:rsidRPr="00291D3D" w:rsidRDefault="00FD6E18" w:rsidP="00FA7BE0">
            <w:pPr>
              <w:jc w:val="both"/>
            </w:pPr>
            <w:r w:rsidRPr="00291D3D">
              <w:t>2. Budžeta izdevumi:</w:t>
            </w:r>
          </w:p>
        </w:tc>
        <w:tc>
          <w:tcPr>
            <w:tcW w:w="1492" w:type="dxa"/>
            <w:tcBorders>
              <w:top w:val="single" w:sz="12" w:space="0" w:color="auto"/>
              <w:left w:val="single" w:sz="12" w:space="0" w:color="auto"/>
              <w:bottom w:val="nil"/>
              <w:right w:val="single" w:sz="12" w:space="0" w:color="auto"/>
            </w:tcBorders>
          </w:tcPr>
          <w:p w:rsidR="00FD6E18" w:rsidRPr="00291D3D" w:rsidRDefault="00214E14" w:rsidP="00FA7BE0">
            <w:pPr>
              <w:pStyle w:val="naisf"/>
              <w:spacing w:before="0" w:after="0"/>
              <w:ind w:firstLine="0"/>
              <w:jc w:val="center"/>
            </w:pPr>
            <w:r w:rsidRPr="00291D3D">
              <w:t>0</w:t>
            </w:r>
          </w:p>
        </w:tc>
        <w:tc>
          <w:tcPr>
            <w:tcW w:w="1351" w:type="dxa"/>
            <w:tcBorders>
              <w:top w:val="single" w:sz="12" w:space="0" w:color="auto"/>
              <w:left w:val="single" w:sz="12" w:space="0" w:color="auto"/>
              <w:bottom w:val="nil"/>
              <w:right w:val="single" w:sz="12" w:space="0" w:color="auto"/>
            </w:tcBorders>
          </w:tcPr>
          <w:p w:rsidR="00FD6E18" w:rsidRPr="00291D3D" w:rsidRDefault="00CF26B9" w:rsidP="00FA7BE0">
            <w:pPr>
              <w:pStyle w:val="naisf"/>
              <w:spacing w:before="0" w:after="0"/>
              <w:ind w:firstLine="0"/>
              <w:jc w:val="center"/>
            </w:pPr>
            <w:r w:rsidRPr="00291D3D">
              <w:t>0</w:t>
            </w:r>
          </w:p>
        </w:tc>
        <w:tc>
          <w:tcPr>
            <w:tcW w:w="1351" w:type="dxa"/>
            <w:tcBorders>
              <w:top w:val="single" w:sz="12" w:space="0" w:color="auto"/>
              <w:left w:val="single" w:sz="12" w:space="0" w:color="auto"/>
              <w:bottom w:val="nil"/>
              <w:right w:val="single" w:sz="12" w:space="0" w:color="auto"/>
            </w:tcBorders>
          </w:tcPr>
          <w:p w:rsidR="00FD6E18" w:rsidRPr="00291D3D" w:rsidRDefault="00CF26B9" w:rsidP="00FA7BE0">
            <w:pPr>
              <w:pStyle w:val="naisf"/>
              <w:spacing w:before="0" w:after="0"/>
              <w:ind w:firstLine="0"/>
              <w:jc w:val="center"/>
            </w:pPr>
            <w:r w:rsidRPr="00291D3D">
              <w:t>0</w:t>
            </w:r>
          </w:p>
        </w:tc>
        <w:tc>
          <w:tcPr>
            <w:tcW w:w="1352" w:type="dxa"/>
            <w:tcBorders>
              <w:top w:val="single" w:sz="12" w:space="0" w:color="auto"/>
              <w:left w:val="single" w:sz="12" w:space="0" w:color="auto"/>
              <w:bottom w:val="nil"/>
              <w:right w:val="single" w:sz="12" w:space="0" w:color="auto"/>
            </w:tcBorders>
          </w:tcPr>
          <w:p w:rsidR="00FD6E18" w:rsidRPr="00291D3D" w:rsidRDefault="00CF26B9" w:rsidP="00FA7BE0">
            <w:pPr>
              <w:pStyle w:val="naisf"/>
              <w:spacing w:before="0" w:after="0"/>
              <w:ind w:firstLine="0"/>
              <w:jc w:val="center"/>
            </w:pPr>
            <w:r w:rsidRPr="00291D3D">
              <w:t>0</w:t>
            </w:r>
          </w:p>
        </w:tc>
        <w:tc>
          <w:tcPr>
            <w:tcW w:w="1352" w:type="dxa"/>
            <w:tcBorders>
              <w:top w:val="single" w:sz="12" w:space="0" w:color="auto"/>
              <w:left w:val="single" w:sz="12" w:space="0" w:color="auto"/>
              <w:bottom w:val="nil"/>
            </w:tcBorders>
          </w:tcPr>
          <w:p w:rsidR="00FD6E18" w:rsidRPr="00291D3D" w:rsidRDefault="000D7FD1" w:rsidP="00FA7BE0">
            <w:pPr>
              <w:pStyle w:val="naisf"/>
              <w:spacing w:before="0" w:after="0"/>
              <w:ind w:firstLine="0"/>
              <w:jc w:val="center"/>
            </w:pPr>
            <w:r w:rsidRPr="00291D3D">
              <w:t>0</w:t>
            </w:r>
          </w:p>
        </w:tc>
      </w:tr>
      <w:tr w:rsidR="00FD6E18" w:rsidRPr="00291D3D">
        <w:tc>
          <w:tcPr>
            <w:tcW w:w="3365" w:type="dxa"/>
            <w:tcBorders>
              <w:top w:val="nil"/>
              <w:bottom w:val="nil"/>
              <w:right w:val="single" w:sz="12" w:space="0" w:color="auto"/>
            </w:tcBorders>
          </w:tcPr>
          <w:p w:rsidR="00FD6E18" w:rsidRPr="00291D3D" w:rsidRDefault="00FD6E18" w:rsidP="00FA7BE0">
            <w:pPr>
              <w:jc w:val="both"/>
            </w:pPr>
            <w:r w:rsidRPr="00291D3D">
              <w:t>2.1. valsts pamatbudžets;</w:t>
            </w:r>
          </w:p>
        </w:tc>
        <w:tc>
          <w:tcPr>
            <w:tcW w:w="1492" w:type="dxa"/>
            <w:tcBorders>
              <w:top w:val="nil"/>
              <w:left w:val="single" w:sz="12" w:space="0" w:color="auto"/>
              <w:bottom w:val="nil"/>
              <w:right w:val="single" w:sz="12" w:space="0" w:color="auto"/>
            </w:tcBorders>
          </w:tcPr>
          <w:p w:rsidR="00FD6E18" w:rsidRPr="00291D3D" w:rsidRDefault="00214E14"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CF26B9"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CF26B9" w:rsidP="00FA7BE0">
            <w:pPr>
              <w:pStyle w:val="naisf"/>
              <w:spacing w:before="0" w:after="0"/>
              <w:ind w:firstLine="0"/>
              <w:jc w:val="center"/>
            </w:pPr>
            <w:r w:rsidRPr="00291D3D">
              <w:t>0</w:t>
            </w:r>
          </w:p>
        </w:tc>
        <w:tc>
          <w:tcPr>
            <w:tcW w:w="1352" w:type="dxa"/>
            <w:tcBorders>
              <w:top w:val="nil"/>
              <w:left w:val="single" w:sz="12" w:space="0" w:color="auto"/>
              <w:bottom w:val="nil"/>
              <w:right w:val="single" w:sz="12" w:space="0" w:color="auto"/>
            </w:tcBorders>
          </w:tcPr>
          <w:p w:rsidR="00FD6E18" w:rsidRPr="00291D3D" w:rsidRDefault="00CF26B9" w:rsidP="00FA7BE0">
            <w:pPr>
              <w:pStyle w:val="naisf"/>
              <w:spacing w:before="0" w:after="0"/>
              <w:ind w:firstLine="0"/>
              <w:jc w:val="center"/>
            </w:pPr>
            <w:r w:rsidRPr="00291D3D">
              <w:t>0</w:t>
            </w:r>
          </w:p>
        </w:tc>
        <w:tc>
          <w:tcPr>
            <w:tcW w:w="1352" w:type="dxa"/>
            <w:tcBorders>
              <w:top w:val="nil"/>
              <w:left w:val="single" w:sz="12" w:space="0" w:color="auto"/>
              <w:bottom w:val="nil"/>
            </w:tcBorders>
          </w:tcPr>
          <w:p w:rsidR="00FD6E18" w:rsidRPr="00291D3D" w:rsidRDefault="000D7FD1" w:rsidP="00FA7BE0">
            <w:pPr>
              <w:pStyle w:val="naisf"/>
              <w:spacing w:before="0" w:after="0"/>
              <w:ind w:firstLine="0"/>
              <w:jc w:val="center"/>
            </w:pPr>
            <w:r w:rsidRPr="00291D3D">
              <w:t>0</w:t>
            </w:r>
          </w:p>
        </w:tc>
      </w:tr>
      <w:tr w:rsidR="00FD6E18" w:rsidRPr="00291D3D">
        <w:tc>
          <w:tcPr>
            <w:tcW w:w="3365" w:type="dxa"/>
            <w:tcBorders>
              <w:top w:val="nil"/>
              <w:bottom w:val="nil"/>
              <w:right w:val="single" w:sz="12" w:space="0" w:color="auto"/>
            </w:tcBorders>
          </w:tcPr>
          <w:p w:rsidR="00FD6E18" w:rsidRPr="00291D3D" w:rsidRDefault="00FD6E18" w:rsidP="003F542D">
            <w:r w:rsidRPr="00291D3D">
              <w:t>2.2.valsts speciālais budžets;</w:t>
            </w:r>
          </w:p>
        </w:tc>
        <w:tc>
          <w:tcPr>
            <w:tcW w:w="1492"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nil"/>
            </w:tcBorders>
          </w:tcPr>
          <w:p w:rsidR="00FD6E18" w:rsidRPr="00291D3D" w:rsidRDefault="00FD6E18" w:rsidP="00FA7BE0">
            <w:pPr>
              <w:pStyle w:val="naisf"/>
              <w:spacing w:before="0" w:after="0"/>
              <w:ind w:firstLine="0"/>
              <w:jc w:val="center"/>
            </w:pPr>
            <w:r w:rsidRPr="00291D3D">
              <w:t>0</w:t>
            </w:r>
          </w:p>
        </w:tc>
      </w:tr>
      <w:tr w:rsidR="00FD6E18" w:rsidRPr="00291D3D">
        <w:tc>
          <w:tcPr>
            <w:tcW w:w="3365" w:type="dxa"/>
            <w:tcBorders>
              <w:top w:val="nil"/>
              <w:bottom w:val="single" w:sz="12" w:space="0" w:color="auto"/>
              <w:right w:val="single" w:sz="12" w:space="0" w:color="auto"/>
            </w:tcBorders>
          </w:tcPr>
          <w:p w:rsidR="00FD6E18" w:rsidRPr="00291D3D" w:rsidRDefault="00FD6E18" w:rsidP="00FA7BE0">
            <w:pPr>
              <w:jc w:val="both"/>
            </w:pPr>
            <w:r w:rsidRPr="00291D3D">
              <w:t xml:space="preserve">2.3. pašvaldību budžets </w:t>
            </w:r>
          </w:p>
        </w:tc>
        <w:tc>
          <w:tcPr>
            <w:tcW w:w="1492"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single" w:sz="12" w:space="0" w:color="auto"/>
            </w:tcBorders>
          </w:tcPr>
          <w:p w:rsidR="00FD6E18" w:rsidRPr="00291D3D" w:rsidRDefault="00FD6E18" w:rsidP="00FA7BE0">
            <w:pPr>
              <w:pStyle w:val="naisf"/>
              <w:spacing w:before="0" w:after="0"/>
              <w:ind w:firstLine="0"/>
              <w:jc w:val="center"/>
            </w:pPr>
            <w:r w:rsidRPr="00291D3D">
              <w:t>0</w:t>
            </w:r>
          </w:p>
        </w:tc>
      </w:tr>
      <w:tr w:rsidR="00FD6E18" w:rsidRPr="00291D3D">
        <w:tc>
          <w:tcPr>
            <w:tcW w:w="3365" w:type="dxa"/>
            <w:tcBorders>
              <w:top w:val="single" w:sz="12" w:space="0" w:color="auto"/>
              <w:bottom w:val="nil"/>
              <w:right w:val="single" w:sz="12" w:space="0" w:color="auto"/>
            </w:tcBorders>
          </w:tcPr>
          <w:p w:rsidR="00FD6E18" w:rsidRPr="00291D3D" w:rsidRDefault="00FD6E18" w:rsidP="00FA7BE0">
            <w:pPr>
              <w:jc w:val="both"/>
            </w:pPr>
            <w:r w:rsidRPr="00291D3D">
              <w:t>3. Finansiālā ietekme:</w:t>
            </w:r>
          </w:p>
        </w:tc>
        <w:tc>
          <w:tcPr>
            <w:tcW w:w="1492" w:type="dxa"/>
            <w:tcBorders>
              <w:top w:val="single" w:sz="12" w:space="0" w:color="auto"/>
              <w:left w:val="single" w:sz="12" w:space="0" w:color="auto"/>
              <w:right w:val="single" w:sz="12" w:space="0" w:color="auto"/>
            </w:tcBorders>
            <w:shd w:val="clear" w:color="auto" w:fill="auto"/>
            <w:vAlign w:val="center"/>
          </w:tcPr>
          <w:p w:rsidR="00FD6E18" w:rsidRPr="00291D3D" w:rsidRDefault="00FD6E18" w:rsidP="00FA7BE0">
            <w:pPr>
              <w:pStyle w:val="naisf"/>
              <w:spacing w:before="0" w:after="0"/>
              <w:ind w:firstLine="0"/>
              <w:jc w:val="center"/>
            </w:pPr>
          </w:p>
        </w:tc>
        <w:tc>
          <w:tcPr>
            <w:tcW w:w="1351" w:type="dxa"/>
            <w:tcBorders>
              <w:top w:val="single" w:sz="12" w:space="0" w:color="auto"/>
              <w:left w:val="single" w:sz="12" w:space="0" w:color="auto"/>
              <w:bottom w:val="nil"/>
              <w:right w:val="single" w:sz="12" w:space="0" w:color="auto"/>
            </w:tcBorders>
          </w:tcPr>
          <w:p w:rsidR="00FD6E18" w:rsidRPr="00291D3D" w:rsidRDefault="00FD6E18" w:rsidP="00FA7BE0">
            <w:pPr>
              <w:pStyle w:val="naisf"/>
              <w:spacing w:before="0" w:after="0"/>
              <w:ind w:firstLine="0"/>
              <w:jc w:val="center"/>
            </w:pPr>
          </w:p>
        </w:tc>
        <w:tc>
          <w:tcPr>
            <w:tcW w:w="1351" w:type="dxa"/>
            <w:tcBorders>
              <w:top w:val="single" w:sz="12" w:space="0" w:color="auto"/>
              <w:left w:val="single" w:sz="12" w:space="0" w:color="auto"/>
              <w:bottom w:val="nil"/>
              <w:right w:val="single" w:sz="12" w:space="0" w:color="auto"/>
            </w:tcBorders>
          </w:tcPr>
          <w:p w:rsidR="00FD6E18" w:rsidRPr="00291D3D" w:rsidRDefault="000D7FD1" w:rsidP="00FA7BE0">
            <w:pPr>
              <w:pStyle w:val="naisf"/>
              <w:spacing w:before="0" w:after="0"/>
              <w:ind w:firstLine="0"/>
              <w:jc w:val="center"/>
            </w:pPr>
            <w:r w:rsidRPr="00291D3D">
              <w:t>0</w:t>
            </w:r>
          </w:p>
        </w:tc>
        <w:tc>
          <w:tcPr>
            <w:tcW w:w="1352" w:type="dxa"/>
            <w:tcBorders>
              <w:top w:val="single" w:sz="12" w:space="0" w:color="auto"/>
              <w:left w:val="single" w:sz="12" w:space="0" w:color="auto"/>
              <w:bottom w:val="nil"/>
              <w:right w:val="single" w:sz="12" w:space="0" w:color="auto"/>
            </w:tcBorders>
          </w:tcPr>
          <w:p w:rsidR="00FD6E18" w:rsidRPr="00291D3D" w:rsidRDefault="000D7FD1" w:rsidP="00FA7BE0">
            <w:pPr>
              <w:pStyle w:val="naisf"/>
              <w:spacing w:before="0" w:after="0"/>
              <w:ind w:firstLine="0"/>
              <w:jc w:val="center"/>
            </w:pPr>
            <w:r w:rsidRPr="00291D3D">
              <w:t>0</w:t>
            </w:r>
          </w:p>
        </w:tc>
        <w:tc>
          <w:tcPr>
            <w:tcW w:w="1352" w:type="dxa"/>
            <w:tcBorders>
              <w:top w:val="single" w:sz="12" w:space="0" w:color="auto"/>
              <w:left w:val="single" w:sz="12" w:space="0" w:color="auto"/>
              <w:bottom w:val="nil"/>
            </w:tcBorders>
          </w:tcPr>
          <w:p w:rsidR="00FD6E18" w:rsidRPr="00291D3D" w:rsidRDefault="000D7FD1" w:rsidP="00FA7BE0">
            <w:pPr>
              <w:pStyle w:val="naisf"/>
              <w:spacing w:before="0" w:after="0"/>
              <w:ind w:firstLine="0"/>
              <w:jc w:val="center"/>
            </w:pPr>
            <w:r w:rsidRPr="00291D3D">
              <w:t>0</w:t>
            </w:r>
          </w:p>
        </w:tc>
      </w:tr>
      <w:tr w:rsidR="00FD6E18" w:rsidRPr="00291D3D">
        <w:tc>
          <w:tcPr>
            <w:tcW w:w="3365" w:type="dxa"/>
            <w:tcBorders>
              <w:top w:val="nil"/>
              <w:bottom w:val="nil"/>
              <w:right w:val="single" w:sz="12" w:space="0" w:color="auto"/>
            </w:tcBorders>
          </w:tcPr>
          <w:p w:rsidR="00FD6E18" w:rsidRPr="00291D3D" w:rsidRDefault="00FD6E18" w:rsidP="00FA7BE0">
            <w:pPr>
              <w:jc w:val="both"/>
            </w:pPr>
            <w:r w:rsidRPr="00291D3D">
              <w:t>3.1. valsts pamatbudžets;</w:t>
            </w:r>
          </w:p>
        </w:tc>
        <w:tc>
          <w:tcPr>
            <w:tcW w:w="1492" w:type="dxa"/>
            <w:tcBorders>
              <w:left w:val="single" w:sz="12" w:space="0" w:color="auto"/>
              <w:right w:val="single" w:sz="12" w:space="0" w:color="auto"/>
            </w:tcBorders>
            <w:shd w:val="clear" w:color="auto" w:fill="auto"/>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0D7FD1" w:rsidP="00FA7BE0">
            <w:pPr>
              <w:pStyle w:val="naisf"/>
              <w:spacing w:before="0" w:after="0"/>
              <w:ind w:firstLine="0"/>
              <w:jc w:val="center"/>
            </w:pPr>
            <w:r w:rsidRPr="00291D3D">
              <w:t>0</w:t>
            </w:r>
          </w:p>
        </w:tc>
        <w:tc>
          <w:tcPr>
            <w:tcW w:w="1352" w:type="dxa"/>
            <w:tcBorders>
              <w:top w:val="nil"/>
              <w:left w:val="single" w:sz="12" w:space="0" w:color="auto"/>
              <w:bottom w:val="nil"/>
              <w:right w:val="single" w:sz="12" w:space="0" w:color="auto"/>
            </w:tcBorders>
          </w:tcPr>
          <w:p w:rsidR="00FD6E18" w:rsidRPr="00291D3D" w:rsidRDefault="000D7FD1" w:rsidP="00FA7BE0">
            <w:pPr>
              <w:pStyle w:val="naisf"/>
              <w:spacing w:before="0" w:after="0"/>
              <w:ind w:firstLine="0"/>
              <w:jc w:val="center"/>
            </w:pPr>
            <w:r w:rsidRPr="00291D3D">
              <w:t>0</w:t>
            </w:r>
          </w:p>
        </w:tc>
        <w:tc>
          <w:tcPr>
            <w:tcW w:w="1352" w:type="dxa"/>
            <w:tcBorders>
              <w:top w:val="nil"/>
              <w:left w:val="single" w:sz="12" w:space="0" w:color="auto"/>
              <w:bottom w:val="nil"/>
            </w:tcBorders>
          </w:tcPr>
          <w:p w:rsidR="00FD6E18" w:rsidRPr="00291D3D" w:rsidRDefault="00FD6E18" w:rsidP="00FA7BE0">
            <w:pPr>
              <w:pStyle w:val="naisf"/>
              <w:spacing w:before="0" w:after="0"/>
              <w:ind w:firstLine="0"/>
              <w:jc w:val="center"/>
            </w:pPr>
            <w:r w:rsidRPr="00291D3D">
              <w:t xml:space="preserve"> </w:t>
            </w:r>
            <w:r w:rsidR="000D7FD1" w:rsidRPr="00291D3D">
              <w:t>0</w:t>
            </w:r>
          </w:p>
        </w:tc>
      </w:tr>
      <w:tr w:rsidR="00FD6E18" w:rsidRPr="00291D3D">
        <w:tc>
          <w:tcPr>
            <w:tcW w:w="3365" w:type="dxa"/>
            <w:tcBorders>
              <w:top w:val="nil"/>
              <w:bottom w:val="nil"/>
              <w:right w:val="single" w:sz="12" w:space="0" w:color="auto"/>
            </w:tcBorders>
          </w:tcPr>
          <w:p w:rsidR="00FD6E18" w:rsidRPr="00291D3D" w:rsidRDefault="00FD6E18" w:rsidP="00FA7BE0">
            <w:pPr>
              <w:jc w:val="both"/>
            </w:pPr>
            <w:r w:rsidRPr="00291D3D">
              <w:t>3.2. speciālais budžets;</w:t>
            </w:r>
          </w:p>
        </w:tc>
        <w:tc>
          <w:tcPr>
            <w:tcW w:w="1492" w:type="dxa"/>
            <w:tcBorders>
              <w:left w:val="single" w:sz="12" w:space="0" w:color="auto"/>
              <w:right w:val="single" w:sz="12" w:space="0" w:color="auto"/>
            </w:tcBorders>
            <w:shd w:val="clear" w:color="auto" w:fill="auto"/>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nil"/>
            </w:tcBorders>
          </w:tcPr>
          <w:p w:rsidR="00FD6E18" w:rsidRPr="00291D3D" w:rsidRDefault="00FD6E18" w:rsidP="00FA7BE0">
            <w:pPr>
              <w:pStyle w:val="naisf"/>
              <w:spacing w:before="0" w:after="0"/>
              <w:ind w:firstLine="0"/>
              <w:jc w:val="center"/>
            </w:pPr>
            <w:r w:rsidRPr="00291D3D">
              <w:t>0</w:t>
            </w:r>
          </w:p>
        </w:tc>
      </w:tr>
      <w:tr w:rsidR="00FD6E18" w:rsidRPr="00291D3D">
        <w:tc>
          <w:tcPr>
            <w:tcW w:w="3365" w:type="dxa"/>
            <w:tcBorders>
              <w:top w:val="nil"/>
              <w:bottom w:val="single" w:sz="12" w:space="0" w:color="auto"/>
              <w:right w:val="single" w:sz="12" w:space="0" w:color="auto"/>
            </w:tcBorders>
          </w:tcPr>
          <w:p w:rsidR="00FD6E18" w:rsidRPr="00291D3D" w:rsidRDefault="00FD6E18" w:rsidP="00FA7BE0">
            <w:pPr>
              <w:jc w:val="both"/>
            </w:pPr>
            <w:r w:rsidRPr="00291D3D">
              <w:t xml:space="preserve">3.3. pašvaldību budžets </w:t>
            </w:r>
          </w:p>
        </w:tc>
        <w:tc>
          <w:tcPr>
            <w:tcW w:w="1492" w:type="dxa"/>
            <w:tcBorders>
              <w:left w:val="single" w:sz="12" w:space="0" w:color="auto"/>
              <w:bottom w:val="single" w:sz="12" w:space="0" w:color="auto"/>
              <w:right w:val="single" w:sz="12" w:space="0" w:color="auto"/>
            </w:tcBorders>
            <w:shd w:val="clear" w:color="auto" w:fill="auto"/>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single" w:sz="12" w:space="0" w:color="auto"/>
            </w:tcBorders>
          </w:tcPr>
          <w:p w:rsidR="00FD6E18" w:rsidRPr="00291D3D" w:rsidRDefault="00FD6E18" w:rsidP="00FA7BE0">
            <w:pPr>
              <w:pStyle w:val="naisf"/>
              <w:spacing w:before="0" w:after="0"/>
              <w:ind w:firstLine="0"/>
              <w:jc w:val="center"/>
            </w:pPr>
            <w:r w:rsidRPr="00291D3D">
              <w:t>0</w:t>
            </w:r>
          </w:p>
        </w:tc>
      </w:tr>
      <w:tr w:rsidR="00214E14" w:rsidRPr="00291D3D">
        <w:trPr>
          <w:trHeight w:val="1485"/>
        </w:trPr>
        <w:tc>
          <w:tcPr>
            <w:tcW w:w="3365" w:type="dxa"/>
            <w:tcBorders>
              <w:top w:val="single" w:sz="12" w:space="0" w:color="auto"/>
              <w:right w:val="single" w:sz="12" w:space="0" w:color="auto"/>
            </w:tcBorders>
          </w:tcPr>
          <w:p w:rsidR="00214E14" w:rsidRPr="00291D3D" w:rsidRDefault="00214E14" w:rsidP="003F542D">
            <w:r w:rsidRPr="00291D3D">
              <w:t>4. Finanšu līdzekļi papildu izdevumu finansēšanai (kompensējošu izdevumu samazinājumu norāda ar "+" zīmi)</w:t>
            </w:r>
          </w:p>
        </w:tc>
        <w:tc>
          <w:tcPr>
            <w:tcW w:w="6898" w:type="dxa"/>
            <w:gridSpan w:val="5"/>
            <w:tcBorders>
              <w:top w:val="single" w:sz="12" w:space="0" w:color="auto"/>
              <w:left w:val="single" w:sz="12" w:space="0" w:color="auto"/>
            </w:tcBorders>
            <w:vAlign w:val="center"/>
          </w:tcPr>
          <w:p w:rsidR="00214E14" w:rsidRPr="00291D3D" w:rsidRDefault="00214E14" w:rsidP="00FA7BE0">
            <w:pPr>
              <w:pStyle w:val="naisf"/>
              <w:jc w:val="center"/>
            </w:pPr>
            <w:r w:rsidRPr="00291D3D">
              <w:t>Nav attiecināms</w:t>
            </w:r>
          </w:p>
        </w:tc>
      </w:tr>
      <w:tr w:rsidR="00FD6E18" w:rsidRPr="00291D3D">
        <w:tc>
          <w:tcPr>
            <w:tcW w:w="3365" w:type="dxa"/>
            <w:tcBorders>
              <w:top w:val="single" w:sz="12" w:space="0" w:color="auto"/>
              <w:bottom w:val="nil"/>
              <w:right w:val="single" w:sz="12" w:space="0" w:color="auto"/>
            </w:tcBorders>
          </w:tcPr>
          <w:p w:rsidR="00FD6E18" w:rsidRPr="00291D3D" w:rsidRDefault="00FD6E18" w:rsidP="003F542D">
            <w:r w:rsidRPr="00291D3D">
              <w:t>5. Precizēta finansiālā ietekme:</w:t>
            </w:r>
          </w:p>
        </w:tc>
        <w:tc>
          <w:tcPr>
            <w:tcW w:w="1492" w:type="dxa"/>
            <w:vMerge w:val="restart"/>
            <w:tcBorders>
              <w:top w:val="single" w:sz="12" w:space="0" w:color="auto"/>
              <w:left w:val="single" w:sz="12" w:space="0" w:color="auto"/>
              <w:right w:val="single" w:sz="12" w:space="0" w:color="auto"/>
            </w:tcBorders>
            <w:vAlign w:val="center"/>
          </w:tcPr>
          <w:p w:rsidR="00FD6E18" w:rsidRPr="00291D3D" w:rsidRDefault="00214E14" w:rsidP="00FA7BE0">
            <w:pPr>
              <w:pStyle w:val="naisf"/>
              <w:spacing w:before="0" w:after="0"/>
              <w:ind w:firstLine="0"/>
              <w:jc w:val="center"/>
            </w:pPr>
            <w:r w:rsidRPr="00291D3D">
              <w:t>0</w:t>
            </w:r>
          </w:p>
        </w:tc>
        <w:tc>
          <w:tcPr>
            <w:tcW w:w="1351" w:type="dxa"/>
            <w:tcBorders>
              <w:top w:val="single" w:sz="12" w:space="0" w:color="auto"/>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single" w:sz="12" w:space="0" w:color="auto"/>
              <w:left w:val="single" w:sz="12" w:space="0" w:color="auto"/>
              <w:bottom w:val="nil"/>
              <w:right w:val="single" w:sz="12" w:space="0" w:color="auto"/>
            </w:tcBorders>
          </w:tcPr>
          <w:p w:rsidR="00FD6E18" w:rsidRPr="00291D3D" w:rsidRDefault="000D7FD1" w:rsidP="00FA7BE0">
            <w:pPr>
              <w:pStyle w:val="naisf"/>
              <w:spacing w:before="0" w:after="0"/>
              <w:ind w:firstLine="0"/>
              <w:jc w:val="center"/>
            </w:pPr>
            <w:r w:rsidRPr="00291D3D">
              <w:t>0</w:t>
            </w:r>
          </w:p>
        </w:tc>
        <w:tc>
          <w:tcPr>
            <w:tcW w:w="1352" w:type="dxa"/>
            <w:tcBorders>
              <w:top w:val="single" w:sz="12" w:space="0" w:color="auto"/>
              <w:left w:val="single" w:sz="12" w:space="0" w:color="auto"/>
              <w:bottom w:val="nil"/>
              <w:right w:val="single" w:sz="12" w:space="0" w:color="auto"/>
            </w:tcBorders>
          </w:tcPr>
          <w:p w:rsidR="00FD6E18" w:rsidRPr="00291D3D" w:rsidRDefault="000D7FD1" w:rsidP="00FA7BE0">
            <w:pPr>
              <w:pStyle w:val="naisf"/>
              <w:spacing w:before="0" w:after="0"/>
              <w:ind w:firstLine="0"/>
              <w:jc w:val="center"/>
            </w:pPr>
            <w:r w:rsidRPr="00291D3D">
              <w:t>0</w:t>
            </w:r>
          </w:p>
        </w:tc>
        <w:tc>
          <w:tcPr>
            <w:tcW w:w="1352" w:type="dxa"/>
            <w:tcBorders>
              <w:top w:val="single" w:sz="12" w:space="0" w:color="auto"/>
              <w:left w:val="single" w:sz="12" w:space="0" w:color="auto"/>
              <w:bottom w:val="nil"/>
            </w:tcBorders>
          </w:tcPr>
          <w:p w:rsidR="00FD6E18" w:rsidRPr="00291D3D" w:rsidRDefault="000D7FD1" w:rsidP="00FA7BE0">
            <w:pPr>
              <w:pStyle w:val="naisf"/>
              <w:spacing w:before="0" w:after="0"/>
              <w:ind w:firstLine="0"/>
              <w:jc w:val="center"/>
            </w:pPr>
            <w:r w:rsidRPr="00291D3D">
              <w:t>0</w:t>
            </w:r>
          </w:p>
        </w:tc>
      </w:tr>
      <w:tr w:rsidR="00FD6E18" w:rsidRPr="00291D3D">
        <w:tc>
          <w:tcPr>
            <w:tcW w:w="3365" w:type="dxa"/>
            <w:tcBorders>
              <w:top w:val="nil"/>
              <w:bottom w:val="nil"/>
              <w:right w:val="single" w:sz="12" w:space="0" w:color="auto"/>
            </w:tcBorders>
          </w:tcPr>
          <w:p w:rsidR="00FD6E18" w:rsidRPr="00291D3D" w:rsidRDefault="00FD6E18" w:rsidP="00FA7BE0">
            <w:pPr>
              <w:jc w:val="both"/>
            </w:pPr>
            <w:r w:rsidRPr="00291D3D">
              <w:t>5.1. valsts pamatbudžets;</w:t>
            </w:r>
          </w:p>
        </w:tc>
        <w:tc>
          <w:tcPr>
            <w:tcW w:w="1492" w:type="dxa"/>
            <w:vMerge/>
            <w:tcBorders>
              <w:left w:val="single" w:sz="12" w:space="0" w:color="auto"/>
              <w:right w:val="single" w:sz="12" w:space="0" w:color="auto"/>
            </w:tcBorders>
            <w:vAlign w:val="center"/>
          </w:tcPr>
          <w:p w:rsidR="00FD6E18" w:rsidRPr="00291D3D" w:rsidRDefault="00FD6E18" w:rsidP="00FA7BE0">
            <w:pPr>
              <w:pStyle w:val="naisf"/>
              <w:spacing w:before="0" w:after="0"/>
              <w:ind w:firstLine="0"/>
              <w:jc w:val="center"/>
            </w:pP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0D7FD1" w:rsidP="00FA7BE0">
            <w:pPr>
              <w:pStyle w:val="naisf"/>
              <w:spacing w:before="0" w:after="0"/>
              <w:ind w:firstLine="0"/>
              <w:jc w:val="center"/>
            </w:pPr>
            <w:r w:rsidRPr="00291D3D">
              <w:t>0</w:t>
            </w:r>
          </w:p>
        </w:tc>
        <w:tc>
          <w:tcPr>
            <w:tcW w:w="1352" w:type="dxa"/>
            <w:tcBorders>
              <w:top w:val="nil"/>
              <w:left w:val="single" w:sz="12" w:space="0" w:color="auto"/>
              <w:bottom w:val="nil"/>
              <w:right w:val="single" w:sz="12" w:space="0" w:color="auto"/>
            </w:tcBorders>
          </w:tcPr>
          <w:p w:rsidR="00FD6E18" w:rsidRPr="00291D3D" w:rsidRDefault="000D7FD1" w:rsidP="00FA7BE0">
            <w:pPr>
              <w:pStyle w:val="naisf"/>
              <w:spacing w:before="0" w:after="0"/>
              <w:ind w:firstLine="0"/>
              <w:jc w:val="center"/>
            </w:pPr>
            <w:r w:rsidRPr="00291D3D">
              <w:t>0</w:t>
            </w:r>
          </w:p>
        </w:tc>
        <w:tc>
          <w:tcPr>
            <w:tcW w:w="1352" w:type="dxa"/>
            <w:tcBorders>
              <w:top w:val="nil"/>
              <w:left w:val="single" w:sz="12" w:space="0" w:color="auto"/>
              <w:bottom w:val="nil"/>
            </w:tcBorders>
          </w:tcPr>
          <w:p w:rsidR="00FD6E18" w:rsidRPr="00291D3D" w:rsidRDefault="000D7FD1" w:rsidP="00FA7BE0">
            <w:pPr>
              <w:pStyle w:val="naisf"/>
              <w:spacing w:before="0" w:after="0"/>
              <w:ind w:firstLine="0"/>
              <w:jc w:val="center"/>
            </w:pPr>
            <w:r w:rsidRPr="00291D3D">
              <w:t>0</w:t>
            </w:r>
          </w:p>
        </w:tc>
      </w:tr>
      <w:tr w:rsidR="00FD6E18" w:rsidRPr="00291D3D">
        <w:tc>
          <w:tcPr>
            <w:tcW w:w="3365" w:type="dxa"/>
            <w:tcBorders>
              <w:top w:val="nil"/>
              <w:bottom w:val="nil"/>
              <w:right w:val="single" w:sz="12" w:space="0" w:color="auto"/>
            </w:tcBorders>
          </w:tcPr>
          <w:p w:rsidR="00FD6E18" w:rsidRPr="00291D3D" w:rsidRDefault="00FD6E18" w:rsidP="00FA7BE0">
            <w:pPr>
              <w:jc w:val="both"/>
            </w:pPr>
            <w:r w:rsidRPr="00291D3D">
              <w:t>5.2. speciālais budžets;</w:t>
            </w:r>
          </w:p>
        </w:tc>
        <w:tc>
          <w:tcPr>
            <w:tcW w:w="1492" w:type="dxa"/>
            <w:vMerge/>
            <w:tcBorders>
              <w:left w:val="single" w:sz="12" w:space="0" w:color="auto"/>
              <w:right w:val="single" w:sz="12" w:space="0" w:color="auto"/>
            </w:tcBorders>
            <w:vAlign w:val="center"/>
          </w:tcPr>
          <w:p w:rsidR="00FD6E18" w:rsidRPr="00291D3D" w:rsidRDefault="00FD6E18" w:rsidP="00FA7BE0">
            <w:pPr>
              <w:pStyle w:val="naisf"/>
              <w:spacing w:before="0" w:after="0"/>
              <w:ind w:firstLine="0"/>
              <w:jc w:val="center"/>
            </w:pP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nil"/>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nil"/>
            </w:tcBorders>
          </w:tcPr>
          <w:p w:rsidR="00FD6E18" w:rsidRPr="00291D3D" w:rsidRDefault="00FD6E18" w:rsidP="00FA7BE0">
            <w:pPr>
              <w:pStyle w:val="naisf"/>
              <w:spacing w:before="0" w:after="0"/>
              <w:ind w:firstLine="0"/>
              <w:jc w:val="center"/>
            </w:pPr>
            <w:r w:rsidRPr="00291D3D">
              <w:t>0</w:t>
            </w:r>
          </w:p>
        </w:tc>
      </w:tr>
      <w:tr w:rsidR="00FD6E18" w:rsidRPr="00291D3D">
        <w:tc>
          <w:tcPr>
            <w:tcW w:w="3365" w:type="dxa"/>
            <w:tcBorders>
              <w:top w:val="nil"/>
              <w:bottom w:val="single" w:sz="12" w:space="0" w:color="auto"/>
              <w:right w:val="single" w:sz="12" w:space="0" w:color="auto"/>
            </w:tcBorders>
          </w:tcPr>
          <w:p w:rsidR="00FD6E18" w:rsidRPr="00291D3D" w:rsidRDefault="00FD6E18" w:rsidP="00FA7BE0">
            <w:pPr>
              <w:jc w:val="both"/>
            </w:pPr>
            <w:r w:rsidRPr="00291D3D">
              <w:t xml:space="preserve">5.3. pašvaldību budžets </w:t>
            </w:r>
          </w:p>
        </w:tc>
        <w:tc>
          <w:tcPr>
            <w:tcW w:w="1492" w:type="dxa"/>
            <w:vMerge/>
            <w:tcBorders>
              <w:left w:val="single" w:sz="12" w:space="0" w:color="auto"/>
              <w:bottom w:val="single" w:sz="12" w:space="0" w:color="auto"/>
              <w:right w:val="single" w:sz="12" w:space="0" w:color="auto"/>
            </w:tcBorders>
            <w:vAlign w:val="center"/>
          </w:tcPr>
          <w:p w:rsidR="00FD6E18" w:rsidRPr="00291D3D" w:rsidRDefault="00FD6E18" w:rsidP="00FA7BE0">
            <w:pPr>
              <w:pStyle w:val="naisf"/>
              <w:spacing w:before="0" w:after="0"/>
              <w:ind w:firstLine="0"/>
              <w:jc w:val="center"/>
            </w:pPr>
          </w:p>
        </w:tc>
        <w:tc>
          <w:tcPr>
            <w:tcW w:w="1351"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1"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single" w:sz="12" w:space="0" w:color="auto"/>
              <w:right w:val="single" w:sz="12" w:space="0" w:color="auto"/>
            </w:tcBorders>
          </w:tcPr>
          <w:p w:rsidR="00FD6E18" w:rsidRPr="00291D3D" w:rsidRDefault="00FD6E18" w:rsidP="00FA7BE0">
            <w:pPr>
              <w:pStyle w:val="naisf"/>
              <w:spacing w:before="0" w:after="0"/>
              <w:ind w:firstLine="0"/>
              <w:jc w:val="center"/>
            </w:pPr>
            <w:r w:rsidRPr="00291D3D">
              <w:t>0</w:t>
            </w:r>
          </w:p>
        </w:tc>
        <w:tc>
          <w:tcPr>
            <w:tcW w:w="1352" w:type="dxa"/>
            <w:tcBorders>
              <w:top w:val="nil"/>
              <w:left w:val="single" w:sz="12" w:space="0" w:color="auto"/>
              <w:bottom w:val="single" w:sz="12" w:space="0" w:color="auto"/>
            </w:tcBorders>
          </w:tcPr>
          <w:p w:rsidR="00FD6E18" w:rsidRPr="00291D3D" w:rsidRDefault="00FD6E18" w:rsidP="00FA7BE0">
            <w:pPr>
              <w:pStyle w:val="naisf"/>
              <w:spacing w:before="0" w:after="0"/>
              <w:ind w:firstLine="0"/>
              <w:jc w:val="center"/>
            </w:pPr>
            <w:r w:rsidRPr="00291D3D">
              <w:t>0</w:t>
            </w:r>
          </w:p>
        </w:tc>
      </w:tr>
      <w:tr w:rsidR="00FD6E18" w:rsidRPr="00291D3D">
        <w:tc>
          <w:tcPr>
            <w:tcW w:w="3365" w:type="dxa"/>
            <w:tcBorders>
              <w:top w:val="single" w:sz="12" w:space="0" w:color="auto"/>
              <w:bottom w:val="nil"/>
              <w:right w:val="single" w:sz="12" w:space="0" w:color="auto"/>
            </w:tcBorders>
          </w:tcPr>
          <w:p w:rsidR="00FD6E18" w:rsidRPr="00291D3D" w:rsidRDefault="00FD6E18" w:rsidP="003F542D">
            <w:r w:rsidRPr="00291D3D">
              <w:t>6. Detalizēts ieņēmumu un izdevumu aprēķins (ja nepieciešams, detalizētu ieņēmumu un izdevumu aprēķinu var pievienot anotācijas pielikumā):</w:t>
            </w:r>
          </w:p>
        </w:tc>
        <w:tc>
          <w:tcPr>
            <w:tcW w:w="6898" w:type="dxa"/>
            <w:gridSpan w:val="5"/>
            <w:vMerge w:val="restart"/>
            <w:tcBorders>
              <w:top w:val="single" w:sz="12" w:space="0" w:color="auto"/>
              <w:left w:val="single" w:sz="12" w:space="0" w:color="auto"/>
            </w:tcBorders>
            <w:vAlign w:val="center"/>
          </w:tcPr>
          <w:p w:rsidR="007D1842" w:rsidRPr="00291D3D" w:rsidRDefault="001D3A02" w:rsidP="00E52469">
            <w:pPr>
              <w:spacing w:after="120"/>
              <w:jc w:val="both"/>
            </w:pPr>
            <w:r w:rsidRPr="00291D3D">
              <w:t>Nav attiecināms</w:t>
            </w:r>
          </w:p>
          <w:p w:rsidR="00E2505F" w:rsidRPr="00291D3D" w:rsidRDefault="00E2505F" w:rsidP="00E52469">
            <w:pPr>
              <w:spacing w:after="120"/>
              <w:jc w:val="both"/>
              <w:rPr>
                <w:highlight w:val="yellow"/>
              </w:rPr>
            </w:pPr>
          </w:p>
        </w:tc>
      </w:tr>
      <w:tr w:rsidR="00FD6E18" w:rsidRPr="00291D3D">
        <w:tc>
          <w:tcPr>
            <w:tcW w:w="3365" w:type="dxa"/>
            <w:tcBorders>
              <w:top w:val="nil"/>
              <w:bottom w:val="nil"/>
              <w:right w:val="single" w:sz="12" w:space="0" w:color="auto"/>
            </w:tcBorders>
          </w:tcPr>
          <w:p w:rsidR="00FD6E18" w:rsidRPr="00291D3D" w:rsidRDefault="00FD6E18" w:rsidP="00FA7BE0">
            <w:pPr>
              <w:jc w:val="both"/>
            </w:pPr>
            <w:r w:rsidRPr="00291D3D">
              <w:t>6.1. Detalizēts ieņēmumu aprēķins;</w:t>
            </w:r>
          </w:p>
        </w:tc>
        <w:tc>
          <w:tcPr>
            <w:tcW w:w="6898" w:type="dxa"/>
            <w:gridSpan w:val="5"/>
            <w:vMerge/>
            <w:tcBorders>
              <w:left w:val="single" w:sz="12" w:space="0" w:color="auto"/>
            </w:tcBorders>
          </w:tcPr>
          <w:p w:rsidR="00FD6E18" w:rsidRPr="00291D3D" w:rsidRDefault="00FD6E18" w:rsidP="00FA7BE0">
            <w:pPr>
              <w:pStyle w:val="naisf"/>
              <w:spacing w:before="0" w:after="0"/>
              <w:ind w:firstLine="0"/>
            </w:pPr>
          </w:p>
        </w:tc>
      </w:tr>
      <w:tr w:rsidR="00FD6E18" w:rsidRPr="00291D3D">
        <w:tc>
          <w:tcPr>
            <w:tcW w:w="3365" w:type="dxa"/>
            <w:tcBorders>
              <w:top w:val="nil"/>
              <w:bottom w:val="single" w:sz="12" w:space="0" w:color="auto"/>
              <w:right w:val="single" w:sz="12" w:space="0" w:color="auto"/>
            </w:tcBorders>
          </w:tcPr>
          <w:p w:rsidR="00FD6E18" w:rsidRPr="00291D3D" w:rsidRDefault="00FD6E18" w:rsidP="00FA7BE0">
            <w:pPr>
              <w:jc w:val="both"/>
            </w:pPr>
            <w:r w:rsidRPr="00291D3D">
              <w:t>6.2. Detalizēts izdevumu aprēķins</w:t>
            </w:r>
          </w:p>
        </w:tc>
        <w:tc>
          <w:tcPr>
            <w:tcW w:w="6898" w:type="dxa"/>
            <w:gridSpan w:val="5"/>
            <w:vMerge/>
            <w:tcBorders>
              <w:left w:val="single" w:sz="12" w:space="0" w:color="auto"/>
              <w:bottom w:val="single" w:sz="12" w:space="0" w:color="auto"/>
            </w:tcBorders>
          </w:tcPr>
          <w:p w:rsidR="00FD6E18" w:rsidRPr="00291D3D" w:rsidRDefault="00FD6E18" w:rsidP="00FA7BE0">
            <w:pPr>
              <w:pStyle w:val="naisf"/>
              <w:spacing w:before="0" w:after="0"/>
              <w:ind w:firstLine="0"/>
            </w:pPr>
          </w:p>
        </w:tc>
      </w:tr>
      <w:tr w:rsidR="00FD6E18" w:rsidRPr="00291D3D">
        <w:trPr>
          <w:trHeight w:val="912"/>
        </w:trPr>
        <w:tc>
          <w:tcPr>
            <w:tcW w:w="3365" w:type="dxa"/>
            <w:tcBorders>
              <w:top w:val="single" w:sz="12" w:space="0" w:color="auto"/>
              <w:bottom w:val="single" w:sz="12" w:space="0" w:color="auto"/>
              <w:right w:val="single" w:sz="12" w:space="0" w:color="auto"/>
            </w:tcBorders>
            <w:vAlign w:val="center"/>
          </w:tcPr>
          <w:p w:rsidR="00FD6E18" w:rsidRPr="00291D3D" w:rsidRDefault="00FD6E18" w:rsidP="003F542D">
            <w:r w:rsidRPr="00291D3D">
              <w:t>7. Cita informācija</w:t>
            </w:r>
          </w:p>
        </w:tc>
        <w:tc>
          <w:tcPr>
            <w:tcW w:w="6898" w:type="dxa"/>
            <w:gridSpan w:val="5"/>
            <w:tcBorders>
              <w:top w:val="single" w:sz="12" w:space="0" w:color="auto"/>
              <w:left w:val="single" w:sz="12" w:space="0" w:color="auto"/>
              <w:bottom w:val="single" w:sz="12" w:space="0" w:color="auto"/>
            </w:tcBorders>
          </w:tcPr>
          <w:p w:rsidR="00CF26B9" w:rsidRPr="00291D3D" w:rsidRDefault="00E32101" w:rsidP="00770F17">
            <w:pPr>
              <w:jc w:val="both"/>
            </w:pPr>
            <w:smartTag w:uri="schemas-tilde-lv/tildestengine" w:element="veidnes">
              <w:smartTagPr>
                <w:attr w:name="id" w:val="-1"/>
                <w:attr w:name="baseform" w:val="Līgums"/>
                <w:attr w:name="text" w:val="Līgums"/>
              </w:smartTagPr>
              <w:r w:rsidRPr="00291D3D">
                <w:t>Līgums</w:t>
              </w:r>
            </w:smartTag>
            <w:r w:rsidRPr="00291D3D">
              <w:t xml:space="preserve"> starp kopuzņēmumu EUREKA Sekretariāts un Latvijas Republikas Izglītības un zinātnes ministriju tiks īstenots Izglītības un zinātnes ministrijas esošo valsts budžeta līdzekļu ietvaros.</w:t>
            </w:r>
          </w:p>
        </w:tc>
      </w:tr>
    </w:tbl>
    <w:p w:rsidR="001320F3" w:rsidRPr="00291D3D" w:rsidRDefault="001320F3" w:rsidP="00443C46">
      <w:pPr>
        <w:pStyle w:val="naisf"/>
        <w:ind w:firstLine="0"/>
      </w:pPr>
    </w:p>
    <w:tbl>
      <w:tblPr>
        <w:tblW w:w="5637" w:type="pct"/>
        <w:tblInd w:w="-1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tblPr>
      <w:tblGrid>
        <w:gridCol w:w="262"/>
        <w:gridCol w:w="3403"/>
        <w:gridCol w:w="6629"/>
      </w:tblGrid>
      <w:tr w:rsidR="00291D3D" w:rsidRPr="00291D3D" w:rsidTr="00D20108">
        <w:tc>
          <w:tcPr>
            <w:tcW w:w="5000" w:type="pct"/>
            <w:gridSpan w:val="3"/>
          </w:tcPr>
          <w:p w:rsidR="00291D3D" w:rsidRPr="00291D3D" w:rsidRDefault="00291D3D" w:rsidP="00210CB7">
            <w:pPr>
              <w:spacing w:before="100" w:beforeAutospacing="1" w:after="100" w:afterAutospacing="1"/>
              <w:jc w:val="center"/>
              <w:rPr>
                <w:b/>
                <w:bCs/>
              </w:rPr>
            </w:pPr>
            <w:r w:rsidRPr="00291D3D">
              <w:rPr>
                <w:b/>
                <w:bCs/>
              </w:rPr>
              <w:t>IV. Tiesību akta projekta ietekme uz spēkā esošo tiesību normu sistēmu</w:t>
            </w:r>
          </w:p>
        </w:tc>
      </w:tr>
      <w:tr w:rsidR="00291D3D" w:rsidRPr="00291D3D" w:rsidTr="00D20108">
        <w:tc>
          <w:tcPr>
            <w:tcW w:w="0" w:type="auto"/>
          </w:tcPr>
          <w:p w:rsidR="00291D3D" w:rsidRPr="00291D3D" w:rsidRDefault="00291D3D" w:rsidP="00210CB7">
            <w:pPr>
              <w:spacing w:before="100" w:beforeAutospacing="1" w:after="100" w:afterAutospacing="1"/>
              <w:rPr>
                <w:lang w:val="ru-RU"/>
              </w:rPr>
            </w:pPr>
            <w:r w:rsidRPr="00291D3D">
              <w:rPr>
                <w:lang w:val="ru-RU"/>
              </w:rPr>
              <w:t>1.</w:t>
            </w:r>
          </w:p>
        </w:tc>
        <w:tc>
          <w:tcPr>
            <w:tcW w:w="1653" w:type="pct"/>
          </w:tcPr>
          <w:p w:rsidR="00291D3D" w:rsidRPr="00291D3D" w:rsidRDefault="00291D3D" w:rsidP="00210CB7">
            <w:pPr>
              <w:spacing w:before="100" w:beforeAutospacing="1" w:after="100" w:afterAutospacing="1"/>
              <w:rPr>
                <w:lang w:val="pl-PL"/>
              </w:rPr>
            </w:pPr>
            <w:r w:rsidRPr="00291D3D">
              <w:rPr>
                <w:lang w:val="pl-PL"/>
              </w:rPr>
              <w:t>Nepieciešamie saistītie tiesību aktu projekti</w:t>
            </w:r>
          </w:p>
        </w:tc>
        <w:tc>
          <w:tcPr>
            <w:tcW w:w="3220" w:type="pct"/>
          </w:tcPr>
          <w:p w:rsidR="00291D3D" w:rsidRPr="00291D3D" w:rsidRDefault="00291D3D" w:rsidP="008B1C6F">
            <w:pPr>
              <w:spacing w:before="100" w:beforeAutospacing="1" w:after="100" w:afterAutospacing="1"/>
              <w:jc w:val="both"/>
              <w:rPr>
                <w:lang w:val="pl-PL"/>
              </w:rPr>
            </w:pPr>
            <w:r w:rsidRPr="00291D3D">
              <w:rPr>
                <w:lang w:val="pl-PL"/>
              </w:rPr>
              <w:t>Iekļauj informāciju atbilstoši instrukcijas 54.punktā noteiktajam</w:t>
            </w:r>
          </w:p>
          <w:p w:rsidR="00291D3D" w:rsidRPr="00291D3D" w:rsidRDefault="00291D3D" w:rsidP="00D20108">
            <w:pPr>
              <w:spacing w:before="100" w:beforeAutospacing="1" w:after="100" w:afterAutospacing="1"/>
              <w:jc w:val="both"/>
            </w:pPr>
            <w:r w:rsidRPr="00291D3D">
              <w:t xml:space="preserve">MK </w:t>
            </w:r>
            <w:r w:rsidRPr="00291D3D">
              <w:rPr>
                <w:u w:val="single"/>
              </w:rPr>
              <w:t xml:space="preserve">noteikumos </w:t>
            </w:r>
            <w:r w:rsidRPr="00291D3D">
              <w:t>Nr.722. „</w:t>
            </w:r>
            <w:r w:rsidRPr="00291D3D">
              <w:rPr>
                <w:bCs/>
              </w:rPr>
              <w:t>Kārtība, kādā nodrošina valsts atbalstu dalībai starptautiskās sadarbības programmās pētniecības un tehnoloģiju jomās”, (</w:t>
            </w:r>
            <w:r w:rsidRPr="00291D3D">
              <w:t xml:space="preserve">2008.gada 08.septembrī) tiks veikti papildinājumi, kas noteiks </w:t>
            </w:r>
            <w:proofErr w:type="spellStart"/>
            <w:r w:rsidRPr="00291D3D">
              <w:t>Eurostars</w:t>
            </w:r>
            <w:proofErr w:type="spellEnd"/>
            <w:r w:rsidRPr="00291D3D">
              <w:t xml:space="preserve"> projektu valsts atbalsta noteikumus Latvijā (</w:t>
            </w:r>
            <w:proofErr w:type="spellStart"/>
            <w:r w:rsidRPr="00291D3D">
              <w:t>Eurostars</w:t>
            </w:r>
            <w:proofErr w:type="spellEnd"/>
            <w:r w:rsidRPr="00291D3D">
              <w:t xml:space="preserve"> Nacionālā atbalsta programma).</w:t>
            </w:r>
          </w:p>
        </w:tc>
      </w:tr>
      <w:tr w:rsidR="00291D3D" w:rsidRPr="00291D3D" w:rsidTr="00D20108">
        <w:tc>
          <w:tcPr>
            <w:tcW w:w="0" w:type="auto"/>
          </w:tcPr>
          <w:p w:rsidR="00291D3D" w:rsidRPr="00291D3D" w:rsidRDefault="00291D3D" w:rsidP="00210CB7">
            <w:pPr>
              <w:spacing w:before="100" w:beforeAutospacing="1" w:after="100" w:afterAutospacing="1"/>
              <w:rPr>
                <w:lang w:val="ru-RU"/>
              </w:rPr>
            </w:pPr>
            <w:r w:rsidRPr="00291D3D">
              <w:rPr>
                <w:lang w:val="ru-RU"/>
              </w:rPr>
              <w:t>2.</w:t>
            </w:r>
          </w:p>
        </w:tc>
        <w:tc>
          <w:tcPr>
            <w:tcW w:w="1653" w:type="pct"/>
          </w:tcPr>
          <w:p w:rsidR="00291D3D" w:rsidRPr="00291D3D" w:rsidRDefault="00291D3D" w:rsidP="00210CB7">
            <w:pPr>
              <w:spacing w:before="100" w:beforeAutospacing="1" w:after="100" w:afterAutospacing="1"/>
              <w:rPr>
                <w:lang w:val="ru-RU"/>
              </w:rPr>
            </w:pPr>
            <w:r w:rsidRPr="00291D3D">
              <w:rPr>
                <w:lang w:val="ru-RU"/>
              </w:rPr>
              <w:t>Cita informācija</w:t>
            </w:r>
          </w:p>
        </w:tc>
        <w:tc>
          <w:tcPr>
            <w:tcW w:w="3220" w:type="pct"/>
          </w:tcPr>
          <w:p w:rsidR="00291D3D" w:rsidRPr="00291D3D" w:rsidRDefault="00291D3D" w:rsidP="008B1C6F">
            <w:pPr>
              <w:spacing w:before="100" w:beforeAutospacing="1" w:after="100" w:afterAutospacing="1"/>
              <w:jc w:val="both"/>
              <w:rPr>
                <w:lang w:val="ru-RU"/>
              </w:rPr>
            </w:pPr>
            <w:r w:rsidRPr="00291D3D">
              <w:rPr>
                <w:lang w:val="ru-RU"/>
              </w:rPr>
              <w:t>Iekļauj papildu informāciju pēc tiesību akta projekta izstrādātāja ieskatiem.</w:t>
            </w:r>
          </w:p>
          <w:p w:rsidR="00291D3D" w:rsidRPr="00291D3D" w:rsidRDefault="00291D3D" w:rsidP="008B1C6F">
            <w:pPr>
              <w:spacing w:before="100" w:beforeAutospacing="1" w:after="100" w:afterAutospacing="1"/>
              <w:jc w:val="both"/>
              <w:rPr>
                <w:lang w:val="pt-PT"/>
              </w:rPr>
            </w:pPr>
            <w:r w:rsidRPr="00291D3D">
              <w:rPr>
                <w:lang w:val="pt-PT"/>
              </w:rPr>
              <w:t>Ja šādas informācijas nav, ieraksta - "Nav"</w:t>
            </w:r>
          </w:p>
        </w:tc>
      </w:tr>
    </w:tbl>
    <w:p w:rsidR="00291D3D" w:rsidRPr="00291D3D" w:rsidRDefault="00291D3D" w:rsidP="00443C46">
      <w:pPr>
        <w:pStyle w:val="naisf"/>
        <w:ind w:firstLine="0"/>
      </w:pPr>
    </w:p>
    <w:tbl>
      <w:tblPr>
        <w:tblW w:w="10320"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037"/>
        <w:gridCol w:w="5283"/>
      </w:tblGrid>
      <w:tr w:rsidR="008406E5" w:rsidRPr="00291D3D">
        <w:tc>
          <w:tcPr>
            <w:tcW w:w="10320" w:type="dxa"/>
            <w:gridSpan w:val="2"/>
          </w:tcPr>
          <w:p w:rsidR="00291D3D" w:rsidRPr="00291D3D" w:rsidRDefault="00291D3D" w:rsidP="008D5461">
            <w:pPr>
              <w:pStyle w:val="naisc"/>
              <w:spacing w:before="0" w:after="0"/>
              <w:jc w:val="both"/>
              <w:rPr>
                <w:b/>
                <w:bCs/>
              </w:rPr>
            </w:pPr>
          </w:p>
          <w:p w:rsidR="00291D3D" w:rsidRPr="00291D3D" w:rsidRDefault="00291D3D" w:rsidP="008D5461">
            <w:pPr>
              <w:pStyle w:val="naisc"/>
              <w:spacing w:before="0" w:after="0"/>
              <w:jc w:val="both"/>
              <w:rPr>
                <w:b/>
                <w:bCs/>
              </w:rPr>
            </w:pPr>
          </w:p>
          <w:p w:rsidR="008406E5" w:rsidRPr="00291D3D" w:rsidRDefault="008406E5" w:rsidP="008D5461">
            <w:pPr>
              <w:pStyle w:val="naisc"/>
              <w:spacing w:before="0" w:after="0"/>
              <w:jc w:val="both"/>
            </w:pPr>
            <w:r w:rsidRPr="00291D3D">
              <w:rPr>
                <w:b/>
                <w:bCs/>
              </w:rPr>
              <w:t>V. Kādām Latvijas starptautiskajām saistībām atbilst normatīvais akts</w:t>
            </w:r>
          </w:p>
        </w:tc>
      </w:tr>
      <w:tr w:rsidR="008406E5" w:rsidRPr="00291D3D">
        <w:tc>
          <w:tcPr>
            <w:tcW w:w="5037" w:type="dxa"/>
          </w:tcPr>
          <w:p w:rsidR="008406E5" w:rsidRPr="00291D3D" w:rsidRDefault="008406E5" w:rsidP="008D5461">
            <w:pPr>
              <w:pStyle w:val="NormalWeb"/>
              <w:spacing w:before="0" w:beforeAutospacing="0" w:after="0" w:afterAutospacing="0"/>
              <w:jc w:val="both"/>
            </w:pPr>
            <w:r w:rsidRPr="00291D3D">
              <w:t>1. Saistības pret Eiropas Savienību</w:t>
            </w:r>
          </w:p>
        </w:tc>
        <w:tc>
          <w:tcPr>
            <w:tcW w:w="5283" w:type="dxa"/>
          </w:tcPr>
          <w:p w:rsidR="008406E5" w:rsidRPr="00291D3D" w:rsidRDefault="008406E5" w:rsidP="008D5461">
            <w:pPr>
              <w:jc w:val="both"/>
            </w:pPr>
          </w:p>
        </w:tc>
      </w:tr>
      <w:tr w:rsidR="008406E5" w:rsidRPr="00291D3D">
        <w:tc>
          <w:tcPr>
            <w:tcW w:w="5037" w:type="dxa"/>
          </w:tcPr>
          <w:p w:rsidR="008406E5" w:rsidRPr="00291D3D" w:rsidRDefault="008406E5" w:rsidP="008D5461">
            <w:pPr>
              <w:pStyle w:val="NormalWeb"/>
              <w:spacing w:before="0" w:beforeAutospacing="0" w:after="0" w:afterAutospacing="0"/>
              <w:jc w:val="both"/>
            </w:pPr>
            <w:r w:rsidRPr="00291D3D">
              <w:t>2. Saistības pret citām valstīm un starptautiskajām institūcijām un organizācijām</w:t>
            </w:r>
          </w:p>
        </w:tc>
        <w:tc>
          <w:tcPr>
            <w:tcW w:w="5283" w:type="dxa"/>
          </w:tcPr>
          <w:p w:rsidR="008406E5" w:rsidRPr="00291D3D" w:rsidRDefault="008406E5" w:rsidP="008D5461">
            <w:pPr>
              <w:jc w:val="both"/>
            </w:pPr>
            <w:r w:rsidRPr="00291D3D">
              <w:t>Nav attiecināms.</w:t>
            </w:r>
          </w:p>
        </w:tc>
      </w:tr>
      <w:tr w:rsidR="008406E5" w:rsidRPr="00291D3D">
        <w:tc>
          <w:tcPr>
            <w:tcW w:w="5037" w:type="dxa"/>
          </w:tcPr>
          <w:p w:rsidR="008406E5" w:rsidRPr="00291D3D" w:rsidRDefault="008406E5" w:rsidP="008D5461">
            <w:pPr>
              <w:pStyle w:val="NormalWeb"/>
              <w:spacing w:before="0" w:beforeAutospacing="0" w:after="0" w:afterAutospacing="0"/>
              <w:jc w:val="both"/>
            </w:pPr>
            <w:r w:rsidRPr="00291D3D">
              <w:t>3. Saistības, kas izriet no Latvijai saistošajiem divpusējiem un daudzpusējiem starptautiskajiem līgumiem</w:t>
            </w:r>
          </w:p>
        </w:tc>
        <w:tc>
          <w:tcPr>
            <w:tcW w:w="5283" w:type="dxa"/>
          </w:tcPr>
          <w:p w:rsidR="008406E5" w:rsidRPr="00291D3D" w:rsidRDefault="008406E5" w:rsidP="008D5461">
            <w:pPr>
              <w:jc w:val="both"/>
            </w:pPr>
            <w:r w:rsidRPr="00291D3D">
              <w:t>Nav attiecināms.</w:t>
            </w:r>
          </w:p>
        </w:tc>
      </w:tr>
      <w:tr w:rsidR="008406E5" w:rsidRPr="00291D3D">
        <w:tc>
          <w:tcPr>
            <w:tcW w:w="5037" w:type="dxa"/>
          </w:tcPr>
          <w:p w:rsidR="008406E5" w:rsidRPr="00291D3D" w:rsidRDefault="008406E5" w:rsidP="008D5461">
            <w:pPr>
              <w:pStyle w:val="NormalWeb"/>
              <w:spacing w:before="0" w:beforeAutospacing="0" w:after="0" w:afterAutospacing="0"/>
              <w:jc w:val="both"/>
            </w:pPr>
            <w:r w:rsidRPr="00291D3D">
              <w:t>4. Atbilstības izvērtējums</w:t>
            </w:r>
          </w:p>
        </w:tc>
        <w:tc>
          <w:tcPr>
            <w:tcW w:w="5283" w:type="dxa"/>
          </w:tcPr>
          <w:p w:rsidR="008406E5" w:rsidRPr="00291D3D" w:rsidRDefault="008406E5" w:rsidP="008D5461">
            <w:pPr>
              <w:jc w:val="both"/>
            </w:pPr>
          </w:p>
        </w:tc>
      </w:tr>
      <w:tr w:rsidR="008406E5" w:rsidRPr="00291D3D">
        <w:tc>
          <w:tcPr>
            <w:tcW w:w="5037" w:type="dxa"/>
          </w:tcPr>
          <w:p w:rsidR="008406E5" w:rsidRPr="00291D3D" w:rsidRDefault="008406E5" w:rsidP="008D5461">
            <w:pPr>
              <w:pStyle w:val="naisc"/>
              <w:spacing w:before="0" w:after="0"/>
              <w:jc w:val="both"/>
            </w:pPr>
            <w:r w:rsidRPr="00291D3D">
              <w:t xml:space="preserve">Attiecīgo Eiropas Savienības tiesību aktu veids (piemēram, Eiropas Kopienas dibināšanas </w:t>
            </w:r>
            <w:smartTag w:uri="schemas-tilde-lv/tildestengine" w:element="veidnes">
              <w:smartTagPr>
                <w:attr w:name="text" w:val="Līgums"/>
                <w:attr w:name="baseform" w:val="Līgums"/>
                <w:attr w:name="id" w:val="-1"/>
              </w:smartTagPr>
              <w:r w:rsidRPr="00291D3D">
                <w:t>līgums</w:t>
              </w:r>
            </w:smartTag>
            <w:r w:rsidRPr="00291D3D">
              <w:t xml:space="preserve">, direktīva, regula, </w:t>
            </w:r>
            <w:smartTag w:uri="schemas-tilde-lv/tildestengine" w:element="veidnes">
              <w:smartTagPr>
                <w:attr w:name="text" w:val="lēmums"/>
                <w:attr w:name="baseform" w:val="lēmums"/>
                <w:attr w:name="id" w:val="-1"/>
              </w:smartTagPr>
              <w:r w:rsidRPr="00291D3D">
                <w:t>lēmums</w:t>
              </w:r>
            </w:smartTag>
            <w:r w:rsidRPr="00291D3D">
              <w:t>, vadlīnijas, rekomendācijas), nosaukums, datums un numurs, kuru prasības tiek pārņemtas vai ieviestas ar normatīvo aktu</w:t>
            </w:r>
          </w:p>
        </w:tc>
        <w:tc>
          <w:tcPr>
            <w:tcW w:w="5283" w:type="dxa"/>
          </w:tcPr>
          <w:p w:rsidR="008406E5" w:rsidRPr="00291D3D" w:rsidRDefault="008406E5" w:rsidP="008D5461">
            <w:pPr>
              <w:jc w:val="both"/>
            </w:pPr>
            <w:r w:rsidRPr="00291D3D">
              <w:t>Nav attiecināms.</w:t>
            </w:r>
          </w:p>
        </w:tc>
      </w:tr>
      <w:tr w:rsidR="008406E5" w:rsidRPr="00291D3D">
        <w:tc>
          <w:tcPr>
            <w:tcW w:w="10320" w:type="dxa"/>
            <w:gridSpan w:val="2"/>
          </w:tcPr>
          <w:p w:rsidR="008406E5" w:rsidRPr="00291D3D" w:rsidRDefault="008406E5" w:rsidP="008D5461">
            <w:pPr>
              <w:pStyle w:val="naisc"/>
              <w:spacing w:before="0" w:after="0"/>
              <w:jc w:val="both"/>
            </w:pPr>
            <w:r w:rsidRPr="00291D3D">
              <w:t>2.tabula</w:t>
            </w:r>
          </w:p>
        </w:tc>
      </w:tr>
      <w:tr w:rsidR="008406E5" w:rsidRPr="00291D3D">
        <w:tc>
          <w:tcPr>
            <w:tcW w:w="5037" w:type="dxa"/>
          </w:tcPr>
          <w:p w:rsidR="008406E5" w:rsidRPr="00291D3D" w:rsidRDefault="008406E5" w:rsidP="008D5461">
            <w:pPr>
              <w:jc w:val="both"/>
            </w:pPr>
            <w:r w:rsidRPr="00291D3D">
              <w:t>5. Saistības sniegt paziņojumu Eiropas Savienības institūcijām atbilstoši normatīvajiem aktiem, kas regulē informācijas sniegšanu par tehnisko noteikumu, valsts atbalsta sniegšanas un finanšu noteikumu projektiem</w:t>
            </w:r>
          </w:p>
        </w:tc>
        <w:tc>
          <w:tcPr>
            <w:tcW w:w="5283" w:type="dxa"/>
          </w:tcPr>
          <w:p w:rsidR="008406E5" w:rsidRPr="00291D3D" w:rsidRDefault="008406E5" w:rsidP="008D5461">
            <w:pPr>
              <w:jc w:val="both"/>
            </w:pPr>
            <w:r w:rsidRPr="00291D3D">
              <w:t>Nav attiecināms.</w:t>
            </w:r>
          </w:p>
        </w:tc>
      </w:tr>
      <w:tr w:rsidR="008406E5" w:rsidRPr="00291D3D">
        <w:tc>
          <w:tcPr>
            <w:tcW w:w="5037" w:type="dxa"/>
          </w:tcPr>
          <w:p w:rsidR="008406E5" w:rsidRPr="00291D3D" w:rsidRDefault="008406E5" w:rsidP="008D5461">
            <w:pPr>
              <w:jc w:val="both"/>
            </w:pPr>
            <w:r w:rsidRPr="00291D3D">
              <w:t> 6. Cita informācija</w:t>
            </w:r>
          </w:p>
          <w:p w:rsidR="008406E5" w:rsidRPr="00291D3D" w:rsidRDefault="008406E5" w:rsidP="008D5461">
            <w:pPr>
              <w:jc w:val="both"/>
            </w:pPr>
          </w:p>
        </w:tc>
        <w:tc>
          <w:tcPr>
            <w:tcW w:w="5283" w:type="dxa"/>
          </w:tcPr>
          <w:p w:rsidR="00AC4BBB" w:rsidRPr="00291D3D" w:rsidRDefault="00AC4BBB" w:rsidP="008B1C6F">
            <w:pPr>
              <w:spacing w:after="120"/>
              <w:jc w:val="both"/>
            </w:pPr>
            <w:r w:rsidRPr="00291D3D">
              <w:t xml:space="preserve">1) Valsts budžeta finansējums sekmīgo </w:t>
            </w:r>
            <w:proofErr w:type="spellStart"/>
            <w:r w:rsidRPr="00291D3D">
              <w:t>Eurostars</w:t>
            </w:r>
            <w:proofErr w:type="spellEnd"/>
            <w:r w:rsidRPr="00291D3D">
              <w:t xml:space="preserve"> projektu īstenošanai tiks piešķirts saskaņā ar Komisijas regulā (EK) Nr.800/2008 (2008.gada 6.augusts), kas atzīst noteiktas atbalsta kategorijas par saderīgām ar kopējo tirgu, piemērojot Līguma 87. vai 88.pantu (vispārējā grupu atbrīvojuma regula) (turpmāk – Komisijas Regula) vai Savienības nostādnēs par Valsts atbalstu pētniecībai, attīstībai un inovācijai (turpmāk – Nostādnes), noteiktajiem atbalsta nosacījumiem.</w:t>
            </w:r>
          </w:p>
          <w:p w:rsidR="00AC4BBB" w:rsidRPr="00291D3D" w:rsidRDefault="00AC4BBB" w:rsidP="008B1C6F">
            <w:pPr>
              <w:spacing w:after="120"/>
              <w:jc w:val="both"/>
            </w:pPr>
            <w:r w:rsidRPr="00291D3D">
              <w:t xml:space="preserve">Papildus MK noteikumu projektam tiks izstrādāti noteikumi (Nacionālā </w:t>
            </w:r>
            <w:proofErr w:type="spellStart"/>
            <w:r w:rsidRPr="00291D3D">
              <w:t>Eurostars</w:t>
            </w:r>
            <w:proofErr w:type="spellEnd"/>
            <w:r w:rsidRPr="00291D3D">
              <w:t xml:space="preserve"> finansēšanas programma Latvijā), kuros tiks definēti nosacījumi atbalsta piešķiršanai saskaņā ar Komisijas Regulu vai Nostādnēm.</w:t>
            </w:r>
          </w:p>
          <w:p w:rsidR="00AC4BBB" w:rsidRPr="00291D3D" w:rsidRDefault="00AC4BBB" w:rsidP="008B1C6F">
            <w:pPr>
              <w:spacing w:after="120"/>
              <w:jc w:val="both"/>
            </w:pPr>
            <w:r w:rsidRPr="00291D3D">
              <w:t xml:space="preserve">Ja atbalsts tiks piešķirts saskaņā ar Komisijas Regulu, tad pēc atbalsta programmas spēkā stāšanās 20 darba dienu laikā tiks nosūtīta kopsavilkuma informācija Eiropas Komisijai par šo atbalsta pasākumu saskaņā ar Komisijas Regulas 9.panta 1.punktu. </w:t>
            </w:r>
          </w:p>
          <w:p w:rsidR="003121B2" w:rsidRPr="00E31F4F" w:rsidRDefault="00AC4BBB" w:rsidP="00E31F4F">
            <w:pPr>
              <w:pStyle w:val="Default"/>
              <w:jc w:val="both"/>
              <w:rPr>
                <w:rFonts w:ascii="Times New Roman" w:hAnsi="Times New Roman" w:cs="Times New Roman"/>
                <w:sz w:val="26"/>
                <w:szCs w:val="26"/>
              </w:rPr>
            </w:pPr>
            <w:r w:rsidRPr="00291D3D">
              <w:rPr>
                <w:rFonts w:ascii="Times New Roman" w:hAnsi="Times New Roman" w:cs="Times New Roman"/>
              </w:rPr>
              <w:t>Savukārt, ja atbalsts tiks piešķirts saskaņā ar Nostādnēm, tad pirms programmas ieviešanas atbalsta programma tiks paziņota Eiropas Komisijai par tās atbilstību komercdarbības atbalsta kontroles normām.</w:t>
            </w:r>
          </w:p>
        </w:tc>
      </w:tr>
    </w:tbl>
    <w:p w:rsidR="008406E5" w:rsidRPr="00291D3D" w:rsidRDefault="008406E5" w:rsidP="00443C46">
      <w:pPr>
        <w:pStyle w:val="naisf"/>
        <w:ind w:firstLine="0"/>
      </w:pPr>
    </w:p>
    <w:p w:rsidR="001320F3" w:rsidRPr="00291D3D" w:rsidRDefault="001320F3" w:rsidP="00443C46">
      <w:pPr>
        <w:pStyle w:val="naisf"/>
        <w:ind w:firstLine="0"/>
      </w:pPr>
    </w:p>
    <w:tbl>
      <w:tblPr>
        <w:tblW w:w="10349"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47"/>
        <w:gridCol w:w="2796"/>
        <w:gridCol w:w="7106"/>
      </w:tblGrid>
      <w:tr w:rsidR="001320F3" w:rsidRPr="00291D3D">
        <w:tc>
          <w:tcPr>
            <w:tcW w:w="10349" w:type="dxa"/>
            <w:gridSpan w:val="3"/>
          </w:tcPr>
          <w:p w:rsidR="001320F3" w:rsidRPr="00291D3D" w:rsidRDefault="001320F3" w:rsidP="001320F3">
            <w:pPr>
              <w:pStyle w:val="naislab"/>
              <w:jc w:val="left"/>
              <w:outlineLvl w:val="0"/>
              <w:rPr>
                <w:b/>
              </w:rPr>
            </w:pPr>
          </w:p>
          <w:p w:rsidR="001320F3" w:rsidRPr="00291D3D" w:rsidRDefault="001320F3" w:rsidP="00751215">
            <w:pPr>
              <w:pStyle w:val="naislab"/>
              <w:jc w:val="center"/>
              <w:outlineLvl w:val="0"/>
              <w:rPr>
                <w:b/>
              </w:rPr>
            </w:pPr>
            <w:r w:rsidRPr="00291D3D">
              <w:rPr>
                <w:b/>
              </w:rPr>
              <w:t>VII Tiesību akta projekta izpildes nodrošināšana un tās ietekme uz institūcijām</w:t>
            </w:r>
          </w:p>
        </w:tc>
      </w:tr>
      <w:tr w:rsidR="001320F3" w:rsidRPr="00291D3D">
        <w:tc>
          <w:tcPr>
            <w:tcW w:w="10349" w:type="dxa"/>
            <w:gridSpan w:val="3"/>
          </w:tcPr>
          <w:p w:rsidR="001320F3" w:rsidRPr="00291D3D" w:rsidRDefault="001320F3" w:rsidP="00751215">
            <w:pPr>
              <w:pStyle w:val="naislab"/>
              <w:jc w:val="center"/>
              <w:outlineLvl w:val="0"/>
              <w:rPr>
                <w:b/>
              </w:rPr>
            </w:pPr>
          </w:p>
        </w:tc>
      </w:tr>
      <w:tr w:rsidR="001320F3" w:rsidRPr="00291D3D">
        <w:tc>
          <w:tcPr>
            <w:tcW w:w="447" w:type="dxa"/>
            <w:vAlign w:val="center"/>
          </w:tcPr>
          <w:p w:rsidR="001320F3" w:rsidRPr="00291D3D" w:rsidRDefault="001320F3" w:rsidP="00751215">
            <w:pPr>
              <w:pStyle w:val="naisnod"/>
              <w:ind w:left="180" w:hanging="180"/>
              <w:rPr>
                <w:b w:val="0"/>
              </w:rPr>
            </w:pPr>
            <w:r w:rsidRPr="00291D3D">
              <w:rPr>
                <w:b w:val="0"/>
              </w:rPr>
              <w:t>1.</w:t>
            </w:r>
          </w:p>
        </w:tc>
        <w:tc>
          <w:tcPr>
            <w:tcW w:w="2796" w:type="dxa"/>
            <w:vAlign w:val="center"/>
          </w:tcPr>
          <w:p w:rsidR="001320F3" w:rsidRPr="00291D3D" w:rsidRDefault="001320F3" w:rsidP="00751215">
            <w:pPr>
              <w:pStyle w:val="naisf"/>
              <w:ind w:left="170" w:firstLine="0"/>
              <w:jc w:val="center"/>
            </w:pPr>
            <w:r w:rsidRPr="00291D3D">
              <w:t>Projekta izpildē iesaistītās institūcijas</w:t>
            </w:r>
          </w:p>
        </w:tc>
        <w:tc>
          <w:tcPr>
            <w:tcW w:w="7106" w:type="dxa"/>
            <w:vAlign w:val="center"/>
          </w:tcPr>
          <w:p w:rsidR="001320F3" w:rsidRPr="00291D3D" w:rsidRDefault="001320F3" w:rsidP="00751215">
            <w:pPr>
              <w:pStyle w:val="naisnod"/>
              <w:jc w:val="both"/>
              <w:rPr>
                <w:b w:val="0"/>
                <w:iCs/>
              </w:rPr>
            </w:pPr>
            <w:r w:rsidRPr="00291D3D">
              <w:rPr>
                <w:b w:val="0"/>
                <w:iCs/>
              </w:rPr>
              <w:t xml:space="preserve">Izglītības un zinātnes ministrija </w:t>
            </w:r>
          </w:p>
          <w:p w:rsidR="001320F3" w:rsidRPr="00291D3D" w:rsidRDefault="001320F3" w:rsidP="00751215">
            <w:pPr>
              <w:pStyle w:val="naisnod"/>
              <w:jc w:val="both"/>
              <w:rPr>
                <w:b w:val="0"/>
              </w:rPr>
            </w:pPr>
            <w:r w:rsidRPr="00291D3D">
              <w:rPr>
                <w:b w:val="0"/>
                <w:iCs/>
              </w:rPr>
              <w:t>Latvijas Zinātņu akadēmija</w:t>
            </w:r>
          </w:p>
        </w:tc>
      </w:tr>
      <w:tr w:rsidR="001320F3" w:rsidRPr="00291D3D">
        <w:tc>
          <w:tcPr>
            <w:tcW w:w="447" w:type="dxa"/>
            <w:vAlign w:val="center"/>
          </w:tcPr>
          <w:p w:rsidR="001320F3" w:rsidRPr="00291D3D" w:rsidRDefault="001320F3" w:rsidP="00751215">
            <w:pPr>
              <w:pStyle w:val="naisnod"/>
              <w:rPr>
                <w:b w:val="0"/>
              </w:rPr>
            </w:pPr>
            <w:r w:rsidRPr="00291D3D">
              <w:rPr>
                <w:b w:val="0"/>
              </w:rPr>
              <w:t>2.</w:t>
            </w:r>
          </w:p>
        </w:tc>
        <w:tc>
          <w:tcPr>
            <w:tcW w:w="2796" w:type="dxa"/>
            <w:vAlign w:val="center"/>
          </w:tcPr>
          <w:p w:rsidR="001320F3" w:rsidRPr="00291D3D" w:rsidRDefault="001320F3" w:rsidP="00751215">
            <w:pPr>
              <w:pStyle w:val="naisf"/>
              <w:ind w:left="170" w:firstLine="0"/>
              <w:jc w:val="center"/>
            </w:pPr>
            <w:r w:rsidRPr="00291D3D">
              <w:t>Projekta izpildes ietekme uz pārvaldes funkcijām</w:t>
            </w:r>
          </w:p>
        </w:tc>
        <w:tc>
          <w:tcPr>
            <w:tcW w:w="7106" w:type="dxa"/>
            <w:vAlign w:val="center"/>
          </w:tcPr>
          <w:p w:rsidR="001320F3" w:rsidRPr="00291D3D" w:rsidRDefault="001320F3" w:rsidP="00751215">
            <w:pPr>
              <w:pStyle w:val="naisnod"/>
              <w:jc w:val="both"/>
              <w:rPr>
                <w:b w:val="0"/>
              </w:rPr>
            </w:pPr>
            <w:r w:rsidRPr="00291D3D">
              <w:rPr>
                <w:b w:val="0"/>
                <w:iCs/>
              </w:rPr>
              <w:t xml:space="preserve"> Projekta izpilde neietekmē institūciju funkcijas un uzdevumus.</w:t>
            </w:r>
          </w:p>
        </w:tc>
      </w:tr>
      <w:tr w:rsidR="001320F3" w:rsidRPr="00291D3D">
        <w:tc>
          <w:tcPr>
            <w:tcW w:w="447" w:type="dxa"/>
            <w:vAlign w:val="center"/>
          </w:tcPr>
          <w:p w:rsidR="001320F3" w:rsidRPr="00291D3D" w:rsidRDefault="001320F3" w:rsidP="00751215">
            <w:pPr>
              <w:pStyle w:val="naisnod"/>
              <w:rPr>
                <w:b w:val="0"/>
              </w:rPr>
            </w:pPr>
            <w:r w:rsidRPr="00291D3D">
              <w:rPr>
                <w:b w:val="0"/>
              </w:rPr>
              <w:t>3.</w:t>
            </w:r>
          </w:p>
        </w:tc>
        <w:tc>
          <w:tcPr>
            <w:tcW w:w="2796" w:type="dxa"/>
            <w:vAlign w:val="center"/>
          </w:tcPr>
          <w:p w:rsidR="001320F3" w:rsidRPr="00291D3D" w:rsidRDefault="001320F3" w:rsidP="00751215">
            <w:pPr>
              <w:pStyle w:val="naisf"/>
              <w:ind w:left="170" w:firstLine="0"/>
              <w:jc w:val="center"/>
            </w:pPr>
            <w:r w:rsidRPr="00291D3D">
              <w:t>Projekta izpildes ietekme uz pārvaldes institucionālo struktūru.</w:t>
            </w:r>
          </w:p>
          <w:p w:rsidR="001320F3" w:rsidRPr="00291D3D" w:rsidRDefault="001320F3" w:rsidP="00751215">
            <w:pPr>
              <w:pStyle w:val="naisf"/>
              <w:ind w:left="350" w:hanging="180"/>
              <w:jc w:val="center"/>
            </w:pPr>
            <w:r w:rsidRPr="00291D3D">
              <w:t>Jaunu institūciju izveide.</w:t>
            </w:r>
          </w:p>
        </w:tc>
        <w:tc>
          <w:tcPr>
            <w:tcW w:w="7106" w:type="dxa"/>
            <w:vAlign w:val="center"/>
          </w:tcPr>
          <w:p w:rsidR="001320F3" w:rsidRPr="00291D3D" w:rsidRDefault="001320F3" w:rsidP="00751215">
            <w:pPr>
              <w:pStyle w:val="naisnod"/>
              <w:jc w:val="both"/>
              <w:rPr>
                <w:b w:val="0"/>
              </w:rPr>
            </w:pPr>
            <w:r w:rsidRPr="00291D3D">
              <w:rPr>
                <w:b w:val="0"/>
                <w:iCs/>
              </w:rPr>
              <w:t>Jaunas institūcijas netiks izveidotas.</w:t>
            </w:r>
          </w:p>
        </w:tc>
      </w:tr>
      <w:tr w:rsidR="001320F3" w:rsidRPr="00291D3D">
        <w:tc>
          <w:tcPr>
            <w:tcW w:w="447" w:type="dxa"/>
            <w:vAlign w:val="center"/>
          </w:tcPr>
          <w:p w:rsidR="001320F3" w:rsidRPr="00291D3D" w:rsidRDefault="001320F3" w:rsidP="00751215">
            <w:pPr>
              <w:pStyle w:val="naisnod"/>
              <w:rPr>
                <w:b w:val="0"/>
              </w:rPr>
            </w:pPr>
            <w:r w:rsidRPr="00291D3D">
              <w:rPr>
                <w:b w:val="0"/>
              </w:rPr>
              <w:t>4.</w:t>
            </w:r>
          </w:p>
        </w:tc>
        <w:tc>
          <w:tcPr>
            <w:tcW w:w="2796" w:type="dxa"/>
            <w:vAlign w:val="center"/>
          </w:tcPr>
          <w:p w:rsidR="001320F3" w:rsidRPr="00291D3D" w:rsidRDefault="001320F3" w:rsidP="00751215">
            <w:pPr>
              <w:pStyle w:val="naisf"/>
              <w:ind w:left="170" w:firstLine="0"/>
              <w:jc w:val="center"/>
            </w:pPr>
            <w:r w:rsidRPr="00291D3D">
              <w:t>Projekta izpildes ietekme uz pārvaldes institucionālo struktūru.</w:t>
            </w:r>
          </w:p>
          <w:p w:rsidR="001320F3" w:rsidRPr="00291D3D" w:rsidRDefault="001320F3" w:rsidP="00751215">
            <w:pPr>
              <w:pStyle w:val="naisf"/>
              <w:ind w:left="350" w:hanging="180"/>
              <w:jc w:val="center"/>
            </w:pPr>
            <w:r w:rsidRPr="00291D3D">
              <w:t>Esošu institūciju likvidācija.</w:t>
            </w:r>
          </w:p>
        </w:tc>
        <w:tc>
          <w:tcPr>
            <w:tcW w:w="7106" w:type="dxa"/>
            <w:vAlign w:val="center"/>
          </w:tcPr>
          <w:p w:rsidR="001320F3" w:rsidRPr="00291D3D" w:rsidRDefault="001320F3" w:rsidP="00751215">
            <w:pPr>
              <w:pStyle w:val="naisnod"/>
              <w:jc w:val="left"/>
              <w:rPr>
                <w:b w:val="0"/>
              </w:rPr>
            </w:pPr>
            <w:r w:rsidRPr="00291D3D">
              <w:rPr>
                <w:b w:val="0"/>
                <w:iCs/>
              </w:rPr>
              <w:t xml:space="preserve">  Esošās institūcijas netiks likvidētas.</w:t>
            </w:r>
          </w:p>
        </w:tc>
      </w:tr>
      <w:tr w:rsidR="001320F3" w:rsidRPr="00291D3D">
        <w:tc>
          <w:tcPr>
            <w:tcW w:w="447" w:type="dxa"/>
            <w:vAlign w:val="center"/>
          </w:tcPr>
          <w:p w:rsidR="001320F3" w:rsidRPr="00291D3D" w:rsidRDefault="001320F3" w:rsidP="00751215">
            <w:pPr>
              <w:pStyle w:val="naisnod"/>
              <w:rPr>
                <w:b w:val="0"/>
              </w:rPr>
            </w:pPr>
            <w:r w:rsidRPr="00291D3D">
              <w:rPr>
                <w:b w:val="0"/>
              </w:rPr>
              <w:t>5.</w:t>
            </w:r>
          </w:p>
        </w:tc>
        <w:tc>
          <w:tcPr>
            <w:tcW w:w="2796" w:type="dxa"/>
            <w:vAlign w:val="center"/>
          </w:tcPr>
          <w:p w:rsidR="001320F3" w:rsidRPr="00291D3D" w:rsidRDefault="001320F3" w:rsidP="00751215">
            <w:pPr>
              <w:pStyle w:val="naisf"/>
              <w:ind w:left="170" w:firstLine="0"/>
              <w:jc w:val="center"/>
            </w:pPr>
            <w:r w:rsidRPr="00291D3D">
              <w:t>Projekta izpildes ietekme uz pārvaldes institucionālo struktūru.</w:t>
            </w:r>
          </w:p>
          <w:p w:rsidR="001320F3" w:rsidRPr="00291D3D" w:rsidRDefault="001320F3" w:rsidP="00751215">
            <w:pPr>
              <w:pStyle w:val="naisf"/>
              <w:ind w:left="350" w:hanging="180"/>
              <w:jc w:val="center"/>
            </w:pPr>
            <w:r w:rsidRPr="00291D3D">
              <w:t>Esošu institūciju reorganizācija.</w:t>
            </w:r>
          </w:p>
        </w:tc>
        <w:tc>
          <w:tcPr>
            <w:tcW w:w="7106" w:type="dxa"/>
            <w:vAlign w:val="center"/>
          </w:tcPr>
          <w:p w:rsidR="001320F3" w:rsidRPr="00291D3D" w:rsidRDefault="001320F3" w:rsidP="00751215">
            <w:pPr>
              <w:pStyle w:val="naisnod"/>
              <w:jc w:val="both"/>
              <w:rPr>
                <w:b w:val="0"/>
                <w:i/>
              </w:rPr>
            </w:pPr>
            <w:r w:rsidRPr="00291D3D">
              <w:rPr>
                <w:b w:val="0"/>
                <w:i/>
                <w:iCs/>
              </w:rPr>
              <w:t xml:space="preserve"> </w:t>
            </w:r>
            <w:r w:rsidRPr="00291D3D">
              <w:rPr>
                <w:b w:val="0"/>
              </w:rPr>
              <w:t xml:space="preserve"> </w:t>
            </w:r>
            <w:r w:rsidRPr="00291D3D">
              <w:rPr>
                <w:b w:val="0"/>
                <w:iCs/>
              </w:rPr>
              <w:t>Esošās institūcijas netiks reorganizētas.</w:t>
            </w:r>
          </w:p>
        </w:tc>
      </w:tr>
      <w:tr w:rsidR="001320F3" w:rsidRPr="00291D3D">
        <w:tc>
          <w:tcPr>
            <w:tcW w:w="447" w:type="dxa"/>
            <w:vAlign w:val="center"/>
          </w:tcPr>
          <w:p w:rsidR="001320F3" w:rsidRPr="00291D3D" w:rsidRDefault="001320F3" w:rsidP="00751215">
            <w:pPr>
              <w:pStyle w:val="naiskr"/>
              <w:jc w:val="center"/>
            </w:pPr>
            <w:r w:rsidRPr="00291D3D">
              <w:t>6.</w:t>
            </w:r>
          </w:p>
        </w:tc>
        <w:tc>
          <w:tcPr>
            <w:tcW w:w="2796" w:type="dxa"/>
            <w:vAlign w:val="center"/>
          </w:tcPr>
          <w:p w:rsidR="001320F3" w:rsidRPr="00291D3D" w:rsidRDefault="001320F3" w:rsidP="00751215">
            <w:pPr>
              <w:pStyle w:val="naiskr"/>
              <w:ind w:left="170"/>
              <w:jc w:val="center"/>
            </w:pPr>
            <w:r w:rsidRPr="00291D3D">
              <w:t>Cita informācija.</w:t>
            </w:r>
          </w:p>
        </w:tc>
        <w:tc>
          <w:tcPr>
            <w:tcW w:w="7106" w:type="dxa"/>
            <w:vAlign w:val="center"/>
          </w:tcPr>
          <w:p w:rsidR="00031398" w:rsidRPr="00291D3D" w:rsidRDefault="001D3A02" w:rsidP="008B1C6F">
            <w:pPr>
              <w:spacing w:after="120"/>
              <w:jc w:val="both"/>
            </w:pPr>
            <w:r w:rsidRPr="00291D3D">
              <w:t xml:space="preserve">1) </w:t>
            </w:r>
            <w:r w:rsidR="00031398" w:rsidRPr="00291D3D">
              <w:t>Saskaņā ar Ministru kabineta 2006.gada 24.februāra rīkojumu Nr.131 „</w:t>
            </w:r>
            <w:r w:rsidR="00031398" w:rsidRPr="00291D3D">
              <w:rPr>
                <w:bCs/>
              </w:rPr>
              <w:t>Par Latvijas Zinātņu akadēmijas padotības īstenošanu</w:t>
            </w:r>
            <w:r w:rsidR="00031398" w:rsidRPr="00291D3D">
              <w:t xml:space="preserve">” noteikts, ka Latvijas Zinātņu akadēmijas – atvasinātas publiskas personas – padotību īsteno ar Izglītības un zinātnes ministra starpniecību. </w:t>
            </w:r>
          </w:p>
          <w:p w:rsidR="00703B83" w:rsidRPr="00031398" w:rsidRDefault="00703B83" w:rsidP="008B1C6F">
            <w:pPr>
              <w:spacing w:after="120"/>
              <w:jc w:val="both"/>
            </w:pPr>
            <w:r w:rsidRPr="00031398">
              <w:t xml:space="preserve">Starp LZA un IZM </w:t>
            </w:r>
            <w:r>
              <w:t>ir</w:t>
            </w:r>
            <w:r w:rsidRPr="00031398">
              <w:t xml:space="preserve"> </w:t>
            </w:r>
            <w:r>
              <w:t>no</w:t>
            </w:r>
            <w:r w:rsidRPr="00031398">
              <w:t>slēgt</w:t>
            </w:r>
            <w:r>
              <w:t xml:space="preserve">s Deleģēšanas </w:t>
            </w:r>
            <w:smartTag w:uri="schemas-tilde-lv/tildestengine" w:element="veidnes">
              <w:smartTagPr>
                <w:attr w:name="id" w:val="-1"/>
                <w:attr w:name="baseform" w:val="Līgums"/>
                <w:attr w:name="text" w:val="Līgums"/>
              </w:smartTagPr>
              <w:r>
                <w:t>līgums</w:t>
              </w:r>
            </w:smartTag>
            <w:r>
              <w:t xml:space="preserve"> (Nr.1-23/85, 01.02.2008.) </w:t>
            </w:r>
            <w:r w:rsidRPr="00031398">
              <w:t>par nepieciešamo deleģē</w:t>
            </w:r>
            <w:r>
              <w:t>jumu</w:t>
            </w:r>
            <w:r w:rsidRPr="00031398">
              <w:t xml:space="preserve"> LZA </w:t>
            </w:r>
            <w:r>
              <w:t xml:space="preserve">ieviest Latvijā </w:t>
            </w:r>
            <w:proofErr w:type="spellStart"/>
            <w:r w:rsidRPr="00031398">
              <w:t>kopprogramm</w:t>
            </w:r>
            <w:r>
              <w:t>u</w:t>
            </w:r>
            <w:proofErr w:type="spellEnd"/>
            <w:r w:rsidRPr="00031398">
              <w:t xml:space="preserve"> </w:t>
            </w:r>
            <w:proofErr w:type="spellStart"/>
            <w:r w:rsidRPr="00031398">
              <w:t>Eurostars</w:t>
            </w:r>
            <w:proofErr w:type="spellEnd"/>
            <w:r w:rsidRPr="00031398">
              <w:t xml:space="preserve">. </w:t>
            </w:r>
            <w:r>
              <w:t xml:space="preserve">Deleģēšanas </w:t>
            </w:r>
            <w:smartTag w:uri="schemas-tilde-lv/tildestengine" w:element="veidnes">
              <w:smartTagPr>
                <w:attr w:name="id" w:val="-1"/>
                <w:attr w:name="baseform" w:val="Līgums"/>
                <w:attr w:name="text" w:val="Līgums"/>
              </w:smartTagPr>
              <w:r>
                <w:t>līgums</w:t>
              </w:r>
            </w:smartTag>
            <w:r>
              <w:t xml:space="preserve"> tiks papildināts ar </w:t>
            </w:r>
            <w:r w:rsidRPr="00031398">
              <w:t>IZM sniegtu pilnvarojumu Latvijas Zinātņu akadēmijai slēgt līgumus valsts vārdā un veikt līgumā paredzētās darbības, kā arī visus ar Līguma izpildi, uzraudzību un kontroli saistītie jautājumi;</w:t>
            </w:r>
          </w:p>
          <w:p w:rsidR="00DA0C11" w:rsidRPr="00291D3D" w:rsidRDefault="001D3A02" w:rsidP="008B1C6F">
            <w:pPr>
              <w:spacing w:after="120"/>
              <w:jc w:val="both"/>
            </w:pPr>
            <w:r w:rsidRPr="00291D3D">
              <w:t xml:space="preserve">2) </w:t>
            </w:r>
            <w:r w:rsidR="00DA0C11" w:rsidRPr="00291D3D">
              <w:t xml:space="preserve">LZA sadarbībā ar IZM līdz 2010. gada beigām izstrādās un saskaņos ar Izglītības un zinātnes ministriju, Finanšu ministriju un Ekonomikas ministriju, kā arī nepieciešamības gadījumā apstiprinās Ministru kabinetā </w:t>
            </w:r>
            <w:proofErr w:type="spellStart"/>
            <w:r w:rsidR="00DA0C11" w:rsidRPr="00291D3D">
              <w:t>Eurostars</w:t>
            </w:r>
            <w:proofErr w:type="spellEnd"/>
            <w:r w:rsidR="00DA0C11" w:rsidRPr="00291D3D">
              <w:t xml:space="preserve"> </w:t>
            </w:r>
            <w:r w:rsidR="00703B83" w:rsidRPr="00291D3D">
              <w:t xml:space="preserve">Nacionālās </w:t>
            </w:r>
            <w:r w:rsidR="00703B83">
              <w:t>atbalsta</w:t>
            </w:r>
            <w:r w:rsidR="00703B83" w:rsidRPr="00291D3D">
              <w:t xml:space="preserve"> </w:t>
            </w:r>
            <w:r w:rsidR="00DA0C11" w:rsidRPr="00291D3D">
              <w:t>programm</w:t>
            </w:r>
            <w:r w:rsidRPr="00291D3D">
              <w:t>as noteikumus;</w:t>
            </w:r>
            <w:r w:rsidR="00DA0C11" w:rsidRPr="00291D3D">
              <w:t xml:space="preserve"> </w:t>
            </w:r>
          </w:p>
          <w:p w:rsidR="00DA0C11" w:rsidRPr="00291D3D" w:rsidRDefault="001D3A02" w:rsidP="008B1C6F">
            <w:pPr>
              <w:spacing w:after="120"/>
              <w:jc w:val="both"/>
            </w:pPr>
            <w:r w:rsidRPr="00291D3D">
              <w:t xml:space="preserve">3) </w:t>
            </w:r>
            <w:r w:rsidR="00DA0C11" w:rsidRPr="00291D3D">
              <w:t xml:space="preserve">Pēc Līguma noslēgšanas tiks veikti MK noteikumu Nr.722 „Kārtība, kādā nodrošina valsts atbalstu dalībai starptautiskās sadarbības programmās pētniecības un tehnoloģiju jomās”, (08.09.2008.) grozījumi. MK noteikumi tiks papildināti ar noteikumiem par </w:t>
            </w:r>
            <w:proofErr w:type="spellStart"/>
            <w:r w:rsidR="00DA0C11" w:rsidRPr="00291D3D">
              <w:t>Eurostars</w:t>
            </w:r>
            <w:proofErr w:type="spellEnd"/>
            <w:r w:rsidR="00DA0C11" w:rsidRPr="00291D3D">
              <w:t xml:space="preserve"> </w:t>
            </w:r>
            <w:r w:rsidR="00703B83" w:rsidRPr="00291D3D">
              <w:t xml:space="preserve">Nacionālo </w:t>
            </w:r>
            <w:r w:rsidR="00703B83">
              <w:t>atbalsta</w:t>
            </w:r>
            <w:r w:rsidR="00703B83" w:rsidRPr="00291D3D">
              <w:t xml:space="preserve"> </w:t>
            </w:r>
            <w:r w:rsidR="00DA0C11" w:rsidRPr="00291D3D">
              <w:t xml:space="preserve">programmu, kas detalizēti raksturos valsts atbalsta nodrošināšanu </w:t>
            </w:r>
            <w:proofErr w:type="spellStart"/>
            <w:r w:rsidR="00DA0C11" w:rsidRPr="00291D3D">
              <w:t>Eurostars</w:t>
            </w:r>
            <w:proofErr w:type="spellEnd"/>
            <w:r w:rsidR="00DA0C11" w:rsidRPr="00291D3D">
              <w:t xml:space="preserve"> programmas projektu dalībniekiem no Latvijas.</w:t>
            </w:r>
          </w:p>
          <w:p w:rsidR="00AC4BBB" w:rsidRPr="00291D3D" w:rsidRDefault="00126C1A" w:rsidP="008B1C6F">
            <w:pPr>
              <w:spacing w:after="120"/>
              <w:jc w:val="both"/>
            </w:pPr>
            <w:r w:rsidRPr="00291D3D">
              <w:t xml:space="preserve">4) </w:t>
            </w:r>
            <w:r w:rsidR="00AC4BBB" w:rsidRPr="00291D3D">
              <w:t xml:space="preserve">Sekmīgo </w:t>
            </w:r>
            <w:proofErr w:type="spellStart"/>
            <w:r w:rsidR="00AC4BBB" w:rsidRPr="00291D3D">
              <w:t>Eurostars</w:t>
            </w:r>
            <w:proofErr w:type="spellEnd"/>
            <w:r w:rsidR="00AC4BBB" w:rsidRPr="00291D3D">
              <w:t xml:space="preserve"> projektu Latvijas institūciju atbalstam laika periodā no 2010.g.līdz 2012.gadam finansējums ir paredzēts no Valsts budžeta programmas </w:t>
            </w:r>
            <w:r w:rsidR="00C82E11" w:rsidRPr="00C82E11">
              <w:t>70.06 „Dalība ES pētniecības  un tehnoloģiju attīstības programmā</w:t>
            </w:r>
            <w:r w:rsidR="00C82E11" w:rsidRPr="00C82E11">
              <w:rPr>
                <w:bCs/>
                <w:color w:val="000000"/>
              </w:rPr>
              <w:t>”</w:t>
            </w:r>
            <w:r w:rsidR="00AC4BBB" w:rsidRPr="00291D3D">
              <w:t xml:space="preserve"> kārtējam gadam piešķirtajiem līdzekļiem.</w:t>
            </w:r>
          </w:p>
          <w:p w:rsidR="00E01740" w:rsidRPr="00291D3D" w:rsidRDefault="00126C1A" w:rsidP="008B1C6F">
            <w:pPr>
              <w:spacing w:after="120"/>
              <w:jc w:val="both"/>
            </w:pPr>
            <w:r w:rsidRPr="00291D3D">
              <w:t xml:space="preserve">5) </w:t>
            </w:r>
            <w:r w:rsidR="00E01740" w:rsidRPr="00291D3D">
              <w:t xml:space="preserve">IZM pieņems lēmumu par finansējuma apjomu </w:t>
            </w:r>
            <w:proofErr w:type="spellStart"/>
            <w:r w:rsidR="00E01740" w:rsidRPr="00291D3D">
              <w:t>Eurostars</w:t>
            </w:r>
            <w:proofErr w:type="spellEnd"/>
            <w:r w:rsidR="00E01740" w:rsidRPr="00291D3D">
              <w:t xml:space="preserve"> programmas projektiem kārtējam gadam.</w:t>
            </w:r>
            <w:r w:rsidR="001D3A02" w:rsidRPr="00291D3D">
              <w:t xml:space="preserve"> </w:t>
            </w:r>
            <w:r w:rsidR="00E01740" w:rsidRPr="00291D3D">
              <w:t xml:space="preserve">Minētie līdzekļi tiks izmantoti </w:t>
            </w:r>
            <w:proofErr w:type="spellStart"/>
            <w:r w:rsidR="00E01740" w:rsidRPr="00291D3D">
              <w:t>Eurostars</w:t>
            </w:r>
            <w:proofErr w:type="spellEnd"/>
            <w:r w:rsidR="00E01740" w:rsidRPr="00291D3D">
              <w:t xml:space="preserve"> Divpusējā sadarbības līguma 4.1. a) un b) punktu īstenošanai.</w:t>
            </w:r>
          </w:p>
          <w:p w:rsidR="0095584B" w:rsidRPr="00291D3D" w:rsidRDefault="00126C1A" w:rsidP="008B1C6F">
            <w:pPr>
              <w:pStyle w:val="naisc"/>
              <w:spacing w:before="0" w:after="120"/>
              <w:jc w:val="both"/>
              <w:rPr>
                <w:color w:val="000000"/>
              </w:rPr>
            </w:pPr>
            <w:r w:rsidRPr="00291D3D">
              <w:t>6</w:t>
            </w:r>
            <w:r w:rsidR="001D3A02" w:rsidRPr="00291D3D">
              <w:t xml:space="preserve">) </w:t>
            </w:r>
            <w:r w:rsidR="0095584B" w:rsidRPr="00291D3D">
              <w:t xml:space="preserve">Pēc tam, kad LZA būs iesniegusi kārtējā </w:t>
            </w:r>
            <w:proofErr w:type="spellStart"/>
            <w:r w:rsidR="0095584B" w:rsidRPr="00291D3D">
              <w:t>Eurostars</w:t>
            </w:r>
            <w:proofErr w:type="spellEnd"/>
            <w:r w:rsidR="0095584B" w:rsidRPr="00291D3D">
              <w:t xml:space="preserve"> projektu konkursa sekmīgo projektu sarakstu IZM, IZM </w:t>
            </w:r>
            <w:r w:rsidR="00703B83">
              <w:t xml:space="preserve">izveidotā </w:t>
            </w:r>
            <w:r w:rsidR="0095584B" w:rsidRPr="00291D3D">
              <w:t xml:space="preserve">attiecīgajā komisijā pieņems lēmumu par kopīgo nacionālā finansējuma apjomu kārtējam </w:t>
            </w:r>
            <w:proofErr w:type="spellStart"/>
            <w:r w:rsidR="0095584B" w:rsidRPr="00291D3D">
              <w:t>Eurostars</w:t>
            </w:r>
            <w:proofErr w:type="spellEnd"/>
            <w:r w:rsidR="0095584B" w:rsidRPr="00291D3D">
              <w:t xml:space="preserve"> projektu konkursam no esošā Valsts budžeta kārtējam gadam zinātnei paredzētajiem izdevumiem;</w:t>
            </w:r>
          </w:p>
          <w:p w:rsidR="0095584B" w:rsidRPr="00291D3D" w:rsidRDefault="0095584B" w:rsidP="008B1C6F">
            <w:pPr>
              <w:pStyle w:val="naisc"/>
              <w:spacing w:before="0" w:after="120"/>
              <w:jc w:val="both"/>
              <w:rPr>
                <w:color w:val="000000"/>
              </w:rPr>
            </w:pPr>
            <w:r w:rsidRPr="00291D3D">
              <w:t xml:space="preserve">Balstoties uz kopīgo pieejamo nacionālā finansējuma apjomu kārtējam </w:t>
            </w:r>
            <w:proofErr w:type="spellStart"/>
            <w:r w:rsidRPr="00291D3D">
              <w:t>Eurostars</w:t>
            </w:r>
            <w:proofErr w:type="spellEnd"/>
            <w:r w:rsidRPr="00291D3D">
              <w:t xml:space="preserve"> projektu konkursam</w:t>
            </w:r>
            <w:r w:rsidR="00703B83">
              <w:t xml:space="preserve"> </w:t>
            </w:r>
            <w:r w:rsidR="00703B83" w:rsidRPr="00BD2D0D">
              <w:t>un uz centralizētās ekspertīzes rezultātiem, IZM izveidotā attiecīgajā komisijā</w:t>
            </w:r>
            <w:r w:rsidRPr="00291D3D">
              <w:t xml:space="preserve"> pieņems lēmumu par to, kurus </w:t>
            </w:r>
            <w:r w:rsidR="00CC7CC4" w:rsidRPr="00291D3D">
              <w:t xml:space="preserve">saraksta </w:t>
            </w:r>
            <w:r w:rsidRPr="00291D3D">
              <w:t>projektus un kādā apjomā atbalstīt;</w:t>
            </w:r>
          </w:p>
          <w:p w:rsidR="0095584B" w:rsidRPr="00291D3D" w:rsidRDefault="0095584B" w:rsidP="008B1C6F">
            <w:pPr>
              <w:pStyle w:val="naisc"/>
              <w:spacing w:before="0" w:after="120"/>
              <w:jc w:val="both"/>
              <w:rPr>
                <w:color w:val="000000"/>
              </w:rPr>
            </w:pPr>
            <w:r w:rsidRPr="00291D3D">
              <w:t xml:space="preserve">Pārējo projekta budžeta daļu varēs finansēt paši projektu dalībnieki saskaņā ar </w:t>
            </w:r>
            <w:proofErr w:type="spellStart"/>
            <w:r w:rsidRPr="00291D3D">
              <w:t>Eurostars</w:t>
            </w:r>
            <w:proofErr w:type="spellEnd"/>
            <w:r w:rsidRPr="00291D3D">
              <w:t xml:space="preserve"> programmu reglamentējošo dokumentu (Eiropas Parlamenta un Padomes </w:t>
            </w:r>
            <w:smartTag w:uri="schemas-tilde-lv/tildestengine" w:element="veidnes">
              <w:smartTagPr>
                <w:attr w:name="id" w:val="-1"/>
                <w:attr w:name="baseform" w:val="lēmums"/>
                <w:attr w:name="text" w:val="lēmums"/>
              </w:smartTagPr>
              <w:r w:rsidRPr="00291D3D">
                <w:t>Lēmums</w:t>
              </w:r>
            </w:smartTag>
            <w:r w:rsidRPr="00291D3D">
              <w:t xml:space="preserve"> 743/2008/CE, 2008. gada 9. jūlijs), turpmāk „Lēmums”; </w:t>
            </w:r>
          </w:p>
          <w:p w:rsidR="0095584B" w:rsidRPr="00291D3D" w:rsidRDefault="0095584B" w:rsidP="008B1C6F">
            <w:pPr>
              <w:pStyle w:val="naisc"/>
              <w:spacing w:before="0" w:after="120"/>
              <w:jc w:val="both"/>
              <w:rPr>
                <w:color w:val="000000"/>
              </w:rPr>
            </w:pPr>
            <w:proofErr w:type="spellStart"/>
            <w:r w:rsidRPr="00291D3D">
              <w:t>Eurostars</w:t>
            </w:r>
            <w:proofErr w:type="spellEnd"/>
            <w:r w:rsidRPr="00291D3D">
              <w:t xml:space="preserve"> projektu dalībniekiem ir tiesības apstrīdēt LZA lēmumu </w:t>
            </w:r>
            <w:r w:rsidRPr="00291D3D">
              <w:rPr>
                <w:rFonts w:eastAsia="Arial Unicode MS"/>
              </w:rPr>
              <w:t>Administratīvā procesa likumā noteiktajā kārtībā</w:t>
            </w:r>
            <w:r w:rsidRPr="00291D3D">
              <w:t>.</w:t>
            </w:r>
          </w:p>
          <w:p w:rsidR="00E01740" w:rsidRPr="00291D3D" w:rsidRDefault="00126C1A" w:rsidP="008B1C6F">
            <w:pPr>
              <w:pStyle w:val="naisc"/>
              <w:spacing w:before="0" w:after="120"/>
              <w:jc w:val="both"/>
              <w:rPr>
                <w:sz w:val="26"/>
                <w:szCs w:val="26"/>
              </w:rPr>
            </w:pPr>
            <w:r w:rsidRPr="00291D3D">
              <w:t>7</w:t>
            </w:r>
            <w:r w:rsidR="001D3A02" w:rsidRPr="00291D3D">
              <w:t xml:space="preserve">) </w:t>
            </w:r>
            <w:r w:rsidR="00E01740" w:rsidRPr="00291D3D">
              <w:t xml:space="preserve">Lai nepieļautu nekādu divkāršu finansējumu </w:t>
            </w:r>
            <w:proofErr w:type="spellStart"/>
            <w:r w:rsidR="00E01740" w:rsidRPr="00291D3D">
              <w:t>Eurostars</w:t>
            </w:r>
            <w:proofErr w:type="spellEnd"/>
            <w:r w:rsidR="00E01740" w:rsidRPr="00291D3D">
              <w:t xml:space="preserve"> projektos no citiem Kopienas finansējuma avotiem jo īpaši no Septītās </w:t>
            </w:r>
            <w:proofErr w:type="spellStart"/>
            <w:r w:rsidR="00E01740" w:rsidRPr="00291D3D">
              <w:t>Ietvarprogrammas</w:t>
            </w:r>
            <w:proofErr w:type="spellEnd"/>
            <w:r w:rsidR="00E01740" w:rsidRPr="00291D3D">
              <w:t xml:space="preserve"> līgumos starp LZA un </w:t>
            </w:r>
            <w:proofErr w:type="spellStart"/>
            <w:r w:rsidR="00E01740" w:rsidRPr="00291D3D">
              <w:t>Eurostars</w:t>
            </w:r>
            <w:proofErr w:type="spellEnd"/>
            <w:r w:rsidR="00E01740" w:rsidRPr="00291D3D">
              <w:t xml:space="preserve"> projektu dalībniekiem tiks iekļauts īpašs punkts „Izpilde”, kas saturēs sekojošus noteikumus:</w:t>
            </w:r>
          </w:p>
          <w:p w:rsidR="00E01740" w:rsidRPr="00291D3D" w:rsidRDefault="00D450D2" w:rsidP="008B1C6F">
            <w:pPr>
              <w:pStyle w:val="naisc"/>
              <w:spacing w:before="0" w:after="120"/>
              <w:ind w:left="284"/>
              <w:jc w:val="both"/>
              <w:rPr>
                <w:sz w:val="26"/>
                <w:szCs w:val="26"/>
              </w:rPr>
            </w:pPr>
            <w:r w:rsidRPr="00291D3D">
              <w:t xml:space="preserve">7.1.) </w:t>
            </w:r>
            <w:r w:rsidR="00E01740" w:rsidRPr="00291D3D">
              <w:t xml:space="preserve">Pirms finansējuma piešķiršanas </w:t>
            </w:r>
            <w:proofErr w:type="spellStart"/>
            <w:r w:rsidR="00E01740" w:rsidRPr="00291D3D">
              <w:t>Eurostars</w:t>
            </w:r>
            <w:proofErr w:type="spellEnd"/>
            <w:r w:rsidR="00E01740" w:rsidRPr="00291D3D">
              <w:t xml:space="preserve"> projektu dalībniekiem būs jāsniedz informācija LZA par to, vai viņi jau nesaņem vai arī neplāno nākotnē saņemt finansējumu (pieteikts projekts) no citiem Savienības finansējuma avotiem, jo īpaši no Septītās </w:t>
            </w:r>
            <w:proofErr w:type="spellStart"/>
            <w:r w:rsidR="00E01740" w:rsidRPr="00291D3D">
              <w:t>Ietvarprogrammas</w:t>
            </w:r>
            <w:proofErr w:type="spellEnd"/>
            <w:r w:rsidR="00E01740" w:rsidRPr="00291D3D">
              <w:t xml:space="preserve">, projektos, kas ir par to pašu vai līdzīgu tēmu kā </w:t>
            </w:r>
            <w:proofErr w:type="spellStart"/>
            <w:r w:rsidR="00E01740" w:rsidRPr="00291D3D">
              <w:t>Eurostars</w:t>
            </w:r>
            <w:proofErr w:type="spellEnd"/>
            <w:r w:rsidR="00E01740" w:rsidRPr="00291D3D">
              <w:t xml:space="preserve"> projektā;</w:t>
            </w:r>
          </w:p>
          <w:p w:rsidR="00E01740" w:rsidRPr="00291D3D" w:rsidRDefault="00D450D2" w:rsidP="008B1C6F">
            <w:pPr>
              <w:pStyle w:val="naisc"/>
              <w:spacing w:before="0" w:after="120"/>
              <w:ind w:left="284"/>
              <w:jc w:val="both"/>
              <w:rPr>
                <w:sz w:val="26"/>
                <w:szCs w:val="26"/>
              </w:rPr>
            </w:pPr>
            <w:r w:rsidRPr="00291D3D">
              <w:t xml:space="preserve">7.2.) </w:t>
            </w:r>
            <w:r w:rsidR="00E01740" w:rsidRPr="00291D3D">
              <w:t xml:space="preserve">Katram sekmīgajam projektam nodrošināt neatkarīgu auditu, attiecīgos izdevumus paredzot projekta tāmē; </w:t>
            </w:r>
          </w:p>
          <w:p w:rsidR="00E01740" w:rsidRPr="00291D3D" w:rsidRDefault="00E01740" w:rsidP="008B1C6F">
            <w:pPr>
              <w:pStyle w:val="naisc"/>
              <w:tabs>
                <w:tab w:val="left" w:pos="709"/>
              </w:tabs>
              <w:spacing w:before="0" w:after="120"/>
              <w:jc w:val="both"/>
            </w:pPr>
            <w:r w:rsidRPr="00291D3D">
              <w:t>Minētie noteikumi tiks iekļauti arī attiecīgajos MK not. 722 (08.09.2008.) grozījumos.</w:t>
            </w:r>
          </w:p>
          <w:p w:rsidR="00BD0F8C" w:rsidRPr="00291D3D" w:rsidRDefault="00126C1A" w:rsidP="008B1C6F">
            <w:pPr>
              <w:pStyle w:val="Default"/>
              <w:spacing w:after="120"/>
              <w:jc w:val="both"/>
              <w:rPr>
                <w:rFonts w:ascii="Times New Roman" w:hAnsi="Times New Roman" w:cs="Times New Roman"/>
              </w:rPr>
            </w:pPr>
            <w:r w:rsidRPr="00291D3D">
              <w:rPr>
                <w:rFonts w:ascii="Times New Roman" w:hAnsi="Times New Roman" w:cs="Times New Roman"/>
              </w:rPr>
              <w:t>8</w:t>
            </w:r>
            <w:r w:rsidR="00BD0F8C" w:rsidRPr="00291D3D">
              <w:rPr>
                <w:rFonts w:ascii="Times New Roman" w:hAnsi="Times New Roman" w:cs="Times New Roman"/>
              </w:rPr>
              <w:t xml:space="preserve">) Pirms līgumu slēgšanas ar Latvijas institūcijām par Valsts atbalsta sniegšanu </w:t>
            </w:r>
            <w:proofErr w:type="spellStart"/>
            <w:r w:rsidR="00BD0F8C" w:rsidRPr="00291D3D">
              <w:rPr>
                <w:rFonts w:ascii="Times New Roman" w:hAnsi="Times New Roman" w:cs="Times New Roman"/>
              </w:rPr>
              <w:t>Eurostars</w:t>
            </w:r>
            <w:proofErr w:type="spellEnd"/>
            <w:r w:rsidR="00BD0F8C" w:rsidRPr="00291D3D">
              <w:rPr>
                <w:rFonts w:ascii="Times New Roman" w:hAnsi="Times New Roman" w:cs="Times New Roman"/>
              </w:rPr>
              <w:t xml:space="preserve"> projektu izpildei, Latvijas Zinātņu akadēmija apņemas nodrošināt pretendentu atbilstību </w:t>
            </w:r>
            <w:proofErr w:type="spellStart"/>
            <w:r w:rsidR="00BD0F8C" w:rsidRPr="00291D3D">
              <w:rPr>
                <w:rFonts w:ascii="Times New Roman" w:hAnsi="Times New Roman" w:cs="Times New Roman"/>
              </w:rPr>
              <w:t>kopprogrammai</w:t>
            </w:r>
            <w:proofErr w:type="spellEnd"/>
            <w:r w:rsidR="00BD0F8C" w:rsidRPr="00291D3D">
              <w:rPr>
                <w:rFonts w:ascii="Times New Roman" w:hAnsi="Times New Roman" w:cs="Times New Roman"/>
              </w:rPr>
              <w:t xml:space="preserve"> </w:t>
            </w:r>
            <w:proofErr w:type="spellStart"/>
            <w:r w:rsidR="00BD0F8C" w:rsidRPr="00291D3D">
              <w:rPr>
                <w:rFonts w:ascii="Times New Roman" w:hAnsi="Times New Roman" w:cs="Times New Roman"/>
              </w:rPr>
              <w:t>Eurostars</w:t>
            </w:r>
            <w:proofErr w:type="spellEnd"/>
            <w:r w:rsidR="00BD0F8C" w:rsidRPr="00291D3D">
              <w:rPr>
                <w:rFonts w:ascii="Times New Roman" w:hAnsi="Times New Roman" w:cs="Times New Roman"/>
              </w:rPr>
              <w:t xml:space="preserve"> saskaņā ar Lēmumu. Par valsts budžeta atbalsta pretendentu var kļūt jebkura maza vai vidēja komercsabiedrība, kas ir juridiska persona un atbilst šādiem kritērijiem:</w:t>
            </w:r>
          </w:p>
          <w:p w:rsidR="00703B83" w:rsidRPr="00BD0F8C" w:rsidRDefault="00D450D2" w:rsidP="008B1C6F">
            <w:pPr>
              <w:pStyle w:val="Default"/>
              <w:spacing w:after="120"/>
              <w:jc w:val="both"/>
              <w:rPr>
                <w:rFonts w:ascii="Times New Roman" w:hAnsi="Times New Roman" w:cs="Times New Roman"/>
              </w:rPr>
            </w:pPr>
            <w:r w:rsidRPr="00291D3D">
              <w:rPr>
                <w:rFonts w:ascii="Times New Roman" w:hAnsi="Times New Roman" w:cs="Times New Roman"/>
              </w:rPr>
              <w:t>a)</w:t>
            </w:r>
            <w:r w:rsidR="00BD0F8C" w:rsidRPr="00291D3D">
              <w:rPr>
                <w:rFonts w:ascii="Times New Roman" w:hAnsi="Times New Roman" w:cs="Times New Roman"/>
              </w:rPr>
              <w:t xml:space="preserve"> tā ir reģistrēta Komercreģistrā; </w:t>
            </w:r>
            <w:r w:rsidR="00BD0F8C" w:rsidRPr="00291D3D">
              <w:rPr>
                <w:rFonts w:ascii="Times New Roman" w:hAnsi="Times New Roman" w:cs="Times New Roman"/>
              </w:rPr>
              <w:br/>
            </w:r>
            <w:r w:rsidR="00BD0F8C" w:rsidRPr="00291D3D">
              <w:rPr>
                <w:rFonts w:ascii="Times New Roman" w:hAnsi="Times New Roman" w:cs="Times New Roman"/>
              </w:rPr>
              <w:br/>
            </w:r>
            <w:r w:rsidRPr="00291D3D">
              <w:rPr>
                <w:rFonts w:ascii="Times New Roman" w:hAnsi="Times New Roman" w:cs="Times New Roman"/>
              </w:rPr>
              <w:t xml:space="preserve">b) </w:t>
            </w:r>
            <w:r w:rsidR="00BD0F8C" w:rsidRPr="00291D3D">
              <w:rPr>
                <w:rFonts w:ascii="Times New Roman" w:hAnsi="Times New Roman" w:cs="Times New Roman"/>
              </w:rPr>
              <w:t xml:space="preserve">tā ir tieši atbildīga par projekta sagatavošanu un vadību un projekta īstenošanā nedarbojas kā starpnieks; </w:t>
            </w:r>
            <w:r w:rsidR="00BD0F8C" w:rsidRPr="00291D3D">
              <w:rPr>
                <w:rFonts w:ascii="Times New Roman" w:hAnsi="Times New Roman" w:cs="Times New Roman"/>
              </w:rPr>
              <w:br/>
            </w:r>
            <w:r w:rsidR="00BD0F8C" w:rsidRPr="00291D3D">
              <w:rPr>
                <w:rFonts w:ascii="Times New Roman" w:hAnsi="Times New Roman" w:cs="Times New Roman"/>
              </w:rPr>
              <w:br/>
            </w:r>
            <w:r w:rsidRPr="00291D3D">
              <w:rPr>
                <w:rFonts w:ascii="Times New Roman" w:hAnsi="Times New Roman" w:cs="Times New Roman"/>
              </w:rPr>
              <w:t xml:space="preserve">c) </w:t>
            </w:r>
            <w:r w:rsidR="00BD0F8C" w:rsidRPr="00291D3D">
              <w:rPr>
                <w:rFonts w:ascii="Times New Roman" w:hAnsi="Times New Roman" w:cs="Times New Roman"/>
              </w:rPr>
              <w:t>tai ir pieejami stabili un pietiekami finanšu līdzekļu avoti, kvalificēts zinātniskais personāls un materiāltehniskais nodrošinājums, lai komerc</w:t>
            </w:r>
            <w:r w:rsidR="00BD0F8C" w:rsidRPr="00291D3D">
              <w:rPr>
                <w:rFonts w:ascii="Times New Roman" w:hAnsi="Times New Roman" w:cs="Times New Roman"/>
              </w:rPr>
              <w:softHyphen/>
              <w:t>sabiedrības darbība netiktu pārtraukta projekta ieviešanas laikā</w:t>
            </w:r>
            <w:r w:rsidR="00703B83">
              <w:rPr>
                <w:rFonts w:ascii="Times New Roman" w:hAnsi="Times New Roman" w:cs="Times New Roman"/>
              </w:rPr>
              <w:t>, kā arī zinātniskās institūcijas, kas ir reģistrētas IZM Zinātnisko institūciju reģistrā.</w:t>
            </w:r>
          </w:p>
          <w:p w:rsidR="00BD0F8C" w:rsidRPr="00291D3D" w:rsidRDefault="00D450D2" w:rsidP="008B1C6F">
            <w:pPr>
              <w:pStyle w:val="Default"/>
              <w:spacing w:after="120"/>
              <w:jc w:val="both"/>
            </w:pPr>
            <w:r w:rsidRPr="00291D3D">
              <w:t xml:space="preserve">9) </w:t>
            </w:r>
            <w:r w:rsidR="00BD0F8C" w:rsidRPr="00291D3D">
              <w:t>Uz atbalstu nevar pieteikties atbalsta pretendents, kas:</w:t>
            </w:r>
          </w:p>
          <w:p w:rsidR="00BD0F8C" w:rsidRPr="00291D3D" w:rsidRDefault="00D450D2" w:rsidP="008B1C6F">
            <w:pPr>
              <w:spacing w:after="120"/>
              <w:jc w:val="both"/>
              <w:rPr>
                <w:sz w:val="26"/>
                <w:szCs w:val="26"/>
              </w:rPr>
            </w:pPr>
            <w:r w:rsidRPr="00291D3D">
              <w:t>a)</w:t>
            </w:r>
            <w:r w:rsidR="00BD0F8C" w:rsidRPr="00291D3D">
              <w:t xml:space="preserve"> ar tiesas lēmumu atzīts par maksātnespējīgu, tai skaitā atrodas sanācijas procesā vai saskaņā ar komercreģistrā pieejamo informāciju atrodas likvidācijas procesā, vai tā saimnieciskā darbība ir izbeigta; </w:t>
            </w:r>
            <w:r w:rsidR="00BD0F8C" w:rsidRPr="00291D3D">
              <w:br/>
            </w:r>
            <w:r w:rsidR="00BD0F8C" w:rsidRPr="00291D3D">
              <w:br/>
            </w:r>
            <w:r w:rsidRPr="00291D3D">
              <w:t>b)</w:t>
            </w:r>
            <w:r w:rsidR="00BD0F8C" w:rsidRPr="00291D3D">
              <w:t xml:space="preserve"> nav samaksājis nodokļus un citus valsts vai pašvaldību noteiktos obligātos maksājumus pilnā apmērā un normatīvajos aktos noteiktajos termiņos”</w:t>
            </w:r>
            <w:r w:rsidR="00031398" w:rsidRPr="00291D3D">
              <w:t>.</w:t>
            </w:r>
          </w:p>
          <w:p w:rsidR="00522B31" w:rsidRPr="00291D3D" w:rsidRDefault="00D450D2" w:rsidP="008B1C6F">
            <w:pPr>
              <w:pStyle w:val="naisc"/>
              <w:spacing w:before="0" w:after="120"/>
              <w:jc w:val="both"/>
            </w:pPr>
            <w:r w:rsidRPr="00291D3D">
              <w:t>10</w:t>
            </w:r>
            <w:r w:rsidR="001D3A02" w:rsidRPr="00291D3D">
              <w:t xml:space="preserve">) </w:t>
            </w:r>
            <w:r w:rsidR="00522B31" w:rsidRPr="00291D3D">
              <w:t xml:space="preserve">Lai nodrošinātu Līguma projekta 8. panta otrajā daļā minēto noteikumu ievērošanu, LZA līgumos ar </w:t>
            </w:r>
            <w:proofErr w:type="spellStart"/>
            <w:r w:rsidR="00522B31" w:rsidRPr="00291D3D">
              <w:t>Eurostars</w:t>
            </w:r>
            <w:proofErr w:type="spellEnd"/>
            <w:r w:rsidR="00522B31" w:rsidRPr="00291D3D">
              <w:t xml:space="preserve"> projektu dalībniekiem tiks ietvertas visas tās prasības IĪT un to izmantošanas jomā, kas izriet no noteikumiem par dalību Septītajā </w:t>
            </w:r>
            <w:proofErr w:type="spellStart"/>
            <w:r w:rsidR="00522B31" w:rsidRPr="00291D3D">
              <w:t>Ietvarprogrammā</w:t>
            </w:r>
            <w:proofErr w:type="spellEnd"/>
            <w:r w:rsidR="00522B31" w:rsidRPr="00291D3D">
              <w:t>, kā arī atrunāts sankcijas par šo prasību nepildīšanu.</w:t>
            </w:r>
          </w:p>
        </w:tc>
      </w:tr>
    </w:tbl>
    <w:p w:rsidR="001320F3" w:rsidRPr="00291D3D" w:rsidRDefault="001320F3" w:rsidP="00443C46">
      <w:pPr>
        <w:pStyle w:val="naisf"/>
        <w:ind w:firstLine="0"/>
      </w:pPr>
    </w:p>
    <w:p w:rsidR="001320F3" w:rsidRPr="00291D3D" w:rsidRDefault="001320F3" w:rsidP="00443C46">
      <w:pPr>
        <w:pStyle w:val="naisf"/>
        <w:ind w:firstLine="0"/>
      </w:pPr>
    </w:p>
    <w:p w:rsidR="001320F3" w:rsidRPr="00291D3D" w:rsidRDefault="001320F3" w:rsidP="00443C46">
      <w:pPr>
        <w:pStyle w:val="naisf"/>
        <w:ind w:firstLine="0"/>
      </w:pPr>
    </w:p>
    <w:p w:rsidR="006108E2" w:rsidRPr="00291D3D" w:rsidRDefault="00772050" w:rsidP="00D805E3">
      <w:pPr>
        <w:pStyle w:val="naisf"/>
        <w:ind w:left="-993" w:firstLine="0"/>
        <w:jc w:val="left"/>
      </w:pPr>
      <w:r w:rsidRPr="00291D3D">
        <w:t xml:space="preserve">Anotācijas </w:t>
      </w:r>
      <w:r w:rsidR="005350B4" w:rsidRPr="00291D3D">
        <w:t>IV</w:t>
      </w:r>
      <w:r w:rsidR="006B33CE" w:rsidRPr="00291D3D">
        <w:t xml:space="preserve"> </w:t>
      </w:r>
      <w:r w:rsidR="00E06A3F" w:rsidRPr="00291D3D">
        <w:t xml:space="preserve">un VI </w:t>
      </w:r>
      <w:r w:rsidR="005350B4" w:rsidRPr="00291D3D">
        <w:t xml:space="preserve"> </w:t>
      </w:r>
      <w:r w:rsidR="006108E2" w:rsidRPr="00291D3D">
        <w:t>sadaļa – nav attiecināms.</w:t>
      </w:r>
    </w:p>
    <w:p w:rsidR="000D7937" w:rsidRPr="00291D3D" w:rsidRDefault="000D7937" w:rsidP="0099242E">
      <w:pPr>
        <w:tabs>
          <w:tab w:val="left" w:pos="0"/>
        </w:tabs>
        <w:jc w:val="both"/>
      </w:pPr>
    </w:p>
    <w:p w:rsidR="00802161" w:rsidRPr="00E2762A" w:rsidRDefault="00802161" w:rsidP="00D805E3">
      <w:pPr>
        <w:pStyle w:val="Heading5"/>
        <w:ind w:left="-993" w:firstLine="993"/>
        <w:rPr>
          <w:rFonts w:ascii="Times New Roman" w:hAnsi="Times New Roman"/>
          <w:b w:val="0"/>
          <w:i w:val="0"/>
          <w:sz w:val="28"/>
          <w:szCs w:val="28"/>
          <w:lang w:val="lv-LV"/>
        </w:rPr>
      </w:pPr>
      <w:r w:rsidRPr="00E2762A">
        <w:rPr>
          <w:rFonts w:ascii="Times New Roman" w:hAnsi="Times New Roman"/>
          <w:b w:val="0"/>
          <w:i w:val="0"/>
          <w:sz w:val="28"/>
          <w:szCs w:val="28"/>
          <w:lang w:val="lv-LV"/>
        </w:rPr>
        <w:t>Izglītības un zinātnes ministr</w:t>
      </w:r>
      <w:r w:rsidR="008B1C6F" w:rsidRPr="00E2762A">
        <w:rPr>
          <w:rFonts w:ascii="Times New Roman" w:hAnsi="Times New Roman"/>
          <w:b w:val="0"/>
          <w:i w:val="0"/>
          <w:sz w:val="28"/>
          <w:szCs w:val="28"/>
          <w:lang w:val="lv-LV"/>
        </w:rPr>
        <w:t>s</w:t>
      </w:r>
      <w:r w:rsidRPr="00E2762A">
        <w:rPr>
          <w:rFonts w:ascii="Times New Roman" w:hAnsi="Times New Roman"/>
          <w:b w:val="0"/>
          <w:i w:val="0"/>
          <w:sz w:val="28"/>
          <w:szCs w:val="28"/>
          <w:lang w:val="lv-LV"/>
        </w:rPr>
        <w:t xml:space="preserve">                                     </w:t>
      </w:r>
      <w:r w:rsidRPr="00E2762A">
        <w:rPr>
          <w:rFonts w:ascii="Times New Roman" w:hAnsi="Times New Roman"/>
          <w:b w:val="0"/>
          <w:i w:val="0"/>
          <w:sz w:val="28"/>
          <w:szCs w:val="28"/>
          <w:lang w:val="lv-LV"/>
        </w:rPr>
        <w:tab/>
      </w:r>
      <w:r w:rsidRPr="00E2762A">
        <w:rPr>
          <w:rFonts w:ascii="Times New Roman" w:hAnsi="Times New Roman"/>
          <w:b w:val="0"/>
          <w:i w:val="0"/>
          <w:sz w:val="28"/>
          <w:szCs w:val="28"/>
          <w:lang w:val="lv-LV"/>
        </w:rPr>
        <w:tab/>
      </w:r>
      <w:r w:rsidR="00D805E3" w:rsidRPr="00E2762A">
        <w:rPr>
          <w:rFonts w:ascii="Times New Roman" w:hAnsi="Times New Roman"/>
          <w:b w:val="0"/>
          <w:i w:val="0"/>
          <w:sz w:val="28"/>
          <w:szCs w:val="28"/>
          <w:lang w:val="lv-LV"/>
        </w:rPr>
        <w:tab/>
      </w:r>
      <w:proofErr w:type="spellStart"/>
      <w:r w:rsidR="00765793" w:rsidRPr="00E2762A">
        <w:rPr>
          <w:rFonts w:ascii="Times New Roman" w:hAnsi="Times New Roman"/>
          <w:b w:val="0"/>
          <w:i w:val="0"/>
          <w:sz w:val="28"/>
          <w:szCs w:val="28"/>
          <w:lang w:val="lv-LV"/>
        </w:rPr>
        <w:t>R.Broks</w:t>
      </w:r>
      <w:proofErr w:type="spellEnd"/>
    </w:p>
    <w:p w:rsidR="00802161" w:rsidRPr="00E2762A" w:rsidRDefault="00802161" w:rsidP="00802161">
      <w:pPr>
        <w:rPr>
          <w:sz w:val="28"/>
          <w:szCs w:val="28"/>
        </w:rPr>
      </w:pPr>
    </w:p>
    <w:p w:rsidR="00802161" w:rsidRPr="00E2762A" w:rsidRDefault="00802161" w:rsidP="00802161">
      <w:pPr>
        <w:rPr>
          <w:sz w:val="28"/>
          <w:szCs w:val="28"/>
        </w:rPr>
      </w:pPr>
    </w:p>
    <w:p w:rsidR="00802161" w:rsidRPr="00E2762A" w:rsidRDefault="00E52469" w:rsidP="00D805E3">
      <w:pPr>
        <w:ind w:left="-993" w:firstLine="993"/>
        <w:rPr>
          <w:sz w:val="28"/>
          <w:szCs w:val="28"/>
        </w:rPr>
      </w:pPr>
      <w:r w:rsidRPr="00E2762A">
        <w:rPr>
          <w:sz w:val="28"/>
          <w:szCs w:val="28"/>
        </w:rPr>
        <w:t>Vizē: Valsts sekretārs</w:t>
      </w:r>
      <w:r w:rsidRPr="00E2762A">
        <w:rPr>
          <w:sz w:val="28"/>
          <w:szCs w:val="28"/>
        </w:rPr>
        <w:tab/>
      </w:r>
      <w:r w:rsidRPr="00E2762A">
        <w:rPr>
          <w:sz w:val="28"/>
          <w:szCs w:val="28"/>
        </w:rPr>
        <w:tab/>
      </w:r>
      <w:r w:rsidRPr="00E2762A">
        <w:rPr>
          <w:sz w:val="28"/>
          <w:szCs w:val="28"/>
        </w:rPr>
        <w:tab/>
      </w:r>
      <w:r w:rsidRPr="00E2762A">
        <w:rPr>
          <w:sz w:val="28"/>
          <w:szCs w:val="28"/>
        </w:rPr>
        <w:tab/>
      </w:r>
      <w:r w:rsidRPr="00E2762A">
        <w:rPr>
          <w:sz w:val="28"/>
          <w:szCs w:val="28"/>
        </w:rPr>
        <w:tab/>
      </w:r>
      <w:r w:rsidRPr="00E2762A">
        <w:rPr>
          <w:sz w:val="28"/>
          <w:szCs w:val="28"/>
        </w:rPr>
        <w:tab/>
      </w:r>
      <w:r w:rsidR="00D805E3" w:rsidRPr="00E2762A">
        <w:rPr>
          <w:sz w:val="28"/>
          <w:szCs w:val="28"/>
        </w:rPr>
        <w:tab/>
      </w:r>
      <w:r w:rsidR="00802161" w:rsidRPr="00E2762A">
        <w:rPr>
          <w:sz w:val="28"/>
          <w:szCs w:val="28"/>
        </w:rPr>
        <w:t>M.Gruškevics</w:t>
      </w:r>
    </w:p>
    <w:p w:rsidR="00802161" w:rsidRPr="00291D3D" w:rsidRDefault="00802161" w:rsidP="00802161">
      <w:pPr>
        <w:jc w:val="both"/>
      </w:pPr>
    </w:p>
    <w:p w:rsidR="00802161" w:rsidRPr="00291D3D" w:rsidRDefault="00802161" w:rsidP="00802161">
      <w:pPr>
        <w:jc w:val="both"/>
      </w:pPr>
    </w:p>
    <w:p w:rsidR="00F601E2" w:rsidRPr="00291D3D" w:rsidRDefault="00A05A5C" w:rsidP="00D805E3">
      <w:pPr>
        <w:pStyle w:val="NoSpacing"/>
        <w:ind w:left="-993"/>
        <w:rPr>
          <w:lang w:val="lv-LV"/>
        </w:rPr>
      </w:pPr>
      <w:r>
        <w:rPr>
          <w:lang w:val="lv-LV"/>
        </w:rPr>
        <w:t>17</w:t>
      </w:r>
      <w:r w:rsidR="00765793">
        <w:rPr>
          <w:lang w:val="lv-LV"/>
        </w:rPr>
        <w:t>.12.</w:t>
      </w:r>
      <w:r w:rsidR="00802161" w:rsidRPr="00291D3D">
        <w:rPr>
          <w:lang w:val="lv-LV"/>
        </w:rPr>
        <w:t xml:space="preserve">2010 </w:t>
      </w:r>
    </w:p>
    <w:p w:rsidR="00802161" w:rsidRDefault="00802161" w:rsidP="00D805E3">
      <w:pPr>
        <w:pStyle w:val="NoSpacing"/>
        <w:ind w:left="-993"/>
        <w:rPr>
          <w:lang w:val="lv-LV"/>
        </w:rPr>
      </w:pPr>
      <w:proofErr w:type="spellStart"/>
      <w:r w:rsidRPr="00291D3D">
        <w:rPr>
          <w:lang w:val="lv-LV"/>
        </w:rPr>
        <w:t>K.Karolis</w:t>
      </w:r>
      <w:proofErr w:type="spellEnd"/>
    </w:p>
    <w:p w:rsidR="00D805E3" w:rsidRPr="00291D3D" w:rsidRDefault="00D805E3" w:rsidP="00D805E3">
      <w:pPr>
        <w:pStyle w:val="NoSpacing"/>
        <w:ind w:left="-993"/>
        <w:rPr>
          <w:lang w:val="lv-LV"/>
        </w:rPr>
      </w:pPr>
      <w:r>
        <w:rPr>
          <w:lang w:val="lv-LV"/>
        </w:rPr>
        <w:t>2483</w:t>
      </w:r>
    </w:p>
    <w:p w:rsidR="00E06A3F" w:rsidRPr="00291D3D" w:rsidRDefault="00802161" w:rsidP="00D805E3">
      <w:pPr>
        <w:pStyle w:val="NoSpacing"/>
        <w:ind w:left="-993"/>
        <w:rPr>
          <w:lang w:val="lv-LV"/>
        </w:rPr>
      </w:pPr>
      <w:r w:rsidRPr="00291D3D">
        <w:rPr>
          <w:lang w:val="lv-LV"/>
        </w:rPr>
        <w:t xml:space="preserve">Tālr.67047996, </w:t>
      </w:r>
    </w:p>
    <w:p w:rsidR="00802161" w:rsidRPr="00291D3D" w:rsidRDefault="00A00B5F" w:rsidP="00D805E3">
      <w:pPr>
        <w:pStyle w:val="NoSpacing"/>
        <w:ind w:left="-993"/>
        <w:rPr>
          <w:lang w:val="lv-LV"/>
        </w:rPr>
      </w:pPr>
      <w:hyperlink r:id="rId7" w:history="1">
        <w:r w:rsidR="006C0392" w:rsidRPr="00D805E3">
          <w:rPr>
            <w:rStyle w:val="Hyperlink"/>
            <w:lang w:val="lv-LV"/>
          </w:rPr>
          <w:t>kaspars.karolis@izm.gov.lv</w:t>
        </w:r>
      </w:hyperlink>
    </w:p>
    <w:p w:rsidR="006C0392" w:rsidRPr="00291D3D" w:rsidRDefault="006C0392" w:rsidP="00D805E3">
      <w:pPr>
        <w:pStyle w:val="NoSpacing"/>
        <w:ind w:left="-993"/>
        <w:rPr>
          <w:lang w:val="lv-LV"/>
        </w:rPr>
      </w:pPr>
    </w:p>
    <w:p w:rsidR="006C0392" w:rsidRPr="00291D3D" w:rsidRDefault="006C0392" w:rsidP="00802161">
      <w:pPr>
        <w:pStyle w:val="NoSpacing"/>
        <w:rPr>
          <w:lang w:val="lv-LV"/>
        </w:rPr>
      </w:pPr>
    </w:p>
    <w:p w:rsidR="00802161" w:rsidRPr="00291D3D" w:rsidRDefault="00802161" w:rsidP="00802161">
      <w:pPr>
        <w:jc w:val="both"/>
      </w:pPr>
    </w:p>
    <w:p w:rsidR="001731A1" w:rsidRPr="00291D3D" w:rsidRDefault="001731A1" w:rsidP="0099242E">
      <w:pPr>
        <w:pStyle w:val="naisf"/>
        <w:ind w:firstLine="0"/>
      </w:pPr>
    </w:p>
    <w:p w:rsidR="001731A1" w:rsidRPr="00291D3D" w:rsidRDefault="001731A1" w:rsidP="001731A1"/>
    <w:p w:rsidR="0099242E" w:rsidRPr="00291D3D" w:rsidRDefault="0099242E" w:rsidP="001731A1">
      <w:pPr>
        <w:jc w:val="right"/>
      </w:pPr>
    </w:p>
    <w:sectPr w:rsidR="0099242E" w:rsidRPr="00291D3D" w:rsidSect="00D805E3">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0B4" w:rsidRDefault="00DF40B4">
      <w:r>
        <w:separator/>
      </w:r>
    </w:p>
  </w:endnote>
  <w:endnote w:type="continuationSeparator" w:id="0">
    <w:p w:rsidR="00DF40B4" w:rsidRDefault="00DF4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3" w:rsidRPr="00355141" w:rsidRDefault="00703B83" w:rsidP="00C47AD9">
    <w:pPr>
      <w:pStyle w:val="BodyText"/>
      <w:jc w:val="both"/>
    </w:pPr>
    <w:r w:rsidRPr="00BA77BD">
      <w:t>IZMAnot_</w:t>
    </w:r>
    <w:r w:rsidR="00A05A5C">
      <w:t>17</w:t>
    </w:r>
    <w:r w:rsidR="00765793">
      <w:t>1210</w:t>
    </w:r>
    <w:r w:rsidRPr="00BA77BD">
      <w:t>_</w:t>
    </w:r>
    <w:r>
      <w:t>EUREKA</w:t>
    </w:r>
    <w:r w:rsidRPr="00BA77BD">
      <w:t xml:space="preserve">; </w:t>
    </w:r>
    <w:r w:rsidRPr="00C47AD9">
      <w:rPr>
        <w:bCs/>
        <w:lang w:val="lv-LV"/>
      </w:rPr>
      <w:t xml:space="preserve">Tiesību akta projekta sākotnējās ietekmes novērtējuma ziņojums </w:t>
    </w:r>
    <w:r w:rsidRPr="00C47AD9">
      <w:rPr>
        <w:lang w:val="lv-LV"/>
      </w:rPr>
      <w:t>Ministru kabineta noteikumu projektam</w:t>
    </w:r>
    <w:r w:rsidRPr="00BA77BD">
      <w:rPr>
        <w:bCs/>
        <w:lang w:val="lv-LV"/>
      </w:rPr>
      <w:t xml:space="preserve"> </w:t>
    </w:r>
    <w:r w:rsidRPr="00BA77BD">
      <w:rPr>
        <w:color w:val="000000"/>
        <w:spacing w:val="15"/>
      </w:rPr>
      <w:t>„</w:t>
    </w:r>
    <w:r w:rsidRPr="00BA77BD">
      <w:rPr>
        <w:color w:val="000000"/>
        <w:lang w:val="lv-LV"/>
      </w:rPr>
      <w:t xml:space="preserve">Par </w:t>
    </w:r>
    <w:r>
      <w:rPr>
        <w:color w:val="000000"/>
        <w:lang w:val="lv-LV"/>
      </w:rPr>
      <w:t>līgumu starp</w:t>
    </w:r>
    <w:r w:rsidRPr="00BA77BD">
      <w:rPr>
        <w:color w:val="000000"/>
        <w:lang w:val="lv-LV"/>
      </w:rPr>
      <w:t xml:space="preserve"> </w:t>
    </w:r>
    <w:r w:rsidRPr="00D84CE5">
      <w:rPr>
        <w:iCs/>
        <w:color w:val="000000"/>
        <w:lang w:val="lv-LV"/>
      </w:rPr>
      <w:t>EUREKA Sekretariātu</w:t>
    </w:r>
    <w:r w:rsidRPr="00BA77BD">
      <w:rPr>
        <w:color w:val="000000"/>
        <w:lang w:val="lv-LV"/>
      </w:rPr>
      <w:t xml:space="preserve"> un </w:t>
    </w:r>
    <w:r>
      <w:rPr>
        <w:color w:val="000000"/>
      </w:rPr>
      <w:t xml:space="preserve">Izglītības un zinātnes </w:t>
    </w:r>
    <w:proofErr w:type="spellStart"/>
    <w:r>
      <w:rPr>
        <w:color w:val="000000"/>
      </w:rPr>
      <w:t>ministriju</w:t>
    </w:r>
    <w:proofErr w:type="spellEnd"/>
    <w:r w:rsidRPr="00BA77BD">
      <w:rPr>
        <w:color w:val="000000"/>
      </w:rPr>
      <w:t>”</w:t>
    </w:r>
    <w:r w:rsidRPr="00BA77BD">
      <w:t>.</w:t>
    </w:r>
  </w:p>
  <w:p w:rsidR="00703B83" w:rsidRPr="003D0BEA" w:rsidRDefault="00703B83" w:rsidP="000A75C8">
    <w:pPr>
      <w:pStyle w:val="Footer"/>
      <w:rPr>
        <w:szCs w:val="18"/>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3" w:rsidRPr="00355141" w:rsidRDefault="00703B83" w:rsidP="00C47AD9">
    <w:pPr>
      <w:pStyle w:val="BodyText"/>
      <w:jc w:val="both"/>
    </w:pPr>
    <w:r w:rsidRPr="00BA77BD">
      <w:t>IZMAnot_</w:t>
    </w:r>
    <w:r w:rsidR="00765793">
      <w:t>0</w:t>
    </w:r>
    <w:r w:rsidR="008B1C6F">
      <w:t>3</w:t>
    </w:r>
    <w:r w:rsidR="00765793">
      <w:t>1210</w:t>
    </w:r>
    <w:r w:rsidRPr="00BA77BD">
      <w:t>_</w:t>
    </w:r>
    <w:r>
      <w:t>Eureka</w:t>
    </w:r>
    <w:r w:rsidRPr="00BA77BD">
      <w:t xml:space="preserve">; </w:t>
    </w:r>
    <w:r w:rsidRPr="00C47AD9">
      <w:rPr>
        <w:bCs/>
        <w:lang w:val="lv-LV"/>
      </w:rPr>
      <w:t xml:space="preserve">Tiesību akta projekta sākotnējās ietekmes novērtējuma ziņojums </w:t>
    </w:r>
    <w:r w:rsidRPr="00C47AD9">
      <w:rPr>
        <w:lang w:val="lv-LV"/>
      </w:rPr>
      <w:t>Ministru kabineta noteikumu projektam</w:t>
    </w:r>
    <w:r w:rsidRPr="00BA77BD">
      <w:rPr>
        <w:bCs/>
        <w:lang w:val="lv-LV"/>
      </w:rPr>
      <w:t xml:space="preserve"> </w:t>
    </w:r>
    <w:r w:rsidRPr="00BA77BD">
      <w:rPr>
        <w:color w:val="000000"/>
        <w:spacing w:val="15"/>
      </w:rPr>
      <w:t>„</w:t>
    </w:r>
    <w:r w:rsidRPr="00BA77BD">
      <w:rPr>
        <w:color w:val="000000"/>
        <w:lang w:val="lv-LV"/>
      </w:rPr>
      <w:t xml:space="preserve">Par </w:t>
    </w:r>
    <w:r>
      <w:rPr>
        <w:color w:val="000000"/>
        <w:lang w:val="lv-LV"/>
      </w:rPr>
      <w:t>līgumu starp</w:t>
    </w:r>
    <w:r w:rsidRPr="00BA77BD">
      <w:rPr>
        <w:color w:val="000000"/>
        <w:lang w:val="lv-LV"/>
      </w:rPr>
      <w:t xml:space="preserve"> </w:t>
    </w:r>
    <w:r w:rsidRPr="00D84CE5">
      <w:rPr>
        <w:iCs/>
        <w:color w:val="000000"/>
        <w:lang w:val="lv-LV"/>
      </w:rPr>
      <w:t>EUREKA Sekretariātu</w:t>
    </w:r>
    <w:r w:rsidRPr="00BA77BD">
      <w:rPr>
        <w:color w:val="000000"/>
        <w:lang w:val="lv-LV"/>
      </w:rPr>
      <w:t xml:space="preserve"> un </w:t>
    </w:r>
    <w:r>
      <w:rPr>
        <w:color w:val="000000"/>
      </w:rPr>
      <w:t xml:space="preserve">Izglītības un zinātnes </w:t>
    </w:r>
    <w:proofErr w:type="spellStart"/>
    <w:r>
      <w:rPr>
        <w:color w:val="000000"/>
      </w:rPr>
      <w:t>ministriju</w:t>
    </w:r>
    <w:proofErr w:type="spellEnd"/>
    <w:r w:rsidRPr="00BA77BD">
      <w:rPr>
        <w:color w:val="000000"/>
      </w:rPr>
      <w:t>”</w:t>
    </w:r>
    <w:r w:rsidRPr="00BA77BD">
      <w:t>.</w:t>
    </w:r>
  </w:p>
  <w:p w:rsidR="00703B83" w:rsidRPr="003F2799" w:rsidRDefault="00703B83">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0B4" w:rsidRDefault="00DF40B4">
      <w:r>
        <w:separator/>
      </w:r>
    </w:p>
  </w:footnote>
  <w:footnote w:type="continuationSeparator" w:id="0">
    <w:p w:rsidR="00DF40B4" w:rsidRDefault="00DF4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3" w:rsidRDefault="00A00B5F" w:rsidP="00190F88">
    <w:pPr>
      <w:pStyle w:val="Header"/>
      <w:framePr w:wrap="around" w:vAnchor="text" w:hAnchor="margin" w:xAlign="center" w:y="1"/>
      <w:rPr>
        <w:rStyle w:val="PageNumber"/>
      </w:rPr>
    </w:pPr>
    <w:r>
      <w:rPr>
        <w:rStyle w:val="PageNumber"/>
      </w:rPr>
      <w:fldChar w:fldCharType="begin"/>
    </w:r>
    <w:r w:rsidR="00703B83">
      <w:rPr>
        <w:rStyle w:val="PageNumber"/>
      </w:rPr>
      <w:instrText xml:space="preserve">PAGE  </w:instrText>
    </w:r>
    <w:r>
      <w:rPr>
        <w:rStyle w:val="PageNumber"/>
      </w:rPr>
      <w:fldChar w:fldCharType="end"/>
    </w:r>
  </w:p>
  <w:p w:rsidR="00703B83" w:rsidRDefault="00703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3" w:rsidRPr="00DB073B" w:rsidRDefault="00A00B5F"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703B83" w:rsidRPr="00DB073B">
      <w:rPr>
        <w:rStyle w:val="PageNumber"/>
        <w:sz w:val="20"/>
        <w:szCs w:val="20"/>
      </w:rPr>
      <w:instrText xml:space="preserve">PAGE  </w:instrText>
    </w:r>
    <w:r w:rsidRPr="00DB073B">
      <w:rPr>
        <w:rStyle w:val="PageNumber"/>
        <w:sz w:val="20"/>
        <w:szCs w:val="20"/>
      </w:rPr>
      <w:fldChar w:fldCharType="separate"/>
    </w:r>
    <w:r w:rsidR="00D20108">
      <w:rPr>
        <w:rStyle w:val="PageNumber"/>
        <w:noProof/>
        <w:sz w:val="20"/>
        <w:szCs w:val="20"/>
      </w:rPr>
      <w:t>10</w:t>
    </w:r>
    <w:r w:rsidRPr="00DB073B">
      <w:rPr>
        <w:rStyle w:val="PageNumber"/>
        <w:sz w:val="20"/>
        <w:szCs w:val="20"/>
      </w:rPr>
      <w:fldChar w:fldCharType="end"/>
    </w:r>
  </w:p>
  <w:p w:rsidR="00703B83" w:rsidRDefault="00703B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425E72"/>
    <w:multiLevelType w:val="hybridMultilevel"/>
    <w:tmpl w:val="7598DCF2"/>
    <w:lvl w:ilvl="0" w:tplc="7C52F032">
      <w:start w:val="1"/>
      <w:numFmt w:val="decimal"/>
      <w:lvlText w:val="%1)"/>
      <w:lvlJc w:val="left"/>
      <w:pPr>
        <w:ind w:left="360" w:hanging="360"/>
      </w:pPr>
      <w:rPr>
        <w:rFonts w:hint="default"/>
      </w:rPr>
    </w:lvl>
    <w:lvl w:ilvl="1" w:tplc="23F007A4">
      <w:start w:val="1"/>
      <w:numFmt w:val="bullet"/>
      <w:lvlText w:val=""/>
      <w:lvlJc w:val="left"/>
      <w:pPr>
        <w:tabs>
          <w:tab w:val="num" w:pos="1080"/>
        </w:tabs>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E7777A"/>
    <w:multiLevelType w:val="hybridMultilevel"/>
    <w:tmpl w:val="90163F32"/>
    <w:lvl w:ilvl="0" w:tplc="23F007A4">
      <w:start w:val="1"/>
      <w:numFmt w:val="bullet"/>
      <w:lvlText w:val=""/>
      <w:lvlJc w:val="left"/>
      <w:pPr>
        <w:tabs>
          <w:tab w:val="num" w:pos="1866"/>
        </w:tabs>
        <w:ind w:left="1866" w:hanging="360"/>
      </w:pPr>
      <w:rPr>
        <w:rFonts w:ascii="Symbol" w:hAnsi="Symbol" w:hint="default"/>
      </w:rPr>
    </w:lvl>
    <w:lvl w:ilvl="1" w:tplc="04190003" w:tentative="1">
      <w:start w:val="1"/>
      <w:numFmt w:val="bullet"/>
      <w:lvlText w:val="o"/>
      <w:lvlJc w:val="left"/>
      <w:pPr>
        <w:tabs>
          <w:tab w:val="num" w:pos="2586"/>
        </w:tabs>
        <w:ind w:left="2586" w:hanging="360"/>
      </w:pPr>
      <w:rPr>
        <w:rFonts w:ascii="Courier New" w:hAnsi="Courier New" w:cs="Courier New" w:hint="default"/>
      </w:rPr>
    </w:lvl>
    <w:lvl w:ilvl="2" w:tplc="04190005" w:tentative="1">
      <w:start w:val="1"/>
      <w:numFmt w:val="bullet"/>
      <w:lvlText w:val=""/>
      <w:lvlJc w:val="left"/>
      <w:pPr>
        <w:tabs>
          <w:tab w:val="num" w:pos="3306"/>
        </w:tabs>
        <w:ind w:left="3306" w:hanging="360"/>
      </w:pPr>
      <w:rPr>
        <w:rFonts w:ascii="Wingdings" w:hAnsi="Wingdings" w:hint="default"/>
      </w:rPr>
    </w:lvl>
    <w:lvl w:ilvl="3" w:tplc="04190001" w:tentative="1">
      <w:start w:val="1"/>
      <w:numFmt w:val="bullet"/>
      <w:lvlText w:val=""/>
      <w:lvlJc w:val="left"/>
      <w:pPr>
        <w:tabs>
          <w:tab w:val="num" w:pos="4026"/>
        </w:tabs>
        <w:ind w:left="4026" w:hanging="360"/>
      </w:pPr>
      <w:rPr>
        <w:rFonts w:ascii="Symbol" w:hAnsi="Symbol" w:hint="default"/>
      </w:rPr>
    </w:lvl>
    <w:lvl w:ilvl="4" w:tplc="04190003" w:tentative="1">
      <w:start w:val="1"/>
      <w:numFmt w:val="bullet"/>
      <w:lvlText w:val="o"/>
      <w:lvlJc w:val="left"/>
      <w:pPr>
        <w:tabs>
          <w:tab w:val="num" w:pos="4746"/>
        </w:tabs>
        <w:ind w:left="4746" w:hanging="360"/>
      </w:pPr>
      <w:rPr>
        <w:rFonts w:ascii="Courier New" w:hAnsi="Courier New" w:cs="Courier New" w:hint="default"/>
      </w:rPr>
    </w:lvl>
    <w:lvl w:ilvl="5" w:tplc="04190005" w:tentative="1">
      <w:start w:val="1"/>
      <w:numFmt w:val="bullet"/>
      <w:lvlText w:val=""/>
      <w:lvlJc w:val="left"/>
      <w:pPr>
        <w:tabs>
          <w:tab w:val="num" w:pos="5466"/>
        </w:tabs>
        <w:ind w:left="5466" w:hanging="360"/>
      </w:pPr>
      <w:rPr>
        <w:rFonts w:ascii="Wingdings" w:hAnsi="Wingdings" w:hint="default"/>
      </w:rPr>
    </w:lvl>
    <w:lvl w:ilvl="6" w:tplc="04190001" w:tentative="1">
      <w:start w:val="1"/>
      <w:numFmt w:val="bullet"/>
      <w:lvlText w:val=""/>
      <w:lvlJc w:val="left"/>
      <w:pPr>
        <w:tabs>
          <w:tab w:val="num" w:pos="6186"/>
        </w:tabs>
        <w:ind w:left="6186" w:hanging="360"/>
      </w:pPr>
      <w:rPr>
        <w:rFonts w:ascii="Symbol" w:hAnsi="Symbol" w:hint="default"/>
      </w:rPr>
    </w:lvl>
    <w:lvl w:ilvl="7" w:tplc="04190003" w:tentative="1">
      <w:start w:val="1"/>
      <w:numFmt w:val="bullet"/>
      <w:lvlText w:val="o"/>
      <w:lvlJc w:val="left"/>
      <w:pPr>
        <w:tabs>
          <w:tab w:val="num" w:pos="6906"/>
        </w:tabs>
        <w:ind w:left="6906" w:hanging="360"/>
      </w:pPr>
      <w:rPr>
        <w:rFonts w:ascii="Courier New" w:hAnsi="Courier New" w:cs="Courier New" w:hint="default"/>
      </w:rPr>
    </w:lvl>
    <w:lvl w:ilvl="8" w:tplc="04190005" w:tentative="1">
      <w:start w:val="1"/>
      <w:numFmt w:val="bullet"/>
      <w:lvlText w:val=""/>
      <w:lvlJc w:val="left"/>
      <w:pPr>
        <w:tabs>
          <w:tab w:val="num" w:pos="7626"/>
        </w:tabs>
        <w:ind w:left="7626" w:hanging="360"/>
      </w:pPr>
      <w:rPr>
        <w:rFonts w:ascii="Wingdings" w:hAnsi="Wingdings"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DEC698B"/>
    <w:multiLevelType w:val="hybridMultilevel"/>
    <w:tmpl w:val="692AECC8"/>
    <w:lvl w:ilvl="0" w:tplc="23F007A4">
      <w:start w:val="1"/>
      <w:numFmt w:val="bullet"/>
      <w:lvlText w:val=""/>
      <w:lvlJc w:val="left"/>
      <w:pPr>
        <w:tabs>
          <w:tab w:val="num" w:pos="360"/>
        </w:tabs>
        <w:ind w:left="360" w:hanging="360"/>
      </w:pPr>
      <w:rPr>
        <w:rFonts w:ascii="Symbol" w:hAnsi="Symbol" w:hint="default"/>
      </w:rPr>
    </w:lvl>
    <w:lvl w:ilvl="1" w:tplc="3828B9A4">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F91091E"/>
    <w:multiLevelType w:val="hybridMultilevel"/>
    <w:tmpl w:val="7FDEDEB8"/>
    <w:lvl w:ilvl="0" w:tplc="0AC4435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438741C5"/>
    <w:multiLevelType w:val="hybridMultilevel"/>
    <w:tmpl w:val="C666DCE8"/>
    <w:lvl w:ilvl="0" w:tplc="04090001">
      <w:start w:val="1"/>
      <w:numFmt w:val="bullet"/>
      <w:lvlText w:val=""/>
      <w:lvlJc w:val="left"/>
      <w:pPr>
        <w:ind w:left="360" w:hanging="360"/>
      </w:pPr>
      <w:rPr>
        <w:rFonts w:ascii="Symbol" w:hAnsi="Symbol" w:hint="default"/>
      </w:rPr>
    </w:lvl>
    <w:lvl w:ilvl="1" w:tplc="3828B9A4">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9F1921"/>
    <w:multiLevelType w:val="hybridMultilevel"/>
    <w:tmpl w:val="9FB2EC32"/>
    <w:lvl w:ilvl="0" w:tplc="23F007A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5B32A23"/>
    <w:multiLevelType w:val="hybridMultilevel"/>
    <w:tmpl w:val="62CCC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A736AD4"/>
    <w:multiLevelType w:val="hybridMultilevel"/>
    <w:tmpl w:val="5EBE33C2"/>
    <w:lvl w:ilvl="0" w:tplc="23F007A4">
      <w:start w:val="1"/>
      <w:numFmt w:val="bullet"/>
      <w:lvlText w:val=""/>
      <w:lvlJc w:val="left"/>
      <w:pPr>
        <w:tabs>
          <w:tab w:val="num" w:pos="1080"/>
        </w:tabs>
        <w:ind w:left="1080" w:hanging="360"/>
      </w:pPr>
      <w:rPr>
        <w:rFonts w:ascii="Symbol" w:hAnsi="Symbol" w:hint="default"/>
      </w:rPr>
    </w:lvl>
    <w:lvl w:ilvl="1" w:tplc="3828B9A4">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C9D7873"/>
    <w:multiLevelType w:val="hybridMultilevel"/>
    <w:tmpl w:val="390CF796"/>
    <w:lvl w:ilvl="0" w:tplc="3828B9A4">
      <w:start w:val="1"/>
      <w:numFmt w:val="bullet"/>
      <w:lvlText w:val="-"/>
      <w:lvlJc w:val="left"/>
      <w:pPr>
        <w:tabs>
          <w:tab w:val="num" w:pos="2160"/>
        </w:tabs>
        <w:ind w:left="2160" w:hanging="360"/>
      </w:pPr>
      <w:rPr>
        <w:rFonts w:ascii="Courier New" w:hAnsi="Courier New"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D3E5732"/>
    <w:multiLevelType w:val="hybridMultilevel"/>
    <w:tmpl w:val="C32A975E"/>
    <w:lvl w:ilvl="0" w:tplc="3828B9A4">
      <w:start w:val="1"/>
      <w:numFmt w:val="bullet"/>
      <w:lvlText w:val="-"/>
      <w:lvlJc w:val="left"/>
      <w:pPr>
        <w:tabs>
          <w:tab w:val="num" w:pos="2160"/>
        </w:tabs>
        <w:ind w:left="2160" w:hanging="360"/>
      </w:pPr>
      <w:rPr>
        <w:rFonts w:ascii="Courier New" w:hAnsi="Courier New" w:hint="default"/>
      </w:rPr>
    </w:lvl>
    <w:lvl w:ilvl="1" w:tplc="3828B9A4">
      <w:start w:val="1"/>
      <w:numFmt w:val="bullet"/>
      <w:lvlText w:val="-"/>
      <w:lvlJc w:val="left"/>
      <w:pPr>
        <w:tabs>
          <w:tab w:val="num" w:pos="2043"/>
        </w:tabs>
        <w:ind w:left="2043" w:hanging="360"/>
      </w:pPr>
      <w:rPr>
        <w:rFonts w:ascii="Courier New" w:hAnsi="Courier New" w:hint="default"/>
      </w:rPr>
    </w:lvl>
    <w:lvl w:ilvl="2" w:tplc="0419000F">
      <w:start w:val="1"/>
      <w:numFmt w:val="decimal"/>
      <w:lvlText w:val="%3."/>
      <w:lvlJc w:val="left"/>
      <w:pPr>
        <w:tabs>
          <w:tab w:val="num" w:pos="2763"/>
        </w:tabs>
        <w:ind w:left="2763" w:hanging="360"/>
      </w:pPr>
      <w:rPr>
        <w:rFonts w:hint="default"/>
      </w:rPr>
    </w:lvl>
    <w:lvl w:ilvl="3" w:tplc="0419000F">
      <w:start w:val="1"/>
      <w:numFmt w:val="decimal"/>
      <w:lvlText w:val="%4."/>
      <w:lvlJc w:val="left"/>
      <w:pPr>
        <w:tabs>
          <w:tab w:val="num" w:pos="3483"/>
        </w:tabs>
        <w:ind w:left="3483" w:hanging="360"/>
      </w:pPr>
      <w:rPr>
        <w:rFonts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17A631E"/>
    <w:multiLevelType w:val="hybridMultilevel"/>
    <w:tmpl w:val="A8766054"/>
    <w:lvl w:ilvl="0" w:tplc="23F007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BFD2434"/>
    <w:multiLevelType w:val="hybridMultilevel"/>
    <w:tmpl w:val="7AA6B6A6"/>
    <w:lvl w:ilvl="0" w:tplc="0419000F">
      <w:start w:val="1"/>
      <w:numFmt w:val="decimal"/>
      <w:lvlText w:val="%1."/>
      <w:lvlJc w:val="left"/>
      <w:pPr>
        <w:tabs>
          <w:tab w:val="num" w:pos="644"/>
        </w:tabs>
        <w:ind w:left="644" w:hanging="360"/>
      </w:pPr>
      <w:rPr>
        <w:rFonts w:hint="default"/>
        <w:sz w:val="25"/>
        <w:szCs w:val="25"/>
      </w:rPr>
    </w:lvl>
    <w:lvl w:ilvl="1" w:tplc="0419000F">
      <w:start w:val="1"/>
      <w:numFmt w:val="decimal"/>
      <w:lvlText w:val="%2."/>
      <w:lvlJc w:val="left"/>
      <w:pPr>
        <w:tabs>
          <w:tab w:val="num" w:pos="1506"/>
        </w:tabs>
        <w:ind w:left="1506" w:hanging="360"/>
      </w:pPr>
      <w:rPr>
        <w:rFonts w:hint="default"/>
        <w:sz w:val="25"/>
        <w:szCs w:val="25"/>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nsid w:val="72C00035"/>
    <w:multiLevelType w:val="hybridMultilevel"/>
    <w:tmpl w:val="4184C232"/>
    <w:lvl w:ilvl="0" w:tplc="23F007A4">
      <w:start w:val="1"/>
      <w:numFmt w:val="bullet"/>
      <w:lvlText w:val=""/>
      <w:lvlJc w:val="left"/>
      <w:pPr>
        <w:tabs>
          <w:tab w:val="num" w:pos="644"/>
        </w:tabs>
        <w:ind w:left="644" w:hanging="360"/>
      </w:pPr>
      <w:rPr>
        <w:rFonts w:ascii="Symbol" w:hAnsi="Symbol" w:hint="default"/>
        <w:sz w:val="25"/>
        <w:szCs w:val="25"/>
      </w:rPr>
    </w:lvl>
    <w:lvl w:ilvl="1" w:tplc="0419000F">
      <w:start w:val="1"/>
      <w:numFmt w:val="decimal"/>
      <w:lvlText w:val="%2."/>
      <w:lvlJc w:val="left"/>
      <w:pPr>
        <w:tabs>
          <w:tab w:val="num" w:pos="1506"/>
        </w:tabs>
        <w:ind w:left="1506" w:hanging="360"/>
      </w:pPr>
      <w:rPr>
        <w:rFonts w:hint="default"/>
        <w:sz w:val="25"/>
        <w:szCs w:val="25"/>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6"/>
  </w:num>
  <w:num w:numId="2">
    <w:abstractNumId w:val="21"/>
  </w:num>
  <w:num w:numId="3">
    <w:abstractNumId w:val="4"/>
  </w:num>
  <w:num w:numId="4">
    <w:abstractNumId w:val="2"/>
  </w:num>
  <w:num w:numId="5">
    <w:abstractNumId w:val="0"/>
  </w:num>
  <w:num w:numId="6">
    <w:abstractNumId w:val="17"/>
  </w:num>
  <w:num w:numId="7">
    <w:abstractNumId w:val="23"/>
  </w:num>
  <w:num w:numId="8">
    <w:abstractNumId w:val="12"/>
  </w:num>
  <w:num w:numId="9">
    <w:abstractNumId w:val="3"/>
  </w:num>
  <w:num w:numId="10">
    <w:abstractNumId w:val="13"/>
  </w:num>
  <w:num w:numId="11">
    <w:abstractNumId w:val="14"/>
  </w:num>
  <w:num w:numId="12">
    <w:abstractNumId w:val="18"/>
  </w:num>
  <w:num w:numId="13">
    <w:abstractNumId w:val="20"/>
  </w:num>
  <w:num w:numId="14">
    <w:abstractNumId w:val="11"/>
  </w:num>
  <w:num w:numId="15">
    <w:abstractNumId w:val="8"/>
  </w:num>
  <w:num w:numId="16">
    <w:abstractNumId w:val="15"/>
  </w:num>
  <w:num w:numId="17">
    <w:abstractNumId w:val="24"/>
  </w:num>
  <w:num w:numId="18">
    <w:abstractNumId w:val="22"/>
  </w:num>
  <w:num w:numId="19">
    <w:abstractNumId w:val="5"/>
  </w:num>
  <w:num w:numId="20">
    <w:abstractNumId w:val="10"/>
  </w:num>
  <w:num w:numId="21">
    <w:abstractNumId w:val="7"/>
  </w:num>
  <w:num w:numId="22">
    <w:abstractNumId w:val="1"/>
  </w:num>
  <w:num w:numId="23">
    <w:abstractNumId w:val="25"/>
  </w:num>
  <w:num w:numId="24">
    <w:abstractNumId w:val="9"/>
  </w:num>
  <w:num w:numId="25">
    <w:abstractNumId w:val="19"/>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8C5649"/>
    <w:rsid w:val="00007A0E"/>
    <w:rsid w:val="00011D24"/>
    <w:rsid w:val="00013FF4"/>
    <w:rsid w:val="00014CA3"/>
    <w:rsid w:val="00020FE1"/>
    <w:rsid w:val="00022E13"/>
    <w:rsid w:val="00031398"/>
    <w:rsid w:val="00032388"/>
    <w:rsid w:val="00035CE2"/>
    <w:rsid w:val="00042012"/>
    <w:rsid w:val="00047EA6"/>
    <w:rsid w:val="0005553B"/>
    <w:rsid w:val="000604D2"/>
    <w:rsid w:val="000847D0"/>
    <w:rsid w:val="00086E8F"/>
    <w:rsid w:val="00087B0E"/>
    <w:rsid w:val="0009005E"/>
    <w:rsid w:val="00091B42"/>
    <w:rsid w:val="000A10FF"/>
    <w:rsid w:val="000A6451"/>
    <w:rsid w:val="000A75C8"/>
    <w:rsid w:val="000B064E"/>
    <w:rsid w:val="000B46E0"/>
    <w:rsid w:val="000B69CF"/>
    <w:rsid w:val="000B7FDB"/>
    <w:rsid w:val="000C4591"/>
    <w:rsid w:val="000C790C"/>
    <w:rsid w:val="000D3AA5"/>
    <w:rsid w:val="000D6508"/>
    <w:rsid w:val="000D7937"/>
    <w:rsid w:val="000D7FD1"/>
    <w:rsid w:val="000E4A79"/>
    <w:rsid w:val="000F061D"/>
    <w:rsid w:val="001154CA"/>
    <w:rsid w:val="00117375"/>
    <w:rsid w:val="00121087"/>
    <w:rsid w:val="00124A7B"/>
    <w:rsid w:val="00124F12"/>
    <w:rsid w:val="00126C1A"/>
    <w:rsid w:val="00127043"/>
    <w:rsid w:val="001320F3"/>
    <w:rsid w:val="0014398A"/>
    <w:rsid w:val="00144B4B"/>
    <w:rsid w:val="00144E3A"/>
    <w:rsid w:val="00146DD9"/>
    <w:rsid w:val="0015060C"/>
    <w:rsid w:val="001531AA"/>
    <w:rsid w:val="00156B82"/>
    <w:rsid w:val="00156DC4"/>
    <w:rsid w:val="00157B0C"/>
    <w:rsid w:val="0016018A"/>
    <w:rsid w:val="00161F0E"/>
    <w:rsid w:val="00165CF1"/>
    <w:rsid w:val="00167AD9"/>
    <w:rsid w:val="00170E2A"/>
    <w:rsid w:val="001731A1"/>
    <w:rsid w:val="001828FB"/>
    <w:rsid w:val="00183CC2"/>
    <w:rsid w:val="00184AC5"/>
    <w:rsid w:val="001900E4"/>
    <w:rsid w:val="00190F88"/>
    <w:rsid w:val="001A151E"/>
    <w:rsid w:val="001A32C6"/>
    <w:rsid w:val="001A4066"/>
    <w:rsid w:val="001A6AE4"/>
    <w:rsid w:val="001B01FD"/>
    <w:rsid w:val="001B4A71"/>
    <w:rsid w:val="001C359B"/>
    <w:rsid w:val="001C4B7C"/>
    <w:rsid w:val="001C541A"/>
    <w:rsid w:val="001D03EB"/>
    <w:rsid w:val="001D33D1"/>
    <w:rsid w:val="001D3A02"/>
    <w:rsid w:val="001D5B54"/>
    <w:rsid w:val="001E1608"/>
    <w:rsid w:val="001E1DBF"/>
    <w:rsid w:val="001E4639"/>
    <w:rsid w:val="001E4A7D"/>
    <w:rsid w:val="001F43A8"/>
    <w:rsid w:val="001F5CD6"/>
    <w:rsid w:val="00210CB7"/>
    <w:rsid w:val="0021263D"/>
    <w:rsid w:val="00213F0C"/>
    <w:rsid w:val="00214E14"/>
    <w:rsid w:val="0021592D"/>
    <w:rsid w:val="00222D76"/>
    <w:rsid w:val="00223EB1"/>
    <w:rsid w:val="002245A2"/>
    <w:rsid w:val="00231344"/>
    <w:rsid w:val="0023436E"/>
    <w:rsid w:val="00234574"/>
    <w:rsid w:val="002347C0"/>
    <w:rsid w:val="00240250"/>
    <w:rsid w:val="00241A6C"/>
    <w:rsid w:val="00242D2B"/>
    <w:rsid w:val="00243DE7"/>
    <w:rsid w:val="0025558B"/>
    <w:rsid w:val="00256B44"/>
    <w:rsid w:val="00262E2B"/>
    <w:rsid w:val="00264744"/>
    <w:rsid w:val="00270429"/>
    <w:rsid w:val="002723E9"/>
    <w:rsid w:val="00277929"/>
    <w:rsid w:val="00283B82"/>
    <w:rsid w:val="002845CE"/>
    <w:rsid w:val="002846E9"/>
    <w:rsid w:val="00284C34"/>
    <w:rsid w:val="0029066C"/>
    <w:rsid w:val="00291D3D"/>
    <w:rsid w:val="002A22A5"/>
    <w:rsid w:val="002A35A8"/>
    <w:rsid w:val="002B50DB"/>
    <w:rsid w:val="002C12AB"/>
    <w:rsid w:val="002C7CAC"/>
    <w:rsid w:val="002D3306"/>
    <w:rsid w:val="002D48AA"/>
    <w:rsid w:val="002D7BAA"/>
    <w:rsid w:val="002D7F54"/>
    <w:rsid w:val="002E1CC5"/>
    <w:rsid w:val="002E3FF4"/>
    <w:rsid w:val="002E4F44"/>
    <w:rsid w:val="002F23DF"/>
    <w:rsid w:val="002F25E3"/>
    <w:rsid w:val="002F3B67"/>
    <w:rsid w:val="002F78C8"/>
    <w:rsid w:val="00301CF3"/>
    <w:rsid w:val="00302996"/>
    <w:rsid w:val="003121B2"/>
    <w:rsid w:val="00312A86"/>
    <w:rsid w:val="003153B1"/>
    <w:rsid w:val="00317391"/>
    <w:rsid w:val="0032715C"/>
    <w:rsid w:val="00337CA5"/>
    <w:rsid w:val="00344766"/>
    <w:rsid w:val="00354327"/>
    <w:rsid w:val="00354450"/>
    <w:rsid w:val="00355BD6"/>
    <w:rsid w:val="00362478"/>
    <w:rsid w:val="0036307B"/>
    <w:rsid w:val="003670CE"/>
    <w:rsid w:val="00375308"/>
    <w:rsid w:val="00375B25"/>
    <w:rsid w:val="00394012"/>
    <w:rsid w:val="00396542"/>
    <w:rsid w:val="0039685B"/>
    <w:rsid w:val="003A35FF"/>
    <w:rsid w:val="003A7F0C"/>
    <w:rsid w:val="003A7F79"/>
    <w:rsid w:val="003B1588"/>
    <w:rsid w:val="003B6404"/>
    <w:rsid w:val="003D0BEA"/>
    <w:rsid w:val="003D21FF"/>
    <w:rsid w:val="003E578D"/>
    <w:rsid w:val="003F0112"/>
    <w:rsid w:val="003F071A"/>
    <w:rsid w:val="003F160B"/>
    <w:rsid w:val="003F2799"/>
    <w:rsid w:val="003F542D"/>
    <w:rsid w:val="00400032"/>
    <w:rsid w:val="00400B5B"/>
    <w:rsid w:val="00405A00"/>
    <w:rsid w:val="00410878"/>
    <w:rsid w:val="00411D86"/>
    <w:rsid w:val="00420870"/>
    <w:rsid w:val="00423EB0"/>
    <w:rsid w:val="00425EFC"/>
    <w:rsid w:val="0042670E"/>
    <w:rsid w:val="00441483"/>
    <w:rsid w:val="00441BCB"/>
    <w:rsid w:val="00443C46"/>
    <w:rsid w:val="0045176A"/>
    <w:rsid w:val="00454672"/>
    <w:rsid w:val="00454956"/>
    <w:rsid w:val="00456332"/>
    <w:rsid w:val="00457421"/>
    <w:rsid w:val="00461245"/>
    <w:rsid w:val="00467526"/>
    <w:rsid w:val="004702F1"/>
    <w:rsid w:val="00473000"/>
    <w:rsid w:val="00474E28"/>
    <w:rsid w:val="004800F9"/>
    <w:rsid w:val="00486C79"/>
    <w:rsid w:val="0049134A"/>
    <w:rsid w:val="00496CBA"/>
    <w:rsid w:val="004A173A"/>
    <w:rsid w:val="004A58CB"/>
    <w:rsid w:val="004A5912"/>
    <w:rsid w:val="004A6A08"/>
    <w:rsid w:val="004B1795"/>
    <w:rsid w:val="004B56DD"/>
    <w:rsid w:val="004C1AFD"/>
    <w:rsid w:val="004C558B"/>
    <w:rsid w:val="004D1BEF"/>
    <w:rsid w:val="004D6798"/>
    <w:rsid w:val="004E1400"/>
    <w:rsid w:val="004F1066"/>
    <w:rsid w:val="004F1F88"/>
    <w:rsid w:val="004F5F1B"/>
    <w:rsid w:val="00502374"/>
    <w:rsid w:val="00516072"/>
    <w:rsid w:val="00516E16"/>
    <w:rsid w:val="00522B31"/>
    <w:rsid w:val="00531E22"/>
    <w:rsid w:val="005332EC"/>
    <w:rsid w:val="00534418"/>
    <w:rsid w:val="005350B4"/>
    <w:rsid w:val="00535162"/>
    <w:rsid w:val="005353AB"/>
    <w:rsid w:val="00536177"/>
    <w:rsid w:val="00544B57"/>
    <w:rsid w:val="005524F5"/>
    <w:rsid w:val="005560BC"/>
    <w:rsid w:val="005573BE"/>
    <w:rsid w:val="005627DC"/>
    <w:rsid w:val="00572700"/>
    <w:rsid w:val="00573E02"/>
    <w:rsid w:val="00580468"/>
    <w:rsid w:val="00582B9E"/>
    <w:rsid w:val="00583F42"/>
    <w:rsid w:val="0058603B"/>
    <w:rsid w:val="0059431B"/>
    <w:rsid w:val="005A39CC"/>
    <w:rsid w:val="005A4E8A"/>
    <w:rsid w:val="005B4730"/>
    <w:rsid w:val="005C34E5"/>
    <w:rsid w:val="005E05D7"/>
    <w:rsid w:val="005E41E7"/>
    <w:rsid w:val="005E450F"/>
    <w:rsid w:val="005F51CF"/>
    <w:rsid w:val="006108E2"/>
    <w:rsid w:val="00611A0F"/>
    <w:rsid w:val="00611C6E"/>
    <w:rsid w:val="0062298A"/>
    <w:rsid w:val="00626514"/>
    <w:rsid w:val="00626589"/>
    <w:rsid w:val="006339A0"/>
    <w:rsid w:val="006413A8"/>
    <w:rsid w:val="006421C6"/>
    <w:rsid w:val="00642E56"/>
    <w:rsid w:val="0064318F"/>
    <w:rsid w:val="00651E00"/>
    <w:rsid w:val="006601F1"/>
    <w:rsid w:val="00666A7D"/>
    <w:rsid w:val="00667067"/>
    <w:rsid w:val="00672EE2"/>
    <w:rsid w:val="00674572"/>
    <w:rsid w:val="006817D2"/>
    <w:rsid w:val="006831E5"/>
    <w:rsid w:val="00687763"/>
    <w:rsid w:val="00692B0D"/>
    <w:rsid w:val="00693E0E"/>
    <w:rsid w:val="006961E0"/>
    <w:rsid w:val="006A1AE3"/>
    <w:rsid w:val="006A59B2"/>
    <w:rsid w:val="006B0713"/>
    <w:rsid w:val="006B33CE"/>
    <w:rsid w:val="006B49C2"/>
    <w:rsid w:val="006C0392"/>
    <w:rsid w:val="006C195A"/>
    <w:rsid w:val="006C30E1"/>
    <w:rsid w:val="006D47F4"/>
    <w:rsid w:val="006D48F1"/>
    <w:rsid w:val="006F45BE"/>
    <w:rsid w:val="006F613D"/>
    <w:rsid w:val="007004FC"/>
    <w:rsid w:val="00703B83"/>
    <w:rsid w:val="00706670"/>
    <w:rsid w:val="00715EA1"/>
    <w:rsid w:val="0072417C"/>
    <w:rsid w:val="00730685"/>
    <w:rsid w:val="00730991"/>
    <w:rsid w:val="00734450"/>
    <w:rsid w:val="00735001"/>
    <w:rsid w:val="00745F67"/>
    <w:rsid w:val="0075047C"/>
    <w:rsid w:val="00751215"/>
    <w:rsid w:val="00752D9D"/>
    <w:rsid w:val="00754784"/>
    <w:rsid w:val="00757C6E"/>
    <w:rsid w:val="00762BDA"/>
    <w:rsid w:val="007642F3"/>
    <w:rsid w:val="00765793"/>
    <w:rsid w:val="00765A19"/>
    <w:rsid w:val="00770F17"/>
    <w:rsid w:val="007719E9"/>
    <w:rsid w:val="00772050"/>
    <w:rsid w:val="00772AFE"/>
    <w:rsid w:val="007805FD"/>
    <w:rsid w:val="00784422"/>
    <w:rsid w:val="00796626"/>
    <w:rsid w:val="007B3B54"/>
    <w:rsid w:val="007B3FA0"/>
    <w:rsid w:val="007B5D13"/>
    <w:rsid w:val="007B6C41"/>
    <w:rsid w:val="007C2BCC"/>
    <w:rsid w:val="007C4EF0"/>
    <w:rsid w:val="007D1842"/>
    <w:rsid w:val="007D57E2"/>
    <w:rsid w:val="007D768E"/>
    <w:rsid w:val="007E2664"/>
    <w:rsid w:val="007E2D63"/>
    <w:rsid w:val="007E3ABF"/>
    <w:rsid w:val="007E5BFA"/>
    <w:rsid w:val="007E6689"/>
    <w:rsid w:val="007E731C"/>
    <w:rsid w:val="007F0A03"/>
    <w:rsid w:val="007F5A5C"/>
    <w:rsid w:val="00802161"/>
    <w:rsid w:val="00810040"/>
    <w:rsid w:val="0082023A"/>
    <w:rsid w:val="00821A7A"/>
    <w:rsid w:val="008253F8"/>
    <w:rsid w:val="008271D2"/>
    <w:rsid w:val="00831045"/>
    <w:rsid w:val="00832A2B"/>
    <w:rsid w:val="008406E5"/>
    <w:rsid w:val="00841EA7"/>
    <w:rsid w:val="00846994"/>
    <w:rsid w:val="00850451"/>
    <w:rsid w:val="00851DE5"/>
    <w:rsid w:val="00852042"/>
    <w:rsid w:val="008534C9"/>
    <w:rsid w:val="0085599D"/>
    <w:rsid w:val="008630F0"/>
    <w:rsid w:val="0087510C"/>
    <w:rsid w:val="008754F6"/>
    <w:rsid w:val="00886F16"/>
    <w:rsid w:val="008915A9"/>
    <w:rsid w:val="0089738E"/>
    <w:rsid w:val="008B1C6F"/>
    <w:rsid w:val="008B5FDB"/>
    <w:rsid w:val="008C5649"/>
    <w:rsid w:val="008C6487"/>
    <w:rsid w:val="008D5461"/>
    <w:rsid w:val="008E44A2"/>
    <w:rsid w:val="008E697D"/>
    <w:rsid w:val="008E79BA"/>
    <w:rsid w:val="008F339E"/>
    <w:rsid w:val="008F4894"/>
    <w:rsid w:val="00903263"/>
    <w:rsid w:val="00906A21"/>
    <w:rsid w:val="009079C3"/>
    <w:rsid w:val="00910462"/>
    <w:rsid w:val="00915AB1"/>
    <w:rsid w:val="00917532"/>
    <w:rsid w:val="00922175"/>
    <w:rsid w:val="009235BA"/>
    <w:rsid w:val="00924CE2"/>
    <w:rsid w:val="00925B9F"/>
    <w:rsid w:val="0092698A"/>
    <w:rsid w:val="00931AED"/>
    <w:rsid w:val="009476A3"/>
    <w:rsid w:val="009502C6"/>
    <w:rsid w:val="0095334F"/>
    <w:rsid w:val="009538D9"/>
    <w:rsid w:val="0095584B"/>
    <w:rsid w:val="00955A8C"/>
    <w:rsid w:val="00960A6A"/>
    <w:rsid w:val="009638D0"/>
    <w:rsid w:val="00965897"/>
    <w:rsid w:val="0096765C"/>
    <w:rsid w:val="009727E4"/>
    <w:rsid w:val="009862B6"/>
    <w:rsid w:val="0099242E"/>
    <w:rsid w:val="009934C5"/>
    <w:rsid w:val="00994C0F"/>
    <w:rsid w:val="009958F4"/>
    <w:rsid w:val="009B22D7"/>
    <w:rsid w:val="009B6AD9"/>
    <w:rsid w:val="009B72ED"/>
    <w:rsid w:val="009C6DEB"/>
    <w:rsid w:val="009D0AF2"/>
    <w:rsid w:val="009D6504"/>
    <w:rsid w:val="009E661A"/>
    <w:rsid w:val="00A00B5F"/>
    <w:rsid w:val="00A049A1"/>
    <w:rsid w:val="00A05A5C"/>
    <w:rsid w:val="00A06781"/>
    <w:rsid w:val="00A1509C"/>
    <w:rsid w:val="00A17216"/>
    <w:rsid w:val="00A21159"/>
    <w:rsid w:val="00A21589"/>
    <w:rsid w:val="00A34260"/>
    <w:rsid w:val="00A35F8B"/>
    <w:rsid w:val="00A41105"/>
    <w:rsid w:val="00A5086A"/>
    <w:rsid w:val="00A535E0"/>
    <w:rsid w:val="00A5693B"/>
    <w:rsid w:val="00A66577"/>
    <w:rsid w:val="00A70CFD"/>
    <w:rsid w:val="00A72A0B"/>
    <w:rsid w:val="00A81E42"/>
    <w:rsid w:val="00A864FE"/>
    <w:rsid w:val="00A86F41"/>
    <w:rsid w:val="00A87D04"/>
    <w:rsid w:val="00A92A40"/>
    <w:rsid w:val="00A950C5"/>
    <w:rsid w:val="00AA1D25"/>
    <w:rsid w:val="00AA26D0"/>
    <w:rsid w:val="00AA7671"/>
    <w:rsid w:val="00AB2B1A"/>
    <w:rsid w:val="00AB397F"/>
    <w:rsid w:val="00AB5832"/>
    <w:rsid w:val="00AC49CC"/>
    <w:rsid w:val="00AC4BBB"/>
    <w:rsid w:val="00AC51F2"/>
    <w:rsid w:val="00AC678C"/>
    <w:rsid w:val="00AD4A29"/>
    <w:rsid w:val="00AE5066"/>
    <w:rsid w:val="00AE5E24"/>
    <w:rsid w:val="00AE61B7"/>
    <w:rsid w:val="00AE6CBA"/>
    <w:rsid w:val="00AE79AD"/>
    <w:rsid w:val="00AF35E4"/>
    <w:rsid w:val="00AF5CDE"/>
    <w:rsid w:val="00B025E9"/>
    <w:rsid w:val="00B11A57"/>
    <w:rsid w:val="00B25597"/>
    <w:rsid w:val="00B267B9"/>
    <w:rsid w:val="00B2780B"/>
    <w:rsid w:val="00B33E09"/>
    <w:rsid w:val="00B35711"/>
    <w:rsid w:val="00B375BB"/>
    <w:rsid w:val="00B50708"/>
    <w:rsid w:val="00B50C68"/>
    <w:rsid w:val="00B51293"/>
    <w:rsid w:val="00B52B1E"/>
    <w:rsid w:val="00B55481"/>
    <w:rsid w:val="00B56C32"/>
    <w:rsid w:val="00B57ACF"/>
    <w:rsid w:val="00B64BB1"/>
    <w:rsid w:val="00B73166"/>
    <w:rsid w:val="00B8197B"/>
    <w:rsid w:val="00B83FF5"/>
    <w:rsid w:val="00B8426C"/>
    <w:rsid w:val="00B91B8D"/>
    <w:rsid w:val="00B936BC"/>
    <w:rsid w:val="00B94E90"/>
    <w:rsid w:val="00BA39A7"/>
    <w:rsid w:val="00BA4E29"/>
    <w:rsid w:val="00BB0A82"/>
    <w:rsid w:val="00BB7434"/>
    <w:rsid w:val="00BB7C94"/>
    <w:rsid w:val="00BC0A9D"/>
    <w:rsid w:val="00BD05AF"/>
    <w:rsid w:val="00BD0F8C"/>
    <w:rsid w:val="00BE757B"/>
    <w:rsid w:val="00BF5BC2"/>
    <w:rsid w:val="00BF5CBD"/>
    <w:rsid w:val="00C068B2"/>
    <w:rsid w:val="00C1133D"/>
    <w:rsid w:val="00C154E6"/>
    <w:rsid w:val="00C2331B"/>
    <w:rsid w:val="00C27A08"/>
    <w:rsid w:val="00C31312"/>
    <w:rsid w:val="00C31A04"/>
    <w:rsid w:val="00C326C6"/>
    <w:rsid w:val="00C3490D"/>
    <w:rsid w:val="00C35295"/>
    <w:rsid w:val="00C36ADD"/>
    <w:rsid w:val="00C36E74"/>
    <w:rsid w:val="00C40595"/>
    <w:rsid w:val="00C41621"/>
    <w:rsid w:val="00C44185"/>
    <w:rsid w:val="00C449FA"/>
    <w:rsid w:val="00C47A9C"/>
    <w:rsid w:val="00C47AD9"/>
    <w:rsid w:val="00C537B1"/>
    <w:rsid w:val="00C5384F"/>
    <w:rsid w:val="00C56964"/>
    <w:rsid w:val="00C656D5"/>
    <w:rsid w:val="00C67103"/>
    <w:rsid w:val="00C71BB9"/>
    <w:rsid w:val="00C728FA"/>
    <w:rsid w:val="00C74489"/>
    <w:rsid w:val="00C82E11"/>
    <w:rsid w:val="00C86A4D"/>
    <w:rsid w:val="00C94C28"/>
    <w:rsid w:val="00CB0247"/>
    <w:rsid w:val="00CB3440"/>
    <w:rsid w:val="00CC1692"/>
    <w:rsid w:val="00CC7CBC"/>
    <w:rsid w:val="00CC7CC4"/>
    <w:rsid w:val="00CD138B"/>
    <w:rsid w:val="00CD3E31"/>
    <w:rsid w:val="00CD74A3"/>
    <w:rsid w:val="00CE0527"/>
    <w:rsid w:val="00CE5B23"/>
    <w:rsid w:val="00CF143F"/>
    <w:rsid w:val="00CF26B9"/>
    <w:rsid w:val="00CF70AD"/>
    <w:rsid w:val="00CF7729"/>
    <w:rsid w:val="00D107FA"/>
    <w:rsid w:val="00D10AE9"/>
    <w:rsid w:val="00D12275"/>
    <w:rsid w:val="00D12347"/>
    <w:rsid w:val="00D12766"/>
    <w:rsid w:val="00D20108"/>
    <w:rsid w:val="00D20FF4"/>
    <w:rsid w:val="00D24D2C"/>
    <w:rsid w:val="00D35881"/>
    <w:rsid w:val="00D376CA"/>
    <w:rsid w:val="00D40E96"/>
    <w:rsid w:val="00D4175F"/>
    <w:rsid w:val="00D450D2"/>
    <w:rsid w:val="00D50368"/>
    <w:rsid w:val="00D5369C"/>
    <w:rsid w:val="00D54C1B"/>
    <w:rsid w:val="00D62298"/>
    <w:rsid w:val="00D669A4"/>
    <w:rsid w:val="00D805E3"/>
    <w:rsid w:val="00D918E2"/>
    <w:rsid w:val="00D9286F"/>
    <w:rsid w:val="00DA0C11"/>
    <w:rsid w:val="00DA5EFF"/>
    <w:rsid w:val="00DA7DA5"/>
    <w:rsid w:val="00DB073B"/>
    <w:rsid w:val="00DB78F0"/>
    <w:rsid w:val="00DC2E43"/>
    <w:rsid w:val="00DD095C"/>
    <w:rsid w:val="00DD1330"/>
    <w:rsid w:val="00DD640E"/>
    <w:rsid w:val="00DE0B83"/>
    <w:rsid w:val="00DE1A81"/>
    <w:rsid w:val="00DE4E10"/>
    <w:rsid w:val="00DF40B4"/>
    <w:rsid w:val="00E01740"/>
    <w:rsid w:val="00E02ABF"/>
    <w:rsid w:val="00E053C3"/>
    <w:rsid w:val="00E05562"/>
    <w:rsid w:val="00E06A3F"/>
    <w:rsid w:val="00E14995"/>
    <w:rsid w:val="00E179CD"/>
    <w:rsid w:val="00E23E8D"/>
    <w:rsid w:val="00E2505F"/>
    <w:rsid w:val="00E2762A"/>
    <w:rsid w:val="00E31F4F"/>
    <w:rsid w:val="00E32101"/>
    <w:rsid w:val="00E33EB6"/>
    <w:rsid w:val="00E37F98"/>
    <w:rsid w:val="00E42C0D"/>
    <w:rsid w:val="00E46559"/>
    <w:rsid w:val="00E52469"/>
    <w:rsid w:val="00E52DC6"/>
    <w:rsid w:val="00E5725B"/>
    <w:rsid w:val="00E64353"/>
    <w:rsid w:val="00E6670C"/>
    <w:rsid w:val="00E66F17"/>
    <w:rsid w:val="00E776E8"/>
    <w:rsid w:val="00E80A0E"/>
    <w:rsid w:val="00E92C1F"/>
    <w:rsid w:val="00E95D4B"/>
    <w:rsid w:val="00E961AA"/>
    <w:rsid w:val="00EA4165"/>
    <w:rsid w:val="00EA6C93"/>
    <w:rsid w:val="00EB199F"/>
    <w:rsid w:val="00EB2EF5"/>
    <w:rsid w:val="00EC23F7"/>
    <w:rsid w:val="00EC42E0"/>
    <w:rsid w:val="00EC4BD8"/>
    <w:rsid w:val="00EC63EB"/>
    <w:rsid w:val="00ED2CA1"/>
    <w:rsid w:val="00ED412F"/>
    <w:rsid w:val="00EE07C9"/>
    <w:rsid w:val="00EE7C3F"/>
    <w:rsid w:val="00EF18BC"/>
    <w:rsid w:val="00EF36B2"/>
    <w:rsid w:val="00F201EC"/>
    <w:rsid w:val="00F2043F"/>
    <w:rsid w:val="00F208A9"/>
    <w:rsid w:val="00F5697A"/>
    <w:rsid w:val="00F601E2"/>
    <w:rsid w:val="00F7454F"/>
    <w:rsid w:val="00F77988"/>
    <w:rsid w:val="00F77F48"/>
    <w:rsid w:val="00F90650"/>
    <w:rsid w:val="00F917CF"/>
    <w:rsid w:val="00FA5FA2"/>
    <w:rsid w:val="00FA7BE0"/>
    <w:rsid w:val="00FB30F1"/>
    <w:rsid w:val="00FB53E7"/>
    <w:rsid w:val="00FB6B03"/>
    <w:rsid w:val="00FC4C30"/>
    <w:rsid w:val="00FC7F31"/>
    <w:rsid w:val="00FD0D8B"/>
    <w:rsid w:val="00FD1ECC"/>
    <w:rsid w:val="00FD6E18"/>
    <w:rsid w:val="00FE5C18"/>
    <w:rsid w:val="00FE7BB0"/>
    <w:rsid w:val="00FF12E8"/>
    <w:rsid w:val="00FF33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4">
    <w:name w:val="heading 4"/>
    <w:basedOn w:val="Normal"/>
    <w:next w:val="Normal"/>
    <w:qFormat/>
    <w:rsid w:val="00354450"/>
    <w:pPr>
      <w:keepNext/>
      <w:spacing w:before="240" w:after="60"/>
      <w:outlineLvl w:val="3"/>
    </w:pPr>
    <w:rPr>
      <w:b/>
      <w:bCs/>
      <w:sz w:val="28"/>
      <w:szCs w:val="28"/>
    </w:rPr>
  </w:style>
  <w:style w:type="paragraph" w:styleId="Heading5">
    <w:name w:val="heading 5"/>
    <w:basedOn w:val="Normal"/>
    <w:next w:val="Normal"/>
    <w:link w:val="Heading5Char"/>
    <w:qFormat/>
    <w:rsid w:val="00802161"/>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4A173A"/>
    <w:pPr>
      <w:spacing w:before="100" w:beforeAutospacing="1" w:after="100" w:afterAutospacing="1"/>
    </w:pPr>
  </w:style>
  <w:style w:type="paragraph" w:styleId="Title">
    <w:name w:val="Title"/>
    <w:basedOn w:val="Normal"/>
    <w:qFormat/>
    <w:rsid w:val="00354450"/>
    <w:pPr>
      <w:ind w:right="72"/>
      <w:jc w:val="center"/>
    </w:pPr>
    <w:rPr>
      <w:b/>
      <w:bCs/>
      <w:sz w:val="26"/>
    </w:rPr>
  </w:style>
  <w:style w:type="paragraph" w:styleId="HTMLPreformatted">
    <w:name w:val="HTML Preformatted"/>
    <w:basedOn w:val="Normal"/>
    <w:rsid w:val="0035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4">
    <w:name w:val="Char Char4"/>
    <w:basedOn w:val="DefaultParagraphFont"/>
    <w:semiHidden/>
    <w:rsid w:val="00EF18BC"/>
    <w:rPr>
      <w:sz w:val="24"/>
      <w:szCs w:val="24"/>
      <w:lang w:val="lv-LV" w:eastAsia="lv-LV" w:bidi="ar-SA"/>
    </w:rPr>
  </w:style>
  <w:style w:type="paragraph" w:styleId="BodyText">
    <w:name w:val="Body Text"/>
    <w:basedOn w:val="Normal"/>
    <w:link w:val="BodyTextChar"/>
    <w:rsid w:val="003D0BEA"/>
    <w:pPr>
      <w:spacing w:after="120"/>
    </w:pPr>
    <w:rPr>
      <w:lang w:val="en-GB" w:eastAsia="en-US"/>
    </w:rPr>
  </w:style>
  <w:style w:type="character" w:customStyle="1" w:styleId="BodyTextChar">
    <w:name w:val="Body Text Char"/>
    <w:basedOn w:val="DefaultParagraphFont"/>
    <w:link w:val="BodyText"/>
    <w:rsid w:val="003D0BEA"/>
    <w:rPr>
      <w:sz w:val="24"/>
      <w:szCs w:val="24"/>
      <w:lang w:val="en-GB" w:eastAsia="en-US"/>
    </w:rPr>
  </w:style>
  <w:style w:type="paragraph" w:styleId="ListParagraph">
    <w:name w:val="List Paragraph"/>
    <w:basedOn w:val="Normal"/>
    <w:uiPriority w:val="34"/>
    <w:qFormat/>
    <w:rsid w:val="003D0BEA"/>
    <w:pPr>
      <w:ind w:left="720"/>
      <w:contextualSpacing/>
    </w:pPr>
    <w:rPr>
      <w:lang w:val="en-GB" w:eastAsia="en-US"/>
    </w:rPr>
  </w:style>
  <w:style w:type="character" w:customStyle="1" w:styleId="Heading5Char">
    <w:name w:val="Heading 5 Char"/>
    <w:basedOn w:val="DefaultParagraphFont"/>
    <w:link w:val="Heading5"/>
    <w:rsid w:val="00802161"/>
    <w:rPr>
      <w:rFonts w:ascii="Calibri" w:hAnsi="Calibri"/>
      <w:b/>
      <w:bCs/>
      <w:i/>
      <w:iCs/>
      <w:sz w:val="26"/>
      <w:szCs w:val="26"/>
      <w:lang w:val="en-GB" w:eastAsia="en-US"/>
    </w:rPr>
  </w:style>
  <w:style w:type="paragraph" w:styleId="NoSpacing">
    <w:name w:val="No Spacing"/>
    <w:uiPriority w:val="1"/>
    <w:qFormat/>
    <w:rsid w:val="00802161"/>
    <w:rPr>
      <w:sz w:val="24"/>
      <w:szCs w:val="24"/>
      <w:lang w:val="en-GB" w:eastAsia="en-US"/>
    </w:rPr>
  </w:style>
  <w:style w:type="paragraph" w:customStyle="1" w:styleId="Default">
    <w:name w:val="Default"/>
    <w:rsid w:val="00BD0F8C"/>
    <w:pPr>
      <w:autoSpaceDE w:val="0"/>
      <w:autoSpaceDN w:val="0"/>
      <w:adjustRightInd w:val="0"/>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divs>
    <w:div w:id="7285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spars.karolis@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10</Pages>
  <Words>12663</Words>
  <Characters>7219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projekta "Noteikumi par Latvijas Republikas valsts robežas joslu, pierobežas joslu un pierobežu, kā arī pierobežas, pierobežas joslas un valsts robežas joslas norādījuma zīmju un informatīvo norāžu paraugiem un to uzstādīšanas </vt:lpstr>
    </vt:vector>
  </TitlesOfParts>
  <Company>Valsts robežsardze, Iekšlietu ministrija</Company>
  <LinksUpToDate>false</LinksUpToDate>
  <CharactersWithSpaces>19843</CharactersWithSpaces>
  <SharedDoc>false</SharedDoc>
  <HLinks>
    <vt:vector size="6" baseType="variant">
      <vt:variant>
        <vt:i4>1507381</vt:i4>
      </vt:variant>
      <vt:variant>
        <vt:i4>0</vt:i4>
      </vt:variant>
      <vt:variant>
        <vt:i4>0</vt:i4>
      </vt:variant>
      <vt:variant>
        <vt:i4>5</vt:i4>
      </vt:variant>
      <vt:variant>
        <vt:lpwstr>mailto:kaspars.karolis@izm.gov.lv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Latvijas Republikas valsts robežas joslu, pierobežas joslu un pierobežu, kā arī pierobežas, pierobežas joslas un valsts robežas joslas norādījuma zīmju un informatīvo norāžu paraugiem un to uzstādīšanas kārtību" sākotnējās ietekmes novērtējuma ziņojums (anotācija)</dc:title>
  <dc:subject>sākotnējās ietekmes novērtējuma ziņojums (anotācija)</dc:subject>
  <dc:creator>A.Čubars</dc:creator>
  <cp:keywords/>
  <dc:description>67075614, agris.cubars@rs.gov.lv</dc:description>
  <cp:lastModifiedBy>Marika Pudāne</cp:lastModifiedBy>
  <cp:revision>6</cp:revision>
  <cp:lastPrinted>2011-01-17T10:31:00Z</cp:lastPrinted>
  <dcterms:created xsi:type="dcterms:W3CDTF">2010-09-21T11:02:00Z</dcterms:created>
  <dcterms:modified xsi:type="dcterms:W3CDTF">2011-01-17T10:31:00Z</dcterms:modified>
</cp:coreProperties>
</file>