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2" w:rsidRPr="00AE03F2" w:rsidRDefault="00AE03F2" w:rsidP="00AE03F2">
      <w:pPr>
        <w:contextualSpacing/>
        <w:jc w:val="center"/>
        <w:rPr>
          <w:b/>
          <w:bCs/>
          <w:sz w:val="28"/>
          <w:szCs w:val="28"/>
        </w:rPr>
      </w:pPr>
      <w:r w:rsidRPr="00AE03F2">
        <w:rPr>
          <w:b/>
          <w:sz w:val="28"/>
          <w:szCs w:val="28"/>
        </w:rPr>
        <w:t xml:space="preserve"> </w:t>
      </w:r>
      <w:r w:rsidRPr="00AE03F2">
        <w:rPr>
          <w:b/>
          <w:color w:val="000000"/>
          <w:sz w:val="28"/>
          <w:szCs w:val="28"/>
        </w:rPr>
        <w:t>Ministru kabineta noteikumu projekta „</w:t>
      </w:r>
      <w:r w:rsidRPr="00AE03F2">
        <w:rPr>
          <w:b/>
          <w:bCs/>
          <w:sz w:val="28"/>
          <w:szCs w:val="28"/>
        </w:rPr>
        <w:t>Kārtība, kādā aprēķina, piešķir un izlieto valsts budžeta līdzekļus pašvaldībām pamatizglītības iestādes skolēnu ēdināšanai”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AE03F2" w:rsidRPr="00B71C06" w:rsidTr="002E7E71">
        <w:tc>
          <w:tcPr>
            <w:tcW w:w="9725" w:type="dxa"/>
            <w:gridSpan w:val="3"/>
            <w:vAlign w:val="center"/>
          </w:tcPr>
          <w:p w:rsidR="00AE03F2" w:rsidRPr="00B71C06" w:rsidRDefault="00AE03F2" w:rsidP="002E7E71">
            <w:pPr>
              <w:pStyle w:val="naisnod"/>
              <w:spacing w:before="0" w:after="0"/>
            </w:pPr>
            <w:r w:rsidRPr="00B71C06">
              <w:t>I. Tiesību akta projekta izstrādes nepieciešamība</w:t>
            </w:r>
          </w:p>
        </w:tc>
      </w:tr>
      <w:tr w:rsidR="00AE03F2" w:rsidRPr="00B71C06" w:rsidTr="002E7E71">
        <w:trPr>
          <w:trHeight w:val="630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1.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  <w:ind w:hanging="10"/>
            </w:pPr>
            <w:r w:rsidRPr="00B71C06">
              <w:t>Pamatojums</w:t>
            </w:r>
          </w:p>
        </w:tc>
        <w:tc>
          <w:tcPr>
            <w:tcW w:w="4860" w:type="dxa"/>
          </w:tcPr>
          <w:p w:rsidR="00F73FAF" w:rsidRDefault="00BF6880" w:rsidP="00F73FAF">
            <w:pPr>
              <w:pStyle w:val="naiskr"/>
              <w:spacing w:before="0" w:after="0"/>
              <w:ind w:hanging="5"/>
              <w:jc w:val="both"/>
            </w:pPr>
            <w:r>
              <w:t xml:space="preserve">     Saeimas Cilvēktiesību un sabiedrisko lietu komisijas Bērnu aizsardzības apakškomisijas 2010.gada 4.marta iniciatīvas vēstule Nr.9/4-6B-n/1-(9/10) Izglītības un zinātnes ministrijai, Labklājības ministrijai un Reģionālās attīstības un pašvaldību lietu ministrijai  par vienota regulējuma izstrādi izglītojamo ēdināšanai.</w:t>
            </w:r>
            <w:r w:rsidR="00F73FAF">
              <w:t xml:space="preserve"> </w:t>
            </w:r>
          </w:p>
          <w:p w:rsidR="00196DE6" w:rsidRPr="00B71C06" w:rsidRDefault="00F73FAF" w:rsidP="00FB0A4D">
            <w:pPr>
              <w:pStyle w:val="naiskr"/>
              <w:spacing w:before="0" w:after="0"/>
              <w:ind w:hanging="5"/>
              <w:jc w:val="both"/>
            </w:pPr>
            <w:r w:rsidRPr="00B71C06">
              <w:t xml:space="preserve"> </w:t>
            </w:r>
            <w:r>
              <w:t xml:space="preserve">  </w:t>
            </w:r>
          </w:p>
        </w:tc>
      </w:tr>
      <w:tr w:rsidR="00AE03F2" w:rsidRPr="00B71C06" w:rsidTr="002E7E71">
        <w:trPr>
          <w:trHeight w:val="472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2.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tabs>
                <w:tab w:val="left" w:pos="170"/>
              </w:tabs>
              <w:spacing w:before="0" w:after="0"/>
            </w:pPr>
            <w:r w:rsidRPr="00B71C06">
              <w:t>Pašreizējā situācija un problēmas</w:t>
            </w:r>
          </w:p>
        </w:tc>
        <w:tc>
          <w:tcPr>
            <w:tcW w:w="4860" w:type="dxa"/>
          </w:tcPr>
          <w:p w:rsidR="00675EA5" w:rsidRPr="00B71C06" w:rsidRDefault="00675EA5" w:rsidP="00675EA5">
            <w:pPr>
              <w:jc w:val="both"/>
            </w:pPr>
            <w:r w:rsidRPr="00B71C06">
              <w:t xml:space="preserve">     </w:t>
            </w:r>
            <w:r w:rsidR="00BF6880" w:rsidRPr="00B729AB">
              <w:rPr>
                <w:bCs/>
                <w:szCs w:val="28"/>
              </w:rPr>
              <w:t xml:space="preserve"> Ministru kabineta</w:t>
            </w:r>
            <w:r w:rsidR="00BF6880">
              <w:rPr>
                <w:bCs/>
                <w:szCs w:val="28"/>
              </w:rPr>
              <w:t xml:space="preserve"> </w:t>
            </w:r>
            <w:r w:rsidR="00BF6880" w:rsidRPr="00B729AB">
              <w:rPr>
                <w:bCs/>
                <w:szCs w:val="28"/>
              </w:rPr>
              <w:t xml:space="preserve"> </w:t>
            </w:r>
            <w:r w:rsidR="00BF6880">
              <w:rPr>
                <w:szCs w:val="28"/>
              </w:rPr>
              <w:t>2008.gada 28.jūlija</w:t>
            </w:r>
            <w:r w:rsidR="00BF6880" w:rsidRPr="00B729AB">
              <w:rPr>
                <w:bCs/>
                <w:szCs w:val="28"/>
              </w:rPr>
              <w:t xml:space="preserve"> noteikumi Nr.605</w:t>
            </w:r>
            <w:r w:rsidR="00BF6880" w:rsidRPr="00B729AB">
              <w:rPr>
                <w:szCs w:val="28"/>
              </w:rPr>
              <w:t xml:space="preserve"> </w:t>
            </w:r>
            <w:r w:rsidR="00BF6880">
              <w:rPr>
                <w:bCs/>
                <w:szCs w:val="28"/>
              </w:rPr>
              <w:t>„</w:t>
            </w:r>
            <w:r w:rsidR="00BF6880" w:rsidRPr="00B729AB">
              <w:rPr>
                <w:bCs/>
                <w:szCs w:val="28"/>
              </w:rPr>
              <w:t>Kārtība, kādā aprēķina, piešķir un izlieto valsts budžeta līdzekļus pamatizglītības iestādes skolēnu ēdināšanai</w:t>
            </w:r>
            <w:r w:rsidR="00BF6880">
              <w:rPr>
                <w:bCs/>
                <w:szCs w:val="28"/>
              </w:rPr>
              <w:t>”</w:t>
            </w:r>
            <w:r w:rsidR="00F73FAF">
              <w:rPr>
                <w:bCs/>
                <w:szCs w:val="28"/>
              </w:rPr>
              <w:t xml:space="preserve"> nosaka</w:t>
            </w:r>
            <w:r w:rsidR="00927394">
              <w:rPr>
                <w:bCs/>
                <w:szCs w:val="28"/>
              </w:rPr>
              <w:t xml:space="preserve"> kā</w:t>
            </w:r>
            <w:r w:rsidR="00927394" w:rsidRPr="00AE03F2">
              <w:rPr>
                <w:b/>
                <w:bCs/>
                <w:sz w:val="28"/>
                <w:szCs w:val="28"/>
              </w:rPr>
              <w:t xml:space="preserve"> </w:t>
            </w:r>
            <w:r w:rsidR="00927394" w:rsidRPr="00927394">
              <w:rPr>
                <w:bCs/>
              </w:rPr>
              <w:t>aprēķina, piešķir un izlieto valsts budžeta līdzekļus pašvaldībām</w:t>
            </w:r>
            <w:r w:rsidR="00927394">
              <w:rPr>
                <w:bCs/>
              </w:rPr>
              <w:t xml:space="preserve"> izglītojamo ēdināšanai.</w:t>
            </w:r>
            <w:r w:rsidR="00927394" w:rsidRPr="00AE03F2">
              <w:rPr>
                <w:b/>
                <w:bCs/>
                <w:sz w:val="28"/>
                <w:szCs w:val="28"/>
              </w:rPr>
              <w:t xml:space="preserve"> </w:t>
            </w:r>
            <w:r w:rsidR="00F73FAF">
              <w:rPr>
                <w:bCs/>
                <w:szCs w:val="28"/>
              </w:rPr>
              <w:t xml:space="preserve">  </w:t>
            </w:r>
            <w:r w:rsidR="00BF6880">
              <w:t xml:space="preserve">  </w:t>
            </w:r>
            <w:r w:rsidR="00927394">
              <w:t xml:space="preserve"> </w:t>
            </w:r>
            <w:r w:rsidR="00BF6880" w:rsidRPr="00B71C06">
              <w:t xml:space="preserve">  </w:t>
            </w:r>
            <w:r w:rsidR="004E336C">
              <w:t xml:space="preserve"> I</w:t>
            </w:r>
            <w:r w:rsidR="001E0F06">
              <w:t xml:space="preserve">zglītības un zinātnes </w:t>
            </w:r>
            <w:r w:rsidR="00BF6880" w:rsidRPr="00B71C06">
              <w:t>ministrija 2011.gadā plāno vienkāršot</w:t>
            </w:r>
            <w:r w:rsidR="00927394">
              <w:t>u</w:t>
            </w:r>
            <w:r w:rsidR="00BF6880" w:rsidRPr="00B71C06">
              <w:t xml:space="preserve"> finansēšanas un atskaitīšanās kārtību. Tādējādi  mazināsies birokrātiskā slodze izglītības iestādēm un pašvaldībām, tiks ieekonomēti cilvēku un laika resursi, kā arī palielināsies konkrētā finansējuma izlietojuma lietderība.</w:t>
            </w:r>
          </w:p>
          <w:p w:rsidR="00FB0A4D" w:rsidRDefault="00FB0A4D" w:rsidP="00675EA5">
            <w:pPr>
              <w:ind w:left="13" w:firstLine="540"/>
              <w:jc w:val="both"/>
            </w:pPr>
            <w:r w:rsidRPr="00B71C06">
              <w:t>Būtiskākais trūkums pašreizējā sistēmā ir sarežģītais izglītības iestāžu atskaitīšanās mehānisms</w:t>
            </w:r>
            <w:r>
              <w:t xml:space="preserve"> par valsts budžeta līdzekļiem izglītojamo ēdināšanai</w:t>
            </w:r>
            <w:r w:rsidRPr="00B71C06">
              <w:t>, kā arī ierobežotā mērķauditorija brīvpusdienu saņemšanai – tikai 1.klases izglītojamie.</w:t>
            </w:r>
          </w:p>
          <w:p w:rsidR="00675EA5" w:rsidRPr="00B71C06" w:rsidRDefault="001E0F06" w:rsidP="00675EA5">
            <w:pPr>
              <w:ind w:left="13" w:firstLine="540"/>
              <w:jc w:val="both"/>
            </w:pPr>
            <w:r>
              <w:t xml:space="preserve">Brīvpusdienas 1.klases </w:t>
            </w:r>
            <w:r w:rsidR="00BF6880">
              <w:t>izglītojamajiem</w:t>
            </w:r>
            <w:r w:rsidR="00675EA5" w:rsidRPr="00B71C06">
              <w:t xml:space="preserve"> ir veids,</w:t>
            </w:r>
            <w:r>
              <w:t xml:space="preserve"> kā atbalstīt ģimenes, kurās ir izglītojamie</w:t>
            </w:r>
            <w:r w:rsidR="00675EA5" w:rsidRPr="00B71C06">
              <w:t xml:space="preserve">, nepiešķirot naudu tiešā veidā, bet novirzot to tieši </w:t>
            </w:r>
            <w:r>
              <w:t xml:space="preserve">izglītojamā </w:t>
            </w:r>
            <w:r w:rsidR="00B8595B">
              <w:t>vajadzībām</w:t>
            </w:r>
            <w:r w:rsidR="00675EA5" w:rsidRPr="00B71C06">
              <w:t>, veicinot vienlīdzīgas  iespējas  neatkarīgi no vecāku mantiskā stāvokļa</w:t>
            </w:r>
            <w:r>
              <w:t>.</w:t>
            </w:r>
          </w:p>
          <w:p w:rsidR="00AE03F2" w:rsidRPr="00B71C06" w:rsidRDefault="00675EA5" w:rsidP="00B30C28">
            <w:pPr>
              <w:pStyle w:val="naiskr"/>
              <w:spacing w:before="0" w:after="0"/>
            </w:pPr>
            <w:r w:rsidRPr="00B71C06">
              <w:t xml:space="preserve">         </w:t>
            </w:r>
          </w:p>
        </w:tc>
      </w:tr>
      <w:tr w:rsidR="00AE03F2" w:rsidRPr="00B71C06" w:rsidTr="002E7E71">
        <w:trPr>
          <w:trHeight w:val="1071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3.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Saistītie politikas ietekmes novērtējumi un pētījumi</w:t>
            </w:r>
          </w:p>
        </w:tc>
        <w:tc>
          <w:tcPr>
            <w:tcW w:w="4860" w:type="dxa"/>
          </w:tcPr>
          <w:p w:rsidR="00AE03F2" w:rsidRPr="00B71C06" w:rsidRDefault="002405C7" w:rsidP="002E7E71">
            <w:pPr>
              <w:pStyle w:val="FootnoteText"/>
              <w:rPr>
                <w:sz w:val="24"/>
                <w:szCs w:val="24"/>
              </w:rPr>
            </w:pPr>
            <w:r w:rsidRPr="00B71C06">
              <w:rPr>
                <w:sz w:val="24"/>
                <w:szCs w:val="24"/>
              </w:rPr>
              <w:t>Nav attiecināms</w:t>
            </w:r>
          </w:p>
        </w:tc>
      </w:tr>
      <w:tr w:rsidR="00AE03F2" w:rsidRPr="00B71C06" w:rsidTr="002E7E71">
        <w:trPr>
          <w:trHeight w:val="384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4.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Tiesiskā regulējuma mērķis un būtība</w:t>
            </w:r>
          </w:p>
        </w:tc>
        <w:tc>
          <w:tcPr>
            <w:tcW w:w="4860" w:type="dxa"/>
          </w:tcPr>
          <w:p w:rsidR="00AE03F2" w:rsidRPr="001850FD" w:rsidRDefault="002405C7" w:rsidP="00A949D5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850FD">
              <w:rPr>
                <w:bCs/>
                <w:sz w:val="24"/>
                <w:szCs w:val="24"/>
              </w:rPr>
              <w:t xml:space="preserve">Noteikumu projekta mērķis </w:t>
            </w:r>
            <w:r w:rsidR="001850FD" w:rsidRPr="001850FD">
              <w:rPr>
                <w:sz w:val="24"/>
                <w:szCs w:val="24"/>
              </w:rPr>
              <w:t xml:space="preserve">ir vienkāršot izglītības iestāžu atskaitīšanās mehānismu par valsts budžeta līdzekļiem izglītojamo ēdināšanai un </w:t>
            </w:r>
            <w:r w:rsidRPr="001850FD">
              <w:rPr>
                <w:bCs/>
                <w:sz w:val="24"/>
                <w:szCs w:val="24"/>
              </w:rPr>
              <w:t xml:space="preserve"> nodrošināt </w:t>
            </w:r>
            <w:r w:rsidR="00675EA5" w:rsidRPr="001850FD">
              <w:rPr>
                <w:sz w:val="24"/>
                <w:szCs w:val="24"/>
              </w:rPr>
              <w:t>efektīvāku</w:t>
            </w:r>
            <w:r w:rsidRPr="001850FD">
              <w:rPr>
                <w:sz w:val="24"/>
                <w:szCs w:val="24"/>
              </w:rPr>
              <w:t xml:space="preserve"> finansēšanas un administrēšanas īstenošanu.</w:t>
            </w:r>
            <w:r w:rsidR="001850FD">
              <w:rPr>
                <w:sz w:val="24"/>
                <w:szCs w:val="24"/>
              </w:rPr>
              <w:t xml:space="preserve"> </w:t>
            </w:r>
            <w:r w:rsidR="00A949D5" w:rsidRPr="00E049BA">
              <w:rPr>
                <w:sz w:val="24"/>
                <w:szCs w:val="24"/>
              </w:rPr>
              <w:t xml:space="preserve">Tiek samazināts atskaišu daudzums no 7 aizpildāmām tabulām  uz </w:t>
            </w:r>
            <w:r w:rsidR="00A949D5" w:rsidRPr="00E049BA">
              <w:rPr>
                <w:sz w:val="24"/>
                <w:szCs w:val="24"/>
              </w:rPr>
              <w:lastRenderedPageBreak/>
              <w:t xml:space="preserve">vienu atskaišu tabulu. </w:t>
            </w:r>
            <w:r w:rsidR="001850FD">
              <w:rPr>
                <w:sz w:val="24"/>
                <w:szCs w:val="24"/>
              </w:rPr>
              <w:t>Paredzēts, ka i</w:t>
            </w:r>
            <w:r w:rsidR="001850FD" w:rsidRPr="001850FD">
              <w:rPr>
                <w:sz w:val="24"/>
                <w:szCs w:val="24"/>
              </w:rPr>
              <w:t>zglītības</w:t>
            </w:r>
            <w:r w:rsidR="001850FD">
              <w:rPr>
                <w:sz w:val="24"/>
                <w:szCs w:val="24"/>
              </w:rPr>
              <w:t xml:space="preserve"> iestādes direktors būs tiesīg</w:t>
            </w:r>
            <w:r w:rsidR="001850FD" w:rsidRPr="001850FD">
              <w:rPr>
                <w:sz w:val="24"/>
                <w:szCs w:val="24"/>
              </w:rPr>
              <w:t xml:space="preserve">s nodrošināt  arī citu </w:t>
            </w:r>
            <w:r w:rsidR="001850FD">
              <w:rPr>
                <w:sz w:val="24"/>
                <w:szCs w:val="24"/>
              </w:rPr>
              <w:t xml:space="preserve">pamatizglītības </w:t>
            </w:r>
            <w:r w:rsidR="001850FD" w:rsidRPr="001850FD">
              <w:rPr>
                <w:sz w:val="24"/>
                <w:szCs w:val="24"/>
              </w:rPr>
              <w:t xml:space="preserve">klašu izglītojamo ēdināšanu, </w:t>
            </w:r>
            <w:r w:rsidR="001850FD">
              <w:rPr>
                <w:sz w:val="24"/>
                <w:szCs w:val="24"/>
              </w:rPr>
              <w:t>ja radīsies</w:t>
            </w:r>
            <w:r w:rsidR="001850FD" w:rsidRPr="001850FD">
              <w:rPr>
                <w:sz w:val="24"/>
                <w:szCs w:val="24"/>
              </w:rPr>
              <w:t xml:space="preserve"> neizmantoti finanšu līdzekļi. </w:t>
            </w:r>
          </w:p>
        </w:tc>
      </w:tr>
      <w:tr w:rsidR="00AE03F2" w:rsidRPr="00B71C06" w:rsidTr="002E7E71">
        <w:trPr>
          <w:trHeight w:val="476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lastRenderedPageBreak/>
              <w:t>5.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Projekta izstrādē iesaistītās institūcijas</w:t>
            </w:r>
          </w:p>
        </w:tc>
        <w:tc>
          <w:tcPr>
            <w:tcW w:w="4860" w:type="dxa"/>
          </w:tcPr>
          <w:p w:rsidR="00AE03F2" w:rsidRPr="00E049BA" w:rsidRDefault="00546B70" w:rsidP="00EA1B72">
            <w:pPr>
              <w:pStyle w:val="naiskr"/>
              <w:spacing w:before="0" w:after="0"/>
              <w:jc w:val="both"/>
            </w:pPr>
            <w:r w:rsidRPr="00E049BA">
              <w:t>Pirms noteikumu projekta izstr</w:t>
            </w:r>
            <w:r w:rsidR="00E049BA" w:rsidRPr="00E049BA">
              <w:t>ādes tika veidota darba grupa v</w:t>
            </w:r>
            <w:r w:rsidRPr="00E049BA">
              <w:t>ienota regulējuma izstrād</w:t>
            </w:r>
            <w:r w:rsidR="00E049BA" w:rsidRPr="00E049BA">
              <w:t>ei skolēnu ēdināšanā</w:t>
            </w:r>
            <w:r w:rsidRPr="00E049BA">
              <w:t>, k</w:t>
            </w:r>
            <w:r w:rsidR="00964D84" w:rsidRPr="00E049BA">
              <w:t>uras uzdevums bija izvērtēt LR S</w:t>
            </w:r>
            <w:r w:rsidRPr="00E049BA">
              <w:t xml:space="preserve">aeimas Cilvēktiesību un sabiedrisko lietu komisijas Bērnu tiesību aizsardzības apakškomisijas ieteikumu. Darba grupas darbā  iesaistījās Labklājības ministrija un Latvijas Pašvaldību savienība. </w:t>
            </w:r>
          </w:p>
        </w:tc>
      </w:tr>
      <w:tr w:rsidR="00AE03F2" w:rsidRPr="00B71C06" w:rsidTr="002E7E71">
        <w:trPr>
          <w:trHeight w:val="1340"/>
        </w:trPr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6.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B71C06">
              <w:t>Iemesli, kādēļ netika nodrošināta sabiedrības līdzdalība</w:t>
            </w:r>
          </w:p>
        </w:tc>
        <w:tc>
          <w:tcPr>
            <w:tcW w:w="4860" w:type="dxa"/>
          </w:tcPr>
          <w:p w:rsidR="00AE03F2" w:rsidRDefault="002405C7" w:rsidP="00B30C28">
            <w:pPr>
              <w:pStyle w:val="FootnoteText"/>
              <w:jc w:val="both"/>
              <w:rPr>
                <w:sz w:val="24"/>
                <w:szCs w:val="24"/>
              </w:rPr>
            </w:pPr>
            <w:r w:rsidRPr="00B71C06">
              <w:rPr>
                <w:sz w:val="24"/>
                <w:szCs w:val="24"/>
              </w:rPr>
              <w:t>Sabiedrības līdzdalība netika nodrošināta, jo noteikumu projekts precizē projektu finansēšanas un administrēšanas izpildi, sabiedrības locekļiem neuzliekot nekādus papildu pienākumus, kā arī neatstājot uz tiem jebkādu cita veida ietekmi.</w:t>
            </w:r>
          </w:p>
          <w:p w:rsidR="00196DE6" w:rsidRPr="00B71C06" w:rsidRDefault="00196DE6" w:rsidP="002405C7">
            <w:pPr>
              <w:pStyle w:val="FootnoteText"/>
              <w:rPr>
                <w:sz w:val="24"/>
                <w:szCs w:val="24"/>
              </w:rPr>
            </w:pPr>
          </w:p>
        </w:tc>
      </w:tr>
      <w:tr w:rsidR="00AE03F2" w:rsidRPr="00B71C06" w:rsidTr="002E7E71">
        <w:tc>
          <w:tcPr>
            <w:tcW w:w="55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7.</w:t>
            </w:r>
          </w:p>
        </w:tc>
        <w:tc>
          <w:tcPr>
            <w:tcW w:w="431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Cita informācija</w:t>
            </w:r>
          </w:p>
        </w:tc>
        <w:tc>
          <w:tcPr>
            <w:tcW w:w="4860" w:type="dxa"/>
          </w:tcPr>
          <w:p w:rsidR="00AE03F2" w:rsidRPr="00B71C06" w:rsidRDefault="007B1EA2" w:rsidP="002E7E71">
            <w:pPr>
              <w:pStyle w:val="naiskr"/>
              <w:spacing w:before="0" w:after="0"/>
            </w:pPr>
            <w:r>
              <w:t>Notikušas konsultācijas ar Labklājības ministriju un Latvijas Pašvaldību savienību.</w:t>
            </w:r>
          </w:p>
        </w:tc>
      </w:tr>
    </w:tbl>
    <w:p w:rsidR="00AE03F2" w:rsidRPr="007C0F2C" w:rsidRDefault="00AE03F2" w:rsidP="00AE03F2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3"/>
        <w:gridCol w:w="4855"/>
        <w:gridCol w:w="4500"/>
      </w:tblGrid>
      <w:tr w:rsidR="00AE03F2" w:rsidRPr="00B71C06" w:rsidTr="00964D84">
        <w:tc>
          <w:tcPr>
            <w:tcW w:w="9758" w:type="dxa"/>
            <w:gridSpan w:val="3"/>
            <w:vAlign w:val="center"/>
          </w:tcPr>
          <w:p w:rsidR="00AE03F2" w:rsidRPr="00B71C06" w:rsidRDefault="00AE03F2" w:rsidP="002E7E71">
            <w:pPr>
              <w:pStyle w:val="naisnod"/>
              <w:spacing w:before="0" w:after="0"/>
            </w:pPr>
            <w:r w:rsidRPr="00B71C06">
              <w:t>II. Tiesību akta projekta ietekme uz sabiedrību</w:t>
            </w:r>
          </w:p>
        </w:tc>
      </w:tr>
      <w:tr w:rsidR="00AE03F2" w:rsidRPr="00B71C06" w:rsidTr="00964D84">
        <w:trPr>
          <w:trHeight w:val="467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1.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 xml:space="preserve">Sabiedrības </w:t>
            </w:r>
            <w:proofErr w:type="spellStart"/>
            <w:r w:rsidRPr="00B71C06">
              <w:t>mērķgrupa</w:t>
            </w:r>
            <w:proofErr w:type="spellEnd"/>
          </w:p>
        </w:tc>
        <w:tc>
          <w:tcPr>
            <w:tcW w:w="4500" w:type="dxa"/>
          </w:tcPr>
          <w:p w:rsidR="00C77850" w:rsidRPr="00C77850" w:rsidRDefault="00675EA5" w:rsidP="00B30C28">
            <w:pPr>
              <w:pStyle w:val="naiskr"/>
              <w:spacing w:before="0" w:after="0"/>
              <w:jc w:val="both"/>
            </w:pPr>
            <w:r w:rsidRPr="00C77850">
              <w:t xml:space="preserve">Tiks sniegts atbalsts ģimenēm, kurās </w:t>
            </w:r>
            <w:r w:rsidR="001850FD" w:rsidRPr="00C77850">
              <w:t xml:space="preserve">izglītojamie </w:t>
            </w:r>
            <w:r w:rsidRPr="00C77850">
              <w:t xml:space="preserve"> mācās 1.klasē</w:t>
            </w:r>
            <w:r w:rsidR="001850FD" w:rsidRPr="00C77850">
              <w:t>, novirzot to tieši izglītojamo</w:t>
            </w:r>
            <w:r w:rsidR="00B8595B">
              <w:t xml:space="preserve"> vajadzībām. </w:t>
            </w:r>
            <w:r w:rsidR="00C77850" w:rsidRPr="00C77850">
              <w:t>Paredzams, ka 2011.gadā  1.klasē mācīsies  ap  20 670 izglītojamo, 2012.gadā 1.klasē mācīsies ap 20 916 izglītojamo, 2013.gadā ap 21 881 izglītojamo</w:t>
            </w:r>
            <w:r w:rsidR="00EF088B">
              <w:t>.</w:t>
            </w:r>
          </w:p>
          <w:p w:rsidR="00AE03F2" w:rsidRPr="00B71C06" w:rsidRDefault="00AE03F2" w:rsidP="00C77850">
            <w:pPr>
              <w:pStyle w:val="naiskr"/>
              <w:spacing w:before="0" w:after="0"/>
              <w:ind w:hanging="57"/>
            </w:pPr>
          </w:p>
        </w:tc>
      </w:tr>
      <w:tr w:rsidR="00AE03F2" w:rsidRPr="00B71C06" w:rsidTr="00964D84">
        <w:trPr>
          <w:trHeight w:val="523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2.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 xml:space="preserve">Citas sabiedrības grupas (bez </w:t>
            </w:r>
            <w:proofErr w:type="spellStart"/>
            <w:r w:rsidRPr="00B71C06">
              <w:t>mērķgrupas</w:t>
            </w:r>
            <w:proofErr w:type="spellEnd"/>
            <w:r w:rsidRPr="00B71C06">
              <w:t>), kuras tiesiskais regulējums arī ietekmē vai varētu ietekmēt</w:t>
            </w:r>
          </w:p>
        </w:tc>
        <w:tc>
          <w:tcPr>
            <w:tcW w:w="4500" w:type="dxa"/>
          </w:tcPr>
          <w:p w:rsidR="00AE03F2" w:rsidRPr="00C77850" w:rsidRDefault="00196DE6" w:rsidP="00196DE6">
            <w:pPr>
              <w:pStyle w:val="naiskr"/>
              <w:spacing w:before="0" w:after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B71C06">
              <w:t>Nav attiecināms.</w:t>
            </w:r>
          </w:p>
        </w:tc>
      </w:tr>
      <w:tr w:rsidR="00AE03F2" w:rsidRPr="00B71C06" w:rsidTr="00964D84">
        <w:trPr>
          <w:trHeight w:val="517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3.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Tiesiskā regulējuma finansiālā ietekme</w:t>
            </w:r>
          </w:p>
        </w:tc>
        <w:tc>
          <w:tcPr>
            <w:tcW w:w="4500" w:type="dxa"/>
          </w:tcPr>
          <w:p w:rsidR="00AE03F2" w:rsidRPr="000B2442" w:rsidRDefault="00E049BA" w:rsidP="000B24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49BA">
              <w:t>Finanšu līdzekļi izglītojamo</w:t>
            </w:r>
            <w:r w:rsidR="00546B70" w:rsidRPr="00E049BA">
              <w:t xml:space="preserve"> ēdināšanai </w:t>
            </w:r>
            <w:r w:rsidRPr="00E049BA">
              <w:t xml:space="preserve">tiek </w:t>
            </w:r>
            <w:r w:rsidR="008279BE">
              <w:t>paredzēti</w:t>
            </w:r>
            <w:r w:rsidRPr="00E049BA">
              <w:t xml:space="preserve"> tādā pašā apmērā kā iepriekšējā gadā</w:t>
            </w:r>
            <w:r w:rsidR="00130E7B">
              <w:t>.</w:t>
            </w:r>
            <w:r w:rsidR="000B2442">
              <w:t xml:space="preserve"> </w:t>
            </w:r>
            <w:r w:rsidR="000B2442" w:rsidRPr="000B2442">
              <w:rPr>
                <w:rFonts w:eastAsiaTheme="minorHAnsi"/>
                <w:color w:val="000000"/>
                <w:lang w:eastAsia="en-US"/>
              </w:rPr>
              <w:t>Tā kā brīvpusdienas 1.klases izglītojamajiem tiek nodrošinātas no  valsts budžeta līdzekļiem, samazinās ģimeņu  izdevumi pirmklasnieku ēdināšanai, kā arī gadījumā, ja rodas finanšu līdzekļu ietaupījums, arī citu klašu izglītojamo ēdināšanai.</w:t>
            </w:r>
          </w:p>
        </w:tc>
      </w:tr>
      <w:tr w:rsidR="00AE03F2" w:rsidRPr="00B71C06" w:rsidTr="00964D84">
        <w:trPr>
          <w:trHeight w:val="517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4.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Tiesiskā regulējuma nefinansiālā ietekme</w:t>
            </w:r>
          </w:p>
        </w:tc>
        <w:tc>
          <w:tcPr>
            <w:tcW w:w="4500" w:type="dxa"/>
          </w:tcPr>
          <w:p w:rsidR="00AE03F2" w:rsidRPr="00B71C06" w:rsidRDefault="007B1EA2" w:rsidP="00B30C28">
            <w:pPr>
              <w:pStyle w:val="naiskr"/>
              <w:spacing w:before="0" w:after="0"/>
              <w:jc w:val="both"/>
            </w:pPr>
            <w:r>
              <w:t xml:space="preserve">Anotācijas </w:t>
            </w:r>
            <w:proofErr w:type="spellStart"/>
            <w:r>
              <w:t>II.sa</w:t>
            </w:r>
            <w:r w:rsidR="00F175B3">
              <w:t>daļas</w:t>
            </w:r>
            <w:proofErr w:type="spellEnd"/>
            <w:r w:rsidR="00F175B3">
              <w:t xml:space="preserve"> 1.punktā min</w:t>
            </w:r>
            <w:r w:rsidR="009D17BC">
              <w:t xml:space="preserve">ēto </w:t>
            </w:r>
            <w:r w:rsidR="00F175B3">
              <w:t>izgl</w:t>
            </w:r>
            <w:r w:rsidR="009D17BC">
              <w:t xml:space="preserve">ītojamo ģimenēm </w:t>
            </w:r>
            <w:r w:rsidR="00F175B3">
              <w:t>tiks nodrošināt</w:t>
            </w:r>
            <w:r w:rsidR="009D17BC">
              <w:t xml:space="preserve">s valsts atbalsts. </w:t>
            </w:r>
            <w:r w:rsidR="009D17BC" w:rsidRPr="00B71C06">
              <w:t xml:space="preserve"> </w:t>
            </w:r>
            <w:r w:rsidR="009D17BC">
              <w:t xml:space="preserve">Tiks vienkāršots </w:t>
            </w:r>
            <w:r w:rsidR="009D17BC" w:rsidRPr="00B71C06">
              <w:t>sarežģītais izglītības iestāžu atskaitīšanās mehānisms</w:t>
            </w:r>
            <w:r w:rsidR="009D17BC">
              <w:t xml:space="preserve"> par valsts budžeta līdzekļiem izglītojamo </w:t>
            </w:r>
            <w:r w:rsidR="009D17BC">
              <w:lastRenderedPageBreak/>
              <w:t>ēdināšanai</w:t>
            </w:r>
            <w:r w:rsidR="00546B70">
              <w:t xml:space="preserve">, </w:t>
            </w:r>
            <w:r w:rsidR="00546B70" w:rsidRPr="00E049BA">
              <w:t>kā arī īstenota veselīga uztura principiem  veidota ēdienkartes nodrošināšana.</w:t>
            </w:r>
            <w:r w:rsidR="00546B70">
              <w:t xml:space="preserve"> </w:t>
            </w:r>
          </w:p>
        </w:tc>
      </w:tr>
      <w:tr w:rsidR="00AE03F2" w:rsidRPr="00B71C06" w:rsidTr="00964D84">
        <w:trPr>
          <w:trHeight w:val="531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lastRenderedPageBreak/>
              <w:t>5.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Administratīvās procedūras raksturojums</w:t>
            </w:r>
          </w:p>
        </w:tc>
        <w:tc>
          <w:tcPr>
            <w:tcW w:w="4500" w:type="dxa"/>
          </w:tcPr>
          <w:p w:rsidR="00AE03F2" w:rsidRPr="00B71C06" w:rsidRDefault="00B71C06" w:rsidP="002E7E71">
            <w:pPr>
              <w:pStyle w:val="naiskr"/>
              <w:spacing w:before="0" w:after="0"/>
            </w:pPr>
            <w:r w:rsidRPr="00B71C06">
              <w:t>Nav attiecināms.</w:t>
            </w:r>
          </w:p>
        </w:tc>
      </w:tr>
      <w:tr w:rsidR="00AE03F2" w:rsidRPr="00B71C06" w:rsidTr="00964D84">
        <w:trPr>
          <w:trHeight w:val="357"/>
        </w:trPr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6.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Administratīvo izmaksu monetārs novērtējums</w:t>
            </w:r>
          </w:p>
        </w:tc>
        <w:tc>
          <w:tcPr>
            <w:tcW w:w="4500" w:type="dxa"/>
          </w:tcPr>
          <w:p w:rsidR="00AE03F2" w:rsidRDefault="00B71C06" w:rsidP="002E7E71">
            <w:pPr>
              <w:pStyle w:val="naiskr"/>
              <w:spacing w:before="0" w:after="0"/>
            </w:pPr>
            <w:r w:rsidRPr="00B71C06">
              <w:t>Nav attiecināms.</w:t>
            </w:r>
          </w:p>
          <w:p w:rsidR="00196DE6" w:rsidRPr="00B71C06" w:rsidRDefault="00196DE6" w:rsidP="002E7E71">
            <w:pPr>
              <w:pStyle w:val="naiskr"/>
              <w:spacing w:before="0" w:after="0"/>
            </w:pPr>
          </w:p>
        </w:tc>
      </w:tr>
      <w:tr w:rsidR="00AE03F2" w:rsidRPr="00B71C06" w:rsidTr="00964D84">
        <w:tc>
          <w:tcPr>
            <w:tcW w:w="403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7.</w:t>
            </w:r>
          </w:p>
        </w:tc>
        <w:tc>
          <w:tcPr>
            <w:tcW w:w="4855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Cita informācija</w:t>
            </w:r>
          </w:p>
        </w:tc>
        <w:tc>
          <w:tcPr>
            <w:tcW w:w="4500" w:type="dxa"/>
          </w:tcPr>
          <w:p w:rsidR="00AE03F2" w:rsidRPr="00B71C06" w:rsidRDefault="00AE03F2" w:rsidP="002E7E71">
            <w:pPr>
              <w:pStyle w:val="naiskr"/>
              <w:spacing w:before="0" w:after="0"/>
            </w:pPr>
            <w:r w:rsidRPr="00B71C06">
              <w:t>Nav</w:t>
            </w:r>
          </w:p>
        </w:tc>
      </w:tr>
    </w:tbl>
    <w:p w:rsidR="00AE03F2" w:rsidRDefault="00AE03F2" w:rsidP="00AE03F2">
      <w:pPr>
        <w:pStyle w:val="naisf"/>
        <w:spacing w:before="0" w:after="0"/>
      </w:pPr>
    </w:p>
    <w:p w:rsidR="00B71C06" w:rsidRPr="007C0F2C" w:rsidRDefault="00B71C06" w:rsidP="00AE03F2">
      <w:pPr>
        <w:pStyle w:val="naisf"/>
        <w:spacing w:before="0" w:after="0"/>
      </w:pPr>
    </w:p>
    <w:tbl>
      <w:tblPr>
        <w:tblW w:w="9881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1331"/>
        <w:gridCol w:w="1354"/>
        <w:gridCol w:w="1354"/>
        <w:gridCol w:w="1355"/>
        <w:gridCol w:w="1406"/>
      </w:tblGrid>
      <w:tr w:rsidR="00AE03F2" w:rsidRPr="00B71C06" w:rsidTr="00964D84">
        <w:trPr>
          <w:trHeight w:val="652"/>
          <w:jc w:val="center"/>
        </w:trPr>
        <w:tc>
          <w:tcPr>
            <w:tcW w:w="9881" w:type="dxa"/>
            <w:gridSpan w:val="6"/>
          </w:tcPr>
          <w:p w:rsidR="00AE03F2" w:rsidRPr="00B71C06" w:rsidRDefault="00AE03F2" w:rsidP="002E7E71">
            <w:pPr>
              <w:pStyle w:val="naisnod"/>
              <w:spacing w:before="0" w:after="0"/>
              <w:rPr>
                <w:i/>
              </w:rPr>
            </w:pPr>
            <w:r w:rsidRPr="00B71C06">
              <w:br w:type="page"/>
              <w:t>III. Tiesību akta projekta ietekme uz valsts budžetu un pašvaldību budžetiem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 w:val="restart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71C06">
              <w:rPr>
                <w:b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AE03F2" w:rsidRPr="00B71C06" w:rsidRDefault="00675EA5" w:rsidP="002E7E71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71C06">
              <w:rPr>
                <w:b/>
              </w:rPr>
              <w:t>2010.</w:t>
            </w:r>
            <w:r w:rsidR="00AE03F2" w:rsidRPr="00B71C06">
              <w:rPr>
                <w:b/>
              </w:rPr>
              <w:t xml:space="preserve"> gads</w:t>
            </w:r>
          </w:p>
        </w:tc>
        <w:tc>
          <w:tcPr>
            <w:tcW w:w="4115" w:type="dxa"/>
            <w:gridSpan w:val="3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B71C06">
                <w:t>. latu</w:t>
              </w:r>
            </w:smartTag>
            <w:r w:rsidRPr="00B71C06">
              <w:t>)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AE03F2" w:rsidRPr="00B71C06" w:rsidRDefault="000E7BC7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rPr>
                <w:b/>
                <w:bCs/>
              </w:rPr>
              <w:t>2011.</w:t>
            </w:r>
          </w:p>
        </w:tc>
        <w:tc>
          <w:tcPr>
            <w:tcW w:w="1355" w:type="dxa"/>
            <w:vAlign w:val="center"/>
          </w:tcPr>
          <w:p w:rsidR="00AE03F2" w:rsidRPr="00B71C06" w:rsidRDefault="000E7BC7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rPr>
                <w:b/>
                <w:bCs/>
              </w:rPr>
              <w:t>2012.</w:t>
            </w:r>
          </w:p>
        </w:tc>
        <w:tc>
          <w:tcPr>
            <w:tcW w:w="1406" w:type="dxa"/>
            <w:vAlign w:val="center"/>
          </w:tcPr>
          <w:p w:rsidR="00AE03F2" w:rsidRPr="00B71C06" w:rsidRDefault="000E7BC7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rPr>
                <w:b/>
                <w:bCs/>
              </w:rPr>
              <w:t>2013.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Izmaiņas kārtējā gadā, salīdzinot ar budžetu kārtējam gadam</w:t>
            </w:r>
          </w:p>
        </w:tc>
        <w:tc>
          <w:tcPr>
            <w:tcW w:w="1354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Izmaiņas, salīdzinot ar kārtējo (n) gadu</w:t>
            </w:r>
          </w:p>
        </w:tc>
        <w:tc>
          <w:tcPr>
            <w:tcW w:w="1355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Izmaiņas, salīdzinot ar kārtējo (n) gadu</w:t>
            </w:r>
          </w:p>
        </w:tc>
        <w:tc>
          <w:tcPr>
            <w:tcW w:w="1406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Izmaiņas, salīdzinot ar kārtējo (n) gadu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1</w:t>
            </w:r>
          </w:p>
        </w:tc>
        <w:tc>
          <w:tcPr>
            <w:tcW w:w="1331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5</w:t>
            </w:r>
          </w:p>
        </w:tc>
        <w:tc>
          <w:tcPr>
            <w:tcW w:w="1406" w:type="dxa"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71C06">
              <w:rPr>
                <w:bCs/>
              </w:rPr>
              <w:t>6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  <w:r w:rsidRPr="00B71C06">
              <w:t>1. Budžeta ieņēmumi: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  <w:r w:rsidRPr="00B71C06">
              <w:t>1.1. valsts pamatbudžets, tai sk</w:t>
            </w:r>
            <w:r w:rsidR="007B1EA2">
              <w:t>aitā ieņēmumi no maksas pakalpo</w:t>
            </w:r>
            <w:r w:rsidRPr="00B71C06">
              <w:t>jumiem un citi pašu ieņēmumi</w:t>
            </w:r>
          </w:p>
        </w:tc>
        <w:tc>
          <w:tcPr>
            <w:tcW w:w="1331" w:type="dxa"/>
          </w:tcPr>
          <w:p w:rsidR="00AE03F2" w:rsidRPr="00B71C06" w:rsidRDefault="000B244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B71C06">
              <w:t>2 264</w:t>
            </w:r>
            <w:r>
              <w:t> </w:t>
            </w:r>
            <w:r w:rsidRPr="00B71C06">
              <w:t>018</w:t>
            </w: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B40593" w:rsidP="00B40593">
            <w:pPr>
              <w:jc w:val="center"/>
              <w:rPr>
                <w:b/>
                <w:i/>
              </w:rPr>
            </w:pPr>
            <w:r w:rsidRPr="00B71C06">
              <w:t>0</w:t>
            </w:r>
          </w:p>
        </w:tc>
        <w:tc>
          <w:tcPr>
            <w:tcW w:w="1355" w:type="dxa"/>
          </w:tcPr>
          <w:p w:rsidR="00AE03F2" w:rsidRPr="00B71C06" w:rsidRDefault="00B40593" w:rsidP="00B4059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0</w:t>
            </w:r>
          </w:p>
        </w:tc>
        <w:tc>
          <w:tcPr>
            <w:tcW w:w="1406" w:type="dxa"/>
          </w:tcPr>
          <w:p w:rsidR="00AE03F2" w:rsidRPr="00B71C06" w:rsidRDefault="00B40593" w:rsidP="00B4059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0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  <w:r w:rsidRPr="00B71C06">
              <w:t>1.2. valsts speciālais budžets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  <w:r w:rsidRPr="00B71C06">
              <w:t>1.3. pašvaldību budžets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2. Budžeta izdevumi:</w:t>
            </w:r>
          </w:p>
        </w:tc>
        <w:tc>
          <w:tcPr>
            <w:tcW w:w="1331" w:type="dxa"/>
          </w:tcPr>
          <w:p w:rsidR="00AE03F2" w:rsidRPr="00B71C06" w:rsidRDefault="000B244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B71C06">
              <w:t>2 264</w:t>
            </w:r>
            <w:r>
              <w:t> </w:t>
            </w:r>
            <w:r w:rsidRPr="00B71C06">
              <w:t>018</w:t>
            </w: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B40593" w:rsidP="00B4059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0</w:t>
            </w:r>
          </w:p>
        </w:tc>
        <w:tc>
          <w:tcPr>
            <w:tcW w:w="1355" w:type="dxa"/>
          </w:tcPr>
          <w:p w:rsidR="00AE03F2" w:rsidRPr="00B71C06" w:rsidRDefault="00B40593" w:rsidP="00B4059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0</w:t>
            </w:r>
          </w:p>
        </w:tc>
        <w:tc>
          <w:tcPr>
            <w:tcW w:w="1406" w:type="dxa"/>
          </w:tcPr>
          <w:p w:rsidR="00AE03F2" w:rsidRPr="00B71C06" w:rsidRDefault="00B40593" w:rsidP="00B4059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71C06">
              <w:t>0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2.1. valsts pamatbudžets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2.2. valsts speciālais budžets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 xml:space="preserve">2.3. pašvaldību budžets </w:t>
            </w:r>
          </w:p>
        </w:tc>
        <w:tc>
          <w:tcPr>
            <w:tcW w:w="1331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3. Finansiālā ietekme: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E03F2" w:rsidRPr="00B71C06" w:rsidRDefault="000E7BC7" w:rsidP="002E7E71">
            <w:pPr>
              <w:pStyle w:val="naisf"/>
              <w:spacing w:before="0" w:after="0"/>
              <w:ind w:firstLine="0"/>
              <w:jc w:val="center"/>
            </w:pPr>
            <w:r w:rsidRPr="00B71C06">
              <w:t>0</w:t>
            </w: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</w:pPr>
          </w:p>
        </w:tc>
        <w:tc>
          <w:tcPr>
            <w:tcW w:w="1354" w:type="dxa"/>
          </w:tcPr>
          <w:p w:rsidR="00AE03F2" w:rsidRPr="00B71C06" w:rsidRDefault="000E7BC7" w:rsidP="000E7BC7">
            <w:pPr>
              <w:pStyle w:val="naisf"/>
              <w:spacing w:before="0" w:after="0"/>
              <w:ind w:firstLine="0"/>
              <w:jc w:val="center"/>
            </w:pPr>
            <w:r w:rsidRPr="00B71C06">
              <w:t>0</w:t>
            </w:r>
          </w:p>
        </w:tc>
        <w:tc>
          <w:tcPr>
            <w:tcW w:w="1355" w:type="dxa"/>
          </w:tcPr>
          <w:p w:rsidR="00AE03F2" w:rsidRPr="00B71C06" w:rsidRDefault="000E7BC7" w:rsidP="000E7BC7">
            <w:pPr>
              <w:pStyle w:val="naisf"/>
              <w:spacing w:before="0" w:after="0"/>
              <w:ind w:firstLine="0"/>
              <w:jc w:val="center"/>
            </w:pPr>
            <w:r w:rsidRPr="00B71C06">
              <w:t>0</w:t>
            </w:r>
          </w:p>
        </w:tc>
        <w:tc>
          <w:tcPr>
            <w:tcW w:w="1406" w:type="dxa"/>
          </w:tcPr>
          <w:p w:rsidR="00AE03F2" w:rsidRPr="00B71C06" w:rsidRDefault="000E7BC7" w:rsidP="000E7BC7">
            <w:pPr>
              <w:pStyle w:val="naisf"/>
              <w:spacing w:before="0" w:after="0"/>
              <w:ind w:firstLine="0"/>
              <w:jc w:val="center"/>
            </w:pPr>
            <w:r w:rsidRPr="00B71C06">
              <w:t>0</w:t>
            </w: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3.1. valsts pamatbudžets</w:t>
            </w:r>
          </w:p>
        </w:tc>
        <w:tc>
          <w:tcPr>
            <w:tcW w:w="1331" w:type="dxa"/>
            <w:shd w:val="clear" w:color="auto" w:fill="auto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3.2. speciālais budžets</w:t>
            </w:r>
          </w:p>
        </w:tc>
        <w:tc>
          <w:tcPr>
            <w:tcW w:w="1331" w:type="dxa"/>
            <w:shd w:val="clear" w:color="auto" w:fill="auto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 xml:space="preserve">3.3. pašvaldību budžets </w:t>
            </w:r>
          </w:p>
        </w:tc>
        <w:tc>
          <w:tcPr>
            <w:tcW w:w="1331" w:type="dxa"/>
            <w:shd w:val="clear" w:color="auto" w:fill="auto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 w:val="restart"/>
          </w:tcPr>
          <w:p w:rsidR="00AE03F2" w:rsidRPr="00B71C06" w:rsidRDefault="00AE03F2" w:rsidP="002E7E71">
            <w:pPr>
              <w:jc w:val="both"/>
            </w:pPr>
            <w:r w:rsidRPr="00B71C06">
              <w:t>4. Finanšu līdzekļi papildu izde</w:t>
            </w:r>
            <w:r w:rsidRPr="00B71C06"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71C06">
              <w:t>X</w:t>
            </w: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/>
          </w:tcPr>
          <w:p w:rsidR="00AE03F2" w:rsidRPr="00B71C06" w:rsidRDefault="00AE03F2" w:rsidP="002E7E71">
            <w:pPr>
              <w:jc w:val="both"/>
            </w:pPr>
          </w:p>
        </w:tc>
        <w:tc>
          <w:tcPr>
            <w:tcW w:w="1331" w:type="dxa"/>
            <w:vMerge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  <w:vMerge/>
          </w:tcPr>
          <w:p w:rsidR="00AE03F2" w:rsidRPr="00B71C06" w:rsidRDefault="00AE03F2" w:rsidP="002E7E71">
            <w:pPr>
              <w:jc w:val="both"/>
            </w:pPr>
          </w:p>
        </w:tc>
        <w:tc>
          <w:tcPr>
            <w:tcW w:w="1331" w:type="dxa"/>
            <w:vMerge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71C06">
              <w:t>X</w:t>
            </w: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lastRenderedPageBreak/>
              <w:t>6. Detalizēts ieņēmumu un izdevu</w:t>
            </w:r>
            <w:r w:rsidRPr="00B71C06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800" w:type="dxa"/>
            <w:gridSpan w:val="5"/>
            <w:vMerge w:val="restart"/>
            <w:vAlign w:val="center"/>
          </w:tcPr>
          <w:p w:rsidR="00675EA5" w:rsidRPr="00B71C06" w:rsidRDefault="007B1EA2" w:rsidP="00B8595B">
            <w:pPr>
              <w:pStyle w:val="NormalWeb"/>
            </w:pPr>
            <w:r>
              <w:t>Saskaņā ar likumu p</w:t>
            </w:r>
            <w:r w:rsidR="00675EA5" w:rsidRPr="00B71C06">
              <w:t xml:space="preserve">ar valsts budžetu </w:t>
            </w:r>
            <w:r>
              <w:t>kārtējam gadam</w:t>
            </w:r>
            <w:r w:rsidR="00675EA5" w:rsidRPr="00B71C06">
              <w:t xml:space="preserve"> brīvpusd</w:t>
            </w:r>
            <w:r w:rsidR="00B8595B">
              <w:t xml:space="preserve">ienu nodrošināšanai 1.klasei </w:t>
            </w:r>
            <w:r w:rsidR="00675EA5" w:rsidRPr="00B71C06">
              <w:t>2011.</w:t>
            </w:r>
            <w:r w:rsidR="00B8595B">
              <w:t xml:space="preserve"> un 2012.gadā </w:t>
            </w:r>
            <w:r w:rsidR="00675EA5" w:rsidRPr="00B71C06">
              <w:t xml:space="preserve">budžeta kopējās izmaksas </w:t>
            </w:r>
            <w:r>
              <w:t xml:space="preserve">tiek plānotas </w:t>
            </w:r>
            <w:r w:rsidR="00B8595B" w:rsidRPr="00B71C06">
              <w:t>2 264</w:t>
            </w:r>
            <w:r w:rsidR="00B8595B">
              <w:t> </w:t>
            </w:r>
            <w:r w:rsidR="00B8595B" w:rsidRPr="00B71C06">
              <w:t>018</w:t>
            </w:r>
            <w:r w:rsidR="00B8595B">
              <w:t xml:space="preserve"> Ls</w:t>
            </w:r>
            <w:r w:rsidR="00675EA5" w:rsidRPr="00B71C06">
              <w:t xml:space="preserve">         </w:t>
            </w:r>
          </w:p>
          <w:p w:rsidR="00675EA5" w:rsidRPr="00B71C06" w:rsidRDefault="00675EA5" w:rsidP="00675EA5">
            <w:pPr>
              <w:widowControl w:val="0"/>
              <w:tabs>
                <w:tab w:val="left" w:pos="357"/>
                <w:tab w:val="left" w:pos="1304"/>
                <w:tab w:val="left" w:pos="2608"/>
                <w:tab w:val="left" w:pos="3912"/>
                <w:tab w:val="left" w:pos="5216"/>
                <w:tab w:val="right" w:pos="76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71C06">
              <w:t xml:space="preserve">      Mācību dienu skaita aprēķi</w:t>
            </w:r>
            <w:r w:rsidR="00FB0A4D">
              <w:t>niem par pamatu izmant</w:t>
            </w:r>
            <w:r w:rsidR="007B1EA2">
              <w:t>ots Vispārējās izglītības likuma 36.pantā noteiktais mācību gada ilgums 1.klasei</w:t>
            </w:r>
            <w:r w:rsidRPr="00B71C06">
              <w:t>.</w:t>
            </w:r>
          </w:p>
          <w:p w:rsidR="00675EA5" w:rsidRPr="00B71C06" w:rsidRDefault="00675EA5" w:rsidP="00675EA5">
            <w:pPr>
              <w:widowControl w:val="0"/>
              <w:tabs>
                <w:tab w:val="left" w:pos="357"/>
                <w:tab w:val="left" w:pos="1304"/>
                <w:tab w:val="left" w:pos="2608"/>
                <w:tab w:val="left" w:pos="3912"/>
                <w:tab w:val="left" w:pos="5216"/>
                <w:tab w:val="right" w:pos="76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AE03F2" w:rsidRPr="00B71C06" w:rsidRDefault="00AE03F2" w:rsidP="00B40593">
            <w:pPr>
              <w:widowControl w:val="0"/>
              <w:tabs>
                <w:tab w:val="left" w:pos="357"/>
                <w:tab w:val="left" w:pos="1304"/>
                <w:tab w:val="left" w:pos="2608"/>
                <w:tab w:val="left" w:pos="3912"/>
                <w:tab w:val="left" w:pos="5216"/>
                <w:tab w:val="right" w:pos="76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6.1. detalizēts ieņēmumu aprēķins</w:t>
            </w:r>
          </w:p>
        </w:tc>
        <w:tc>
          <w:tcPr>
            <w:tcW w:w="6800" w:type="dxa"/>
            <w:gridSpan w:val="5"/>
            <w:vMerge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1B5C1C" w:rsidP="002E7E71">
            <w:pPr>
              <w:jc w:val="both"/>
            </w:pPr>
            <w:r>
              <w:t>6.2. </w:t>
            </w:r>
            <w:r w:rsidR="00AE03F2" w:rsidRPr="00B71C06">
              <w:t>detalizēts izdevumu aprēķins</w:t>
            </w:r>
          </w:p>
        </w:tc>
        <w:tc>
          <w:tcPr>
            <w:tcW w:w="6800" w:type="dxa"/>
            <w:gridSpan w:val="5"/>
            <w:vMerge/>
          </w:tcPr>
          <w:p w:rsidR="00AE03F2" w:rsidRPr="00B71C06" w:rsidRDefault="00AE03F2" w:rsidP="002E7E71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AE03F2" w:rsidRPr="00B71C06" w:rsidTr="00964D84">
        <w:trPr>
          <w:jc w:val="center"/>
        </w:trPr>
        <w:tc>
          <w:tcPr>
            <w:tcW w:w="3081" w:type="dxa"/>
          </w:tcPr>
          <w:p w:rsidR="00AE03F2" w:rsidRPr="00B71C06" w:rsidRDefault="00AE03F2" w:rsidP="002E7E71">
            <w:pPr>
              <w:jc w:val="both"/>
            </w:pPr>
            <w:r w:rsidRPr="00B71C06">
              <w:t>7. Cita informācija</w:t>
            </w:r>
          </w:p>
        </w:tc>
        <w:tc>
          <w:tcPr>
            <w:tcW w:w="6800" w:type="dxa"/>
            <w:gridSpan w:val="5"/>
          </w:tcPr>
          <w:p w:rsidR="00AE03F2" w:rsidRPr="00B71C06" w:rsidRDefault="00AE03F2" w:rsidP="002E7E71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</w:rPr>
            </w:pPr>
            <w:r w:rsidRPr="00B71C06">
              <w:t>Nav</w:t>
            </w:r>
          </w:p>
        </w:tc>
      </w:tr>
    </w:tbl>
    <w:p w:rsidR="00B71C06" w:rsidRDefault="00B71C06" w:rsidP="002405C7">
      <w:pPr>
        <w:rPr>
          <w:i/>
          <w:sz w:val="28"/>
          <w:szCs w:val="28"/>
        </w:rPr>
      </w:pPr>
    </w:p>
    <w:p w:rsidR="005B1907" w:rsidRDefault="005B1907" w:rsidP="00AE03F2">
      <w:pPr>
        <w:rPr>
          <w:sz w:val="16"/>
          <w:szCs w:val="16"/>
        </w:rPr>
      </w:pPr>
    </w:p>
    <w:p w:rsidR="00AE03F2" w:rsidRPr="007C0F2C" w:rsidRDefault="00AE03F2" w:rsidP="00C33558">
      <w:pPr>
        <w:pStyle w:val="naisf"/>
        <w:spacing w:before="0" w:after="0"/>
        <w:ind w:firstLine="0"/>
        <w:rPr>
          <w:b/>
        </w:rPr>
      </w:pPr>
    </w:p>
    <w:tbl>
      <w:tblPr>
        <w:tblW w:w="9981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5"/>
        <w:gridCol w:w="4258"/>
        <w:gridCol w:w="5298"/>
      </w:tblGrid>
      <w:tr w:rsidR="00AE03F2" w:rsidRPr="00B71C06" w:rsidTr="00964D84">
        <w:trPr>
          <w:jc w:val="center"/>
        </w:trPr>
        <w:tc>
          <w:tcPr>
            <w:tcW w:w="9981" w:type="dxa"/>
            <w:gridSpan w:val="3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</w:pPr>
            <w:r w:rsidRPr="00B71C06">
              <w:t>VI. Sabiedrības līdzdalība un šīs līdzdalības rezultāti</w:t>
            </w:r>
          </w:p>
        </w:tc>
      </w:tr>
      <w:tr w:rsidR="00AE03F2" w:rsidRPr="00B71C06" w:rsidTr="00964D84">
        <w:trPr>
          <w:trHeight w:val="553"/>
          <w:jc w:val="center"/>
        </w:trPr>
        <w:tc>
          <w:tcPr>
            <w:tcW w:w="425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B71C06">
              <w:rPr>
                <w:bCs/>
              </w:rPr>
              <w:t>1.</w:t>
            </w:r>
          </w:p>
        </w:tc>
        <w:tc>
          <w:tcPr>
            <w:tcW w:w="4258" w:type="dxa"/>
          </w:tcPr>
          <w:p w:rsidR="00AE03F2" w:rsidRPr="00B71C06" w:rsidRDefault="00AE03F2" w:rsidP="002E7E7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B71C06">
              <w:t>Sabiedrības informēšana par projekta izstrādes uzsākšanu</w:t>
            </w:r>
          </w:p>
        </w:tc>
        <w:tc>
          <w:tcPr>
            <w:tcW w:w="5298" w:type="dxa"/>
          </w:tcPr>
          <w:p w:rsidR="00AE03F2" w:rsidRDefault="00B71C06" w:rsidP="002E7E71">
            <w:pPr>
              <w:pStyle w:val="naiskr"/>
              <w:spacing w:before="0" w:after="0"/>
              <w:ind w:left="57" w:right="57"/>
              <w:jc w:val="both"/>
            </w:pPr>
            <w:r w:rsidRPr="00B71C06">
              <w:t>Sabiedrības informēšanas pasākumi –</w:t>
            </w:r>
            <w:r w:rsidR="007B1EA2">
              <w:t xml:space="preserve"> </w:t>
            </w:r>
            <w:r w:rsidR="007B1EA2" w:rsidRPr="00B71C06">
              <w:t>informācija</w:t>
            </w:r>
            <w:r w:rsidR="007B1EA2">
              <w:t xml:space="preserve"> sniegta</w:t>
            </w:r>
            <w:r w:rsidR="007B1EA2" w:rsidRPr="00B71C06">
              <w:t xml:space="preserve"> </w:t>
            </w:r>
            <w:r w:rsidR="007B1EA2">
              <w:t>novadu un republikas pilsētu i</w:t>
            </w:r>
            <w:r w:rsidRPr="00B71C06">
              <w:t xml:space="preserve">zglītības </w:t>
            </w:r>
            <w:r w:rsidR="007B1EA2">
              <w:t>speciālistu</w:t>
            </w:r>
            <w:r w:rsidRPr="00B71C06">
              <w:t xml:space="preserve"> seminārā.</w:t>
            </w:r>
          </w:p>
          <w:p w:rsidR="00196DE6" w:rsidRPr="00B71C06" w:rsidRDefault="00196DE6" w:rsidP="002E7E71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AE03F2" w:rsidRPr="00B71C06" w:rsidTr="00964D84">
        <w:trPr>
          <w:trHeight w:val="339"/>
          <w:jc w:val="center"/>
        </w:trPr>
        <w:tc>
          <w:tcPr>
            <w:tcW w:w="425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B71C06">
              <w:rPr>
                <w:bCs/>
              </w:rPr>
              <w:t>2.</w:t>
            </w:r>
          </w:p>
        </w:tc>
        <w:tc>
          <w:tcPr>
            <w:tcW w:w="4258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 xml:space="preserve">Sabiedrības līdzdalība projekta izstrādē </w:t>
            </w:r>
          </w:p>
        </w:tc>
        <w:tc>
          <w:tcPr>
            <w:tcW w:w="5298" w:type="dxa"/>
          </w:tcPr>
          <w:p w:rsidR="007B1EA2" w:rsidRDefault="007B1EA2" w:rsidP="007B1EA2">
            <w:pPr>
              <w:pStyle w:val="naiskr"/>
              <w:spacing w:before="0" w:after="0"/>
              <w:ind w:right="57"/>
              <w:jc w:val="both"/>
            </w:pPr>
            <w:r>
              <w:t>Noteikumu projekta raksturs neparedz sabiedrības līdzdalību.</w:t>
            </w:r>
          </w:p>
          <w:p w:rsidR="00196DE6" w:rsidRPr="00B71C06" w:rsidRDefault="00196DE6" w:rsidP="00BB0113">
            <w:pPr>
              <w:pStyle w:val="naiskr"/>
              <w:spacing w:before="0" w:after="0"/>
              <w:ind w:right="57"/>
              <w:jc w:val="both"/>
            </w:pPr>
          </w:p>
        </w:tc>
      </w:tr>
      <w:tr w:rsidR="00AE03F2" w:rsidRPr="00B71C06" w:rsidTr="00964D84">
        <w:trPr>
          <w:trHeight w:val="375"/>
          <w:jc w:val="center"/>
        </w:trPr>
        <w:tc>
          <w:tcPr>
            <w:tcW w:w="425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B71C06">
              <w:rPr>
                <w:bCs/>
              </w:rPr>
              <w:t>3.</w:t>
            </w:r>
          </w:p>
        </w:tc>
        <w:tc>
          <w:tcPr>
            <w:tcW w:w="4258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 xml:space="preserve">Sabiedrības līdzdalības rezultāti </w:t>
            </w:r>
          </w:p>
        </w:tc>
        <w:tc>
          <w:tcPr>
            <w:tcW w:w="5298" w:type="dxa"/>
          </w:tcPr>
          <w:p w:rsidR="00AE03F2" w:rsidRDefault="00B71C06" w:rsidP="00BB0113">
            <w:pPr>
              <w:pStyle w:val="naiskr"/>
              <w:spacing w:before="0" w:after="0"/>
              <w:ind w:right="57"/>
              <w:jc w:val="both"/>
            </w:pPr>
            <w:r w:rsidRPr="00B71C06">
              <w:t>Nav attiecināms.</w:t>
            </w:r>
          </w:p>
          <w:p w:rsidR="00196DE6" w:rsidRPr="00B71C06" w:rsidRDefault="00196DE6" w:rsidP="00BB0113">
            <w:pPr>
              <w:pStyle w:val="naiskr"/>
              <w:spacing w:before="0" w:after="0"/>
              <w:ind w:right="57"/>
              <w:jc w:val="both"/>
            </w:pPr>
          </w:p>
        </w:tc>
      </w:tr>
      <w:tr w:rsidR="00AE03F2" w:rsidRPr="00B71C06" w:rsidTr="00964D84">
        <w:trPr>
          <w:trHeight w:val="397"/>
          <w:jc w:val="center"/>
        </w:trPr>
        <w:tc>
          <w:tcPr>
            <w:tcW w:w="425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B71C06">
              <w:rPr>
                <w:bCs/>
              </w:rPr>
              <w:t>4.</w:t>
            </w:r>
          </w:p>
        </w:tc>
        <w:tc>
          <w:tcPr>
            <w:tcW w:w="4258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>Saeimas un ekspertu līdzdalība</w:t>
            </w:r>
          </w:p>
        </w:tc>
        <w:tc>
          <w:tcPr>
            <w:tcW w:w="5298" w:type="dxa"/>
          </w:tcPr>
          <w:p w:rsidR="00AE03F2" w:rsidRDefault="009F09D7" w:rsidP="002E7E71">
            <w:pPr>
              <w:pStyle w:val="naiskr"/>
              <w:spacing w:before="0" w:after="0"/>
              <w:ind w:left="57" w:right="57"/>
              <w:jc w:val="both"/>
            </w:pPr>
            <w:r w:rsidRPr="00E049BA">
              <w:t>Saeimas Cilvēktiesību un sabiedrisko lietu komisijas Bērnu aizsardzības apakškomisijas 2010.gada 4.marta iniciatīvas vēstule Nr.9/4-6B-n/1-(9/10) Izglītības un zinātnes ministrijai, kurā lūgts izvērtēt vienota regulējuma izstrādi skolēnu ēdināšanā.</w:t>
            </w:r>
            <w:r w:rsidRPr="009F09D7">
              <w:rPr>
                <w:color w:val="E36C0A" w:themeColor="accent6" w:themeShade="BF"/>
              </w:rPr>
              <w:t xml:space="preserve"> </w:t>
            </w:r>
            <w:r w:rsidR="00B71C06" w:rsidRPr="00B71C06">
              <w:t>Konsultācijas ar ekspertiem netika veiktas.</w:t>
            </w:r>
          </w:p>
          <w:p w:rsidR="00196DE6" w:rsidRPr="00B71C06" w:rsidRDefault="00196DE6" w:rsidP="002E7E71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AE03F2" w:rsidRPr="00B71C06" w:rsidTr="00964D84">
        <w:trPr>
          <w:trHeight w:val="476"/>
          <w:jc w:val="center"/>
        </w:trPr>
        <w:tc>
          <w:tcPr>
            <w:tcW w:w="425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B71C06">
              <w:rPr>
                <w:bCs/>
              </w:rPr>
              <w:t>5.</w:t>
            </w:r>
          </w:p>
        </w:tc>
        <w:tc>
          <w:tcPr>
            <w:tcW w:w="4258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</w:p>
        </w:tc>
        <w:tc>
          <w:tcPr>
            <w:tcW w:w="5298" w:type="dxa"/>
          </w:tcPr>
          <w:p w:rsidR="00AE03F2" w:rsidRPr="00B71C06" w:rsidRDefault="00BB0113" w:rsidP="00BB0113">
            <w:pPr>
              <w:pStyle w:val="naiskr"/>
              <w:spacing w:before="0" w:after="0"/>
              <w:ind w:left="57" w:right="57"/>
              <w:jc w:val="both"/>
            </w:pPr>
            <w:r>
              <w:t>Nav</w:t>
            </w:r>
          </w:p>
        </w:tc>
      </w:tr>
    </w:tbl>
    <w:p w:rsidR="00AE03F2" w:rsidRPr="007C0F2C" w:rsidRDefault="00AE03F2" w:rsidP="00AE03F2">
      <w:pPr>
        <w:pStyle w:val="naisf"/>
        <w:spacing w:before="0" w:after="0"/>
        <w:rPr>
          <w:sz w:val="28"/>
          <w:szCs w:val="28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4304"/>
        <w:gridCol w:w="5245"/>
      </w:tblGrid>
      <w:tr w:rsidR="00AE03F2" w:rsidRPr="00B71C06" w:rsidTr="00964D84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</w:pPr>
            <w:r w:rsidRPr="00B71C06">
              <w:t>VII. Tiesību akta projekta izpildes nodrošināšana un tās ietekme uz institūcijām</w:t>
            </w:r>
          </w:p>
        </w:tc>
      </w:tr>
      <w:tr w:rsidR="00AE03F2" w:rsidRPr="00B71C06" w:rsidTr="00964D84">
        <w:trPr>
          <w:trHeight w:val="427"/>
        </w:trPr>
        <w:tc>
          <w:tcPr>
            <w:tcW w:w="374" w:type="dxa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1.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izpildē iesaistītās institūcijas </w:t>
            </w:r>
          </w:p>
        </w:tc>
        <w:tc>
          <w:tcPr>
            <w:tcW w:w="5245" w:type="dxa"/>
          </w:tcPr>
          <w:p w:rsidR="00AE03F2" w:rsidRPr="00964D84" w:rsidRDefault="009F09D7" w:rsidP="00B30C2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964D84">
              <w:rPr>
                <w:b w:val="0"/>
              </w:rPr>
              <w:t>Izglītības un zinātnes ministrija, pašvaldības un izglītības iestādes.</w:t>
            </w:r>
          </w:p>
        </w:tc>
      </w:tr>
      <w:tr w:rsidR="00AE03F2" w:rsidRPr="00B71C06" w:rsidTr="00964D84">
        <w:trPr>
          <w:trHeight w:val="463"/>
        </w:trPr>
        <w:tc>
          <w:tcPr>
            <w:tcW w:w="374" w:type="dxa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2.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izpildes ietekme uz pārvaldes funkcijām </w:t>
            </w:r>
          </w:p>
        </w:tc>
        <w:tc>
          <w:tcPr>
            <w:tcW w:w="5245" w:type="dxa"/>
          </w:tcPr>
          <w:p w:rsidR="00AE03F2" w:rsidRPr="00964D84" w:rsidRDefault="00964D84" w:rsidP="00E049B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964D84">
              <w:rPr>
                <w:b w:val="0"/>
              </w:rPr>
              <w:t>Tiek vienkāršots izglītības iestāžu atskaitīšanās mehānisms - samazināts atskaišu daudzums</w:t>
            </w:r>
            <w:r>
              <w:rPr>
                <w:b w:val="0"/>
              </w:rPr>
              <w:t xml:space="preserve">, kas </w:t>
            </w:r>
            <w:r w:rsidRPr="00964D84">
              <w:rPr>
                <w:b w:val="0"/>
              </w:rPr>
              <w:t xml:space="preserve">nodrošina </w:t>
            </w:r>
            <w:r w:rsidR="00E049BA">
              <w:rPr>
                <w:b w:val="0"/>
              </w:rPr>
              <w:t xml:space="preserve">arī </w:t>
            </w:r>
            <w:r w:rsidRPr="00964D84">
              <w:rPr>
                <w:b w:val="0"/>
              </w:rPr>
              <w:t xml:space="preserve">efektīvāku finansēšanas un administrēšanas </w:t>
            </w:r>
            <w:r w:rsidR="00E049BA">
              <w:rPr>
                <w:b w:val="0"/>
              </w:rPr>
              <w:t>procesu Izglītības un zinātnes ministrijā</w:t>
            </w:r>
            <w:r w:rsidRPr="00964D84">
              <w:rPr>
                <w:b w:val="0"/>
              </w:rPr>
              <w:t>.</w:t>
            </w:r>
          </w:p>
        </w:tc>
      </w:tr>
      <w:tr w:rsidR="00AE03F2" w:rsidRPr="00B71C06" w:rsidTr="00964D84">
        <w:trPr>
          <w:trHeight w:val="725"/>
        </w:trPr>
        <w:tc>
          <w:tcPr>
            <w:tcW w:w="374" w:type="dxa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3.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Jaunu institūciju izveide</w:t>
            </w:r>
          </w:p>
        </w:tc>
        <w:tc>
          <w:tcPr>
            <w:tcW w:w="5245" w:type="dxa"/>
          </w:tcPr>
          <w:p w:rsidR="00AE03F2" w:rsidRPr="00B71C06" w:rsidRDefault="00BE321A" w:rsidP="00BE321A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Veidot jaunas institūcijas nav nepieciešams.</w:t>
            </w:r>
          </w:p>
        </w:tc>
      </w:tr>
      <w:tr w:rsidR="00AE03F2" w:rsidRPr="00B71C06" w:rsidTr="00964D84">
        <w:trPr>
          <w:trHeight w:val="780"/>
        </w:trPr>
        <w:tc>
          <w:tcPr>
            <w:tcW w:w="374" w:type="dxa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lastRenderedPageBreak/>
              <w:t>4.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likvidācija</w:t>
            </w:r>
          </w:p>
        </w:tc>
        <w:tc>
          <w:tcPr>
            <w:tcW w:w="5245" w:type="dxa"/>
          </w:tcPr>
          <w:p w:rsidR="00AE03F2" w:rsidRPr="00B71C06" w:rsidRDefault="00B71C06" w:rsidP="00EF088B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 xml:space="preserve"> Nav attiecināms.</w:t>
            </w:r>
          </w:p>
        </w:tc>
      </w:tr>
      <w:tr w:rsidR="00AE03F2" w:rsidRPr="00B71C06" w:rsidTr="00964D84">
        <w:trPr>
          <w:trHeight w:val="703"/>
        </w:trPr>
        <w:tc>
          <w:tcPr>
            <w:tcW w:w="374" w:type="dxa"/>
          </w:tcPr>
          <w:p w:rsidR="00AE03F2" w:rsidRPr="00B71C06" w:rsidRDefault="00AE03F2" w:rsidP="002E7E7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5.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AE03F2" w:rsidRPr="00B71C06" w:rsidRDefault="00AE03F2" w:rsidP="002E7E71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reorganizācija</w:t>
            </w:r>
          </w:p>
        </w:tc>
        <w:tc>
          <w:tcPr>
            <w:tcW w:w="5245" w:type="dxa"/>
          </w:tcPr>
          <w:p w:rsidR="00AE03F2" w:rsidRPr="00B71C06" w:rsidRDefault="00BE321A" w:rsidP="00BE321A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Esošas institūcijas reorganizācija vai esošu institūciju apvienošana nav plānota.</w:t>
            </w:r>
          </w:p>
        </w:tc>
      </w:tr>
      <w:tr w:rsidR="00AE03F2" w:rsidRPr="00B71C06" w:rsidTr="00964D84">
        <w:trPr>
          <w:trHeight w:val="476"/>
        </w:trPr>
        <w:tc>
          <w:tcPr>
            <w:tcW w:w="374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>6.</w:t>
            </w:r>
          </w:p>
        </w:tc>
        <w:tc>
          <w:tcPr>
            <w:tcW w:w="4304" w:type="dxa"/>
          </w:tcPr>
          <w:p w:rsidR="00AE03F2" w:rsidRPr="00B71C06" w:rsidRDefault="00AE03F2" w:rsidP="002E7E71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</w:tc>
        <w:tc>
          <w:tcPr>
            <w:tcW w:w="5245" w:type="dxa"/>
          </w:tcPr>
          <w:p w:rsidR="00AE03F2" w:rsidRPr="00B71C06" w:rsidRDefault="00AE03F2" w:rsidP="00B71C06">
            <w:pPr>
              <w:pStyle w:val="naiskr"/>
              <w:spacing w:before="0" w:after="0"/>
              <w:ind w:left="57" w:right="57"/>
            </w:pPr>
            <w:r w:rsidRPr="00B71C06">
              <w:t>Nav</w:t>
            </w:r>
          </w:p>
        </w:tc>
      </w:tr>
    </w:tbl>
    <w:p w:rsidR="00D80F83" w:rsidRDefault="00D80F83" w:rsidP="00D80F83">
      <w:pPr>
        <w:rPr>
          <w:i/>
          <w:sz w:val="28"/>
          <w:szCs w:val="28"/>
        </w:rPr>
      </w:pPr>
    </w:p>
    <w:p w:rsidR="00D80F83" w:rsidRDefault="00D80F83" w:rsidP="00D80F83">
      <w:pPr>
        <w:rPr>
          <w:i/>
          <w:sz w:val="28"/>
          <w:szCs w:val="28"/>
        </w:rPr>
      </w:pPr>
      <w:r w:rsidRPr="0001406B">
        <w:rPr>
          <w:i/>
          <w:sz w:val="28"/>
          <w:szCs w:val="28"/>
        </w:rPr>
        <w:t>Anot</w:t>
      </w:r>
      <w:r>
        <w:rPr>
          <w:i/>
          <w:sz w:val="28"/>
          <w:szCs w:val="28"/>
        </w:rPr>
        <w:t xml:space="preserve">ācijas </w:t>
      </w:r>
      <w:r w:rsidRPr="000140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IV, </w:t>
      </w:r>
      <w:r w:rsidRPr="0001406B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 xml:space="preserve"> </w:t>
      </w:r>
      <w:r w:rsidRPr="0001406B">
        <w:rPr>
          <w:i/>
          <w:sz w:val="28"/>
          <w:szCs w:val="28"/>
        </w:rPr>
        <w:t xml:space="preserve"> sadaļa</w:t>
      </w:r>
      <w:r>
        <w:rPr>
          <w:i/>
          <w:sz w:val="28"/>
          <w:szCs w:val="28"/>
        </w:rPr>
        <w:t>s</w:t>
      </w:r>
      <w:r w:rsidRPr="0001406B">
        <w:rPr>
          <w:i/>
          <w:sz w:val="28"/>
          <w:szCs w:val="28"/>
        </w:rPr>
        <w:t xml:space="preserve"> - nav attiecināms.</w:t>
      </w:r>
    </w:p>
    <w:p w:rsidR="00AE03F2" w:rsidRPr="007C0F2C" w:rsidRDefault="00AE03F2" w:rsidP="00AE03F2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AE03F2" w:rsidRPr="007C0F2C" w:rsidRDefault="00AE03F2" w:rsidP="00AE03F2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75EA5" w:rsidRPr="005B5B53" w:rsidRDefault="00B30C28" w:rsidP="00675EA5">
      <w:pPr>
        <w:pStyle w:val="naisf"/>
        <w:spacing w:before="0" w:after="0"/>
      </w:pPr>
      <w:r>
        <w:t xml:space="preserve">      </w:t>
      </w:r>
      <w:r w:rsidR="00BE321A">
        <w:t>Izglītības un zinātnes ministrs</w:t>
      </w:r>
      <w:r w:rsidR="00675EA5" w:rsidRPr="005B5B53">
        <w:t xml:space="preserve">  </w:t>
      </w:r>
      <w:r w:rsidR="00675EA5" w:rsidRPr="005B5B53">
        <w:tab/>
      </w:r>
      <w:r w:rsidR="00675EA5" w:rsidRPr="005B5B53">
        <w:tab/>
      </w:r>
      <w:r w:rsidR="00675EA5" w:rsidRPr="005B5B53">
        <w:tab/>
      </w:r>
      <w:r w:rsidR="00675EA5" w:rsidRPr="005B5B53">
        <w:tab/>
        <w:t xml:space="preserve">           </w:t>
      </w:r>
      <w:r w:rsidR="005B1907">
        <w:t xml:space="preserve">      </w:t>
      </w:r>
      <w:r w:rsidR="00675EA5" w:rsidRPr="005B5B53">
        <w:t xml:space="preserve"> </w:t>
      </w:r>
      <w:proofErr w:type="spellStart"/>
      <w:r w:rsidR="00BE321A">
        <w:t>R.Broks</w:t>
      </w:r>
      <w:proofErr w:type="spellEnd"/>
    </w:p>
    <w:tbl>
      <w:tblPr>
        <w:tblW w:w="5953" w:type="dxa"/>
        <w:tblInd w:w="1668" w:type="dxa"/>
        <w:tblLook w:val="0000"/>
      </w:tblPr>
      <w:tblGrid>
        <w:gridCol w:w="240"/>
        <w:gridCol w:w="2160"/>
        <w:gridCol w:w="2520"/>
        <w:gridCol w:w="1033"/>
      </w:tblGrid>
      <w:tr w:rsidR="00675EA5" w:rsidRPr="005B5B53" w:rsidTr="00681DE7">
        <w:tc>
          <w:tcPr>
            <w:tcW w:w="240" w:type="dxa"/>
          </w:tcPr>
          <w:p w:rsidR="00675EA5" w:rsidRPr="005B5B53" w:rsidRDefault="00675EA5" w:rsidP="00681DE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75EA5" w:rsidRPr="005B5B53" w:rsidRDefault="00675EA5" w:rsidP="00681DE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5EA5" w:rsidRPr="005B5B53" w:rsidRDefault="00675EA5" w:rsidP="00681DE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5EA5" w:rsidRPr="005B5B53" w:rsidRDefault="00675EA5" w:rsidP="00681DE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EA5" w:rsidRPr="005B5B53" w:rsidRDefault="00675EA5" w:rsidP="00675EA5"/>
    <w:p w:rsidR="00675EA5" w:rsidRPr="005B5B53" w:rsidRDefault="00675EA5" w:rsidP="00675EA5"/>
    <w:p w:rsidR="00675EA5" w:rsidRPr="005B5B53" w:rsidRDefault="00675EA5" w:rsidP="00675EA5"/>
    <w:p w:rsidR="00675EA5" w:rsidRPr="005B5B53" w:rsidRDefault="00675EA5" w:rsidP="00675EA5">
      <w:r w:rsidRPr="005B5B53">
        <w:t xml:space="preserve">         </w:t>
      </w:r>
      <w:r w:rsidR="005B1907">
        <w:t xml:space="preserve">   </w:t>
      </w:r>
      <w:r w:rsidRPr="005B5B53">
        <w:t xml:space="preserve"> </w:t>
      </w:r>
      <w:r w:rsidR="005B1907">
        <w:t xml:space="preserve"> </w:t>
      </w:r>
      <w:r w:rsidRPr="005B5B53">
        <w:t xml:space="preserve">Vizē: Valsts sekretārs </w:t>
      </w:r>
      <w:r w:rsidRPr="005B5B53">
        <w:tab/>
      </w:r>
      <w:r w:rsidRPr="005B5B53">
        <w:tab/>
      </w:r>
      <w:r w:rsidRPr="005B5B53">
        <w:tab/>
      </w:r>
      <w:r w:rsidRPr="005B5B53">
        <w:tab/>
        <w:t xml:space="preserve">             </w:t>
      </w:r>
      <w:r>
        <w:t xml:space="preserve">             </w:t>
      </w:r>
      <w:proofErr w:type="spellStart"/>
      <w:r w:rsidRPr="005B5B53">
        <w:t>M.Gruškevics</w:t>
      </w:r>
      <w:proofErr w:type="spellEnd"/>
    </w:p>
    <w:p w:rsidR="00C33558" w:rsidRDefault="00C33558" w:rsidP="00A65F5B"/>
    <w:p w:rsidR="009D17BC" w:rsidRDefault="009D17BC" w:rsidP="00A65F5B"/>
    <w:p w:rsidR="009D17BC" w:rsidRDefault="009D17BC" w:rsidP="00A65F5B"/>
    <w:p w:rsidR="009D17BC" w:rsidRDefault="009D17BC" w:rsidP="00A65F5B"/>
    <w:p w:rsidR="009D17BC" w:rsidRDefault="009D17BC" w:rsidP="00A65F5B"/>
    <w:p w:rsidR="009D17BC" w:rsidRDefault="009D17BC" w:rsidP="00A65F5B"/>
    <w:p w:rsidR="00675EA5" w:rsidRPr="002F5107" w:rsidRDefault="001E2F73" w:rsidP="00675EA5">
      <w:pPr>
        <w:contextualSpacing/>
        <w:rPr>
          <w:sz w:val="20"/>
          <w:szCs w:val="20"/>
        </w:rPr>
      </w:pPr>
      <w:r>
        <w:rPr>
          <w:sz w:val="20"/>
          <w:szCs w:val="20"/>
        </w:rPr>
        <w:t>17</w:t>
      </w:r>
      <w:r w:rsidR="00574D24">
        <w:rPr>
          <w:sz w:val="20"/>
          <w:szCs w:val="20"/>
        </w:rPr>
        <w:t>.12</w:t>
      </w:r>
      <w:r w:rsidR="00166485">
        <w:rPr>
          <w:sz w:val="20"/>
          <w:szCs w:val="20"/>
        </w:rPr>
        <w:t xml:space="preserve">.2010. </w:t>
      </w:r>
      <w:r w:rsidR="0075400E">
        <w:rPr>
          <w:sz w:val="20"/>
          <w:szCs w:val="20"/>
        </w:rPr>
        <w:t>10:32</w:t>
      </w:r>
    </w:p>
    <w:p w:rsidR="00675EA5" w:rsidRPr="002F5107" w:rsidRDefault="000B2442" w:rsidP="00675EA5">
      <w:pPr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 w:rsidR="0075400E">
        <w:rPr>
          <w:sz w:val="20"/>
          <w:szCs w:val="20"/>
        </w:rPr>
        <w:t>36</w:t>
      </w:r>
    </w:p>
    <w:p w:rsidR="00675EA5" w:rsidRPr="002F5107" w:rsidRDefault="00675EA5" w:rsidP="00675EA5">
      <w:pPr>
        <w:contextualSpacing/>
        <w:rPr>
          <w:sz w:val="20"/>
          <w:szCs w:val="20"/>
        </w:rPr>
      </w:pPr>
      <w:r>
        <w:rPr>
          <w:sz w:val="20"/>
          <w:szCs w:val="20"/>
        </w:rPr>
        <w:t>I.</w:t>
      </w:r>
      <w:r w:rsidRPr="002F5107">
        <w:rPr>
          <w:sz w:val="20"/>
          <w:szCs w:val="20"/>
        </w:rPr>
        <w:t>Siliņa</w:t>
      </w:r>
    </w:p>
    <w:p w:rsidR="00675EA5" w:rsidRDefault="00675EA5" w:rsidP="00675EA5">
      <w:pPr>
        <w:contextualSpacing/>
        <w:rPr>
          <w:sz w:val="20"/>
          <w:szCs w:val="20"/>
        </w:rPr>
      </w:pPr>
      <w:r w:rsidRPr="002F5107">
        <w:rPr>
          <w:sz w:val="20"/>
          <w:szCs w:val="20"/>
        </w:rPr>
        <w:t xml:space="preserve">67047789, </w:t>
      </w:r>
      <w:r w:rsidRPr="00716AAC">
        <w:rPr>
          <w:sz w:val="20"/>
          <w:szCs w:val="20"/>
        </w:rPr>
        <w:t>ilze.silina@izm.gov.lv</w:t>
      </w:r>
    </w:p>
    <w:p w:rsidR="00675EA5" w:rsidRPr="002F5107" w:rsidRDefault="00675EA5" w:rsidP="00675EA5">
      <w:pPr>
        <w:contextualSpacing/>
        <w:rPr>
          <w:sz w:val="20"/>
          <w:szCs w:val="20"/>
        </w:rPr>
      </w:pPr>
    </w:p>
    <w:p w:rsidR="00675EA5" w:rsidRDefault="00675EA5" w:rsidP="00675EA5">
      <w:pPr>
        <w:contextualSpacing/>
        <w:rPr>
          <w:sz w:val="20"/>
          <w:szCs w:val="20"/>
        </w:rPr>
      </w:pPr>
    </w:p>
    <w:sectPr w:rsidR="00675EA5" w:rsidSect="009F67D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DB" w:rsidRDefault="009E5BDB" w:rsidP="001B37BA">
      <w:r>
        <w:separator/>
      </w:r>
    </w:p>
  </w:endnote>
  <w:endnote w:type="continuationSeparator" w:id="0">
    <w:p w:rsidR="009E5BDB" w:rsidRDefault="009E5BDB" w:rsidP="001B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D8" w:rsidRPr="00727AD8" w:rsidRDefault="001E2F73" w:rsidP="00727AD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IZMAnot_17</w:t>
    </w:r>
    <w:r w:rsidR="00BE321A">
      <w:rPr>
        <w:sz w:val="20"/>
        <w:szCs w:val="20"/>
      </w:rPr>
      <w:t>1</w:t>
    </w:r>
    <w:r w:rsidR="00574D24">
      <w:rPr>
        <w:sz w:val="20"/>
        <w:szCs w:val="20"/>
      </w:rPr>
      <w:t>2</w:t>
    </w:r>
    <w:r w:rsidR="009116B0">
      <w:rPr>
        <w:sz w:val="20"/>
        <w:szCs w:val="20"/>
      </w:rPr>
      <w:t>10_ēd</w:t>
    </w:r>
    <w:r w:rsidR="00727AD8" w:rsidRPr="00727AD8">
      <w:rPr>
        <w:sz w:val="20"/>
        <w:szCs w:val="20"/>
      </w:rPr>
      <w:t>; Ministru kabineta noteik</w:t>
    </w:r>
    <w:r w:rsidR="00727AD8">
      <w:rPr>
        <w:sz w:val="20"/>
        <w:szCs w:val="20"/>
      </w:rPr>
      <w:t>umu projekta</w:t>
    </w:r>
    <w:r w:rsidR="00727AD8" w:rsidRPr="00727AD8">
      <w:rPr>
        <w:sz w:val="20"/>
        <w:szCs w:val="20"/>
      </w:rPr>
      <w:t xml:space="preserve">  „</w:t>
    </w:r>
    <w:r w:rsidR="00727AD8" w:rsidRPr="00727AD8">
      <w:rPr>
        <w:bCs/>
        <w:sz w:val="20"/>
        <w:szCs w:val="20"/>
      </w:rPr>
      <w:t>Kārtība, kādā aprēķina, piešķir un izlieto valsts budžeta līdzekļus pašvaldībai pamatizglītības iestādes skolēnu ēdināšanai</w:t>
    </w:r>
    <w:r w:rsidR="00727AD8" w:rsidRPr="00727AD8">
      <w:rPr>
        <w:sz w:val="20"/>
        <w:szCs w:val="20"/>
      </w:rPr>
      <w:t>” sākotnējās ietekmes novērtējuma ziņojums (anotācija)</w:t>
    </w:r>
  </w:p>
  <w:p w:rsidR="00727AD8" w:rsidRPr="007F0B0F" w:rsidRDefault="00727AD8" w:rsidP="00727AD8">
    <w:pPr>
      <w:contextualSpacing/>
      <w:jc w:val="both"/>
      <w:rPr>
        <w:bCs/>
        <w:sz w:val="20"/>
        <w:szCs w:val="20"/>
      </w:rPr>
    </w:pPr>
  </w:p>
  <w:p w:rsidR="005B1907" w:rsidRPr="00727AD8" w:rsidRDefault="005B1907" w:rsidP="00727AD8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D8" w:rsidRPr="00727AD8" w:rsidRDefault="0075400E" w:rsidP="00727AD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IZMAnot_17</w:t>
    </w:r>
    <w:r w:rsidR="00574D24">
      <w:rPr>
        <w:sz w:val="20"/>
        <w:szCs w:val="20"/>
      </w:rPr>
      <w:t>12</w:t>
    </w:r>
    <w:r w:rsidR="009116B0">
      <w:rPr>
        <w:sz w:val="20"/>
        <w:szCs w:val="20"/>
      </w:rPr>
      <w:t>10_ēd</w:t>
    </w:r>
    <w:r w:rsidR="005B1907" w:rsidRPr="00727AD8">
      <w:rPr>
        <w:sz w:val="20"/>
        <w:szCs w:val="20"/>
      </w:rPr>
      <w:t>; Ministru kabineta noteik</w:t>
    </w:r>
    <w:r w:rsidR="00727AD8">
      <w:rPr>
        <w:sz w:val="20"/>
        <w:szCs w:val="20"/>
      </w:rPr>
      <w:t>umu projekta</w:t>
    </w:r>
    <w:r w:rsidR="005B1907" w:rsidRPr="00727AD8">
      <w:rPr>
        <w:sz w:val="20"/>
        <w:szCs w:val="20"/>
      </w:rPr>
      <w:t xml:space="preserve">  „</w:t>
    </w:r>
    <w:r w:rsidR="005B1907" w:rsidRPr="00727AD8">
      <w:rPr>
        <w:bCs/>
        <w:sz w:val="20"/>
        <w:szCs w:val="20"/>
      </w:rPr>
      <w:t>Kārtība, kādā aprēķina, piešķir un izlieto valsts budžeta līdzekļus pašvaldībai pamatizglītības iestādes skolēnu ēdināšanai</w:t>
    </w:r>
    <w:r w:rsidR="005B1907" w:rsidRPr="00727AD8">
      <w:rPr>
        <w:sz w:val="20"/>
        <w:szCs w:val="20"/>
      </w:rPr>
      <w:t>”</w:t>
    </w:r>
    <w:r w:rsidR="00727AD8" w:rsidRPr="00727AD8">
      <w:rPr>
        <w:sz w:val="20"/>
        <w:szCs w:val="20"/>
      </w:rPr>
      <w:t xml:space="preserve"> sākotnējās ietekmes novērtējuma ziņojums (anotācija)</w:t>
    </w:r>
  </w:p>
  <w:p w:rsidR="005B1907" w:rsidRPr="007F0B0F" w:rsidRDefault="005B1907" w:rsidP="005B1907">
    <w:pPr>
      <w:contextualSpacing/>
      <w:jc w:val="both"/>
      <w:rPr>
        <w:bCs/>
        <w:sz w:val="20"/>
        <w:szCs w:val="20"/>
      </w:rPr>
    </w:pPr>
  </w:p>
  <w:p w:rsidR="005B1907" w:rsidRDefault="005B1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DB" w:rsidRDefault="009E5BDB" w:rsidP="001B37BA">
      <w:r>
        <w:separator/>
      </w:r>
    </w:p>
  </w:footnote>
  <w:footnote w:type="continuationSeparator" w:id="0">
    <w:p w:rsidR="009E5BDB" w:rsidRDefault="009E5BDB" w:rsidP="001B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0216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3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9E5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0216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3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00E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C13" w:rsidRDefault="009E5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F2"/>
    <w:rsid w:val="0002168D"/>
    <w:rsid w:val="000652FF"/>
    <w:rsid w:val="0009789A"/>
    <w:rsid w:val="000A19F8"/>
    <w:rsid w:val="000B2214"/>
    <w:rsid w:val="000B2442"/>
    <w:rsid w:val="000E175C"/>
    <w:rsid w:val="000E7BC7"/>
    <w:rsid w:val="00102922"/>
    <w:rsid w:val="0010678B"/>
    <w:rsid w:val="00106F23"/>
    <w:rsid w:val="0010767D"/>
    <w:rsid w:val="00130E7B"/>
    <w:rsid w:val="00146FFF"/>
    <w:rsid w:val="00166485"/>
    <w:rsid w:val="001850FD"/>
    <w:rsid w:val="00196DE6"/>
    <w:rsid w:val="001B37BA"/>
    <w:rsid w:val="001B5C1C"/>
    <w:rsid w:val="001E0F06"/>
    <w:rsid w:val="001E2F73"/>
    <w:rsid w:val="002038A9"/>
    <w:rsid w:val="0022522E"/>
    <w:rsid w:val="002405C7"/>
    <w:rsid w:val="00251F7B"/>
    <w:rsid w:val="00270CDC"/>
    <w:rsid w:val="00347A43"/>
    <w:rsid w:val="0037528A"/>
    <w:rsid w:val="003A4F82"/>
    <w:rsid w:val="003D18F8"/>
    <w:rsid w:val="00424DBF"/>
    <w:rsid w:val="004A0A9A"/>
    <w:rsid w:val="004C0ADF"/>
    <w:rsid w:val="004C5CFD"/>
    <w:rsid w:val="004E336C"/>
    <w:rsid w:val="00546B70"/>
    <w:rsid w:val="00550563"/>
    <w:rsid w:val="00574D24"/>
    <w:rsid w:val="005811B3"/>
    <w:rsid w:val="005B1907"/>
    <w:rsid w:val="005B3964"/>
    <w:rsid w:val="005F1272"/>
    <w:rsid w:val="006263F0"/>
    <w:rsid w:val="006304C2"/>
    <w:rsid w:val="00651945"/>
    <w:rsid w:val="00651D20"/>
    <w:rsid w:val="0066358A"/>
    <w:rsid w:val="00675EA5"/>
    <w:rsid w:val="006C3146"/>
    <w:rsid w:val="006D459F"/>
    <w:rsid w:val="00727AD8"/>
    <w:rsid w:val="0075400E"/>
    <w:rsid w:val="0078146A"/>
    <w:rsid w:val="00783E90"/>
    <w:rsid w:val="007B1EA2"/>
    <w:rsid w:val="007C01A2"/>
    <w:rsid w:val="007E3991"/>
    <w:rsid w:val="007F2A7B"/>
    <w:rsid w:val="007F4733"/>
    <w:rsid w:val="00803083"/>
    <w:rsid w:val="00806848"/>
    <w:rsid w:val="00812BE0"/>
    <w:rsid w:val="008279BE"/>
    <w:rsid w:val="00832308"/>
    <w:rsid w:val="00875340"/>
    <w:rsid w:val="00875CA2"/>
    <w:rsid w:val="00893DEA"/>
    <w:rsid w:val="009116B0"/>
    <w:rsid w:val="00927394"/>
    <w:rsid w:val="00964D84"/>
    <w:rsid w:val="00972016"/>
    <w:rsid w:val="009A3F94"/>
    <w:rsid w:val="009B1131"/>
    <w:rsid w:val="009D17BC"/>
    <w:rsid w:val="009E5BDB"/>
    <w:rsid w:val="009F09D7"/>
    <w:rsid w:val="009F67D1"/>
    <w:rsid w:val="00A16418"/>
    <w:rsid w:val="00A65F5B"/>
    <w:rsid w:val="00A949D5"/>
    <w:rsid w:val="00AA0952"/>
    <w:rsid w:val="00AE03F2"/>
    <w:rsid w:val="00B30C28"/>
    <w:rsid w:val="00B40593"/>
    <w:rsid w:val="00B71C06"/>
    <w:rsid w:val="00B82322"/>
    <w:rsid w:val="00B8595B"/>
    <w:rsid w:val="00B86E97"/>
    <w:rsid w:val="00BB0113"/>
    <w:rsid w:val="00BE321A"/>
    <w:rsid w:val="00BF2A60"/>
    <w:rsid w:val="00BF6880"/>
    <w:rsid w:val="00C104AE"/>
    <w:rsid w:val="00C13178"/>
    <w:rsid w:val="00C16716"/>
    <w:rsid w:val="00C33558"/>
    <w:rsid w:val="00C4497D"/>
    <w:rsid w:val="00C5454F"/>
    <w:rsid w:val="00C77850"/>
    <w:rsid w:val="00C84020"/>
    <w:rsid w:val="00CA46F9"/>
    <w:rsid w:val="00CB20B6"/>
    <w:rsid w:val="00D80F83"/>
    <w:rsid w:val="00D9225C"/>
    <w:rsid w:val="00DA26C5"/>
    <w:rsid w:val="00DA473C"/>
    <w:rsid w:val="00DB2A71"/>
    <w:rsid w:val="00E049BA"/>
    <w:rsid w:val="00E87B15"/>
    <w:rsid w:val="00EA1B72"/>
    <w:rsid w:val="00ED16EB"/>
    <w:rsid w:val="00EE3F3C"/>
    <w:rsid w:val="00EF088B"/>
    <w:rsid w:val="00EF6E76"/>
    <w:rsid w:val="00F02375"/>
    <w:rsid w:val="00F175B3"/>
    <w:rsid w:val="00F17BF9"/>
    <w:rsid w:val="00F24AF0"/>
    <w:rsid w:val="00F3286F"/>
    <w:rsid w:val="00F605BD"/>
    <w:rsid w:val="00F73FAF"/>
    <w:rsid w:val="00F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F2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03F2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E03F2"/>
  </w:style>
  <w:style w:type="paragraph" w:customStyle="1" w:styleId="naisf">
    <w:name w:val="naisf"/>
    <w:basedOn w:val="Normal"/>
    <w:rsid w:val="00AE03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E03F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AE03F2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AE03F2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AE03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03F2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AE0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2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675EA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675EA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75EA5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1850FD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0FD"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77850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5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482F-5AFA-4044-AD67-5A11877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5115</Words>
  <Characters>2917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"Kārtība, kādā aprēķina, piešķir un izlieto valsts budžeta līdzekļus pašvaldībām pamatizglītības iestādes skolēnu ēdināšanai</vt:lpstr>
      <vt:lpstr>Ministru kabineta noteikumi "Kārtība, kādā aprēķina, piešķir un izlieto valsts budžeta līdzekļus pašvaldībām pamatizglītības iestādes skolēnu ēdināšanai</vt:lpstr>
    </vt:vector>
  </TitlesOfParts>
  <Company> 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aprēķina, piešķir un izlieto valsts budžeta līdzekļus pašvaldībām pamatizglītības iestādes skolēnu ēdināšanai</dc:title>
  <dc:subject>Anotācija</dc:subject>
  <dc:creator>isilina</dc:creator>
  <cp:keywords/>
  <dc:description>Ilze Siliņa, 67047789
ilze.silina@izm.gov.lv</dc:description>
  <cp:lastModifiedBy>isilina</cp:lastModifiedBy>
  <cp:revision>8</cp:revision>
  <cp:lastPrinted>2010-12-17T08:35:00Z</cp:lastPrinted>
  <dcterms:created xsi:type="dcterms:W3CDTF">2010-12-16T13:34:00Z</dcterms:created>
  <dcterms:modified xsi:type="dcterms:W3CDTF">2010-12-17T08:36:00Z</dcterms:modified>
</cp:coreProperties>
</file>