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D83" w:rsidRDefault="008A3D83" w:rsidP="008A3D83">
      <w:pPr>
        <w:pStyle w:val="Heading3"/>
        <w:rPr>
          <w:szCs w:val="28"/>
        </w:rPr>
      </w:pPr>
      <w:r>
        <w:rPr>
          <w:szCs w:val="28"/>
        </w:rPr>
        <w:t>Ministru kabineta rīkojuma projekta</w:t>
      </w:r>
    </w:p>
    <w:p w:rsidR="008A3D83" w:rsidRPr="000C781A" w:rsidRDefault="00121361" w:rsidP="000C781A">
      <w:pPr>
        <w:pStyle w:val="BodyTextIndent2"/>
        <w:ind w:firstLine="0"/>
        <w:jc w:val="center"/>
        <w:rPr>
          <w:szCs w:val="28"/>
        </w:rPr>
      </w:pPr>
      <w:r>
        <w:rPr>
          <w:szCs w:val="28"/>
        </w:rPr>
        <w:t>„</w:t>
      </w:r>
      <w:r w:rsidR="00BA1B87">
        <w:rPr>
          <w:szCs w:val="28"/>
        </w:rPr>
        <w:t xml:space="preserve">Par </w:t>
      </w:r>
      <w:r w:rsidR="00017215">
        <w:rPr>
          <w:szCs w:val="28"/>
        </w:rPr>
        <w:t xml:space="preserve">Valmieras Pārtikas ražotāju vidusskolas un Valmieras 36.arodvidusskolas </w:t>
      </w:r>
      <w:r>
        <w:rPr>
          <w:szCs w:val="28"/>
        </w:rPr>
        <w:t xml:space="preserve"> </w:t>
      </w:r>
      <w:r w:rsidR="008A3D83">
        <w:rPr>
          <w:szCs w:val="28"/>
        </w:rPr>
        <w:t>reorganizāciju</w:t>
      </w:r>
      <w:r w:rsidR="00A711CE">
        <w:rPr>
          <w:szCs w:val="28"/>
        </w:rPr>
        <w:t xml:space="preserve"> un V</w:t>
      </w:r>
      <w:r w:rsidR="00624094">
        <w:rPr>
          <w:szCs w:val="28"/>
        </w:rPr>
        <w:t>almieras</w:t>
      </w:r>
      <w:r w:rsidR="00A806A1">
        <w:rPr>
          <w:szCs w:val="28"/>
        </w:rPr>
        <w:t xml:space="preserve"> P</w:t>
      </w:r>
      <w:r w:rsidR="00A711CE">
        <w:rPr>
          <w:szCs w:val="28"/>
        </w:rPr>
        <w:t>rofesionāl</w:t>
      </w:r>
      <w:r w:rsidR="00260E23">
        <w:rPr>
          <w:szCs w:val="28"/>
        </w:rPr>
        <w:t>ās vidusskolas</w:t>
      </w:r>
      <w:r w:rsidR="00520579">
        <w:rPr>
          <w:szCs w:val="28"/>
        </w:rPr>
        <w:t xml:space="preserve"> izveidi</w:t>
      </w:r>
      <w:r w:rsidR="008A3D83">
        <w:rPr>
          <w:szCs w:val="28"/>
        </w:rPr>
        <w:t>”</w:t>
      </w:r>
      <w:r w:rsidR="000C781A">
        <w:rPr>
          <w:szCs w:val="28"/>
        </w:rPr>
        <w:t xml:space="preserve"> sākotnējās ietekmes novērtējuma ziņojums</w:t>
      </w:r>
      <w:r w:rsidR="008A3D83">
        <w:rPr>
          <w:szCs w:val="28"/>
        </w:rPr>
        <w:t xml:space="preserve"> </w:t>
      </w:r>
      <w:r w:rsidR="000C781A">
        <w:rPr>
          <w:szCs w:val="28"/>
        </w:rPr>
        <w:t>(</w:t>
      </w:r>
      <w:r w:rsidR="008A3D83">
        <w:rPr>
          <w:bCs/>
          <w:szCs w:val="28"/>
        </w:rPr>
        <w:t>anotācija</w:t>
      </w:r>
      <w:r w:rsidR="000C781A">
        <w:rPr>
          <w:bCs/>
          <w:szCs w:val="28"/>
        </w:rPr>
        <w:t>)</w:t>
      </w:r>
    </w:p>
    <w:p w:rsidR="008A3D83" w:rsidRDefault="008A3D83" w:rsidP="008A3D83">
      <w:pPr>
        <w:rPr>
          <w:i/>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6"/>
        <w:gridCol w:w="2231"/>
        <w:gridCol w:w="5599"/>
      </w:tblGrid>
      <w:tr w:rsidR="00CB265E" w:rsidRPr="00DE0D02" w:rsidTr="00CB265E">
        <w:trPr>
          <w:tblCellSpacing w:w="0" w:type="dxa"/>
        </w:trPr>
        <w:tc>
          <w:tcPr>
            <w:tcW w:w="8336" w:type="dxa"/>
            <w:gridSpan w:val="3"/>
            <w:tcBorders>
              <w:top w:val="outset" w:sz="6" w:space="0" w:color="auto"/>
              <w:left w:val="outset" w:sz="6" w:space="0" w:color="auto"/>
              <w:bottom w:val="outset" w:sz="6" w:space="0" w:color="auto"/>
              <w:right w:val="outset" w:sz="6" w:space="0" w:color="auto"/>
            </w:tcBorders>
            <w:vAlign w:val="center"/>
          </w:tcPr>
          <w:p w:rsidR="00CB265E" w:rsidRPr="007C6654" w:rsidRDefault="00CB265E" w:rsidP="00DC485F">
            <w:pPr>
              <w:spacing w:before="75" w:after="75"/>
              <w:jc w:val="center"/>
              <w:rPr>
                <w:sz w:val="28"/>
                <w:szCs w:val="28"/>
              </w:rPr>
            </w:pPr>
            <w:r w:rsidRPr="00DE0D02">
              <w:rPr>
                <w:b/>
                <w:bCs/>
              </w:rPr>
              <w:t> </w:t>
            </w:r>
            <w:r w:rsidRPr="007C6654">
              <w:rPr>
                <w:b/>
                <w:bCs/>
                <w:sz w:val="28"/>
                <w:szCs w:val="28"/>
              </w:rPr>
              <w:t>I. Tiesību akta projekta izstrādes nepieciešamība</w:t>
            </w:r>
          </w:p>
        </w:tc>
      </w:tr>
      <w:tr w:rsidR="00CB265E" w:rsidRPr="00DC485F" w:rsidTr="00CB265E">
        <w:trPr>
          <w:trHeight w:val="630"/>
          <w:tblCellSpacing w:w="0" w:type="dxa"/>
        </w:trPr>
        <w:tc>
          <w:tcPr>
            <w:tcW w:w="506"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rPr>
                <w:sz w:val="26"/>
                <w:szCs w:val="26"/>
              </w:rPr>
            </w:pPr>
            <w:r w:rsidRPr="00DC485F">
              <w:rPr>
                <w:sz w:val="26"/>
                <w:szCs w:val="26"/>
              </w:rPr>
              <w:t> 1.</w:t>
            </w:r>
          </w:p>
        </w:tc>
        <w:tc>
          <w:tcPr>
            <w:tcW w:w="2231"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rPr>
                <w:sz w:val="26"/>
                <w:szCs w:val="26"/>
              </w:rPr>
            </w:pPr>
            <w:r w:rsidRPr="00DC485F">
              <w:rPr>
                <w:sz w:val="26"/>
                <w:szCs w:val="26"/>
              </w:rPr>
              <w:t xml:space="preserve"> Pamatojums</w:t>
            </w: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rPr>
                <w:sz w:val="26"/>
                <w:szCs w:val="26"/>
              </w:rPr>
            </w:pPr>
          </w:p>
          <w:p w:rsidR="00CB265E" w:rsidRPr="00DC485F" w:rsidRDefault="00CB265E" w:rsidP="00DC485F">
            <w:pPr>
              <w:jc w:val="center"/>
              <w:rPr>
                <w:sz w:val="26"/>
                <w:szCs w:val="26"/>
              </w:rPr>
            </w:pPr>
          </w:p>
        </w:tc>
        <w:tc>
          <w:tcPr>
            <w:tcW w:w="5599" w:type="dxa"/>
            <w:tcBorders>
              <w:top w:val="outset" w:sz="6" w:space="0" w:color="auto"/>
              <w:left w:val="outset" w:sz="6" w:space="0" w:color="auto"/>
              <w:bottom w:val="outset" w:sz="6" w:space="0" w:color="auto"/>
              <w:right w:val="outset" w:sz="6" w:space="0" w:color="auto"/>
            </w:tcBorders>
          </w:tcPr>
          <w:p w:rsidR="00CB265E" w:rsidRPr="00DC485F" w:rsidRDefault="005D5BF3" w:rsidP="00DC485F">
            <w:pPr>
              <w:pStyle w:val="NoSpacing"/>
              <w:jc w:val="both"/>
              <w:rPr>
                <w:bCs/>
                <w:sz w:val="26"/>
                <w:szCs w:val="26"/>
              </w:rPr>
            </w:pPr>
            <w:r>
              <w:rPr>
                <w:bCs/>
                <w:sz w:val="26"/>
                <w:szCs w:val="26"/>
              </w:rPr>
              <w:t xml:space="preserve">Ministru kabineta </w:t>
            </w:r>
            <w:r w:rsidR="00CB265E" w:rsidRPr="00DC485F">
              <w:rPr>
                <w:bCs/>
                <w:sz w:val="26"/>
                <w:szCs w:val="26"/>
              </w:rPr>
              <w:t>2010.gada 6.janvāra rīkojums Nr.5 „Par Profesionālās izglītības iestāžu tīkla optimizācijas pamatnostādnēm 2010. – 2015.g</w:t>
            </w:r>
            <w:r w:rsidR="00213220">
              <w:rPr>
                <w:bCs/>
                <w:sz w:val="26"/>
                <w:szCs w:val="26"/>
              </w:rPr>
              <w:t xml:space="preserve">adam” </w:t>
            </w:r>
            <w:r w:rsidR="00CB265E" w:rsidRPr="00DC485F">
              <w:rPr>
                <w:bCs/>
                <w:sz w:val="26"/>
                <w:szCs w:val="26"/>
              </w:rPr>
              <w:t xml:space="preserve"> nosaka Izglītības u</w:t>
            </w:r>
            <w:r>
              <w:rPr>
                <w:bCs/>
                <w:sz w:val="26"/>
                <w:szCs w:val="26"/>
              </w:rPr>
              <w:t xml:space="preserve">n zinātnes ministriju (turpmāk </w:t>
            </w:r>
            <w:r w:rsidR="00CB265E" w:rsidRPr="00DC485F">
              <w:rPr>
                <w:bCs/>
                <w:sz w:val="26"/>
                <w:szCs w:val="26"/>
              </w:rPr>
              <w:t xml:space="preserve">– ministrija) par atbildīgo institūciju </w:t>
            </w:r>
            <w:r w:rsidR="00803595">
              <w:rPr>
                <w:bCs/>
                <w:sz w:val="26"/>
                <w:szCs w:val="26"/>
              </w:rPr>
              <w:t xml:space="preserve">Profesionālās izglītības iestāžu tīkla optimizācijas pamatnostādņu 2010.-2015. gadam (turpmāk – pamatnostādnes) </w:t>
            </w:r>
            <w:r w:rsidR="00CB265E" w:rsidRPr="00DC485F">
              <w:rPr>
                <w:bCs/>
                <w:sz w:val="26"/>
                <w:szCs w:val="26"/>
              </w:rPr>
              <w:t xml:space="preserve"> īstenošanā, nodrošinot turpmāku profesionālās izglītības sistēmas strukturālo reformu īstenošanu, optimizējot profesionālās izglītības iestāžu skaitu un izvietojumu reģionos, kā arī veicot to diferenciāciju, izveidot modernu, mūsdienu prasībām atbilstošu profesionālās izglītības materiāli tehnisko nodrošinājumu, sekmēt visu veidu resursu efektīvāku izmantošanu, paaugstinot profesionālās izglītības kvalitāti un pieejamību. </w:t>
            </w:r>
          </w:p>
          <w:p w:rsidR="00CB265E" w:rsidRPr="00DC485F" w:rsidRDefault="00CB265E" w:rsidP="00DC485F">
            <w:pPr>
              <w:pStyle w:val="NoSpacing"/>
              <w:jc w:val="both"/>
              <w:rPr>
                <w:sz w:val="26"/>
                <w:szCs w:val="26"/>
              </w:rPr>
            </w:pPr>
            <w:r w:rsidRPr="00DC485F">
              <w:rPr>
                <w:sz w:val="26"/>
                <w:szCs w:val="26"/>
              </w:rPr>
              <w:t>Tiesību akta projekta izstrādes nepieciešamību nosaka Profesionālās izglītības likuma 14.panta pirmajā daļā noteiktais, ka ministrija vai cita ministrija ierosina Ministru kabinetam dibināt, reorganizēt un likvidēt valsts profesionālās izglītības iestādes, un Valsts pārvaldes iekārtas likuma 15.pant</w:t>
            </w:r>
            <w:r w:rsidR="00495505">
              <w:rPr>
                <w:sz w:val="26"/>
                <w:szCs w:val="26"/>
              </w:rPr>
              <w:t>a trešās daļas 2.punktā noteiktais</w:t>
            </w:r>
            <w:r w:rsidRPr="00DC485F">
              <w:rPr>
                <w:sz w:val="26"/>
                <w:szCs w:val="26"/>
              </w:rPr>
              <w:t xml:space="preserve">, </w:t>
            </w:r>
            <w:r w:rsidR="00495505">
              <w:rPr>
                <w:sz w:val="26"/>
                <w:szCs w:val="26"/>
              </w:rPr>
              <w:t xml:space="preserve">ka </w:t>
            </w:r>
            <w:r w:rsidRPr="00DC485F">
              <w:rPr>
                <w:sz w:val="26"/>
                <w:szCs w:val="26"/>
              </w:rPr>
              <w:t xml:space="preserve">tiešās pārvaldes iestādi </w:t>
            </w:r>
            <w:r w:rsidRPr="00DC485F">
              <w:rPr>
                <w:color w:val="000000"/>
                <w:sz w:val="26"/>
                <w:szCs w:val="26"/>
              </w:rPr>
              <w:t>reorganizē,</w:t>
            </w:r>
            <w:r w:rsidRPr="00DC485F">
              <w:rPr>
                <w:sz w:val="26"/>
                <w:szCs w:val="26"/>
              </w:rPr>
              <w:t xml:space="preserve"> apvienojot to ar citu iestādi, kā rezultātā uz reorganizējamo institūciju bāzes izveido jaunu iestādi.</w:t>
            </w:r>
          </w:p>
          <w:p w:rsidR="00CB265E" w:rsidRPr="00DC485F" w:rsidRDefault="001B73C9" w:rsidP="001B73C9">
            <w:pPr>
              <w:jc w:val="both"/>
              <w:rPr>
                <w:sz w:val="26"/>
                <w:szCs w:val="26"/>
              </w:rPr>
            </w:pPr>
            <w:r>
              <w:rPr>
                <w:sz w:val="26"/>
                <w:szCs w:val="26"/>
              </w:rPr>
              <w:t>P</w:t>
            </w:r>
            <w:r w:rsidR="00CB265E" w:rsidRPr="00DC485F">
              <w:rPr>
                <w:sz w:val="26"/>
                <w:szCs w:val="26"/>
              </w:rPr>
              <w:t xml:space="preserve">amatojoties uz </w:t>
            </w:r>
            <w:r>
              <w:rPr>
                <w:bCs/>
                <w:sz w:val="26"/>
                <w:szCs w:val="26"/>
              </w:rPr>
              <w:t>pamatnostādnēs</w:t>
            </w:r>
            <w:r w:rsidR="00455F59">
              <w:rPr>
                <w:bCs/>
                <w:sz w:val="26"/>
                <w:szCs w:val="26"/>
              </w:rPr>
              <w:t xml:space="preserve"> </w:t>
            </w:r>
            <w:r w:rsidR="00CB265E" w:rsidRPr="00DC485F">
              <w:rPr>
                <w:sz w:val="26"/>
                <w:szCs w:val="26"/>
              </w:rPr>
              <w:t>noteikto ministrijas padotības profesionālās izglītības iestāžu tīkla optimizācijas  izpildes plānojumu, kā arī pamatojoties u</w:t>
            </w:r>
            <w:r w:rsidR="00420BA6">
              <w:rPr>
                <w:sz w:val="26"/>
                <w:szCs w:val="26"/>
              </w:rPr>
              <w:t>z Valmieras Pārtikas ražotāju vidusskolas un Valmieras 36.</w:t>
            </w:r>
            <w:r w:rsidR="00CB265E" w:rsidRPr="00DC485F">
              <w:rPr>
                <w:sz w:val="26"/>
                <w:szCs w:val="26"/>
              </w:rPr>
              <w:t xml:space="preserve"> </w:t>
            </w:r>
            <w:r w:rsidR="008844D4">
              <w:rPr>
                <w:sz w:val="26"/>
                <w:szCs w:val="26"/>
              </w:rPr>
              <w:t>a</w:t>
            </w:r>
            <w:r w:rsidR="00CB265E" w:rsidRPr="00DC485F">
              <w:rPr>
                <w:sz w:val="26"/>
                <w:szCs w:val="26"/>
              </w:rPr>
              <w:t>rodvidu</w:t>
            </w:r>
            <w:r w:rsidR="00420BA6">
              <w:rPr>
                <w:sz w:val="26"/>
                <w:szCs w:val="26"/>
              </w:rPr>
              <w:t>sskolas</w:t>
            </w:r>
            <w:r w:rsidR="00165251">
              <w:rPr>
                <w:sz w:val="26"/>
                <w:szCs w:val="26"/>
              </w:rPr>
              <w:t xml:space="preserve"> </w:t>
            </w:r>
            <w:r w:rsidR="00165251" w:rsidRPr="00165251">
              <w:rPr>
                <w:sz w:val="26"/>
                <w:szCs w:val="26"/>
              </w:rPr>
              <w:t>(turpmāk – skolas)</w:t>
            </w:r>
            <w:r w:rsidR="00165251">
              <w:rPr>
                <w:sz w:val="26"/>
                <w:szCs w:val="26"/>
              </w:rPr>
              <w:t xml:space="preserve"> </w:t>
            </w:r>
            <w:r w:rsidR="00420BA6">
              <w:rPr>
                <w:sz w:val="26"/>
                <w:szCs w:val="26"/>
              </w:rPr>
              <w:t xml:space="preserve">izstrādāto Valmieras Profesionālās izglītības </w:t>
            </w:r>
            <w:r w:rsidR="00CB265E" w:rsidRPr="00DC485F">
              <w:rPr>
                <w:sz w:val="26"/>
                <w:szCs w:val="26"/>
              </w:rPr>
              <w:t xml:space="preserve"> </w:t>
            </w:r>
            <w:r w:rsidR="00420BA6">
              <w:rPr>
                <w:sz w:val="26"/>
                <w:szCs w:val="26"/>
              </w:rPr>
              <w:t xml:space="preserve">kompetences centra </w:t>
            </w:r>
            <w:r w:rsidR="00CB265E" w:rsidRPr="00DC485F">
              <w:rPr>
                <w:sz w:val="26"/>
                <w:szCs w:val="26"/>
              </w:rPr>
              <w:t xml:space="preserve">attīstības un investīciju stratēģiju 2010.–2015.gadam, </w:t>
            </w:r>
            <w:r w:rsidR="006823DF">
              <w:rPr>
                <w:sz w:val="26"/>
                <w:szCs w:val="26"/>
              </w:rPr>
              <w:t xml:space="preserve">ministrija </w:t>
            </w:r>
            <w:r w:rsidR="00CB265E" w:rsidRPr="00DC485F">
              <w:rPr>
                <w:sz w:val="26"/>
                <w:szCs w:val="26"/>
              </w:rPr>
              <w:t xml:space="preserve">ir sagatavojusi </w:t>
            </w:r>
            <w:r w:rsidR="00CB265E" w:rsidRPr="00DC485F">
              <w:rPr>
                <w:bCs/>
                <w:sz w:val="26"/>
                <w:szCs w:val="26"/>
              </w:rPr>
              <w:t>Ministru kabineta rīkojuma projektu</w:t>
            </w:r>
            <w:r w:rsidR="00CB265E" w:rsidRPr="00DC485F">
              <w:rPr>
                <w:b/>
                <w:bCs/>
                <w:sz w:val="26"/>
                <w:szCs w:val="26"/>
              </w:rPr>
              <w:t xml:space="preserve"> </w:t>
            </w:r>
            <w:r w:rsidR="00CB265E" w:rsidRPr="00DC485F">
              <w:rPr>
                <w:bCs/>
                <w:sz w:val="26"/>
                <w:szCs w:val="26"/>
              </w:rPr>
              <w:t>„</w:t>
            </w:r>
            <w:r w:rsidR="00420BA6">
              <w:rPr>
                <w:bCs/>
                <w:sz w:val="26"/>
                <w:szCs w:val="26"/>
              </w:rPr>
              <w:t xml:space="preserve">Par </w:t>
            </w:r>
            <w:r w:rsidR="00420BA6">
              <w:rPr>
                <w:sz w:val="26"/>
                <w:szCs w:val="26"/>
              </w:rPr>
              <w:t>Valmieras Pārtikas ražotāju vidusskolas un Valmieras 36.</w:t>
            </w:r>
            <w:r w:rsidR="00420BA6" w:rsidRPr="00DC485F">
              <w:rPr>
                <w:sz w:val="26"/>
                <w:szCs w:val="26"/>
              </w:rPr>
              <w:t xml:space="preserve"> arodvidu</w:t>
            </w:r>
            <w:r w:rsidR="00420BA6">
              <w:rPr>
                <w:sz w:val="26"/>
                <w:szCs w:val="26"/>
              </w:rPr>
              <w:t>sskolas</w:t>
            </w:r>
            <w:r w:rsidR="00CB265E" w:rsidRPr="00DC485F">
              <w:rPr>
                <w:sz w:val="26"/>
                <w:szCs w:val="26"/>
              </w:rPr>
              <w:t xml:space="preserve"> </w:t>
            </w:r>
            <w:r w:rsidR="004407E5">
              <w:rPr>
                <w:sz w:val="26"/>
                <w:szCs w:val="26"/>
              </w:rPr>
              <w:t>reorganizāciju un Valmieras</w:t>
            </w:r>
            <w:r w:rsidR="00CB265E" w:rsidRPr="00DC485F">
              <w:rPr>
                <w:sz w:val="26"/>
                <w:szCs w:val="26"/>
              </w:rPr>
              <w:t xml:space="preserve"> Profesionālā</w:t>
            </w:r>
            <w:r w:rsidR="00260E23">
              <w:rPr>
                <w:sz w:val="26"/>
                <w:szCs w:val="26"/>
              </w:rPr>
              <w:t xml:space="preserve">s </w:t>
            </w:r>
            <w:r w:rsidR="00260E23">
              <w:rPr>
                <w:sz w:val="26"/>
                <w:szCs w:val="26"/>
              </w:rPr>
              <w:lastRenderedPageBreak/>
              <w:t xml:space="preserve">vidusskolas </w:t>
            </w:r>
            <w:r w:rsidR="00CB265E" w:rsidRPr="00DC485F">
              <w:rPr>
                <w:sz w:val="26"/>
                <w:szCs w:val="26"/>
              </w:rPr>
              <w:t xml:space="preserve">izveidi” (turpmāk – rīkojuma projekts). </w:t>
            </w:r>
          </w:p>
        </w:tc>
      </w:tr>
      <w:tr w:rsidR="00CB265E" w:rsidRPr="00DC485F" w:rsidTr="00CB265E">
        <w:trPr>
          <w:trHeight w:val="472"/>
          <w:tblCellSpacing w:w="0" w:type="dxa"/>
        </w:trPr>
        <w:tc>
          <w:tcPr>
            <w:tcW w:w="506"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rPr>
                <w:sz w:val="26"/>
                <w:szCs w:val="26"/>
              </w:rPr>
            </w:pPr>
            <w:r w:rsidRPr="00DC485F">
              <w:rPr>
                <w:sz w:val="26"/>
                <w:szCs w:val="26"/>
              </w:rPr>
              <w:lastRenderedPageBreak/>
              <w:t> 2.</w:t>
            </w:r>
          </w:p>
        </w:tc>
        <w:tc>
          <w:tcPr>
            <w:tcW w:w="2231"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rPr>
                <w:sz w:val="26"/>
                <w:szCs w:val="26"/>
              </w:rPr>
            </w:pPr>
            <w:r w:rsidRPr="00DC485F">
              <w:rPr>
                <w:sz w:val="26"/>
                <w:szCs w:val="26"/>
              </w:rPr>
              <w:t> Pašreizējā situācija un problēmas</w:t>
            </w:r>
          </w:p>
        </w:tc>
        <w:tc>
          <w:tcPr>
            <w:tcW w:w="5599"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jc w:val="both"/>
              <w:rPr>
                <w:sz w:val="26"/>
                <w:szCs w:val="26"/>
              </w:rPr>
            </w:pPr>
            <w:r w:rsidRPr="004F0855">
              <w:rPr>
                <w:sz w:val="26"/>
                <w:szCs w:val="26"/>
              </w:rPr>
              <w:t>Saskaņā ar Ministru kabineta 2003.gada 16.septembra noteikumu Nr.528 „Izglītības un zinā</w:t>
            </w:r>
            <w:r w:rsidR="00F90708" w:rsidRPr="004F0855">
              <w:rPr>
                <w:sz w:val="26"/>
                <w:szCs w:val="26"/>
              </w:rPr>
              <w:t>tnes ministrijas nolikums” 24.100. un 24.101</w:t>
            </w:r>
            <w:r w:rsidR="000C2936" w:rsidRPr="004F0855">
              <w:rPr>
                <w:sz w:val="26"/>
                <w:szCs w:val="26"/>
              </w:rPr>
              <w:t>.</w:t>
            </w:r>
            <w:r w:rsidRPr="004F0855">
              <w:rPr>
                <w:sz w:val="26"/>
                <w:szCs w:val="26"/>
              </w:rPr>
              <w:t>apakšpunkt</w:t>
            </w:r>
            <w:r w:rsidR="002C2ACF" w:rsidRPr="004F0855">
              <w:rPr>
                <w:sz w:val="26"/>
                <w:szCs w:val="26"/>
              </w:rPr>
              <w:t>u</w:t>
            </w:r>
            <w:r w:rsidR="0057785B">
              <w:rPr>
                <w:sz w:val="26"/>
                <w:szCs w:val="26"/>
              </w:rPr>
              <w:t xml:space="preserve"> </w:t>
            </w:r>
            <w:r w:rsidR="0057785B" w:rsidRPr="00A3031D">
              <w:rPr>
                <w:sz w:val="26"/>
                <w:szCs w:val="26"/>
              </w:rPr>
              <w:t>skolas</w:t>
            </w:r>
            <w:r w:rsidR="00035D93" w:rsidRPr="00A3031D">
              <w:rPr>
                <w:sz w:val="26"/>
                <w:szCs w:val="26"/>
              </w:rPr>
              <w:t>,</w:t>
            </w:r>
            <w:r w:rsidRPr="00DC485F">
              <w:rPr>
                <w:sz w:val="26"/>
                <w:szCs w:val="26"/>
              </w:rPr>
              <w:t xml:space="preserve"> kuras ir paredzētas reorganizēt, ir ministrijas padotībā esošas valsts izglītības iestādes.</w:t>
            </w:r>
          </w:p>
          <w:p w:rsidR="00CB265E" w:rsidRPr="00DC485F" w:rsidRDefault="00CB265E" w:rsidP="00DC485F">
            <w:pPr>
              <w:jc w:val="both"/>
              <w:rPr>
                <w:sz w:val="26"/>
                <w:szCs w:val="26"/>
              </w:rPr>
            </w:pPr>
            <w:r w:rsidRPr="00DC485F">
              <w:rPr>
                <w:sz w:val="26"/>
                <w:szCs w:val="26"/>
              </w:rPr>
              <w:t>Skolas paredzēts reorganizēt apvienojot un uz to bāze</w:t>
            </w:r>
            <w:r w:rsidR="00504857">
              <w:rPr>
                <w:sz w:val="26"/>
                <w:szCs w:val="26"/>
              </w:rPr>
              <w:t>s veidojot jaunu – Valmieras</w:t>
            </w:r>
            <w:r w:rsidRPr="00DC485F">
              <w:rPr>
                <w:sz w:val="26"/>
                <w:szCs w:val="26"/>
              </w:rPr>
              <w:t xml:space="preserve"> Profesionāl</w:t>
            </w:r>
            <w:r w:rsidR="00C71934">
              <w:rPr>
                <w:sz w:val="26"/>
                <w:szCs w:val="26"/>
              </w:rPr>
              <w:t>o</w:t>
            </w:r>
            <w:r w:rsidR="00E026AE">
              <w:rPr>
                <w:sz w:val="26"/>
                <w:szCs w:val="26"/>
              </w:rPr>
              <w:t xml:space="preserve"> vidusskol</w:t>
            </w:r>
            <w:r w:rsidR="00C71934">
              <w:rPr>
                <w:sz w:val="26"/>
                <w:szCs w:val="26"/>
              </w:rPr>
              <w:t>u</w:t>
            </w:r>
            <w:r w:rsidR="00E026AE">
              <w:rPr>
                <w:sz w:val="26"/>
                <w:szCs w:val="26"/>
              </w:rPr>
              <w:t xml:space="preserve"> (turpmāk – vidusskola</w:t>
            </w:r>
            <w:r w:rsidRPr="00DC485F">
              <w:rPr>
                <w:sz w:val="26"/>
                <w:szCs w:val="26"/>
              </w:rPr>
              <w:t>), kas būs</w:t>
            </w:r>
            <w:r w:rsidR="00C71934">
              <w:rPr>
                <w:sz w:val="26"/>
                <w:szCs w:val="26"/>
              </w:rPr>
              <w:t xml:space="preserve"> ministrijas padotības iestāde.</w:t>
            </w:r>
          </w:p>
          <w:p w:rsidR="00CB265E" w:rsidRPr="00DC485F" w:rsidRDefault="00577258" w:rsidP="00DC485F">
            <w:pPr>
              <w:jc w:val="both"/>
              <w:rPr>
                <w:sz w:val="26"/>
                <w:szCs w:val="26"/>
              </w:rPr>
            </w:pPr>
            <w:r>
              <w:rPr>
                <w:b/>
                <w:sz w:val="26"/>
                <w:szCs w:val="26"/>
              </w:rPr>
              <w:t>Valmieras Pārtikas ražotāju vidusskola</w:t>
            </w:r>
            <w:r w:rsidR="0024492E">
              <w:rPr>
                <w:sz w:val="26"/>
                <w:szCs w:val="26"/>
              </w:rPr>
              <w:t xml:space="preserve"> īsteno šādas</w:t>
            </w:r>
            <w:r w:rsidR="00CB265E" w:rsidRPr="00DC485F">
              <w:rPr>
                <w:sz w:val="26"/>
                <w:szCs w:val="26"/>
              </w:rPr>
              <w:t xml:space="preserve"> profe</w:t>
            </w:r>
            <w:r w:rsidR="0024492E">
              <w:rPr>
                <w:sz w:val="26"/>
                <w:szCs w:val="26"/>
              </w:rPr>
              <w:t>sionālās izglītības programmas:</w:t>
            </w:r>
            <w:r w:rsidR="00BC3906">
              <w:rPr>
                <w:sz w:val="26"/>
                <w:szCs w:val="26"/>
              </w:rPr>
              <w:t xml:space="preserve"> </w:t>
            </w:r>
            <w:r w:rsidR="00505B7B">
              <w:rPr>
                <w:sz w:val="26"/>
                <w:szCs w:val="26"/>
              </w:rPr>
              <w:t>„Pārtikas produktu tehnoloģija</w:t>
            </w:r>
            <w:r w:rsidR="0024492E">
              <w:rPr>
                <w:sz w:val="26"/>
                <w:szCs w:val="26"/>
              </w:rPr>
              <w:t>”,</w:t>
            </w:r>
            <w:r w:rsidR="00BA4769">
              <w:rPr>
                <w:sz w:val="26"/>
                <w:szCs w:val="26"/>
              </w:rPr>
              <w:t xml:space="preserve"> „Ēdināšanas </w:t>
            </w:r>
            <w:r w:rsidR="0024492E">
              <w:rPr>
                <w:sz w:val="26"/>
                <w:szCs w:val="26"/>
              </w:rPr>
              <w:t xml:space="preserve">pakalpojumi” un </w:t>
            </w:r>
            <w:r w:rsidR="00CB265E" w:rsidRPr="00DC485F">
              <w:rPr>
                <w:sz w:val="26"/>
                <w:szCs w:val="26"/>
              </w:rPr>
              <w:t>„</w:t>
            </w:r>
            <w:proofErr w:type="spellStart"/>
            <w:r w:rsidR="00CB265E" w:rsidRPr="00DC485F">
              <w:rPr>
                <w:sz w:val="26"/>
                <w:szCs w:val="26"/>
              </w:rPr>
              <w:t>Komerczinības</w:t>
            </w:r>
            <w:proofErr w:type="spellEnd"/>
            <w:r w:rsidR="00CB265E" w:rsidRPr="00DC485F">
              <w:rPr>
                <w:sz w:val="26"/>
                <w:szCs w:val="26"/>
              </w:rPr>
              <w:t>”</w:t>
            </w:r>
            <w:r w:rsidR="0024492E">
              <w:rPr>
                <w:sz w:val="26"/>
                <w:szCs w:val="26"/>
              </w:rPr>
              <w:t>.</w:t>
            </w:r>
            <w:r w:rsidR="00CB265E" w:rsidRPr="00DC485F">
              <w:rPr>
                <w:sz w:val="26"/>
                <w:szCs w:val="26"/>
              </w:rPr>
              <w:t xml:space="preserve"> </w:t>
            </w:r>
            <w:r w:rsidR="00F32A0F" w:rsidRPr="00F32A0F">
              <w:rPr>
                <w:sz w:val="26"/>
                <w:szCs w:val="26"/>
              </w:rPr>
              <w:t>Valmieras Pārtikas ražotāju vidusskol</w:t>
            </w:r>
            <w:r w:rsidR="00F32A0F">
              <w:rPr>
                <w:sz w:val="26"/>
                <w:szCs w:val="26"/>
              </w:rPr>
              <w:t>ā</w:t>
            </w:r>
            <w:r w:rsidR="00F32A0F" w:rsidRPr="00F32A0F">
              <w:rPr>
                <w:sz w:val="26"/>
                <w:szCs w:val="26"/>
              </w:rPr>
              <w:t xml:space="preserve"> </w:t>
            </w:r>
            <w:r w:rsidR="0024492E">
              <w:rPr>
                <w:sz w:val="26"/>
                <w:szCs w:val="26"/>
              </w:rPr>
              <w:t xml:space="preserve">uz 2011.gada 1.janvāri </w:t>
            </w:r>
            <w:r w:rsidR="00A34448">
              <w:rPr>
                <w:sz w:val="26"/>
                <w:szCs w:val="26"/>
              </w:rPr>
              <w:t>mācās 289</w:t>
            </w:r>
            <w:r w:rsidR="00CB265E" w:rsidRPr="00DC485F">
              <w:rPr>
                <w:sz w:val="26"/>
                <w:szCs w:val="26"/>
              </w:rPr>
              <w:t xml:space="preserve"> izglītoja</w:t>
            </w:r>
            <w:r w:rsidR="002121A5">
              <w:rPr>
                <w:sz w:val="26"/>
                <w:szCs w:val="26"/>
              </w:rPr>
              <w:t>mie. S</w:t>
            </w:r>
            <w:r w:rsidR="00193E60">
              <w:rPr>
                <w:sz w:val="26"/>
                <w:szCs w:val="26"/>
              </w:rPr>
              <w:t>kolas kapacitāte</w:t>
            </w:r>
            <w:r w:rsidR="00CB265E" w:rsidRPr="00DC485F">
              <w:rPr>
                <w:sz w:val="26"/>
                <w:szCs w:val="26"/>
              </w:rPr>
              <w:t xml:space="preserve"> </w:t>
            </w:r>
            <w:r w:rsidR="00BC3906">
              <w:rPr>
                <w:sz w:val="26"/>
                <w:szCs w:val="26"/>
              </w:rPr>
              <w:t xml:space="preserve">ir </w:t>
            </w:r>
            <w:r w:rsidR="00832CB8" w:rsidRPr="004F0855">
              <w:rPr>
                <w:sz w:val="26"/>
                <w:szCs w:val="26"/>
              </w:rPr>
              <w:t>35</w:t>
            </w:r>
            <w:r w:rsidR="00CB265E" w:rsidRPr="004F0855">
              <w:rPr>
                <w:sz w:val="26"/>
                <w:szCs w:val="26"/>
              </w:rPr>
              <w:t>0 izglītojamie</w:t>
            </w:r>
            <w:r w:rsidR="00BC3906" w:rsidRPr="004F0855">
              <w:rPr>
                <w:sz w:val="26"/>
                <w:szCs w:val="26"/>
              </w:rPr>
              <w:t>.</w:t>
            </w:r>
            <w:r w:rsidR="00BC3906">
              <w:rPr>
                <w:sz w:val="26"/>
                <w:szCs w:val="26"/>
              </w:rPr>
              <w:t xml:space="preserve"> </w:t>
            </w:r>
          </w:p>
          <w:p w:rsidR="00C6418E" w:rsidRDefault="00A71D0F" w:rsidP="00FF1DA3">
            <w:pPr>
              <w:jc w:val="both"/>
              <w:rPr>
                <w:sz w:val="26"/>
                <w:szCs w:val="26"/>
              </w:rPr>
            </w:pPr>
            <w:r w:rsidRPr="00DC485F">
              <w:rPr>
                <w:sz w:val="26"/>
                <w:szCs w:val="26"/>
              </w:rPr>
              <w:t xml:space="preserve">Valsts budžeta dotācija </w:t>
            </w:r>
            <w:r w:rsidR="00A34448">
              <w:rPr>
                <w:sz w:val="26"/>
                <w:szCs w:val="26"/>
              </w:rPr>
              <w:t xml:space="preserve">2011.gadā ir </w:t>
            </w:r>
            <w:r w:rsidR="00542E6B">
              <w:rPr>
                <w:sz w:val="26"/>
                <w:szCs w:val="26"/>
              </w:rPr>
              <w:t xml:space="preserve">358 853 </w:t>
            </w:r>
            <w:r>
              <w:rPr>
                <w:sz w:val="26"/>
                <w:szCs w:val="26"/>
              </w:rPr>
              <w:t>lati</w:t>
            </w:r>
            <w:r w:rsidRPr="00DC485F">
              <w:rPr>
                <w:sz w:val="26"/>
                <w:szCs w:val="26"/>
              </w:rPr>
              <w:t>.</w:t>
            </w:r>
            <w:r w:rsidR="00CB265E" w:rsidRPr="00DC485F">
              <w:rPr>
                <w:sz w:val="26"/>
                <w:szCs w:val="26"/>
              </w:rPr>
              <w:t xml:space="preserve"> </w:t>
            </w:r>
            <w:r w:rsidR="008F5D0F">
              <w:rPr>
                <w:sz w:val="26"/>
                <w:szCs w:val="26"/>
              </w:rPr>
              <w:t>Valmieras Pārtikas ražotāju vidusskola</w:t>
            </w:r>
            <w:r w:rsidR="00FF1DA3" w:rsidRPr="00DC485F">
              <w:rPr>
                <w:sz w:val="26"/>
                <w:szCs w:val="26"/>
              </w:rPr>
              <w:t xml:space="preserve"> ir iekļauta reģionālās attīstības plānos</w:t>
            </w:r>
            <w:r w:rsidR="00C56D7C">
              <w:rPr>
                <w:sz w:val="26"/>
                <w:szCs w:val="26"/>
              </w:rPr>
              <w:t>, līdz ar to</w:t>
            </w:r>
            <w:r w:rsidR="00FF1DA3" w:rsidRPr="00DC485F">
              <w:rPr>
                <w:sz w:val="26"/>
                <w:szCs w:val="26"/>
              </w:rPr>
              <w:t xml:space="preserve"> Eiropas Savienības </w:t>
            </w:r>
            <w:r w:rsidR="00C56D7C">
              <w:rPr>
                <w:sz w:val="26"/>
                <w:szCs w:val="26"/>
              </w:rPr>
              <w:t xml:space="preserve">fondu 2007.-2013.gada plānošanas periodā plānots īstenot Eiropas Reģionālās attīstības fonda </w:t>
            </w:r>
            <w:r w:rsidR="00FF1DA3">
              <w:rPr>
                <w:sz w:val="26"/>
                <w:szCs w:val="26"/>
              </w:rPr>
              <w:t xml:space="preserve"> </w:t>
            </w:r>
            <w:proofErr w:type="spellStart"/>
            <w:r w:rsidR="00FF1DA3">
              <w:rPr>
                <w:sz w:val="26"/>
                <w:szCs w:val="26"/>
              </w:rPr>
              <w:t>līdzfin</w:t>
            </w:r>
            <w:r w:rsidR="00BD0B9E">
              <w:rPr>
                <w:sz w:val="26"/>
                <w:szCs w:val="26"/>
              </w:rPr>
              <w:t>ansē</w:t>
            </w:r>
            <w:r w:rsidR="00C56D7C">
              <w:rPr>
                <w:sz w:val="26"/>
                <w:szCs w:val="26"/>
              </w:rPr>
              <w:t>tu</w:t>
            </w:r>
            <w:proofErr w:type="spellEnd"/>
            <w:r w:rsidR="00C56D7C">
              <w:rPr>
                <w:sz w:val="26"/>
                <w:szCs w:val="26"/>
              </w:rPr>
              <w:t xml:space="preserve"> projektu</w:t>
            </w:r>
            <w:r w:rsidR="00193E60">
              <w:rPr>
                <w:sz w:val="26"/>
                <w:szCs w:val="26"/>
              </w:rPr>
              <w:t xml:space="preserve"> 1</w:t>
            </w:r>
            <w:r w:rsidR="00B8125D">
              <w:rPr>
                <w:sz w:val="26"/>
                <w:szCs w:val="26"/>
              </w:rPr>
              <w:t> </w:t>
            </w:r>
            <w:r w:rsidR="00193E60">
              <w:rPr>
                <w:sz w:val="26"/>
                <w:szCs w:val="26"/>
              </w:rPr>
              <w:t>967</w:t>
            </w:r>
            <w:r w:rsidR="00B8125D">
              <w:rPr>
                <w:sz w:val="26"/>
                <w:szCs w:val="26"/>
              </w:rPr>
              <w:t xml:space="preserve"> </w:t>
            </w:r>
            <w:r w:rsidR="00193E60">
              <w:rPr>
                <w:sz w:val="26"/>
                <w:szCs w:val="26"/>
              </w:rPr>
              <w:t xml:space="preserve">851 </w:t>
            </w:r>
            <w:r w:rsidR="00FF1DA3">
              <w:rPr>
                <w:sz w:val="26"/>
                <w:szCs w:val="26"/>
              </w:rPr>
              <w:t>latu</w:t>
            </w:r>
            <w:r w:rsidR="00C56D7C">
              <w:rPr>
                <w:sz w:val="26"/>
                <w:szCs w:val="26"/>
              </w:rPr>
              <w:t xml:space="preserve"> apjomā</w:t>
            </w:r>
            <w:r w:rsidR="00FF1DA3">
              <w:rPr>
                <w:sz w:val="26"/>
                <w:szCs w:val="26"/>
              </w:rPr>
              <w:t>, tai skai</w:t>
            </w:r>
            <w:r w:rsidR="00C56D7C">
              <w:rPr>
                <w:sz w:val="26"/>
                <w:szCs w:val="26"/>
              </w:rPr>
              <w:t>tā Eiropas Reģionālās attīstības fonda daļ</w:t>
            </w:r>
            <w:r w:rsidR="00C6418E">
              <w:rPr>
                <w:sz w:val="26"/>
                <w:szCs w:val="26"/>
              </w:rPr>
              <w:t>a</w:t>
            </w:r>
            <w:r w:rsidR="00193E60">
              <w:rPr>
                <w:sz w:val="26"/>
                <w:szCs w:val="26"/>
              </w:rPr>
              <w:t xml:space="preserve"> 1</w:t>
            </w:r>
            <w:r w:rsidR="00B8125D">
              <w:rPr>
                <w:sz w:val="26"/>
                <w:szCs w:val="26"/>
              </w:rPr>
              <w:t> </w:t>
            </w:r>
            <w:r w:rsidR="00193E60">
              <w:rPr>
                <w:sz w:val="26"/>
                <w:szCs w:val="26"/>
              </w:rPr>
              <w:t>692</w:t>
            </w:r>
            <w:r w:rsidR="00B8125D">
              <w:rPr>
                <w:sz w:val="26"/>
                <w:szCs w:val="26"/>
              </w:rPr>
              <w:t xml:space="preserve"> </w:t>
            </w:r>
            <w:r w:rsidR="00193E60">
              <w:rPr>
                <w:sz w:val="26"/>
                <w:szCs w:val="26"/>
              </w:rPr>
              <w:t xml:space="preserve">350 </w:t>
            </w:r>
            <w:r w:rsidR="00C56D7C">
              <w:rPr>
                <w:sz w:val="26"/>
                <w:szCs w:val="26"/>
              </w:rPr>
              <w:t>latu apjomā</w:t>
            </w:r>
            <w:r w:rsidR="00712723">
              <w:rPr>
                <w:sz w:val="26"/>
                <w:szCs w:val="26"/>
              </w:rPr>
              <w:t>.</w:t>
            </w:r>
          </w:p>
          <w:p w:rsidR="00C6418E" w:rsidRDefault="00C6418E" w:rsidP="00C6418E">
            <w:pPr>
              <w:autoSpaceDE w:val="0"/>
              <w:autoSpaceDN w:val="0"/>
              <w:adjustRightInd w:val="0"/>
              <w:jc w:val="both"/>
              <w:rPr>
                <w:sz w:val="26"/>
                <w:szCs w:val="26"/>
              </w:rPr>
            </w:pPr>
            <w:r>
              <w:rPr>
                <w:sz w:val="26"/>
                <w:szCs w:val="26"/>
              </w:rPr>
              <w:t xml:space="preserve">Eiropas Reģionālās attīstības fonda </w:t>
            </w:r>
            <w:proofErr w:type="spellStart"/>
            <w:r>
              <w:rPr>
                <w:sz w:val="26"/>
                <w:szCs w:val="26"/>
              </w:rPr>
              <w:t>līdzfinansētā</w:t>
            </w:r>
            <w:proofErr w:type="spellEnd"/>
            <w:r>
              <w:rPr>
                <w:sz w:val="26"/>
                <w:szCs w:val="26"/>
              </w:rPr>
              <w:t xml:space="preserve"> projekta ietvaros, optimizējot Valmieras Pārtikas ražotāju vidusskolas un Valmieras 36.arodvidusskolas resursus, attīstot vienotu infrastruktūru, modernizējot mācību telpas un aprīkojumu, izbūvējot dienesta viesnīcu, mācību un praktisko nodarbību ēku izglītojamo vajadzībām,</w:t>
            </w:r>
            <w:r>
              <w:t xml:space="preserve"> </w:t>
            </w:r>
            <w:r w:rsidRPr="00684856">
              <w:rPr>
                <w:sz w:val="26"/>
                <w:szCs w:val="26"/>
              </w:rPr>
              <w:t>kā arī nodrošinot izglītības pieejamību personā</w:t>
            </w:r>
            <w:r>
              <w:rPr>
                <w:sz w:val="26"/>
                <w:szCs w:val="26"/>
              </w:rPr>
              <w:t xml:space="preserve">m ar funkcionāliem traucējumiem,  plānots uzlabot prioritārās profesionālās izglītības programmas, </w:t>
            </w:r>
            <w:r w:rsidRPr="00220811">
              <w:rPr>
                <w:sz w:val="26"/>
                <w:szCs w:val="26"/>
              </w:rPr>
              <w:t xml:space="preserve">lai  veicinātu </w:t>
            </w:r>
            <w:r>
              <w:rPr>
                <w:sz w:val="26"/>
                <w:szCs w:val="26"/>
              </w:rPr>
              <w:t>to</w:t>
            </w:r>
            <w:r w:rsidRPr="00220811">
              <w:rPr>
                <w:sz w:val="26"/>
                <w:szCs w:val="26"/>
              </w:rPr>
              <w:t xml:space="preserve"> kvalitāti un a</w:t>
            </w:r>
            <w:r w:rsidR="00A306F9">
              <w:rPr>
                <w:sz w:val="26"/>
                <w:szCs w:val="26"/>
              </w:rPr>
              <w:t>tbilstību darba tirgus prasībām atbilstoši izglītojamo skaitam.</w:t>
            </w:r>
          </w:p>
          <w:p w:rsidR="00C6418E" w:rsidRPr="00FD4832" w:rsidRDefault="00C6418E" w:rsidP="00C6418E">
            <w:pPr>
              <w:autoSpaceDE w:val="0"/>
              <w:autoSpaceDN w:val="0"/>
              <w:adjustRightInd w:val="0"/>
              <w:jc w:val="both"/>
              <w:rPr>
                <w:sz w:val="26"/>
                <w:szCs w:val="26"/>
              </w:rPr>
            </w:pPr>
            <w:r>
              <w:rPr>
                <w:sz w:val="26"/>
                <w:szCs w:val="26"/>
              </w:rPr>
              <w:t xml:space="preserve">Pēc rīkojuma projektā minēto profesionālo izglītības iestāžu reorganizācijas Eiropas Reģionālās attīstības fonda </w:t>
            </w:r>
            <w:proofErr w:type="spellStart"/>
            <w:r>
              <w:rPr>
                <w:sz w:val="26"/>
                <w:szCs w:val="26"/>
              </w:rPr>
              <w:t>līdzfinansētā</w:t>
            </w:r>
            <w:proofErr w:type="spellEnd"/>
            <w:r>
              <w:rPr>
                <w:sz w:val="26"/>
                <w:szCs w:val="26"/>
              </w:rPr>
              <w:t xml:space="preserve"> projekta īstenošana un uzraudzība tiks nodrošināta atbilstoši spēkā esošajos</w:t>
            </w:r>
            <w:r w:rsidRPr="004A290E">
              <w:rPr>
                <w:sz w:val="26"/>
                <w:szCs w:val="26"/>
              </w:rPr>
              <w:t xml:space="preserve"> Eiropas Savienības u</w:t>
            </w:r>
            <w:r>
              <w:rPr>
                <w:sz w:val="26"/>
                <w:szCs w:val="26"/>
              </w:rPr>
              <w:t>n Latvijas Republikas normatīvajos aktos noteiktajam.</w:t>
            </w:r>
          </w:p>
          <w:p w:rsidR="00C6418E" w:rsidRDefault="00C6418E" w:rsidP="00FF1DA3">
            <w:pPr>
              <w:jc w:val="both"/>
              <w:rPr>
                <w:sz w:val="26"/>
                <w:szCs w:val="26"/>
              </w:rPr>
            </w:pPr>
          </w:p>
          <w:p w:rsidR="00C6418E" w:rsidRDefault="00C6418E" w:rsidP="00FF1DA3">
            <w:pPr>
              <w:jc w:val="both"/>
              <w:rPr>
                <w:sz w:val="26"/>
                <w:szCs w:val="26"/>
              </w:rPr>
            </w:pPr>
          </w:p>
          <w:p w:rsidR="00FF1DA3" w:rsidRDefault="001228BC" w:rsidP="00FF1DA3">
            <w:pPr>
              <w:jc w:val="both"/>
              <w:rPr>
                <w:sz w:val="26"/>
                <w:szCs w:val="26"/>
              </w:rPr>
            </w:pPr>
            <w:r>
              <w:rPr>
                <w:sz w:val="26"/>
                <w:szCs w:val="26"/>
              </w:rPr>
              <w:lastRenderedPageBreak/>
              <w:t xml:space="preserve"> </w:t>
            </w:r>
            <w:r w:rsidR="00FF1DA3">
              <w:rPr>
                <w:sz w:val="26"/>
                <w:szCs w:val="26"/>
              </w:rPr>
              <w:t>Eiropas Savienības struktūrfondu 2004.-2006.gada plānošan</w:t>
            </w:r>
            <w:r>
              <w:rPr>
                <w:sz w:val="26"/>
                <w:szCs w:val="26"/>
              </w:rPr>
              <w:t xml:space="preserve">as periodā </w:t>
            </w:r>
            <w:r w:rsidR="00FF1DA3">
              <w:rPr>
                <w:sz w:val="26"/>
                <w:szCs w:val="26"/>
              </w:rPr>
              <w:t xml:space="preserve"> </w:t>
            </w:r>
            <w:r>
              <w:rPr>
                <w:sz w:val="26"/>
                <w:szCs w:val="26"/>
              </w:rPr>
              <w:t>Valmieras Pārtikas ražotāju vidusskola</w:t>
            </w:r>
            <w:r w:rsidRPr="00DC485F">
              <w:rPr>
                <w:sz w:val="26"/>
                <w:szCs w:val="26"/>
              </w:rPr>
              <w:t xml:space="preserve"> </w:t>
            </w:r>
            <w:r w:rsidR="00FF1DA3">
              <w:rPr>
                <w:sz w:val="26"/>
                <w:szCs w:val="26"/>
              </w:rPr>
              <w:t>īstenoja ERA</w:t>
            </w:r>
            <w:r w:rsidR="00193E60">
              <w:rPr>
                <w:sz w:val="26"/>
                <w:szCs w:val="26"/>
              </w:rPr>
              <w:t xml:space="preserve">F </w:t>
            </w:r>
            <w:proofErr w:type="spellStart"/>
            <w:r w:rsidR="00193E60">
              <w:rPr>
                <w:sz w:val="26"/>
                <w:szCs w:val="26"/>
              </w:rPr>
              <w:t>līdzfinansētu</w:t>
            </w:r>
            <w:proofErr w:type="spellEnd"/>
            <w:r w:rsidR="00193E60">
              <w:rPr>
                <w:sz w:val="26"/>
                <w:szCs w:val="26"/>
              </w:rPr>
              <w:t xml:space="preserve"> projektu 100</w:t>
            </w:r>
            <w:r w:rsidR="008118F5">
              <w:rPr>
                <w:sz w:val="26"/>
                <w:szCs w:val="26"/>
              </w:rPr>
              <w:t xml:space="preserve"> </w:t>
            </w:r>
            <w:r w:rsidR="00193E60">
              <w:rPr>
                <w:sz w:val="26"/>
                <w:szCs w:val="26"/>
              </w:rPr>
              <w:t xml:space="preserve">000 </w:t>
            </w:r>
            <w:r w:rsidR="00FF1DA3">
              <w:rPr>
                <w:sz w:val="26"/>
                <w:szCs w:val="26"/>
              </w:rPr>
              <w:t>latu apjomā, tai sk</w:t>
            </w:r>
            <w:r>
              <w:rPr>
                <w:sz w:val="26"/>
                <w:szCs w:val="26"/>
              </w:rPr>
              <w:t xml:space="preserve">aitā </w:t>
            </w:r>
            <w:r w:rsidR="00193E60">
              <w:rPr>
                <w:sz w:val="26"/>
                <w:szCs w:val="26"/>
              </w:rPr>
              <w:t>struktūrfonda daļa –79</w:t>
            </w:r>
            <w:r w:rsidR="008118F5">
              <w:rPr>
                <w:sz w:val="26"/>
                <w:szCs w:val="26"/>
              </w:rPr>
              <w:t xml:space="preserve"> </w:t>
            </w:r>
            <w:r w:rsidR="00193E60">
              <w:rPr>
                <w:sz w:val="26"/>
                <w:szCs w:val="26"/>
              </w:rPr>
              <w:t>681,01</w:t>
            </w:r>
            <w:r w:rsidR="00FF1DA3">
              <w:rPr>
                <w:sz w:val="26"/>
                <w:szCs w:val="26"/>
              </w:rPr>
              <w:t xml:space="preserve"> latu apjomā.</w:t>
            </w:r>
          </w:p>
          <w:p w:rsidR="00712723" w:rsidRPr="00DC485F" w:rsidRDefault="00712723" w:rsidP="00FF1DA3">
            <w:pPr>
              <w:jc w:val="both"/>
              <w:rPr>
                <w:color w:val="FF0000"/>
                <w:sz w:val="26"/>
                <w:szCs w:val="26"/>
              </w:rPr>
            </w:pPr>
            <w:r w:rsidRPr="00F32A0F">
              <w:rPr>
                <w:sz w:val="26"/>
                <w:szCs w:val="26"/>
              </w:rPr>
              <w:t>Valmieras Pārtikas ražotāju vidusskol</w:t>
            </w:r>
            <w:r>
              <w:rPr>
                <w:sz w:val="26"/>
                <w:szCs w:val="26"/>
              </w:rPr>
              <w:t>ā netiks ieguldīts Klimata pārmaiņu finanšu instrumenta finansējums.</w:t>
            </w:r>
          </w:p>
          <w:p w:rsidR="00370AC0" w:rsidRDefault="008D5913" w:rsidP="00DC485F">
            <w:pPr>
              <w:jc w:val="both"/>
              <w:rPr>
                <w:sz w:val="26"/>
                <w:szCs w:val="26"/>
              </w:rPr>
            </w:pPr>
            <w:r>
              <w:rPr>
                <w:b/>
                <w:sz w:val="26"/>
                <w:szCs w:val="26"/>
              </w:rPr>
              <w:t>Valmieras 36.arodvidusskola</w:t>
            </w:r>
            <w:r w:rsidR="00CB265E" w:rsidRPr="00DC485F">
              <w:rPr>
                <w:b/>
                <w:sz w:val="26"/>
                <w:szCs w:val="26"/>
              </w:rPr>
              <w:t xml:space="preserve"> </w:t>
            </w:r>
            <w:r w:rsidR="00CB265E" w:rsidRPr="00DC485F">
              <w:rPr>
                <w:sz w:val="26"/>
                <w:szCs w:val="26"/>
              </w:rPr>
              <w:t xml:space="preserve">īsteno </w:t>
            </w:r>
            <w:r w:rsidR="00D34F26">
              <w:rPr>
                <w:sz w:val="26"/>
                <w:szCs w:val="26"/>
              </w:rPr>
              <w:t xml:space="preserve"> šādas</w:t>
            </w:r>
            <w:r w:rsidR="00CB265E" w:rsidRPr="00DC485F">
              <w:rPr>
                <w:sz w:val="26"/>
                <w:szCs w:val="26"/>
              </w:rPr>
              <w:t xml:space="preserve">  profesionālās izglītības programmas</w:t>
            </w:r>
            <w:r w:rsidR="001D315A">
              <w:rPr>
                <w:sz w:val="26"/>
                <w:szCs w:val="26"/>
              </w:rPr>
              <w:t xml:space="preserve">: </w:t>
            </w:r>
            <w:r w:rsidR="008774AB">
              <w:rPr>
                <w:sz w:val="26"/>
                <w:szCs w:val="26"/>
              </w:rPr>
              <w:t xml:space="preserve"> „Grāmatvedība”, „</w:t>
            </w:r>
            <w:proofErr w:type="spellStart"/>
            <w:r w:rsidR="008774AB">
              <w:rPr>
                <w:sz w:val="26"/>
                <w:szCs w:val="26"/>
              </w:rPr>
              <w:t>Komerczinības</w:t>
            </w:r>
            <w:proofErr w:type="spellEnd"/>
            <w:r w:rsidR="00121BC1">
              <w:rPr>
                <w:sz w:val="26"/>
                <w:szCs w:val="26"/>
              </w:rPr>
              <w:t>”</w:t>
            </w:r>
            <w:r w:rsidR="00CB265E" w:rsidRPr="00DC485F">
              <w:rPr>
                <w:sz w:val="26"/>
                <w:szCs w:val="26"/>
              </w:rPr>
              <w:t xml:space="preserve"> </w:t>
            </w:r>
            <w:r w:rsidR="00D34F26">
              <w:rPr>
                <w:sz w:val="26"/>
                <w:szCs w:val="26"/>
              </w:rPr>
              <w:t xml:space="preserve"> un </w:t>
            </w:r>
            <w:r w:rsidR="008774AB">
              <w:rPr>
                <w:sz w:val="26"/>
                <w:szCs w:val="26"/>
              </w:rPr>
              <w:t>„Viesnīcu pakalpojumi</w:t>
            </w:r>
            <w:r w:rsidR="00CB265E" w:rsidRPr="00DC485F">
              <w:rPr>
                <w:sz w:val="26"/>
                <w:szCs w:val="26"/>
              </w:rPr>
              <w:t>”</w:t>
            </w:r>
            <w:r w:rsidR="00370AC0">
              <w:rPr>
                <w:sz w:val="26"/>
                <w:szCs w:val="26"/>
              </w:rPr>
              <w:t>.</w:t>
            </w:r>
          </w:p>
          <w:p w:rsidR="00BC0A6C" w:rsidRDefault="00E522B7" w:rsidP="00DC485F">
            <w:pPr>
              <w:jc w:val="both"/>
              <w:rPr>
                <w:sz w:val="26"/>
                <w:szCs w:val="26"/>
              </w:rPr>
            </w:pPr>
            <w:r w:rsidRPr="00E522B7">
              <w:rPr>
                <w:sz w:val="26"/>
                <w:szCs w:val="26"/>
              </w:rPr>
              <w:t>Valmieras 36.arodvidusskolā</w:t>
            </w:r>
            <w:r w:rsidRPr="00DC485F">
              <w:rPr>
                <w:b/>
                <w:sz w:val="26"/>
                <w:szCs w:val="26"/>
              </w:rPr>
              <w:t xml:space="preserve"> </w:t>
            </w:r>
            <w:r w:rsidR="00050A13">
              <w:rPr>
                <w:sz w:val="26"/>
                <w:szCs w:val="26"/>
              </w:rPr>
              <w:t>uz 2011.gada 1.janvāri</w:t>
            </w:r>
            <w:r w:rsidR="00CB265E" w:rsidRPr="00DC485F">
              <w:rPr>
                <w:sz w:val="26"/>
                <w:szCs w:val="26"/>
              </w:rPr>
              <w:t xml:space="preserve"> mācās </w:t>
            </w:r>
            <w:r>
              <w:rPr>
                <w:sz w:val="26"/>
                <w:szCs w:val="26"/>
              </w:rPr>
              <w:t>376</w:t>
            </w:r>
            <w:r w:rsidR="00CF554A">
              <w:rPr>
                <w:sz w:val="26"/>
                <w:szCs w:val="26"/>
              </w:rPr>
              <w:t xml:space="preserve"> izglītojamie. S</w:t>
            </w:r>
            <w:r w:rsidR="00CB265E" w:rsidRPr="00DC485F">
              <w:rPr>
                <w:sz w:val="26"/>
                <w:szCs w:val="26"/>
              </w:rPr>
              <w:t xml:space="preserve">kolas </w:t>
            </w:r>
            <w:r w:rsidR="00BF048A">
              <w:rPr>
                <w:sz w:val="26"/>
                <w:szCs w:val="26"/>
              </w:rPr>
              <w:t>kapacitāte</w:t>
            </w:r>
            <w:r w:rsidR="00832CB8" w:rsidRPr="004F0855">
              <w:rPr>
                <w:sz w:val="26"/>
                <w:szCs w:val="26"/>
              </w:rPr>
              <w:t xml:space="preserve"> 35</w:t>
            </w:r>
            <w:r w:rsidR="00FA7323" w:rsidRPr="004F0855">
              <w:rPr>
                <w:sz w:val="26"/>
                <w:szCs w:val="26"/>
              </w:rPr>
              <w:t>0 izglītojamie.</w:t>
            </w:r>
            <w:r w:rsidR="00FA7323">
              <w:rPr>
                <w:sz w:val="26"/>
                <w:szCs w:val="26"/>
              </w:rPr>
              <w:t xml:space="preserve"> </w:t>
            </w:r>
          </w:p>
          <w:p w:rsidR="00456A3D" w:rsidRDefault="00BC0A6C" w:rsidP="00456A3D">
            <w:pPr>
              <w:jc w:val="both"/>
              <w:rPr>
                <w:sz w:val="26"/>
                <w:szCs w:val="26"/>
              </w:rPr>
            </w:pPr>
            <w:r w:rsidRPr="00DC485F">
              <w:rPr>
                <w:sz w:val="26"/>
                <w:szCs w:val="26"/>
              </w:rPr>
              <w:t xml:space="preserve">Valsts budžeta dotācija </w:t>
            </w:r>
            <w:r>
              <w:rPr>
                <w:sz w:val="26"/>
                <w:szCs w:val="26"/>
              </w:rPr>
              <w:t xml:space="preserve">2011.gadā ir </w:t>
            </w:r>
            <w:r w:rsidR="00542E6B">
              <w:rPr>
                <w:sz w:val="26"/>
                <w:szCs w:val="26"/>
              </w:rPr>
              <w:t>449 274</w:t>
            </w:r>
            <w:r>
              <w:rPr>
                <w:sz w:val="26"/>
                <w:szCs w:val="26"/>
              </w:rPr>
              <w:t xml:space="preserve"> lati</w:t>
            </w:r>
            <w:r w:rsidRPr="00DC485F">
              <w:rPr>
                <w:sz w:val="26"/>
                <w:szCs w:val="26"/>
              </w:rPr>
              <w:t xml:space="preserve">. </w:t>
            </w:r>
            <w:r w:rsidR="00456A3D">
              <w:rPr>
                <w:sz w:val="26"/>
                <w:szCs w:val="26"/>
              </w:rPr>
              <w:t>Valmieras 36.arodvidusskolā netiks ieguldīts Klimata pārmaiņu finanšu instrumenta finansējums.</w:t>
            </w:r>
          </w:p>
          <w:p w:rsidR="005C2A68" w:rsidRDefault="00CB265E" w:rsidP="005C2A68">
            <w:pPr>
              <w:jc w:val="both"/>
              <w:rPr>
                <w:sz w:val="26"/>
                <w:szCs w:val="26"/>
              </w:rPr>
            </w:pPr>
            <w:r w:rsidRPr="00DC485F">
              <w:rPr>
                <w:sz w:val="26"/>
                <w:szCs w:val="26"/>
              </w:rPr>
              <w:t xml:space="preserve">Reorganizācijas ieguvums ir tas, ka apvienojot skolas un </w:t>
            </w:r>
            <w:r w:rsidR="0054017B">
              <w:rPr>
                <w:sz w:val="26"/>
                <w:szCs w:val="26"/>
              </w:rPr>
              <w:t>izveidojot</w:t>
            </w:r>
            <w:r w:rsidR="00742FB6">
              <w:rPr>
                <w:sz w:val="26"/>
                <w:szCs w:val="26"/>
              </w:rPr>
              <w:t xml:space="preserve"> vidusskolu, </w:t>
            </w:r>
            <w:r w:rsidR="00B30C1F" w:rsidRPr="00DC485F">
              <w:rPr>
                <w:sz w:val="26"/>
                <w:szCs w:val="26"/>
              </w:rPr>
              <w:t xml:space="preserve">tajā </w:t>
            </w:r>
            <w:r w:rsidRPr="00DC485F">
              <w:rPr>
                <w:sz w:val="26"/>
                <w:szCs w:val="26"/>
              </w:rPr>
              <w:t>tiks koncentrēts</w:t>
            </w:r>
            <w:r w:rsidR="00B30C1F" w:rsidRPr="00DC485F">
              <w:rPr>
                <w:sz w:val="26"/>
                <w:szCs w:val="26"/>
              </w:rPr>
              <w:t xml:space="preserve"> finansējums (arī Eiropas Savienības struktūrfondu)</w:t>
            </w:r>
            <w:r w:rsidRPr="00DC485F">
              <w:rPr>
                <w:sz w:val="26"/>
                <w:szCs w:val="26"/>
              </w:rPr>
              <w:t xml:space="preserve">, kā rezultātā būs iespējams nodrošināt </w:t>
            </w:r>
            <w:r w:rsidR="00742FB6">
              <w:rPr>
                <w:sz w:val="26"/>
                <w:szCs w:val="26"/>
              </w:rPr>
              <w:t xml:space="preserve">iekārtu </w:t>
            </w:r>
            <w:r w:rsidR="00B30C1F" w:rsidRPr="00DC485F">
              <w:rPr>
                <w:sz w:val="26"/>
                <w:szCs w:val="26"/>
              </w:rPr>
              <w:t xml:space="preserve">modernizāciju, </w:t>
            </w:r>
            <w:r w:rsidR="00742FB6">
              <w:rPr>
                <w:sz w:val="26"/>
                <w:szCs w:val="26"/>
              </w:rPr>
              <w:t xml:space="preserve">telpu </w:t>
            </w:r>
            <w:r w:rsidR="00B30C1F" w:rsidRPr="00DC485F">
              <w:rPr>
                <w:sz w:val="26"/>
                <w:szCs w:val="26"/>
              </w:rPr>
              <w:t>renovāciju, mācību līdzekļu</w:t>
            </w:r>
            <w:r w:rsidR="00742FB6">
              <w:rPr>
                <w:sz w:val="26"/>
                <w:szCs w:val="26"/>
              </w:rPr>
              <w:t>, aprīkojuma</w:t>
            </w:r>
            <w:r w:rsidR="00B30C1F" w:rsidRPr="00DC485F">
              <w:rPr>
                <w:sz w:val="26"/>
                <w:szCs w:val="26"/>
              </w:rPr>
              <w:t xml:space="preserve"> atjaunošanu, kā arī nodrošināt atbilstošus </w:t>
            </w:r>
            <w:r w:rsidRPr="00DC485F">
              <w:rPr>
                <w:sz w:val="26"/>
                <w:szCs w:val="26"/>
              </w:rPr>
              <w:t>uzturēšanas iz</w:t>
            </w:r>
            <w:r w:rsidR="00742FB6">
              <w:rPr>
                <w:sz w:val="26"/>
                <w:szCs w:val="26"/>
              </w:rPr>
              <w:t>devumus.</w:t>
            </w:r>
          </w:p>
          <w:p w:rsidR="00CB265E" w:rsidRPr="00DC485F" w:rsidRDefault="001658D2" w:rsidP="001658D2">
            <w:pPr>
              <w:autoSpaceDE w:val="0"/>
              <w:autoSpaceDN w:val="0"/>
              <w:adjustRightInd w:val="0"/>
              <w:spacing w:after="240"/>
              <w:jc w:val="both"/>
              <w:rPr>
                <w:sz w:val="26"/>
                <w:szCs w:val="26"/>
              </w:rPr>
            </w:pPr>
            <w:r w:rsidRPr="001658D2">
              <w:rPr>
                <w:rFonts w:eastAsiaTheme="minorHAnsi"/>
                <w:color w:val="000000"/>
                <w:sz w:val="26"/>
                <w:szCs w:val="26"/>
              </w:rPr>
              <w:t xml:space="preserve">Skolu lietošanā un apsaimniekošanā nodotā nekustamā manta, kā arī skolu bilancē esošā kustamā manta, reorganizējot skolas, tiek nodota </w:t>
            </w:r>
            <w:r w:rsidRPr="001658D2">
              <w:rPr>
                <w:rFonts w:eastAsiaTheme="minorHAnsi"/>
                <w:bCs/>
                <w:color w:val="000000"/>
                <w:sz w:val="26"/>
                <w:szCs w:val="26"/>
              </w:rPr>
              <w:t>vidusskolas</w:t>
            </w:r>
            <w:r w:rsidRPr="001658D2">
              <w:rPr>
                <w:rFonts w:eastAsiaTheme="minorHAnsi"/>
                <w:color w:val="000000"/>
                <w:sz w:val="26"/>
                <w:szCs w:val="26"/>
              </w:rPr>
              <w:t xml:space="preserve"> lietošanā un apsaimniekošanā un turpmāk tiek izmantota </w:t>
            </w:r>
            <w:r w:rsidRPr="001658D2">
              <w:rPr>
                <w:rFonts w:eastAsiaTheme="minorHAnsi"/>
                <w:bCs/>
                <w:color w:val="000000"/>
                <w:sz w:val="26"/>
                <w:szCs w:val="26"/>
              </w:rPr>
              <w:t>vidusskolas</w:t>
            </w:r>
            <w:r w:rsidRPr="001658D2">
              <w:rPr>
                <w:rFonts w:eastAsiaTheme="minorHAnsi"/>
                <w:color w:val="000000"/>
                <w:sz w:val="26"/>
                <w:szCs w:val="26"/>
              </w:rPr>
              <w:t xml:space="preserve"> mācību procesa un funkciju nodrošināšanai.</w:t>
            </w:r>
            <w:r>
              <w:rPr>
                <w:rFonts w:eastAsiaTheme="minorHAnsi"/>
                <w:color w:val="000000"/>
                <w:sz w:val="26"/>
                <w:szCs w:val="26"/>
              </w:rPr>
              <w:t xml:space="preserve"> </w:t>
            </w:r>
            <w:r w:rsidR="0054017B">
              <w:rPr>
                <w:sz w:val="26"/>
                <w:szCs w:val="26"/>
              </w:rPr>
              <w:t>V</w:t>
            </w:r>
            <w:r w:rsidR="00542683">
              <w:rPr>
                <w:sz w:val="26"/>
                <w:szCs w:val="26"/>
              </w:rPr>
              <w:t>idusskolai</w:t>
            </w:r>
            <w:r w:rsidR="00742FB6">
              <w:rPr>
                <w:sz w:val="26"/>
                <w:szCs w:val="26"/>
              </w:rPr>
              <w:t xml:space="preserve"> tiek plāno</w:t>
            </w:r>
            <w:r w:rsidR="00032FE8">
              <w:rPr>
                <w:sz w:val="26"/>
                <w:szCs w:val="26"/>
              </w:rPr>
              <w:t xml:space="preserve">ts, atbilstoši Profesionālās izglītības likuma 15¹.pantā </w:t>
            </w:r>
            <w:r w:rsidR="00BE5AA4">
              <w:rPr>
                <w:sz w:val="26"/>
                <w:szCs w:val="26"/>
              </w:rPr>
              <w:t>noteiktajam</w:t>
            </w:r>
            <w:r w:rsidR="00742FB6">
              <w:rPr>
                <w:sz w:val="26"/>
                <w:szCs w:val="26"/>
              </w:rPr>
              <w:t xml:space="preserve">, piešķirt </w:t>
            </w:r>
            <w:r w:rsidR="00542683">
              <w:rPr>
                <w:sz w:val="26"/>
                <w:szCs w:val="26"/>
              </w:rPr>
              <w:t>p</w:t>
            </w:r>
            <w:r w:rsidR="00742FB6">
              <w:rPr>
                <w:sz w:val="26"/>
                <w:szCs w:val="26"/>
              </w:rPr>
              <w:t>rofesionālās izglītības kompetences centra statusu</w:t>
            </w:r>
            <w:r w:rsidR="00BC0042">
              <w:rPr>
                <w:sz w:val="26"/>
                <w:szCs w:val="26"/>
              </w:rPr>
              <w:t>.</w:t>
            </w:r>
          </w:p>
        </w:tc>
      </w:tr>
      <w:tr w:rsidR="00CB265E" w:rsidRPr="00DC485F" w:rsidTr="00CB265E">
        <w:trPr>
          <w:trHeight w:val="1071"/>
          <w:tblCellSpacing w:w="0" w:type="dxa"/>
        </w:trPr>
        <w:tc>
          <w:tcPr>
            <w:tcW w:w="506"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rPr>
                <w:sz w:val="26"/>
                <w:szCs w:val="26"/>
              </w:rPr>
            </w:pPr>
            <w:r w:rsidRPr="00DC485F">
              <w:rPr>
                <w:sz w:val="26"/>
                <w:szCs w:val="26"/>
              </w:rPr>
              <w:lastRenderedPageBreak/>
              <w:t> 3.</w:t>
            </w:r>
          </w:p>
        </w:tc>
        <w:tc>
          <w:tcPr>
            <w:tcW w:w="2231"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rPr>
                <w:sz w:val="26"/>
                <w:szCs w:val="26"/>
              </w:rPr>
            </w:pPr>
            <w:r w:rsidRPr="00DC485F">
              <w:rPr>
                <w:sz w:val="26"/>
                <w:szCs w:val="26"/>
              </w:rPr>
              <w:t>Saistītie politikas ietekmes novērtējumi un pētījumi</w:t>
            </w:r>
          </w:p>
        </w:tc>
        <w:tc>
          <w:tcPr>
            <w:tcW w:w="5599" w:type="dxa"/>
            <w:tcBorders>
              <w:top w:val="outset" w:sz="6" w:space="0" w:color="auto"/>
              <w:left w:val="outset" w:sz="6" w:space="0" w:color="auto"/>
              <w:bottom w:val="outset" w:sz="6" w:space="0" w:color="auto"/>
              <w:right w:val="outset" w:sz="6" w:space="0" w:color="auto"/>
            </w:tcBorders>
          </w:tcPr>
          <w:p w:rsidR="00CB265E" w:rsidRPr="00DC485F" w:rsidRDefault="00A1566E" w:rsidP="00A1566E">
            <w:pPr>
              <w:spacing w:before="75" w:after="75"/>
              <w:rPr>
                <w:sz w:val="26"/>
                <w:szCs w:val="26"/>
              </w:rPr>
            </w:pPr>
            <w:r>
              <w:rPr>
                <w:sz w:val="26"/>
                <w:szCs w:val="26"/>
              </w:rPr>
              <w:t xml:space="preserve"> Projekts šo jomu neskar.</w:t>
            </w:r>
            <w:r w:rsidR="00F23CA8">
              <w:rPr>
                <w:sz w:val="26"/>
                <w:szCs w:val="26"/>
              </w:rPr>
              <w:t xml:space="preserve"> </w:t>
            </w:r>
          </w:p>
        </w:tc>
      </w:tr>
      <w:tr w:rsidR="00CB265E" w:rsidRPr="00DC485F" w:rsidTr="00CB265E">
        <w:trPr>
          <w:trHeight w:val="384"/>
          <w:tblCellSpacing w:w="0" w:type="dxa"/>
        </w:trPr>
        <w:tc>
          <w:tcPr>
            <w:tcW w:w="506"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rPr>
                <w:sz w:val="26"/>
                <w:szCs w:val="26"/>
              </w:rPr>
            </w:pPr>
            <w:r w:rsidRPr="00DC485F">
              <w:rPr>
                <w:sz w:val="26"/>
                <w:szCs w:val="26"/>
              </w:rPr>
              <w:t> 4.</w:t>
            </w:r>
          </w:p>
        </w:tc>
        <w:tc>
          <w:tcPr>
            <w:tcW w:w="2231"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rPr>
                <w:sz w:val="26"/>
                <w:szCs w:val="26"/>
              </w:rPr>
            </w:pPr>
            <w:r w:rsidRPr="00DC485F">
              <w:rPr>
                <w:sz w:val="26"/>
                <w:szCs w:val="26"/>
              </w:rPr>
              <w:t>Tiesiskā regulējuma mērķis un būtība</w:t>
            </w:r>
          </w:p>
        </w:tc>
        <w:tc>
          <w:tcPr>
            <w:tcW w:w="5599"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jc w:val="both"/>
              <w:rPr>
                <w:sz w:val="26"/>
                <w:szCs w:val="26"/>
              </w:rPr>
            </w:pPr>
            <w:r w:rsidRPr="00DC485F">
              <w:rPr>
                <w:sz w:val="26"/>
                <w:szCs w:val="26"/>
              </w:rPr>
              <w:t>Rīkojuma projekta mērķis ir profesionālās izglītības iestāžu tīkla optimizācijas pasākumu īstenošana, paredzot ar 2011.gada 1.septembri reorganizēt  skolas</w:t>
            </w:r>
            <w:r w:rsidR="00474910">
              <w:rPr>
                <w:sz w:val="26"/>
                <w:szCs w:val="26"/>
              </w:rPr>
              <w:t>,</w:t>
            </w:r>
            <w:r w:rsidRPr="00DC485F">
              <w:rPr>
                <w:sz w:val="26"/>
                <w:szCs w:val="26"/>
              </w:rPr>
              <w:t xml:space="preserve"> apvienojo</w:t>
            </w:r>
            <w:r w:rsidR="003242AB">
              <w:rPr>
                <w:sz w:val="26"/>
                <w:szCs w:val="26"/>
              </w:rPr>
              <w:t>t tās</w:t>
            </w:r>
            <w:r w:rsidR="00474910">
              <w:rPr>
                <w:sz w:val="26"/>
                <w:szCs w:val="26"/>
              </w:rPr>
              <w:t xml:space="preserve"> vienā izglītības iestādē</w:t>
            </w:r>
            <w:r w:rsidRPr="00DC485F">
              <w:rPr>
                <w:sz w:val="26"/>
                <w:szCs w:val="26"/>
              </w:rPr>
              <w:t xml:space="preserve">. </w:t>
            </w:r>
          </w:p>
        </w:tc>
      </w:tr>
      <w:tr w:rsidR="00CB265E" w:rsidRPr="00DC485F" w:rsidTr="00CB265E">
        <w:trPr>
          <w:trHeight w:val="476"/>
          <w:tblCellSpacing w:w="0" w:type="dxa"/>
        </w:trPr>
        <w:tc>
          <w:tcPr>
            <w:tcW w:w="506"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rPr>
                <w:sz w:val="26"/>
                <w:szCs w:val="26"/>
              </w:rPr>
            </w:pPr>
            <w:r w:rsidRPr="00DC485F">
              <w:rPr>
                <w:sz w:val="26"/>
                <w:szCs w:val="26"/>
              </w:rPr>
              <w:t> 5.</w:t>
            </w:r>
          </w:p>
        </w:tc>
        <w:tc>
          <w:tcPr>
            <w:tcW w:w="2231"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rPr>
                <w:sz w:val="26"/>
                <w:szCs w:val="26"/>
              </w:rPr>
            </w:pPr>
            <w:r w:rsidRPr="00DC485F">
              <w:rPr>
                <w:sz w:val="26"/>
                <w:szCs w:val="26"/>
              </w:rPr>
              <w:t xml:space="preserve">Projekta izstrādē iesaistītās </w:t>
            </w:r>
            <w:r w:rsidRPr="00DC485F">
              <w:rPr>
                <w:sz w:val="26"/>
                <w:szCs w:val="26"/>
              </w:rPr>
              <w:lastRenderedPageBreak/>
              <w:t>institūcijas</w:t>
            </w:r>
          </w:p>
        </w:tc>
        <w:tc>
          <w:tcPr>
            <w:tcW w:w="5599"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pStyle w:val="NoSpacing"/>
              <w:jc w:val="both"/>
              <w:rPr>
                <w:sz w:val="26"/>
                <w:szCs w:val="26"/>
              </w:rPr>
            </w:pPr>
            <w:r w:rsidRPr="00DC485F">
              <w:rPr>
                <w:sz w:val="26"/>
                <w:szCs w:val="26"/>
              </w:rPr>
              <w:lastRenderedPageBreak/>
              <w:t>Ministrija</w:t>
            </w:r>
          </w:p>
        </w:tc>
      </w:tr>
      <w:tr w:rsidR="00CB265E" w:rsidRPr="00DC485F" w:rsidTr="00CB265E">
        <w:trPr>
          <w:trHeight w:val="971"/>
          <w:tblCellSpacing w:w="0" w:type="dxa"/>
        </w:trPr>
        <w:tc>
          <w:tcPr>
            <w:tcW w:w="506"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lastRenderedPageBreak/>
              <w:t> 6.</w:t>
            </w:r>
          </w:p>
        </w:tc>
        <w:tc>
          <w:tcPr>
            <w:tcW w:w="2231"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Iemesli, kādēļ netika nodrošināta sabiedrības līdzdalība</w:t>
            </w:r>
          </w:p>
        </w:tc>
        <w:tc>
          <w:tcPr>
            <w:tcW w:w="5599" w:type="dxa"/>
            <w:tcBorders>
              <w:top w:val="outset" w:sz="6" w:space="0" w:color="auto"/>
              <w:left w:val="outset" w:sz="6" w:space="0" w:color="auto"/>
              <w:bottom w:val="outset" w:sz="6" w:space="0" w:color="auto"/>
              <w:right w:val="outset" w:sz="6" w:space="0" w:color="auto"/>
            </w:tcBorders>
          </w:tcPr>
          <w:p w:rsidR="00CB265E" w:rsidRPr="00DC485F" w:rsidRDefault="00CB265E" w:rsidP="007C6B97">
            <w:pPr>
              <w:spacing w:before="75" w:after="75"/>
              <w:jc w:val="both"/>
              <w:rPr>
                <w:sz w:val="26"/>
                <w:szCs w:val="26"/>
              </w:rPr>
            </w:pPr>
            <w:r w:rsidRPr="00DC485F">
              <w:rPr>
                <w:sz w:val="26"/>
                <w:szCs w:val="26"/>
              </w:rPr>
              <w:t xml:space="preserve"> </w:t>
            </w:r>
            <w:r w:rsidR="007C6B97" w:rsidRPr="00B3233D">
              <w:rPr>
                <w:rFonts w:eastAsiaTheme="minorHAnsi"/>
                <w:color w:val="000000"/>
                <w:sz w:val="26"/>
                <w:szCs w:val="26"/>
              </w:rPr>
              <w:t>Sabiedrības līdzdalība rīkojuma projekta izstrādes gaitā nebija nepieciešama, jo  rīkojuma projekts ir izstrādāts saskaņā ar  pamatnostādnēs noteikto un Ministru kabinetā apstiprināto profesionālās izglītības iestāžu optimizācijas plānu, kura izstrādē piedalījās gan plānošanas reģioni un novadu pašvaldības, gan nozaru asociācijas, profesionālās apvienības, gan  Profesionālās izglītības biedrība.</w:t>
            </w:r>
            <w:r w:rsidR="007C6B97" w:rsidRPr="00757333">
              <w:rPr>
                <w:rFonts w:eastAsiaTheme="minorHAnsi"/>
                <w:color w:val="000000"/>
                <w:sz w:val="26"/>
                <w:szCs w:val="26"/>
              </w:rPr>
              <w:t xml:space="preserve"> </w:t>
            </w:r>
          </w:p>
        </w:tc>
      </w:tr>
      <w:tr w:rsidR="00CB265E" w:rsidRPr="00DC485F" w:rsidTr="00CB265E">
        <w:trPr>
          <w:tblCellSpacing w:w="0" w:type="dxa"/>
        </w:trPr>
        <w:tc>
          <w:tcPr>
            <w:tcW w:w="506"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 7.</w:t>
            </w:r>
          </w:p>
        </w:tc>
        <w:tc>
          <w:tcPr>
            <w:tcW w:w="2231"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 Cita informācija</w:t>
            </w:r>
          </w:p>
        </w:tc>
        <w:tc>
          <w:tcPr>
            <w:tcW w:w="5599" w:type="dxa"/>
            <w:tcBorders>
              <w:top w:val="outset" w:sz="6" w:space="0" w:color="auto"/>
              <w:left w:val="outset" w:sz="6" w:space="0" w:color="auto"/>
              <w:bottom w:val="outset" w:sz="6" w:space="0" w:color="auto"/>
              <w:right w:val="outset" w:sz="6" w:space="0" w:color="auto"/>
            </w:tcBorders>
          </w:tcPr>
          <w:p w:rsidR="00CB265E" w:rsidRPr="00DC485F" w:rsidRDefault="009A10BA" w:rsidP="00DC485F">
            <w:pPr>
              <w:pStyle w:val="NormalWeb"/>
              <w:spacing w:before="0" w:beforeAutospacing="0" w:after="0" w:afterAutospacing="0"/>
              <w:rPr>
                <w:sz w:val="26"/>
                <w:szCs w:val="26"/>
                <w:lang w:val="lv-LV"/>
              </w:rPr>
            </w:pPr>
            <w:r w:rsidRPr="00DC485F">
              <w:rPr>
                <w:sz w:val="26"/>
                <w:szCs w:val="26"/>
                <w:lang w:val="lv-LV"/>
              </w:rPr>
              <w:t>N</w:t>
            </w:r>
            <w:r w:rsidR="00CB265E" w:rsidRPr="00DC485F">
              <w:rPr>
                <w:sz w:val="26"/>
                <w:szCs w:val="26"/>
                <w:lang w:val="lv-LV"/>
              </w:rPr>
              <w:t xml:space="preserve">av </w:t>
            </w:r>
          </w:p>
        </w:tc>
      </w:tr>
    </w:tbl>
    <w:p w:rsidR="00CB265E" w:rsidRPr="00DE0D02" w:rsidRDefault="00CB265E" w:rsidP="00CB265E">
      <w:pPr>
        <w:spacing w:before="75" w:after="75"/>
        <w:ind w:firstLine="375"/>
        <w:jc w:val="both"/>
      </w:pPr>
      <w:r w:rsidRPr="00DE0D02">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8"/>
        <w:gridCol w:w="2242"/>
        <w:gridCol w:w="5606"/>
      </w:tblGrid>
      <w:tr w:rsidR="00CB265E" w:rsidRPr="00DE0D02" w:rsidTr="00A1566E">
        <w:trPr>
          <w:tblCellSpacing w:w="0" w:type="dxa"/>
        </w:trPr>
        <w:tc>
          <w:tcPr>
            <w:tcW w:w="8336" w:type="dxa"/>
            <w:gridSpan w:val="3"/>
            <w:tcBorders>
              <w:top w:val="outset" w:sz="6" w:space="0" w:color="auto"/>
              <w:left w:val="outset" w:sz="6" w:space="0" w:color="auto"/>
              <w:bottom w:val="outset" w:sz="6" w:space="0" w:color="auto"/>
              <w:right w:val="outset" w:sz="6" w:space="0" w:color="auto"/>
            </w:tcBorders>
            <w:vAlign w:val="center"/>
          </w:tcPr>
          <w:p w:rsidR="00CB265E" w:rsidRPr="007C6654" w:rsidRDefault="00CB265E" w:rsidP="00DC485F">
            <w:pPr>
              <w:spacing w:before="150" w:after="150"/>
              <w:jc w:val="center"/>
              <w:rPr>
                <w:b/>
                <w:bCs/>
                <w:sz w:val="28"/>
                <w:szCs w:val="28"/>
              </w:rPr>
            </w:pPr>
            <w:r w:rsidRPr="007C6654">
              <w:rPr>
                <w:b/>
                <w:bCs/>
                <w:sz w:val="28"/>
                <w:szCs w:val="28"/>
              </w:rPr>
              <w:t>II. Tiesību akta projekta ietekme uz sabiedrību</w:t>
            </w:r>
          </w:p>
        </w:tc>
      </w:tr>
      <w:tr w:rsidR="00CB265E" w:rsidRPr="00DC485F" w:rsidTr="00A1566E">
        <w:trPr>
          <w:trHeight w:val="467"/>
          <w:tblCellSpacing w:w="0" w:type="dxa"/>
        </w:trPr>
        <w:tc>
          <w:tcPr>
            <w:tcW w:w="488"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 1.</w:t>
            </w:r>
          </w:p>
        </w:tc>
        <w:tc>
          <w:tcPr>
            <w:tcW w:w="2242"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 xml:space="preserve">Sabiedrības </w:t>
            </w:r>
            <w:proofErr w:type="spellStart"/>
            <w:r w:rsidRPr="00DC485F">
              <w:rPr>
                <w:sz w:val="26"/>
                <w:szCs w:val="26"/>
              </w:rPr>
              <w:t>mērķgrupa</w:t>
            </w:r>
            <w:proofErr w:type="spellEnd"/>
          </w:p>
        </w:tc>
        <w:tc>
          <w:tcPr>
            <w:tcW w:w="5606" w:type="dxa"/>
            <w:tcBorders>
              <w:top w:val="outset" w:sz="6" w:space="0" w:color="auto"/>
              <w:left w:val="outset" w:sz="6" w:space="0" w:color="auto"/>
              <w:bottom w:val="outset" w:sz="6" w:space="0" w:color="auto"/>
              <w:right w:val="outset" w:sz="6" w:space="0" w:color="auto"/>
            </w:tcBorders>
          </w:tcPr>
          <w:p w:rsidR="00CB265E" w:rsidRPr="00DC485F" w:rsidRDefault="00CB265E" w:rsidP="00CB11E6">
            <w:pPr>
              <w:jc w:val="both"/>
              <w:rPr>
                <w:sz w:val="26"/>
                <w:szCs w:val="26"/>
              </w:rPr>
            </w:pPr>
            <w:r w:rsidRPr="00DC485F">
              <w:rPr>
                <w:sz w:val="26"/>
                <w:szCs w:val="26"/>
              </w:rPr>
              <w:t>Rīkojuma projekta tiesiskais regulējums attiecas uz  valsts iestādēm.</w:t>
            </w:r>
          </w:p>
        </w:tc>
      </w:tr>
      <w:tr w:rsidR="00CB265E" w:rsidRPr="00DC485F" w:rsidTr="00A1566E">
        <w:trPr>
          <w:trHeight w:val="523"/>
          <w:tblCellSpacing w:w="0" w:type="dxa"/>
        </w:trPr>
        <w:tc>
          <w:tcPr>
            <w:tcW w:w="488"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 2.</w:t>
            </w:r>
          </w:p>
        </w:tc>
        <w:tc>
          <w:tcPr>
            <w:tcW w:w="2242"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 xml:space="preserve">Citas sabiedrības grupas (bez </w:t>
            </w:r>
            <w:proofErr w:type="spellStart"/>
            <w:r w:rsidRPr="00DC485F">
              <w:rPr>
                <w:sz w:val="26"/>
                <w:szCs w:val="26"/>
              </w:rPr>
              <w:t>mērķgrupas</w:t>
            </w:r>
            <w:proofErr w:type="spellEnd"/>
            <w:r w:rsidRPr="00DC485F">
              <w:rPr>
                <w:sz w:val="26"/>
                <w:szCs w:val="26"/>
              </w:rPr>
              <w:t>), kuras tiesiskais regulējums arī ietekmē vai varētu ietekmēt</w:t>
            </w:r>
          </w:p>
        </w:tc>
        <w:tc>
          <w:tcPr>
            <w:tcW w:w="5606" w:type="dxa"/>
            <w:tcBorders>
              <w:top w:val="outset" w:sz="6" w:space="0" w:color="auto"/>
              <w:left w:val="outset" w:sz="6" w:space="0" w:color="auto"/>
              <w:bottom w:val="outset" w:sz="6" w:space="0" w:color="auto"/>
              <w:right w:val="outset" w:sz="6" w:space="0" w:color="auto"/>
            </w:tcBorders>
          </w:tcPr>
          <w:p w:rsidR="00CB265E" w:rsidRPr="00DC485F" w:rsidRDefault="00CB265E" w:rsidP="00CB11E6">
            <w:pPr>
              <w:jc w:val="both"/>
              <w:rPr>
                <w:sz w:val="26"/>
                <w:szCs w:val="26"/>
              </w:rPr>
            </w:pPr>
            <w:r w:rsidRPr="00DC485F">
              <w:rPr>
                <w:sz w:val="26"/>
                <w:szCs w:val="26"/>
              </w:rPr>
              <w:t xml:space="preserve">Izglītojamie un viņu vecāki, pašvaldību institūcijas un organizācijas, kuras sniedz atbalstu izglītības iestādēm izglītības procesa nodrošināšanā. </w:t>
            </w:r>
          </w:p>
        </w:tc>
      </w:tr>
      <w:tr w:rsidR="00A1566E" w:rsidRPr="00DC485F" w:rsidTr="00A1566E">
        <w:trPr>
          <w:trHeight w:val="517"/>
          <w:tblCellSpacing w:w="0" w:type="dxa"/>
        </w:trPr>
        <w:tc>
          <w:tcPr>
            <w:tcW w:w="488" w:type="dxa"/>
            <w:tcBorders>
              <w:top w:val="outset" w:sz="6" w:space="0" w:color="auto"/>
              <w:left w:val="outset" w:sz="6" w:space="0" w:color="auto"/>
              <w:bottom w:val="outset" w:sz="6" w:space="0" w:color="auto"/>
              <w:right w:val="outset" w:sz="6" w:space="0" w:color="auto"/>
            </w:tcBorders>
          </w:tcPr>
          <w:p w:rsidR="00A1566E" w:rsidRPr="00DC485F" w:rsidRDefault="00A1566E" w:rsidP="00DC485F">
            <w:pPr>
              <w:spacing w:before="75" w:after="75"/>
              <w:jc w:val="both"/>
              <w:rPr>
                <w:sz w:val="26"/>
                <w:szCs w:val="26"/>
              </w:rPr>
            </w:pPr>
            <w:r w:rsidRPr="00DC485F">
              <w:rPr>
                <w:sz w:val="26"/>
                <w:szCs w:val="26"/>
              </w:rPr>
              <w:t> 3.</w:t>
            </w:r>
          </w:p>
        </w:tc>
        <w:tc>
          <w:tcPr>
            <w:tcW w:w="2242" w:type="dxa"/>
            <w:tcBorders>
              <w:top w:val="outset" w:sz="6" w:space="0" w:color="auto"/>
              <w:left w:val="outset" w:sz="6" w:space="0" w:color="auto"/>
              <w:bottom w:val="outset" w:sz="6" w:space="0" w:color="auto"/>
              <w:right w:val="outset" w:sz="6" w:space="0" w:color="auto"/>
            </w:tcBorders>
          </w:tcPr>
          <w:p w:rsidR="00A1566E" w:rsidRPr="00DC485F" w:rsidRDefault="00A1566E" w:rsidP="00DC485F">
            <w:pPr>
              <w:spacing w:before="75" w:after="75"/>
              <w:jc w:val="both"/>
              <w:rPr>
                <w:sz w:val="26"/>
                <w:szCs w:val="26"/>
              </w:rPr>
            </w:pPr>
            <w:r w:rsidRPr="00DC485F">
              <w:rPr>
                <w:sz w:val="26"/>
                <w:szCs w:val="26"/>
              </w:rPr>
              <w:t>Tiesiskā regulējuma finansiālā ietekme</w:t>
            </w:r>
          </w:p>
        </w:tc>
        <w:tc>
          <w:tcPr>
            <w:tcW w:w="5606" w:type="dxa"/>
            <w:tcBorders>
              <w:top w:val="outset" w:sz="6" w:space="0" w:color="auto"/>
              <w:left w:val="outset" w:sz="6" w:space="0" w:color="auto"/>
              <w:bottom w:val="outset" w:sz="6" w:space="0" w:color="auto"/>
              <w:right w:val="outset" w:sz="6" w:space="0" w:color="auto"/>
            </w:tcBorders>
          </w:tcPr>
          <w:p w:rsidR="00A1566E" w:rsidRDefault="00A1566E">
            <w:r w:rsidRPr="007B4181">
              <w:rPr>
                <w:sz w:val="26"/>
                <w:szCs w:val="26"/>
              </w:rPr>
              <w:t>Projekts šo jomu neskar.</w:t>
            </w:r>
          </w:p>
        </w:tc>
      </w:tr>
      <w:tr w:rsidR="00A1566E" w:rsidRPr="00DC485F" w:rsidTr="00A1566E">
        <w:trPr>
          <w:trHeight w:val="517"/>
          <w:tblCellSpacing w:w="0" w:type="dxa"/>
        </w:trPr>
        <w:tc>
          <w:tcPr>
            <w:tcW w:w="488" w:type="dxa"/>
            <w:tcBorders>
              <w:top w:val="outset" w:sz="6" w:space="0" w:color="auto"/>
              <w:left w:val="outset" w:sz="6" w:space="0" w:color="auto"/>
              <w:bottom w:val="outset" w:sz="6" w:space="0" w:color="auto"/>
              <w:right w:val="outset" w:sz="6" w:space="0" w:color="auto"/>
            </w:tcBorders>
          </w:tcPr>
          <w:p w:rsidR="00A1566E" w:rsidRPr="00DC485F" w:rsidRDefault="00A1566E" w:rsidP="00DC485F">
            <w:pPr>
              <w:spacing w:before="75" w:after="75"/>
              <w:jc w:val="both"/>
              <w:rPr>
                <w:sz w:val="26"/>
                <w:szCs w:val="26"/>
              </w:rPr>
            </w:pPr>
            <w:r w:rsidRPr="00DC485F">
              <w:rPr>
                <w:sz w:val="26"/>
                <w:szCs w:val="26"/>
              </w:rPr>
              <w:t> 4.</w:t>
            </w:r>
          </w:p>
        </w:tc>
        <w:tc>
          <w:tcPr>
            <w:tcW w:w="2242" w:type="dxa"/>
            <w:tcBorders>
              <w:top w:val="outset" w:sz="6" w:space="0" w:color="auto"/>
              <w:left w:val="outset" w:sz="6" w:space="0" w:color="auto"/>
              <w:bottom w:val="outset" w:sz="6" w:space="0" w:color="auto"/>
              <w:right w:val="outset" w:sz="6" w:space="0" w:color="auto"/>
            </w:tcBorders>
          </w:tcPr>
          <w:p w:rsidR="00A1566E" w:rsidRPr="00DC485F" w:rsidRDefault="00A1566E" w:rsidP="00DC485F">
            <w:pPr>
              <w:spacing w:before="75" w:after="75"/>
              <w:jc w:val="both"/>
              <w:rPr>
                <w:sz w:val="26"/>
                <w:szCs w:val="26"/>
              </w:rPr>
            </w:pPr>
            <w:r w:rsidRPr="00DC485F">
              <w:rPr>
                <w:sz w:val="26"/>
                <w:szCs w:val="26"/>
              </w:rPr>
              <w:t>Tiesiskā regulējuma nefinansiālā ietekme</w:t>
            </w:r>
          </w:p>
        </w:tc>
        <w:tc>
          <w:tcPr>
            <w:tcW w:w="5606" w:type="dxa"/>
            <w:tcBorders>
              <w:top w:val="outset" w:sz="6" w:space="0" w:color="auto"/>
              <w:left w:val="outset" w:sz="6" w:space="0" w:color="auto"/>
              <w:bottom w:val="outset" w:sz="6" w:space="0" w:color="auto"/>
              <w:right w:val="outset" w:sz="6" w:space="0" w:color="auto"/>
            </w:tcBorders>
          </w:tcPr>
          <w:p w:rsidR="00A1566E" w:rsidRDefault="00A1566E">
            <w:r w:rsidRPr="007B4181">
              <w:rPr>
                <w:sz w:val="26"/>
                <w:szCs w:val="26"/>
              </w:rPr>
              <w:t>Projekts šo jomu neskar.</w:t>
            </w:r>
          </w:p>
        </w:tc>
      </w:tr>
      <w:tr w:rsidR="00A1566E" w:rsidRPr="00DC485F" w:rsidTr="00A1566E">
        <w:trPr>
          <w:trHeight w:val="531"/>
          <w:tblCellSpacing w:w="0" w:type="dxa"/>
        </w:trPr>
        <w:tc>
          <w:tcPr>
            <w:tcW w:w="488" w:type="dxa"/>
            <w:tcBorders>
              <w:top w:val="outset" w:sz="6" w:space="0" w:color="auto"/>
              <w:left w:val="outset" w:sz="6" w:space="0" w:color="auto"/>
              <w:bottom w:val="outset" w:sz="6" w:space="0" w:color="auto"/>
              <w:right w:val="outset" w:sz="6" w:space="0" w:color="auto"/>
            </w:tcBorders>
          </w:tcPr>
          <w:p w:rsidR="00A1566E" w:rsidRPr="00DC485F" w:rsidRDefault="00A1566E" w:rsidP="00DC485F">
            <w:pPr>
              <w:spacing w:before="75" w:after="75"/>
              <w:jc w:val="both"/>
              <w:rPr>
                <w:sz w:val="26"/>
                <w:szCs w:val="26"/>
              </w:rPr>
            </w:pPr>
            <w:r w:rsidRPr="00DC485F">
              <w:rPr>
                <w:sz w:val="26"/>
                <w:szCs w:val="26"/>
              </w:rPr>
              <w:t> 5.</w:t>
            </w:r>
          </w:p>
        </w:tc>
        <w:tc>
          <w:tcPr>
            <w:tcW w:w="2242" w:type="dxa"/>
            <w:tcBorders>
              <w:top w:val="outset" w:sz="6" w:space="0" w:color="auto"/>
              <w:left w:val="outset" w:sz="6" w:space="0" w:color="auto"/>
              <w:bottom w:val="outset" w:sz="6" w:space="0" w:color="auto"/>
              <w:right w:val="outset" w:sz="6" w:space="0" w:color="auto"/>
            </w:tcBorders>
          </w:tcPr>
          <w:p w:rsidR="00A1566E" w:rsidRPr="00DC485F" w:rsidRDefault="00A1566E" w:rsidP="00DC485F">
            <w:pPr>
              <w:spacing w:before="75" w:after="75"/>
              <w:jc w:val="both"/>
              <w:rPr>
                <w:sz w:val="26"/>
                <w:szCs w:val="26"/>
              </w:rPr>
            </w:pPr>
            <w:r w:rsidRPr="00DC485F">
              <w:rPr>
                <w:sz w:val="26"/>
                <w:szCs w:val="26"/>
              </w:rPr>
              <w:t>Administratīvās procedūras raksturojums</w:t>
            </w:r>
          </w:p>
        </w:tc>
        <w:tc>
          <w:tcPr>
            <w:tcW w:w="5606" w:type="dxa"/>
            <w:tcBorders>
              <w:top w:val="outset" w:sz="6" w:space="0" w:color="auto"/>
              <w:left w:val="outset" w:sz="6" w:space="0" w:color="auto"/>
              <w:bottom w:val="outset" w:sz="6" w:space="0" w:color="auto"/>
              <w:right w:val="outset" w:sz="6" w:space="0" w:color="auto"/>
            </w:tcBorders>
          </w:tcPr>
          <w:p w:rsidR="00A1566E" w:rsidRDefault="00A1566E">
            <w:r w:rsidRPr="007B4181">
              <w:rPr>
                <w:sz w:val="26"/>
                <w:szCs w:val="26"/>
              </w:rPr>
              <w:t>Projekts šo jomu neskar.</w:t>
            </w:r>
          </w:p>
        </w:tc>
      </w:tr>
      <w:tr w:rsidR="00A1566E" w:rsidRPr="00DC485F" w:rsidTr="00A1566E">
        <w:trPr>
          <w:trHeight w:val="357"/>
          <w:tblCellSpacing w:w="0" w:type="dxa"/>
        </w:trPr>
        <w:tc>
          <w:tcPr>
            <w:tcW w:w="488" w:type="dxa"/>
            <w:tcBorders>
              <w:top w:val="outset" w:sz="6" w:space="0" w:color="auto"/>
              <w:left w:val="outset" w:sz="6" w:space="0" w:color="auto"/>
              <w:bottom w:val="outset" w:sz="6" w:space="0" w:color="auto"/>
              <w:right w:val="outset" w:sz="6" w:space="0" w:color="auto"/>
            </w:tcBorders>
          </w:tcPr>
          <w:p w:rsidR="00A1566E" w:rsidRPr="00DC485F" w:rsidRDefault="00A1566E" w:rsidP="00DC485F">
            <w:pPr>
              <w:spacing w:before="75" w:after="75"/>
              <w:jc w:val="both"/>
              <w:rPr>
                <w:sz w:val="26"/>
                <w:szCs w:val="26"/>
              </w:rPr>
            </w:pPr>
            <w:r w:rsidRPr="00DC485F">
              <w:rPr>
                <w:sz w:val="26"/>
                <w:szCs w:val="26"/>
              </w:rPr>
              <w:t> 6.</w:t>
            </w:r>
          </w:p>
        </w:tc>
        <w:tc>
          <w:tcPr>
            <w:tcW w:w="2242" w:type="dxa"/>
            <w:tcBorders>
              <w:top w:val="outset" w:sz="6" w:space="0" w:color="auto"/>
              <w:left w:val="outset" w:sz="6" w:space="0" w:color="auto"/>
              <w:bottom w:val="outset" w:sz="6" w:space="0" w:color="auto"/>
              <w:right w:val="outset" w:sz="6" w:space="0" w:color="auto"/>
            </w:tcBorders>
          </w:tcPr>
          <w:p w:rsidR="00A1566E" w:rsidRPr="00DC485F" w:rsidRDefault="00A1566E" w:rsidP="00DC485F">
            <w:pPr>
              <w:spacing w:before="75" w:after="75"/>
              <w:jc w:val="both"/>
              <w:rPr>
                <w:sz w:val="26"/>
                <w:szCs w:val="26"/>
              </w:rPr>
            </w:pPr>
            <w:r w:rsidRPr="00DC485F">
              <w:rPr>
                <w:sz w:val="26"/>
                <w:szCs w:val="26"/>
              </w:rPr>
              <w:t>Administratīvo izmaksu monetārs novērtējums</w:t>
            </w:r>
          </w:p>
        </w:tc>
        <w:tc>
          <w:tcPr>
            <w:tcW w:w="5606" w:type="dxa"/>
            <w:tcBorders>
              <w:top w:val="outset" w:sz="6" w:space="0" w:color="auto"/>
              <w:left w:val="outset" w:sz="6" w:space="0" w:color="auto"/>
              <w:bottom w:val="outset" w:sz="6" w:space="0" w:color="auto"/>
              <w:right w:val="outset" w:sz="6" w:space="0" w:color="auto"/>
            </w:tcBorders>
          </w:tcPr>
          <w:p w:rsidR="00A1566E" w:rsidRDefault="00A1566E">
            <w:r w:rsidRPr="007B4181">
              <w:rPr>
                <w:sz w:val="26"/>
                <w:szCs w:val="26"/>
              </w:rPr>
              <w:t>Projekts šo jomu neskar.</w:t>
            </w:r>
          </w:p>
        </w:tc>
      </w:tr>
      <w:tr w:rsidR="00CB265E" w:rsidRPr="00DC485F" w:rsidTr="00A1566E">
        <w:trPr>
          <w:tblCellSpacing w:w="0" w:type="dxa"/>
        </w:trPr>
        <w:tc>
          <w:tcPr>
            <w:tcW w:w="488"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 7.</w:t>
            </w:r>
          </w:p>
        </w:tc>
        <w:tc>
          <w:tcPr>
            <w:tcW w:w="2242"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 Cita informācija</w:t>
            </w:r>
          </w:p>
        </w:tc>
        <w:tc>
          <w:tcPr>
            <w:tcW w:w="5606"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 Nav.</w:t>
            </w:r>
          </w:p>
        </w:tc>
      </w:tr>
    </w:tbl>
    <w:p w:rsidR="00CB265E" w:rsidRDefault="00CB265E" w:rsidP="00CB265E">
      <w:pPr>
        <w:spacing w:before="75" w:after="75"/>
        <w:ind w:firstLine="375"/>
        <w:jc w:val="both"/>
      </w:pPr>
    </w:p>
    <w:tbl>
      <w:tblPr>
        <w:tblW w:w="49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74"/>
        <w:gridCol w:w="1757"/>
        <w:gridCol w:w="212"/>
        <w:gridCol w:w="1152"/>
        <w:gridCol w:w="1210"/>
        <w:gridCol w:w="1309"/>
        <w:gridCol w:w="1309"/>
        <w:gridCol w:w="1311"/>
      </w:tblGrid>
      <w:tr w:rsidR="00CB265E" w:rsidRPr="0073773A" w:rsidTr="00DC485F">
        <w:trPr>
          <w:trHeight w:val="71"/>
          <w:tblCellSpacing w:w="15" w:type="dxa"/>
        </w:trPr>
        <w:tc>
          <w:tcPr>
            <w:tcW w:w="8274" w:type="dxa"/>
            <w:gridSpan w:val="8"/>
            <w:tcBorders>
              <w:top w:val="outset" w:sz="6" w:space="0" w:color="auto"/>
              <w:left w:val="outset" w:sz="6" w:space="0" w:color="auto"/>
              <w:bottom w:val="outset" w:sz="6" w:space="0" w:color="auto"/>
              <w:right w:val="outset" w:sz="6" w:space="0" w:color="auto"/>
            </w:tcBorders>
          </w:tcPr>
          <w:p w:rsidR="00CB265E" w:rsidRPr="00DC485F" w:rsidRDefault="00CB265E" w:rsidP="00DC485F">
            <w:pPr>
              <w:pStyle w:val="NormalWeb"/>
              <w:jc w:val="center"/>
              <w:rPr>
                <w:b/>
                <w:sz w:val="28"/>
                <w:szCs w:val="28"/>
                <w:lang w:val="lv-LV"/>
              </w:rPr>
            </w:pPr>
            <w:r w:rsidRPr="00DC485F">
              <w:rPr>
                <w:b/>
                <w:sz w:val="28"/>
                <w:szCs w:val="28"/>
                <w:lang w:val="lv-LV"/>
              </w:rPr>
              <w:t> III. Tiesību akta projekta ietekme uz valsts budžetu un pašvaldību budžetiem</w:t>
            </w:r>
          </w:p>
        </w:tc>
      </w:tr>
      <w:tr w:rsidR="00CB265E" w:rsidRPr="00DC485F" w:rsidTr="00DC485F">
        <w:trPr>
          <w:trHeight w:val="71"/>
          <w:tblCellSpacing w:w="15" w:type="dxa"/>
        </w:trPr>
        <w:tc>
          <w:tcPr>
            <w:tcW w:w="1786" w:type="dxa"/>
            <w:gridSpan w:val="2"/>
            <w:vMerge w:val="restart"/>
            <w:tcBorders>
              <w:top w:val="outset" w:sz="6" w:space="0" w:color="auto"/>
              <w:left w:val="outset" w:sz="6" w:space="0" w:color="auto"/>
              <w:bottom w:val="outset" w:sz="6" w:space="0" w:color="auto"/>
              <w:right w:val="outset" w:sz="6" w:space="0" w:color="auto"/>
            </w:tcBorders>
            <w:vAlign w:val="center"/>
          </w:tcPr>
          <w:p w:rsidR="00CB265E" w:rsidRPr="00DC485F" w:rsidRDefault="00CB265E" w:rsidP="00DC485F">
            <w:pPr>
              <w:pStyle w:val="NormalWeb"/>
              <w:jc w:val="center"/>
              <w:rPr>
                <w:b/>
                <w:bCs/>
                <w:sz w:val="26"/>
                <w:szCs w:val="26"/>
                <w:lang w:val="lv-LV"/>
              </w:rPr>
            </w:pPr>
            <w:r w:rsidRPr="00DC485F">
              <w:rPr>
                <w:b/>
                <w:bCs/>
                <w:sz w:val="26"/>
                <w:szCs w:val="26"/>
                <w:lang w:val="lv-LV"/>
              </w:rPr>
              <w:t>Rādītāji</w:t>
            </w:r>
          </w:p>
        </w:tc>
        <w:tc>
          <w:tcPr>
            <w:tcW w:w="2544" w:type="dxa"/>
            <w:gridSpan w:val="3"/>
            <w:vMerge w:val="restart"/>
            <w:tcBorders>
              <w:top w:val="outset" w:sz="6" w:space="0" w:color="auto"/>
              <w:left w:val="outset" w:sz="6" w:space="0" w:color="auto"/>
              <w:bottom w:val="outset" w:sz="6" w:space="0" w:color="auto"/>
              <w:right w:val="outset" w:sz="6" w:space="0" w:color="auto"/>
            </w:tcBorders>
            <w:vAlign w:val="center"/>
          </w:tcPr>
          <w:p w:rsidR="00CB265E" w:rsidRPr="00DC485F" w:rsidRDefault="002E6D7C" w:rsidP="00DC485F">
            <w:pPr>
              <w:pStyle w:val="NormalWeb"/>
              <w:jc w:val="center"/>
              <w:rPr>
                <w:b/>
                <w:bCs/>
                <w:sz w:val="26"/>
                <w:szCs w:val="26"/>
              </w:rPr>
            </w:pPr>
            <w:r w:rsidRPr="00DC485F">
              <w:rPr>
                <w:b/>
                <w:bCs/>
                <w:sz w:val="26"/>
                <w:szCs w:val="26"/>
              </w:rPr>
              <w:t>2011</w:t>
            </w:r>
            <w:r w:rsidR="00CB265E" w:rsidRPr="00DC485F">
              <w:rPr>
                <w:b/>
                <w:bCs/>
                <w:sz w:val="26"/>
                <w:szCs w:val="26"/>
              </w:rPr>
              <w:t>.gads</w:t>
            </w:r>
          </w:p>
        </w:tc>
        <w:tc>
          <w:tcPr>
            <w:tcW w:w="3884" w:type="dxa"/>
            <w:gridSpan w:val="3"/>
            <w:tcBorders>
              <w:top w:val="outset" w:sz="6" w:space="0" w:color="auto"/>
              <w:left w:val="outset" w:sz="6" w:space="0" w:color="auto"/>
              <w:bottom w:val="outset" w:sz="6" w:space="0" w:color="auto"/>
              <w:right w:val="outset" w:sz="6" w:space="0" w:color="auto"/>
            </w:tcBorders>
            <w:vAlign w:val="center"/>
          </w:tcPr>
          <w:p w:rsidR="00CB265E" w:rsidRPr="00DC485F" w:rsidRDefault="00CB265E" w:rsidP="00DC485F">
            <w:pPr>
              <w:pStyle w:val="NormalWeb"/>
              <w:jc w:val="center"/>
              <w:rPr>
                <w:sz w:val="26"/>
                <w:szCs w:val="26"/>
                <w:lang w:val="lv-LV"/>
              </w:rPr>
            </w:pPr>
            <w:r w:rsidRPr="00DC485F">
              <w:rPr>
                <w:sz w:val="26"/>
                <w:szCs w:val="26"/>
                <w:lang w:val="lv-LV"/>
              </w:rPr>
              <w:t>Turpmākie trīs gadi (tūkst</w:t>
            </w:r>
            <w:smartTag w:uri="schemas-tilde-lv/tildestengine" w:element="currency2">
              <w:smartTagPr>
                <w:attr w:name="currency_text" w:val="latu"/>
                <w:attr w:name="currency_value" w:val="."/>
                <w:attr w:name="currency_key" w:val="LVL"/>
                <w:attr w:name="currency_id" w:val="48"/>
              </w:smartTagPr>
              <w:r w:rsidRPr="00DC485F">
                <w:rPr>
                  <w:sz w:val="26"/>
                  <w:szCs w:val="26"/>
                  <w:lang w:val="lv-LV"/>
                </w:rPr>
                <w:t>. latu</w:t>
              </w:r>
            </w:smartTag>
            <w:r w:rsidRPr="00DC485F">
              <w:rPr>
                <w:sz w:val="26"/>
                <w:szCs w:val="26"/>
                <w:lang w:val="lv-LV"/>
              </w:rPr>
              <w:t>)</w:t>
            </w:r>
          </w:p>
        </w:tc>
      </w:tr>
      <w:tr w:rsidR="00CB265E" w:rsidRPr="00DC485F" w:rsidTr="00DC485F">
        <w:trPr>
          <w:trHeight w:val="71"/>
          <w:tblCellSpacing w:w="15" w:type="dxa"/>
        </w:trPr>
        <w:tc>
          <w:tcPr>
            <w:tcW w:w="1786" w:type="dxa"/>
            <w:gridSpan w:val="2"/>
            <w:vMerge/>
            <w:tcBorders>
              <w:top w:val="outset" w:sz="6" w:space="0" w:color="auto"/>
              <w:left w:val="outset" w:sz="6" w:space="0" w:color="auto"/>
              <w:bottom w:val="outset" w:sz="6" w:space="0" w:color="auto"/>
              <w:right w:val="outset" w:sz="6" w:space="0" w:color="auto"/>
            </w:tcBorders>
            <w:vAlign w:val="center"/>
          </w:tcPr>
          <w:p w:rsidR="00CB265E" w:rsidRPr="00DC485F" w:rsidRDefault="00CB265E" w:rsidP="00DC485F">
            <w:pPr>
              <w:rPr>
                <w:b/>
                <w:bCs/>
                <w:sz w:val="26"/>
                <w:szCs w:val="26"/>
              </w:rPr>
            </w:pPr>
          </w:p>
        </w:tc>
        <w:tc>
          <w:tcPr>
            <w:tcW w:w="2544" w:type="dxa"/>
            <w:gridSpan w:val="3"/>
            <w:vMerge/>
            <w:tcBorders>
              <w:top w:val="outset" w:sz="6" w:space="0" w:color="auto"/>
              <w:left w:val="outset" w:sz="6" w:space="0" w:color="auto"/>
              <w:bottom w:val="outset" w:sz="6" w:space="0" w:color="auto"/>
              <w:right w:val="outset" w:sz="6" w:space="0" w:color="auto"/>
            </w:tcBorders>
            <w:vAlign w:val="center"/>
          </w:tcPr>
          <w:p w:rsidR="00CB265E" w:rsidRPr="00DC485F" w:rsidRDefault="00CB265E" w:rsidP="00DC485F">
            <w:pPr>
              <w:rPr>
                <w:b/>
                <w:bCs/>
                <w:sz w:val="26"/>
                <w:szCs w:val="26"/>
              </w:rPr>
            </w:pPr>
          </w:p>
        </w:tc>
        <w:tc>
          <w:tcPr>
            <w:tcW w:w="1279" w:type="dxa"/>
            <w:tcBorders>
              <w:top w:val="outset" w:sz="6" w:space="0" w:color="auto"/>
              <w:left w:val="outset" w:sz="6" w:space="0" w:color="auto"/>
              <w:bottom w:val="outset" w:sz="6" w:space="0" w:color="auto"/>
              <w:right w:val="outset" w:sz="6" w:space="0" w:color="auto"/>
            </w:tcBorders>
            <w:vAlign w:val="center"/>
          </w:tcPr>
          <w:p w:rsidR="00CB265E" w:rsidRPr="00DC485F" w:rsidRDefault="002E6D7C" w:rsidP="00DC485F">
            <w:pPr>
              <w:pStyle w:val="NormalWeb"/>
              <w:jc w:val="center"/>
              <w:rPr>
                <w:b/>
                <w:bCs/>
                <w:sz w:val="26"/>
                <w:szCs w:val="26"/>
              </w:rPr>
            </w:pPr>
            <w:r w:rsidRPr="00DC485F">
              <w:rPr>
                <w:b/>
                <w:bCs/>
                <w:sz w:val="26"/>
                <w:szCs w:val="26"/>
              </w:rPr>
              <w:t>2012</w:t>
            </w:r>
          </w:p>
        </w:tc>
        <w:tc>
          <w:tcPr>
            <w:tcW w:w="1279" w:type="dxa"/>
            <w:tcBorders>
              <w:top w:val="outset" w:sz="6" w:space="0" w:color="auto"/>
              <w:left w:val="outset" w:sz="6" w:space="0" w:color="auto"/>
              <w:bottom w:val="outset" w:sz="6" w:space="0" w:color="auto"/>
              <w:right w:val="outset" w:sz="6" w:space="0" w:color="auto"/>
            </w:tcBorders>
            <w:vAlign w:val="center"/>
          </w:tcPr>
          <w:p w:rsidR="00CB265E" w:rsidRPr="00DC485F" w:rsidRDefault="002E6D7C" w:rsidP="00DC485F">
            <w:pPr>
              <w:pStyle w:val="NormalWeb"/>
              <w:jc w:val="center"/>
              <w:rPr>
                <w:b/>
                <w:bCs/>
                <w:sz w:val="26"/>
                <w:szCs w:val="26"/>
              </w:rPr>
            </w:pPr>
            <w:r w:rsidRPr="00DC485F">
              <w:rPr>
                <w:b/>
                <w:bCs/>
                <w:sz w:val="26"/>
                <w:szCs w:val="26"/>
              </w:rPr>
              <w:t>2013</w:t>
            </w:r>
          </w:p>
        </w:tc>
        <w:tc>
          <w:tcPr>
            <w:tcW w:w="1266" w:type="dxa"/>
            <w:tcBorders>
              <w:top w:val="outset" w:sz="6" w:space="0" w:color="auto"/>
              <w:left w:val="outset" w:sz="6" w:space="0" w:color="auto"/>
              <w:bottom w:val="outset" w:sz="6" w:space="0" w:color="auto"/>
              <w:right w:val="outset" w:sz="6" w:space="0" w:color="auto"/>
            </w:tcBorders>
            <w:vAlign w:val="center"/>
          </w:tcPr>
          <w:p w:rsidR="00CB265E" w:rsidRPr="00DC485F" w:rsidRDefault="002E6D7C" w:rsidP="00DC485F">
            <w:pPr>
              <w:pStyle w:val="NormalWeb"/>
              <w:jc w:val="center"/>
              <w:rPr>
                <w:b/>
                <w:bCs/>
                <w:sz w:val="26"/>
                <w:szCs w:val="26"/>
              </w:rPr>
            </w:pPr>
            <w:r w:rsidRPr="00DC485F">
              <w:rPr>
                <w:b/>
                <w:bCs/>
                <w:sz w:val="26"/>
                <w:szCs w:val="26"/>
              </w:rPr>
              <w:t>2014</w:t>
            </w:r>
          </w:p>
        </w:tc>
      </w:tr>
      <w:tr w:rsidR="00CB265E" w:rsidRPr="00DC485F" w:rsidTr="00DC485F">
        <w:trPr>
          <w:trHeight w:val="71"/>
          <w:tblCellSpacing w:w="15" w:type="dxa"/>
        </w:trPr>
        <w:tc>
          <w:tcPr>
            <w:tcW w:w="1786" w:type="dxa"/>
            <w:gridSpan w:val="2"/>
            <w:vMerge/>
            <w:tcBorders>
              <w:top w:val="outset" w:sz="6" w:space="0" w:color="auto"/>
              <w:left w:val="outset" w:sz="6" w:space="0" w:color="auto"/>
              <w:bottom w:val="outset" w:sz="6" w:space="0" w:color="auto"/>
              <w:right w:val="outset" w:sz="6" w:space="0" w:color="auto"/>
            </w:tcBorders>
            <w:vAlign w:val="center"/>
          </w:tcPr>
          <w:p w:rsidR="00CB265E" w:rsidRPr="00DC485F" w:rsidRDefault="00CB265E" w:rsidP="00DC485F">
            <w:pPr>
              <w:rPr>
                <w:b/>
                <w:bCs/>
                <w:sz w:val="26"/>
                <w:szCs w:val="26"/>
              </w:rPr>
            </w:pPr>
          </w:p>
        </w:tc>
        <w:tc>
          <w:tcPr>
            <w:tcW w:w="1334" w:type="dxa"/>
            <w:gridSpan w:val="2"/>
            <w:tcBorders>
              <w:top w:val="outset" w:sz="6" w:space="0" w:color="auto"/>
              <w:left w:val="outset" w:sz="6" w:space="0" w:color="auto"/>
              <w:bottom w:val="outset" w:sz="6" w:space="0" w:color="auto"/>
              <w:right w:val="outset" w:sz="6" w:space="0" w:color="auto"/>
            </w:tcBorders>
            <w:vAlign w:val="center"/>
          </w:tcPr>
          <w:p w:rsidR="00CB265E" w:rsidRPr="00DC485F" w:rsidRDefault="00CB265E" w:rsidP="00DC485F">
            <w:pPr>
              <w:pStyle w:val="NormalWeb"/>
              <w:jc w:val="center"/>
              <w:rPr>
                <w:sz w:val="26"/>
                <w:szCs w:val="26"/>
                <w:lang w:val="lv-LV"/>
              </w:rPr>
            </w:pPr>
            <w:r w:rsidRPr="00DC485F">
              <w:rPr>
                <w:sz w:val="26"/>
                <w:szCs w:val="26"/>
                <w:lang w:val="lv-LV"/>
              </w:rPr>
              <w:t>Saskaņā ar valsts budžetu kārtējam gadam</w:t>
            </w:r>
          </w:p>
        </w:tc>
        <w:tc>
          <w:tcPr>
            <w:tcW w:w="1180" w:type="dxa"/>
            <w:tcBorders>
              <w:top w:val="outset" w:sz="6" w:space="0" w:color="auto"/>
              <w:left w:val="outset" w:sz="6" w:space="0" w:color="auto"/>
              <w:bottom w:val="outset" w:sz="6" w:space="0" w:color="auto"/>
              <w:right w:val="outset" w:sz="6" w:space="0" w:color="auto"/>
            </w:tcBorders>
            <w:vAlign w:val="center"/>
          </w:tcPr>
          <w:p w:rsidR="00CB265E" w:rsidRPr="00DC485F" w:rsidRDefault="00CB265E" w:rsidP="00DC485F">
            <w:pPr>
              <w:pStyle w:val="NormalWeb"/>
              <w:jc w:val="center"/>
              <w:rPr>
                <w:sz w:val="26"/>
                <w:szCs w:val="26"/>
                <w:lang w:val="lv-LV"/>
              </w:rPr>
            </w:pPr>
            <w:r w:rsidRPr="00DC485F">
              <w:rPr>
                <w:sz w:val="26"/>
                <w:szCs w:val="26"/>
                <w:lang w:val="lv-LV"/>
              </w:rPr>
              <w:t>Izmaiņas kārtējā gadā, salīdzinot ar budžetu kārtējam gadam</w:t>
            </w:r>
          </w:p>
        </w:tc>
        <w:tc>
          <w:tcPr>
            <w:tcW w:w="1279" w:type="dxa"/>
            <w:tcBorders>
              <w:top w:val="outset" w:sz="6" w:space="0" w:color="auto"/>
              <w:left w:val="outset" w:sz="6" w:space="0" w:color="auto"/>
              <w:bottom w:val="outset" w:sz="6" w:space="0" w:color="auto"/>
              <w:right w:val="outset" w:sz="6" w:space="0" w:color="auto"/>
            </w:tcBorders>
            <w:vAlign w:val="center"/>
          </w:tcPr>
          <w:p w:rsidR="00CB265E" w:rsidRPr="00DC485F" w:rsidRDefault="00CB265E" w:rsidP="00DC485F">
            <w:pPr>
              <w:pStyle w:val="NormalWeb"/>
              <w:jc w:val="center"/>
              <w:rPr>
                <w:sz w:val="26"/>
                <w:szCs w:val="26"/>
                <w:lang w:val="lv-LV"/>
              </w:rPr>
            </w:pPr>
            <w:r w:rsidRPr="00DC485F">
              <w:rPr>
                <w:sz w:val="26"/>
                <w:szCs w:val="26"/>
                <w:lang w:val="lv-LV"/>
              </w:rPr>
              <w:t>Izmai</w:t>
            </w:r>
            <w:r w:rsidR="00B840E6">
              <w:rPr>
                <w:sz w:val="26"/>
                <w:szCs w:val="26"/>
                <w:lang w:val="lv-LV"/>
              </w:rPr>
              <w:t>ņas, salīdzinot ar kārtējo (2011</w:t>
            </w:r>
            <w:r w:rsidRPr="00DC485F">
              <w:rPr>
                <w:sz w:val="26"/>
                <w:szCs w:val="26"/>
                <w:lang w:val="lv-LV"/>
              </w:rPr>
              <w:t>) gadu</w:t>
            </w:r>
          </w:p>
        </w:tc>
        <w:tc>
          <w:tcPr>
            <w:tcW w:w="1279" w:type="dxa"/>
            <w:tcBorders>
              <w:top w:val="outset" w:sz="6" w:space="0" w:color="auto"/>
              <w:left w:val="outset" w:sz="6" w:space="0" w:color="auto"/>
              <w:bottom w:val="outset" w:sz="6" w:space="0" w:color="auto"/>
              <w:right w:val="outset" w:sz="6" w:space="0" w:color="auto"/>
            </w:tcBorders>
            <w:vAlign w:val="center"/>
          </w:tcPr>
          <w:p w:rsidR="00CB265E" w:rsidRPr="00DC485F" w:rsidRDefault="00CB265E" w:rsidP="00DC485F">
            <w:pPr>
              <w:pStyle w:val="NormalWeb"/>
              <w:jc w:val="center"/>
              <w:rPr>
                <w:sz w:val="26"/>
                <w:szCs w:val="26"/>
                <w:lang w:val="lv-LV"/>
              </w:rPr>
            </w:pPr>
            <w:r w:rsidRPr="00DC485F">
              <w:rPr>
                <w:sz w:val="26"/>
                <w:szCs w:val="26"/>
                <w:lang w:val="lv-LV"/>
              </w:rPr>
              <w:t>Izmai</w:t>
            </w:r>
            <w:r w:rsidR="00B840E6">
              <w:rPr>
                <w:sz w:val="26"/>
                <w:szCs w:val="26"/>
                <w:lang w:val="lv-LV"/>
              </w:rPr>
              <w:t>ņas, salīdzinot ar kārtējo (2011</w:t>
            </w:r>
            <w:r w:rsidRPr="00DC485F">
              <w:rPr>
                <w:sz w:val="26"/>
                <w:szCs w:val="26"/>
                <w:lang w:val="lv-LV"/>
              </w:rPr>
              <w:t>) gadu</w:t>
            </w:r>
          </w:p>
        </w:tc>
        <w:tc>
          <w:tcPr>
            <w:tcW w:w="1266" w:type="dxa"/>
            <w:tcBorders>
              <w:top w:val="outset" w:sz="6" w:space="0" w:color="auto"/>
              <w:left w:val="outset" w:sz="6" w:space="0" w:color="auto"/>
              <w:bottom w:val="outset" w:sz="6" w:space="0" w:color="auto"/>
              <w:right w:val="outset" w:sz="6" w:space="0" w:color="auto"/>
            </w:tcBorders>
            <w:vAlign w:val="center"/>
          </w:tcPr>
          <w:p w:rsidR="00CB265E" w:rsidRPr="00DC485F" w:rsidRDefault="00CB265E" w:rsidP="00DC485F">
            <w:pPr>
              <w:pStyle w:val="NormalWeb"/>
              <w:jc w:val="center"/>
              <w:rPr>
                <w:sz w:val="26"/>
                <w:szCs w:val="26"/>
                <w:lang w:val="lv-LV"/>
              </w:rPr>
            </w:pPr>
            <w:r w:rsidRPr="00DC485F">
              <w:rPr>
                <w:sz w:val="26"/>
                <w:szCs w:val="26"/>
                <w:lang w:val="lv-LV"/>
              </w:rPr>
              <w:t>Izmai</w:t>
            </w:r>
            <w:r w:rsidR="00B840E6">
              <w:rPr>
                <w:sz w:val="26"/>
                <w:szCs w:val="26"/>
                <w:lang w:val="lv-LV"/>
              </w:rPr>
              <w:t>ņas, salīdzinot ar kārtējo (2011</w:t>
            </w:r>
            <w:r w:rsidRPr="00DC485F">
              <w:rPr>
                <w:sz w:val="26"/>
                <w:szCs w:val="26"/>
                <w:lang w:val="lv-LV"/>
              </w:rPr>
              <w:t>) gadu</w:t>
            </w:r>
          </w:p>
        </w:tc>
      </w:tr>
      <w:tr w:rsidR="00CB265E" w:rsidRPr="00DC485F"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vAlign w:val="center"/>
          </w:tcPr>
          <w:p w:rsidR="00CB265E" w:rsidRPr="00DC485F" w:rsidRDefault="00CB265E" w:rsidP="00DC485F">
            <w:pPr>
              <w:pStyle w:val="NormalWeb"/>
              <w:jc w:val="center"/>
              <w:rPr>
                <w:sz w:val="26"/>
                <w:szCs w:val="26"/>
              </w:rPr>
            </w:pPr>
            <w:r w:rsidRPr="00DC485F">
              <w:rPr>
                <w:sz w:val="26"/>
                <w:szCs w:val="26"/>
              </w:rPr>
              <w:t>1</w:t>
            </w:r>
          </w:p>
        </w:tc>
        <w:tc>
          <w:tcPr>
            <w:tcW w:w="1334" w:type="dxa"/>
            <w:gridSpan w:val="2"/>
            <w:tcBorders>
              <w:top w:val="outset" w:sz="6" w:space="0" w:color="auto"/>
              <w:left w:val="outset" w:sz="6" w:space="0" w:color="auto"/>
              <w:bottom w:val="outset" w:sz="6" w:space="0" w:color="auto"/>
              <w:right w:val="outset" w:sz="6" w:space="0" w:color="auto"/>
            </w:tcBorders>
            <w:vAlign w:val="center"/>
          </w:tcPr>
          <w:p w:rsidR="00CB265E" w:rsidRPr="00DC485F" w:rsidRDefault="00CB265E" w:rsidP="00DC485F">
            <w:pPr>
              <w:pStyle w:val="NormalWeb"/>
              <w:jc w:val="center"/>
              <w:rPr>
                <w:sz w:val="26"/>
                <w:szCs w:val="26"/>
              </w:rPr>
            </w:pPr>
            <w:r w:rsidRPr="00DC485F">
              <w:rPr>
                <w:sz w:val="26"/>
                <w:szCs w:val="26"/>
              </w:rPr>
              <w:t>2</w:t>
            </w:r>
          </w:p>
        </w:tc>
        <w:tc>
          <w:tcPr>
            <w:tcW w:w="1180" w:type="dxa"/>
            <w:tcBorders>
              <w:top w:val="outset" w:sz="6" w:space="0" w:color="auto"/>
              <w:left w:val="outset" w:sz="6" w:space="0" w:color="auto"/>
              <w:bottom w:val="outset" w:sz="6" w:space="0" w:color="auto"/>
              <w:right w:val="outset" w:sz="6" w:space="0" w:color="auto"/>
            </w:tcBorders>
            <w:vAlign w:val="center"/>
          </w:tcPr>
          <w:p w:rsidR="00CB265E" w:rsidRPr="00DC485F" w:rsidRDefault="00CB265E" w:rsidP="00DC485F">
            <w:pPr>
              <w:pStyle w:val="NormalWeb"/>
              <w:jc w:val="center"/>
              <w:rPr>
                <w:sz w:val="26"/>
                <w:szCs w:val="26"/>
              </w:rPr>
            </w:pPr>
            <w:r w:rsidRPr="00DC485F">
              <w:rPr>
                <w:sz w:val="26"/>
                <w:szCs w:val="26"/>
              </w:rPr>
              <w:t>3</w:t>
            </w:r>
          </w:p>
        </w:tc>
        <w:tc>
          <w:tcPr>
            <w:tcW w:w="1279" w:type="dxa"/>
            <w:tcBorders>
              <w:top w:val="outset" w:sz="6" w:space="0" w:color="auto"/>
              <w:left w:val="outset" w:sz="6" w:space="0" w:color="auto"/>
              <w:bottom w:val="outset" w:sz="6" w:space="0" w:color="auto"/>
              <w:right w:val="outset" w:sz="6" w:space="0" w:color="auto"/>
            </w:tcBorders>
            <w:vAlign w:val="center"/>
          </w:tcPr>
          <w:p w:rsidR="00CB265E" w:rsidRPr="00DC485F" w:rsidRDefault="00CB265E" w:rsidP="00DC485F">
            <w:pPr>
              <w:pStyle w:val="NormalWeb"/>
              <w:jc w:val="center"/>
              <w:rPr>
                <w:sz w:val="26"/>
                <w:szCs w:val="26"/>
              </w:rPr>
            </w:pPr>
            <w:r w:rsidRPr="00DC485F">
              <w:rPr>
                <w:sz w:val="26"/>
                <w:szCs w:val="26"/>
              </w:rPr>
              <w:t>4</w:t>
            </w:r>
          </w:p>
        </w:tc>
        <w:tc>
          <w:tcPr>
            <w:tcW w:w="1279" w:type="dxa"/>
            <w:tcBorders>
              <w:top w:val="outset" w:sz="6" w:space="0" w:color="auto"/>
              <w:left w:val="outset" w:sz="6" w:space="0" w:color="auto"/>
              <w:bottom w:val="outset" w:sz="6" w:space="0" w:color="auto"/>
              <w:right w:val="outset" w:sz="6" w:space="0" w:color="auto"/>
            </w:tcBorders>
            <w:vAlign w:val="center"/>
          </w:tcPr>
          <w:p w:rsidR="00CB265E" w:rsidRPr="00DC485F" w:rsidRDefault="00CB265E" w:rsidP="00DC485F">
            <w:pPr>
              <w:pStyle w:val="NormalWeb"/>
              <w:jc w:val="center"/>
              <w:rPr>
                <w:sz w:val="26"/>
                <w:szCs w:val="26"/>
              </w:rPr>
            </w:pPr>
            <w:r w:rsidRPr="00DC485F">
              <w:rPr>
                <w:sz w:val="26"/>
                <w:szCs w:val="26"/>
              </w:rPr>
              <w:t>5</w:t>
            </w:r>
          </w:p>
        </w:tc>
        <w:tc>
          <w:tcPr>
            <w:tcW w:w="1266" w:type="dxa"/>
            <w:tcBorders>
              <w:top w:val="outset" w:sz="6" w:space="0" w:color="auto"/>
              <w:left w:val="outset" w:sz="6" w:space="0" w:color="auto"/>
              <w:bottom w:val="outset" w:sz="6" w:space="0" w:color="auto"/>
              <w:right w:val="outset" w:sz="6" w:space="0" w:color="auto"/>
            </w:tcBorders>
            <w:vAlign w:val="center"/>
          </w:tcPr>
          <w:p w:rsidR="00CB265E" w:rsidRPr="00DC485F" w:rsidRDefault="00CB265E" w:rsidP="00DC485F">
            <w:pPr>
              <w:pStyle w:val="NormalWeb"/>
              <w:jc w:val="center"/>
              <w:rPr>
                <w:sz w:val="26"/>
                <w:szCs w:val="26"/>
              </w:rPr>
            </w:pPr>
            <w:r w:rsidRPr="00DC485F">
              <w:rPr>
                <w:sz w:val="26"/>
                <w:szCs w:val="26"/>
              </w:rPr>
              <w:t>6</w:t>
            </w:r>
          </w:p>
        </w:tc>
      </w:tr>
      <w:tr w:rsidR="00CC764B" w:rsidRPr="00DC485F"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C764B" w:rsidRPr="00DC485F" w:rsidRDefault="00CC764B" w:rsidP="00DC485F">
            <w:pPr>
              <w:pStyle w:val="NormalWeb"/>
              <w:rPr>
                <w:sz w:val="26"/>
                <w:szCs w:val="26"/>
                <w:lang w:val="lv-LV"/>
              </w:rPr>
            </w:pPr>
            <w:r w:rsidRPr="00DC485F">
              <w:rPr>
                <w:sz w:val="26"/>
                <w:szCs w:val="26"/>
                <w:lang w:val="lv-LV"/>
              </w:rPr>
              <w:t>1. Budžeta ieņēmumi:</w:t>
            </w:r>
          </w:p>
        </w:tc>
        <w:tc>
          <w:tcPr>
            <w:tcW w:w="1334" w:type="dxa"/>
            <w:gridSpan w:val="2"/>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949,2</w:t>
            </w:r>
          </w:p>
        </w:tc>
        <w:tc>
          <w:tcPr>
            <w:tcW w:w="1180"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266"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r>
      <w:tr w:rsidR="00CC764B" w:rsidRPr="00DC485F"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C764B" w:rsidRPr="00DC485F" w:rsidRDefault="00CC764B" w:rsidP="00DC485F">
            <w:pPr>
              <w:pStyle w:val="NormalWeb"/>
              <w:rPr>
                <w:sz w:val="26"/>
                <w:szCs w:val="26"/>
                <w:lang w:val="lv-LV"/>
              </w:rPr>
            </w:pPr>
            <w:r w:rsidRPr="00DC485F">
              <w:rPr>
                <w:sz w:val="26"/>
                <w:szCs w:val="26"/>
                <w:lang w:val="lv-LV"/>
              </w:rPr>
              <w:t xml:space="preserve">1.1. valsts pamatbudžets,  tai skaitā ieņēmumi no maksas pakalpo-jumiem un citi   pašu ieņēmumi        </w:t>
            </w:r>
          </w:p>
        </w:tc>
        <w:tc>
          <w:tcPr>
            <w:tcW w:w="1334" w:type="dxa"/>
            <w:gridSpan w:val="2"/>
            <w:tcBorders>
              <w:top w:val="outset" w:sz="6" w:space="0" w:color="auto"/>
              <w:left w:val="outset" w:sz="6" w:space="0" w:color="auto"/>
              <w:bottom w:val="outset" w:sz="6" w:space="0" w:color="auto"/>
              <w:right w:val="outset" w:sz="6" w:space="0" w:color="auto"/>
            </w:tcBorders>
          </w:tcPr>
          <w:p w:rsidR="00CC764B" w:rsidRDefault="00542E6B" w:rsidP="00F23CA8">
            <w:pPr>
              <w:jc w:val="center"/>
              <w:rPr>
                <w:sz w:val="26"/>
                <w:szCs w:val="26"/>
              </w:rPr>
            </w:pPr>
            <w:r>
              <w:rPr>
                <w:sz w:val="26"/>
                <w:szCs w:val="26"/>
              </w:rPr>
              <w:t>808,1</w:t>
            </w:r>
          </w:p>
          <w:p w:rsidR="00542E6B" w:rsidRDefault="00542E6B" w:rsidP="00F23CA8">
            <w:pPr>
              <w:jc w:val="center"/>
              <w:rPr>
                <w:sz w:val="26"/>
                <w:szCs w:val="26"/>
              </w:rPr>
            </w:pPr>
          </w:p>
          <w:p w:rsidR="00542E6B" w:rsidRDefault="00542E6B" w:rsidP="00F23CA8">
            <w:pPr>
              <w:jc w:val="center"/>
              <w:rPr>
                <w:sz w:val="26"/>
                <w:szCs w:val="26"/>
              </w:rPr>
            </w:pPr>
          </w:p>
          <w:p w:rsidR="00542E6B" w:rsidRDefault="00542E6B" w:rsidP="00F23CA8">
            <w:pPr>
              <w:jc w:val="center"/>
              <w:rPr>
                <w:sz w:val="26"/>
                <w:szCs w:val="26"/>
              </w:rPr>
            </w:pPr>
          </w:p>
          <w:p w:rsidR="00542E6B" w:rsidRDefault="00542E6B" w:rsidP="00F23CA8">
            <w:pPr>
              <w:jc w:val="center"/>
              <w:rPr>
                <w:sz w:val="26"/>
                <w:szCs w:val="26"/>
              </w:rPr>
            </w:pPr>
          </w:p>
          <w:p w:rsidR="00542E6B" w:rsidRDefault="00542E6B" w:rsidP="00F23CA8">
            <w:pPr>
              <w:jc w:val="center"/>
              <w:rPr>
                <w:sz w:val="26"/>
                <w:szCs w:val="26"/>
              </w:rPr>
            </w:pPr>
          </w:p>
          <w:p w:rsidR="00542E6B" w:rsidRPr="00DC485F" w:rsidRDefault="00542E6B" w:rsidP="00F23CA8">
            <w:pPr>
              <w:jc w:val="center"/>
              <w:rPr>
                <w:sz w:val="26"/>
                <w:szCs w:val="26"/>
              </w:rPr>
            </w:pPr>
            <w:r>
              <w:rPr>
                <w:sz w:val="26"/>
                <w:szCs w:val="26"/>
              </w:rPr>
              <w:t>141,1</w:t>
            </w:r>
          </w:p>
        </w:tc>
        <w:tc>
          <w:tcPr>
            <w:tcW w:w="1180" w:type="dxa"/>
            <w:tcBorders>
              <w:top w:val="outset" w:sz="6" w:space="0" w:color="auto"/>
              <w:left w:val="outset" w:sz="6" w:space="0" w:color="auto"/>
              <w:bottom w:val="outset" w:sz="6" w:space="0" w:color="auto"/>
              <w:right w:val="outset" w:sz="6" w:space="0" w:color="auto"/>
            </w:tcBorders>
          </w:tcPr>
          <w:p w:rsidR="00CC764B" w:rsidRDefault="00542E6B" w:rsidP="00F23CA8">
            <w:pPr>
              <w:jc w:val="center"/>
              <w:rPr>
                <w:sz w:val="26"/>
                <w:szCs w:val="26"/>
              </w:rPr>
            </w:pPr>
            <w:r>
              <w:rPr>
                <w:sz w:val="26"/>
                <w:szCs w:val="26"/>
              </w:rPr>
              <w:t>0</w:t>
            </w:r>
          </w:p>
          <w:p w:rsidR="00542E6B" w:rsidRDefault="00542E6B" w:rsidP="00F23CA8">
            <w:pPr>
              <w:jc w:val="center"/>
              <w:rPr>
                <w:sz w:val="26"/>
                <w:szCs w:val="26"/>
              </w:rPr>
            </w:pPr>
          </w:p>
          <w:p w:rsidR="00542E6B" w:rsidRDefault="00542E6B" w:rsidP="00F23CA8">
            <w:pPr>
              <w:jc w:val="center"/>
              <w:rPr>
                <w:sz w:val="26"/>
                <w:szCs w:val="26"/>
              </w:rPr>
            </w:pPr>
          </w:p>
          <w:p w:rsidR="00542E6B" w:rsidRDefault="00542E6B" w:rsidP="00F23CA8">
            <w:pPr>
              <w:jc w:val="center"/>
              <w:rPr>
                <w:sz w:val="26"/>
                <w:szCs w:val="26"/>
              </w:rPr>
            </w:pPr>
          </w:p>
          <w:p w:rsidR="00542E6B" w:rsidRDefault="00542E6B" w:rsidP="00F23CA8">
            <w:pPr>
              <w:jc w:val="center"/>
              <w:rPr>
                <w:sz w:val="26"/>
                <w:szCs w:val="26"/>
              </w:rPr>
            </w:pPr>
          </w:p>
          <w:p w:rsidR="00542E6B" w:rsidRDefault="00542E6B" w:rsidP="00F23CA8">
            <w:pPr>
              <w:jc w:val="center"/>
              <w:rPr>
                <w:sz w:val="26"/>
                <w:szCs w:val="26"/>
              </w:rPr>
            </w:pPr>
          </w:p>
          <w:p w:rsidR="00542E6B" w:rsidRPr="00DC485F" w:rsidRDefault="00542E6B" w:rsidP="00F23CA8">
            <w:pPr>
              <w:jc w:val="center"/>
              <w:rPr>
                <w:sz w:val="26"/>
                <w:szCs w:val="26"/>
              </w:rPr>
            </w:pPr>
            <w:r>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542E6B" w:rsidRDefault="00542E6B" w:rsidP="00542E6B">
            <w:pPr>
              <w:jc w:val="center"/>
              <w:rPr>
                <w:sz w:val="26"/>
                <w:szCs w:val="26"/>
              </w:rPr>
            </w:pPr>
            <w:r>
              <w:rPr>
                <w:sz w:val="26"/>
                <w:szCs w:val="26"/>
              </w:rPr>
              <w:t>0</w:t>
            </w:r>
          </w:p>
          <w:p w:rsidR="00542E6B" w:rsidRDefault="00542E6B" w:rsidP="00542E6B">
            <w:pPr>
              <w:jc w:val="center"/>
              <w:rPr>
                <w:sz w:val="26"/>
                <w:szCs w:val="26"/>
              </w:rPr>
            </w:pPr>
          </w:p>
          <w:p w:rsidR="00542E6B" w:rsidRDefault="00542E6B" w:rsidP="00542E6B">
            <w:pPr>
              <w:jc w:val="center"/>
              <w:rPr>
                <w:sz w:val="26"/>
                <w:szCs w:val="26"/>
              </w:rPr>
            </w:pPr>
          </w:p>
          <w:p w:rsidR="00542E6B" w:rsidRDefault="00542E6B" w:rsidP="00542E6B">
            <w:pPr>
              <w:jc w:val="center"/>
              <w:rPr>
                <w:sz w:val="26"/>
                <w:szCs w:val="26"/>
              </w:rPr>
            </w:pPr>
          </w:p>
          <w:p w:rsidR="00542E6B" w:rsidRDefault="00542E6B" w:rsidP="00542E6B">
            <w:pPr>
              <w:jc w:val="center"/>
              <w:rPr>
                <w:sz w:val="26"/>
                <w:szCs w:val="26"/>
              </w:rPr>
            </w:pPr>
          </w:p>
          <w:p w:rsidR="00542E6B" w:rsidRDefault="00542E6B" w:rsidP="00542E6B">
            <w:pPr>
              <w:jc w:val="center"/>
              <w:rPr>
                <w:sz w:val="26"/>
                <w:szCs w:val="26"/>
              </w:rPr>
            </w:pPr>
          </w:p>
          <w:p w:rsidR="00CC764B" w:rsidRPr="00DC485F" w:rsidRDefault="00542E6B" w:rsidP="00542E6B">
            <w:pPr>
              <w:jc w:val="center"/>
              <w:rPr>
                <w:sz w:val="26"/>
                <w:szCs w:val="26"/>
              </w:rPr>
            </w:pPr>
            <w:r>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542E6B" w:rsidRDefault="00542E6B" w:rsidP="00542E6B">
            <w:pPr>
              <w:jc w:val="center"/>
              <w:rPr>
                <w:sz w:val="26"/>
                <w:szCs w:val="26"/>
              </w:rPr>
            </w:pPr>
            <w:r>
              <w:rPr>
                <w:sz w:val="26"/>
                <w:szCs w:val="26"/>
              </w:rPr>
              <w:t>0</w:t>
            </w:r>
          </w:p>
          <w:p w:rsidR="00542E6B" w:rsidRDefault="00542E6B" w:rsidP="00542E6B">
            <w:pPr>
              <w:jc w:val="center"/>
              <w:rPr>
                <w:sz w:val="26"/>
                <w:szCs w:val="26"/>
              </w:rPr>
            </w:pPr>
          </w:p>
          <w:p w:rsidR="00542E6B" w:rsidRDefault="00542E6B" w:rsidP="00542E6B">
            <w:pPr>
              <w:jc w:val="center"/>
              <w:rPr>
                <w:sz w:val="26"/>
                <w:szCs w:val="26"/>
              </w:rPr>
            </w:pPr>
          </w:p>
          <w:p w:rsidR="00542E6B" w:rsidRDefault="00542E6B" w:rsidP="00542E6B">
            <w:pPr>
              <w:jc w:val="center"/>
              <w:rPr>
                <w:sz w:val="26"/>
                <w:szCs w:val="26"/>
              </w:rPr>
            </w:pPr>
          </w:p>
          <w:p w:rsidR="00542E6B" w:rsidRDefault="00542E6B" w:rsidP="00542E6B">
            <w:pPr>
              <w:jc w:val="center"/>
              <w:rPr>
                <w:sz w:val="26"/>
                <w:szCs w:val="26"/>
              </w:rPr>
            </w:pPr>
          </w:p>
          <w:p w:rsidR="00542E6B" w:rsidRDefault="00542E6B" w:rsidP="00542E6B">
            <w:pPr>
              <w:jc w:val="center"/>
              <w:rPr>
                <w:sz w:val="26"/>
                <w:szCs w:val="26"/>
              </w:rPr>
            </w:pPr>
          </w:p>
          <w:p w:rsidR="00CC764B" w:rsidRPr="00DC485F" w:rsidRDefault="00542E6B" w:rsidP="00542E6B">
            <w:pPr>
              <w:jc w:val="center"/>
              <w:rPr>
                <w:sz w:val="26"/>
                <w:szCs w:val="26"/>
              </w:rPr>
            </w:pPr>
            <w:r>
              <w:rPr>
                <w:sz w:val="26"/>
                <w:szCs w:val="26"/>
              </w:rPr>
              <w:t>0</w:t>
            </w:r>
          </w:p>
        </w:tc>
        <w:tc>
          <w:tcPr>
            <w:tcW w:w="1266" w:type="dxa"/>
            <w:tcBorders>
              <w:top w:val="outset" w:sz="6" w:space="0" w:color="auto"/>
              <w:left w:val="outset" w:sz="6" w:space="0" w:color="auto"/>
              <w:bottom w:val="outset" w:sz="6" w:space="0" w:color="auto"/>
              <w:right w:val="outset" w:sz="6" w:space="0" w:color="auto"/>
            </w:tcBorders>
          </w:tcPr>
          <w:p w:rsidR="00542E6B" w:rsidRDefault="00542E6B" w:rsidP="00542E6B">
            <w:pPr>
              <w:jc w:val="center"/>
              <w:rPr>
                <w:sz w:val="26"/>
                <w:szCs w:val="26"/>
              </w:rPr>
            </w:pPr>
            <w:r>
              <w:rPr>
                <w:sz w:val="26"/>
                <w:szCs w:val="26"/>
              </w:rPr>
              <w:t>0</w:t>
            </w:r>
          </w:p>
          <w:p w:rsidR="00542E6B" w:rsidRDefault="00542E6B" w:rsidP="00542E6B">
            <w:pPr>
              <w:jc w:val="center"/>
              <w:rPr>
                <w:sz w:val="26"/>
                <w:szCs w:val="26"/>
              </w:rPr>
            </w:pPr>
          </w:p>
          <w:p w:rsidR="00542E6B" w:rsidRDefault="00542E6B" w:rsidP="00542E6B">
            <w:pPr>
              <w:jc w:val="center"/>
              <w:rPr>
                <w:sz w:val="26"/>
                <w:szCs w:val="26"/>
              </w:rPr>
            </w:pPr>
          </w:p>
          <w:p w:rsidR="00542E6B" w:rsidRDefault="00542E6B" w:rsidP="00542E6B">
            <w:pPr>
              <w:jc w:val="center"/>
              <w:rPr>
                <w:sz w:val="26"/>
                <w:szCs w:val="26"/>
              </w:rPr>
            </w:pPr>
          </w:p>
          <w:p w:rsidR="00542E6B" w:rsidRDefault="00542E6B" w:rsidP="00542E6B">
            <w:pPr>
              <w:jc w:val="center"/>
              <w:rPr>
                <w:sz w:val="26"/>
                <w:szCs w:val="26"/>
              </w:rPr>
            </w:pPr>
          </w:p>
          <w:p w:rsidR="00542E6B" w:rsidRDefault="00542E6B" w:rsidP="00542E6B">
            <w:pPr>
              <w:jc w:val="center"/>
              <w:rPr>
                <w:sz w:val="26"/>
                <w:szCs w:val="26"/>
              </w:rPr>
            </w:pPr>
          </w:p>
          <w:p w:rsidR="00CC764B" w:rsidRPr="00DC485F" w:rsidRDefault="00542E6B" w:rsidP="00542E6B">
            <w:pPr>
              <w:jc w:val="center"/>
              <w:rPr>
                <w:sz w:val="26"/>
                <w:szCs w:val="26"/>
              </w:rPr>
            </w:pPr>
            <w:r>
              <w:rPr>
                <w:sz w:val="26"/>
                <w:szCs w:val="26"/>
              </w:rPr>
              <w:t>0</w:t>
            </w:r>
          </w:p>
        </w:tc>
      </w:tr>
      <w:tr w:rsidR="00CC764B" w:rsidRPr="00DC485F"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C764B" w:rsidRPr="00DC485F" w:rsidRDefault="00CC764B" w:rsidP="00DC485F">
            <w:pPr>
              <w:pStyle w:val="NormalWeb"/>
              <w:rPr>
                <w:sz w:val="26"/>
                <w:szCs w:val="26"/>
                <w:lang w:val="lv-LV"/>
              </w:rPr>
            </w:pPr>
            <w:r w:rsidRPr="00DC485F">
              <w:rPr>
                <w:sz w:val="26"/>
                <w:szCs w:val="26"/>
                <w:lang w:val="lv-LV"/>
              </w:rPr>
              <w:t>1.2. valsts speciālais budžets</w:t>
            </w:r>
          </w:p>
        </w:tc>
        <w:tc>
          <w:tcPr>
            <w:tcW w:w="1334" w:type="dxa"/>
            <w:gridSpan w:val="2"/>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180"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266"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r>
      <w:tr w:rsidR="00CC764B" w:rsidRPr="00DC485F"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C764B" w:rsidRPr="00DC485F" w:rsidRDefault="00CC764B" w:rsidP="00DC485F">
            <w:pPr>
              <w:pStyle w:val="NormalWeb"/>
              <w:rPr>
                <w:sz w:val="26"/>
                <w:szCs w:val="26"/>
                <w:lang w:val="lv-LV"/>
              </w:rPr>
            </w:pPr>
            <w:r w:rsidRPr="00DC485F">
              <w:rPr>
                <w:sz w:val="26"/>
                <w:szCs w:val="26"/>
                <w:lang w:val="lv-LV"/>
              </w:rPr>
              <w:t>1.3. pašvaldību budžets</w:t>
            </w:r>
          </w:p>
        </w:tc>
        <w:tc>
          <w:tcPr>
            <w:tcW w:w="1334" w:type="dxa"/>
            <w:gridSpan w:val="2"/>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180"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266"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r>
      <w:tr w:rsidR="00CC764B" w:rsidRPr="00DC485F"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C764B" w:rsidRPr="00DC485F" w:rsidRDefault="00CC764B" w:rsidP="00DC485F">
            <w:pPr>
              <w:pStyle w:val="NormalWeb"/>
              <w:rPr>
                <w:sz w:val="26"/>
                <w:szCs w:val="26"/>
                <w:lang w:val="lv-LV"/>
              </w:rPr>
            </w:pPr>
            <w:r w:rsidRPr="00DC485F">
              <w:rPr>
                <w:sz w:val="26"/>
                <w:szCs w:val="26"/>
                <w:lang w:val="lv-LV"/>
              </w:rPr>
              <w:t>2. Budžeta izdevumi:</w:t>
            </w:r>
          </w:p>
        </w:tc>
        <w:tc>
          <w:tcPr>
            <w:tcW w:w="1334" w:type="dxa"/>
            <w:gridSpan w:val="2"/>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949,2</w:t>
            </w:r>
          </w:p>
        </w:tc>
        <w:tc>
          <w:tcPr>
            <w:tcW w:w="1180"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266"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r>
      <w:tr w:rsidR="00CC764B" w:rsidRPr="00DC485F"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C764B" w:rsidRPr="00DC485F" w:rsidRDefault="00CC764B" w:rsidP="00DC485F">
            <w:pPr>
              <w:pStyle w:val="NormalWeb"/>
              <w:rPr>
                <w:sz w:val="26"/>
                <w:szCs w:val="26"/>
                <w:lang w:val="lv-LV"/>
              </w:rPr>
            </w:pPr>
            <w:r w:rsidRPr="00DC485F">
              <w:rPr>
                <w:sz w:val="26"/>
                <w:szCs w:val="26"/>
                <w:lang w:val="lv-LV"/>
              </w:rPr>
              <w:t>2.1. valsts pamatbudžets</w:t>
            </w:r>
          </w:p>
        </w:tc>
        <w:tc>
          <w:tcPr>
            <w:tcW w:w="1334" w:type="dxa"/>
            <w:gridSpan w:val="2"/>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949,2</w:t>
            </w:r>
          </w:p>
        </w:tc>
        <w:tc>
          <w:tcPr>
            <w:tcW w:w="1180"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266"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r>
      <w:tr w:rsidR="00CC764B" w:rsidRPr="00DC485F"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C764B" w:rsidRPr="00DC485F" w:rsidRDefault="00CC764B" w:rsidP="00DC485F">
            <w:pPr>
              <w:pStyle w:val="NormalWeb"/>
              <w:rPr>
                <w:sz w:val="26"/>
                <w:szCs w:val="26"/>
                <w:lang w:val="lv-LV"/>
              </w:rPr>
            </w:pPr>
            <w:r w:rsidRPr="00DC485F">
              <w:rPr>
                <w:sz w:val="26"/>
                <w:szCs w:val="26"/>
                <w:lang w:val="lv-LV"/>
              </w:rPr>
              <w:t>2.2. valsts speciālais budžets</w:t>
            </w:r>
          </w:p>
        </w:tc>
        <w:tc>
          <w:tcPr>
            <w:tcW w:w="1334" w:type="dxa"/>
            <w:gridSpan w:val="2"/>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180"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266"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r>
      <w:tr w:rsidR="00CC764B" w:rsidRPr="00DC485F"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C764B" w:rsidRPr="00DC485F" w:rsidRDefault="00CC764B" w:rsidP="00DC485F">
            <w:pPr>
              <w:pStyle w:val="NormalWeb"/>
              <w:rPr>
                <w:sz w:val="26"/>
                <w:szCs w:val="26"/>
                <w:lang w:val="lv-LV"/>
              </w:rPr>
            </w:pPr>
            <w:r w:rsidRPr="00DC485F">
              <w:rPr>
                <w:sz w:val="26"/>
                <w:szCs w:val="26"/>
                <w:lang w:val="lv-LV"/>
              </w:rPr>
              <w:t>2.3. pašvaldību budžets</w:t>
            </w:r>
          </w:p>
        </w:tc>
        <w:tc>
          <w:tcPr>
            <w:tcW w:w="1334" w:type="dxa"/>
            <w:gridSpan w:val="2"/>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180"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266"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r>
      <w:tr w:rsidR="00CC764B" w:rsidRPr="00DC485F"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C764B" w:rsidRPr="00DC485F" w:rsidRDefault="00CC764B" w:rsidP="00DC485F">
            <w:pPr>
              <w:pStyle w:val="NormalWeb"/>
              <w:rPr>
                <w:sz w:val="26"/>
                <w:szCs w:val="26"/>
                <w:lang w:val="lv-LV"/>
              </w:rPr>
            </w:pPr>
            <w:r w:rsidRPr="00DC485F">
              <w:rPr>
                <w:sz w:val="26"/>
                <w:szCs w:val="26"/>
                <w:lang w:val="lv-LV"/>
              </w:rPr>
              <w:t>3. Finansiālā ietekme:</w:t>
            </w:r>
          </w:p>
        </w:tc>
        <w:tc>
          <w:tcPr>
            <w:tcW w:w="1334" w:type="dxa"/>
            <w:gridSpan w:val="2"/>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180"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266"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r>
      <w:tr w:rsidR="00CC764B" w:rsidRPr="00DC485F"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C764B" w:rsidRPr="00DC485F" w:rsidRDefault="00CC764B" w:rsidP="00DC485F">
            <w:pPr>
              <w:pStyle w:val="NormalWeb"/>
              <w:rPr>
                <w:sz w:val="26"/>
                <w:szCs w:val="26"/>
                <w:lang w:val="lv-LV"/>
              </w:rPr>
            </w:pPr>
            <w:r w:rsidRPr="00DC485F">
              <w:rPr>
                <w:sz w:val="26"/>
                <w:szCs w:val="26"/>
                <w:lang w:val="lv-LV"/>
              </w:rPr>
              <w:t>3.1. valsts pamatbudžets</w:t>
            </w:r>
          </w:p>
        </w:tc>
        <w:tc>
          <w:tcPr>
            <w:tcW w:w="1334" w:type="dxa"/>
            <w:gridSpan w:val="2"/>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180"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266"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r>
      <w:tr w:rsidR="00CC764B" w:rsidRPr="00DC485F"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C764B" w:rsidRPr="00DC485F" w:rsidRDefault="00CC764B" w:rsidP="00DC485F">
            <w:pPr>
              <w:pStyle w:val="NormalWeb"/>
              <w:rPr>
                <w:sz w:val="26"/>
                <w:szCs w:val="26"/>
                <w:lang w:val="lv-LV"/>
              </w:rPr>
            </w:pPr>
            <w:r w:rsidRPr="00DC485F">
              <w:rPr>
                <w:sz w:val="26"/>
                <w:szCs w:val="26"/>
                <w:lang w:val="lv-LV"/>
              </w:rPr>
              <w:t>3.2. speciālais budžets</w:t>
            </w:r>
          </w:p>
        </w:tc>
        <w:tc>
          <w:tcPr>
            <w:tcW w:w="1334" w:type="dxa"/>
            <w:gridSpan w:val="2"/>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180"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266"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r>
      <w:tr w:rsidR="00CC764B" w:rsidRPr="00DC485F"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C764B" w:rsidRPr="00DC485F" w:rsidRDefault="00CC764B" w:rsidP="00DC485F">
            <w:pPr>
              <w:pStyle w:val="NormalWeb"/>
              <w:rPr>
                <w:sz w:val="26"/>
                <w:szCs w:val="26"/>
                <w:lang w:val="lv-LV"/>
              </w:rPr>
            </w:pPr>
            <w:r w:rsidRPr="00DC485F">
              <w:rPr>
                <w:sz w:val="26"/>
                <w:szCs w:val="26"/>
                <w:lang w:val="lv-LV"/>
              </w:rPr>
              <w:t xml:space="preserve">3.3. pašvaldību </w:t>
            </w:r>
            <w:r w:rsidRPr="00DC485F">
              <w:rPr>
                <w:sz w:val="26"/>
                <w:szCs w:val="26"/>
                <w:lang w:val="lv-LV"/>
              </w:rPr>
              <w:lastRenderedPageBreak/>
              <w:t>budžets</w:t>
            </w:r>
          </w:p>
        </w:tc>
        <w:tc>
          <w:tcPr>
            <w:tcW w:w="1334" w:type="dxa"/>
            <w:gridSpan w:val="2"/>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lastRenderedPageBreak/>
              <w:t>0</w:t>
            </w:r>
          </w:p>
        </w:tc>
        <w:tc>
          <w:tcPr>
            <w:tcW w:w="1180"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c>
          <w:tcPr>
            <w:tcW w:w="1266"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jc w:val="center"/>
              <w:rPr>
                <w:sz w:val="26"/>
                <w:szCs w:val="26"/>
              </w:rPr>
            </w:pPr>
            <w:r>
              <w:rPr>
                <w:sz w:val="26"/>
                <w:szCs w:val="26"/>
              </w:rPr>
              <w:t>0</w:t>
            </w:r>
          </w:p>
        </w:tc>
      </w:tr>
      <w:tr w:rsidR="00CC764B" w:rsidRPr="00DC485F" w:rsidTr="00DC485F">
        <w:trPr>
          <w:trHeight w:val="680"/>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C764B" w:rsidRPr="00DC485F" w:rsidRDefault="00CC764B" w:rsidP="00DC485F">
            <w:pPr>
              <w:pStyle w:val="NormalWeb"/>
              <w:rPr>
                <w:sz w:val="26"/>
                <w:szCs w:val="26"/>
                <w:lang w:val="lv-LV"/>
              </w:rPr>
            </w:pPr>
            <w:r w:rsidRPr="00DC485F">
              <w:rPr>
                <w:sz w:val="26"/>
                <w:szCs w:val="26"/>
                <w:lang w:val="lv-LV"/>
              </w:rPr>
              <w:lastRenderedPageBreak/>
              <w:t>4. Finanšu līdzekļi papildu izde</w:t>
            </w:r>
            <w:r w:rsidRPr="00DC485F">
              <w:rPr>
                <w:sz w:val="26"/>
                <w:szCs w:val="26"/>
                <w:lang w:val="lv-LV"/>
              </w:rPr>
              <w:softHyphen/>
              <w:t>vumu finansēšanai (kompensējošu izdevumu samazinājumu norāda ar "+" zīmi)</w:t>
            </w:r>
          </w:p>
        </w:tc>
        <w:tc>
          <w:tcPr>
            <w:tcW w:w="1334" w:type="dxa"/>
            <w:gridSpan w:val="2"/>
            <w:tcBorders>
              <w:top w:val="outset" w:sz="6" w:space="0" w:color="auto"/>
              <w:left w:val="outset" w:sz="6" w:space="0" w:color="auto"/>
              <w:bottom w:val="outset" w:sz="6" w:space="0" w:color="auto"/>
              <w:right w:val="outset" w:sz="6" w:space="0" w:color="auto"/>
            </w:tcBorders>
          </w:tcPr>
          <w:p w:rsidR="00CC764B" w:rsidRPr="00DC485F" w:rsidRDefault="00542E6B" w:rsidP="00F23CA8">
            <w:pPr>
              <w:pStyle w:val="NormalWeb"/>
              <w:jc w:val="center"/>
              <w:rPr>
                <w:sz w:val="26"/>
                <w:szCs w:val="26"/>
              </w:rPr>
            </w:pPr>
            <w:r>
              <w:rPr>
                <w:sz w:val="26"/>
                <w:szCs w:val="26"/>
              </w:rPr>
              <w:t>0</w:t>
            </w:r>
          </w:p>
        </w:tc>
        <w:tc>
          <w:tcPr>
            <w:tcW w:w="1180" w:type="dxa"/>
            <w:tcBorders>
              <w:top w:val="outset" w:sz="6" w:space="0" w:color="auto"/>
              <w:left w:val="outset" w:sz="6" w:space="0" w:color="auto"/>
              <w:right w:val="outset" w:sz="6" w:space="0" w:color="auto"/>
            </w:tcBorders>
          </w:tcPr>
          <w:p w:rsidR="00CC764B" w:rsidRPr="00DC485F" w:rsidRDefault="00542E6B" w:rsidP="00F23CA8">
            <w:pPr>
              <w:rPr>
                <w:sz w:val="26"/>
                <w:szCs w:val="26"/>
              </w:rPr>
            </w:pPr>
            <w:r>
              <w:rPr>
                <w:sz w:val="26"/>
                <w:szCs w:val="26"/>
              </w:rPr>
              <w:t>0</w:t>
            </w:r>
          </w:p>
        </w:tc>
        <w:tc>
          <w:tcPr>
            <w:tcW w:w="1279" w:type="dxa"/>
            <w:tcBorders>
              <w:top w:val="outset" w:sz="6" w:space="0" w:color="auto"/>
              <w:left w:val="outset" w:sz="6" w:space="0" w:color="auto"/>
              <w:right w:val="outset" w:sz="6" w:space="0" w:color="auto"/>
            </w:tcBorders>
          </w:tcPr>
          <w:p w:rsidR="00CC764B" w:rsidRPr="00DC485F" w:rsidRDefault="00542E6B" w:rsidP="00F23CA8">
            <w:pPr>
              <w:rPr>
                <w:sz w:val="26"/>
                <w:szCs w:val="26"/>
              </w:rPr>
            </w:pPr>
            <w:r>
              <w:rPr>
                <w:sz w:val="26"/>
                <w:szCs w:val="26"/>
              </w:rPr>
              <w:t>0</w:t>
            </w:r>
          </w:p>
        </w:tc>
        <w:tc>
          <w:tcPr>
            <w:tcW w:w="1279" w:type="dxa"/>
            <w:tcBorders>
              <w:top w:val="outset" w:sz="6" w:space="0" w:color="auto"/>
              <w:left w:val="outset" w:sz="6" w:space="0" w:color="auto"/>
              <w:right w:val="outset" w:sz="6" w:space="0" w:color="auto"/>
            </w:tcBorders>
          </w:tcPr>
          <w:p w:rsidR="00CC764B" w:rsidRPr="00DC485F" w:rsidRDefault="00542E6B" w:rsidP="00F23CA8">
            <w:pPr>
              <w:rPr>
                <w:sz w:val="26"/>
                <w:szCs w:val="26"/>
              </w:rPr>
            </w:pPr>
            <w:r>
              <w:rPr>
                <w:sz w:val="26"/>
                <w:szCs w:val="26"/>
              </w:rPr>
              <w:t>0</w:t>
            </w:r>
          </w:p>
        </w:tc>
        <w:tc>
          <w:tcPr>
            <w:tcW w:w="1266" w:type="dxa"/>
            <w:tcBorders>
              <w:top w:val="outset" w:sz="6" w:space="0" w:color="auto"/>
              <w:left w:val="outset" w:sz="6" w:space="0" w:color="auto"/>
              <w:right w:val="outset" w:sz="6" w:space="0" w:color="auto"/>
            </w:tcBorders>
          </w:tcPr>
          <w:p w:rsidR="00CC764B" w:rsidRPr="00DC485F" w:rsidRDefault="00542E6B" w:rsidP="00F23CA8">
            <w:pPr>
              <w:rPr>
                <w:sz w:val="26"/>
                <w:szCs w:val="26"/>
              </w:rPr>
            </w:pPr>
            <w:r>
              <w:rPr>
                <w:sz w:val="26"/>
                <w:szCs w:val="26"/>
              </w:rPr>
              <w:t>0</w:t>
            </w:r>
          </w:p>
        </w:tc>
      </w:tr>
      <w:tr w:rsidR="00CC764B" w:rsidRPr="00DC485F"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C764B" w:rsidRPr="00DC485F" w:rsidRDefault="00CC764B" w:rsidP="00DC485F">
            <w:pPr>
              <w:pStyle w:val="NormalWeb"/>
              <w:rPr>
                <w:sz w:val="26"/>
                <w:szCs w:val="26"/>
                <w:lang w:val="lv-LV"/>
              </w:rPr>
            </w:pPr>
            <w:r w:rsidRPr="00DC485F">
              <w:rPr>
                <w:sz w:val="26"/>
                <w:szCs w:val="26"/>
                <w:lang w:val="lv-LV"/>
              </w:rPr>
              <w:t>5. Precizēta finansiālā ietekme:</w:t>
            </w:r>
          </w:p>
        </w:tc>
        <w:tc>
          <w:tcPr>
            <w:tcW w:w="1334" w:type="dxa"/>
            <w:gridSpan w:val="2"/>
            <w:vMerge w:val="restart"/>
            <w:tcBorders>
              <w:top w:val="outset" w:sz="6" w:space="0" w:color="auto"/>
              <w:left w:val="outset" w:sz="6" w:space="0" w:color="auto"/>
              <w:bottom w:val="outset" w:sz="6" w:space="0" w:color="auto"/>
              <w:right w:val="outset" w:sz="6" w:space="0" w:color="auto"/>
            </w:tcBorders>
          </w:tcPr>
          <w:p w:rsidR="00CC764B" w:rsidRPr="00DC485F" w:rsidRDefault="00542E6B" w:rsidP="00F23CA8">
            <w:pPr>
              <w:pStyle w:val="NormalWeb"/>
              <w:jc w:val="center"/>
              <w:rPr>
                <w:sz w:val="26"/>
                <w:szCs w:val="26"/>
              </w:rPr>
            </w:pPr>
            <w:r>
              <w:rPr>
                <w:sz w:val="26"/>
                <w:szCs w:val="26"/>
              </w:rPr>
              <w:t>0</w:t>
            </w:r>
          </w:p>
        </w:tc>
        <w:tc>
          <w:tcPr>
            <w:tcW w:w="1180"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rPr>
                <w:sz w:val="26"/>
                <w:szCs w:val="26"/>
              </w:rPr>
            </w:pPr>
            <w:r>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rPr>
                <w:sz w:val="26"/>
                <w:szCs w:val="26"/>
              </w:rPr>
            </w:pPr>
            <w:r>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rPr>
                <w:sz w:val="26"/>
                <w:szCs w:val="26"/>
              </w:rPr>
            </w:pPr>
            <w:r>
              <w:rPr>
                <w:sz w:val="26"/>
                <w:szCs w:val="26"/>
              </w:rPr>
              <w:t>0</w:t>
            </w:r>
          </w:p>
        </w:tc>
        <w:tc>
          <w:tcPr>
            <w:tcW w:w="1266" w:type="dxa"/>
            <w:tcBorders>
              <w:top w:val="outset" w:sz="6" w:space="0" w:color="auto"/>
              <w:left w:val="outset" w:sz="6" w:space="0" w:color="auto"/>
              <w:bottom w:val="outset" w:sz="6" w:space="0" w:color="auto"/>
              <w:right w:val="outset" w:sz="6" w:space="0" w:color="auto"/>
            </w:tcBorders>
          </w:tcPr>
          <w:p w:rsidR="00CC764B" w:rsidRPr="00DC485F" w:rsidRDefault="00542E6B" w:rsidP="00F23CA8">
            <w:pPr>
              <w:rPr>
                <w:sz w:val="26"/>
                <w:szCs w:val="26"/>
              </w:rPr>
            </w:pPr>
            <w:r>
              <w:rPr>
                <w:sz w:val="26"/>
                <w:szCs w:val="26"/>
              </w:rPr>
              <w:t>0</w:t>
            </w:r>
          </w:p>
        </w:tc>
      </w:tr>
      <w:tr w:rsidR="00CC764B" w:rsidRPr="00DC485F" w:rsidTr="00DC485F">
        <w:trPr>
          <w:trHeight w:val="318"/>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C764B" w:rsidRPr="00DC485F" w:rsidRDefault="00CC764B" w:rsidP="00DC485F">
            <w:pPr>
              <w:pStyle w:val="NormalWeb"/>
              <w:rPr>
                <w:sz w:val="26"/>
                <w:szCs w:val="26"/>
                <w:lang w:val="lv-LV"/>
              </w:rPr>
            </w:pPr>
            <w:r w:rsidRPr="00DC485F">
              <w:rPr>
                <w:sz w:val="26"/>
                <w:szCs w:val="26"/>
                <w:lang w:val="lv-LV"/>
              </w:rPr>
              <w:t>5.1. valsts pamatbudžets</w:t>
            </w:r>
          </w:p>
        </w:tc>
        <w:tc>
          <w:tcPr>
            <w:tcW w:w="1334" w:type="dxa"/>
            <w:gridSpan w:val="2"/>
            <w:vMerge/>
            <w:tcBorders>
              <w:top w:val="outset" w:sz="6" w:space="0" w:color="auto"/>
              <w:left w:val="outset" w:sz="6" w:space="0" w:color="auto"/>
              <w:bottom w:val="outset" w:sz="6" w:space="0" w:color="auto"/>
              <w:right w:val="outset" w:sz="6" w:space="0" w:color="auto"/>
            </w:tcBorders>
            <w:vAlign w:val="center"/>
          </w:tcPr>
          <w:p w:rsidR="00CC764B" w:rsidRPr="00DC485F" w:rsidRDefault="00CC764B" w:rsidP="00DC485F">
            <w:pPr>
              <w:rPr>
                <w:sz w:val="26"/>
                <w:szCs w:val="26"/>
              </w:rPr>
            </w:pPr>
          </w:p>
        </w:tc>
        <w:tc>
          <w:tcPr>
            <w:tcW w:w="1180" w:type="dxa"/>
            <w:tcBorders>
              <w:top w:val="outset" w:sz="6" w:space="0" w:color="auto"/>
              <w:left w:val="outset" w:sz="6" w:space="0" w:color="auto"/>
              <w:bottom w:val="outset" w:sz="6" w:space="0" w:color="auto"/>
              <w:right w:val="outset" w:sz="6" w:space="0" w:color="auto"/>
            </w:tcBorders>
          </w:tcPr>
          <w:p w:rsidR="00CC764B" w:rsidRPr="00DC485F" w:rsidRDefault="00542E6B" w:rsidP="00DC485F">
            <w:pPr>
              <w:rPr>
                <w:sz w:val="26"/>
                <w:szCs w:val="26"/>
              </w:rPr>
            </w:pPr>
            <w:r>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542E6B" w:rsidP="00DC485F">
            <w:pPr>
              <w:rPr>
                <w:sz w:val="26"/>
                <w:szCs w:val="26"/>
              </w:rPr>
            </w:pPr>
            <w:r>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542E6B" w:rsidP="00DC485F">
            <w:pPr>
              <w:rPr>
                <w:sz w:val="26"/>
                <w:szCs w:val="26"/>
              </w:rPr>
            </w:pPr>
            <w:r>
              <w:rPr>
                <w:sz w:val="26"/>
                <w:szCs w:val="26"/>
              </w:rPr>
              <w:t>0</w:t>
            </w:r>
          </w:p>
        </w:tc>
        <w:tc>
          <w:tcPr>
            <w:tcW w:w="1266" w:type="dxa"/>
            <w:tcBorders>
              <w:top w:val="outset" w:sz="6" w:space="0" w:color="auto"/>
              <w:left w:val="outset" w:sz="6" w:space="0" w:color="auto"/>
              <w:bottom w:val="outset" w:sz="6" w:space="0" w:color="auto"/>
              <w:right w:val="outset" w:sz="6" w:space="0" w:color="auto"/>
            </w:tcBorders>
          </w:tcPr>
          <w:p w:rsidR="00CC764B" w:rsidRPr="00DC485F" w:rsidRDefault="00542E6B" w:rsidP="00DC485F">
            <w:pPr>
              <w:rPr>
                <w:sz w:val="26"/>
                <w:szCs w:val="26"/>
              </w:rPr>
            </w:pPr>
            <w:r>
              <w:rPr>
                <w:sz w:val="26"/>
                <w:szCs w:val="26"/>
              </w:rPr>
              <w:t>0</w:t>
            </w:r>
          </w:p>
        </w:tc>
      </w:tr>
      <w:tr w:rsidR="00CC764B" w:rsidRPr="00DC485F" w:rsidTr="00DC485F">
        <w:trPr>
          <w:trHeight w:val="482"/>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C764B" w:rsidRPr="00DC485F" w:rsidRDefault="00CC764B" w:rsidP="00DC485F">
            <w:pPr>
              <w:pStyle w:val="NormalWeb"/>
              <w:rPr>
                <w:sz w:val="26"/>
                <w:szCs w:val="26"/>
                <w:lang w:val="lv-LV"/>
              </w:rPr>
            </w:pPr>
            <w:r w:rsidRPr="00DC485F">
              <w:rPr>
                <w:sz w:val="26"/>
                <w:szCs w:val="26"/>
                <w:lang w:val="lv-LV"/>
              </w:rPr>
              <w:t>5.2. speciālais budžets</w:t>
            </w:r>
          </w:p>
        </w:tc>
        <w:tc>
          <w:tcPr>
            <w:tcW w:w="1334" w:type="dxa"/>
            <w:gridSpan w:val="2"/>
            <w:vMerge/>
            <w:tcBorders>
              <w:top w:val="outset" w:sz="6" w:space="0" w:color="auto"/>
              <w:left w:val="outset" w:sz="6" w:space="0" w:color="auto"/>
              <w:bottom w:val="outset" w:sz="6" w:space="0" w:color="auto"/>
              <w:right w:val="outset" w:sz="6" w:space="0" w:color="auto"/>
            </w:tcBorders>
            <w:vAlign w:val="center"/>
          </w:tcPr>
          <w:p w:rsidR="00CC764B" w:rsidRPr="00DC485F" w:rsidRDefault="00CC764B" w:rsidP="00DC485F">
            <w:pPr>
              <w:rPr>
                <w:sz w:val="26"/>
                <w:szCs w:val="26"/>
              </w:rPr>
            </w:pPr>
          </w:p>
        </w:tc>
        <w:tc>
          <w:tcPr>
            <w:tcW w:w="1180" w:type="dxa"/>
            <w:tcBorders>
              <w:top w:val="outset" w:sz="6" w:space="0" w:color="auto"/>
              <w:left w:val="outset" w:sz="6" w:space="0" w:color="auto"/>
              <w:bottom w:val="outset" w:sz="6" w:space="0" w:color="auto"/>
              <w:right w:val="outset" w:sz="6" w:space="0" w:color="auto"/>
            </w:tcBorders>
          </w:tcPr>
          <w:p w:rsidR="00CC764B" w:rsidRPr="00DC485F" w:rsidRDefault="00542E6B" w:rsidP="00DC485F">
            <w:pPr>
              <w:rPr>
                <w:sz w:val="26"/>
                <w:szCs w:val="26"/>
              </w:rPr>
            </w:pPr>
            <w:r>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542E6B" w:rsidP="00DC485F">
            <w:pPr>
              <w:rPr>
                <w:sz w:val="26"/>
                <w:szCs w:val="26"/>
              </w:rPr>
            </w:pPr>
            <w:r>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542E6B" w:rsidP="00DC485F">
            <w:pPr>
              <w:rPr>
                <w:sz w:val="26"/>
                <w:szCs w:val="26"/>
              </w:rPr>
            </w:pPr>
            <w:r>
              <w:rPr>
                <w:sz w:val="26"/>
                <w:szCs w:val="26"/>
              </w:rPr>
              <w:t>0</w:t>
            </w:r>
          </w:p>
        </w:tc>
        <w:tc>
          <w:tcPr>
            <w:tcW w:w="1266" w:type="dxa"/>
            <w:tcBorders>
              <w:top w:val="outset" w:sz="6" w:space="0" w:color="auto"/>
              <w:left w:val="outset" w:sz="6" w:space="0" w:color="auto"/>
              <w:bottom w:val="outset" w:sz="6" w:space="0" w:color="auto"/>
              <w:right w:val="outset" w:sz="6" w:space="0" w:color="auto"/>
            </w:tcBorders>
          </w:tcPr>
          <w:p w:rsidR="00CC764B" w:rsidRPr="00DC485F" w:rsidRDefault="00542E6B" w:rsidP="00DC485F">
            <w:pPr>
              <w:rPr>
                <w:sz w:val="26"/>
                <w:szCs w:val="26"/>
              </w:rPr>
            </w:pPr>
            <w:r>
              <w:rPr>
                <w:sz w:val="26"/>
                <w:szCs w:val="26"/>
              </w:rPr>
              <w:t>0</w:t>
            </w:r>
          </w:p>
        </w:tc>
      </w:tr>
      <w:tr w:rsidR="00CC764B" w:rsidRPr="00DC485F" w:rsidTr="00DC485F">
        <w:trPr>
          <w:trHeight w:val="388"/>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C764B" w:rsidRPr="00DC485F" w:rsidRDefault="00CC764B" w:rsidP="00DC485F">
            <w:pPr>
              <w:pStyle w:val="NormalWeb"/>
              <w:rPr>
                <w:sz w:val="26"/>
                <w:szCs w:val="26"/>
                <w:lang w:val="lv-LV"/>
              </w:rPr>
            </w:pPr>
            <w:r w:rsidRPr="00DC485F">
              <w:rPr>
                <w:sz w:val="26"/>
                <w:szCs w:val="26"/>
                <w:lang w:val="lv-LV"/>
              </w:rPr>
              <w:t>5.3. pašvaldību budžets</w:t>
            </w:r>
          </w:p>
        </w:tc>
        <w:tc>
          <w:tcPr>
            <w:tcW w:w="1334" w:type="dxa"/>
            <w:gridSpan w:val="2"/>
            <w:vMerge/>
            <w:tcBorders>
              <w:top w:val="outset" w:sz="6" w:space="0" w:color="auto"/>
              <w:left w:val="outset" w:sz="6" w:space="0" w:color="auto"/>
              <w:bottom w:val="outset" w:sz="6" w:space="0" w:color="auto"/>
              <w:right w:val="outset" w:sz="6" w:space="0" w:color="auto"/>
            </w:tcBorders>
            <w:vAlign w:val="center"/>
          </w:tcPr>
          <w:p w:rsidR="00CC764B" w:rsidRPr="00DC485F" w:rsidRDefault="00CC764B" w:rsidP="00DC485F">
            <w:pPr>
              <w:rPr>
                <w:sz w:val="26"/>
                <w:szCs w:val="26"/>
              </w:rPr>
            </w:pPr>
          </w:p>
        </w:tc>
        <w:tc>
          <w:tcPr>
            <w:tcW w:w="1180" w:type="dxa"/>
            <w:tcBorders>
              <w:top w:val="outset" w:sz="6" w:space="0" w:color="auto"/>
              <w:left w:val="outset" w:sz="6" w:space="0" w:color="auto"/>
              <w:bottom w:val="outset" w:sz="6" w:space="0" w:color="auto"/>
              <w:right w:val="outset" w:sz="6" w:space="0" w:color="auto"/>
            </w:tcBorders>
          </w:tcPr>
          <w:p w:rsidR="00CC764B" w:rsidRPr="00DC485F" w:rsidRDefault="00542E6B" w:rsidP="00DC485F">
            <w:pPr>
              <w:rPr>
                <w:sz w:val="26"/>
                <w:szCs w:val="26"/>
              </w:rPr>
            </w:pPr>
            <w:r>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542E6B" w:rsidP="00DC485F">
            <w:pPr>
              <w:rPr>
                <w:sz w:val="26"/>
                <w:szCs w:val="26"/>
              </w:rPr>
            </w:pPr>
            <w:r>
              <w:rPr>
                <w:sz w:val="26"/>
                <w:szCs w:val="26"/>
              </w:rPr>
              <w:t>0</w:t>
            </w:r>
          </w:p>
        </w:tc>
        <w:tc>
          <w:tcPr>
            <w:tcW w:w="1279" w:type="dxa"/>
            <w:tcBorders>
              <w:top w:val="outset" w:sz="6" w:space="0" w:color="auto"/>
              <w:left w:val="outset" w:sz="6" w:space="0" w:color="auto"/>
              <w:bottom w:val="outset" w:sz="6" w:space="0" w:color="auto"/>
              <w:right w:val="outset" w:sz="6" w:space="0" w:color="auto"/>
            </w:tcBorders>
          </w:tcPr>
          <w:p w:rsidR="00CC764B" w:rsidRPr="00DC485F" w:rsidRDefault="00542E6B" w:rsidP="00DC485F">
            <w:pPr>
              <w:rPr>
                <w:sz w:val="26"/>
                <w:szCs w:val="26"/>
              </w:rPr>
            </w:pPr>
            <w:r>
              <w:rPr>
                <w:sz w:val="26"/>
                <w:szCs w:val="26"/>
              </w:rPr>
              <w:t>0</w:t>
            </w:r>
          </w:p>
        </w:tc>
        <w:tc>
          <w:tcPr>
            <w:tcW w:w="1266" w:type="dxa"/>
            <w:tcBorders>
              <w:top w:val="outset" w:sz="6" w:space="0" w:color="auto"/>
              <w:left w:val="outset" w:sz="6" w:space="0" w:color="auto"/>
              <w:bottom w:val="outset" w:sz="6" w:space="0" w:color="auto"/>
              <w:right w:val="outset" w:sz="6" w:space="0" w:color="auto"/>
            </w:tcBorders>
          </w:tcPr>
          <w:p w:rsidR="00CC764B" w:rsidRPr="00DC485F" w:rsidRDefault="00542E6B" w:rsidP="00DC485F">
            <w:pPr>
              <w:rPr>
                <w:sz w:val="26"/>
                <w:szCs w:val="26"/>
              </w:rPr>
            </w:pPr>
            <w:r>
              <w:rPr>
                <w:sz w:val="26"/>
                <w:szCs w:val="26"/>
              </w:rPr>
              <w:t>0</w:t>
            </w:r>
          </w:p>
        </w:tc>
      </w:tr>
      <w:tr w:rsidR="00CB265E" w:rsidRPr="00DC485F" w:rsidTr="00DC485F">
        <w:trPr>
          <w:trHeight w:val="1087"/>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B265E" w:rsidRPr="00DC485F" w:rsidRDefault="00CB265E" w:rsidP="00DC485F">
            <w:pPr>
              <w:pStyle w:val="NormalWeb-"/>
              <w:rPr>
                <w:sz w:val="26"/>
                <w:szCs w:val="26"/>
              </w:rPr>
            </w:pPr>
            <w:r w:rsidRPr="00DC485F">
              <w:rPr>
                <w:sz w:val="26"/>
                <w:szCs w:val="26"/>
              </w:rPr>
              <w:t>6. Detalizēts ieņēmumu un izdevu</w:t>
            </w:r>
            <w:r w:rsidRPr="00DC485F">
              <w:rPr>
                <w:sz w:val="26"/>
                <w:szCs w:val="26"/>
              </w:rPr>
              <w:softHyphen/>
              <w:t xml:space="preserve">mu aprēķins (ja nepieciešams, detalizētu ieņēmumu un izdevumu aprēķinu var pievienot anotācijas pielikumā): </w:t>
            </w:r>
          </w:p>
        </w:tc>
        <w:tc>
          <w:tcPr>
            <w:tcW w:w="6458" w:type="dxa"/>
            <w:gridSpan w:val="6"/>
            <w:vMerge w:val="restart"/>
            <w:tcBorders>
              <w:top w:val="outset" w:sz="6" w:space="0" w:color="auto"/>
              <w:left w:val="outset" w:sz="6" w:space="0" w:color="auto"/>
              <w:bottom w:val="outset" w:sz="6" w:space="0" w:color="auto"/>
              <w:right w:val="outset" w:sz="6" w:space="0" w:color="auto"/>
            </w:tcBorders>
            <w:vAlign w:val="center"/>
          </w:tcPr>
          <w:p w:rsidR="00CB265E" w:rsidRPr="00DC485F" w:rsidRDefault="00542E6B" w:rsidP="00EC2371">
            <w:pPr>
              <w:jc w:val="both"/>
              <w:rPr>
                <w:sz w:val="26"/>
                <w:szCs w:val="26"/>
              </w:rPr>
            </w:pPr>
            <w:r w:rsidRPr="00B15CE4">
              <w:rPr>
                <w:sz w:val="26"/>
                <w:szCs w:val="26"/>
              </w:rPr>
              <w:t xml:space="preserve">Ministrijas budžeta programmā 02.00.00 „Profesionālās izglītības mācību iestādes” </w:t>
            </w:r>
            <w:r w:rsidR="00A64937">
              <w:rPr>
                <w:sz w:val="26"/>
                <w:szCs w:val="26"/>
              </w:rPr>
              <w:t xml:space="preserve">apakšprogrammā 02.01.00. „Profesionālās izglītības programmu īstenošana” </w:t>
            </w:r>
            <w:r w:rsidRPr="00B15CE4">
              <w:rPr>
                <w:sz w:val="26"/>
                <w:szCs w:val="26"/>
              </w:rPr>
              <w:t xml:space="preserve">2011.gada plānoti ieņēmumi un izdevumi </w:t>
            </w:r>
            <w:r w:rsidRPr="00542E6B">
              <w:rPr>
                <w:sz w:val="26"/>
                <w:szCs w:val="26"/>
              </w:rPr>
              <w:t>Valmieras Pārtikas ražotāju vidusskola</w:t>
            </w:r>
            <w:r>
              <w:rPr>
                <w:sz w:val="26"/>
                <w:szCs w:val="26"/>
              </w:rPr>
              <w:t xml:space="preserve"> 424 241  </w:t>
            </w:r>
            <w:r w:rsidRPr="00B15CE4">
              <w:rPr>
                <w:sz w:val="26"/>
                <w:szCs w:val="26"/>
              </w:rPr>
              <w:t xml:space="preserve">Ls, </w:t>
            </w:r>
            <w:r w:rsidRPr="00542E6B">
              <w:rPr>
                <w:sz w:val="26"/>
                <w:szCs w:val="26"/>
              </w:rPr>
              <w:t>Valmieras 36.arodvidusskola</w:t>
            </w:r>
            <w:r>
              <w:rPr>
                <w:sz w:val="26"/>
                <w:szCs w:val="26"/>
              </w:rPr>
              <w:t xml:space="preserve"> 525 004 </w:t>
            </w:r>
            <w:r w:rsidR="00A1104E">
              <w:rPr>
                <w:sz w:val="26"/>
                <w:szCs w:val="26"/>
              </w:rPr>
              <w:t>Ls.</w:t>
            </w:r>
            <w:r w:rsidRPr="00B15CE4">
              <w:rPr>
                <w:sz w:val="26"/>
                <w:szCs w:val="26"/>
              </w:rPr>
              <w:t xml:space="preserve"> Skolu reorganizācija neietekmēs valsts budžetu turpmākajos gados. Valsts finansēto audzēkņu skaits nesamazinās, jo tie turpina izglītības programmu apguvi vidusskolā. Tā kā profesionālās izglītības iestādes tiek finansētas pēc principa „nauda seko izglītojamajam” saskaņā ar </w:t>
            </w:r>
            <w:smartTag w:uri="schemas-tilde-lv/tildestengine" w:element="date">
              <w:smartTagPr>
                <w:attr w:name="Year" w:val="2007"/>
                <w:attr w:name="Month" w:val="10"/>
                <w:attr w:name="Day" w:val="2"/>
              </w:smartTagPr>
              <w:r w:rsidRPr="00B15CE4">
                <w:rPr>
                  <w:sz w:val="26"/>
                  <w:szCs w:val="26"/>
                </w:rPr>
                <w:t>Ministru kabineta 2007.gada 2.oktobra</w:t>
              </w:r>
            </w:smartTag>
            <w:r w:rsidRPr="00B15CE4">
              <w:rPr>
                <w:sz w:val="26"/>
                <w:szCs w:val="26"/>
              </w:rPr>
              <w:t xml:space="preserve"> noteikumiem Nr.655„Noteikumi par profesionālās izglītības programmu īstenošanas izmaksu minimumu uz vienu izglītojamo” (turpmāk – normatīvs), valsts budžeta finansējumu atbilstoši pārņemto audzēkņu skaitam saņems vidusskola. Administratīvā personāla samazinājuma rezultātā ietaupītie līdzekļi programmas 02.00.00 „Profesionālās izglītības </w:t>
            </w:r>
            <w:r w:rsidRPr="00B15CE4">
              <w:rPr>
                <w:sz w:val="26"/>
                <w:szCs w:val="26"/>
              </w:rPr>
              <w:lastRenderedPageBreak/>
              <w:t xml:space="preserve">mācību iestādes” </w:t>
            </w:r>
            <w:r w:rsidR="00A1104E">
              <w:rPr>
                <w:sz w:val="26"/>
                <w:szCs w:val="26"/>
              </w:rPr>
              <w:t xml:space="preserve">apakšprogrammas 02.01.00. „Profesionālās izglītības programmu īstenošana” </w:t>
            </w:r>
            <w:r w:rsidRPr="00B15CE4">
              <w:rPr>
                <w:sz w:val="26"/>
                <w:szCs w:val="26"/>
              </w:rPr>
              <w:t>ietvaros ļaus palielināt profesionālās izglītības iestāžu kapacitāti un tuvināt profesionālās izglītības programmu īstenošanas izmaksas uz vienu izglītojamo normatīvā noteiktajam izmaksu minimumam (201</w:t>
            </w:r>
            <w:r>
              <w:rPr>
                <w:sz w:val="26"/>
                <w:szCs w:val="26"/>
              </w:rPr>
              <w:t>1</w:t>
            </w:r>
            <w:r w:rsidRPr="00B15CE4">
              <w:rPr>
                <w:sz w:val="26"/>
                <w:szCs w:val="26"/>
              </w:rPr>
              <w:t>.gadā izglītības programmu īstenošanas normējamo izmaksu un dienesta viesnīcu uzturēšanas izmaksu minimums nodrošināts 6</w:t>
            </w:r>
            <w:r>
              <w:rPr>
                <w:sz w:val="26"/>
                <w:szCs w:val="26"/>
              </w:rPr>
              <w:t>0</w:t>
            </w:r>
            <w:r w:rsidRPr="00B15CE4">
              <w:rPr>
                <w:sz w:val="26"/>
                <w:szCs w:val="26"/>
              </w:rPr>
              <w:t>,</w:t>
            </w:r>
            <w:r>
              <w:rPr>
                <w:sz w:val="26"/>
                <w:szCs w:val="26"/>
              </w:rPr>
              <w:t>6</w:t>
            </w:r>
            <w:r w:rsidRPr="00B15CE4">
              <w:rPr>
                <w:sz w:val="26"/>
                <w:szCs w:val="26"/>
              </w:rPr>
              <w:t xml:space="preserve"> % apmērā).</w:t>
            </w:r>
          </w:p>
        </w:tc>
      </w:tr>
      <w:tr w:rsidR="00CB265E" w:rsidRPr="00DC485F" w:rsidTr="00DC485F">
        <w:trPr>
          <w:trHeight w:val="1503"/>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B265E" w:rsidRPr="00DC485F" w:rsidRDefault="00CB265E" w:rsidP="00DC485F">
            <w:pPr>
              <w:pStyle w:val="NormalWeb"/>
              <w:rPr>
                <w:sz w:val="26"/>
                <w:szCs w:val="26"/>
                <w:lang w:val="lv-LV"/>
              </w:rPr>
            </w:pPr>
            <w:r w:rsidRPr="00DC485F">
              <w:rPr>
                <w:sz w:val="26"/>
                <w:szCs w:val="26"/>
                <w:lang w:val="lv-LV"/>
              </w:rPr>
              <w:t>6.1. detalizēts ieņēmumu aprēķins</w:t>
            </w:r>
          </w:p>
        </w:tc>
        <w:tc>
          <w:tcPr>
            <w:tcW w:w="6458" w:type="dxa"/>
            <w:gridSpan w:val="6"/>
            <w:vMerge/>
            <w:tcBorders>
              <w:top w:val="outset" w:sz="6" w:space="0" w:color="auto"/>
              <w:left w:val="outset" w:sz="6" w:space="0" w:color="auto"/>
              <w:bottom w:val="outset" w:sz="6" w:space="0" w:color="auto"/>
              <w:right w:val="outset" w:sz="6" w:space="0" w:color="auto"/>
            </w:tcBorders>
            <w:vAlign w:val="center"/>
          </w:tcPr>
          <w:p w:rsidR="00CB265E" w:rsidRPr="00DC485F" w:rsidRDefault="00CB265E" w:rsidP="00DC485F">
            <w:pPr>
              <w:rPr>
                <w:sz w:val="26"/>
                <w:szCs w:val="26"/>
              </w:rPr>
            </w:pPr>
          </w:p>
        </w:tc>
      </w:tr>
      <w:tr w:rsidR="00CB265E" w:rsidRPr="00DC485F" w:rsidTr="00DC485F">
        <w:trPr>
          <w:trHeight w:val="3655"/>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B265E" w:rsidRPr="00DC485F" w:rsidRDefault="00CB265E" w:rsidP="00DC485F">
            <w:pPr>
              <w:pStyle w:val="NormalWeb"/>
              <w:rPr>
                <w:sz w:val="26"/>
                <w:szCs w:val="26"/>
                <w:lang w:val="lv-LV"/>
              </w:rPr>
            </w:pPr>
            <w:r w:rsidRPr="00DC485F">
              <w:rPr>
                <w:sz w:val="26"/>
                <w:szCs w:val="26"/>
                <w:lang w:val="lv-LV"/>
              </w:rPr>
              <w:lastRenderedPageBreak/>
              <w:t>6.2. detalizēts izdevumu aprēķins</w:t>
            </w:r>
          </w:p>
        </w:tc>
        <w:tc>
          <w:tcPr>
            <w:tcW w:w="6458" w:type="dxa"/>
            <w:gridSpan w:val="6"/>
            <w:vMerge/>
            <w:tcBorders>
              <w:top w:val="outset" w:sz="6" w:space="0" w:color="auto"/>
              <w:left w:val="outset" w:sz="6" w:space="0" w:color="auto"/>
              <w:bottom w:val="outset" w:sz="6" w:space="0" w:color="auto"/>
              <w:right w:val="outset" w:sz="6" w:space="0" w:color="auto"/>
            </w:tcBorders>
          </w:tcPr>
          <w:p w:rsidR="00CB265E" w:rsidRPr="00DC485F" w:rsidRDefault="00CB265E" w:rsidP="00DC485F">
            <w:pPr>
              <w:rPr>
                <w:sz w:val="26"/>
                <w:szCs w:val="26"/>
              </w:rPr>
            </w:pPr>
          </w:p>
        </w:tc>
      </w:tr>
      <w:tr w:rsidR="00CB265E" w:rsidRPr="00DC485F" w:rsidTr="00DC485F">
        <w:trPr>
          <w:trHeight w:val="20"/>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B265E" w:rsidRPr="00DC485F" w:rsidRDefault="00CB265E" w:rsidP="00DC485F">
            <w:pPr>
              <w:pStyle w:val="NormalWeb"/>
              <w:rPr>
                <w:sz w:val="26"/>
                <w:szCs w:val="26"/>
                <w:lang w:val="lv-LV"/>
              </w:rPr>
            </w:pPr>
            <w:r w:rsidRPr="00DC485F">
              <w:rPr>
                <w:sz w:val="26"/>
                <w:szCs w:val="26"/>
                <w:lang w:val="lv-LV"/>
              </w:rPr>
              <w:lastRenderedPageBreak/>
              <w:t>7. Cita informācija</w:t>
            </w:r>
          </w:p>
        </w:tc>
        <w:tc>
          <w:tcPr>
            <w:tcW w:w="6458" w:type="dxa"/>
            <w:gridSpan w:val="6"/>
            <w:tcBorders>
              <w:top w:val="outset" w:sz="6" w:space="0" w:color="auto"/>
              <w:left w:val="outset" w:sz="6" w:space="0" w:color="auto"/>
              <w:bottom w:val="outset" w:sz="6" w:space="0" w:color="auto"/>
              <w:right w:val="outset" w:sz="6" w:space="0" w:color="auto"/>
            </w:tcBorders>
          </w:tcPr>
          <w:p w:rsidR="00CB265E" w:rsidRPr="00DC485F" w:rsidRDefault="00CB265E" w:rsidP="00DC485F">
            <w:pPr>
              <w:pStyle w:val="NormalWeb"/>
              <w:rPr>
                <w:sz w:val="26"/>
                <w:szCs w:val="26"/>
                <w:lang w:val="lv-LV"/>
              </w:rPr>
            </w:pPr>
            <w:r w:rsidRPr="00DC485F">
              <w:rPr>
                <w:sz w:val="26"/>
                <w:szCs w:val="26"/>
                <w:lang w:val="lv-LV"/>
              </w:rPr>
              <w:t>Nav</w:t>
            </w:r>
          </w:p>
        </w:tc>
      </w:tr>
      <w:tr w:rsidR="00CB265E" w:rsidRPr="00ED0855" w:rsidTr="00DC485F">
        <w:tblPrEx>
          <w:tblCellSpacing w:w="0" w:type="nil"/>
          <w:tblBorders>
            <w:top w:val="outset" w:sz="6" w:space="0" w:color="000000"/>
            <w:left w:val="outset" w:sz="6" w:space="0" w:color="000000"/>
            <w:bottom w:val="outset" w:sz="6" w:space="0" w:color="000000"/>
            <w:right w:val="outset" w:sz="6" w:space="0" w:color="000000"/>
          </w:tblBorders>
          <w:tblLook w:val="04A0"/>
        </w:tblPrEx>
        <w:trPr>
          <w:gridBefore w:val="1"/>
          <w:wBefore w:w="29" w:type="dxa"/>
        </w:trPr>
        <w:tc>
          <w:tcPr>
            <w:tcW w:w="8215" w:type="dxa"/>
            <w:gridSpan w:val="7"/>
            <w:tcBorders>
              <w:top w:val="single" w:sz="6" w:space="0" w:color="auto"/>
              <w:left w:val="single" w:sz="6" w:space="0" w:color="auto"/>
              <w:bottom w:val="outset" w:sz="6" w:space="0" w:color="000000"/>
              <w:right w:val="single" w:sz="6" w:space="0" w:color="auto"/>
            </w:tcBorders>
            <w:hideMark/>
          </w:tcPr>
          <w:p w:rsidR="00CB265E" w:rsidRPr="00ED0855" w:rsidRDefault="00CB265E" w:rsidP="00DC485F">
            <w:pPr>
              <w:spacing w:before="100" w:beforeAutospacing="1" w:after="100" w:afterAutospacing="1"/>
              <w:jc w:val="center"/>
              <w:rPr>
                <w:b/>
                <w:bCs/>
                <w:sz w:val="26"/>
                <w:szCs w:val="26"/>
              </w:rPr>
            </w:pPr>
            <w:r w:rsidRPr="00ED0855">
              <w:rPr>
                <w:b/>
                <w:bCs/>
                <w:sz w:val="26"/>
                <w:szCs w:val="26"/>
              </w:rPr>
              <w:t>IV. Tiesību akta projekta ietekme uz spēkā esošo tiesību normu sistēmu</w:t>
            </w:r>
          </w:p>
        </w:tc>
      </w:tr>
      <w:tr w:rsidR="00CB265E" w:rsidRPr="00ED0855" w:rsidTr="00DC485F">
        <w:tblPrEx>
          <w:tblCellSpacing w:w="0" w:type="nil"/>
          <w:tblBorders>
            <w:top w:val="outset" w:sz="6" w:space="0" w:color="000000"/>
            <w:left w:val="outset" w:sz="6" w:space="0" w:color="000000"/>
            <w:bottom w:val="outset" w:sz="6" w:space="0" w:color="000000"/>
            <w:right w:val="outset" w:sz="6" w:space="0" w:color="000000"/>
          </w:tblBorders>
          <w:tblLook w:val="04A0"/>
        </w:tblPrEx>
        <w:trPr>
          <w:gridBefore w:val="1"/>
          <w:wBefore w:w="29" w:type="dxa"/>
        </w:trPr>
        <w:tc>
          <w:tcPr>
            <w:tcW w:w="1939" w:type="dxa"/>
            <w:gridSpan w:val="2"/>
            <w:tcBorders>
              <w:top w:val="outset" w:sz="6" w:space="0" w:color="000000"/>
              <w:left w:val="outset" w:sz="6" w:space="0" w:color="000000"/>
              <w:bottom w:val="outset" w:sz="6" w:space="0" w:color="000000"/>
              <w:right w:val="outset" w:sz="6" w:space="0" w:color="000000"/>
            </w:tcBorders>
            <w:hideMark/>
          </w:tcPr>
          <w:p w:rsidR="00CB265E" w:rsidRPr="00ED0855" w:rsidRDefault="00CB265E" w:rsidP="00DC485F">
            <w:pPr>
              <w:spacing w:before="100" w:beforeAutospacing="1" w:after="100" w:afterAutospacing="1"/>
              <w:rPr>
                <w:sz w:val="26"/>
                <w:szCs w:val="26"/>
              </w:rPr>
            </w:pPr>
            <w:r w:rsidRPr="00ED0855">
              <w:rPr>
                <w:sz w:val="26"/>
                <w:szCs w:val="26"/>
              </w:rPr>
              <w:t>Nepieciešamie saistītie tiesību aktu projekti</w:t>
            </w:r>
          </w:p>
        </w:tc>
        <w:tc>
          <w:tcPr>
            <w:tcW w:w="6246" w:type="dxa"/>
            <w:gridSpan w:val="5"/>
            <w:tcBorders>
              <w:top w:val="outset" w:sz="6" w:space="0" w:color="000000"/>
              <w:left w:val="outset" w:sz="6" w:space="0" w:color="000000"/>
              <w:bottom w:val="outset" w:sz="6" w:space="0" w:color="000000"/>
              <w:right w:val="outset" w:sz="6" w:space="0" w:color="000000"/>
            </w:tcBorders>
            <w:hideMark/>
          </w:tcPr>
          <w:p w:rsidR="00CB265E" w:rsidRPr="003F7973" w:rsidRDefault="00CA1894" w:rsidP="00CA1894">
            <w:pPr>
              <w:spacing w:before="100" w:beforeAutospacing="1" w:after="100" w:afterAutospacing="1"/>
              <w:jc w:val="both"/>
              <w:rPr>
                <w:sz w:val="26"/>
                <w:szCs w:val="26"/>
              </w:rPr>
            </w:pPr>
            <w:r w:rsidRPr="00B26264">
              <w:rPr>
                <w:sz w:val="26"/>
                <w:szCs w:val="26"/>
              </w:rPr>
              <w:t>Ministrija</w:t>
            </w:r>
            <w:r w:rsidR="00954F85" w:rsidRPr="00B26264">
              <w:rPr>
                <w:sz w:val="26"/>
                <w:szCs w:val="26"/>
              </w:rPr>
              <w:t xml:space="preserve"> līdz 2011.gada</w:t>
            </w:r>
            <w:r w:rsidR="00224D64" w:rsidRPr="00B26264">
              <w:rPr>
                <w:sz w:val="26"/>
                <w:szCs w:val="26"/>
              </w:rPr>
              <w:t xml:space="preserve"> 1.oktobrim </w:t>
            </w:r>
            <w:r w:rsidRPr="00B26264">
              <w:rPr>
                <w:sz w:val="26"/>
                <w:szCs w:val="26"/>
              </w:rPr>
              <w:t>izdarīs</w:t>
            </w:r>
            <w:r w:rsidR="00CB265E" w:rsidRPr="00B26264">
              <w:rPr>
                <w:sz w:val="26"/>
                <w:szCs w:val="26"/>
              </w:rPr>
              <w:t xml:space="preserve"> grozījumus</w:t>
            </w:r>
            <w:r w:rsidR="00CB265E" w:rsidRPr="003F7973">
              <w:rPr>
                <w:sz w:val="26"/>
                <w:szCs w:val="26"/>
              </w:rPr>
              <w:t xml:space="preserve"> Ministru kabineta 2003.gada 16.septembra noteikumos Nr.528 „Izglītības un zinātnes ministrijas nolikums”</w:t>
            </w:r>
            <w:r w:rsidR="00954F85">
              <w:rPr>
                <w:sz w:val="26"/>
                <w:szCs w:val="26"/>
              </w:rPr>
              <w:t>, precizējot ministrijas padotībā esošo iestāžu sarakstu.</w:t>
            </w:r>
          </w:p>
        </w:tc>
      </w:tr>
      <w:tr w:rsidR="00CB265E" w:rsidRPr="00ED0855" w:rsidTr="00DC485F">
        <w:tblPrEx>
          <w:tblCellSpacing w:w="0" w:type="nil"/>
          <w:tblBorders>
            <w:top w:val="outset" w:sz="6" w:space="0" w:color="000000"/>
            <w:left w:val="outset" w:sz="6" w:space="0" w:color="000000"/>
            <w:bottom w:val="outset" w:sz="6" w:space="0" w:color="000000"/>
            <w:right w:val="outset" w:sz="6" w:space="0" w:color="000000"/>
          </w:tblBorders>
          <w:tblLook w:val="04A0"/>
        </w:tblPrEx>
        <w:trPr>
          <w:gridBefore w:val="1"/>
          <w:wBefore w:w="29" w:type="dxa"/>
        </w:trPr>
        <w:tc>
          <w:tcPr>
            <w:tcW w:w="1939" w:type="dxa"/>
            <w:gridSpan w:val="2"/>
            <w:tcBorders>
              <w:top w:val="outset" w:sz="6" w:space="0" w:color="000000"/>
              <w:left w:val="outset" w:sz="6" w:space="0" w:color="000000"/>
              <w:bottom w:val="outset" w:sz="6" w:space="0" w:color="000000"/>
              <w:right w:val="outset" w:sz="6" w:space="0" w:color="000000"/>
            </w:tcBorders>
            <w:hideMark/>
          </w:tcPr>
          <w:p w:rsidR="00CB265E" w:rsidRPr="00ED0855" w:rsidRDefault="00CB265E" w:rsidP="00DC485F">
            <w:pPr>
              <w:spacing w:before="100" w:beforeAutospacing="1" w:after="100" w:afterAutospacing="1"/>
              <w:rPr>
                <w:sz w:val="26"/>
                <w:szCs w:val="26"/>
              </w:rPr>
            </w:pPr>
            <w:r w:rsidRPr="00ED0855">
              <w:rPr>
                <w:sz w:val="26"/>
                <w:szCs w:val="26"/>
              </w:rPr>
              <w:t>Cita informācija</w:t>
            </w:r>
          </w:p>
        </w:tc>
        <w:tc>
          <w:tcPr>
            <w:tcW w:w="6246" w:type="dxa"/>
            <w:gridSpan w:val="5"/>
            <w:tcBorders>
              <w:top w:val="outset" w:sz="6" w:space="0" w:color="000000"/>
              <w:left w:val="outset" w:sz="6" w:space="0" w:color="000000"/>
              <w:bottom w:val="outset" w:sz="6" w:space="0" w:color="000000"/>
              <w:right w:val="outset" w:sz="6" w:space="0" w:color="000000"/>
            </w:tcBorders>
            <w:hideMark/>
          </w:tcPr>
          <w:p w:rsidR="00CB265E" w:rsidRPr="00ED0855" w:rsidRDefault="00CB265E" w:rsidP="00DC485F">
            <w:pPr>
              <w:spacing w:before="100" w:beforeAutospacing="1" w:after="100" w:afterAutospacing="1"/>
              <w:rPr>
                <w:sz w:val="26"/>
                <w:szCs w:val="26"/>
              </w:rPr>
            </w:pPr>
            <w:r w:rsidRPr="00ED0855">
              <w:rPr>
                <w:sz w:val="26"/>
                <w:szCs w:val="26"/>
              </w:rPr>
              <w:t>Na</w:t>
            </w:r>
            <w:r>
              <w:rPr>
                <w:sz w:val="26"/>
                <w:szCs w:val="26"/>
              </w:rPr>
              <w:t>v</w:t>
            </w:r>
          </w:p>
        </w:tc>
      </w:tr>
    </w:tbl>
    <w:p w:rsidR="00D74334" w:rsidRPr="00647629" w:rsidRDefault="00D74334" w:rsidP="00CB265E">
      <w:pPr>
        <w:spacing w:before="75" w:after="75"/>
        <w:jc w:val="both"/>
      </w:pPr>
    </w:p>
    <w:p w:rsidR="00CB265E" w:rsidRDefault="00CB265E" w:rsidP="00CB265E">
      <w:pPr>
        <w:jc w:val="center"/>
        <w:rPr>
          <w:sz w:val="28"/>
          <w:szCs w:val="28"/>
        </w:rPr>
      </w:pPr>
      <w:r>
        <w:rPr>
          <w:sz w:val="28"/>
          <w:szCs w:val="28"/>
        </w:rPr>
        <w:t>Anotācijas V</w:t>
      </w:r>
      <w:r w:rsidR="00DC485F">
        <w:rPr>
          <w:sz w:val="28"/>
          <w:szCs w:val="28"/>
        </w:rPr>
        <w:t>.</w:t>
      </w:r>
      <w:r>
        <w:rPr>
          <w:sz w:val="28"/>
          <w:szCs w:val="28"/>
        </w:rPr>
        <w:t xml:space="preserve"> </w:t>
      </w:r>
      <w:r w:rsidRPr="00616E6C">
        <w:rPr>
          <w:sz w:val="28"/>
          <w:szCs w:val="28"/>
        </w:rPr>
        <w:t xml:space="preserve"> </w:t>
      </w:r>
      <w:r>
        <w:rPr>
          <w:sz w:val="28"/>
          <w:szCs w:val="28"/>
        </w:rPr>
        <w:t>un VI</w:t>
      </w:r>
      <w:r w:rsidR="00DC485F">
        <w:rPr>
          <w:sz w:val="28"/>
          <w:szCs w:val="28"/>
        </w:rPr>
        <w:t>.</w:t>
      </w:r>
      <w:r>
        <w:rPr>
          <w:sz w:val="28"/>
          <w:szCs w:val="28"/>
        </w:rPr>
        <w:t xml:space="preserve"> </w:t>
      </w:r>
      <w:r w:rsidR="009D2CB8">
        <w:rPr>
          <w:sz w:val="28"/>
          <w:szCs w:val="28"/>
        </w:rPr>
        <w:t>sadaļa – projekts šo jomu neskar</w:t>
      </w:r>
      <w:r w:rsidRPr="00616E6C">
        <w:rPr>
          <w:sz w:val="28"/>
          <w:szCs w:val="28"/>
        </w:rPr>
        <w:t>.</w:t>
      </w:r>
    </w:p>
    <w:p w:rsidR="00CB265E" w:rsidRPr="00616E6C" w:rsidRDefault="00CB265E" w:rsidP="00CB265E">
      <w:pPr>
        <w:jc w:val="center"/>
        <w:rPr>
          <w:sz w:val="28"/>
          <w:szCs w:val="28"/>
        </w:rPr>
      </w:pPr>
    </w:p>
    <w:tbl>
      <w:tblPr>
        <w:tblW w:w="833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5"/>
        <w:gridCol w:w="3217"/>
        <w:gridCol w:w="4644"/>
      </w:tblGrid>
      <w:tr w:rsidR="00CB265E" w:rsidRPr="00DE0D02" w:rsidTr="00DC485F">
        <w:trPr>
          <w:tblCellSpacing w:w="0" w:type="dxa"/>
        </w:trPr>
        <w:tc>
          <w:tcPr>
            <w:tcW w:w="8336" w:type="dxa"/>
            <w:gridSpan w:val="3"/>
            <w:tcBorders>
              <w:top w:val="outset" w:sz="6" w:space="0" w:color="auto"/>
              <w:left w:val="outset" w:sz="6" w:space="0" w:color="auto"/>
              <w:bottom w:val="outset" w:sz="6" w:space="0" w:color="auto"/>
              <w:right w:val="outset" w:sz="6" w:space="0" w:color="auto"/>
            </w:tcBorders>
          </w:tcPr>
          <w:p w:rsidR="00CB265E" w:rsidRPr="00616E6C" w:rsidRDefault="00CB265E" w:rsidP="00DC485F">
            <w:pPr>
              <w:spacing w:before="75" w:after="75"/>
              <w:jc w:val="center"/>
              <w:rPr>
                <w:sz w:val="28"/>
                <w:szCs w:val="28"/>
              </w:rPr>
            </w:pPr>
            <w:r w:rsidRPr="00616E6C">
              <w:rPr>
                <w:b/>
                <w:bCs/>
                <w:sz w:val="28"/>
                <w:szCs w:val="28"/>
              </w:rPr>
              <w:t>VII. Tiesību akta projekta izpildes nodrošināšana un tās ietekme uz institūcijām</w:t>
            </w:r>
          </w:p>
        </w:tc>
      </w:tr>
      <w:tr w:rsidR="00CB265E" w:rsidRPr="00DC485F" w:rsidTr="00DC485F">
        <w:trPr>
          <w:trHeight w:val="427"/>
          <w:tblCellSpacing w:w="0" w:type="dxa"/>
        </w:trPr>
        <w:tc>
          <w:tcPr>
            <w:tcW w:w="475"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 1.</w:t>
            </w:r>
          </w:p>
        </w:tc>
        <w:tc>
          <w:tcPr>
            <w:tcW w:w="3217"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Projekta izpildē iesaistītās institūcijas</w:t>
            </w:r>
          </w:p>
        </w:tc>
        <w:tc>
          <w:tcPr>
            <w:tcW w:w="4644"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 Rīkojuma projekta izpildi nodrošinās  mi</w:t>
            </w:r>
            <w:r w:rsidR="00224D64" w:rsidRPr="00DC485F">
              <w:rPr>
                <w:sz w:val="26"/>
                <w:szCs w:val="26"/>
              </w:rPr>
              <w:t>nistrija un skolas</w:t>
            </w:r>
            <w:r w:rsidRPr="00DC485F">
              <w:rPr>
                <w:sz w:val="26"/>
                <w:szCs w:val="26"/>
              </w:rPr>
              <w:t>.</w:t>
            </w:r>
          </w:p>
        </w:tc>
      </w:tr>
      <w:tr w:rsidR="00CB265E" w:rsidRPr="00DC485F" w:rsidTr="00DC485F">
        <w:trPr>
          <w:trHeight w:val="463"/>
          <w:tblCellSpacing w:w="0" w:type="dxa"/>
        </w:trPr>
        <w:tc>
          <w:tcPr>
            <w:tcW w:w="475"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 2.</w:t>
            </w:r>
          </w:p>
        </w:tc>
        <w:tc>
          <w:tcPr>
            <w:tcW w:w="3217"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Projekta izpildes ietekme uz pārvaldes funkcijām</w:t>
            </w:r>
          </w:p>
        </w:tc>
        <w:tc>
          <w:tcPr>
            <w:tcW w:w="4644"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 xml:space="preserve"> Rīkojuma projekts nepaplašina un nesašaurina ministrijas funkcijas, jo saskaņā ar Izglītības likuma 15.panta 1.punktu, ministrija īsteno vienotu valsts politiku un attīstības stratēģiju izglītībā. </w:t>
            </w:r>
          </w:p>
        </w:tc>
      </w:tr>
      <w:tr w:rsidR="00CB265E" w:rsidRPr="00DC485F" w:rsidTr="00DC485F">
        <w:trPr>
          <w:trHeight w:val="620"/>
          <w:tblCellSpacing w:w="0" w:type="dxa"/>
        </w:trPr>
        <w:tc>
          <w:tcPr>
            <w:tcW w:w="475"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 3.</w:t>
            </w:r>
          </w:p>
        </w:tc>
        <w:tc>
          <w:tcPr>
            <w:tcW w:w="3217"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jc w:val="both"/>
              <w:rPr>
                <w:sz w:val="26"/>
                <w:szCs w:val="26"/>
              </w:rPr>
            </w:pPr>
            <w:r w:rsidRPr="00DC485F">
              <w:rPr>
                <w:sz w:val="26"/>
                <w:szCs w:val="26"/>
              </w:rPr>
              <w:t>Projekta izpildes ietekme uz pārvaldes institucionālo struktūru</w:t>
            </w:r>
          </w:p>
          <w:p w:rsidR="00CB265E" w:rsidRPr="00DC485F" w:rsidRDefault="00CB265E" w:rsidP="00DC485F">
            <w:pPr>
              <w:jc w:val="both"/>
              <w:rPr>
                <w:sz w:val="26"/>
                <w:szCs w:val="26"/>
              </w:rPr>
            </w:pPr>
            <w:r w:rsidRPr="00DC485F">
              <w:rPr>
                <w:sz w:val="26"/>
                <w:szCs w:val="26"/>
              </w:rPr>
              <w:t>Jaunu institūciju izveide.</w:t>
            </w:r>
          </w:p>
        </w:tc>
        <w:tc>
          <w:tcPr>
            <w:tcW w:w="4644"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 Jaunu institūciju izveide nav nepieciešama.</w:t>
            </w:r>
          </w:p>
        </w:tc>
      </w:tr>
      <w:tr w:rsidR="00CB265E" w:rsidRPr="00DC485F" w:rsidTr="00DC485F">
        <w:trPr>
          <w:trHeight w:val="678"/>
          <w:tblCellSpacing w:w="0" w:type="dxa"/>
        </w:trPr>
        <w:tc>
          <w:tcPr>
            <w:tcW w:w="475"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 4.</w:t>
            </w:r>
          </w:p>
        </w:tc>
        <w:tc>
          <w:tcPr>
            <w:tcW w:w="3217"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jc w:val="both"/>
              <w:rPr>
                <w:sz w:val="26"/>
                <w:szCs w:val="26"/>
              </w:rPr>
            </w:pPr>
            <w:r w:rsidRPr="00DC485F">
              <w:rPr>
                <w:sz w:val="26"/>
                <w:szCs w:val="26"/>
              </w:rPr>
              <w:t>Projekta izpildes ietekme uz pārvaldes institucionālo struktūru.</w:t>
            </w:r>
          </w:p>
          <w:p w:rsidR="00CB265E" w:rsidRPr="00DC485F" w:rsidRDefault="00CB265E" w:rsidP="00DC485F">
            <w:pPr>
              <w:jc w:val="both"/>
              <w:rPr>
                <w:sz w:val="26"/>
                <w:szCs w:val="26"/>
              </w:rPr>
            </w:pPr>
            <w:r w:rsidRPr="00DC485F">
              <w:rPr>
                <w:sz w:val="26"/>
                <w:szCs w:val="26"/>
              </w:rPr>
              <w:t>Esošu institūciju likvidācija</w:t>
            </w:r>
          </w:p>
        </w:tc>
        <w:tc>
          <w:tcPr>
            <w:tcW w:w="4644" w:type="dxa"/>
            <w:tcBorders>
              <w:top w:val="outset" w:sz="6" w:space="0" w:color="auto"/>
              <w:left w:val="outset" w:sz="6" w:space="0" w:color="auto"/>
              <w:bottom w:val="outset" w:sz="6" w:space="0" w:color="auto"/>
              <w:right w:val="outset" w:sz="6" w:space="0" w:color="auto"/>
            </w:tcBorders>
          </w:tcPr>
          <w:p w:rsidR="00CB265E" w:rsidRPr="00DC485F" w:rsidRDefault="00CB265E" w:rsidP="00EC2371">
            <w:pPr>
              <w:spacing w:before="75" w:after="75"/>
              <w:jc w:val="both"/>
              <w:rPr>
                <w:sz w:val="26"/>
                <w:szCs w:val="26"/>
              </w:rPr>
            </w:pPr>
            <w:r w:rsidRPr="00DC485F">
              <w:rPr>
                <w:sz w:val="26"/>
                <w:szCs w:val="26"/>
              </w:rPr>
              <w:t> </w:t>
            </w:r>
            <w:r w:rsidR="005D7006">
              <w:rPr>
                <w:sz w:val="26"/>
                <w:szCs w:val="26"/>
              </w:rPr>
              <w:t>Ir paredzēta divu</w:t>
            </w:r>
            <w:r w:rsidR="00F071F3" w:rsidRPr="00DC485F">
              <w:rPr>
                <w:sz w:val="26"/>
                <w:szCs w:val="26"/>
              </w:rPr>
              <w:t xml:space="preserve"> skolu</w:t>
            </w:r>
            <w:r w:rsidRPr="00DC485F">
              <w:rPr>
                <w:sz w:val="26"/>
                <w:szCs w:val="26"/>
              </w:rPr>
              <w:t xml:space="preserve"> reorganizācija, </w:t>
            </w:r>
            <w:r w:rsidR="001B740C">
              <w:rPr>
                <w:sz w:val="26"/>
                <w:szCs w:val="26"/>
              </w:rPr>
              <w:t>apvienojot vienā</w:t>
            </w:r>
            <w:r w:rsidR="00F071F3" w:rsidRPr="00DC485F">
              <w:rPr>
                <w:sz w:val="26"/>
                <w:szCs w:val="26"/>
              </w:rPr>
              <w:t xml:space="preserve"> –</w:t>
            </w:r>
            <w:r w:rsidR="00CD28B5">
              <w:rPr>
                <w:sz w:val="26"/>
                <w:szCs w:val="26"/>
              </w:rPr>
              <w:t xml:space="preserve"> vidusskolā. </w:t>
            </w:r>
          </w:p>
        </w:tc>
      </w:tr>
      <w:tr w:rsidR="00CB265E" w:rsidRPr="00DC485F" w:rsidTr="00DC485F">
        <w:trPr>
          <w:trHeight w:val="703"/>
          <w:tblCellSpacing w:w="0" w:type="dxa"/>
        </w:trPr>
        <w:tc>
          <w:tcPr>
            <w:tcW w:w="475"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lastRenderedPageBreak/>
              <w:t> 5.</w:t>
            </w:r>
          </w:p>
        </w:tc>
        <w:tc>
          <w:tcPr>
            <w:tcW w:w="3217"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jc w:val="both"/>
              <w:rPr>
                <w:sz w:val="26"/>
                <w:szCs w:val="26"/>
              </w:rPr>
            </w:pPr>
            <w:r w:rsidRPr="00DC485F">
              <w:rPr>
                <w:sz w:val="26"/>
                <w:szCs w:val="26"/>
              </w:rPr>
              <w:t>Projekta izpildes ietekme uz pārvaldes institucionālo struktūru.</w:t>
            </w:r>
          </w:p>
          <w:p w:rsidR="00CB265E" w:rsidRPr="00DC485F" w:rsidRDefault="00CB265E" w:rsidP="00DC485F">
            <w:pPr>
              <w:jc w:val="both"/>
              <w:rPr>
                <w:sz w:val="26"/>
                <w:szCs w:val="26"/>
              </w:rPr>
            </w:pPr>
            <w:r w:rsidRPr="00DC485F">
              <w:rPr>
                <w:sz w:val="26"/>
                <w:szCs w:val="26"/>
              </w:rPr>
              <w:t>Esošu institūciju reorganizācija</w:t>
            </w:r>
          </w:p>
        </w:tc>
        <w:tc>
          <w:tcPr>
            <w:tcW w:w="4644"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 xml:space="preserve"> Profesionālās izglītības iestāžu optimizācijas rezultātā tiks </w:t>
            </w:r>
            <w:r w:rsidR="002C68FE">
              <w:rPr>
                <w:sz w:val="26"/>
                <w:szCs w:val="26"/>
              </w:rPr>
              <w:t>turpināta uzsāktā</w:t>
            </w:r>
            <w:r w:rsidRPr="00DC485F">
              <w:rPr>
                <w:sz w:val="26"/>
                <w:szCs w:val="26"/>
              </w:rPr>
              <w:t xml:space="preserve">  vienotas infrastruktūras izveide  profesionālās izglītības nodrošināšanai</w:t>
            </w:r>
            <w:r w:rsidR="005D7006">
              <w:rPr>
                <w:sz w:val="26"/>
                <w:szCs w:val="26"/>
              </w:rPr>
              <w:t xml:space="preserve"> Vidzemes</w:t>
            </w:r>
            <w:r w:rsidR="002828D1" w:rsidRPr="00DC485F">
              <w:rPr>
                <w:sz w:val="26"/>
                <w:szCs w:val="26"/>
              </w:rPr>
              <w:t xml:space="preserve"> reģionā</w:t>
            </w:r>
            <w:r w:rsidRPr="00DC485F">
              <w:rPr>
                <w:sz w:val="26"/>
                <w:szCs w:val="26"/>
              </w:rPr>
              <w:t>.</w:t>
            </w:r>
          </w:p>
        </w:tc>
      </w:tr>
      <w:tr w:rsidR="00CB265E" w:rsidRPr="00DC485F" w:rsidTr="00DC485F">
        <w:trPr>
          <w:trHeight w:val="476"/>
          <w:tblCellSpacing w:w="0" w:type="dxa"/>
        </w:trPr>
        <w:tc>
          <w:tcPr>
            <w:tcW w:w="475"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 6.</w:t>
            </w:r>
          </w:p>
        </w:tc>
        <w:tc>
          <w:tcPr>
            <w:tcW w:w="3217" w:type="dxa"/>
            <w:tcBorders>
              <w:top w:val="outset" w:sz="6" w:space="0" w:color="auto"/>
              <w:left w:val="outset" w:sz="6" w:space="0" w:color="auto"/>
              <w:bottom w:val="outset" w:sz="6" w:space="0" w:color="auto"/>
              <w:right w:val="outset" w:sz="6" w:space="0" w:color="auto"/>
            </w:tcBorders>
          </w:tcPr>
          <w:p w:rsidR="00CB265E" w:rsidRPr="00DC485F" w:rsidRDefault="00CB265E" w:rsidP="00DC485F">
            <w:pPr>
              <w:spacing w:before="75" w:after="75"/>
              <w:jc w:val="both"/>
              <w:rPr>
                <w:sz w:val="26"/>
                <w:szCs w:val="26"/>
              </w:rPr>
            </w:pPr>
            <w:r w:rsidRPr="00DC485F">
              <w:rPr>
                <w:sz w:val="26"/>
                <w:szCs w:val="26"/>
              </w:rPr>
              <w:t>Cita informācija</w:t>
            </w:r>
          </w:p>
        </w:tc>
        <w:tc>
          <w:tcPr>
            <w:tcW w:w="4644" w:type="dxa"/>
            <w:tcBorders>
              <w:top w:val="outset" w:sz="6" w:space="0" w:color="auto"/>
              <w:left w:val="outset" w:sz="6" w:space="0" w:color="auto"/>
              <w:bottom w:val="outset" w:sz="6" w:space="0" w:color="auto"/>
              <w:right w:val="outset" w:sz="6" w:space="0" w:color="auto"/>
            </w:tcBorders>
          </w:tcPr>
          <w:p w:rsidR="00CB265E" w:rsidRPr="00DC485F" w:rsidRDefault="00BF0BE6" w:rsidP="00961794">
            <w:pPr>
              <w:jc w:val="both"/>
              <w:rPr>
                <w:sz w:val="26"/>
                <w:szCs w:val="26"/>
              </w:rPr>
            </w:pPr>
            <w:r>
              <w:rPr>
                <w:sz w:val="26"/>
                <w:szCs w:val="26"/>
              </w:rPr>
              <w:t>Nav</w:t>
            </w:r>
          </w:p>
        </w:tc>
      </w:tr>
    </w:tbl>
    <w:p w:rsidR="00CB265E" w:rsidRPr="00DE0D02" w:rsidRDefault="00CB265E" w:rsidP="00CB265E">
      <w:pPr>
        <w:spacing w:before="75" w:after="75"/>
        <w:ind w:firstLine="375"/>
        <w:jc w:val="both"/>
      </w:pPr>
      <w:r w:rsidRPr="00DE0D02">
        <w:t>  </w:t>
      </w:r>
    </w:p>
    <w:p w:rsidR="00CB265E" w:rsidRDefault="00CB265E" w:rsidP="00CB265E">
      <w:pPr>
        <w:jc w:val="both"/>
      </w:pPr>
    </w:p>
    <w:p w:rsidR="00CB265E" w:rsidRDefault="00CB265E" w:rsidP="00CB265E">
      <w:pPr>
        <w:jc w:val="both"/>
      </w:pPr>
    </w:p>
    <w:p w:rsidR="00CB265E" w:rsidRPr="00DC485F" w:rsidRDefault="00961794" w:rsidP="00961794">
      <w:pPr>
        <w:jc w:val="both"/>
        <w:rPr>
          <w:sz w:val="26"/>
          <w:szCs w:val="26"/>
        </w:rPr>
      </w:pPr>
      <w:r w:rsidRPr="00DC485F">
        <w:rPr>
          <w:sz w:val="26"/>
          <w:szCs w:val="26"/>
        </w:rPr>
        <w:t>Izglītības un zinātnes ministr</w:t>
      </w:r>
      <w:r w:rsidR="00CB265E" w:rsidRPr="00DC485F">
        <w:rPr>
          <w:sz w:val="26"/>
          <w:szCs w:val="26"/>
        </w:rPr>
        <w:t xml:space="preserve">s </w:t>
      </w:r>
      <w:r w:rsidRPr="00DC485F">
        <w:rPr>
          <w:sz w:val="26"/>
          <w:szCs w:val="26"/>
        </w:rPr>
        <w:t xml:space="preserve">                                             </w:t>
      </w:r>
      <w:proofErr w:type="spellStart"/>
      <w:r w:rsidRPr="00DC485F">
        <w:rPr>
          <w:sz w:val="26"/>
          <w:szCs w:val="26"/>
        </w:rPr>
        <w:t>R.Broks</w:t>
      </w:r>
      <w:proofErr w:type="spellEnd"/>
    </w:p>
    <w:p w:rsidR="00CB265E" w:rsidRPr="00DC485F" w:rsidRDefault="00CB265E" w:rsidP="00CB265E">
      <w:pPr>
        <w:jc w:val="both"/>
        <w:rPr>
          <w:sz w:val="26"/>
          <w:szCs w:val="26"/>
        </w:rPr>
      </w:pPr>
    </w:p>
    <w:p w:rsidR="00CB265E" w:rsidRPr="00DC485F" w:rsidRDefault="00CB265E" w:rsidP="00CB265E">
      <w:pPr>
        <w:jc w:val="both"/>
        <w:rPr>
          <w:sz w:val="26"/>
          <w:szCs w:val="26"/>
        </w:rPr>
      </w:pPr>
    </w:p>
    <w:p w:rsidR="00CB265E" w:rsidRPr="00DC485F" w:rsidRDefault="00CB265E" w:rsidP="00CB265E">
      <w:pPr>
        <w:jc w:val="both"/>
        <w:rPr>
          <w:sz w:val="26"/>
          <w:szCs w:val="26"/>
        </w:rPr>
      </w:pPr>
      <w:r w:rsidRPr="00DC485F">
        <w:rPr>
          <w:sz w:val="26"/>
          <w:szCs w:val="26"/>
        </w:rPr>
        <w:t xml:space="preserve">Vīza: </w:t>
      </w:r>
    </w:p>
    <w:p w:rsidR="00CB7F11" w:rsidRDefault="00CB7F11" w:rsidP="00961794">
      <w:pPr>
        <w:jc w:val="both"/>
        <w:rPr>
          <w:color w:val="000000"/>
          <w:sz w:val="26"/>
          <w:szCs w:val="26"/>
        </w:rPr>
      </w:pPr>
      <w:r>
        <w:rPr>
          <w:color w:val="000000"/>
          <w:sz w:val="26"/>
          <w:szCs w:val="26"/>
        </w:rPr>
        <w:t>Valsts sekretāra vietniece</w:t>
      </w:r>
    </w:p>
    <w:p w:rsidR="00CB7F11" w:rsidRDefault="00CB7F11" w:rsidP="00961794">
      <w:pPr>
        <w:jc w:val="both"/>
        <w:rPr>
          <w:color w:val="000000"/>
          <w:sz w:val="26"/>
          <w:szCs w:val="26"/>
        </w:rPr>
      </w:pPr>
      <w:r>
        <w:rPr>
          <w:color w:val="000000"/>
          <w:sz w:val="26"/>
          <w:szCs w:val="26"/>
        </w:rPr>
        <w:t>struktūrfondu jautājumos,</w:t>
      </w:r>
    </w:p>
    <w:p w:rsidR="00CB265E" w:rsidRPr="00DC485F" w:rsidRDefault="00CB7F11" w:rsidP="00961794">
      <w:pPr>
        <w:jc w:val="both"/>
        <w:rPr>
          <w:sz w:val="26"/>
          <w:szCs w:val="26"/>
        </w:rPr>
      </w:pPr>
      <w:r>
        <w:rPr>
          <w:color w:val="000000"/>
          <w:sz w:val="26"/>
          <w:szCs w:val="26"/>
        </w:rPr>
        <w:t>valsts sekretāra pienākumu izpildītāja                                  L.Sīka</w:t>
      </w:r>
      <w:r w:rsidR="00CB265E" w:rsidRPr="00DC485F">
        <w:rPr>
          <w:color w:val="000000"/>
          <w:sz w:val="26"/>
          <w:szCs w:val="26"/>
        </w:rPr>
        <w:tab/>
      </w:r>
      <w:r w:rsidR="00CB265E" w:rsidRPr="00DC485F">
        <w:rPr>
          <w:sz w:val="26"/>
          <w:szCs w:val="26"/>
        </w:rPr>
        <w:tab/>
      </w:r>
      <w:r w:rsidR="00CB265E" w:rsidRPr="00DC485F">
        <w:rPr>
          <w:sz w:val="26"/>
          <w:szCs w:val="26"/>
        </w:rPr>
        <w:tab/>
      </w:r>
      <w:r w:rsidR="00CB265E" w:rsidRPr="00DC485F">
        <w:rPr>
          <w:sz w:val="26"/>
          <w:szCs w:val="26"/>
        </w:rPr>
        <w:tab/>
      </w:r>
      <w:r w:rsidR="00CB265E" w:rsidRPr="00DC485F">
        <w:rPr>
          <w:sz w:val="26"/>
          <w:szCs w:val="26"/>
        </w:rPr>
        <w:tab/>
      </w:r>
      <w:r w:rsidR="00CB265E" w:rsidRPr="00DC485F">
        <w:rPr>
          <w:sz w:val="26"/>
          <w:szCs w:val="26"/>
        </w:rPr>
        <w:tab/>
      </w:r>
    </w:p>
    <w:p w:rsidR="00CB265E" w:rsidRDefault="00CB265E" w:rsidP="00CB265E">
      <w:pPr>
        <w:ind w:right="4254"/>
        <w:jc w:val="both"/>
        <w:rPr>
          <w:sz w:val="20"/>
          <w:szCs w:val="20"/>
        </w:rPr>
      </w:pPr>
    </w:p>
    <w:p w:rsidR="00F77210" w:rsidRDefault="00F77210" w:rsidP="00CB265E">
      <w:pPr>
        <w:ind w:right="4254"/>
        <w:jc w:val="both"/>
        <w:rPr>
          <w:sz w:val="20"/>
          <w:szCs w:val="20"/>
        </w:rPr>
      </w:pPr>
    </w:p>
    <w:p w:rsidR="00F77210" w:rsidRDefault="00F77210" w:rsidP="00CB265E">
      <w:pPr>
        <w:ind w:right="4254"/>
        <w:jc w:val="both"/>
        <w:rPr>
          <w:sz w:val="20"/>
          <w:szCs w:val="20"/>
        </w:rPr>
      </w:pPr>
    </w:p>
    <w:p w:rsidR="00F77210" w:rsidRDefault="00F77210" w:rsidP="00CB265E">
      <w:pPr>
        <w:ind w:right="4254"/>
        <w:jc w:val="both"/>
        <w:rPr>
          <w:sz w:val="20"/>
          <w:szCs w:val="20"/>
        </w:rPr>
      </w:pPr>
    </w:p>
    <w:p w:rsidR="00F77210" w:rsidRDefault="00F77210" w:rsidP="00CB265E">
      <w:pPr>
        <w:ind w:right="4254"/>
        <w:jc w:val="both"/>
        <w:rPr>
          <w:sz w:val="20"/>
          <w:szCs w:val="20"/>
        </w:rPr>
      </w:pPr>
    </w:p>
    <w:p w:rsidR="007237E3" w:rsidRDefault="007237E3" w:rsidP="00CB265E">
      <w:pPr>
        <w:ind w:right="4254"/>
        <w:jc w:val="both"/>
        <w:rPr>
          <w:sz w:val="20"/>
          <w:szCs w:val="20"/>
        </w:rPr>
      </w:pPr>
    </w:p>
    <w:p w:rsidR="007237E3" w:rsidRDefault="007237E3" w:rsidP="00CB265E">
      <w:pPr>
        <w:ind w:right="4254"/>
        <w:jc w:val="both"/>
        <w:rPr>
          <w:sz w:val="20"/>
          <w:szCs w:val="20"/>
        </w:rPr>
      </w:pPr>
    </w:p>
    <w:p w:rsidR="007237E3" w:rsidRDefault="007237E3" w:rsidP="00CB265E">
      <w:pPr>
        <w:ind w:right="4254"/>
        <w:jc w:val="both"/>
        <w:rPr>
          <w:sz w:val="20"/>
          <w:szCs w:val="20"/>
        </w:rPr>
      </w:pPr>
    </w:p>
    <w:p w:rsidR="007237E3" w:rsidRDefault="007237E3" w:rsidP="00CB265E">
      <w:pPr>
        <w:ind w:right="4254"/>
        <w:jc w:val="both"/>
        <w:rPr>
          <w:sz w:val="20"/>
          <w:szCs w:val="20"/>
        </w:rPr>
      </w:pPr>
    </w:p>
    <w:p w:rsidR="007237E3" w:rsidRDefault="007237E3" w:rsidP="00CB265E">
      <w:pPr>
        <w:ind w:right="4254"/>
        <w:jc w:val="both"/>
        <w:rPr>
          <w:sz w:val="20"/>
          <w:szCs w:val="20"/>
        </w:rPr>
      </w:pPr>
    </w:p>
    <w:p w:rsidR="00CB7F11" w:rsidRDefault="00CB7F11" w:rsidP="00CB265E">
      <w:pPr>
        <w:ind w:right="4254"/>
        <w:jc w:val="both"/>
        <w:rPr>
          <w:sz w:val="20"/>
          <w:szCs w:val="20"/>
        </w:rPr>
      </w:pPr>
    </w:p>
    <w:p w:rsidR="00CB7F11" w:rsidRDefault="00CB7F11" w:rsidP="00CB265E">
      <w:pPr>
        <w:ind w:right="4254"/>
        <w:jc w:val="both"/>
        <w:rPr>
          <w:sz w:val="20"/>
          <w:szCs w:val="20"/>
        </w:rPr>
      </w:pPr>
    </w:p>
    <w:p w:rsidR="00CB7F11" w:rsidRDefault="00CB7F11" w:rsidP="00CB265E">
      <w:pPr>
        <w:ind w:right="4254"/>
        <w:jc w:val="both"/>
        <w:rPr>
          <w:sz w:val="20"/>
          <w:szCs w:val="20"/>
        </w:rPr>
      </w:pPr>
    </w:p>
    <w:p w:rsidR="00CB7F11" w:rsidRDefault="00CB7F11" w:rsidP="00CB265E">
      <w:pPr>
        <w:ind w:right="4254"/>
        <w:jc w:val="both"/>
        <w:rPr>
          <w:sz w:val="20"/>
          <w:szCs w:val="20"/>
        </w:rPr>
      </w:pPr>
    </w:p>
    <w:p w:rsidR="00CB7F11" w:rsidRDefault="00CB7F11" w:rsidP="00CB265E">
      <w:pPr>
        <w:ind w:right="4254"/>
        <w:jc w:val="both"/>
        <w:rPr>
          <w:sz w:val="20"/>
          <w:szCs w:val="20"/>
        </w:rPr>
      </w:pPr>
    </w:p>
    <w:p w:rsidR="00CB7F11" w:rsidRDefault="00CB7F11" w:rsidP="00CB265E">
      <w:pPr>
        <w:ind w:right="4254"/>
        <w:jc w:val="both"/>
        <w:rPr>
          <w:sz w:val="20"/>
          <w:szCs w:val="20"/>
        </w:rPr>
      </w:pPr>
    </w:p>
    <w:p w:rsidR="00CB7F11" w:rsidRDefault="00CB7F11" w:rsidP="00CB265E">
      <w:pPr>
        <w:ind w:right="4254"/>
        <w:jc w:val="both"/>
        <w:rPr>
          <w:sz w:val="20"/>
          <w:szCs w:val="20"/>
        </w:rPr>
      </w:pPr>
    </w:p>
    <w:p w:rsidR="00CB7F11" w:rsidRDefault="00CB7F11" w:rsidP="00CB265E">
      <w:pPr>
        <w:ind w:right="4254"/>
        <w:jc w:val="both"/>
        <w:rPr>
          <w:sz w:val="20"/>
          <w:szCs w:val="20"/>
        </w:rPr>
      </w:pPr>
    </w:p>
    <w:p w:rsidR="00CB7F11" w:rsidRDefault="00CB7F11" w:rsidP="00CB265E">
      <w:pPr>
        <w:ind w:right="4254"/>
        <w:jc w:val="both"/>
        <w:rPr>
          <w:sz w:val="20"/>
          <w:szCs w:val="20"/>
        </w:rPr>
      </w:pPr>
    </w:p>
    <w:p w:rsidR="00CB7F11" w:rsidRDefault="00CB7F11" w:rsidP="00CB265E">
      <w:pPr>
        <w:ind w:right="4254"/>
        <w:jc w:val="both"/>
        <w:rPr>
          <w:sz w:val="20"/>
          <w:szCs w:val="20"/>
        </w:rPr>
      </w:pPr>
    </w:p>
    <w:p w:rsidR="00CB7F11" w:rsidRDefault="00CB7F11" w:rsidP="00CB265E">
      <w:pPr>
        <w:ind w:right="4254"/>
        <w:jc w:val="both"/>
        <w:rPr>
          <w:sz w:val="20"/>
          <w:szCs w:val="20"/>
        </w:rPr>
      </w:pPr>
    </w:p>
    <w:p w:rsidR="00CB7F11" w:rsidRDefault="00CB7F11" w:rsidP="00CB265E">
      <w:pPr>
        <w:ind w:right="4254"/>
        <w:jc w:val="both"/>
        <w:rPr>
          <w:sz w:val="20"/>
          <w:szCs w:val="20"/>
        </w:rPr>
      </w:pPr>
    </w:p>
    <w:p w:rsidR="007237E3" w:rsidRDefault="007237E3" w:rsidP="00CB265E">
      <w:pPr>
        <w:ind w:right="4254"/>
        <w:jc w:val="both"/>
        <w:rPr>
          <w:sz w:val="20"/>
          <w:szCs w:val="20"/>
        </w:rPr>
      </w:pPr>
    </w:p>
    <w:p w:rsidR="00CB7F11" w:rsidRDefault="00CB7F11" w:rsidP="00CB265E">
      <w:pPr>
        <w:ind w:right="4254"/>
        <w:jc w:val="both"/>
        <w:rPr>
          <w:sz w:val="20"/>
          <w:szCs w:val="20"/>
        </w:rPr>
      </w:pPr>
    </w:p>
    <w:p w:rsidR="00CB7F11" w:rsidRDefault="00CB7F11" w:rsidP="00CB265E">
      <w:pPr>
        <w:ind w:right="4254"/>
        <w:jc w:val="both"/>
        <w:rPr>
          <w:sz w:val="20"/>
          <w:szCs w:val="20"/>
        </w:rPr>
      </w:pPr>
    </w:p>
    <w:p w:rsidR="00CB7F11" w:rsidRDefault="00CB7F11" w:rsidP="00CB265E">
      <w:pPr>
        <w:ind w:right="4254"/>
        <w:jc w:val="both"/>
        <w:rPr>
          <w:sz w:val="20"/>
          <w:szCs w:val="20"/>
        </w:rPr>
      </w:pPr>
    </w:p>
    <w:p w:rsidR="00F77210" w:rsidRDefault="00F77210" w:rsidP="00CB265E">
      <w:pPr>
        <w:ind w:right="4254"/>
        <w:jc w:val="both"/>
        <w:rPr>
          <w:sz w:val="20"/>
          <w:szCs w:val="20"/>
        </w:rPr>
      </w:pPr>
    </w:p>
    <w:p w:rsidR="00CB265E" w:rsidRPr="00D82405" w:rsidRDefault="00CB7F11" w:rsidP="00CB265E">
      <w:pPr>
        <w:ind w:right="4254"/>
        <w:jc w:val="both"/>
        <w:rPr>
          <w:sz w:val="20"/>
          <w:szCs w:val="20"/>
        </w:rPr>
      </w:pPr>
      <w:r>
        <w:rPr>
          <w:sz w:val="20"/>
          <w:szCs w:val="20"/>
        </w:rPr>
        <w:t>18</w:t>
      </w:r>
      <w:r w:rsidR="00AE3D59">
        <w:rPr>
          <w:sz w:val="20"/>
          <w:szCs w:val="20"/>
        </w:rPr>
        <w:t>.02</w:t>
      </w:r>
      <w:r w:rsidR="006C6448">
        <w:rPr>
          <w:sz w:val="20"/>
          <w:szCs w:val="20"/>
        </w:rPr>
        <w:t>.2011</w:t>
      </w:r>
      <w:r>
        <w:rPr>
          <w:sz w:val="20"/>
          <w:szCs w:val="20"/>
        </w:rPr>
        <w:t>. 09</w:t>
      </w:r>
      <w:r w:rsidR="00E544D3">
        <w:rPr>
          <w:sz w:val="20"/>
          <w:szCs w:val="20"/>
        </w:rPr>
        <w:t>:</w:t>
      </w:r>
      <w:r>
        <w:rPr>
          <w:sz w:val="20"/>
          <w:szCs w:val="20"/>
        </w:rPr>
        <w:t>1</w:t>
      </w:r>
      <w:r w:rsidR="007237E3">
        <w:rPr>
          <w:sz w:val="20"/>
          <w:szCs w:val="20"/>
        </w:rPr>
        <w:t>0</w:t>
      </w:r>
    </w:p>
    <w:p w:rsidR="00CB265E" w:rsidRDefault="00026F44" w:rsidP="00CB265E">
      <w:pPr>
        <w:jc w:val="both"/>
        <w:rPr>
          <w:sz w:val="20"/>
          <w:szCs w:val="20"/>
        </w:rPr>
      </w:pPr>
      <w:r>
        <w:rPr>
          <w:sz w:val="20"/>
          <w:szCs w:val="20"/>
        </w:rPr>
        <w:t>1396</w:t>
      </w:r>
    </w:p>
    <w:p w:rsidR="009C42E5" w:rsidRDefault="00196F9F" w:rsidP="009A7B54">
      <w:pPr>
        <w:jc w:val="both"/>
        <w:rPr>
          <w:sz w:val="20"/>
          <w:szCs w:val="20"/>
        </w:rPr>
      </w:pPr>
      <w:proofErr w:type="spellStart"/>
      <w:r>
        <w:rPr>
          <w:sz w:val="20"/>
          <w:szCs w:val="20"/>
        </w:rPr>
        <w:t>I.Tarvide</w:t>
      </w:r>
      <w:proofErr w:type="spellEnd"/>
      <w:r>
        <w:rPr>
          <w:sz w:val="20"/>
          <w:szCs w:val="20"/>
        </w:rPr>
        <w:t xml:space="preserve"> 67047916</w:t>
      </w:r>
    </w:p>
    <w:p w:rsidR="00CC4010" w:rsidRDefault="00FD45F0" w:rsidP="009A7B54">
      <w:pPr>
        <w:jc w:val="both"/>
        <w:rPr>
          <w:sz w:val="20"/>
          <w:szCs w:val="20"/>
        </w:rPr>
      </w:pPr>
      <w:hyperlink r:id="rId7" w:history="1">
        <w:r w:rsidR="00CC4010" w:rsidRPr="00CB0AD7">
          <w:rPr>
            <w:rStyle w:val="Hyperlink"/>
            <w:sz w:val="20"/>
            <w:szCs w:val="20"/>
          </w:rPr>
          <w:t>inga.tarvide@izm.gov.lv</w:t>
        </w:r>
      </w:hyperlink>
    </w:p>
    <w:p w:rsidR="00CC4010" w:rsidRPr="002C5F6C" w:rsidRDefault="00CC4010" w:rsidP="00CC4010">
      <w:pPr>
        <w:pStyle w:val="BodyText"/>
        <w:jc w:val="left"/>
        <w:rPr>
          <w:sz w:val="20"/>
        </w:rPr>
      </w:pPr>
      <w:proofErr w:type="spellStart"/>
      <w:proofErr w:type="gramStart"/>
      <w:r w:rsidRPr="002C5F6C">
        <w:rPr>
          <w:sz w:val="20"/>
        </w:rPr>
        <w:t>fakss</w:t>
      </w:r>
      <w:proofErr w:type="spellEnd"/>
      <w:proofErr w:type="gramEnd"/>
      <w:r w:rsidRPr="002C5F6C">
        <w:rPr>
          <w:sz w:val="20"/>
        </w:rPr>
        <w:t>: 67047904</w:t>
      </w:r>
    </w:p>
    <w:p w:rsidR="00CC4010" w:rsidRPr="009A7B54" w:rsidRDefault="00CC4010" w:rsidP="009A7B54">
      <w:pPr>
        <w:jc w:val="both"/>
        <w:rPr>
          <w:sz w:val="20"/>
          <w:szCs w:val="20"/>
        </w:rPr>
      </w:pPr>
    </w:p>
    <w:sectPr w:rsidR="00CC4010" w:rsidRPr="009A7B54" w:rsidSect="00A711C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6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A5F" w:rsidRDefault="00AB2A5F" w:rsidP="005B44C2">
      <w:r>
        <w:separator/>
      </w:r>
    </w:p>
  </w:endnote>
  <w:endnote w:type="continuationSeparator" w:id="0">
    <w:p w:rsidR="00AB2A5F" w:rsidRDefault="00AB2A5F" w:rsidP="005B44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RimTimes">
    <w:altName w:val="Times New Roman"/>
    <w:panose1 w:val="02020603060505020304"/>
    <w:charset w:val="00"/>
    <w:family w:val="auto"/>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1CE" w:rsidRDefault="009751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A5F" w:rsidRPr="00A711CE" w:rsidRDefault="00CB7F11" w:rsidP="00993E0E">
    <w:pPr>
      <w:pStyle w:val="Heading3"/>
      <w:jc w:val="both"/>
      <w:rPr>
        <w:b w:val="0"/>
        <w:sz w:val="20"/>
      </w:rPr>
    </w:pPr>
    <w:r>
      <w:rPr>
        <w:b w:val="0"/>
        <w:sz w:val="20"/>
      </w:rPr>
      <w:t>IZMAnot_18</w:t>
    </w:r>
    <w:r w:rsidR="00AB2A5F">
      <w:rPr>
        <w:b w:val="0"/>
        <w:sz w:val="20"/>
      </w:rPr>
      <w:t>0211_VaPV</w:t>
    </w:r>
    <w:r w:rsidR="00AB2A5F" w:rsidRPr="00A711CE">
      <w:rPr>
        <w:b w:val="0"/>
        <w:sz w:val="20"/>
      </w:rPr>
      <w:t>; Ministru kabineta rīkojuma projekta</w:t>
    </w:r>
    <w:r w:rsidR="00AB2A5F">
      <w:rPr>
        <w:b w:val="0"/>
        <w:sz w:val="20"/>
      </w:rPr>
      <w:t xml:space="preserve"> </w:t>
    </w:r>
    <w:r w:rsidR="00AB2A5F" w:rsidRPr="00A711CE">
      <w:rPr>
        <w:b w:val="0"/>
        <w:sz w:val="20"/>
      </w:rPr>
      <w:t>„</w:t>
    </w:r>
    <w:r w:rsidR="00AB2A5F">
      <w:rPr>
        <w:b w:val="0"/>
        <w:sz w:val="20"/>
      </w:rPr>
      <w:t>Par Valmieras Pārtikas ražotāju vidusskolas un Valmieras 36.arodvidusskolas</w:t>
    </w:r>
    <w:r w:rsidR="00AB2A5F" w:rsidRPr="00A711CE">
      <w:rPr>
        <w:b w:val="0"/>
        <w:sz w:val="20"/>
      </w:rPr>
      <w:t xml:space="preserve"> </w:t>
    </w:r>
    <w:r w:rsidR="00AB2A5F">
      <w:rPr>
        <w:b w:val="0"/>
        <w:sz w:val="20"/>
      </w:rPr>
      <w:t xml:space="preserve"> reorganizāciju un Valmieras</w:t>
    </w:r>
    <w:r w:rsidR="00AB2A5F" w:rsidRPr="00A711CE">
      <w:rPr>
        <w:b w:val="0"/>
        <w:sz w:val="20"/>
      </w:rPr>
      <w:t xml:space="preserve"> Profesionāl</w:t>
    </w:r>
    <w:r w:rsidR="00AB2A5F">
      <w:rPr>
        <w:b w:val="0"/>
        <w:sz w:val="20"/>
      </w:rPr>
      <w:t>ās vidusskolas</w:t>
    </w:r>
    <w:r w:rsidR="00AB2A5F" w:rsidRPr="00A711CE">
      <w:rPr>
        <w:b w:val="0"/>
        <w:sz w:val="20"/>
      </w:rPr>
      <w:t xml:space="preserve"> izveidi” sākotnējās ietekmes novērtējuma ziņojums (</w:t>
    </w:r>
    <w:r w:rsidR="00AB2A5F" w:rsidRPr="00A711CE">
      <w:rPr>
        <w:b w:val="0"/>
        <w:bCs/>
        <w:sz w:val="20"/>
      </w:rPr>
      <w:t>anotācija)</w:t>
    </w:r>
  </w:p>
  <w:p w:rsidR="00AB2A5F" w:rsidRDefault="00AB2A5F" w:rsidP="00993E0E">
    <w:pPr>
      <w:pStyle w:val="Footer"/>
    </w:pPr>
  </w:p>
  <w:p w:rsidR="00AB2A5F" w:rsidRDefault="00AB2A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A5F" w:rsidRPr="00A711CE" w:rsidRDefault="00CB7F11" w:rsidP="00A711CE">
    <w:pPr>
      <w:pStyle w:val="Heading3"/>
      <w:jc w:val="both"/>
      <w:rPr>
        <w:b w:val="0"/>
        <w:sz w:val="20"/>
      </w:rPr>
    </w:pPr>
    <w:r>
      <w:rPr>
        <w:b w:val="0"/>
        <w:sz w:val="20"/>
      </w:rPr>
      <w:t>IZMAnot_18</w:t>
    </w:r>
    <w:r w:rsidR="00AB2A5F">
      <w:rPr>
        <w:b w:val="0"/>
        <w:sz w:val="20"/>
      </w:rPr>
      <w:t>0211_VaPV</w:t>
    </w:r>
    <w:r w:rsidR="00AB2A5F" w:rsidRPr="00A711CE">
      <w:rPr>
        <w:b w:val="0"/>
        <w:sz w:val="20"/>
      </w:rPr>
      <w:t>; Ministru kabineta rīkojuma projekta</w:t>
    </w:r>
    <w:r w:rsidR="00AB2A5F">
      <w:rPr>
        <w:b w:val="0"/>
        <w:sz w:val="20"/>
      </w:rPr>
      <w:t xml:space="preserve"> </w:t>
    </w:r>
    <w:r w:rsidR="00AB2A5F" w:rsidRPr="00A711CE">
      <w:rPr>
        <w:b w:val="0"/>
        <w:sz w:val="20"/>
      </w:rPr>
      <w:t>„</w:t>
    </w:r>
    <w:r w:rsidR="00AB2A5F">
      <w:rPr>
        <w:b w:val="0"/>
        <w:sz w:val="20"/>
      </w:rPr>
      <w:t>Par Valmieras Pārtikas ražotāju vidusskolas un Valmieras 36.arodvidusskolas</w:t>
    </w:r>
    <w:r w:rsidR="00AB2A5F" w:rsidRPr="00A711CE">
      <w:rPr>
        <w:b w:val="0"/>
        <w:sz w:val="20"/>
      </w:rPr>
      <w:t xml:space="preserve"> </w:t>
    </w:r>
    <w:r w:rsidR="00AB2A5F">
      <w:rPr>
        <w:b w:val="0"/>
        <w:sz w:val="20"/>
      </w:rPr>
      <w:t xml:space="preserve"> reorganizāciju un Valmieras</w:t>
    </w:r>
    <w:r w:rsidR="00AB2A5F" w:rsidRPr="00A711CE">
      <w:rPr>
        <w:b w:val="0"/>
        <w:sz w:val="20"/>
      </w:rPr>
      <w:t xml:space="preserve"> Profesionāl</w:t>
    </w:r>
    <w:r w:rsidR="00AB2A5F">
      <w:rPr>
        <w:b w:val="0"/>
        <w:sz w:val="20"/>
      </w:rPr>
      <w:t>ās vidusskolas</w:t>
    </w:r>
    <w:r w:rsidR="00AB2A5F" w:rsidRPr="00A711CE">
      <w:rPr>
        <w:b w:val="0"/>
        <w:sz w:val="20"/>
      </w:rPr>
      <w:t xml:space="preserve"> izveidi” sākotnējās ietekmes novērtējuma ziņojums (</w:t>
    </w:r>
    <w:r w:rsidR="00AB2A5F" w:rsidRPr="00A711CE">
      <w:rPr>
        <w:b w:val="0"/>
        <w:bCs/>
        <w:sz w:val="20"/>
      </w:rPr>
      <w:t>anotācija)</w:t>
    </w:r>
  </w:p>
  <w:p w:rsidR="00AB2A5F" w:rsidRDefault="00AB2A5F" w:rsidP="00C3704A">
    <w:pPr>
      <w:pStyle w:val="Footer"/>
    </w:pPr>
  </w:p>
  <w:p w:rsidR="00AB2A5F" w:rsidRDefault="00AB2A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A5F" w:rsidRDefault="00AB2A5F" w:rsidP="005B44C2">
      <w:r>
        <w:separator/>
      </w:r>
    </w:p>
  </w:footnote>
  <w:footnote w:type="continuationSeparator" w:id="0">
    <w:p w:rsidR="00AB2A5F" w:rsidRDefault="00AB2A5F" w:rsidP="005B4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1CE" w:rsidRDefault="009751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06267"/>
      <w:docPartObj>
        <w:docPartGallery w:val="Page Numbers (Top of Page)"/>
        <w:docPartUnique/>
      </w:docPartObj>
    </w:sdtPr>
    <w:sdtContent>
      <w:p w:rsidR="00AB2A5F" w:rsidRDefault="00FD45F0">
        <w:pPr>
          <w:pStyle w:val="Header"/>
          <w:jc w:val="center"/>
        </w:pPr>
        <w:fldSimple w:instr=" PAGE   \* MERGEFORMAT ">
          <w:r w:rsidR="008D4C03">
            <w:rPr>
              <w:noProof/>
            </w:rPr>
            <w:t>8</w:t>
          </w:r>
        </w:fldSimple>
      </w:p>
    </w:sdtContent>
  </w:sdt>
  <w:p w:rsidR="00AB2A5F" w:rsidRDefault="00AB2A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1CE" w:rsidRDefault="009751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70743"/>
    <w:multiLevelType w:val="hybridMultilevel"/>
    <w:tmpl w:val="190660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A3D83"/>
    <w:rsid w:val="000014BC"/>
    <w:rsid w:val="00002673"/>
    <w:rsid w:val="00003EF0"/>
    <w:rsid w:val="000073A5"/>
    <w:rsid w:val="000076FB"/>
    <w:rsid w:val="000077D9"/>
    <w:rsid w:val="00015596"/>
    <w:rsid w:val="000166B6"/>
    <w:rsid w:val="00017215"/>
    <w:rsid w:val="000222FC"/>
    <w:rsid w:val="00025F7D"/>
    <w:rsid w:val="00026F44"/>
    <w:rsid w:val="00032FE8"/>
    <w:rsid w:val="00035D93"/>
    <w:rsid w:val="00036F13"/>
    <w:rsid w:val="00050A13"/>
    <w:rsid w:val="00052012"/>
    <w:rsid w:val="00055468"/>
    <w:rsid w:val="00057169"/>
    <w:rsid w:val="00057A33"/>
    <w:rsid w:val="00060869"/>
    <w:rsid w:val="00063D51"/>
    <w:rsid w:val="00064B8B"/>
    <w:rsid w:val="00064E9A"/>
    <w:rsid w:val="000721E9"/>
    <w:rsid w:val="0007315A"/>
    <w:rsid w:val="00075032"/>
    <w:rsid w:val="00075EA4"/>
    <w:rsid w:val="00084517"/>
    <w:rsid w:val="00085E57"/>
    <w:rsid w:val="00093F22"/>
    <w:rsid w:val="00097EDF"/>
    <w:rsid w:val="000A2263"/>
    <w:rsid w:val="000A44A5"/>
    <w:rsid w:val="000A4EE1"/>
    <w:rsid w:val="000B71BF"/>
    <w:rsid w:val="000B7F45"/>
    <w:rsid w:val="000C0EC1"/>
    <w:rsid w:val="000C2936"/>
    <w:rsid w:val="000C781A"/>
    <w:rsid w:val="000D08FB"/>
    <w:rsid w:val="000D147D"/>
    <w:rsid w:val="000D2452"/>
    <w:rsid w:val="000E074E"/>
    <w:rsid w:val="000E3BFD"/>
    <w:rsid w:val="000E4B22"/>
    <w:rsid w:val="000E6184"/>
    <w:rsid w:val="000F0728"/>
    <w:rsid w:val="000F105E"/>
    <w:rsid w:val="00104279"/>
    <w:rsid w:val="0011059A"/>
    <w:rsid w:val="00112ED7"/>
    <w:rsid w:val="00114E73"/>
    <w:rsid w:val="0011645C"/>
    <w:rsid w:val="00121361"/>
    <w:rsid w:val="00121BC1"/>
    <w:rsid w:val="001228BC"/>
    <w:rsid w:val="001261D1"/>
    <w:rsid w:val="001303EB"/>
    <w:rsid w:val="00131F48"/>
    <w:rsid w:val="00132B25"/>
    <w:rsid w:val="00136151"/>
    <w:rsid w:val="0014150D"/>
    <w:rsid w:val="001508D0"/>
    <w:rsid w:val="00151886"/>
    <w:rsid w:val="00152874"/>
    <w:rsid w:val="00153E2D"/>
    <w:rsid w:val="00161E5E"/>
    <w:rsid w:val="00165251"/>
    <w:rsid w:val="001658D2"/>
    <w:rsid w:val="00176B0B"/>
    <w:rsid w:val="00177333"/>
    <w:rsid w:val="0018073D"/>
    <w:rsid w:val="00181282"/>
    <w:rsid w:val="0018209A"/>
    <w:rsid w:val="00186BCF"/>
    <w:rsid w:val="00186DE6"/>
    <w:rsid w:val="00190F99"/>
    <w:rsid w:val="00191FB2"/>
    <w:rsid w:val="00193E60"/>
    <w:rsid w:val="00194693"/>
    <w:rsid w:val="00194897"/>
    <w:rsid w:val="001951D2"/>
    <w:rsid w:val="00196915"/>
    <w:rsid w:val="00196F9F"/>
    <w:rsid w:val="00197D14"/>
    <w:rsid w:val="00197ED4"/>
    <w:rsid w:val="001B0D23"/>
    <w:rsid w:val="001B7267"/>
    <w:rsid w:val="001B73C9"/>
    <w:rsid w:val="001B740C"/>
    <w:rsid w:val="001C3A85"/>
    <w:rsid w:val="001C73B6"/>
    <w:rsid w:val="001D315A"/>
    <w:rsid w:val="001D4D21"/>
    <w:rsid w:val="001D5104"/>
    <w:rsid w:val="001E53FE"/>
    <w:rsid w:val="001E7C9D"/>
    <w:rsid w:val="001E7D38"/>
    <w:rsid w:val="001F0EAE"/>
    <w:rsid w:val="001F0ED7"/>
    <w:rsid w:val="001F202F"/>
    <w:rsid w:val="001F6C54"/>
    <w:rsid w:val="00202098"/>
    <w:rsid w:val="00203868"/>
    <w:rsid w:val="00207E3A"/>
    <w:rsid w:val="002121A5"/>
    <w:rsid w:val="00213220"/>
    <w:rsid w:val="0021614F"/>
    <w:rsid w:val="00222E32"/>
    <w:rsid w:val="00222F8B"/>
    <w:rsid w:val="00223D6E"/>
    <w:rsid w:val="00224D64"/>
    <w:rsid w:val="00225DF5"/>
    <w:rsid w:val="002261C2"/>
    <w:rsid w:val="002275BE"/>
    <w:rsid w:val="00227F12"/>
    <w:rsid w:val="0023215F"/>
    <w:rsid w:val="0023382E"/>
    <w:rsid w:val="00236613"/>
    <w:rsid w:val="00236B81"/>
    <w:rsid w:val="00236D63"/>
    <w:rsid w:val="0023784E"/>
    <w:rsid w:val="0024492E"/>
    <w:rsid w:val="0024679D"/>
    <w:rsid w:val="00246FD0"/>
    <w:rsid w:val="0025346C"/>
    <w:rsid w:val="00254442"/>
    <w:rsid w:val="002550FB"/>
    <w:rsid w:val="00260185"/>
    <w:rsid w:val="00260E23"/>
    <w:rsid w:val="00261C74"/>
    <w:rsid w:val="00271BE7"/>
    <w:rsid w:val="00272E60"/>
    <w:rsid w:val="00273DC5"/>
    <w:rsid w:val="00274BE9"/>
    <w:rsid w:val="002828D1"/>
    <w:rsid w:val="00285B80"/>
    <w:rsid w:val="002908D6"/>
    <w:rsid w:val="002946CE"/>
    <w:rsid w:val="002B17F0"/>
    <w:rsid w:val="002B533A"/>
    <w:rsid w:val="002B6406"/>
    <w:rsid w:val="002B6D82"/>
    <w:rsid w:val="002C12AE"/>
    <w:rsid w:val="002C2ACF"/>
    <w:rsid w:val="002C68FE"/>
    <w:rsid w:val="002D7B97"/>
    <w:rsid w:val="002E6D7C"/>
    <w:rsid w:val="002F5926"/>
    <w:rsid w:val="002F77D4"/>
    <w:rsid w:val="002F7D30"/>
    <w:rsid w:val="003029CA"/>
    <w:rsid w:val="003069C1"/>
    <w:rsid w:val="00306E0F"/>
    <w:rsid w:val="00307278"/>
    <w:rsid w:val="00307EA6"/>
    <w:rsid w:val="003147F6"/>
    <w:rsid w:val="0032200A"/>
    <w:rsid w:val="00322FB9"/>
    <w:rsid w:val="0032332E"/>
    <w:rsid w:val="003242AB"/>
    <w:rsid w:val="00325E68"/>
    <w:rsid w:val="003320BF"/>
    <w:rsid w:val="00342833"/>
    <w:rsid w:val="00345259"/>
    <w:rsid w:val="003457E6"/>
    <w:rsid w:val="00356E2E"/>
    <w:rsid w:val="003642D0"/>
    <w:rsid w:val="00370AC0"/>
    <w:rsid w:val="00370DB4"/>
    <w:rsid w:val="00372EA6"/>
    <w:rsid w:val="0037447A"/>
    <w:rsid w:val="00375443"/>
    <w:rsid w:val="00375674"/>
    <w:rsid w:val="00386547"/>
    <w:rsid w:val="00387809"/>
    <w:rsid w:val="0039553B"/>
    <w:rsid w:val="003A2303"/>
    <w:rsid w:val="003B3BC6"/>
    <w:rsid w:val="003B51CB"/>
    <w:rsid w:val="003C0BBD"/>
    <w:rsid w:val="003C1BC9"/>
    <w:rsid w:val="003D18ED"/>
    <w:rsid w:val="003D3609"/>
    <w:rsid w:val="003D44B6"/>
    <w:rsid w:val="003D48C9"/>
    <w:rsid w:val="003D4E68"/>
    <w:rsid w:val="003D6093"/>
    <w:rsid w:val="003D6E7B"/>
    <w:rsid w:val="003E2BC6"/>
    <w:rsid w:val="003E46F2"/>
    <w:rsid w:val="00410E04"/>
    <w:rsid w:val="00412548"/>
    <w:rsid w:val="004173A8"/>
    <w:rsid w:val="00420BA6"/>
    <w:rsid w:val="004311FC"/>
    <w:rsid w:val="0043372A"/>
    <w:rsid w:val="00436D9A"/>
    <w:rsid w:val="00437FF6"/>
    <w:rsid w:val="004404CF"/>
    <w:rsid w:val="004407E5"/>
    <w:rsid w:val="004410AD"/>
    <w:rsid w:val="004460C2"/>
    <w:rsid w:val="00451043"/>
    <w:rsid w:val="00452AD2"/>
    <w:rsid w:val="0045328D"/>
    <w:rsid w:val="00454128"/>
    <w:rsid w:val="00455F59"/>
    <w:rsid w:val="00456A3D"/>
    <w:rsid w:val="00457218"/>
    <w:rsid w:val="0047276A"/>
    <w:rsid w:val="00474910"/>
    <w:rsid w:val="0047787C"/>
    <w:rsid w:val="004826B8"/>
    <w:rsid w:val="00485BE0"/>
    <w:rsid w:val="004901AE"/>
    <w:rsid w:val="00495505"/>
    <w:rsid w:val="004A17D8"/>
    <w:rsid w:val="004A4EAE"/>
    <w:rsid w:val="004A7DAD"/>
    <w:rsid w:val="004B17BF"/>
    <w:rsid w:val="004B219F"/>
    <w:rsid w:val="004B49D8"/>
    <w:rsid w:val="004D2DE4"/>
    <w:rsid w:val="004D44C8"/>
    <w:rsid w:val="004D47B0"/>
    <w:rsid w:val="004F0855"/>
    <w:rsid w:val="00500E57"/>
    <w:rsid w:val="00504857"/>
    <w:rsid w:val="00505B7B"/>
    <w:rsid w:val="00507246"/>
    <w:rsid w:val="005174FC"/>
    <w:rsid w:val="005201FE"/>
    <w:rsid w:val="00520579"/>
    <w:rsid w:val="00524BBA"/>
    <w:rsid w:val="005254EB"/>
    <w:rsid w:val="00526E77"/>
    <w:rsid w:val="005365FD"/>
    <w:rsid w:val="00536B9E"/>
    <w:rsid w:val="0054017B"/>
    <w:rsid w:val="00540696"/>
    <w:rsid w:val="00542683"/>
    <w:rsid w:val="00542E6B"/>
    <w:rsid w:val="00544025"/>
    <w:rsid w:val="0055692B"/>
    <w:rsid w:val="00565C9A"/>
    <w:rsid w:val="00577258"/>
    <w:rsid w:val="0057785B"/>
    <w:rsid w:val="00587710"/>
    <w:rsid w:val="00590D9E"/>
    <w:rsid w:val="005977C7"/>
    <w:rsid w:val="005A107C"/>
    <w:rsid w:val="005A1C3D"/>
    <w:rsid w:val="005A2032"/>
    <w:rsid w:val="005A2579"/>
    <w:rsid w:val="005A294C"/>
    <w:rsid w:val="005A417C"/>
    <w:rsid w:val="005B12AE"/>
    <w:rsid w:val="005B43F6"/>
    <w:rsid w:val="005B44C2"/>
    <w:rsid w:val="005B464E"/>
    <w:rsid w:val="005C2A68"/>
    <w:rsid w:val="005C5F84"/>
    <w:rsid w:val="005C6428"/>
    <w:rsid w:val="005C64DE"/>
    <w:rsid w:val="005C6587"/>
    <w:rsid w:val="005D3A70"/>
    <w:rsid w:val="005D5BF3"/>
    <w:rsid w:val="005D7006"/>
    <w:rsid w:val="005E14E9"/>
    <w:rsid w:val="005E1F27"/>
    <w:rsid w:val="005E2059"/>
    <w:rsid w:val="005E25D0"/>
    <w:rsid w:val="005E269C"/>
    <w:rsid w:val="005E7B05"/>
    <w:rsid w:val="005F0DDA"/>
    <w:rsid w:val="005F5C8F"/>
    <w:rsid w:val="0060053B"/>
    <w:rsid w:val="00606DC4"/>
    <w:rsid w:val="00607261"/>
    <w:rsid w:val="0062056F"/>
    <w:rsid w:val="00620CD3"/>
    <w:rsid w:val="00621228"/>
    <w:rsid w:val="00622B75"/>
    <w:rsid w:val="00624094"/>
    <w:rsid w:val="0063592A"/>
    <w:rsid w:val="00640484"/>
    <w:rsid w:val="00641988"/>
    <w:rsid w:val="00641BD1"/>
    <w:rsid w:val="00645684"/>
    <w:rsid w:val="00647098"/>
    <w:rsid w:val="00647D1B"/>
    <w:rsid w:val="00654531"/>
    <w:rsid w:val="00667AD0"/>
    <w:rsid w:val="006823DF"/>
    <w:rsid w:val="00687B6A"/>
    <w:rsid w:val="0069608E"/>
    <w:rsid w:val="00696997"/>
    <w:rsid w:val="006A1C92"/>
    <w:rsid w:val="006A634C"/>
    <w:rsid w:val="006A6A1B"/>
    <w:rsid w:val="006B2B68"/>
    <w:rsid w:val="006B41E6"/>
    <w:rsid w:val="006B4980"/>
    <w:rsid w:val="006B79FE"/>
    <w:rsid w:val="006C4696"/>
    <w:rsid w:val="006C6448"/>
    <w:rsid w:val="006C7517"/>
    <w:rsid w:val="006C7DC6"/>
    <w:rsid w:val="006D2283"/>
    <w:rsid w:val="006D3DC9"/>
    <w:rsid w:val="006E5FE3"/>
    <w:rsid w:val="006E6F5B"/>
    <w:rsid w:val="006F3C33"/>
    <w:rsid w:val="006F4CFF"/>
    <w:rsid w:val="00700443"/>
    <w:rsid w:val="007022AB"/>
    <w:rsid w:val="00702F45"/>
    <w:rsid w:val="00703B51"/>
    <w:rsid w:val="00704AA8"/>
    <w:rsid w:val="0070605D"/>
    <w:rsid w:val="0070716F"/>
    <w:rsid w:val="0071117C"/>
    <w:rsid w:val="00712723"/>
    <w:rsid w:val="00712C72"/>
    <w:rsid w:val="007178C9"/>
    <w:rsid w:val="007237E3"/>
    <w:rsid w:val="00727FF9"/>
    <w:rsid w:val="007342E9"/>
    <w:rsid w:val="00742574"/>
    <w:rsid w:val="00742FB6"/>
    <w:rsid w:val="00746012"/>
    <w:rsid w:val="00746B03"/>
    <w:rsid w:val="00753124"/>
    <w:rsid w:val="0075316D"/>
    <w:rsid w:val="00756690"/>
    <w:rsid w:val="00770804"/>
    <w:rsid w:val="00775906"/>
    <w:rsid w:val="007764B7"/>
    <w:rsid w:val="00776820"/>
    <w:rsid w:val="00784358"/>
    <w:rsid w:val="00785628"/>
    <w:rsid w:val="00786930"/>
    <w:rsid w:val="007871A4"/>
    <w:rsid w:val="007915E9"/>
    <w:rsid w:val="00792DBE"/>
    <w:rsid w:val="007933F0"/>
    <w:rsid w:val="00797377"/>
    <w:rsid w:val="00797B5E"/>
    <w:rsid w:val="007A156A"/>
    <w:rsid w:val="007A1B8F"/>
    <w:rsid w:val="007A4242"/>
    <w:rsid w:val="007A4445"/>
    <w:rsid w:val="007A4831"/>
    <w:rsid w:val="007B52B9"/>
    <w:rsid w:val="007B6B75"/>
    <w:rsid w:val="007C268E"/>
    <w:rsid w:val="007C49A0"/>
    <w:rsid w:val="007C6B97"/>
    <w:rsid w:val="007D62EE"/>
    <w:rsid w:val="007D66D2"/>
    <w:rsid w:val="007E34A8"/>
    <w:rsid w:val="007E705A"/>
    <w:rsid w:val="007F0A9E"/>
    <w:rsid w:val="007F4E75"/>
    <w:rsid w:val="007F5759"/>
    <w:rsid w:val="008022AC"/>
    <w:rsid w:val="00803595"/>
    <w:rsid w:val="00803EC8"/>
    <w:rsid w:val="00805CC7"/>
    <w:rsid w:val="0081002C"/>
    <w:rsid w:val="008105BA"/>
    <w:rsid w:val="00810E58"/>
    <w:rsid w:val="008118F5"/>
    <w:rsid w:val="00814105"/>
    <w:rsid w:val="00814365"/>
    <w:rsid w:val="00815E73"/>
    <w:rsid w:val="00816F81"/>
    <w:rsid w:val="00820B5C"/>
    <w:rsid w:val="00824B72"/>
    <w:rsid w:val="00832CB8"/>
    <w:rsid w:val="00833C2B"/>
    <w:rsid w:val="00836C9A"/>
    <w:rsid w:val="008405B9"/>
    <w:rsid w:val="00843766"/>
    <w:rsid w:val="00850C3E"/>
    <w:rsid w:val="0085200C"/>
    <w:rsid w:val="00857990"/>
    <w:rsid w:val="00860C25"/>
    <w:rsid w:val="00865073"/>
    <w:rsid w:val="008669A7"/>
    <w:rsid w:val="008774AB"/>
    <w:rsid w:val="00883904"/>
    <w:rsid w:val="00884098"/>
    <w:rsid w:val="008844D4"/>
    <w:rsid w:val="0088724F"/>
    <w:rsid w:val="008902FD"/>
    <w:rsid w:val="00890334"/>
    <w:rsid w:val="00893700"/>
    <w:rsid w:val="008941A1"/>
    <w:rsid w:val="008952F0"/>
    <w:rsid w:val="008A14B6"/>
    <w:rsid w:val="008A3D83"/>
    <w:rsid w:val="008A7195"/>
    <w:rsid w:val="008B0C61"/>
    <w:rsid w:val="008B103D"/>
    <w:rsid w:val="008B50CD"/>
    <w:rsid w:val="008B7C0B"/>
    <w:rsid w:val="008C3EBE"/>
    <w:rsid w:val="008D4C03"/>
    <w:rsid w:val="008D5913"/>
    <w:rsid w:val="008E311C"/>
    <w:rsid w:val="008E4FF2"/>
    <w:rsid w:val="008F2920"/>
    <w:rsid w:val="008F5D0F"/>
    <w:rsid w:val="008F6927"/>
    <w:rsid w:val="00902B69"/>
    <w:rsid w:val="00903E84"/>
    <w:rsid w:val="0090635B"/>
    <w:rsid w:val="00907664"/>
    <w:rsid w:val="00907B21"/>
    <w:rsid w:val="00910315"/>
    <w:rsid w:val="009109C7"/>
    <w:rsid w:val="00911BD6"/>
    <w:rsid w:val="00920EB7"/>
    <w:rsid w:val="00926A87"/>
    <w:rsid w:val="00927955"/>
    <w:rsid w:val="00931CBE"/>
    <w:rsid w:val="00932509"/>
    <w:rsid w:val="00933201"/>
    <w:rsid w:val="0093616A"/>
    <w:rsid w:val="00942A92"/>
    <w:rsid w:val="00951D9D"/>
    <w:rsid w:val="00952BC6"/>
    <w:rsid w:val="00954F85"/>
    <w:rsid w:val="00955863"/>
    <w:rsid w:val="00961794"/>
    <w:rsid w:val="009703E6"/>
    <w:rsid w:val="00970912"/>
    <w:rsid w:val="00973074"/>
    <w:rsid w:val="009751CE"/>
    <w:rsid w:val="00975DAD"/>
    <w:rsid w:val="00976356"/>
    <w:rsid w:val="00980CA2"/>
    <w:rsid w:val="00984DFC"/>
    <w:rsid w:val="00986CE8"/>
    <w:rsid w:val="00993E0E"/>
    <w:rsid w:val="009A0221"/>
    <w:rsid w:val="009A10BA"/>
    <w:rsid w:val="009A41DB"/>
    <w:rsid w:val="009A7B54"/>
    <w:rsid w:val="009B1435"/>
    <w:rsid w:val="009C08D2"/>
    <w:rsid w:val="009C098F"/>
    <w:rsid w:val="009C2A34"/>
    <w:rsid w:val="009C42E5"/>
    <w:rsid w:val="009D11C4"/>
    <w:rsid w:val="009D2CB8"/>
    <w:rsid w:val="009D53FB"/>
    <w:rsid w:val="009E01C9"/>
    <w:rsid w:val="009E0526"/>
    <w:rsid w:val="009F17D0"/>
    <w:rsid w:val="00A014EE"/>
    <w:rsid w:val="00A03A4F"/>
    <w:rsid w:val="00A07DD3"/>
    <w:rsid w:val="00A1104E"/>
    <w:rsid w:val="00A14FC2"/>
    <w:rsid w:val="00A15190"/>
    <w:rsid w:val="00A1566E"/>
    <w:rsid w:val="00A1659D"/>
    <w:rsid w:val="00A20326"/>
    <w:rsid w:val="00A21E98"/>
    <w:rsid w:val="00A24411"/>
    <w:rsid w:val="00A3031D"/>
    <w:rsid w:val="00A306F9"/>
    <w:rsid w:val="00A34448"/>
    <w:rsid w:val="00A34DA7"/>
    <w:rsid w:val="00A40B70"/>
    <w:rsid w:val="00A424CE"/>
    <w:rsid w:val="00A50C53"/>
    <w:rsid w:val="00A57642"/>
    <w:rsid w:val="00A61592"/>
    <w:rsid w:val="00A624C9"/>
    <w:rsid w:val="00A64937"/>
    <w:rsid w:val="00A655C1"/>
    <w:rsid w:val="00A711CE"/>
    <w:rsid w:val="00A71D0F"/>
    <w:rsid w:val="00A74D3E"/>
    <w:rsid w:val="00A762CD"/>
    <w:rsid w:val="00A806A1"/>
    <w:rsid w:val="00A81F59"/>
    <w:rsid w:val="00A84F7D"/>
    <w:rsid w:val="00A9661D"/>
    <w:rsid w:val="00AA16CD"/>
    <w:rsid w:val="00AA1F85"/>
    <w:rsid w:val="00AA21EE"/>
    <w:rsid w:val="00AA246D"/>
    <w:rsid w:val="00AA523D"/>
    <w:rsid w:val="00AB2A5F"/>
    <w:rsid w:val="00AB3710"/>
    <w:rsid w:val="00AC1E44"/>
    <w:rsid w:val="00AC76D0"/>
    <w:rsid w:val="00AD2F54"/>
    <w:rsid w:val="00AE2A5B"/>
    <w:rsid w:val="00AE3D59"/>
    <w:rsid w:val="00AE51DB"/>
    <w:rsid w:val="00AF1D84"/>
    <w:rsid w:val="00AF31F0"/>
    <w:rsid w:val="00AF3629"/>
    <w:rsid w:val="00AF778D"/>
    <w:rsid w:val="00B1110B"/>
    <w:rsid w:val="00B11B31"/>
    <w:rsid w:val="00B1734B"/>
    <w:rsid w:val="00B25669"/>
    <w:rsid w:val="00B26264"/>
    <w:rsid w:val="00B2656E"/>
    <w:rsid w:val="00B30417"/>
    <w:rsid w:val="00B30C1F"/>
    <w:rsid w:val="00B3233D"/>
    <w:rsid w:val="00B35B91"/>
    <w:rsid w:val="00B371EA"/>
    <w:rsid w:val="00B41726"/>
    <w:rsid w:val="00B45D25"/>
    <w:rsid w:val="00B46591"/>
    <w:rsid w:val="00B47249"/>
    <w:rsid w:val="00B4773A"/>
    <w:rsid w:val="00B47E6C"/>
    <w:rsid w:val="00B51858"/>
    <w:rsid w:val="00B5546F"/>
    <w:rsid w:val="00B70608"/>
    <w:rsid w:val="00B77608"/>
    <w:rsid w:val="00B8125D"/>
    <w:rsid w:val="00B840E6"/>
    <w:rsid w:val="00B90391"/>
    <w:rsid w:val="00B912BC"/>
    <w:rsid w:val="00B924F4"/>
    <w:rsid w:val="00B941CB"/>
    <w:rsid w:val="00B950D2"/>
    <w:rsid w:val="00B95347"/>
    <w:rsid w:val="00B95E4C"/>
    <w:rsid w:val="00B97493"/>
    <w:rsid w:val="00B975C1"/>
    <w:rsid w:val="00BA1B87"/>
    <w:rsid w:val="00BA2934"/>
    <w:rsid w:val="00BA4769"/>
    <w:rsid w:val="00BA5A94"/>
    <w:rsid w:val="00BB056C"/>
    <w:rsid w:val="00BB24A4"/>
    <w:rsid w:val="00BB2B4C"/>
    <w:rsid w:val="00BB6CDD"/>
    <w:rsid w:val="00BC0042"/>
    <w:rsid w:val="00BC0A6C"/>
    <w:rsid w:val="00BC3906"/>
    <w:rsid w:val="00BC77F2"/>
    <w:rsid w:val="00BD0B9E"/>
    <w:rsid w:val="00BD6994"/>
    <w:rsid w:val="00BD69AE"/>
    <w:rsid w:val="00BE1A18"/>
    <w:rsid w:val="00BE5AA4"/>
    <w:rsid w:val="00BF048A"/>
    <w:rsid w:val="00BF049C"/>
    <w:rsid w:val="00BF0BE6"/>
    <w:rsid w:val="00BF5CA3"/>
    <w:rsid w:val="00BF733F"/>
    <w:rsid w:val="00C02B96"/>
    <w:rsid w:val="00C05134"/>
    <w:rsid w:val="00C20070"/>
    <w:rsid w:val="00C3080F"/>
    <w:rsid w:val="00C332D2"/>
    <w:rsid w:val="00C33ECD"/>
    <w:rsid w:val="00C3704A"/>
    <w:rsid w:val="00C41C5D"/>
    <w:rsid w:val="00C469FD"/>
    <w:rsid w:val="00C47DF3"/>
    <w:rsid w:val="00C51240"/>
    <w:rsid w:val="00C56D7C"/>
    <w:rsid w:val="00C6418E"/>
    <w:rsid w:val="00C6749D"/>
    <w:rsid w:val="00C71934"/>
    <w:rsid w:val="00C71D52"/>
    <w:rsid w:val="00C7413E"/>
    <w:rsid w:val="00C83857"/>
    <w:rsid w:val="00C85C32"/>
    <w:rsid w:val="00C86A19"/>
    <w:rsid w:val="00C87712"/>
    <w:rsid w:val="00C90C8B"/>
    <w:rsid w:val="00C96499"/>
    <w:rsid w:val="00C97DD6"/>
    <w:rsid w:val="00CA1894"/>
    <w:rsid w:val="00CA63D4"/>
    <w:rsid w:val="00CB11E6"/>
    <w:rsid w:val="00CB265E"/>
    <w:rsid w:val="00CB7E9A"/>
    <w:rsid w:val="00CB7F11"/>
    <w:rsid w:val="00CC4010"/>
    <w:rsid w:val="00CC60E9"/>
    <w:rsid w:val="00CC68C7"/>
    <w:rsid w:val="00CC6CCF"/>
    <w:rsid w:val="00CC764B"/>
    <w:rsid w:val="00CC77B1"/>
    <w:rsid w:val="00CD0BFA"/>
    <w:rsid w:val="00CD10AE"/>
    <w:rsid w:val="00CD1CAC"/>
    <w:rsid w:val="00CD2260"/>
    <w:rsid w:val="00CD28B5"/>
    <w:rsid w:val="00CD4130"/>
    <w:rsid w:val="00CD51D8"/>
    <w:rsid w:val="00CE06CA"/>
    <w:rsid w:val="00CE45A4"/>
    <w:rsid w:val="00CE5418"/>
    <w:rsid w:val="00CF554A"/>
    <w:rsid w:val="00D009E9"/>
    <w:rsid w:val="00D01840"/>
    <w:rsid w:val="00D2354D"/>
    <w:rsid w:val="00D31D3C"/>
    <w:rsid w:val="00D34F26"/>
    <w:rsid w:val="00D36D41"/>
    <w:rsid w:val="00D42B8B"/>
    <w:rsid w:val="00D4399A"/>
    <w:rsid w:val="00D50052"/>
    <w:rsid w:val="00D50E5B"/>
    <w:rsid w:val="00D51CEB"/>
    <w:rsid w:val="00D53E72"/>
    <w:rsid w:val="00D62264"/>
    <w:rsid w:val="00D66446"/>
    <w:rsid w:val="00D674CB"/>
    <w:rsid w:val="00D67D29"/>
    <w:rsid w:val="00D727DE"/>
    <w:rsid w:val="00D74334"/>
    <w:rsid w:val="00D7603F"/>
    <w:rsid w:val="00D81606"/>
    <w:rsid w:val="00D93B99"/>
    <w:rsid w:val="00DA0569"/>
    <w:rsid w:val="00DA3731"/>
    <w:rsid w:val="00DA4E81"/>
    <w:rsid w:val="00DB2236"/>
    <w:rsid w:val="00DB2356"/>
    <w:rsid w:val="00DB33B7"/>
    <w:rsid w:val="00DB4DDD"/>
    <w:rsid w:val="00DB6497"/>
    <w:rsid w:val="00DC485F"/>
    <w:rsid w:val="00DD4F75"/>
    <w:rsid w:val="00DE037C"/>
    <w:rsid w:val="00DE196C"/>
    <w:rsid w:val="00DE36ED"/>
    <w:rsid w:val="00DE41EC"/>
    <w:rsid w:val="00DE4F4F"/>
    <w:rsid w:val="00DE7060"/>
    <w:rsid w:val="00DE7C76"/>
    <w:rsid w:val="00DF1A52"/>
    <w:rsid w:val="00DF7B2A"/>
    <w:rsid w:val="00E026AE"/>
    <w:rsid w:val="00E05B6E"/>
    <w:rsid w:val="00E05FA8"/>
    <w:rsid w:val="00E1183D"/>
    <w:rsid w:val="00E120AA"/>
    <w:rsid w:val="00E1217B"/>
    <w:rsid w:val="00E246AF"/>
    <w:rsid w:val="00E31ACC"/>
    <w:rsid w:val="00E37D8F"/>
    <w:rsid w:val="00E42350"/>
    <w:rsid w:val="00E522B7"/>
    <w:rsid w:val="00E544D3"/>
    <w:rsid w:val="00E613AA"/>
    <w:rsid w:val="00E628B3"/>
    <w:rsid w:val="00E65721"/>
    <w:rsid w:val="00E75372"/>
    <w:rsid w:val="00E832B7"/>
    <w:rsid w:val="00E849C6"/>
    <w:rsid w:val="00E852C8"/>
    <w:rsid w:val="00E85E74"/>
    <w:rsid w:val="00E86C4B"/>
    <w:rsid w:val="00E872EA"/>
    <w:rsid w:val="00EA055B"/>
    <w:rsid w:val="00EA0A1B"/>
    <w:rsid w:val="00EA10FB"/>
    <w:rsid w:val="00EA3F6F"/>
    <w:rsid w:val="00EA6746"/>
    <w:rsid w:val="00EA6AF1"/>
    <w:rsid w:val="00EA6E08"/>
    <w:rsid w:val="00EB1AC5"/>
    <w:rsid w:val="00EB6659"/>
    <w:rsid w:val="00EB7482"/>
    <w:rsid w:val="00EC0430"/>
    <w:rsid w:val="00EC2371"/>
    <w:rsid w:val="00EC2B02"/>
    <w:rsid w:val="00EC56E2"/>
    <w:rsid w:val="00ED3FAF"/>
    <w:rsid w:val="00ED4AF8"/>
    <w:rsid w:val="00ED5945"/>
    <w:rsid w:val="00EF09F4"/>
    <w:rsid w:val="00F0515B"/>
    <w:rsid w:val="00F05DF1"/>
    <w:rsid w:val="00F071F3"/>
    <w:rsid w:val="00F14B54"/>
    <w:rsid w:val="00F23CA8"/>
    <w:rsid w:val="00F24F28"/>
    <w:rsid w:val="00F265F4"/>
    <w:rsid w:val="00F31991"/>
    <w:rsid w:val="00F31D71"/>
    <w:rsid w:val="00F32A0F"/>
    <w:rsid w:val="00F32D3C"/>
    <w:rsid w:val="00F3554A"/>
    <w:rsid w:val="00F36D9D"/>
    <w:rsid w:val="00F42673"/>
    <w:rsid w:val="00F44E10"/>
    <w:rsid w:val="00F47D2C"/>
    <w:rsid w:val="00F505AE"/>
    <w:rsid w:val="00F52B44"/>
    <w:rsid w:val="00F53E64"/>
    <w:rsid w:val="00F540F4"/>
    <w:rsid w:val="00F54205"/>
    <w:rsid w:val="00F54669"/>
    <w:rsid w:val="00F56ED2"/>
    <w:rsid w:val="00F615C4"/>
    <w:rsid w:val="00F6474C"/>
    <w:rsid w:val="00F64875"/>
    <w:rsid w:val="00F659CC"/>
    <w:rsid w:val="00F77210"/>
    <w:rsid w:val="00F80CF9"/>
    <w:rsid w:val="00F80FCC"/>
    <w:rsid w:val="00F81D79"/>
    <w:rsid w:val="00F82206"/>
    <w:rsid w:val="00F90708"/>
    <w:rsid w:val="00F96CAE"/>
    <w:rsid w:val="00FA3D95"/>
    <w:rsid w:val="00FA3FD3"/>
    <w:rsid w:val="00FA4728"/>
    <w:rsid w:val="00FA7323"/>
    <w:rsid w:val="00FB02E9"/>
    <w:rsid w:val="00FB0C45"/>
    <w:rsid w:val="00FB54EE"/>
    <w:rsid w:val="00FB61EB"/>
    <w:rsid w:val="00FB7E17"/>
    <w:rsid w:val="00FC1FDE"/>
    <w:rsid w:val="00FC3679"/>
    <w:rsid w:val="00FC5813"/>
    <w:rsid w:val="00FC5B21"/>
    <w:rsid w:val="00FC6FF6"/>
    <w:rsid w:val="00FC7C21"/>
    <w:rsid w:val="00FD18E4"/>
    <w:rsid w:val="00FD45F0"/>
    <w:rsid w:val="00FD462A"/>
    <w:rsid w:val="00FE1AD6"/>
    <w:rsid w:val="00FE28C1"/>
    <w:rsid w:val="00FE307A"/>
    <w:rsid w:val="00FE41DC"/>
    <w:rsid w:val="00FF1DA3"/>
    <w:rsid w:val="00FF2125"/>
    <w:rsid w:val="00FF45C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8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8A3D83"/>
    <w:pPr>
      <w:keepNext/>
      <w:jc w:val="center"/>
      <w:outlineLvl w:val="2"/>
    </w:pPr>
    <w:rPr>
      <w:b/>
      <w:sz w:val="28"/>
      <w:szCs w:val="20"/>
    </w:rPr>
  </w:style>
  <w:style w:type="paragraph" w:styleId="Heading4">
    <w:name w:val="heading 4"/>
    <w:basedOn w:val="Normal"/>
    <w:next w:val="Normal"/>
    <w:link w:val="Heading4Char"/>
    <w:semiHidden/>
    <w:unhideWhenUsed/>
    <w:qFormat/>
    <w:rsid w:val="008A3D83"/>
    <w:pPr>
      <w:keepNext/>
      <w:jc w:val="center"/>
      <w:outlineLvl w:val="3"/>
    </w:pPr>
    <w:rPr>
      <w:sz w:val="28"/>
      <w:szCs w:val="20"/>
    </w:rPr>
  </w:style>
  <w:style w:type="paragraph" w:styleId="Heading5">
    <w:name w:val="heading 5"/>
    <w:basedOn w:val="Normal"/>
    <w:next w:val="Normal"/>
    <w:link w:val="Heading5Char"/>
    <w:semiHidden/>
    <w:unhideWhenUsed/>
    <w:qFormat/>
    <w:rsid w:val="008A3D83"/>
    <w:pPr>
      <w:keepNext/>
      <w:ind w:firstLine="709"/>
      <w:outlineLvl w:val="4"/>
    </w:pPr>
    <w:rPr>
      <w:sz w:val="28"/>
      <w:szCs w:val="20"/>
      <w:lang w:val="en-US"/>
    </w:rPr>
  </w:style>
  <w:style w:type="paragraph" w:styleId="Heading8">
    <w:name w:val="heading 8"/>
    <w:basedOn w:val="Normal"/>
    <w:next w:val="Normal"/>
    <w:link w:val="Heading8Char"/>
    <w:unhideWhenUsed/>
    <w:qFormat/>
    <w:rsid w:val="008A3D83"/>
    <w:pPr>
      <w:keepNext/>
      <w:jc w:val="both"/>
      <w:outlineLvl w:val="7"/>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3D83"/>
    <w:rPr>
      <w:rFonts w:ascii="Times New Roman" w:eastAsia="Times New Roman" w:hAnsi="Times New Roman" w:cs="Times New Roman"/>
      <w:b/>
      <w:sz w:val="28"/>
      <w:szCs w:val="20"/>
    </w:rPr>
  </w:style>
  <w:style w:type="character" w:customStyle="1" w:styleId="Heading4Char">
    <w:name w:val="Heading 4 Char"/>
    <w:basedOn w:val="DefaultParagraphFont"/>
    <w:link w:val="Heading4"/>
    <w:semiHidden/>
    <w:rsid w:val="008A3D83"/>
    <w:rPr>
      <w:rFonts w:ascii="Times New Roman" w:eastAsia="Times New Roman" w:hAnsi="Times New Roman" w:cs="Times New Roman"/>
      <w:sz w:val="28"/>
      <w:szCs w:val="20"/>
    </w:rPr>
  </w:style>
  <w:style w:type="character" w:customStyle="1" w:styleId="Heading5Char">
    <w:name w:val="Heading 5 Char"/>
    <w:basedOn w:val="DefaultParagraphFont"/>
    <w:link w:val="Heading5"/>
    <w:semiHidden/>
    <w:rsid w:val="008A3D83"/>
    <w:rPr>
      <w:rFonts w:ascii="Times New Roman" w:eastAsia="Times New Roman" w:hAnsi="Times New Roman" w:cs="Times New Roman"/>
      <w:sz w:val="28"/>
      <w:szCs w:val="20"/>
      <w:lang w:val="en-US"/>
    </w:rPr>
  </w:style>
  <w:style w:type="character" w:customStyle="1" w:styleId="Heading8Char">
    <w:name w:val="Heading 8 Char"/>
    <w:basedOn w:val="DefaultParagraphFont"/>
    <w:link w:val="Heading8"/>
    <w:rsid w:val="008A3D83"/>
    <w:rPr>
      <w:rFonts w:ascii="Times New Roman" w:eastAsia="Times New Roman" w:hAnsi="Times New Roman" w:cs="Times New Roman"/>
      <w:sz w:val="24"/>
      <w:szCs w:val="20"/>
    </w:rPr>
  </w:style>
  <w:style w:type="paragraph" w:styleId="NormalWeb">
    <w:name w:val="Normal (Web)"/>
    <w:basedOn w:val="Normal"/>
    <w:uiPriority w:val="99"/>
    <w:unhideWhenUsed/>
    <w:rsid w:val="008A3D83"/>
    <w:pPr>
      <w:spacing w:before="100" w:beforeAutospacing="1" w:after="100" w:afterAutospacing="1"/>
    </w:pPr>
    <w:rPr>
      <w:lang w:val="en-GB"/>
    </w:rPr>
  </w:style>
  <w:style w:type="paragraph" w:styleId="Footer">
    <w:name w:val="footer"/>
    <w:basedOn w:val="Normal"/>
    <w:link w:val="FooterChar"/>
    <w:unhideWhenUsed/>
    <w:rsid w:val="008A3D83"/>
    <w:pPr>
      <w:tabs>
        <w:tab w:val="center" w:pos="4153"/>
        <w:tab w:val="right" w:pos="8306"/>
      </w:tabs>
      <w:snapToGrid w:val="0"/>
    </w:pPr>
    <w:rPr>
      <w:rFonts w:ascii="RimTimes" w:hAnsi="RimTimes"/>
      <w:sz w:val="28"/>
      <w:szCs w:val="20"/>
    </w:rPr>
  </w:style>
  <w:style w:type="character" w:customStyle="1" w:styleId="FooterChar">
    <w:name w:val="Footer Char"/>
    <w:basedOn w:val="DefaultParagraphFont"/>
    <w:link w:val="Footer"/>
    <w:rsid w:val="008A3D83"/>
    <w:rPr>
      <w:rFonts w:ascii="RimTimes" w:eastAsia="Times New Roman" w:hAnsi="RimTimes" w:cs="Times New Roman"/>
      <w:sz w:val="28"/>
      <w:szCs w:val="20"/>
    </w:rPr>
  </w:style>
  <w:style w:type="paragraph" w:styleId="BodyText">
    <w:name w:val="Body Text"/>
    <w:basedOn w:val="Normal"/>
    <w:link w:val="BodyTextChar"/>
    <w:unhideWhenUsed/>
    <w:rsid w:val="008A3D83"/>
    <w:pPr>
      <w:jc w:val="both"/>
    </w:pPr>
    <w:rPr>
      <w:sz w:val="28"/>
      <w:szCs w:val="20"/>
      <w:lang w:val="en-AU"/>
    </w:rPr>
  </w:style>
  <w:style w:type="character" w:customStyle="1" w:styleId="BodyTextChar">
    <w:name w:val="Body Text Char"/>
    <w:basedOn w:val="DefaultParagraphFont"/>
    <w:link w:val="BodyText"/>
    <w:rsid w:val="008A3D83"/>
    <w:rPr>
      <w:rFonts w:ascii="Times New Roman" w:eastAsia="Times New Roman" w:hAnsi="Times New Roman" w:cs="Times New Roman"/>
      <w:sz w:val="28"/>
      <w:szCs w:val="20"/>
      <w:lang w:val="en-AU"/>
    </w:rPr>
  </w:style>
  <w:style w:type="paragraph" w:styleId="BodyTextIndent">
    <w:name w:val="Body Text Indent"/>
    <w:basedOn w:val="Normal"/>
    <w:link w:val="BodyTextIndentChar"/>
    <w:unhideWhenUsed/>
    <w:rsid w:val="008A3D83"/>
    <w:pPr>
      <w:spacing w:before="240"/>
      <w:ind w:firstLine="720"/>
    </w:pPr>
    <w:rPr>
      <w:sz w:val="28"/>
      <w:szCs w:val="20"/>
    </w:rPr>
  </w:style>
  <w:style w:type="character" w:customStyle="1" w:styleId="BodyTextIndentChar">
    <w:name w:val="Body Text Indent Char"/>
    <w:basedOn w:val="DefaultParagraphFont"/>
    <w:link w:val="BodyTextIndent"/>
    <w:rsid w:val="008A3D83"/>
    <w:rPr>
      <w:rFonts w:ascii="Times New Roman" w:eastAsia="Times New Roman" w:hAnsi="Times New Roman" w:cs="Times New Roman"/>
      <w:sz w:val="28"/>
      <w:szCs w:val="20"/>
    </w:rPr>
  </w:style>
  <w:style w:type="paragraph" w:styleId="BodyText2">
    <w:name w:val="Body Text 2"/>
    <w:basedOn w:val="Normal"/>
    <w:link w:val="BodyText2Char"/>
    <w:unhideWhenUsed/>
    <w:rsid w:val="008A3D83"/>
    <w:pPr>
      <w:jc w:val="both"/>
    </w:pPr>
    <w:rPr>
      <w:sz w:val="28"/>
      <w:szCs w:val="20"/>
    </w:rPr>
  </w:style>
  <w:style w:type="character" w:customStyle="1" w:styleId="BodyText2Char">
    <w:name w:val="Body Text 2 Char"/>
    <w:basedOn w:val="DefaultParagraphFont"/>
    <w:link w:val="BodyText2"/>
    <w:rsid w:val="008A3D83"/>
    <w:rPr>
      <w:rFonts w:ascii="Times New Roman" w:eastAsia="Times New Roman" w:hAnsi="Times New Roman" w:cs="Times New Roman"/>
      <w:sz w:val="28"/>
      <w:szCs w:val="20"/>
    </w:rPr>
  </w:style>
  <w:style w:type="paragraph" w:styleId="BodyTextIndent2">
    <w:name w:val="Body Text Indent 2"/>
    <w:basedOn w:val="Normal"/>
    <w:link w:val="BodyTextIndent2Char"/>
    <w:unhideWhenUsed/>
    <w:rsid w:val="008A3D83"/>
    <w:pPr>
      <w:ind w:firstLine="567"/>
      <w:jc w:val="both"/>
    </w:pPr>
    <w:rPr>
      <w:b/>
      <w:sz w:val="28"/>
    </w:rPr>
  </w:style>
  <w:style w:type="character" w:customStyle="1" w:styleId="BodyTextIndent2Char">
    <w:name w:val="Body Text Indent 2 Char"/>
    <w:basedOn w:val="DefaultParagraphFont"/>
    <w:link w:val="BodyTextIndent2"/>
    <w:rsid w:val="008A3D83"/>
    <w:rPr>
      <w:rFonts w:ascii="Times New Roman" w:eastAsia="Times New Roman" w:hAnsi="Times New Roman" w:cs="Times New Roman"/>
      <w:b/>
      <w:sz w:val="28"/>
      <w:szCs w:val="24"/>
    </w:rPr>
  </w:style>
  <w:style w:type="paragraph" w:customStyle="1" w:styleId="naisf">
    <w:name w:val="naisf"/>
    <w:basedOn w:val="Normal"/>
    <w:rsid w:val="008A3D83"/>
    <w:pPr>
      <w:spacing w:before="100" w:beforeAutospacing="1" w:after="100" w:afterAutospacing="1"/>
      <w:jc w:val="both"/>
    </w:pPr>
    <w:rPr>
      <w:lang w:val="en-GB"/>
    </w:rPr>
  </w:style>
  <w:style w:type="paragraph" w:customStyle="1" w:styleId="naiskr">
    <w:name w:val="naiskr"/>
    <w:basedOn w:val="Normal"/>
    <w:rsid w:val="008A3D83"/>
    <w:pPr>
      <w:spacing w:before="100" w:beforeAutospacing="1" w:after="100" w:afterAutospacing="1"/>
    </w:pPr>
    <w:rPr>
      <w:lang w:eastAsia="lv-LV"/>
    </w:rPr>
  </w:style>
  <w:style w:type="paragraph" w:styleId="Header">
    <w:name w:val="header"/>
    <w:basedOn w:val="Normal"/>
    <w:link w:val="HeaderChar"/>
    <w:uiPriority w:val="99"/>
    <w:unhideWhenUsed/>
    <w:rsid w:val="005B44C2"/>
    <w:pPr>
      <w:tabs>
        <w:tab w:val="center" w:pos="4153"/>
        <w:tab w:val="right" w:pos="8306"/>
      </w:tabs>
    </w:pPr>
  </w:style>
  <w:style w:type="character" w:customStyle="1" w:styleId="HeaderChar">
    <w:name w:val="Header Char"/>
    <w:basedOn w:val="DefaultParagraphFont"/>
    <w:link w:val="Header"/>
    <w:uiPriority w:val="99"/>
    <w:rsid w:val="005B44C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0696"/>
    <w:rPr>
      <w:color w:val="0000FF" w:themeColor="hyperlink"/>
      <w:u w:val="single"/>
    </w:rPr>
  </w:style>
  <w:style w:type="paragraph" w:styleId="NoSpacing">
    <w:name w:val="No Spacing"/>
    <w:uiPriority w:val="1"/>
    <w:qFormat/>
    <w:rsid w:val="000C781A"/>
    <w:pPr>
      <w:spacing w:after="0" w:line="240" w:lineRule="auto"/>
    </w:pPr>
    <w:rPr>
      <w:rFonts w:ascii="Times New Roman" w:eastAsia="Times New Roman" w:hAnsi="Times New Roman" w:cs="Times New Roman"/>
      <w:sz w:val="24"/>
      <w:szCs w:val="24"/>
      <w:lang w:eastAsia="lv-LV"/>
    </w:rPr>
  </w:style>
  <w:style w:type="paragraph" w:customStyle="1" w:styleId="NormalWeb-">
    <w:name w:val="Normal (Web)-"/>
    <w:basedOn w:val="NormalWeb"/>
    <w:rsid w:val="00CB265E"/>
    <w:rPr>
      <w:sz w:val="28"/>
      <w:szCs w:val="28"/>
      <w:lang w:val="lv-LV"/>
    </w:rPr>
  </w:style>
</w:styles>
</file>

<file path=word/webSettings.xml><?xml version="1.0" encoding="utf-8"?>
<w:webSettings xmlns:r="http://schemas.openxmlformats.org/officeDocument/2006/relationships" xmlns:w="http://schemas.openxmlformats.org/wordprocessingml/2006/main">
  <w:divs>
    <w:div w:id="2787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ga.tarvide@iz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7595</Words>
  <Characters>4330</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Ministru kabineta rīkojuma projekta "Par Valmieras Pārtikas ražotāju vidusskolas un v almieras 36.arodvidusskolas reorganizāciju un valmieras Profesionālās vidusskolas izveidi" sākotnējās ietekmes novērtējuma ziņojums (anotācija)</vt:lpstr>
    </vt:vector>
  </TitlesOfParts>
  <Company>IZM</Company>
  <LinksUpToDate>false</LinksUpToDate>
  <CharactersWithSpaces>11902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Valmieras Pārtikas ražotāju vidusskolas un v almieras 36.arodvidusskolas reorganizāciju un valmieras Profesionālās vidusskolas izveidi" sākotnējās ietekmes novērtējuma ziņojums (anotācija)</dc:title>
  <dc:subject>Anotācija</dc:subject>
  <dc:creator>Inga Tarvide</dc:creator>
  <cp:keywords>1396</cp:keywords>
  <dc:description>tel.67047916, fakss:67047904, 
e-pasts: inga.tarvide@izm.gov.lv</dc:description>
  <cp:lastModifiedBy>itarvide</cp:lastModifiedBy>
  <cp:revision>24</cp:revision>
  <cp:lastPrinted>2009-05-29T09:58:00Z</cp:lastPrinted>
  <dcterms:created xsi:type="dcterms:W3CDTF">2011-02-04T06:36:00Z</dcterms:created>
  <dcterms:modified xsi:type="dcterms:W3CDTF">2011-02-18T09:28:00Z</dcterms:modified>
  <cp:category>IZM</cp:category>
</cp:coreProperties>
</file>