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EB6654" w:rsidRDefault="00EF5D74" w:rsidP="00EB6654">
      <w:pPr>
        <w:jc w:val="center"/>
        <w:rPr>
          <w:b/>
          <w:bCs/>
          <w:sz w:val="28"/>
          <w:szCs w:val="28"/>
        </w:rPr>
      </w:pPr>
      <w:bookmarkStart w:id="0" w:name="OLE_LINK3"/>
      <w:bookmarkStart w:id="1" w:name="OLE_LINK4"/>
      <w:bookmarkStart w:id="2" w:name="OLE_LINK9"/>
      <w:bookmarkStart w:id="3" w:name="OLE_LINK10"/>
      <w:bookmarkStart w:id="4" w:name="OLE_LINK12"/>
      <w:r w:rsidRPr="00EB6654">
        <w:rPr>
          <w:b/>
          <w:bCs/>
          <w:sz w:val="28"/>
          <w:szCs w:val="28"/>
        </w:rPr>
        <w:t>Ministru kabineta noteikumu projekta</w:t>
      </w:r>
      <w:bookmarkStart w:id="5" w:name="OLE_LINK7"/>
      <w:bookmarkStart w:id="6" w:name="OLE_LINK8"/>
      <w:bookmarkStart w:id="7" w:name="OLE_LINK11"/>
      <w:r w:rsidRPr="00EB6654">
        <w:rPr>
          <w:b/>
          <w:bCs/>
          <w:sz w:val="28"/>
          <w:szCs w:val="28"/>
        </w:rPr>
        <w:t xml:space="preserve"> </w:t>
      </w:r>
      <w:bookmarkEnd w:id="5"/>
      <w:bookmarkEnd w:id="6"/>
      <w:bookmarkEnd w:id="7"/>
      <w:r>
        <w:rPr>
          <w:b/>
          <w:bCs/>
          <w:sz w:val="28"/>
          <w:szCs w:val="28"/>
        </w:rPr>
        <w:t>„</w:t>
      </w:r>
      <w:r w:rsidR="003D1B4B" w:rsidRPr="00BB6EBB">
        <w:rPr>
          <w:b/>
          <w:bCs/>
          <w:sz w:val="28"/>
          <w:szCs w:val="28"/>
        </w:rPr>
        <w:t xml:space="preserve">Grozījumi Ministru kabineta 2008.gada 5.augusta noteikumos Nr.649 </w:t>
      </w:r>
      <w:r w:rsidR="003D1B4B" w:rsidRPr="00BB6EBB">
        <w:rPr>
          <w:b/>
          <w:sz w:val="28"/>
          <w:szCs w:val="28"/>
        </w:rPr>
        <w:t>„</w:t>
      </w:r>
      <w:r w:rsidR="003D1B4B" w:rsidRPr="00BB6EBB">
        <w:rPr>
          <w:b/>
          <w:bCs/>
          <w:sz w:val="28"/>
          <w:szCs w:val="28"/>
        </w:rPr>
        <w:t xml:space="preserve">Noteikumi par darbības programmas </w:t>
      </w:r>
      <w:r w:rsidR="003D1B4B">
        <w:rPr>
          <w:b/>
          <w:bCs/>
          <w:sz w:val="28"/>
          <w:szCs w:val="28"/>
        </w:rPr>
        <w:t>„</w:t>
      </w:r>
      <w:r w:rsidR="003D1B4B" w:rsidRPr="00BB6EBB">
        <w:rPr>
          <w:b/>
          <w:bCs/>
          <w:sz w:val="28"/>
          <w:szCs w:val="28"/>
        </w:rPr>
        <w:t xml:space="preserve">Infrastruktūra un pakalpojumi” papildinājuma 3.2.2.1.2.apakšaktivitāti </w:t>
      </w:r>
      <w:r w:rsidR="003D1B4B">
        <w:rPr>
          <w:b/>
          <w:bCs/>
          <w:sz w:val="28"/>
          <w:szCs w:val="28"/>
        </w:rPr>
        <w:t>„</w:t>
      </w:r>
      <w:r w:rsidR="003D1B4B" w:rsidRPr="00BB6EBB">
        <w:rPr>
          <w:b/>
          <w:bCs/>
          <w:sz w:val="28"/>
          <w:szCs w:val="28"/>
        </w:rPr>
        <w:t>Izglītības iestāžu informatizācija”</w:t>
      </w:r>
      <w:r w:rsidR="003D1B4B" w:rsidRPr="00BB6EBB">
        <w:rPr>
          <w:b/>
          <w:sz w:val="28"/>
          <w:szCs w:val="28"/>
        </w:rPr>
        <w:t>”</w:t>
      </w:r>
      <w:r w:rsidRPr="006D3EC2">
        <w:rPr>
          <w:b/>
          <w:sz w:val="28"/>
          <w:szCs w:val="28"/>
        </w:rPr>
        <w:t>”</w:t>
      </w:r>
      <w:r w:rsidRPr="00EB6654">
        <w:rPr>
          <w:b/>
          <w:sz w:val="28"/>
          <w:szCs w:val="28"/>
        </w:rPr>
        <w:t xml:space="preserve"> sākotnējās ietekmes novērtējuma ziņojums (anotācija)</w:t>
      </w:r>
      <w:bookmarkEnd w:id="0"/>
      <w:bookmarkEnd w:id="1"/>
    </w:p>
    <w:bookmarkEnd w:id="2"/>
    <w:bookmarkEnd w:id="3"/>
    <w:bookmarkEnd w:id="4"/>
    <w:p w:rsidR="00552427" w:rsidRPr="0076112F" w:rsidRDefault="00552427" w:rsidP="00552427">
      <w:pPr>
        <w:ind w:firstLine="720"/>
        <w:jc w:val="center"/>
        <w:rPr>
          <w:sz w:val="27"/>
          <w:szCs w:val="27"/>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4"/>
        <w:gridCol w:w="1561"/>
        <w:gridCol w:w="7371"/>
      </w:tblGrid>
      <w:tr w:rsidR="007A6DB9" w:rsidRPr="0076112F" w:rsidTr="005D0D5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F2D34" w:rsidRDefault="007A6DB9" w:rsidP="007A6DB9">
            <w:pPr>
              <w:jc w:val="center"/>
              <w:rPr>
                <w:b/>
                <w:bCs/>
                <w:sz w:val="27"/>
                <w:szCs w:val="27"/>
              </w:rPr>
            </w:pPr>
            <w:r w:rsidRPr="002F2D34">
              <w:rPr>
                <w:b/>
                <w:bCs/>
                <w:sz w:val="27"/>
                <w:szCs w:val="27"/>
              </w:rPr>
              <w:t>I. Tiesību akta projekta izstrādes nepieciešamība</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1.</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Pamatojums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0F658B" w:rsidP="000C4687">
            <w:pPr>
              <w:jc w:val="both"/>
              <w:rPr>
                <w:sz w:val="28"/>
                <w:szCs w:val="28"/>
              </w:rPr>
            </w:pPr>
            <w:r w:rsidRPr="000C4687">
              <w:rPr>
                <w:iCs/>
                <w:sz w:val="28"/>
                <w:szCs w:val="28"/>
              </w:rPr>
              <w:t>Eiropas Savienības struktūrfondu un Kohēzijas fonda vadības likuma 18.panta 10.punkts</w:t>
            </w:r>
            <w:r w:rsidR="008B4103">
              <w:rPr>
                <w:iCs/>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2.</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Pašreizējā situācija un problēmas</w:t>
            </w:r>
          </w:p>
        </w:tc>
        <w:tc>
          <w:tcPr>
            <w:tcW w:w="3939" w:type="pct"/>
            <w:tcBorders>
              <w:top w:val="outset" w:sz="6" w:space="0" w:color="000000"/>
              <w:left w:val="outset" w:sz="6" w:space="0" w:color="000000"/>
              <w:bottom w:val="outset" w:sz="6" w:space="0" w:color="000000"/>
              <w:right w:val="outset" w:sz="6" w:space="0" w:color="000000"/>
            </w:tcBorders>
            <w:hideMark/>
          </w:tcPr>
          <w:p w:rsidR="00C0358C" w:rsidRDefault="00C0358C" w:rsidP="00546013">
            <w:pPr>
              <w:spacing w:after="60"/>
              <w:jc w:val="both"/>
              <w:rPr>
                <w:sz w:val="28"/>
                <w:szCs w:val="28"/>
              </w:rPr>
            </w:pPr>
            <w:r w:rsidRPr="00C0358C">
              <w:rPr>
                <w:bCs/>
                <w:sz w:val="28"/>
                <w:szCs w:val="28"/>
              </w:rPr>
              <w:t xml:space="preserve">Ministru kabineta </w:t>
            </w:r>
            <w:r w:rsidRPr="00C0358C">
              <w:rPr>
                <w:sz w:val="28"/>
                <w:szCs w:val="28"/>
              </w:rPr>
              <w:t>2008.gada 5.august</w:t>
            </w:r>
            <w:r>
              <w:rPr>
                <w:sz w:val="28"/>
                <w:szCs w:val="28"/>
              </w:rPr>
              <w:t>a</w:t>
            </w:r>
            <w:r w:rsidRPr="00C0358C">
              <w:rPr>
                <w:sz w:val="28"/>
                <w:szCs w:val="28"/>
              </w:rPr>
              <w:t xml:space="preserve"> </w:t>
            </w:r>
            <w:r w:rsidRPr="00C0358C">
              <w:rPr>
                <w:bCs/>
                <w:sz w:val="28"/>
                <w:szCs w:val="28"/>
              </w:rPr>
              <w:t>noteikum</w:t>
            </w:r>
            <w:r>
              <w:rPr>
                <w:bCs/>
                <w:sz w:val="28"/>
                <w:szCs w:val="28"/>
              </w:rPr>
              <w:t>u</w:t>
            </w:r>
            <w:r w:rsidRPr="00C0358C">
              <w:rPr>
                <w:bCs/>
                <w:sz w:val="28"/>
                <w:szCs w:val="28"/>
              </w:rPr>
              <w:t xml:space="preserve"> Nr.649</w:t>
            </w:r>
            <w:r>
              <w:rPr>
                <w:bCs/>
                <w:sz w:val="28"/>
                <w:szCs w:val="28"/>
              </w:rPr>
              <w:t xml:space="preserve"> „</w:t>
            </w:r>
            <w:r w:rsidRPr="00C0358C">
              <w:rPr>
                <w:bCs/>
                <w:sz w:val="28"/>
                <w:szCs w:val="28"/>
              </w:rPr>
              <w:t xml:space="preserve">Noteikumi par darbības programmas </w:t>
            </w:r>
            <w:r w:rsidR="001E5507">
              <w:rPr>
                <w:bCs/>
                <w:sz w:val="28"/>
                <w:szCs w:val="28"/>
              </w:rPr>
              <w:t>„</w:t>
            </w:r>
            <w:r w:rsidRPr="00C0358C">
              <w:rPr>
                <w:bCs/>
                <w:sz w:val="28"/>
                <w:szCs w:val="28"/>
              </w:rPr>
              <w:t>Infrastruktūra un pakalpojumi” papildinā</w:t>
            </w:r>
            <w:r w:rsidR="001E5507">
              <w:rPr>
                <w:bCs/>
                <w:sz w:val="28"/>
                <w:szCs w:val="28"/>
              </w:rPr>
              <w:t>juma 3.2.2.1.2.apakšaktivitāti „</w:t>
            </w:r>
            <w:r w:rsidRPr="00C0358C">
              <w:rPr>
                <w:bCs/>
                <w:sz w:val="28"/>
                <w:szCs w:val="28"/>
              </w:rPr>
              <w:t>Izglītības iestāžu informatizācija”</w:t>
            </w:r>
            <w:r>
              <w:rPr>
                <w:bCs/>
                <w:sz w:val="28"/>
                <w:szCs w:val="28"/>
              </w:rPr>
              <w:t>”</w:t>
            </w:r>
            <w:r w:rsidR="00760882">
              <w:rPr>
                <w:bCs/>
                <w:sz w:val="28"/>
                <w:szCs w:val="28"/>
              </w:rPr>
              <w:t xml:space="preserve"> (turpmāk – MK noteikumi Nr.649)</w:t>
            </w:r>
            <w:r>
              <w:rPr>
                <w:bCs/>
                <w:sz w:val="28"/>
                <w:szCs w:val="28"/>
              </w:rPr>
              <w:t xml:space="preserve"> 50.punkts paredz, ka j</w:t>
            </w:r>
            <w:r w:rsidRPr="00C0358C">
              <w:rPr>
                <w:sz w:val="28"/>
                <w:szCs w:val="28"/>
              </w:rPr>
              <w:t>a sadarbības iestādei ir pieejami finanšu resursi, avansa maksājums var būt līdz 100 procentiem no projekta attiecināmo izmaksu apjoma, kuru sadarbības iestāde finansējuma saņēmējam, kas nav valsts budžeta iestāde, izmaksā dalīti vienošanās par projekta īstenošanu noteiktajos termiņos un kārtībā, kā arī ievērojot nosacījumu, ka finansējuma saņēmējs nodrošina saņemtā avansa maksājuma iekļaušanu Eiropas Savienības finansējuma saņēmēja maksājuma pieprasījumā ne vēlāk kā sešus mēnešus pēc avansa saņemšanas</w:t>
            </w:r>
            <w:r>
              <w:rPr>
                <w:sz w:val="28"/>
                <w:szCs w:val="28"/>
              </w:rPr>
              <w:t>. Savukārt, Ministru kabineta 2010.gada 9.novembra noteikumu Nr.1041 „</w:t>
            </w:r>
            <w:r w:rsidRPr="00C0358C">
              <w:rPr>
                <w:bCs/>
                <w:sz w:val="28"/>
                <w:szCs w:val="28"/>
              </w:rPr>
              <w:t xml:space="preserve">Kārtība, kādā paredzami valsts budžeta līdzekļi Eiropas Savienības struktūrfondu un Kohēzijas fonda </w:t>
            </w:r>
            <w:proofErr w:type="spellStart"/>
            <w:r w:rsidRPr="00C0358C">
              <w:rPr>
                <w:bCs/>
                <w:sz w:val="28"/>
                <w:szCs w:val="28"/>
              </w:rPr>
              <w:t>līdzfinansēto</w:t>
            </w:r>
            <w:proofErr w:type="spellEnd"/>
            <w:r w:rsidRPr="00C0358C">
              <w:rPr>
                <w:bCs/>
                <w:sz w:val="28"/>
                <w:szCs w:val="28"/>
              </w:rPr>
              <w:t xml:space="preserve"> projektu īstenošanai, kā arī maksājumu veikšanas un izdevumu deklarācijas sagatavošanas kārtība</w:t>
            </w:r>
            <w:r w:rsidRPr="00C0358C">
              <w:rPr>
                <w:sz w:val="28"/>
                <w:szCs w:val="28"/>
              </w:rPr>
              <w:t>”</w:t>
            </w:r>
            <w:r w:rsidR="001E5507">
              <w:rPr>
                <w:sz w:val="28"/>
                <w:szCs w:val="28"/>
              </w:rPr>
              <w:t xml:space="preserve"> (turpmāk – MK noteikumi Nr.1041)</w:t>
            </w:r>
            <w:r>
              <w:rPr>
                <w:sz w:val="28"/>
                <w:szCs w:val="28"/>
              </w:rPr>
              <w:t xml:space="preserve"> 38.punkts nosaka, ka a</w:t>
            </w:r>
            <w:r w:rsidRPr="00C0358C">
              <w:rPr>
                <w:sz w:val="28"/>
                <w:szCs w:val="28"/>
              </w:rPr>
              <w:t>tbildīgā iestāde vai sadarbības iestāde izvērtē avansa maksājuma atgriešanas lietderību, ņemot vērā finansējuma saņēmēja plānotās Eiropas Savienības fonda projekta aktivitātes, piešķirtā avansa maksājuma neizmantošanas iemeslus, starpposma maksājuma apmēru un nākamo avansa maksājuma termiņu, un var lemt par finansējuma saņēmēja neizmantotā avansa maksājuma atgriešanu</w:t>
            </w:r>
            <w:r w:rsidR="00760882">
              <w:rPr>
                <w:sz w:val="28"/>
                <w:szCs w:val="28"/>
              </w:rPr>
              <w:t>.</w:t>
            </w:r>
          </w:p>
          <w:p w:rsidR="00760882" w:rsidRDefault="00760882" w:rsidP="00546013">
            <w:pPr>
              <w:spacing w:after="60"/>
              <w:jc w:val="both"/>
              <w:rPr>
                <w:color w:val="000000"/>
                <w:sz w:val="28"/>
                <w:szCs w:val="28"/>
              </w:rPr>
            </w:pPr>
            <w:r w:rsidRPr="00760882">
              <w:rPr>
                <w:color w:val="000000"/>
                <w:sz w:val="28"/>
                <w:szCs w:val="28"/>
              </w:rPr>
              <w:t xml:space="preserve">2011.gada 18.februārī Iepirkumu uzraudzības biroja Iesniegumu izskatīšanas komisija ar lēmumu Nr.4-1.2/10-318/2 nolēma pārtraukt iepirkumu procedūru „Stacionāro datoru un multimediju kabinetu aprīkojuma iegāde </w:t>
            </w:r>
            <w:proofErr w:type="spellStart"/>
            <w:r w:rsidRPr="00760882">
              <w:rPr>
                <w:color w:val="000000"/>
                <w:sz w:val="28"/>
                <w:szCs w:val="28"/>
              </w:rPr>
              <w:t>apakšaktivitātes</w:t>
            </w:r>
            <w:proofErr w:type="spellEnd"/>
            <w:r w:rsidRPr="00760882">
              <w:rPr>
                <w:color w:val="000000"/>
                <w:sz w:val="28"/>
                <w:szCs w:val="28"/>
              </w:rPr>
              <w:t xml:space="preserve"> „Izglītības iestāžu informatizācija” ietvaros”, identifikācijas Nr. IZM 2010/26/AK/ERAF</w:t>
            </w:r>
            <w:r>
              <w:rPr>
                <w:color w:val="000000"/>
                <w:sz w:val="28"/>
                <w:szCs w:val="28"/>
              </w:rPr>
              <w:t>, līdz ar to finansējuma saņēmējiem piešķirt</w:t>
            </w:r>
            <w:r w:rsidR="00073F52">
              <w:rPr>
                <w:color w:val="000000"/>
                <w:sz w:val="28"/>
                <w:szCs w:val="28"/>
              </w:rPr>
              <w:t>o</w:t>
            </w:r>
            <w:r>
              <w:rPr>
                <w:color w:val="000000"/>
                <w:sz w:val="28"/>
                <w:szCs w:val="28"/>
              </w:rPr>
              <w:t xml:space="preserve"> avans</w:t>
            </w:r>
            <w:r w:rsidR="00073F52">
              <w:rPr>
                <w:color w:val="000000"/>
                <w:sz w:val="28"/>
                <w:szCs w:val="28"/>
              </w:rPr>
              <w:t>u</w:t>
            </w:r>
            <w:r>
              <w:rPr>
                <w:color w:val="000000"/>
                <w:sz w:val="28"/>
                <w:szCs w:val="28"/>
              </w:rPr>
              <w:t xml:space="preserve"> nav </w:t>
            </w:r>
            <w:r w:rsidR="00073F52">
              <w:rPr>
                <w:color w:val="000000"/>
                <w:sz w:val="28"/>
                <w:szCs w:val="28"/>
              </w:rPr>
              <w:t xml:space="preserve">iespējams </w:t>
            </w:r>
            <w:r>
              <w:rPr>
                <w:color w:val="000000"/>
                <w:sz w:val="28"/>
                <w:szCs w:val="28"/>
              </w:rPr>
              <w:t xml:space="preserve">izlietot MK noteikumu Nr.649 50.punktā </w:t>
            </w:r>
            <w:r w:rsidR="00073F52">
              <w:rPr>
                <w:color w:val="000000"/>
                <w:sz w:val="28"/>
                <w:szCs w:val="28"/>
              </w:rPr>
              <w:t>noteiktajā laikā.</w:t>
            </w:r>
          </w:p>
          <w:p w:rsidR="001E5507" w:rsidRPr="0090594F" w:rsidRDefault="001E5507" w:rsidP="00546013">
            <w:pPr>
              <w:spacing w:after="60"/>
              <w:jc w:val="both"/>
              <w:rPr>
                <w:sz w:val="28"/>
                <w:szCs w:val="26"/>
              </w:rPr>
            </w:pPr>
            <w:r>
              <w:rPr>
                <w:color w:val="000000"/>
                <w:sz w:val="28"/>
                <w:szCs w:val="28"/>
              </w:rPr>
              <w:lastRenderedPageBreak/>
              <w:t xml:space="preserve">Ņemot vērā iepriekšminēto, ir nepieciešams </w:t>
            </w:r>
            <w:r w:rsidRPr="001E5507">
              <w:rPr>
                <w:color w:val="000000"/>
                <w:sz w:val="28"/>
                <w:szCs w:val="28"/>
              </w:rPr>
              <w:t>finansējuma saņēmējiem nodrošināt iespēju izlietot piešķirto avansu 3.2.2.1.2.apakšaktivitātē „</w:t>
            </w:r>
            <w:r w:rsidRPr="00C0358C">
              <w:rPr>
                <w:bCs/>
                <w:sz w:val="28"/>
                <w:szCs w:val="28"/>
              </w:rPr>
              <w:t>Izglītības iestāžu informatizācija</w:t>
            </w:r>
            <w:r w:rsidRPr="001E5507">
              <w:rPr>
                <w:color w:val="000000"/>
                <w:sz w:val="28"/>
                <w:szCs w:val="28"/>
              </w:rPr>
              <w:t>”</w:t>
            </w:r>
            <w:r w:rsidR="00902D68">
              <w:rPr>
                <w:color w:val="000000"/>
                <w:sz w:val="28"/>
                <w:szCs w:val="28"/>
              </w:rPr>
              <w:t xml:space="preserve"> (turpmāk – 3.2.2.1.2.apakšaktivitāte)</w:t>
            </w:r>
            <w:r w:rsidRPr="001E5507">
              <w:rPr>
                <w:color w:val="000000"/>
                <w:sz w:val="28"/>
                <w:szCs w:val="28"/>
              </w:rPr>
              <w:t xml:space="preserve"> </w:t>
            </w:r>
            <w:r>
              <w:rPr>
                <w:color w:val="000000"/>
                <w:sz w:val="28"/>
                <w:szCs w:val="28"/>
              </w:rPr>
              <w:t xml:space="preserve">noteiktā </w:t>
            </w:r>
            <w:r w:rsidRPr="001E5507">
              <w:rPr>
                <w:color w:val="000000"/>
                <w:sz w:val="28"/>
                <w:szCs w:val="28"/>
              </w:rPr>
              <w:t>informācijas tehnoloģiju aprīkojum</w:t>
            </w:r>
            <w:r>
              <w:rPr>
                <w:color w:val="000000"/>
                <w:sz w:val="28"/>
                <w:szCs w:val="28"/>
              </w:rPr>
              <w:t>a</w:t>
            </w:r>
            <w:r w:rsidRPr="001E5507">
              <w:rPr>
                <w:color w:val="000000"/>
                <w:sz w:val="28"/>
                <w:szCs w:val="28"/>
              </w:rPr>
              <w:t xml:space="preserve"> </w:t>
            </w:r>
            <w:r>
              <w:rPr>
                <w:color w:val="000000"/>
                <w:sz w:val="28"/>
                <w:szCs w:val="28"/>
              </w:rPr>
              <w:t xml:space="preserve">iegādei, lai tas būtu </w:t>
            </w:r>
            <w:r w:rsidRPr="001E5507">
              <w:rPr>
                <w:color w:val="000000"/>
                <w:sz w:val="28"/>
                <w:szCs w:val="28"/>
              </w:rPr>
              <w:t>pieejams vispārējām un profesionālajām izglītības iestādēm 2011./2012.mācību gada sākumā</w:t>
            </w:r>
            <w:r>
              <w:rPr>
                <w:color w:val="000000"/>
                <w:sz w:val="28"/>
                <w:szCs w:val="28"/>
              </w:rPr>
              <w:t xml:space="preserve">, </w:t>
            </w:r>
            <w:r>
              <w:rPr>
                <w:sz w:val="28"/>
                <w:szCs w:val="26"/>
              </w:rPr>
              <w:t>veico</w:t>
            </w:r>
            <w:r w:rsidRPr="0090594F">
              <w:rPr>
                <w:sz w:val="28"/>
                <w:szCs w:val="26"/>
              </w:rPr>
              <w:t>t grozījumu</w:t>
            </w:r>
            <w:r>
              <w:rPr>
                <w:sz w:val="28"/>
                <w:szCs w:val="26"/>
              </w:rPr>
              <w:t>s</w:t>
            </w:r>
            <w:r w:rsidRPr="0090594F">
              <w:rPr>
                <w:sz w:val="28"/>
                <w:szCs w:val="26"/>
              </w:rPr>
              <w:t xml:space="preserve"> </w:t>
            </w:r>
            <w:r>
              <w:rPr>
                <w:sz w:val="28"/>
                <w:szCs w:val="26"/>
              </w:rPr>
              <w:t>MK noteikumos Nr.649</w:t>
            </w:r>
            <w:r w:rsidRPr="0090594F">
              <w:rPr>
                <w:sz w:val="28"/>
                <w:szCs w:val="26"/>
              </w:rPr>
              <w:t>,</w:t>
            </w:r>
            <w:r>
              <w:rPr>
                <w:sz w:val="28"/>
                <w:szCs w:val="26"/>
              </w:rPr>
              <w:t xml:space="preserve"> svītrojot tajos noteikto termiņu piešķirtā avansa maksājuma apguvei un paredzot</w:t>
            </w:r>
            <w:r w:rsidRPr="0090594F">
              <w:rPr>
                <w:sz w:val="28"/>
                <w:szCs w:val="26"/>
              </w:rPr>
              <w:t xml:space="preserve"> piemēro</w:t>
            </w:r>
            <w:r>
              <w:rPr>
                <w:sz w:val="28"/>
                <w:szCs w:val="26"/>
              </w:rPr>
              <w:t>t</w:t>
            </w:r>
            <w:r w:rsidRPr="0090594F">
              <w:rPr>
                <w:sz w:val="28"/>
                <w:szCs w:val="26"/>
              </w:rPr>
              <w:t xml:space="preserve"> avansa maksājuma izlietošanas kārtību atbilstoši </w:t>
            </w:r>
            <w:r>
              <w:rPr>
                <w:sz w:val="28"/>
                <w:szCs w:val="26"/>
              </w:rPr>
              <w:t>MK noteikumu Nr.1041 regulējumam (36. un</w:t>
            </w:r>
            <w:r w:rsidRPr="0090594F">
              <w:rPr>
                <w:sz w:val="28"/>
                <w:szCs w:val="26"/>
              </w:rPr>
              <w:t xml:space="preserve"> 38.punkts).</w:t>
            </w:r>
          </w:p>
          <w:p w:rsidR="002A652D" w:rsidRDefault="001E5507" w:rsidP="00546013">
            <w:pPr>
              <w:spacing w:after="60"/>
              <w:jc w:val="both"/>
              <w:rPr>
                <w:sz w:val="28"/>
                <w:szCs w:val="28"/>
              </w:rPr>
            </w:pPr>
            <w:r>
              <w:rPr>
                <w:sz w:val="28"/>
                <w:szCs w:val="28"/>
              </w:rPr>
              <w:t>MK noteikumu Nr.649</w:t>
            </w:r>
            <w:r w:rsidR="00C25F63" w:rsidRPr="00393409">
              <w:rPr>
                <w:sz w:val="28"/>
                <w:szCs w:val="28"/>
              </w:rPr>
              <w:t xml:space="preserve"> </w:t>
            </w:r>
            <w:r>
              <w:rPr>
                <w:sz w:val="28"/>
                <w:szCs w:val="28"/>
              </w:rPr>
              <w:t>2</w:t>
            </w:r>
            <w:r w:rsidR="00C25F63" w:rsidRPr="00393409">
              <w:rPr>
                <w:sz w:val="28"/>
                <w:szCs w:val="28"/>
              </w:rPr>
              <w:t>.</w:t>
            </w:r>
            <w:r>
              <w:rPr>
                <w:sz w:val="28"/>
                <w:szCs w:val="28"/>
              </w:rPr>
              <w:t xml:space="preserve"> un 56.</w:t>
            </w:r>
            <w:r w:rsidR="00C25F63" w:rsidRPr="00393409">
              <w:rPr>
                <w:sz w:val="28"/>
                <w:szCs w:val="28"/>
              </w:rPr>
              <w:t xml:space="preserve">punkts nosaka, ka </w:t>
            </w:r>
            <w:r w:rsidR="002A652D" w:rsidRPr="002A652D">
              <w:rPr>
                <w:sz w:val="28"/>
                <w:szCs w:val="28"/>
              </w:rPr>
              <w:t>līdz 2015.gada 30.jūnijam izglītības iestā</w:t>
            </w:r>
            <w:r w:rsidR="002A652D">
              <w:rPr>
                <w:sz w:val="28"/>
                <w:szCs w:val="28"/>
              </w:rPr>
              <w:t>des</w:t>
            </w:r>
            <w:r w:rsidR="002A652D" w:rsidRPr="002A652D">
              <w:rPr>
                <w:sz w:val="28"/>
                <w:szCs w:val="28"/>
              </w:rPr>
              <w:t xml:space="preserve"> </w:t>
            </w:r>
            <w:r w:rsidR="002A652D">
              <w:rPr>
                <w:sz w:val="28"/>
                <w:szCs w:val="28"/>
              </w:rPr>
              <w:t xml:space="preserve">tiks </w:t>
            </w:r>
            <w:r w:rsidR="002A652D" w:rsidRPr="002A652D">
              <w:rPr>
                <w:sz w:val="28"/>
                <w:szCs w:val="28"/>
              </w:rPr>
              <w:t>nodrošinā</w:t>
            </w:r>
            <w:r w:rsidR="002A652D">
              <w:rPr>
                <w:sz w:val="28"/>
                <w:szCs w:val="28"/>
              </w:rPr>
              <w:t>t</w:t>
            </w:r>
            <w:r w:rsidR="002A652D" w:rsidRPr="002A652D">
              <w:rPr>
                <w:sz w:val="28"/>
                <w:szCs w:val="28"/>
              </w:rPr>
              <w:t>a</w:t>
            </w:r>
            <w:r w:rsidR="002A652D">
              <w:rPr>
                <w:sz w:val="28"/>
                <w:szCs w:val="28"/>
              </w:rPr>
              <w:t>s</w:t>
            </w:r>
            <w:r w:rsidR="002A652D" w:rsidRPr="002A652D">
              <w:rPr>
                <w:sz w:val="28"/>
                <w:szCs w:val="28"/>
              </w:rPr>
              <w:t xml:space="preserve"> ar atbilstošu, izmaksu efektīvu, drošu un uzticamu informācijas un komunikāciju tehnoloģiju infrastruktūru, lai izglītības iestādēs un izglītības procesā plašāk un efektīvāk izmantotu informācijas un komunikāciju tehnoloģijas, tādējādi uzlabojot izglītības kvalitāti un efektivitāti</w:t>
            </w:r>
            <w:r w:rsidR="002A652D">
              <w:rPr>
                <w:sz w:val="28"/>
                <w:szCs w:val="28"/>
              </w:rPr>
              <w:t xml:space="preserve">. </w:t>
            </w:r>
          </w:p>
          <w:p w:rsidR="00C25F63" w:rsidRDefault="002A652D" w:rsidP="00546013">
            <w:pPr>
              <w:spacing w:after="60"/>
              <w:jc w:val="both"/>
              <w:rPr>
                <w:sz w:val="28"/>
                <w:szCs w:val="28"/>
              </w:rPr>
            </w:pPr>
            <w:r>
              <w:rPr>
                <w:sz w:val="28"/>
                <w:szCs w:val="28"/>
              </w:rPr>
              <w:t>MK</w:t>
            </w:r>
            <w:r w:rsidR="00C25F63" w:rsidRPr="00393409">
              <w:rPr>
                <w:sz w:val="28"/>
                <w:szCs w:val="28"/>
              </w:rPr>
              <w:t xml:space="preserve"> noteiku</w:t>
            </w:r>
            <w:r w:rsidR="00C25F63">
              <w:rPr>
                <w:sz w:val="28"/>
                <w:szCs w:val="28"/>
              </w:rPr>
              <w:t>mo</w:t>
            </w:r>
            <w:r w:rsidR="00C25F63" w:rsidRPr="00393409">
              <w:rPr>
                <w:sz w:val="28"/>
                <w:szCs w:val="28"/>
              </w:rPr>
              <w:t>s</w:t>
            </w:r>
            <w:r>
              <w:rPr>
                <w:sz w:val="28"/>
                <w:szCs w:val="28"/>
              </w:rPr>
              <w:t xml:space="preserve"> Nr.649</w:t>
            </w:r>
            <w:r w:rsidR="00C25F63" w:rsidRPr="00393409">
              <w:rPr>
                <w:sz w:val="28"/>
                <w:szCs w:val="28"/>
              </w:rPr>
              <w:t xml:space="preserve"> nav paredzēts tiesiskais regulējums situācijai, ja kāda no Eiropas Reģionālās attīstības fonda projektā iekļautajām izglītības iestādēm </w:t>
            </w:r>
            <w:r w:rsidR="00400E59">
              <w:rPr>
                <w:sz w:val="28"/>
                <w:szCs w:val="28"/>
              </w:rPr>
              <w:t xml:space="preserve">izbeidz savu darbību </w:t>
            </w:r>
            <w:r w:rsidR="00E039D0">
              <w:rPr>
                <w:sz w:val="28"/>
                <w:szCs w:val="28"/>
              </w:rPr>
              <w:t>un ir</w:t>
            </w:r>
            <w:r w:rsidR="00C25F63" w:rsidRPr="00393409">
              <w:rPr>
                <w:sz w:val="28"/>
                <w:szCs w:val="28"/>
              </w:rPr>
              <w:t xml:space="preserve"> apvienota ar citu izglītības iestādi (reorganizēta). </w:t>
            </w:r>
            <w:r w:rsidR="00C25F63">
              <w:rPr>
                <w:sz w:val="28"/>
                <w:szCs w:val="28"/>
              </w:rPr>
              <w:t xml:space="preserve">Šobrīd vairākās pašvaldībās izglītības iestāžu tīkla optimizācijas rezultātā veidojas situācija, ka nav iespējams projekta īstenošanā sasniegt </w:t>
            </w:r>
            <w:r w:rsidR="00902D68">
              <w:rPr>
                <w:sz w:val="28"/>
                <w:szCs w:val="28"/>
              </w:rPr>
              <w:t>3.2.2.1.2</w:t>
            </w:r>
            <w:r w:rsidR="00C25F63">
              <w:rPr>
                <w:sz w:val="28"/>
                <w:szCs w:val="28"/>
              </w:rPr>
              <w:t>.</w:t>
            </w:r>
            <w:r w:rsidR="00902D68">
              <w:rPr>
                <w:sz w:val="28"/>
                <w:szCs w:val="28"/>
              </w:rPr>
              <w:t>apakš</w:t>
            </w:r>
            <w:r w:rsidR="00C25F63">
              <w:rPr>
                <w:sz w:val="28"/>
                <w:szCs w:val="28"/>
              </w:rPr>
              <w:t>aktivitātes mērķi, ja netiek atbalstīti projekta grozījumi, kas ļauj reorganizēto izglītības iestāžu vietā iekļaut citu izglītības iestādi, kura ir pārņēmusi reorganizētās izglītības iestādes izglītojamos,</w:t>
            </w:r>
            <w:r w:rsidR="00E07879">
              <w:rPr>
                <w:sz w:val="28"/>
                <w:szCs w:val="28"/>
              </w:rPr>
              <w:t xml:space="preserve"> kā arī tai </w:t>
            </w:r>
            <w:r w:rsidR="00C25F63">
              <w:rPr>
                <w:sz w:val="28"/>
                <w:szCs w:val="28"/>
              </w:rPr>
              <w:t>iegādāties papildu aprīkojumu</w:t>
            </w:r>
            <w:r w:rsidR="00E07879">
              <w:rPr>
                <w:sz w:val="28"/>
                <w:szCs w:val="28"/>
              </w:rPr>
              <w:t>, pamatojoties uz izglītojamo pieaugumu</w:t>
            </w:r>
            <w:r w:rsidR="00C25F63">
              <w:rPr>
                <w:sz w:val="28"/>
                <w:szCs w:val="28"/>
              </w:rPr>
              <w:t xml:space="preserve">. </w:t>
            </w:r>
          </w:p>
          <w:p w:rsidR="00CC2DFE" w:rsidRDefault="00C25F63" w:rsidP="00546013">
            <w:pPr>
              <w:spacing w:after="60"/>
              <w:jc w:val="both"/>
              <w:rPr>
                <w:sz w:val="28"/>
                <w:szCs w:val="28"/>
              </w:rPr>
            </w:pPr>
            <w:r w:rsidRPr="00902D68">
              <w:rPr>
                <w:sz w:val="28"/>
                <w:szCs w:val="28"/>
              </w:rPr>
              <w:t>Lai nodrošinātu, ka Eiropas Savienības struktūrfondu līdzekļi ti</w:t>
            </w:r>
            <w:r w:rsidR="00CC2DFE">
              <w:rPr>
                <w:sz w:val="28"/>
                <w:szCs w:val="28"/>
              </w:rPr>
              <w:t>e</w:t>
            </w:r>
            <w:r w:rsidRPr="00902D68">
              <w:rPr>
                <w:sz w:val="28"/>
                <w:szCs w:val="28"/>
              </w:rPr>
              <w:t xml:space="preserve">k ieguldīti </w:t>
            </w:r>
            <w:proofErr w:type="spellStart"/>
            <w:r w:rsidRPr="00902D68">
              <w:rPr>
                <w:sz w:val="28"/>
                <w:szCs w:val="28"/>
              </w:rPr>
              <w:t>ilgtspējīgās</w:t>
            </w:r>
            <w:proofErr w:type="spellEnd"/>
            <w:r w:rsidRPr="00902D68">
              <w:rPr>
                <w:sz w:val="28"/>
                <w:szCs w:val="28"/>
              </w:rPr>
              <w:t xml:space="preserve"> izglītības iestādēs atbilstoši esošajai situācijai pēc administratīvi teritoriālās reformas un izglītības iestāžu tīkla optimizācijas, finansējuma saņēmējam ir jādod iespēja aizstāt projekta labuma guvēju (projektā sākotnēji iekļauto izglītības iestādi) ar citu izglītības iestādi, kas tiek izveidota, ja labuma guvējs tiek apvienots ar citu labuma guvēju. </w:t>
            </w:r>
          </w:p>
          <w:p w:rsidR="00334CCF" w:rsidRPr="0098336A" w:rsidRDefault="00C25F63" w:rsidP="00546013">
            <w:pPr>
              <w:spacing w:after="60"/>
              <w:jc w:val="both"/>
              <w:rPr>
                <w:sz w:val="28"/>
                <w:szCs w:val="28"/>
              </w:rPr>
            </w:pPr>
            <w:r>
              <w:rPr>
                <w:sz w:val="28"/>
                <w:szCs w:val="28"/>
              </w:rPr>
              <w:t xml:space="preserve">Lai nodrošinātu mērķtiecīgu Eiropas Savienības struktūrfondu finansējuma ieguldījumu, </w:t>
            </w:r>
            <w:r w:rsidR="006816A0">
              <w:rPr>
                <w:sz w:val="28"/>
                <w:szCs w:val="28"/>
              </w:rPr>
              <w:t>paredzot vienādas iespējas visā</w:t>
            </w:r>
            <w:r>
              <w:rPr>
                <w:sz w:val="28"/>
                <w:szCs w:val="28"/>
              </w:rPr>
              <w:t>m izglīt</w:t>
            </w:r>
            <w:r w:rsidR="006816A0">
              <w:rPr>
                <w:sz w:val="28"/>
                <w:szCs w:val="28"/>
              </w:rPr>
              <w:t xml:space="preserve">ības iestādēm nodrošināt </w:t>
            </w:r>
            <w:r w:rsidR="006816A0" w:rsidRPr="006816A0">
              <w:rPr>
                <w:sz w:val="28"/>
                <w:szCs w:val="28"/>
              </w:rPr>
              <w:t xml:space="preserve">atbilstošu, izmaksu efektīvu, drošu un uzticamu informācijas un komunikāciju tehnoloģiju infrastruktūru, </w:t>
            </w:r>
            <w:r>
              <w:rPr>
                <w:sz w:val="28"/>
                <w:szCs w:val="28"/>
              </w:rPr>
              <w:t>3.</w:t>
            </w:r>
            <w:r w:rsidR="006816A0">
              <w:rPr>
                <w:sz w:val="28"/>
                <w:szCs w:val="28"/>
              </w:rPr>
              <w:t>2.2.</w:t>
            </w:r>
            <w:r>
              <w:rPr>
                <w:sz w:val="28"/>
                <w:szCs w:val="28"/>
              </w:rPr>
              <w:t>1.</w:t>
            </w:r>
            <w:r w:rsidR="006816A0">
              <w:rPr>
                <w:sz w:val="28"/>
                <w:szCs w:val="28"/>
              </w:rPr>
              <w:t>2.apakš</w:t>
            </w:r>
            <w:r>
              <w:rPr>
                <w:sz w:val="28"/>
                <w:szCs w:val="28"/>
              </w:rPr>
              <w:t xml:space="preserve">aktivitātes īstenošanas nosacījumus nepieciešams pielāgot izglītības iestāžu tīkla </w:t>
            </w:r>
            <w:r>
              <w:rPr>
                <w:sz w:val="28"/>
                <w:szCs w:val="28"/>
              </w:rPr>
              <w:lastRenderedPageBreak/>
              <w:t xml:space="preserve">optimizācijas gaitai un rezultātiem, veicot attiecīgus grozījumus noteikumos par </w:t>
            </w:r>
            <w:r w:rsidR="00136B70">
              <w:rPr>
                <w:sz w:val="28"/>
                <w:szCs w:val="28"/>
              </w:rPr>
              <w:t>3.2.2.1.2.apakš</w:t>
            </w:r>
            <w:r>
              <w:rPr>
                <w:sz w:val="28"/>
                <w:szCs w:val="28"/>
              </w:rPr>
              <w:t>aktivitātes īstenošanu.</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3.</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Saistītie politikas ietekmes novērtējumi un pētījumi</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C4687">
            <w:pPr>
              <w:rPr>
                <w:sz w:val="28"/>
                <w:szCs w:val="28"/>
              </w:rPr>
            </w:pPr>
            <w:r>
              <w:rPr>
                <w:sz w:val="28"/>
                <w:szCs w:val="28"/>
              </w:rPr>
              <w:t>Projekts šo jomu neskar</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4.</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Tiesiskā regulējuma mērķis un būtība</w:t>
            </w:r>
          </w:p>
        </w:tc>
        <w:tc>
          <w:tcPr>
            <w:tcW w:w="3939" w:type="pct"/>
            <w:tcBorders>
              <w:top w:val="outset" w:sz="6" w:space="0" w:color="000000"/>
              <w:left w:val="outset" w:sz="6" w:space="0" w:color="000000"/>
              <w:bottom w:val="outset" w:sz="6" w:space="0" w:color="000000"/>
              <w:right w:val="outset" w:sz="6" w:space="0" w:color="000000"/>
            </w:tcBorders>
            <w:hideMark/>
          </w:tcPr>
          <w:p w:rsidR="00CC3A27" w:rsidRPr="00CC3A27" w:rsidRDefault="00CC3A27" w:rsidP="00CC3A27">
            <w:pPr>
              <w:ind w:right="-1"/>
              <w:jc w:val="both"/>
              <w:rPr>
                <w:sz w:val="28"/>
                <w:szCs w:val="28"/>
              </w:rPr>
            </w:pPr>
            <w:r w:rsidRPr="00CC3A27">
              <w:rPr>
                <w:color w:val="000000"/>
                <w:sz w:val="28"/>
                <w:szCs w:val="28"/>
              </w:rPr>
              <w:t xml:space="preserve">Ministru kabineta noteikumu projekts </w:t>
            </w:r>
            <w:r w:rsidRPr="00CC3A27">
              <w:rPr>
                <w:sz w:val="28"/>
                <w:szCs w:val="28"/>
              </w:rPr>
              <w:t>„</w:t>
            </w:r>
            <w:r w:rsidRPr="00CC3A27">
              <w:rPr>
                <w:bCs/>
                <w:sz w:val="28"/>
                <w:szCs w:val="28"/>
              </w:rPr>
              <w:t xml:space="preserve">Grozījumi Ministru kabineta 2008.gada 5.augusta noteikumos Nr.649 </w:t>
            </w:r>
            <w:r w:rsidRPr="00CC3A27">
              <w:rPr>
                <w:sz w:val="28"/>
                <w:szCs w:val="28"/>
              </w:rPr>
              <w:t>„</w:t>
            </w:r>
            <w:r w:rsidRPr="00CC3A27">
              <w:rPr>
                <w:bCs/>
                <w:sz w:val="28"/>
                <w:szCs w:val="28"/>
              </w:rPr>
              <w:t>Noteikumi par darbības programmas „Infrastruktūra un pakalpojumi” papildinājuma 3.2.2.1.2.apakšaktivitāti „Izglītības iestāžu informatizācija”</w:t>
            </w:r>
            <w:r w:rsidRPr="00CC3A27">
              <w:rPr>
                <w:sz w:val="28"/>
                <w:szCs w:val="28"/>
              </w:rPr>
              <w:t>”” (turpmāk – noteikumu projekts) paredz šādus grozījumus:</w:t>
            </w:r>
          </w:p>
          <w:p w:rsidR="0076471B" w:rsidRPr="0076471B" w:rsidRDefault="00E92BF5" w:rsidP="0076471B">
            <w:pPr>
              <w:pStyle w:val="ListParagraph"/>
              <w:numPr>
                <w:ilvl w:val="0"/>
                <w:numId w:val="16"/>
              </w:numPr>
              <w:spacing w:after="120"/>
              <w:ind w:right="-1"/>
              <w:jc w:val="both"/>
              <w:rPr>
                <w:b/>
                <w:sz w:val="28"/>
                <w:szCs w:val="28"/>
              </w:rPr>
            </w:pPr>
            <w:r w:rsidRPr="0076471B">
              <w:rPr>
                <w:sz w:val="28"/>
                <w:szCs w:val="26"/>
              </w:rPr>
              <w:t xml:space="preserve">svītrot MK noteikumu Nr.649 noteikto termiņu piešķirtā avansa maksājuma apguvei, paredzot piemērot avansa maksājuma izlietošanas kārtību atbilstoši </w:t>
            </w:r>
            <w:r w:rsidR="009253E0" w:rsidRPr="00BB6EBB">
              <w:rPr>
                <w:sz w:val="28"/>
                <w:szCs w:val="28"/>
              </w:rPr>
              <w:t>Ministru kabineta noteikt</w:t>
            </w:r>
            <w:r w:rsidR="009253E0">
              <w:rPr>
                <w:sz w:val="28"/>
                <w:szCs w:val="28"/>
              </w:rPr>
              <w:t>ajai</w:t>
            </w:r>
            <w:r w:rsidR="009253E0" w:rsidRPr="00BB6EBB">
              <w:rPr>
                <w:sz w:val="28"/>
                <w:szCs w:val="28"/>
              </w:rPr>
              <w:t xml:space="preserve"> k</w:t>
            </w:r>
            <w:r w:rsidR="009253E0">
              <w:rPr>
                <w:bCs/>
                <w:sz w:val="28"/>
                <w:szCs w:val="28"/>
              </w:rPr>
              <w:t>ārtībai</w:t>
            </w:r>
            <w:r w:rsidR="009253E0" w:rsidRPr="00BB6EBB">
              <w:rPr>
                <w:bCs/>
                <w:sz w:val="28"/>
                <w:szCs w:val="28"/>
              </w:rPr>
              <w:t xml:space="preserve">, kādā paredzami valsts budžeta līdzekļi Eiropas Savienības struktūrfondu un Kohēzijas fonda </w:t>
            </w:r>
            <w:proofErr w:type="spellStart"/>
            <w:r w:rsidR="009253E0" w:rsidRPr="00BB6EBB">
              <w:rPr>
                <w:bCs/>
                <w:sz w:val="28"/>
                <w:szCs w:val="28"/>
              </w:rPr>
              <w:t>līdzfinansēto</w:t>
            </w:r>
            <w:proofErr w:type="spellEnd"/>
            <w:r w:rsidR="009253E0" w:rsidRPr="00BB6EBB">
              <w:rPr>
                <w:bCs/>
                <w:sz w:val="28"/>
                <w:szCs w:val="28"/>
              </w:rPr>
              <w:t xml:space="preserve"> projektu īstenošanai, kā arī maksājumu veikšanas un izdevumu deklarācijas sagatavošanas kārtīb</w:t>
            </w:r>
            <w:r w:rsidR="009253E0">
              <w:rPr>
                <w:bCs/>
                <w:sz w:val="28"/>
                <w:szCs w:val="28"/>
              </w:rPr>
              <w:t>ai</w:t>
            </w:r>
            <w:r w:rsidRPr="0076471B">
              <w:rPr>
                <w:sz w:val="28"/>
                <w:szCs w:val="26"/>
              </w:rPr>
              <w:t>;</w:t>
            </w:r>
          </w:p>
          <w:p w:rsidR="00AF6E7B" w:rsidRPr="0076471B" w:rsidRDefault="0076471B" w:rsidP="00546013">
            <w:pPr>
              <w:pStyle w:val="ListParagraph"/>
              <w:numPr>
                <w:ilvl w:val="0"/>
                <w:numId w:val="16"/>
              </w:numPr>
              <w:ind w:left="431" w:hanging="357"/>
              <w:jc w:val="both"/>
              <w:rPr>
                <w:sz w:val="28"/>
                <w:szCs w:val="28"/>
              </w:rPr>
            </w:pPr>
            <w:r w:rsidRPr="0076471B">
              <w:rPr>
                <w:sz w:val="28"/>
                <w:szCs w:val="28"/>
              </w:rPr>
              <w:t>nosaka normatīvo regulējumu situācijā, ja projektā iekļautā izglītības iestāde (labuma guvējs) tiek reorganizēta, paredzot, ka to var aiz</w:t>
            </w:r>
            <w:r w:rsidR="00752E54">
              <w:rPr>
                <w:sz w:val="28"/>
                <w:szCs w:val="28"/>
              </w:rPr>
              <w:t>stāt ar citu izglītības iestādi</w:t>
            </w:r>
            <w:r w:rsidR="00CC2DFE">
              <w:rPr>
                <w:sz w:val="28"/>
                <w:szCs w:val="28"/>
              </w:rPr>
              <w:t xml:space="preserve">, </w:t>
            </w:r>
            <w:r w:rsidR="00CC2DFE" w:rsidRPr="00E86206">
              <w:rPr>
                <w:sz w:val="28"/>
                <w:szCs w:val="28"/>
              </w:rPr>
              <w:t xml:space="preserve">kas ir </w:t>
            </w:r>
            <w:r w:rsidR="00CC2DFE">
              <w:rPr>
                <w:sz w:val="28"/>
                <w:szCs w:val="28"/>
              </w:rPr>
              <w:t>vispārējās vai profesionālās vidējās</w:t>
            </w:r>
            <w:r w:rsidR="00CC2DFE" w:rsidRPr="00E86206">
              <w:rPr>
                <w:sz w:val="28"/>
                <w:szCs w:val="28"/>
              </w:rPr>
              <w:t xml:space="preserve"> izglītības iestādes saistību un tiesību pārņēmējs</w:t>
            </w:r>
            <w:r w:rsidRPr="0076471B">
              <w:rPr>
                <w:sz w:val="28"/>
                <w:szCs w:val="28"/>
              </w:rPr>
              <w:t>. Minētie grozījumi projektā ir jāsaskaņo ar atbildīgo iestādi.</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5.</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Projekta izstrādē iesaistītās institūcijas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AF2431" w:rsidP="000C4687">
            <w:pPr>
              <w:jc w:val="both"/>
              <w:rPr>
                <w:sz w:val="28"/>
                <w:szCs w:val="28"/>
              </w:rPr>
            </w:pPr>
            <w:r>
              <w:rPr>
                <w:sz w:val="28"/>
                <w:szCs w:val="28"/>
              </w:rPr>
              <w:t>Projekts šo jomu neskar.</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6.</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Iemesli, kādēļ netika nodrošināta sabiedrības līdzdalība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245FB">
            <w:pPr>
              <w:jc w:val="both"/>
              <w:rPr>
                <w:sz w:val="28"/>
                <w:szCs w:val="28"/>
              </w:rPr>
            </w:pPr>
            <w:r>
              <w:rPr>
                <w:sz w:val="28"/>
                <w:szCs w:val="28"/>
              </w:rPr>
              <w:t xml:space="preserve">Projekts </w:t>
            </w:r>
            <w:r w:rsidR="000245FB">
              <w:rPr>
                <w:sz w:val="28"/>
                <w:szCs w:val="28"/>
              </w:rPr>
              <w:t>neaizskar sabiedrības tiesības, tāpēc</w:t>
            </w:r>
            <w:r w:rsidR="000245FB" w:rsidRPr="000245FB">
              <w:rPr>
                <w:sz w:val="28"/>
                <w:szCs w:val="28"/>
              </w:rPr>
              <w:t xml:space="preserve"> projekta izstrādes procesā nav nepieciešams iesaistīt sabiedrības pārstāvjus.</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7.</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Cita informācija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E97606" w:rsidRDefault="008D4A96" w:rsidP="00E97606">
            <w:pPr>
              <w:ind w:left="57" w:right="57"/>
              <w:jc w:val="both"/>
              <w:rPr>
                <w:sz w:val="28"/>
                <w:szCs w:val="28"/>
              </w:rPr>
            </w:pPr>
            <w:r>
              <w:rPr>
                <w:sz w:val="28"/>
                <w:szCs w:val="28"/>
              </w:rPr>
              <w:t>Projekts šo jomu neskar</w:t>
            </w:r>
            <w:r w:rsidR="008B4103">
              <w:rPr>
                <w:sz w:val="28"/>
                <w:szCs w:val="28"/>
              </w:rPr>
              <w:t>.</w:t>
            </w:r>
          </w:p>
        </w:tc>
      </w:tr>
    </w:tbl>
    <w:p w:rsidR="002F3E81" w:rsidRPr="0076112F" w:rsidRDefault="007A6DB9" w:rsidP="008C3705">
      <w:pPr>
        <w:rPr>
          <w:sz w:val="27"/>
          <w:szCs w:val="27"/>
        </w:rPr>
      </w:pPr>
      <w:r w:rsidRPr="0076112F">
        <w:rPr>
          <w:sz w:val="27"/>
          <w:szCs w:val="27"/>
        </w:rPr>
        <w:t> </w:t>
      </w: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
        <w:gridCol w:w="3402"/>
        <w:gridCol w:w="5670"/>
      </w:tblGrid>
      <w:tr w:rsidR="002F3E81" w:rsidRPr="0076112F" w:rsidTr="006941D9">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0C4687" w:rsidRDefault="002F3E81" w:rsidP="002F3E81">
            <w:pPr>
              <w:jc w:val="center"/>
              <w:rPr>
                <w:b/>
                <w:bCs/>
                <w:sz w:val="27"/>
                <w:szCs w:val="27"/>
              </w:rPr>
            </w:pPr>
            <w:r w:rsidRPr="000C4687">
              <w:rPr>
                <w:b/>
                <w:bCs/>
                <w:sz w:val="27"/>
                <w:szCs w:val="27"/>
              </w:rPr>
              <w:t>II. Tiesību akta projekta ietekme uz sabiedrību</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1.</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 xml:space="preserve">Sabiedrības </w:t>
            </w:r>
            <w:proofErr w:type="spellStart"/>
            <w:r w:rsidRPr="004F5A16">
              <w:rPr>
                <w:sz w:val="28"/>
                <w:szCs w:val="28"/>
              </w:rPr>
              <w:t>mērķgrupa</w:t>
            </w:r>
            <w:proofErr w:type="spellEnd"/>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3D1B4B" w:rsidP="00546013">
            <w:pPr>
              <w:jc w:val="both"/>
              <w:rPr>
                <w:sz w:val="28"/>
                <w:szCs w:val="28"/>
              </w:rPr>
            </w:pPr>
            <w:r>
              <w:rPr>
                <w:sz w:val="28"/>
                <w:szCs w:val="28"/>
              </w:rPr>
              <w:t>3.2.2.1.2.</w:t>
            </w:r>
            <w:r w:rsidR="00224BBE" w:rsidRPr="004F5A16">
              <w:rPr>
                <w:sz w:val="28"/>
                <w:szCs w:val="28"/>
              </w:rPr>
              <w:t>apakšaktivitāt</w:t>
            </w:r>
            <w:r w:rsidR="00305EAC">
              <w:rPr>
                <w:sz w:val="28"/>
                <w:szCs w:val="28"/>
              </w:rPr>
              <w:t xml:space="preserve">es </w:t>
            </w:r>
            <w:r w:rsidR="00305EAC" w:rsidRPr="00305EAC">
              <w:rPr>
                <w:sz w:val="28"/>
                <w:szCs w:val="28"/>
              </w:rPr>
              <w:t xml:space="preserve">mērķa grupa </w:t>
            </w:r>
            <w:r w:rsidR="00305EAC" w:rsidRPr="003D1B4B">
              <w:rPr>
                <w:sz w:val="28"/>
                <w:szCs w:val="28"/>
              </w:rPr>
              <w:t xml:space="preserve">ir </w:t>
            </w:r>
            <w:r w:rsidRPr="003D1B4B">
              <w:rPr>
                <w:sz w:val="28"/>
                <w:szCs w:val="28"/>
              </w:rPr>
              <w:t xml:space="preserve">vispārējās un profesionālās vidējās izglītības </w:t>
            </w:r>
            <w:r w:rsidRPr="003D1B4B">
              <w:rPr>
                <w:sz w:val="28"/>
                <w:szCs w:val="28"/>
              </w:rPr>
              <w:lastRenderedPageBreak/>
              <w:t>iestādes</w:t>
            </w:r>
            <w:r w:rsidR="00305EAC" w:rsidRPr="003D1B4B">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lastRenderedPageBreak/>
              <w:t>2.</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 xml:space="preserve">Citas sabiedrības grupas (bez </w:t>
            </w:r>
            <w:proofErr w:type="spellStart"/>
            <w:r w:rsidRPr="004F5A16">
              <w:rPr>
                <w:sz w:val="28"/>
                <w:szCs w:val="28"/>
              </w:rPr>
              <w:t>mērķgrupas</w:t>
            </w:r>
            <w:proofErr w:type="spellEnd"/>
            <w:r w:rsidRPr="004F5A16">
              <w:rPr>
                <w:sz w:val="28"/>
                <w:szCs w:val="28"/>
              </w:rPr>
              <w:t>), kuras tiesiskais regulējums arī ietekmē vai varētu ietekmēt</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546013">
            <w:pPr>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3.</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Tiesiskā regulējuma 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546013">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4.</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Tiesiskā regulējuma nefinansiālā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EB72D1" w:rsidRPr="004F5A16" w:rsidRDefault="008D4A96" w:rsidP="00546013">
            <w:pPr>
              <w:tabs>
                <w:tab w:val="left" w:pos="1080"/>
              </w:tabs>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5.</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Administratīvās procedūras raksturojums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546013">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6.</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Administratīvo izmaksu monetārs novērtējums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546013">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rPr>
                <w:sz w:val="28"/>
                <w:szCs w:val="28"/>
              </w:rPr>
            </w:pPr>
            <w:r w:rsidRPr="004F5A16">
              <w:rPr>
                <w:sz w:val="28"/>
                <w:szCs w:val="28"/>
              </w:rPr>
              <w:t>7.</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546013">
            <w:pPr>
              <w:ind w:right="-57"/>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C3705" w:rsidP="00546013">
            <w:pPr>
              <w:rPr>
                <w:sz w:val="28"/>
                <w:szCs w:val="28"/>
              </w:rPr>
            </w:pPr>
            <w:r w:rsidRPr="004F5A16">
              <w:rPr>
                <w:sz w:val="28"/>
                <w:szCs w:val="28"/>
              </w:rPr>
              <w:t>Nav</w:t>
            </w:r>
            <w:r w:rsidR="008B4103">
              <w:rPr>
                <w:sz w:val="28"/>
                <w:szCs w:val="28"/>
              </w:rPr>
              <w:t>.</w:t>
            </w:r>
          </w:p>
        </w:tc>
      </w:tr>
    </w:tbl>
    <w:p w:rsidR="00567484" w:rsidRDefault="00567484" w:rsidP="009E3FE2">
      <w:pPr>
        <w:spacing w:before="120" w:after="120"/>
        <w:jc w:val="both"/>
        <w:rPr>
          <w:sz w:val="28"/>
          <w:szCs w:val="28"/>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082"/>
        <w:gridCol w:w="1553"/>
        <w:gridCol w:w="1192"/>
        <w:gridCol w:w="1192"/>
        <w:gridCol w:w="2036"/>
      </w:tblGrid>
      <w:tr w:rsidR="00567484" w:rsidRPr="00F64242" w:rsidTr="00546013">
        <w:trPr>
          <w:trHeight w:val="20"/>
        </w:trPr>
        <w:tc>
          <w:tcPr>
            <w:tcW w:w="5000" w:type="pct"/>
            <w:gridSpan w:val="6"/>
            <w:hideMark/>
          </w:tcPr>
          <w:p w:rsidR="00567484" w:rsidRPr="00F64242" w:rsidRDefault="00567484" w:rsidP="005C6285">
            <w:pPr>
              <w:jc w:val="center"/>
              <w:rPr>
                <w:b/>
                <w:bCs/>
                <w:sz w:val="28"/>
                <w:szCs w:val="28"/>
              </w:rPr>
            </w:pPr>
            <w:r w:rsidRPr="00F64242">
              <w:rPr>
                <w:b/>
                <w:bCs/>
                <w:sz w:val="28"/>
                <w:szCs w:val="28"/>
              </w:rPr>
              <w:t xml:space="preserve">III. Tiesību akta projekta ietekme uz valsts budžetu un pašvaldību budžetiem </w:t>
            </w:r>
          </w:p>
        </w:tc>
      </w:tr>
      <w:tr w:rsidR="00567484" w:rsidRPr="00F64242" w:rsidTr="00546013">
        <w:trPr>
          <w:trHeight w:val="20"/>
        </w:trPr>
        <w:tc>
          <w:tcPr>
            <w:tcW w:w="1230" w:type="pct"/>
            <w:vMerge w:val="restart"/>
            <w:hideMark/>
          </w:tcPr>
          <w:p w:rsidR="00567484" w:rsidRPr="00F64242" w:rsidRDefault="00567484" w:rsidP="005C6285">
            <w:pPr>
              <w:jc w:val="center"/>
              <w:rPr>
                <w:b/>
                <w:bCs/>
                <w:sz w:val="28"/>
                <w:szCs w:val="28"/>
              </w:rPr>
            </w:pPr>
            <w:r w:rsidRPr="00F64242">
              <w:rPr>
                <w:b/>
                <w:bCs/>
                <w:sz w:val="28"/>
                <w:szCs w:val="28"/>
              </w:rPr>
              <w:t>Rādītāji</w:t>
            </w:r>
          </w:p>
        </w:tc>
        <w:tc>
          <w:tcPr>
            <w:tcW w:w="1408" w:type="pct"/>
            <w:gridSpan w:val="2"/>
            <w:vMerge w:val="restart"/>
            <w:hideMark/>
          </w:tcPr>
          <w:p w:rsidR="00567484" w:rsidRPr="00F64242" w:rsidRDefault="00567484" w:rsidP="005C6285">
            <w:pPr>
              <w:jc w:val="center"/>
              <w:rPr>
                <w:b/>
                <w:bCs/>
                <w:sz w:val="28"/>
                <w:szCs w:val="28"/>
              </w:rPr>
            </w:pPr>
            <w:r w:rsidRPr="00F64242">
              <w:rPr>
                <w:b/>
                <w:bCs/>
                <w:sz w:val="28"/>
                <w:szCs w:val="28"/>
              </w:rPr>
              <w:t>2011.gads</w:t>
            </w:r>
          </w:p>
        </w:tc>
        <w:tc>
          <w:tcPr>
            <w:tcW w:w="2362" w:type="pct"/>
            <w:gridSpan w:val="3"/>
            <w:hideMark/>
          </w:tcPr>
          <w:p w:rsidR="00567484" w:rsidRPr="00F64242" w:rsidRDefault="00567484" w:rsidP="005C6285">
            <w:pPr>
              <w:jc w:val="center"/>
              <w:rPr>
                <w:sz w:val="28"/>
                <w:szCs w:val="28"/>
              </w:rPr>
            </w:pPr>
            <w:r w:rsidRPr="00F64242">
              <w:rPr>
                <w:sz w:val="28"/>
                <w:szCs w:val="28"/>
              </w:rPr>
              <w:t>Turpmākie trīs gadi (tūkst. latu)</w:t>
            </w:r>
          </w:p>
        </w:tc>
      </w:tr>
      <w:tr w:rsidR="00567484" w:rsidRPr="00F64242" w:rsidTr="00546013">
        <w:trPr>
          <w:trHeight w:val="20"/>
        </w:trPr>
        <w:tc>
          <w:tcPr>
            <w:tcW w:w="1230" w:type="pct"/>
            <w:vMerge/>
            <w:hideMark/>
          </w:tcPr>
          <w:p w:rsidR="00567484" w:rsidRPr="00F64242" w:rsidRDefault="00567484" w:rsidP="005C6285">
            <w:pPr>
              <w:rPr>
                <w:b/>
                <w:bCs/>
                <w:sz w:val="28"/>
                <w:szCs w:val="28"/>
              </w:rPr>
            </w:pPr>
          </w:p>
        </w:tc>
        <w:tc>
          <w:tcPr>
            <w:tcW w:w="1408" w:type="pct"/>
            <w:gridSpan w:val="2"/>
            <w:vMerge/>
            <w:hideMark/>
          </w:tcPr>
          <w:p w:rsidR="00567484" w:rsidRPr="00F64242" w:rsidRDefault="00567484" w:rsidP="005C6285">
            <w:pPr>
              <w:rPr>
                <w:b/>
                <w:bCs/>
                <w:sz w:val="28"/>
                <w:szCs w:val="28"/>
              </w:rPr>
            </w:pPr>
          </w:p>
        </w:tc>
        <w:tc>
          <w:tcPr>
            <w:tcW w:w="637" w:type="pct"/>
            <w:hideMark/>
          </w:tcPr>
          <w:p w:rsidR="00567484" w:rsidRPr="00F64242" w:rsidRDefault="00567484" w:rsidP="005C6285">
            <w:pPr>
              <w:jc w:val="center"/>
              <w:rPr>
                <w:b/>
                <w:bCs/>
                <w:sz w:val="28"/>
                <w:szCs w:val="28"/>
              </w:rPr>
            </w:pPr>
            <w:r w:rsidRPr="00F64242">
              <w:rPr>
                <w:b/>
                <w:bCs/>
                <w:sz w:val="28"/>
                <w:szCs w:val="28"/>
              </w:rPr>
              <w:t>2012</w:t>
            </w:r>
          </w:p>
        </w:tc>
        <w:tc>
          <w:tcPr>
            <w:tcW w:w="637" w:type="pct"/>
            <w:hideMark/>
          </w:tcPr>
          <w:p w:rsidR="00567484" w:rsidRPr="00F64242" w:rsidRDefault="00567484" w:rsidP="005C6285">
            <w:pPr>
              <w:jc w:val="center"/>
              <w:rPr>
                <w:b/>
                <w:bCs/>
                <w:sz w:val="28"/>
                <w:szCs w:val="28"/>
              </w:rPr>
            </w:pPr>
            <w:r w:rsidRPr="00F64242">
              <w:rPr>
                <w:b/>
                <w:bCs/>
                <w:sz w:val="28"/>
                <w:szCs w:val="28"/>
              </w:rPr>
              <w:t>2013</w:t>
            </w:r>
          </w:p>
        </w:tc>
        <w:tc>
          <w:tcPr>
            <w:tcW w:w="1088" w:type="pct"/>
            <w:hideMark/>
          </w:tcPr>
          <w:p w:rsidR="00567484" w:rsidRPr="00F64242" w:rsidRDefault="00567484" w:rsidP="005C6285">
            <w:pPr>
              <w:jc w:val="center"/>
              <w:rPr>
                <w:b/>
                <w:bCs/>
                <w:sz w:val="28"/>
                <w:szCs w:val="28"/>
              </w:rPr>
            </w:pPr>
            <w:r w:rsidRPr="00F64242">
              <w:rPr>
                <w:b/>
                <w:bCs/>
                <w:sz w:val="28"/>
                <w:szCs w:val="28"/>
              </w:rPr>
              <w:t>2014</w:t>
            </w:r>
          </w:p>
        </w:tc>
      </w:tr>
      <w:tr w:rsidR="00567484" w:rsidRPr="00F64242" w:rsidTr="00546013">
        <w:trPr>
          <w:trHeight w:val="20"/>
        </w:trPr>
        <w:tc>
          <w:tcPr>
            <w:tcW w:w="1230" w:type="pct"/>
            <w:vMerge/>
            <w:hideMark/>
          </w:tcPr>
          <w:p w:rsidR="00567484" w:rsidRPr="00F64242" w:rsidRDefault="00567484" w:rsidP="005C6285">
            <w:pPr>
              <w:rPr>
                <w:b/>
                <w:bCs/>
                <w:sz w:val="28"/>
                <w:szCs w:val="28"/>
              </w:rPr>
            </w:pPr>
          </w:p>
        </w:tc>
        <w:tc>
          <w:tcPr>
            <w:tcW w:w="578" w:type="pct"/>
            <w:hideMark/>
          </w:tcPr>
          <w:p w:rsidR="00567484" w:rsidRPr="00F64242" w:rsidRDefault="00567484" w:rsidP="005C6285">
            <w:pPr>
              <w:ind w:left="-57" w:right="-57"/>
              <w:jc w:val="center"/>
              <w:rPr>
                <w:sz w:val="28"/>
                <w:szCs w:val="28"/>
              </w:rPr>
            </w:pPr>
            <w:r w:rsidRPr="00F64242">
              <w:rPr>
                <w:sz w:val="28"/>
                <w:szCs w:val="28"/>
              </w:rPr>
              <w:t>Saskaņā ar valsts budžetu kārtējam gadam</w:t>
            </w:r>
          </w:p>
        </w:tc>
        <w:tc>
          <w:tcPr>
            <w:tcW w:w="830" w:type="pct"/>
            <w:hideMark/>
          </w:tcPr>
          <w:p w:rsidR="00567484" w:rsidRPr="00F64242" w:rsidRDefault="00567484" w:rsidP="005C6285">
            <w:pPr>
              <w:ind w:left="-57" w:right="-57"/>
              <w:jc w:val="center"/>
              <w:rPr>
                <w:sz w:val="28"/>
                <w:szCs w:val="28"/>
              </w:rPr>
            </w:pPr>
            <w:r w:rsidRPr="00F64242">
              <w:rPr>
                <w:sz w:val="28"/>
                <w:szCs w:val="28"/>
              </w:rPr>
              <w:t>Izmaiņas kārtējā gadā, salīdzinot ar budžetu 2011.gadam</w:t>
            </w:r>
          </w:p>
        </w:tc>
        <w:tc>
          <w:tcPr>
            <w:tcW w:w="637" w:type="pct"/>
            <w:hideMark/>
          </w:tcPr>
          <w:p w:rsidR="00567484" w:rsidRPr="00F64242" w:rsidRDefault="00567484" w:rsidP="005C6285">
            <w:pPr>
              <w:ind w:left="-57" w:right="-57"/>
              <w:jc w:val="center"/>
              <w:rPr>
                <w:sz w:val="28"/>
                <w:szCs w:val="28"/>
              </w:rPr>
            </w:pPr>
            <w:r w:rsidRPr="00F64242">
              <w:rPr>
                <w:sz w:val="28"/>
                <w:szCs w:val="28"/>
              </w:rPr>
              <w:t>Izmaiņas, salīdzinot ar kārtējo (2011) gadu</w:t>
            </w:r>
          </w:p>
        </w:tc>
        <w:tc>
          <w:tcPr>
            <w:tcW w:w="637" w:type="pct"/>
            <w:hideMark/>
          </w:tcPr>
          <w:p w:rsidR="00567484" w:rsidRPr="00F64242" w:rsidRDefault="00567484" w:rsidP="005C6285">
            <w:pPr>
              <w:ind w:left="-57" w:right="-57"/>
              <w:jc w:val="center"/>
              <w:rPr>
                <w:sz w:val="28"/>
                <w:szCs w:val="28"/>
              </w:rPr>
            </w:pPr>
            <w:r w:rsidRPr="00F64242">
              <w:rPr>
                <w:sz w:val="28"/>
                <w:szCs w:val="28"/>
              </w:rPr>
              <w:t>Izmaiņas, salīdzinot ar kārtējo (2011) gadu</w:t>
            </w:r>
          </w:p>
        </w:tc>
        <w:tc>
          <w:tcPr>
            <w:tcW w:w="1088" w:type="pct"/>
            <w:hideMark/>
          </w:tcPr>
          <w:p w:rsidR="00567484" w:rsidRPr="00F64242" w:rsidRDefault="00567484" w:rsidP="005C6285">
            <w:pPr>
              <w:ind w:left="-57" w:right="-57"/>
              <w:jc w:val="center"/>
              <w:rPr>
                <w:sz w:val="28"/>
                <w:szCs w:val="28"/>
              </w:rPr>
            </w:pPr>
            <w:r w:rsidRPr="00F64242">
              <w:rPr>
                <w:sz w:val="28"/>
                <w:szCs w:val="28"/>
              </w:rPr>
              <w:t xml:space="preserve">Izmaiņas, salīdzinot ar kārtējo </w:t>
            </w:r>
          </w:p>
          <w:p w:rsidR="00567484" w:rsidRPr="00F64242" w:rsidRDefault="00567484" w:rsidP="005C6285">
            <w:pPr>
              <w:ind w:left="-57" w:right="-57"/>
              <w:jc w:val="center"/>
              <w:rPr>
                <w:sz w:val="28"/>
                <w:szCs w:val="28"/>
              </w:rPr>
            </w:pPr>
            <w:r w:rsidRPr="00F64242">
              <w:rPr>
                <w:sz w:val="28"/>
                <w:szCs w:val="28"/>
              </w:rPr>
              <w:t>(2011) gadu</w:t>
            </w:r>
          </w:p>
        </w:tc>
      </w:tr>
      <w:tr w:rsidR="00567484" w:rsidRPr="00F64242" w:rsidTr="00546013">
        <w:trPr>
          <w:trHeight w:val="20"/>
        </w:trPr>
        <w:tc>
          <w:tcPr>
            <w:tcW w:w="1230" w:type="pct"/>
            <w:hideMark/>
          </w:tcPr>
          <w:p w:rsidR="00567484" w:rsidRPr="00F64242" w:rsidRDefault="00567484" w:rsidP="005C6285">
            <w:pPr>
              <w:jc w:val="center"/>
              <w:rPr>
                <w:sz w:val="28"/>
                <w:szCs w:val="28"/>
              </w:rPr>
            </w:pPr>
            <w:r w:rsidRPr="00F64242">
              <w:rPr>
                <w:sz w:val="28"/>
                <w:szCs w:val="28"/>
              </w:rPr>
              <w:t>1</w:t>
            </w:r>
          </w:p>
        </w:tc>
        <w:tc>
          <w:tcPr>
            <w:tcW w:w="578" w:type="pct"/>
            <w:hideMark/>
          </w:tcPr>
          <w:p w:rsidR="00567484" w:rsidRPr="00F64242" w:rsidRDefault="00567484" w:rsidP="005C6285">
            <w:pPr>
              <w:jc w:val="center"/>
              <w:rPr>
                <w:sz w:val="28"/>
                <w:szCs w:val="28"/>
              </w:rPr>
            </w:pPr>
            <w:r w:rsidRPr="00F64242">
              <w:rPr>
                <w:sz w:val="28"/>
                <w:szCs w:val="28"/>
              </w:rPr>
              <w:t>2</w:t>
            </w:r>
          </w:p>
        </w:tc>
        <w:tc>
          <w:tcPr>
            <w:tcW w:w="830" w:type="pct"/>
            <w:hideMark/>
          </w:tcPr>
          <w:p w:rsidR="00567484" w:rsidRPr="00F64242" w:rsidRDefault="00567484" w:rsidP="005C6285">
            <w:pPr>
              <w:jc w:val="center"/>
              <w:rPr>
                <w:sz w:val="28"/>
                <w:szCs w:val="28"/>
              </w:rPr>
            </w:pPr>
            <w:r w:rsidRPr="00F64242">
              <w:rPr>
                <w:sz w:val="28"/>
                <w:szCs w:val="28"/>
              </w:rPr>
              <w:t>3</w:t>
            </w:r>
          </w:p>
        </w:tc>
        <w:tc>
          <w:tcPr>
            <w:tcW w:w="637" w:type="pct"/>
            <w:hideMark/>
          </w:tcPr>
          <w:p w:rsidR="00567484" w:rsidRPr="00F64242" w:rsidRDefault="00567484" w:rsidP="005C6285">
            <w:pPr>
              <w:jc w:val="center"/>
              <w:rPr>
                <w:sz w:val="28"/>
                <w:szCs w:val="28"/>
              </w:rPr>
            </w:pPr>
            <w:r w:rsidRPr="00F64242">
              <w:rPr>
                <w:sz w:val="28"/>
                <w:szCs w:val="28"/>
              </w:rPr>
              <w:t>4</w:t>
            </w:r>
          </w:p>
        </w:tc>
        <w:tc>
          <w:tcPr>
            <w:tcW w:w="637" w:type="pct"/>
            <w:hideMark/>
          </w:tcPr>
          <w:p w:rsidR="00567484" w:rsidRPr="00F64242" w:rsidRDefault="00567484" w:rsidP="005C6285">
            <w:pPr>
              <w:jc w:val="center"/>
              <w:rPr>
                <w:sz w:val="28"/>
                <w:szCs w:val="28"/>
              </w:rPr>
            </w:pPr>
            <w:r w:rsidRPr="00F64242">
              <w:rPr>
                <w:sz w:val="28"/>
                <w:szCs w:val="28"/>
              </w:rPr>
              <w:t>5</w:t>
            </w:r>
          </w:p>
        </w:tc>
        <w:tc>
          <w:tcPr>
            <w:tcW w:w="1088" w:type="pct"/>
            <w:hideMark/>
          </w:tcPr>
          <w:p w:rsidR="00567484" w:rsidRPr="00F64242" w:rsidRDefault="00567484" w:rsidP="005C6285">
            <w:pPr>
              <w:jc w:val="center"/>
              <w:rPr>
                <w:sz w:val="28"/>
                <w:szCs w:val="28"/>
              </w:rPr>
            </w:pPr>
            <w:r w:rsidRPr="00F64242">
              <w:rPr>
                <w:sz w:val="28"/>
                <w:szCs w:val="28"/>
              </w:rPr>
              <w:t>6</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1. Budžeta ieņēmumi:</w:t>
            </w:r>
          </w:p>
        </w:tc>
        <w:tc>
          <w:tcPr>
            <w:tcW w:w="578" w:type="pct"/>
            <w:hideMark/>
          </w:tcPr>
          <w:p w:rsidR="00FC4D85" w:rsidRPr="00FC4D85" w:rsidRDefault="00FC4D85">
            <w:pPr>
              <w:jc w:val="right"/>
              <w:rPr>
                <w:color w:val="000000"/>
                <w:sz w:val="28"/>
                <w:szCs w:val="28"/>
              </w:rPr>
            </w:pPr>
            <w:r w:rsidRPr="00FC4D85">
              <w:rPr>
                <w:color w:val="000000"/>
                <w:sz w:val="28"/>
                <w:szCs w:val="28"/>
              </w:rPr>
              <w:t>2477,9</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0,0</w:t>
            </w:r>
          </w:p>
        </w:tc>
        <w:tc>
          <w:tcPr>
            <w:tcW w:w="637" w:type="pct"/>
            <w:hideMark/>
          </w:tcPr>
          <w:p w:rsidR="00FC4D85" w:rsidRPr="00FC4D85" w:rsidRDefault="00FC4D85">
            <w:pPr>
              <w:jc w:val="right"/>
              <w:rPr>
                <w:color w:val="000000"/>
                <w:sz w:val="28"/>
                <w:szCs w:val="28"/>
              </w:rPr>
            </w:pPr>
            <w:r w:rsidRPr="00FC4D85">
              <w:rPr>
                <w:color w:val="000000"/>
                <w:sz w:val="28"/>
                <w:szCs w:val="28"/>
              </w:rPr>
              <w:t>2961,0</w:t>
            </w:r>
          </w:p>
        </w:tc>
        <w:tc>
          <w:tcPr>
            <w:tcW w:w="1088" w:type="pct"/>
            <w:hideMark/>
          </w:tcPr>
          <w:p w:rsidR="00FC4D85" w:rsidRPr="00FC4D85" w:rsidRDefault="00FC4D85">
            <w:pPr>
              <w:jc w:val="right"/>
              <w:rPr>
                <w:color w:val="000000"/>
                <w:sz w:val="28"/>
                <w:szCs w:val="28"/>
              </w:rPr>
            </w:pPr>
            <w:r w:rsidRPr="00FC4D85">
              <w:rPr>
                <w:color w:val="000000"/>
                <w:sz w:val="28"/>
                <w:szCs w:val="28"/>
              </w:rPr>
              <w:t>53,4</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1.1. valsts pamatbudžets, tai skaitā ieņēmumi no maksas pakalpojumiem un citi pašu ieņēmumi</w:t>
            </w:r>
          </w:p>
        </w:tc>
        <w:tc>
          <w:tcPr>
            <w:tcW w:w="578" w:type="pct"/>
            <w:hideMark/>
          </w:tcPr>
          <w:p w:rsidR="00FC4D85" w:rsidRPr="00FC4D85" w:rsidRDefault="00FC4D85">
            <w:pPr>
              <w:jc w:val="right"/>
              <w:rPr>
                <w:color w:val="000000"/>
                <w:sz w:val="28"/>
                <w:szCs w:val="28"/>
              </w:rPr>
            </w:pPr>
            <w:r w:rsidRPr="00FC4D85">
              <w:rPr>
                <w:color w:val="000000"/>
                <w:sz w:val="28"/>
                <w:szCs w:val="28"/>
              </w:rPr>
              <w:t>2477,9</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0,0</w:t>
            </w:r>
          </w:p>
        </w:tc>
        <w:tc>
          <w:tcPr>
            <w:tcW w:w="637" w:type="pct"/>
            <w:hideMark/>
          </w:tcPr>
          <w:p w:rsidR="00FC4D85" w:rsidRPr="00FC4D85" w:rsidRDefault="00FC4D85">
            <w:pPr>
              <w:jc w:val="right"/>
              <w:rPr>
                <w:color w:val="000000"/>
                <w:sz w:val="28"/>
                <w:szCs w:val="28"/>
              </w:rPr>
            </w:pPr>
            <w:r w:rsidRPr="00FC4D85">
              <w:rPr>
                <w:color w:val="000000"/>
                <w:sz w:val="28"/>
                <w:szCs w:val="28"/>
              </w:rPr>
              <w:t>2961,0</w:t>
            </w:r>
          </w:p>
        </w:tc>
        <w:tc>
          <w:tcPr>
            <w:tcW w:w="1088" w:type="pct"/>
            <w:hideMark/>
          </w:tcPr>
          <w:p w:rsidR="00FC4D85" w:rsidRPr="00FC4D85" w:rsidRDefault="00FC4D85">
            <w:pPr>
              <w:jc w:val="right"/>
              <w:rPr>
                <w:color w:val="000000"/>
                <w:sz w:val="28"/>
                <w:szCs w:val="28"/>
              </w:rPr>
            </w:pPr>
            <w:r w:rsidRPr="00FC4D85">
              <w:rPr>
                <w:color w:val="000000"/>
                <w:sz w:val="28"/>
                <w:szCs w:val="28"/>
              </w:rPr>
              <w:t>53,4</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1.2. valsts speciālais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1.3. pašvaldību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2. Budžeta izdevumi:</w:t>
            </w:r>
          </w:p>
        </w:tc>
        <w:tc>
          <w:tcPr>
            <w:tcW w:w="578" w:type="pct"/>
            <w:hideMark/>
          </w:tcPr>
          <w:p w:rsidR="00FC4D85" w:rsidRPr="00FC4D85" w:rsidRDefault="00FC4D85">
            <w:pPr>
              <w:jc w:val="right"/>
              <w:rPr>
                <w:color w:val="000000"/>
                <w:sz w:val="28"/>
                <w:szCs w:val="28"/>
              </w:rPr>
            </w:pPr>
            <w:r w:rsidRPr="00FC4D85">
              <w:rPr>
                <w:color w:val="000000"/>
                <w:sz w:val="28"/>
                <w:szCs w:val="28"/>
              </w:rPr>
              <w:t>2477,9</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-1742,6</w:t>
            </w:r>
          </w:p>
        </w:tc>
        <w:tc>
          <w:tcPr>
            <w:tcW w:w="637" w:type="pct"/>
            <w:hideMark/>
          </w:tcPr>
          <w:p w:rsidR="00FC4D85" w:rsidRPr="00FC4D85" w:rsidRDefault="00FC4D85">
            <w:pPr>
              <w:jc w:val="right"/>
              <w:rPr>
                <w:color w:val="000000"/>
                <w:sz w:val="28"/>
                <w:szCs w:val="28"/>
              </w:rPr>
            </w:pPr>
            <w:r w:rsidRPr="00FC4D85">
              <w:rPr>
                <w:color w:val="000000"/>
                <w:sz w:val="28"/>
                <w:szCs w:val="28"/>
              </w:rPr>
              <w:t>-2477,9</w:t>
            </w:r>
          </w:p>
        </w:tc>
        <w:tc>
          <w:tcPr>
            <w:tcW w:w="1088" w:type="pct"/>
            <w:hideMark/>
          </w:tcPr>
          <w:p w:rsidR="00FC4D85" w:rsidRPr="00FC4D85" w:rsidRDefault="00FC4D85">
            <w:pPr>
              <w:jc w:val="right"/>
              <w:rPr>
                <w:color w:val="000000"/>
                <w:sz w:val="28"/>
                <w:szCs w:val="28"/>
              </w:rPr>
            </w:pPr>
            <w:r w:rsidRPr="00FC4D85">
              <w:rPr>
                <w:color w:val="000000"/>
                <w:sz w:val="28"/>
                <w:szCs w:val="28"/>
              </w:rPr>
              <w:t>-2477,9</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lastRenderedPageBreak/>
              <w:t>2.1. valsts pamatbudžets</w:t>
            </w:r>
          </w:p>
        </w:tc>
        <w:tc>
          <w:tcPr>
            <w:tcW w:w="578" w:type="pct"/>
            <w:hideMark/>
          </w:tcPr>
          <w:p w:rsidR="00FC4D85" w:rsidRPr="00FC4D85" w:rsidRDefault="00FC4D85">
            <w:pPr>
              <w:jc w:val="right"/>
              <w:rPr>
                <w:color w:val="000000"/>
                <w:sz w:val="28"/>
                <w:szCs w:val="28"/>
              </w:rPr>
            </w:pPr>
            <w:r w:rsidRPr="00FC4D85">
              <w:rPr>
                <w:color w:val="000000"/>
                <w:sz w:val="28"/>
                <w:szCs w:val="28"/>
              </w:rPr>
              <w:t>2477,9</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-1742,6</w:t>
            </w:r>
          </w:p>
        </w:tc>
        <w:tc>
          <w:tcPr>
            <w:tcW w:w="637" w:type="pct"/>
            <w:hideMark/>
          </w:tcPr>
          <w:p w:rsidR="00FC4D85" w:rsidRPr="00FC4D85" w:rsidRDefault="00FC4D85">
            <w:pPr>
              <w:jc w:val="right"/>
              <w:rPr>
                <w:color w:val="000000"/>
                <w:sz w:val="28"/>
                <w:szCs w:val="28"/>
              </w:rPr>
            </w:pPr>
            <w:r w:rsidRPr="00FC4D85">
              <w:rPr>
                <w:color w:val="000000"/>
                <w:sz w:val="28"/>
                <w:szCs w:val="28"/>
              </w:rPr>
              <w:t>-2477,9</w:t>
            </w:r>
          </w:p>
        </w:tc>
        <w:tc>
          <w:tcPr>
            <w:tcW w:w="1088" w:type="pct"/>
            <w:hideMark/>
          </w:tcPr>
          <w:p w:rsidR="00FC4D85" w:rsidRPr="00FC4D85" w:rsidRDefault="00FC4D85">
            <w:pPr>
              <w:jc w:val="right"/>
              <w:rPr>
                <w:color w:val="000000"/>
                <w:sz w:val="28"/>
                <w:szCs w:val="28"/>
              </w:rPr>
            </w:pPr>
            <w:r w:rsidRPr="00FC4D85">
              <w:rPr>
                <w:color w:val="000000"/>
                <w:sz w:val="28"/>
                <w:szCs w:val="28"/>
              </w:rPr>
              <w:t>-2477,9</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2.2. valsts speciālais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2.3. pašvaldību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3. Finansiālā ietekme:</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1742,6</w:t>
            </w:r>
          </w:p>
        </w:tc>
        <w:tc>
          <w:tcPr>
            <w:tcW w:w="637" w:type="pct"/>
            <w:hideMark/>
          </w:tcPr>
          <w:p w:rsidR="00FC4D85" w:rsidRPr="00FC4D85" w:rsidRDefault="00FC4D85">
            <w:pPr>
              <w:jc w:val="right"/>
              <w:rPr>
                <w:color w:val="000000"/>
                <w:sz w:val="28"/>
                <w:szCs w:val="28"/>
              </w:rPr>
            </w:pPr>
            <w:r w:rsidRPr="00FC4D85">
              <w:rPr>
                <w:color w:val="000000"/>
                <w:sz w:val="28"/>
                <w:szCs w:val="28"/>
              </w:rPr>
              <w:t>5438,9</w:t>
            </w:r>
          </w:p>
        </w:tc>
        <w:tc>
          <w:tcPr>
            <w:tcW w:w="1088" w:type="pct"/>
            <w:hideMark/>
          </w:tcPr>
          <w:p w:rsidR="00FC4D85" w:rsidRPr="00FC4D85" w:rsidRDefault="00FC4D85">
            <w:pPr>
              <w:jc w:val="right"/>
              <w:rPr>
                <w:color w:val="000000"/>
                <w:sz w:val="28"/>
                <w:szCs w:val="28"/>
              </w:rPr>
            </w:pPr>
            <w:r w:rsidRPr="00FC4D85">
              <w:rPr>
                <w:color w:val="000000"/>
                <w:sz w:val="28"/>
                <w:szCs w:val="28"/>
              </w:rPr>
              <w:t>2531,3</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3.1. valsts pamatbudžets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1742,6</w:t>
            </w:r>
          </w:p>
        </w:tc>
        <w:tc>
          <w:tcPr>
            <w:tcW w:w="637" w:type="pct"/>
            <w:hideMark/>
          </w:tcPr>
          <w:p w:rsidR="00FC4D85" w:rsidRPr="00FC4D85" w:rsidRDefault="00FC4D85">
            <w:pPr>
              <w:jc w:val="right"/>
              <w:rPr>
                <w:color w:val="000000"/>
                <w:sz w:val="28"/>
                <w:szCs w:val="28"/>
              </w:rPr>
            </w:pPr>
            <w:r w:rsidRPr="00FC4D85">
              <w:rPr>
                <w:color w:val="000000"/>
                <w:sz w:val="28"/>
                <w:szCs w:val="28"/>
              </w:rPr>
              <w:t>5438,9</w:t>
            </w:r>
          </w:p>
        </w:tc>
        <w:tc>
          <w:tcPr>
            <w:tcW w:w="1088" w:type="pct"/>
            <w:hideMark/>
          </w:tcPr>
          <w:p w:rsidR="00FC4D85" w:rsidRPr="00FC4D85" w:rsidRDefault="00FC4D85">
            <w:pPr>
              <w:jc w:val="right"/>
              <w:rPr>
                <w:color w:val="000000"/>
                <w:sz w:val="28"/>
                <w:szCs w:val="28"/>
              </w:rPr>
            </w:pPr>
            <w:r w:rsidRPr="00FC4D85">
              <w:rPr>
                <w:color w:val="000000"/>
                <w:sz w:val="28"/>
                <w:szCs w:val="28"/>
              </w:rPr>
              <w:t>2531,3</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3.2. speciālais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hideMark/>
          </w:tcPr>
          <w:p w:rsidR="00FC4D85" w:rsidRPr="00F64242" w:rsidRDefault="00FC4D85" w:rsidP="005C6285">
            <w:pPr>
              <w:rPr>
                <w:sz w:val="28"/>
                <w:szCs w:val="28"/>
              </w:rPr>
            </w:pPr>
            <w:r w:rsidRPr="00F64242">
              <w:rPr>
                <w:sz w:val="28"/>
                <w:szCs w:val="28"/>
              </w:rPr>
              <w:t>3.3. pašvaldību budžets</w:t>
            </w:r>
          </w:p>
        </w:tc>
        <w:tc>
          <w:tcPr>
            <w:tcW w:w="578" w:type="pct"/>
            <w:hideMark/>
          </w:tcPr>
          <w:p w:rsidR="00FC4D85" w:rsidRPr="00FC4D85" w:rsidRDefault="00FC4D85">
            <w:pPr>
              <w:jc w:val="right"/>
              <w:rPr>
                <w:color w:val="000000"/>
                <w:sz w:val="28"/>
                <w:szCs w:val="28"/>
              </w:rPr>
            </w:pPr>
            <w:r w:rsidRPr="00FC4D85">
              <w:rPr>
                <w:color w:val="000000"/>
                <w:sz w:val="28"/>
                <w:szCs w:val="28"/>
              </w:rPr>
              <w:t>0</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0</w:t>
            </w:r>
          </w:p>
        </w:tc>
        <w:tc>
          <w:tcPr>
            <w:tcW w:w="1088" w:type="pct"/>
            <w:hideMark/>
          </w:tcPr>
          <w:p w:rsidR="00FC4D85" w:rsidRPr="00FC4D85" w:rsidRDefault="00FC4D85">
            <w:pPr>
              <w:jc w:val="right"/>
              <w:rPr>
                <w:color w:val="000000"/>
                <w:sz w:val="28"/>
                <w:szCs w:val="28"/>
              </w:rPr>
            </w:pPr>
            <w:r w:rsidRPr="00FC4D85">
              <w:rPr>
                <w:color w:val="000000"/>
                <w:sz w:val="28"/>
                <w:szCs w:val="28"/>
              </w:rPr>
              <w:t>0</w:t>
            </w:r>
          </w:p>
        </w:tc>
      </w:tr>
      <w:tr w:rsidR="00FC4D85" w:rsidRPr="00F64242" w:rsidTr="00546013">
        <w:trPr>
          <w:trHeight w:val="20"/>
        </w:trPr>
        <w:tc>
          <w:tcPr>
            <w:tcW w:w="1230" w:type="pct"/>
            <w:vMerge w:val="restart"/>
            <w:hideMark/>
          </w:tcPr>
          <w:p w:rsidR="00FC4D85" w:rsidRPr="00F64242" w:rsidRDefault="00FC4D85" w:rsidP="005C6285">
            <w:pPr>
              <w:rPr>
                <w:sz w:val="28"/>
                <w:szCs w:val="28"/>
              </w:rPr>
            </w:pPr>
            <w:r w:rsidRPr="00F64242">
              <w:rPr>
                <w:sz w:val="28"/>
                <w:szCs w:val="28"/>
              </w:rPr>
              <w:t>4. Finanšu līdzekļi papildu izde</w:t>
            </w:r>
            <w:r w:rsidRPr="00F64242">
              <w:rPr>
                <w:sz w:val="28"/>
                <w:szCs w:val="28"/>
              </w:rPr>
              <w:softHyphen/>
              <w:t>vumu finansēšanai (kompensējošu izdevumu samazinājumu norāda ar "+" zīmi)</w:t>
            </w:r>
          </w:p>
        </w:tc>
        <w:tc>
          <w:tcPr>
            <w:tcW w:w="578" w:type="pct"/>
            <w:vMerge w:val="restart"/>
            <w:hideMark/>
          </w:tcPr>
          <w:p w:rsidR="00FC4D85" w:rsidRPr="00F64242" w:rsidRDefault="00FC4D85" w:rsidP="005C6285">
            <w:pPr>
              <w:jc w:val="both"/>
              <w:rPr>
                <w:sz w:val="28"/>
                <w:szCs w:val="28"/>
              </w:rPr>
            </w:pPr>
            <w:r w:rsidRPr="00F64242">
              <w:rPr>
                <w:sz w:val="28"/>
                <w:szCs w:val="28"/>
              </w:rPr>
              <w:t>X</w:t>
            </w:r>
          </w:p>
        </w:tc>
        <w:tc>
          <w:tcPr>
            <w:tcW w:w="830" w:type="pct"/>
            <w:hideMark/>
          </w:tcPr>
          <w:p w:rsidR="00FC4D85" w:rsidRPr="00FC4D85" w:rsidRDefault="00FC4D85">
            <w:pPr>
              <w:jc w:val="right"/>
              <w:rPr>
                <w:color w:val="000000"/>
                <w:sz w:val="28"/>
                <w:szCs w:val="28"/>
              </w:rPr>
            </w:pPr>
            <w:r w:rsidRPr="00FC4D85">
              <w:rPr>
                <w:color w:val="000000"/>
                <w:sz w:val="28"/>
                <w:szCs w:val="28"/>
              </w:rPr>
              <w:t>0</w:t>
            </w:r>
          </w:p>
        </w:tc>
        <w:tc>
          <w:tcPr>
            <w:tcW w:w="637" w:type="pct"/>
            <w:hideMark/>
          </w:tcPr>
          <w:p w:rsidR="00FC4D85" w:rsidRPr="00FC4D85" w:rsidRDefault="00FC4D85">
            <w:pPr>
              <w:jc w:val="right"/>
              <w:rPr>
                <w:color w:val="000000"/>
                <w:sz w:val="28"/>
                <w:szCs w:val="28"/>
              </w:rPr>
            </w:pPr>
            <w:r w:rsidRPr="00FC4D85">
              <w:rPr>
                <w:color w:val="000000"/>
                <w:sz w:val="28"/>
                <w:szCs w:val="28"/>
              </w:rPr>
              <w:t>-1742,6</w:t>
            </w:r>
          </w:p>
        </w:tc>
        <w:tc>
          <w:tcPr>
            <w:tcW w:w="637" w:type="pct"/>
            <w:hideMark/>
          </w:tcPr>
          <w:p w:rsidR="00FC4D85" w:rsidRPr="00FC4D85" w:rsidRDefault="00FC4D85">
            <w:pPr>
              <w:jc w:val="right"/>
              <w:rPr>
                <w:color w:val="000000"/>
                <w:sz w:val="28"/>
                <w:szCs w:val="28"/>
              </w:rPr>
            </w:pPr>
            <w:r w:rsidRPr="00FC4D85">
              <w:rPr>
                <w:color w:val="000000"/>
                <w:sz w:val="28"/>
                <w:szCs w:val="28"/>
              </w:rPr>
              <w:t>-5438,9</w:t>
            </w:r>
          </w:p>
        </w:tc>
        <w:tc>
          <w:tcPr>
            <w:tcW w:w="1088" w:type="pct"/>
            <w:hideMark/>
          </w:tcPr>
          <w:p w:rsidR="00FC4D85" w:rsidRPr="00FC4D85" w:rsidRDefault="00FC4D85">
            <w:pPr>
              <w:jc w:val="right"/>
              <w:rPr>
                <w:color w:val="000000"/>
                <w:sz w:val="28"/>
                <w:szCs w:val="28"/>
              </w:rPr>
            </w:pPr>
            <w:r w:rsidRPr="00FC4D85">
              <w:rPr>
                <w:color w:val="000000"/>
                <w:sz w:val="28"/>
                <w:szCs w:val="28"/>
              </w:rPr>
              <w:t>-2531,3</w:t>
            </w:r>
          </w:p>
        </w:tc>
      </w:tr>
      <w:tr w:rsidR="008F1116" w:rsidRPr="00F64242" w:rsidTr="00546013">
        <w:trPr>
          <w:trHeight w:val="20"/>
        </w:trPr>
        <w:tc>
          <w:tcPr>
            <w:tcW w:w="1230" w:type="pct"/>
            <w:vMerge/>
            <w:hideMark/>
          </w:tcPr>
          <w:p w:rsidR="008F1116" w:rsidRPr="00F64242" w:rsidRDefault="008F1116" w:rsidP="005C6285">
            <w:pPr>
              <w:rPr>
                <w:sz w:val="28"/>
                <w:szCs w:val="28"/>
              </w:rPr>
            </w:pP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46013">
        <w:trPr>
          <w:trHeight w:val="20"/>
        </w:trPr>
        <w:tc>
          <w:tcPr>
            <w:tcW w:w="1230" w:type="pct"/>
            <w:vMerge/>
            <w:hideMark/>
          </w:tcPr>
          <w:p w:rsidR="008F1116" w:rsidRPr="00F64242" w:rsidRDefault="008F1116" w:rsidP="005C6285">
            <w:pPr>
              <w:rPr>
                <w:sz w:val="28"/>
                <w:szCs w:val="28"/>
              </w:rPr>
            </w:pP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rsidP="009F7CE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46013">
        <w:trPr>
          <w:trHeight w:val="20"/>
        </w:trPr>
        <w:tc>
          <w:tcPr>
            <w:tcW w:w="1230" w:type="pct"/>
            <w:hideMark/>
          </w:tcPr>
          <w:p w:rsidR="008F1116" w:rsidRPr="00F64242" w:rsidRDefault="008F1116" w:rsidP="005C6285">
            <w:pPr>
              <w:rPr>
                <w:sz w:val="28"/>
                <w:szCs w:val="28"/>
              </w:rPr>
            </w:pPr>
            <w:r w:rsidRPr="00F64242">
              <w:rPr>
                <w:sz w:val="28"/>
                <w:szCs w:val="28"/>
              </w:rPr>
              <w:t>5. Precizēta finansiālā ietekme:</w:t>
            </w:r>
          </w:p>
        </w:tc>
        <w:tc>
          <w:tcPr>
            <w:tcW w:w="578" w:type="pct"/>
            <w:vMerge w:val="restart"/>
            <w:hideMark/>
          </w:tcPr>
          <w:p w:rsidR="008F1116" w:rsidRPr="00F64242" w:rsidRDefault="008F1116" w:rsidP="005C6285">
            <w:pPr>
              <w:jc w:val="both"/>
              <w:rPr>
                <w:sz w:val="28"/>
                <w:szCs w:val="28"/>
              </w:rPr>
            </w:pPr>
            <w:r w:rsidRPr="00F64242">
              <w:rPr>
                <w:sz w:val="28"/>
                <w:szCs w:val="28"/>
              </w:rPr>
              <w:t>X</w:t>
            </w: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46013">
        <w:trPr>
          <w:trHeight w:val="20"/>
        </w:trPr>
        <w:tc>
          <w:tcPr>
            <w:tcW w:w="1230" w:type="pct"/>
            <w:hideMark/>
          </w:tcPr>
          <w:p w:rsidR="008F1116" w:rsidRPr="00F64242" w:rsidRDefault="008F1116" w:rsidP="005C6285">
            <w:pPr>
              <w:rPr>
                <w:sz w:val="28"/>
                <w:szCs w:val="28"/>
              </w:rPr>
            </w:pPr>
            <w:r w:rsidRPr="00F64242">
              <w:rPr>
                <w:sz w:val="28"/>
                <w:szCs w:val="28"/>
              </w:rPr>
              <w:t>5.1. valsts pamatbudžets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46013">
        <w:trPr>
          <w:trHeight w:val="20"/>
        </w:trPr>
        <w:tc>
          <w:tcPr>
            <w:tcW w:w="1230" w:type="pct"/>
            <w:hideMark/>
          </w:tcPr>
          <w:p w:rsidR="008F1116" w:rsidRPr="00F64242" w:rsidRDefault="008F1116" w:rsidP="005C6285">
            <w:pPr>
              <w:rPr>
                <w:sz w:val="28"/>
                <w:szCs w:val="28"/>
              </w:rPr>
            </w:pPr>
            <w:r w:rsidRPr="00F64242">
              <w:rPr>
                <w:sz w:val="28"/>
                <w:szCs w:val="28"/>
              </w:rPr>
              <w:t>5.2. speciālais 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46013">
        <w:trPr>
          <w:trHeight w:val="20"/>
        </w:trPr>
        <w:tc>
          <w:tcPr>
            <w:tcW w:w="1230" w:type="pct"/>
            <w:hideMark/>
          </w:tcPr>
          <w:p w:rsidR="008F1116" w:rsidRPr="00F64242" w:rsidRDefault="008F1116" w:rsidP="005C6285">
            <w:pPr>
              <w:rPr>
                <w:sz w:val="28"/>
                <w:szCs w:val="28"/>
              </w:rPr>
            </w:pPr>
            <w:r w:rsidRPr="00F64242">
              <w:rPr>
                <w:sz w:val="28"/>
                <w:szCs w:val="28"/>
              </w:rPr>
              <w:t>5.3. pašvaldību 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B501A7" w:rsidRPr="00F64242" w:rsidTr="00546013">
        <w:trPr>
          <w:trHeight w:val="20"/>
        </w:trPr>
        <w:tc>
          <w:tcPr>
            <w:tcW w:w="1230" w:type="pct"/>
            <w:hideMark/>
          </w:tcPr>
          <w:p w:rsidR="00B501A7" w:rsidRPr="00F64242" w:rsidRDefault="00B501A7" w:rsidP="005C6285">
            <w:pPr>
              <w:rPr>
                <w:sz w:val="28"/>
                <w:szCs w:val="28"/>
              </w:rPr>
            </w:pPr>
            <w:r w:rsidRPr="00F64242">
              <w:rPr>
                <w:sz w:val="28"/>
                <w:szCs w:val="28"/>
              </w:rPr>
              <w:t>6. Detalizēts ieņēmumu un izdevu</w:t>
            </w:r>
            <w:r w:rsidRPr="00F64242">
              <w:rPr>
                <w:sz w:val="28"/>
                <w:szCs w:val="28"/>
              </w:rPr>
              <w:softHyphen/>
              <w:t>mu aprēķins (ja nepieciešams, detalizētu ieņēmumu un izdevumu aprēķinu var pievienot anotācijas pielikumā):</w:t>
            </w:r>
          </w:p>
        </w:tc>
        <w:tc>
          <w:tcPr>
            <w:tcW w:w="3770" w:type="pct"/>
            <w:gridSpan w:val="5"/>
            <w:vMerge w:val="restart"/>
            <w:hideMark/>
          </w:tcPr>
          <w:p w:rsidR="00EF486A" w:rsidRDefault="00A61E42" w:rsidP="005C6285">
            <w:pPr>
              <w:jc w:val="both"/>
              <w:rPr>
                <w:sz w:val="28"/>
                <w:szCs w:val="28"/>
              </w:rPr>
            </w:pPr>
            <w:r>
              <w:rPr>
                <w:sz w:val="28"/>
                <w:szCs w:val="28"/>
              </w:rPr>
              <w:t xml:space="preserve">Saskaņā ar likumu „Par valsts budžetu 2011.gadam” </w:t>
            </w:r>
            <w:r w:rsidR="00FC4D85">
              <w:rPr>
                <w:sz w:val="28"/>
                <w:szCs w:val="28"/>
              </w:rPr>
              <w:t>3.2.2.1.2.</w:t>
            </w:r>
            <w:r>
              <w:rPr>
                <w:sz w:val="28"/>
                <w:szCs w:val="28"/>
              </w:rPr>
              <w:t xml:space="preserve">apakšaktivitātei plānotais finansējums </w:t>
            </w:r>
            <w:r w:rsidR="00CC7FE7">
              <w:rPr>
                <w:sz w:val="28"/>
                <w:szCs w:val="28"/>
              </w:rPr>
              <w:t xml:space="preserve">2011.gadā </w:t>
            </w:r>
            <w:r>
              <w:rPr>
                <w:sz w:val="28"/>
                <w:szCs w:val="28"/>
              </w:rPr>
              <w:t xml:space="preserve">ir </w:t>
            </w:r>
            <w:r w:rsidR="00FC4D85">
              <w:rPr>
                <w:sz w:val="28"/>
                <w:szCs w:val="28"/>
              </w:rPr>
              <w:t>2477,88</w:t>
            </w:r>
            <w:r>
              <w:rPr>
                <w:sz w:val="28"/>
                <w:szCs w:val="28"/>
              </w:rPr>
              <w:t xml:space="preserve"> </w:t>
            </w:r>
            <w:bookmarkStart w:id="8" w:name="OLE_LINK1"/>
            <w:bookmarkStart w:id="9" w:name="OLE_LINK2"/>
            <w:r w:rsidR="008E4346">
              <w:rPr>
                <w:sz w:val="28"/>
                <w:szCs w:val="28"/>
              </w:rPr>
              <w:t xml:space="preserve">tūkst. </w:t>
            </w:r>
            <w:bookmarkEnd w:id="8"/>
            <w:bookmarkEnd w:id="9"/>
            <w:r>
              <w:rPr>
                <w:sz w:val="28"/>
                <w:szCs w:val="28"/>
              </w:rPr>
              <w:t>lati</w:t>
            </w:r>
            <w:r w:rsidR="00EF486A">
              <w:rPr>
                <w:sz w:val="28"/>
                <w:szCs w:val="28"/>
              </w:rPr>
              <w:t>.</w:t>
            </w:r>
          </w:p>
          <w:p w:rsidR="00FC4D85" w:rsidRDefault="00CC7FE7" w:rsidP="005C6285">
            <w:pPr>
              <w:jc w:val="both"/>
              <w:rPr>
                <w:color w:val="000000"/>
                <w:sz w:val="28"/>
                <w:szCs w:val="28"/>
              </w:rPr>
            </w:pPr>
            <w:r>
              <w:rPr>
                <w:sz w:val="28"/>
                <w:szCs w:val="28"/>
              </w:rPr>
              <w:t xml:space="preserve">Saskaņā ar </w:t>
            </w:r>
            <w:r w:rsidRPr="009502AF">
              <w:rPr>
                <w:sz w:val="28"/>
                <w:szCs w:val="28"/>
              </w:rPr>
              <w:t>M</w:t>
            </w:r>
            <w:r>
              <w:rPr>
                <w:sz w:val="28"/>
                <w:szCs w:val="28"/>
              </w:rPr>
              <w:t>inistru kabineta</w:t>
            </w:r>
            <w:r w:rsidRPr="009502AF">
              <w:rPr>
                <w:sz w:val="28"/>
                <w:szCs w:val="28"/>
              </w:rPr>
              <w:t xml:space="preserve"> </w:t>
            </w:r>
            <w:r w:rsidR="008A33DC" w:rsidRPr="009502AF">
              <w:rPr>
                <w:sz w:val="28"/>
                <w:szCs w:val="28"/>
              </w:rPr>
              <w:t>2011.</w:t>
            </w:r>
            <w:r w:rsidR="008A33DC">
              <w:rPr>
                <w:sz w:val="28"/>
                <w:szCs w:val="28"/>
              </w:rPr>
              <w:t>gada 3.februāra</w:t>
            </w:r>
            <w:r w:rsidR="008A33DC" w:rsidRPr="009502AF">
              <w:rPr>
                <w:sz w:val="28"/>
                <w:szCs w:val="28"/>
              </w:rPr>
              <w:t xml:space="preserve"> </w:t>
            </w:r>
            <w:r w:rsidRPr="009502AF">
              <w:rPr>
                <w:sz w:val="28"/>
                <w:szCs w:val="28"/>
              </w:rPr>
              <w:t>rīkojum</w:t>
            </w:r>
            <w:r>
              <w:rPr>
                <w:sz w:val="28"/>
                <w:szCs w:val="28"/>
              </w:rPr>
              <w:t>u</w:t>
            </w:r>
            <w:r w:rsidRPr="009502AF">
              <w:rPr>
                <w:sz w:val="28"/>
                <w:szCs w:val="28"/>
              </w:rPr>
              <w:t xml:space="preserve"> Nr.43 </w:t>
            </w:r>
            <w:r>
              <w:rPr>
                <w:sz w:val="28"/>
                <w:szCs w:val="28"/>
              </w:rPr>
              <w:t>„</w:t>
            </w:r>
            <w:r w:rsidRPr="009502AF">
              <w:rPr>
                <w:sz w:val="28"/>
                <w:szCs w:val="28"/>
              </w:rPr>
              <w:t>Par valsts budžeta ilgtermiņa saist</w:t>
            </w:r>
            <w:r>
              <w:rPr>
                <w:sz w:val="28"/>
                <w:szCs w:val="28"/>
              </w:rPr>
              <w:t xml:space="preserve">ību maksimāli pieļaujamo apjomu” </w:t>
            </w:r>
            <w:r w:rsidR="00FC4D85">
              <w:rPr>
                <w:sz w:val="28"/>
                <w:szCs w:val="28"/>
              </w:rPr>
              <w:t>3.2.2.1.2.</w:t>
            </w:r>
            <w:r w:rsidR="00EF486A">
              <w:rPr>
                <w:sz w:val="28"/>
                <w:szCs w:val="28"/>
              </w:rPr>
              <w:t xml:space="preserve">apakšaktivitātei </w:t>
            </w:r>
            <w:r w:rsidR="009502AF" w:rsidRPr="004D6CE2">
              <w:rPr>
                <w:color w:val="000000"/>
                <w:sz w:val="28"/>
                <w:szCs w:val="28"/>
              </w:rPr>
              <w:t>2012.gadā</w:t>
            </w:r>
            <w:r w:rsidR="009502AF">
              <w:rPr>
                <w:color w:val="000000"/>
                <w:sz w:val="28"/>
                <w:szCs w:val="28"/>
              </w:rPr>
              <w:t xml:space="preserve"> </w:t>
            </w:r>
            <w:r w:rsidR="00EF486A">
              <w:rPr>
                <w:color w:val="000000"/>
                <w:sz w:val="28"/>
                <w:szCs w:val="28"/>
              </w:rPr>
              <w:t xml:space="preserve">plānotais finansējums ir </w:t>
            </w:r>
            <w:r w:rsidR="00FC4D85">
              <w:rPr>
                <w:color w:val="000000"/>
                <w:sz w:val="28"/>
                <w:szCs w:val="28"/>
              </w:rPr>
              <w:t>735,30</w:t>
            </w:r>
            <w:r w:rsidR="009502AF" w:rsidRPr="004D6CE2">
              <w:rPr>
                <w:color w:val="000000"/>
                <w:sz w:val="28"/>
                <w:szCs w:val="28"/>
              </w:rPr>
              <w:t xml:space="preserve"> </w:t>
            </w:r>
            <w:r w:rsidR="008E4346">
              <w:rPr>
                <w:sz w:val="28"/>
                <w:szCs w:val="28"/>
              </w:rPr>
              <w:t xml:space="preserve">tūkst. </w:t>
            </w:r>
            <w:r w:rsidR="009502AF" w:rsidRPr="004D6CE2">
              <w:rPr>
                <w:color w:val="000000"/>
                <w:sz w:val="28"/>
                <w:szCs w:val="28"/>
              </w:rPr>
              <w:t>lat</w:t>
            </w:r>
            <w:r>
              <w:rPr>
                <w:color w:val="000000"/>
                <w:sz w:val="28"/>
                <w:szCs w:val="28"/>
              </w:rPr>
              <w:t>i</w:t>
            </w:r>
            <w:r w:rsidR="00FC4D85">
              <w:rPr>
                <w:color w:val="000000"/>
                <w:sz w:val="28"/>
                <w:szCs w:val="28"/>
              </w:rPr>
              <w:t>.</w:t>
            </w:r>
            <w:r w:rsidR="009502AF" w:rsidRPr="004D6CE2">
              <w:rPr>
                <w:color w:val="000000"/>
                <w:sz w:val="28"/>
                <w:szCs w:val="28"/>
              </w:rPr>
              <w:t xml:space="preserve"> </w:t>
            </w:r>
          </w:p>
          <w:p w:rsidR="001F4D78" w:rsidRDefault="00FC4D85" w:rsidP="005C6285">
            <w:pPr>
              <w:jc w:val="both"/>
              <w:rPr>
                <w:sz w:val="28"/>
                <w:szCs w:val="28"/>
              </w:rPr>
            </w:pPr>
            <w:r>
              <w:rPr>
                <w:color w:val="000000"/>
                <w:sz w:val="28"/>
                <w:szCs w:val="28"/>
              </w:rPr>
              <w:t xml:space="preserve">2013. un </w:t>
            </w:r>
            <w:r w:rsidR="001F4D78">
              <w:rPr>
                <w:color w:val="000000"/>
                <w:sz w:val="28"/>
                <w:szCs w:val="28"/>
              </w:rPr>
              <w:t xml:space="preserve">2014.gadā </w:t>
            </w:r>
            <w:r>
              <w:rPr>
                <w:color w:val="000000"/>
                <w:sz w:val="28"/>
                <w:szCs w:val="28"/>
              </w:rPr>
              <w:t>3.2.2.1.2</w:t>
            </w:r>
            <w:r w:rsidR="00C534E8">
              <w:rPr>
                <w:color w:val="000000"/>
                <w:sz w:val="28"/>
                <w:szCs w:val="28"/>
              </w:rPr>
              <w:t>.</w:t>
            </w:r>
            <w:r w:rsidR="001F4D78">
              <w:rPr>
                <w:color w:val="000000"/>
                <w:sz w:val="28"/>
                <w:szCs w:val="28"/>
              </w:rPr>
              <w:t xml:space="preserve">apakšaktivitātei plānotais finansējums </w:t>
            </w:r>
            <w:r w:rsidR="00410F71">
              <w:rPr>
                <w:color w:val="000000"/>
                <w:sz w:val="28"/>
                <w:szCs w:val="28"/>
              </w:rPr>
              <w:t xml:space="preserve">valsts </w:t>
            </w:r>
            <w:r w:rsidR="001F4D78">
              <w:rPr>
                <w:color w:val="000000"/>
                <w:sz w:val="28"/>
                <w:szCs w:val="28"/>
              </w:rPr>
              <w:t xml:space="preserve">budžetā </w:t>
            </w:r>
            <w:r w:rsidR="00410F71" w:rsidRPr="009502AF">
              <w:rPr>
                <w:sz w:val="28"/>
                <w:szCs w:val="28"/>
              </w:rPr>
              <w:t>ilgtermiņa saist</w:t>
            </w:r>
            <w:r w:rsidR="00410F71">
              <w:rPr>
                <w:sz w:val="28"/>
                <w:szCs w:val="28"/>
              </w:rPr>
              <w:t xml:space="preserve">ībām </w:t>
            </w:r>
            <w:r w:rsidR="001F4D78">
              <w:rPr>
                <w:color w:val="000000"/>
                <w:sz w:val="28"/>
                <w:szCs w:val="28"/>
              </w:rPr>
              <w:t>nav norādīts.</w:t>
            </w:r>
          </w:p>
          <w:p w:rsidR="00B501A7" w:rsidRPr="008F1116" w:rsidRDefault="00F97E42" w:rsidP="00FC4D85">
            <w:pPr>
              <w:jc w:val="both"/>
              <w:rPr>
                <w:sz w:val="28"/>
                <w:szCs w:val="28"/>
              </w:rPr>
            </w:pPr>
            <w:r w:rsidRPr="002E7044">
              <w:rPr>
                <w:sz w:val="28"/>
                <w:szCs w:val="28"/>
              </w:rPr>
              <w:t>Aprēķinot ie</w:t>
            </w:r>
            <w:r w:rsidR="00C534E8">
              <w:rPr>
                <w:sz w:val="28"/>
                <w:szCs w:val="28"/>
              </w:rPr>
              <w:t xml:space="preserve">ņēmumus, tiek ņemts vērā, ka </w:t>
            </w:r>
            <w:r w:rsidR="00FC4D85">
              <w:rPr>
                <w:sz w:val="28"/>
                <w:szCs w:val="28"/>
              </w:rPr>
              <w:t>3.2.2.1.2</w:t>
            </w:r>
            <w:r w:rsidR="00C534E8">
              <w:rPr>
                <w:sz w:val="28"/>
                <w:szCs w:val="28"/>
              </w:rPr>
              <w:t>.</w:t>
            </w:r>
            <w:r w:rsidRPr="002E7044">
              <w:rPr>
                <w:sz w:val="28"/>
                <w:szCs w:val="28"/>
              </w:rPr>
              <w:t xml:space="preserve">apakšaktivitātes Eiropas </w:t>
            </w:r>
            <w:r w:rsidR="00FC4D85">
              <w:rPr>
                <w:sz w:val="28"/>
                <w:szCs w:val="28"/>
              </w:rPr>
              <w:t>Reģionālās attīstības</w:t>
            </w:r>
            <w:r w:rsidRPr="002E7044">
              <w:rPr>
                <w:sz w:val="28"/>
                <w:szCs w:val="28"/>
              </w:rPr>
              <w:t xml:space="preserve"> </w:t>
            </w:r>
            <w:r w:rsidR="00C534E8">
              <w:rPr>
                <w:sz w:val="28"/>
                <w:szCs w:val="28"/>
              </w:rPr>
              <w:lastRenderedPageBreak/>
              <w:t xml:space="preserve">fonda līdzfinansējuma likme ir </w:t>
            </w:r>
            <w:r w:rsidR="00FC4D85">
              <w:rPr>
                <w:sz w:val="28"/>
                <w:szCs w:val="28"/>
              </w:rPr>
              <w:t>100</w:t>
            </w:r>
            <w:r w:rsidRPr="002E7044">
              <w:rPr>
                <w:sz w:val="28"/>
                <w:szCs w:val="28"/>
              </w:rPr>
              <w:t xml:space="preserve"> procenti.</w:t>
            </w:r>
          </w:p>
        </w:tc>
      </w:tr>
      <w:tr w:rsidR="00B501A7" w:rsidRPr="00F64242" w:rsidTr="00546013">
        <w:trPr>
          <w:trHeight w:val="20"/>
        </w:trPr>
        <w:tc>
          <w:tcPr>
            <w:tcW w:w="1230" w:type="pct"/>
            <w:hideMark/>
          </w:tcPr>
          <w:p w:rsidR="00B501A7" w:rsidRPr="00F64242" w:rsidRDefault="00B501A7" w:rsidP="005C6285">
            <w:pPr>
              <w:rPr>
                <w:sz w:val="28"/>
                <w:szCs w:val="28"/>
              </w:rPr>
            </w:pPr>
            <w:r w:rsidRPr="00F64242">
              <w:rPr>
                <w:sz w:val="28"/>
                <w:szCs w:val="28"/>
              </w:rPr>
              <w:lastRenderedPageBreak/>
              <w:t>6.1. detalizēts ieņēmumu aprēķins</w:t>
            </w:r>
          </w:p>
        </w:tc>
        <w:tc>
          <w:tcPr>
            <w:tcW w:w="3770" w:type="pct"/>
            <w:gridSpan w:val="5"/>
            <w:vMerge/>
            <w:hideMark/>
          </w:tcPr>
          <w:p w:rsidR="00B501A7" w:rsidRPr="00F64242" w:rsidRDefault="00B501A7" w:rsidP="005C6285">
            <w:pPr>
              <w:rPr>
                <w:sz w:val="28"/>
                <w:szCs w:val="28"/>
              </w:rPr>
            </w:pPr>
          </w:p>
        </w:tc>
      </w:tr>
      <w:tr w:rsidR="00B501A7" w:rsidRPr="00F64242" w:rsidTr="00546013">
        <w:trPr>
          <w:trHeight w:val="20"/>
        </w:trPr>
        <w:tc>
          <w:tcPr>
            <w:tcW w:w="1230" w:type="pct"/>
            <w:hideMark/>
          </w:tcPr>
          <w:p w:rsidR="00B501A7" w:rsidRPr="00F64242" w:rsidRDefault="00B501A7" w:rsidP="005C6285">
            <w:pPr>
              <w:rPr>
                <w:sz w:val="28"/>
                <w:szCs w:val="28"/>
              </w:rPr>
            </w:pPr>
            <w:r w:rsidRPr="00F64242">
              <w:rPr>
                <w:sz w:val="28"/>
                <w:szCs w:val="28"/>
              </w:rPr>
              <w:lastRenderedPageBreak/>
              <w:t>6.2. detalizēts izdevumu aprēķins</w:t>
            </w:r>
          </w:p>
        </w:tc>
        <w:tc>
          <w:tcPr>
            <w:tcW w:w="3770" w:type="pct"/>
            <w:gridSpan w:val="5"/>
            <w:vMerge/>
            <w:hideMark/>
          </w:tcPr>
          <w:p w:rsidR="00B501A7" w:rsidRPr="00F64242" w:rsidRDefault="00B501A7" w:rsidP="005C6285">
            <w:pPr>
              <w:rPr>
                <w:sz w:val="28"/>
                <w:szCs w:val="28"/>
              </w:rPr>
            </w:pPr>
          </w:p>
        </w:tc>
      </w:tr>
      <w:tr w:rsidR="008F1116" w:rsidRPr="00F64242" w:rsidTr="00546013">
        <w:trPr>
          <w:trHeight w:val="20"/>
        </w:trPr>
        <w:tc>
          <w:tcPr>
            <w:tcW w:w="1230" w:type="pct"/>
            <w:hideMark/>
          </w:tcPr>
          <w:p w:rsidR="008F1116" w:rsidRPr="00F64242" w:rsidRDefault="008F1116" w:rsidP="005C6285">
            <w:pPr>
              <w:rPr>
                <w:sz w:val="28"/>
                <w:szCs w:val="28"/>
              </w:rPr>
            </w:pPr>
            <w:r w:rsidRPr="00F64242">
              <w:rPr>
                <w:sz w:val="28"/>
                <w:szCs w:val="28"/>
              </w:rPr>
              <w:t>7. Cita informācija</w:t>
            </w:r>
          </w:p>
        </w:tc>
        <w:tc>
          <w:tcPr>
            <w:tcW w:w="3770" w:type="pct"/>
            <w:gridSpan w:val="5"/>
            <w:hideMark/>
          </w:tcPr>
          <w:p w:rsidR="008F1116" w:rsidRPr="008F1116" w:rsidRDefault="00FC4D85" w:rsidP="00EF486A">
            <w:pPr>
              <w:jc w:val="both"/>
              <w:rPr>
                <w:sz w:val="28"/>
                <w:szCs w:val="28"/>
              </w:rPr>
            </w:pPr>
            <w:r>
              <w:rPr>
                <w:sz w:val="28"/>
                <w:szCs w:val="28"/>
              </w:rPr>
              <w:t xml:space="preserve">2013. un </w:t>
            </w:r>
            <w:r w:rsidR="008F1116">
              <w:rPr>
                <w:sz w:val="28"/>
                <w:szCs w:val="28"/>
              </w:rPr>
              <w:t>2014.gad</w:t>
            </w:r>
            <w:r w:rsidR="00D61219">
              <w:rPr>
                <w:sz w:val="28"/>
                <w:szCs w:val="28"/>
              </w:rPr>
              <w:t>ā</w:t>
            </w:r>
            <w:r w:rsidR="008F1116">
              <w:rPr>
                <w:sz w:val="28"/>
                <w:szCs w:val="28"/>
              </w:rPr>
              <w:t xml:space="preserve"> izdevumus </w:t>
            </w:r>
            <w:r w:rsidR="008F1116" w:rsidRPr="002E7044">
              <w:rPr>
                <w:color w:val="000000"/>
                <w:sz w:val="28"/>
                <w:szCs w:val="28"/>
              </w:rPr>
              <w:t xml:space="preserve">sedz no valsts budžeta programmas 80.00.00 „Nesadalītais finansējums Eiropas Savienības politiku instrumentu un pārējās ārvalstu finanšu palīdzības </w:t>
            </w:r>
            <w:proofErr w:type="spellStart"/>
            <w:r w:rsidR="008F1116" w:rsidRPr="002E7044">
              <w:rPr>
                <w:color w:val="000000"/>
                <w:sz w:val="28"/>
                <w:szCs w:val="28"/>
              </w:rPr>
              <w:t>līdzfinansēto</w:t>
            </w:r>
            <w:proofErr w:type="spellEnd"/>
            <w:r w:rsidR="008F1116" w:rsidRPr="002E7044">
              <w:rPr>
                <w:color w:val="000000"/>
                <w:sz w:val="28"/>
                <w:szCs w:val="28"/>
              </w:rPr>
              <w:t xml:space="preserve"> projektu un pasākumu īstenošanai”</w:t>
            </w:r>
            <w:r w:rsidR="008F1116">
              <w:rPr>
                <w:color w:val="000000"/>
                <w:sz w:val="28"/>
                <w:szCs w:val="28"/>
              </w:rPr>
              <w:t>.</w:t>
            </w:r>
          </w:p>
        </w:tc>
      </w:tr>
    </w:tbl>
    <w:p w:rsidR="00567484" w:rsidRDefault="00567484" w:rsidP="00582792">
      <w:pPr>
        <w:jc w:val="both"/>
        <w:rPr>
          <w:sz w:val="28"/>
          <w:szCs w:val="28"/>
        </w:rPr>
      </w:pPr>
    </w:p>
    <w:p w:rsidR="00885F63" w:rsidRDefault="009569F9" w:rsidP="00582792">
      <w:pPr>
        <w:jc w:val="both"/>
        <w:rPr>
          <w:sz w:val="28"/>
          <w:szCs w:val="28"/>
        </w:rPr>
      </w:pPr>
      <w:r w:rsidRPr="009569F9">
        <w:rPr>
          <w:sz w:val="28"/>
          <w:szCs w:val="28"/>
        </w:rPr>
        <w:t>Anotācijas IV, V un VI sadaļa</w:t>
      </w:r>
      <w:r w:rsidR="008B4103">
        <w:rPr>
          <w:sz w:val="28"/>
          <w:szCs w:val="28"/>
        </w:rPr>
        <w:t xml:space="preserve"> – </w:t>
      </w:r>
      <w:r w:rsidR="008E4346">
        <w:rPr>
          <w:sz w:val="28"/>
          <w:szCs w:val="28"/>
        </w:rPr>
        <w:t>Projekts šīs</w:t>
      </w:r>
      <w:r w:rsidR="008D4A96">
        <w:rPr>
          <w:sz w:val="28"/>
          <w:szCs w:val="28"/>
        </w:rPr>
        <w:t xml:space="preserve"> jom</w:t>
      </w:r>
      <w:r w:rsidR="008E4346">
        <w:rPr>
          <w:sz w:val="28"/>
          <w:szCs w:val="28"/>
        </w:rPr>
        <w:t>as</w:t>
      </w:r>
      <w:r w:rsidR="008D4A96">
        <w:rPr>
          <w:sz w:val="28"/>
          <w:szCs w:val="28"/>
        </w:rPr>
        <w:t xml:space="preserve"> neskar</w:t>
      </w:r>
      <w:r w:rsidR="008B4103">
        <w:rPr>
          <w:sz w:val="28"/>
          <w:szCs w:val="28"/>
        </w:rPr>
        <w:t>.</w:t>
      </w:r>
    </w:p>
    <w:p w:rsidR="00751978" w:rsidRPr="006941D9" w:rsidRDefault="00751978" w:rsidP="00582792">
      <w:pPr>
        <w:jc w:val="both"/>
        <w:rPr>
          <w:sz w:val="28"/>
          <w:szCs w:val="28"/>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260"/>
        <w:gridCol w:w="5670"/>
      </w:tblGrid>
      <w:tr w:rsidR="00100200" w:rsidRPr="006941D9" w:rsidTr="006941D9">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6941D9" w:rsidRDefault="00100200" w:rsidP="000E6C5D">
            <w:pPr>
              <w:ind w:left="-113" w:right="-113"/>
              <w:jc w:val="center"/>
              <w:rPr>
                <w:b/>
                <w:bCs/>
                <w:sz w:val="27"/>
                <w:szCs w:val="27"/>
              </w:rPr>
            </w:pPr>
            <w:r w:rsidRPr="006941D9">
              <w:rPr>
                <w:b/>
                <w:bCs/>
                <w:sz w:val="27"/>
                <w:szCs w:val="27"/>
              </w:rPr>
              <w:t>VII. Tiesību akta projekta izpildes nodrošināšana un tās ietekme uz institūcijām</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1.</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izpildē iesaistītās institūcijas</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F4546D" w:rsidP="0061238A">
            <w:pPr>
              <w:jc w:val="both"/>
              <w:rPr>
                <w:sz w:val="28"/>
                <w:szCs w:val="28"/>
              </w:rPr>
            </w:pPr>
            <w:r w:rsidRPr="004F5A16">
              <w:rPr>
                <w:sz w:val="28"/>
                <w:szCs w:val="28"/>
              </w:rPr>
              <w:t>Izglītības un zinātnes ministrija</w:t>
            </w:r>
            <w:r w:rsidR="007C0014" w:rsidRPr="004F5A16">
              <w:rPr>
                <w:sz w:val="28"/>
                <w:szCs w:val="28"/>
              </w:rPr>
              <w:t>.</w:t>
            </w:r>
            <w:r w:rsidR="00C34957" w:rsidRPr="004F5A16">
              <w:rPr>
                <w:sz w:val="28"/>
                <w:szCs w:val="28"/>
              </w:rPr>
              <w:t xml:space="preserve"> </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2.</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funkcijām</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4B488F" w:rsidP="00C01E21">
            <w:pPr>
              <w:jc w:val="both"/>
              <w:rPr>
                <w:sz w:val="28"/>
                <w:szCs w:val="28"/>
              </w:rPr>
            </w:pPr>
            <w:r w:rsidRPr="004F5A16">
              <w:rPr>
                <w:sz w:val="28"/>
                <w:szCs w:val="28"/>
              </w:rPr>
              <w:t>Projekta izpildē iesaistītās institūcijas projekta izpildi nodrošina to esošo funkciju un uzdevumu ietvaros.</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3.</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Jaunu institūciju izveide</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4.</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likvidācija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5.</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reorganizācija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bookmarkStart w:id="10" w:name="OLE_LINK5"/>
            <w:bookmarkStart w:id="11" w:name="OLE_LINK6"/>
            <w:r>
              <w:rPr>
                <w:sz w:val="28"/>
                <w:szCs w:val="28"/>
              </w:rPr>
              <w:t>Projekts šo jomu neskar</w:t>
            </w:r>
            <w:r w:rsidR="008B4103">
              <w:rPr>
                <w:sz w:val="28"/>
                <w:szCs w:val="28"/>
              </w:rPr>
              <w:t>.</w:t>
            </w:r>
            <w:bookmarkEnd w:id="10"/>
            <w:bookmarkEnd w:id="11"/>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6.</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Nav</w:t>
            </w:r>
            <w:r w:rsidR="007D18C5">
              <w:rPr>
                <w:sz w:val="28"/>
                <w:szCs w:val="28"/>
              </w:rPr>
              <w:t>.</w:t>
            </w:r>
          </w:p>
        </w:tc>
      </w:tr>
    </w:tbl>
    <w:p w:rsidR="008B4103" w:rsidRDefault="008B4103" w:rsidP="002E208C">
      <w:pPr>
        <w:jc w:val="both"/>
        <w:rPr>
          <w:sz w:val="28"/>
          <w:szCs w:val="28"/>
        </w:rPr>
      </w:pPr>
    </w:p>
    <w:p w:rsidR="008B4103" w:rsidRPr="004F5A16" w:rsidRDefault="008B4103" w:rsidP="002E208C">
      <w:pPr>
        <w:jc w:val="both"/>
        <w:rPr>
          <w:sz w:val="28"/>
          <w:szCs w:val="28"/>
        </w:rPr>
      </w:pPr>
    </w:p>
    <w:p w:rsidR="004B488F" w:rsidRPr="004F5A16" w:rsidRDefault="00C013BB" w:rsidP="004F5A16">
      <w:pPr>
        <w:pStyle w:val="naisf"/>
        <w:spacing w:before="0" w:after="0"/>
        <w:ind w:firstLine="720"/>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R.Broks</w:t>
      </w:r>
      <w:proofErr w:type="spellEnd"/>
      <w:r w:rsidR="004B488F" w:rsidRPr="004F5A16">
        <w:rPr>
          <w:sz w:val="28"/>
          <w:szCs w:val="28"/>
        </w:rPr>
        <w:tab/>
      </w:r>
    </w:p>
    <w:p w:rsidR="004B488F" w:rsidRPr="004F5A16" w:rsidRDefault="004B488F" w:rsidP="004B488F">
      <w:pPr>
        <w:rPr>
          <w:sz w:val="28"/>
          <w:szCs w:val="28"/>
          <w:lang w:eastAsia="en-US"/>
        </w:rPr>
      </w:pPr>
    </w:p>
    <w:p w:rsidR="00762E9B" w:rsidRPr="00762E9B" w:rsidRDefault="004B488F" w:rsidP="00546013">
      <w:pPr>
        <w:autoSpaceDE w:val="0"/>
        <w:autoSpaceDN w:val="0"/>
        <w:adjustRightInd w:val="0"/>
        <w:ind w:firstLine="709"/>
        <w:rPr>
          <w:rFonts w:cs="Helv"/>
          <w:bCs/>
          <w:sz w:val="28"/>
          <w:szCs w:val="28"/>
        </w:rPr>
      </w:pPr>
      <w:r w:rsidRPr="00762E9B">
        <w:rPr>
          <w:sz w:val="28"/>
          <w:szCs w:val="28"/>
          <w:lang w:eastAsia="en-US"/>
        </w:rPr>
        <w:t xml:space="preserve">Vīza:  </w:t>
      </w:r>
      <w:r w:rsidR="00762E9B" w:rsidRPr="00762E9B">
        <w:rPr>
          <w:bCs/>
          <w:color w:val="000000"/>
          <w:sz w:val="28"/>
          <w:szCs w:val="28"/>
        </w:rPr>
        <w:t>Valsts sekretār</w:t>
      </w:r>
      <w:r w:rsidR="00546013">
        <w:rPr>
          <w:bCs/>
          <w:color w:val="000000"/>
          <w:sz w:val="28"/>
          <w:szCs w:val="28"/>
        </w:rPr>
        <w:t xml:space="preserve">s </w:t>
      </w:r>
      <w:r w:rsidR="00546013">
        <w:rPr>
          <w:bCs/>
          <w:color w:val="000000"/>
          <w:sz w:val="28"/>
          <w:szCs w:val="28"/>
        </w:rPr>
        <w:tab/>
      </w:r>
      <w:r w:rsidR="00546013">
        <w:rPr>
          <w:bCs/>
          <w:color w:val="000000"/>
          <w:sz w:val="28"/>
          <w:szCs w:val="28"/>
        </w:rPr>
        <w:tab/>
      </w:r>
      <w:r w:rsidR="00546013">
        <w:rPr>
          <w:bCs/>
          <w:color w:val="000000"/>
          <w:sz w:val="28"/>
          <w:szCs w:val="28"/>
        </w:rPr>
        <w:tab/>
      </w:r>
      <w:r w:rsidR="00546013">
        <w:rPr>
          <w:bCs/>
          <w:color w:val="000000"/>
          <w:sz w:val="28"/>
          <w:szCs w:val="28"/>
        </w:rPr>
        <w:tab/>
      </w:r>
      <w:r w:rsidR="00546013">
        <w:rPr>
          <w:bCs/>
          <w:color w:val="000000"/>
          <w:sz w:val="28"/>
          <w:szCs w:val="28"/>
        </w:rPr>
        <w:tab/>
      </w:r>
      <w:r w:rsidR="00546013">
        <w:rPr>
          <w:bCs/>
          <w:color w:val="000000"/>
          <w:sz w:val="28"/>
          <w:szCs w:val="28"/>
        </w:rPr>
        <w:tab/>
      </w:r>
      <w:proofErr w:type="spellStart"/>
      <w:r w:rsidR="00546013">
        <w:rPr>
          <w:bCs/>
          <w:color w:val="000000"/>
          <w:sz w:val="28"/>
          <w:szCs w:val="28"/>
        </w:rPr>
        <w:t>M.Gruškevics</w:t>
      </w:r>
      <w:proofErr w:type="spellEnd"/>
    </w:p>
    <w:p w:rsidR="0061238A" w:rsidRPr="00546013" w:rsidRDefault="00546013" w:rsidP="00C34957">
      <w:pPr>
        <w:jc w:val="both"/>
        <w:rPr>
          <w:sz w:val="18"/>
          <w:szCs w:val="18"/>
        </w:rPr>
      </w:pPr>
      <w:r>
        <w:rPr>
          <w:sz w:val="18"/>
          <w:szCs w:val="18"/>
        </w:rPr>
        <w:t>18.08.2011 14:46</w:t>
      </w:r>
    </w:p>
    <w:p w:rsidR="008B0572" w:rsidRPr="00546013" w:rsidRDefault="008A33DC" w:rsidP="00C34957">
      <w:pPr>
        <w:jc w:val="both"/>
        <w:rPr>
          <w:sz w:val="18"/>
          <w:szCs w:val="18"/>
        </w:rPr>
      </w:pPr>
      <w:r w:rsidRPr="00546013">
        <w:rPr>
          <w:sz w:val="18"/>
          <w:szCs w:val="18"/>
        </w:rPr>
        <w:t>1</w:t>
      </w:r>
      <w:r w:rsidR="00CC2DFE" w:rsidRPr="00546013">
        <w:rPr>
          <w:sz w:val="18"/>
          <w:szCs w:val="18"/>
        </w:rPr>
        <w:t>2</w:t>
      </w:r>
      <w:r w:rsidR="00762E9B" w:rsidRPr="00546013">
        <w:rPr>
          <w:sz w:val="18"/>
          <w:szCs w:val="18"/>
        </w:rPr>
        <w:t>6</w:t>
      </w:r>
      <w:r w:rsidR="00546013">
        <w:rPr>
          <w:sz w:val="18"/>
          <w:szCs w:val="18"/>
        </w:rPr>
        <w:t>2</w:t>
      </w:r>
    </w:p>
    <w:p w:rsidR="008B0572" w:rsidRPr="00546013" w:rsidRDefault="00CC324F" w:rsidP="00C34957">
      <w:pPr>
        <w:jc w:val="both"/>
        <w:rPr>
          <w:sz w:val="18"/>
          <w:szCs w:val="18"/>
        </w:rPr>
      </w:pPr>
      <w:proofErr w:type="spellStart"/>
      <w:r w:rsidRPr="00546013">
        <w:rPr>
          <w:sz w:val="18"/>
          <w:szCs w:val="18"/>
        </w:rPr>
        <w:t>J.Sviridenkova</w:t>
      </w:r>
      <w:proofErr w:type="spellEnd"/>
    </w:p>
    <w:p w:rsidR="008B0572" w:rsidRPr="00546013" w:rsidRDefault="00C013BB" w:rsidP="00C34957">
      <w:pPr>
        <w:jc w:val="both"/>
        <w:rPr>
          <w:sz w:val="18"/>
          <w:szCs w:val="18"/>
        </w:rPr>
      </w:pPr>
      <w:r w:rsidRPr="00546013">
        <w:rPr>
          <w:sz w:val="18"/>
          <w:szCs w:val="18"/>
        </w:rPr>
        <w:t>67047</w:t>
      </w:r>
      <w:r w:rsidR="00CC324F" w:rsidRPr="00546013">
        <w:rPr>
          <w:sz w:val="18"/>
          <w:szCs w:val="18"/>
        </w:rPr>
        <w:t>774</w:t>
      </w:r>
    </w:p>
    <w:p w:rsidR="008B0572" w:rsidRPr="00546013" w:rsidRDefault="00CC324F" w:rsidP="00C34957">
      <w:pPr>
        <w:jc w:val="both"/>
        <w:rPr>
          <w:sz w:val="18"/>
          <w:szCs w:val="18"/>
        </w:rPr>
      </w:pPr>
      <w:r w:rsidRPr="00546013">
        <w:rPr>
          <w:sz w:val="18"/>
          <w:szCs w:val="18"/>
        </w:rPr>
        <w:t>jevgenija.sviridenkova</w:t>
      </w:r>
      <w:r w:rsidR="008B0572" w:rsidRPr="00546013">
        <w:rPr>
          <w:sz w:val="18"/>
          <w:szCs w:val="18"/>
        </w:rPr>
        <w:t>@izm.gov.lv</w:t>
      </w:r>
    </w:p>
    <w:sectPr w:rsidR="008B0572" w:rsidRPr="00546013" w:rsidSect="00546013">
      <w:headerReference w:type="default" r:id="rId8"/>
      <w:footerReference w:type="default" r:id="rId9"/>
      <w:footerReference w:type="first" r:id="rId10"/>
      <w:pgSz w:w="11906" w:h="16838"/>
      <w:pgMar w:top="1276"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FB" w:rsidRDefault="000245FB">
      <w:r>
        <w:separator/>
      </w:r>
    </w:p>
  </w:endnote>
  <w:endnote w:type="continuationSeparator" w:id="0">
    <w:p w:rsidR="000245FB" w:rsidRDefault="0002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FB" w:rsidRPr="00C25F63" w:rsidRDefault="000245FB" w:rsidP="00C25F63">
    <w:pPr>
      <w:jc w:val="both"/>
      <w:rPr>
        <w:szCs w:val="20"/>
      </w:rPr>
    </w:pPr>
    <w:r w:rsidRPr="00EB6654">
      <w:rPr>
        <w:sz w:val="20"/>
        <w:szCs w:val="20"/>
      </w:rPr>
      <w:t>IZMAnot_</w:t>
    </w:r>
    <w:r w:rsidR="00546013">
      <w:rPr>
        <w:sz w:val="20"/>
        <w:szCs w:val="20"/>
      </w:rPr>
      <w:t>1808</w:t>
    </w:r>
    <w:r>
      <w:rPr>
        <w:sz w:val="20"/>
        <w:szCs w:val="20"/>
      </w:rPr>
      <w:t>11_</w:t>
    </w:r>
    <w:r w:rsidRPr="00CC5BC8">
      <w:rPr>
        <w:sz w:val="20"/>
        <w:szCs w:val="20"/>
      </w:rPr>
      <w:t xml:space="preserve">32212; </w:t>
    </w:r>
    <w:r>
      <w:rPr>
        <w:sz w:val="20"/>
        <w:szCs w:val="20"/>
      </w:rPr>
      <w:t>Ministru kabineta noteikumu projekta „</w:t>
    </w:r>
    <w:r w:rsidRPr="00CC5BC8">
      <w:rPr>
        <w:bCs/>
        <w:sz w:val="20"/>
        <w:szCs w:val="20"/>
      </w:rPr>
      <w:t xml:space="preserve">Grozījumi Ministru kabineta 2008.gada 5.augusta noteikumos Nr.649 </w:t>
    </w:r>
    <w:r w:rsidRPr="00CC5BC8">
      <w:rPr>
        <w:sz w:val="20"/>
        <w:szCs w:val="20"/>
      </w:rPr>
      <w:t>„</w:t>
    </w:r>
    <w:r w:rsidRPr="00CC5BC8">
      <w:rPr>
        <w:bCs/>
        <w:sz w:val="20"/>
        <w:szCs w:val="20"/>
      </w:rPr>
      <w:t>Noteikumi par darbības programmas „Infrastruktūra un pakalpojumi” papildinājuma 3.2.2.1.2.apakšaktivitāti „Izglītības iestāžu informatizācija”</w:t>
    </w:r>
    <w:r w:rsidRPr="00CC5BC8">
      <w:rPr>
        <w:sz w:val="20"/>
        <w:szCs w:val="20"/>
      </w:rPr>
      <w:t>”</w:t>
    </w:r>
    <w:r>
      <w:rPr>
        <w:sz w:val="20"/>
        <w:szCs w:val="20"/>
      </w:rPr>
      <w:t>”</w:t>
    </w:r>
    <w:r w:rsidRPr="004D7430">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FB" w:rsidRPr="006517B5" w:rsidRDefault="000245FB" w:rsidP="006517B5">
    <w:pPr>
      <w:jc w:val="both"/>
      <w:rPr>
        <w:szCs w:val="20"/>
      </w:rPr>
    </w:pPr>
    <w:r w:rsidRPr="00EB6654">
      <w:rPr>
        <w:sz w:val="20"/>
        <w:szCs w:val="20"/>
      </w:rPr>
      <w:t>IZMAnot_</w:t>
    </w:r>
    <w:r w:rsidR="00546013">
      <w:rPr>
        <w:sz w:val="20"/>
        <w:szCs w:val="20"/>
      </w:rPr>
      <w:t>1808</w:t>
    </w:r>
    <w:r>
      <w:rPr>
        <w:sz w:val="20"/>
        <w:szCs w:val="20"/>
      </w:rPr>
      <w:t>11_</w:t>
    </w:r>
    <w:r w:rsidRPr="00CC5BC8">
      <w:rPr>
        <w:sz w:val="20"/>
        <w:szCs w:val="20"/>
      </w:rPr>
      <w:t xml:space="preserve">32212; </w:t>
    </w:r>
    <w:r>
      <w:rPr>
        <w:sz w:val="20"/>
        <w:szCs w:val="20"/>
      </w:rPr>
      <w:t>Ministru kabineta noteikumu projekta „</w:t>
    </w:r>
    <w:r w:rsidRPr="00CC5BC8">
      <w:rPr>
        <w:bCs/>
        <w:sz w:val="20"/>
        <w:szCs w:val="20"/>
      </w:rPr>
      <w:t xml:space="preserve">Grozījumi Ministru kabineta 2008.gada 5.augusta noteikumos Nr.649 </w:t>
    </w:r>
    <w:r w:rsidRPr="00CC5BC8">
      <w:rPr>
        <w:sz w:val="20"/>
        <w:szCs w:val="20"/>
      </w:rPr>
      <w:t>„</w:t>
    </w:r>
    <w:r w:rsidRPr="00CC5BC8">
      <w:rPr>
        <w:bCs/>
        <w:sz w:val="20"/>
        <w:szCs w:val="20"/>
      </w:rPr>
      <w:t>Noteikumi par darbības programmas „Infrastruktūra un pakalpojumi” papildinājuma 3.2.2.1.2.apakšaktivitāti „Izglītības iestāžu informatizācija”</w:t>
    </w:r>
    <w:r w:rsidRPr="00CC5BC8">
      <w:rPr>
        <w:sz w:val="20"/>
        <w:szCs w:val="20"/>
      </w:rPr>
      <w:t>”</w:t>
    </w:r>
    <w:r>
      <w:rPr>
        <w:sz w:val="20"/>
        <w:szCs w:val="20"/>
      </w:rPr>
      <w:t>”</w:t>
    </w:r>
    <w:r w:rsidRPr="004D7430">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FB" w:rsidRDefault="000245FB">
      <w:r>
        <w:separator/>
      </w:r>
    </w:p>
  </w:footnote>
  <w:footnote w:type="continuationSeparator" w:id="0">
    <w:p w:rsidR="000245FB" w:rsidRDefault="0002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FB" w:rsidRDefault="00BE29EE">
    <w:pPr>
      <w:pStyle w:val="Header"/>
      <w:jc w:val="center"/>
    </w:pPr>
    <w:fldSimple w:instr=" PAGE   \* MERGEFORMAT ">
      <w:r w:rsidR="00546013">
        <w:rPr>
          <w:noProof/>
        </w:rPr>
        <w:t>6</w:t>
      </w:r>
    </w:fldSimple>
  </w:p>
  <w:p w:rsidR="000245FB" w:rsidRDefault="00024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F0638A"/>
    <w:lvl w:ilvl="0">
      <w:numFmt w:val="bullet"/>
      <w:lvlText w:val="*"/>
      <w:lvlJc w:val="left"/>
    </w:lvl>
  </w:abstractNum>
  <w:abstractNum w:abstractNumId="1">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4F70F0C"/>
    <w:multiLevelType w:val="hybridMultilevel"/>
    <w:tmpl w:val="00FE809E"/>
    <w:lvl w:ilvl="0" w:tplc="E312C7E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
    <w:nsid w:val="1513280C"/>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623BA1"/>
    <w:multiLevelType w:val="hybridMultilevel"/>
    <w:tmpl w:val="9192339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7">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915A22"/>
    <w:multiLevelType w:val="hybridMultilevel"/>
    <w:tmpl w:val="5008B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6322D6"/>
    <w:multiLevelType w:val="hybridMultilevel"/>
    <w:tmpl w:val="E7380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BFE20F4"/>
    <w:multiLevelType w:val="hybridMultilevel"/>
    <w:tmpl w:val="28CEE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611080"/>
    <w:multiLevelType w:val="hybridMultilevel"/>
    <w:tmpl w:val="7214D2E2"/>
    <w:lvl w:ilvl="0" w:tplc="C22482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EE4791"/>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ADB1970"/>
    <w:multiLevelType w:val="hybridMultilevel"/>
    <w:tmpl w:val="8326BED4"/>
    <w:lvl w:ilvl="0" w:tplc="EE749138">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9"/>
  </w:num>
  <w:num w:numId="2">
    <w:abstractNumId w:val="5"/>
  </w:num>
  <w:num w:numId="3">
    <w:abstractNumId w:val="7"/>
  </w:num>
  <w:num w:numId="4">
    <w:abstractNumId w:val="12"/>
  </w:num>
  <w:num w:numId="5">
    <w:abstractNumId w:val="4"/>
  </w:num>
  <w:num w:numId="6">
    <w:abstractNumId w:val="3"/>
  </w:num>
  <w:num w:numId="7">
    <w:abstractNumId w:val="1"/>
  </w:num>
  <w:num w:numId="8">
    <w:abstractNumId w:val="10"/>
  </w:num>
  <w:num w:numId="9">
    <w:abstractNumId w:val="0"/>
    <w:lvlOverride w:ilvl="0">
      <w:lvl w:ilvl="0">
        <w:numFmt w:val="bullet"/>
        <w:lvlText w:val="•"/>
        <w:legacy w:legacy="1" w:legacySpace="0" w:legacyIndent="0"/>
        <w:lvlJc w:val="left"/>
        <w:rPr>
          <w:rFonts w:ascii="Helv" w:hAnsi="Helv" w:hint="default"/>
        </w:rPr>
      </w:lvl>
    </w:lvlOverride>
  </w:num>
  <w:num w:numId="10">
    <w:abstractNumId w:val="11"/>
  </w:num>
  <w:num w:numId="11">
    <w:abstractNumId w:val="13"/>
  </w:num>
  <w:num w:numId="12">
    <w:abstractNumId w:val="14"/>
  </w:num>
  <w:num w:numId="13">
    <w:abstractNumId w:val="8"/>
  </w:num>
  <w:num w:numId="14">
    <w:abstractNumId w:val="2"/>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B"/>
    <w:rsid w:val="00002858"/>
    <w:rsid w:val="0000333B"/>
    <w:rsid w:val="00003FE1"/>
    <w:rsid w:val="00006F40"/>
    <w:rsid w:val="00010472"/>
    <w:rsid w:val="000177F7"/>
    <w:rsid w:val="000202C8"/>
    <w:rsid w:val="00021BBC"/>
    <w:rsid w:val="000245FB"/>
    <w:rsid w:val="00031C26"/>
    <w:rsid w:val="0003406D"/>
    <w:rsid w:val="0003655B"/>
    <w:rsid w:val="00036E48"/>
    <w:rsid w:val="00042F7C"/>
    <w:rsid w:val="00051013"/>
    <w:rsid w:val="0005375B"/>
    <w:rsid w:val="00055BC4"/>
    <w:rsid w:val="00070BBE"/>
    <w:rsid w:val="00072B5B"/>
    <w:rsid w:val="00073816"/>
    <w:rsid w:val="00073F52"/>
    <w:rsid w:val="00076CC9"/>
    <w:rsid w:val="00077200"/>
    <w:rsid w:val="00080993"/>
    <w:rsid w:val="00084552"/>
    <w:rsid w:val="0008676B"/>
    <w:rsid w:val="00087464"/>
    <w:rsid w:val="000934D9"/>
    <w:rsid w:val="000A4F54"/>
    <w:rsid w:val="000B1EE7"/>
    <w:rsid w:val="000B74C3"/>
    <w:rsid w:val="000B7AFC"/>
    <w:rsid w:val="000B7FBB"/>
    <w:rsid w:val="000C33F3"/>
    <w:rsid w:val="000C3C05"/>
    <w:rsid w:val="000C4687"/>
    <w:rsid w:val="000C7749"/>
    <w:rsid w:val="000D2552"/>
    <w:rsid w:val="000D2E33"/>
    <w:rsid w:val="000D40F5"/>
    <w:rsid w:val="000E2E9E"/>
    <w:rsid w:val="000E4B53"/>
    <w:rsid w:val="000E5B60"/>
    <w:rsid w:val="000E6C5D"/>
    <w:rsid w:val="000F0E0C"/>
    <w:rsid w:val="000F35EB"/>
    <w:rsid w:val="000F634F"/>
    <w:rsid w:val="000F658B"/>
    <w:rsid w:val="000F65CD"/>
    <w:rsid w:val="000F6CF4"/>
    <w:rsid w:val="000F7A50"/>
    <w:rsid w:val="000F7A87"/>
    <w:rsid w:val="000F7C84"/>
    <w:rsid w:val="000F7F78"/>
    <w:rsid w:val="00100200"/>
    <w:rsid w:val="00100438"/>
    <w:rsid w:val="00110A2F"/>
    <w:rsid w:val="001131C1"/>
    <w:rsid w:val="00113D02"/>
    <w:rsid w:val="00115313"/>
    <w:rsid w:val="0011546B"/>
    <w:rsid w:val="0011720E"/>
    <w:rsid w:val="00117E39"/>
    <w:rsid w:val="00124F28"/>
    <w:rsid w:val="00130797"/>
    <w:rsid w:val="00136B70"/>
    <w:rsid w:val="001457F5"/>
    <w:rsid w:val="001509A7"/>
    <w:rsid w:val="00151A7E"/>
    <w:rsid w:val="00155F84"/>
    <w:rsid w:val="00156004"/>
    <w:rsid w:val="001560B0"/>
    <w:rsid w:val="00156E0C"/>
    <w:rsid w:val="00157617"/>
    <w:rsid w:val="00164C2C"/>
    <w:rsid w:val="00166824"/>
    <w:rsid w:val="0016698A"/>
    <w:rsid w:val="00167CA9"/>
    <w:rsid w:val="00167FD9"/>
    <w:rsid w:val="001706AE"/>
    <w:rsid w:val="001707AC"/>
    <w:rsid w:val="00173C3B"/>
    <w:rsid w:val="00174A33"/>
    <w:rsid w:val="001767D5"/>
    <w:rsid w:val="00185220"/>
    <w:rsid w:val="001912F9"/>
    <w:rsid w:val="00191511"/>
    <w:rsid w:val="001947AD"/>
    <w:rsid w:val="00195ED4"/>
    <w:rsid w:val="00196801"/>
    <w:rsid w:val="00197892"/>
    <w:rsid w:val="001A68DD"/>
    <w:rsid w:val="001A6B31"/>
    <w:rsid w:val="001A7A17"/>
    <w:rsid w:val="001B2883"/>
    <w:rsid w:val="001B2886"/>
    <w:rsid w:val="001B2C80"/>
    <w:rsid w:val="001B32B1"/>
    <w:rsid w:val="001C492A"/>
    <w:rsid w:val="001C5207"/>
    <w:rsid w:val="001C74FD"/>
    <w:rsid w:val="001C75FB"/>
    <w:rsid w:val="001C7F37"/>
    <w:rsid w:val="001D1C19"/>
    <w:rsid w:val="001D21E8"/>
    <w:rsid w:val="001D2573"/>
    <w:rsid w:val="001D3DF8"/>
    <w:rsid w:val="001D4263"/>
    <w:rsid w:val="001D696B"/>
    <w:rsid w:val="001E1D12"/>
    <w:rsid w:val="001E4EAD"/>
    <w:rsid w:val="001E5507"/>
    <w:rsid w:val="001F2DCC"/>
    <w:rsid w:val="001F4D78"/>
    <w:rsid w:val="001F6339"/>
    <w:rsid w:val="001F65B5"/>
    <w:rsid w:val="001F768B"/>
    <w:rsid w:val="001F773C"/>
    <w:rsid w:val="001F7F25"/>
    <w:rsid w:val="00202205"/>
    <w:rsid w:val="002023FA"/>
    <w:rsid w:val="00205B9B"/>
    <w:rsid w:val="00211013"/>
    <w:rsid w:val="002118B7"/>
    <w:rsid w:val="00211D7C"/>
    <w:rsid w:val="002164EB"/>
    <w:rsid w:val="002166C8"/>
    <w:rsid w:val="00217C62"/>
    <w:rsid w:val="002237EB"/>
    <w:rsid w:val="0022397A"/>
    <w:rsid w:val="00224BBE"/>
    <w:rsid w:val="00224C1C"/>
    <w:rsid w:val="00233ECC"/>
    <w:rsid w:val="00240EC9"/>
    <w:rsid w:val="00242C64"/>
    <w:rsid w:val="0024345B"/>
    <w:rsid w:val="00243F1D"/>
    <w:rsid w:val="00244294"/>
    <w:rsid w:val="00244489"/>
    <w:rsid w:val="002527E8"/>
    <w:rsid w:val="002529A4"/>
    <w:rsid w:val="0025461E"/>
    <w:rsid w:val="0026020E"/>
    <w:rsid w:val="00261E2F"/>
    <w:rsid w:val="00262912"/>
    <w:rsid w:val="00265882"/>
    <w:rsid w:val="00266BB2"/>
    <w:rsid w:val="002724A2"/>
    <w:rsid w:val="00280416"/>
    <w:rsid w:val="002828E9"/>
    <w:rsid w:val="00282922"/>
    <w:rsid w:val="00284399"/>
    <w:rsid w:val="002854C1"/>
    <w:rsid w:val="0028560E"/>
    <w:rsid w:val="0028624E"/>
    <w:rsid w:val="0029184E"/>
    <w:rsid w:val="00294500"/>
    <w:rsid w:val="00294F35"/>
    <w:rsid w:val="002975BC"/>
    <w:rsid w:val="002A0616"/>
    <w:rsid w:val="002A2B69"/>
    <w:rsid w:val="002A652D"/>
    <w:rsid w:val="002A66E5"/>
    <w:rsid w:val="002A69F3"/>
    <w:rsid w:val="002B0AB2"/>
    <w:rsid w:val="002B0E71"/>
    <w:rsid w:val="002B505D"/>
    <w:rsid w:val="002B60B1"/>
    <w:rsid w:val="002C0A46"/>
    <w:rsid w:val="002C4FFF"/>
    <w:rsid w:val="002C5F62"/>
    <w:rsid w:val="002C6B56"/>
    <w:rsid w:val="002C7F1C"/>
    <w:rsid w:val="002D4E41"/>
    <w:rsid w:val="002E00C7"/>
    <w:rsid w:val="002E0239"/>
    <w:rsid w:val="002E10C6"/>
    <w:rsid w:val="002E1A31"/>
    <w:rsid w:val="002E208C"/>
    <w:rsid w:val="002E2D20"/>
    <w:rsid w:val="002E31E8"/>
    <w:rsid w:val="002E7044"/>
    <w:rsid w:val="002F00B8"/>
    <w:rsid w:val="002F2D34"/>
    <w:rsid w:val="002F3ADA"/>
    <w:rsid w:val="002F3E81"/>
    <w:rsid w:val="00303AFF"/>
    <w:rsid w:val="00303F99"/>
    <w:rsid w:val="00305EAC"/>
    <w:rsid w:val="00312877"/>
    <w:rsid w:val="00312E43"/>
    <w:rsid w:val="00315E60"/>
    <w:rsid w:val="0032165A"/>
    <w:rsid w:val="0032324F"/>
    <w:rsid w:val="0032380B"/>
    <w:rsid w:val="003256B4"/>
    <w:rsid w:val="003258B1"/>
    <w:rsid w:val="0033363C"/>
    <w:rsid w:val="00334CCF"/>
    <w:rsid w:val="00336A67"/>
    <w:rsid w:val="00340C74"/>
    <w:rsid w:val="00341FE3"/>
    <w:rsid w:val="0034248E"/>
    <w:rsid w:val="00344878"/>
    <w:rsid w:val="00345A49"/>
    <w:rsid w:val="00346B60"/>
    <w:rsid w:val="00350929"/>
    <w:rsid w:val="003570E8"/>
    <w:rsid w:val="00372CDD"/>
    <w:rsid w:val="00373F9B"/>
    <w:rsid w:val="00374E65"/>
    <w:rsid w:val="0038051F"/>
    <w:rsid w:val="00381E1C"/>
    <w:rsid w:val="003869B6"/>
    <w:rsid w:val="00387173"/>
    <w:rsid w:val="003A0F33"/>
    <w:rsid w:val="003A37CB"/>
    <w:rsid w:val="003C0428"/>
    <w:rsid w:val="003C5E5D"/>
    <w:rsid w:val="003C63D5"/>
    <w:rsid w:val="003D16F4"/>
    <w:rsid w:val="003D199F"/>
    <w:rsid w:val="003D1B4B"/>
    <w:rsid w:val="003D3220"/>
    <w:rsid w:val="003D6F17"/>
    <w:rsid w:val="003D7293"/>
    <w:rsid w:val="003F0F66"/>
    <w:rsid w:val="003F2BD0"/>
    <w:rsid w:val="003F3AB9"/>
    <w:rsid w:val="003F5248"/>
    <w:rsid w:val="003F6B53"/>
    <w:rsid w:val="00400AA2"/>
    <w:rsid w:val="00400E59"/>
    <w:rsid w:val="00401147"/>
    <w:rsid w:val="00404413"/>
    <w:rsid w:val="00404BE4"/>
    <w:rsid w:val="004066D5"/>
    <w:rsid w:val="00410B1D"/>
    <w:rsid w:val="00410F71"/>
    <w:rsid w:val="00411E18"/>
    <w:rsid w:val="00413BBC"/>
    <w:rsid w:val="0042441E"/>
    <w:rsid w:val="0042531C"/>
    <w:rsid w:val="00426ECC"/>
    <w:rsid w:val="00434146"/>
    <w:rsid w:val="00441A45"/>
    <w:rsid w:val="00444EDC"/>
    <w:rsid w:val="00445EA0"/>
    <w:rsid w:val="004472B9"/>
    <w:rsid w:val="00451B2E"/>
    <w:rsid w:val="00455855"/>
    <w:rsid w:val="004607AB"/>
    <w:rsid w:val="00461B7E"/>
    <w:rsid w:val="0046330F"/>
    <w:rsid w:val="00465947"/>
    <w:rsid w:val="00466CB9"/>
    <w:rsid w:val="0046714A"/>
    <w:rsid w:val="004719C5"/>
    <w:rsid w:val="00474F33"/>
    <w:rsid w:val="00480E15"/>
    <w:rsid w:val="00484B19"/>
    <w:rsid w:val="00486947"/>
    <w:rsid w:val="00490C04"/>
    <w:rsid w:val="00490CA5"/>
    <w:rsid w:val="00493A0F"/>
    <w:rsid w:val="0049463A"/>
    <w:rsid w:val="004A1646"/>
    <w:rsid w:val="004A16FF"/>
    <w:rsid w:val="004A23E7"/>
    <w:rsid w:val="004A4181"/>
    <w:rsid w:val="004B2FC6"/>
    <w:rsid w:val="004B46B1"/>
    <w:rsid w:val="004B488F"/>
    <w:rsid w:val="004B791E"/>
    <w:rsid w:val="004C1E74"/>
    <w:rsid w:val="004C290D"/>
    <w:rsid w:val="004C35E9"/>
    <w:rsid w:val="004D0A4D"/>
    <w:rsid w:val="004D7430"/>
    <w:rsid w:val="004E05B1"/>
    <w:rsid w:val="004E477C"/>
    <w:rsid w:val="004E6668"/>
    <w:rsid w:val="004E67EA"/>
    <w:rsid w:val="004E77B3"/>
    <w:rsid w:val="004F256D"/>
    <w:rsid w:val="004F4A34"/>
    <w:rsid w:val="004F4D3C"/>
    <w:rsid w:val="004F5A16"/>
    <w:rsid w:val="004F6FEB"/>
    <w:rsid w:val="0050004F"/>
    <w:rsid w:val="00501AD8"/>
    <w:rsid w:val="00503BC9"/>
    <w:rsid w:val="005129ED"/>
    <w:rsid w:val="005145AD"/>
    <w:rsid w:val="0051773D"/>
    <w:rsid w:val="005224FC"/>
    <w:rsid w:val="005227F8"/>
    <w:rsid w:val="00526E69"/>
    <w:rsid w:val="00531E61"/>
    <w:rsid w:val="005339DB"/>
    <w:rsid w:val="00533A13"/>
    <w:rsid w:val="0054370E"/>
    <w:rsid w:val="00546013"/>
    <w:rsid w:val="00552427"/>
    <w:rsid w:val="0056044C"/>
    <w:rsid w:val="00560A27"/>
    <w:rsid w:val="005618F9"/>
    <w:rsid w:val="005668FB"/>
    <w:rsid w:val="00566BE8"/>
    <w:rsid w:val="00567484"/>
    <w:rsid w:val="00567B99"/>
    <w:rsid w:val="00575499"/>
    <w:rsid w:val="00581109"/>
    <w:rsid w:val="00582792"/>
    <w:rsid w:val="0058304E"/>
    <w:rsid w:val="005832DA"/>
    <w:rsid w:val="00585001"/>
    <w:rsid w:val="005910FF"/>
    <w:rsid w:val="00592C5A"/>
    <w:rsid w:val="00593020"/>
    <w:rsid w:val="00595A09"/>
    <w:rsid w:val="00595DD6"/>
    <w:rsid w:val="00597AAD"/>
    <w:rsid w:val="00597BFF"/>
    <w:rsid w:val="00597E59"/>
    <w:rsid w:val="005A0607"/>
    <w:rsid w:val="005A18C6"/>
    <w:rsid w:val="005A1A1A"/>
    <w:rsid w:val="005B017C"/>
    <w:rsid w:val="005B3D63"/>
    <w:rsid w:val="005C0001"/>
    <w:rsid w:val="005C0749"/>
    <w:rsid w:val="005C398B"/>
    <w:rsid w:val="005C434B"/>
    <w:rsid w:val="005C4B80"/>
    <w:rsid w:val="005C6285"/>
    <w:rsid w:val="005C67B6"/>
    <w:rsid w:val="005C6FDF"/>
    <w:rsid w:val="005D0B00"/>
    <w:rsid w:val="005D0D5C"/>
    <w:rsid w:val="005D4634"/>
    <w:rsid w:val="005D4DDB"/>
    <w:rsid w:val="005E0358"/>
    <w:rsid w:val="005E1698"/>
    <w:rsid w:val="005E4AE7"/>
    <w:rsid w:val="005F1C74"/>
    <w:rsid w:val="005F1F00"/>
    <w:rsid w:val="006009F2"/>
    <w:rsid w:val="00604088"/>
    <w:rsid w:val="0060425F"/>
    <w:rsid w:val="006047E6"/>
    <w:rsid w:val="00606152"/>
    <w:rsid w:val="006067C7"/>
    <w:rsid w:val="0061238A"/>
    <w:rsid w:val="006160DE"/>
    <w:rsid w:val="00620BDE"/>
    <w:rsid w:val="006213B4"/>
    <w:rsid w:val="00623B06"/>
    <w:rsid w:val="00623BAD"/>
    <w:rsid w:val="0062536C"/>
    <w:rsid w:val="0062744E"/>
    <w:rsid w:val="00631BFE"/>
    <w:rsid w:val="00636D26"/>
    <w:rsid w:val="00637581"/>
    <w:rsid w:val="00641BCA"/>
    <w:rsid w:val="0065045D"/>
    <w:rsid w:val="0065093D"/>
    <w:rsid w:val="006517B5"/>
    <w:rsid w:val="00656384"/>
    <w:rsid w:val="0066247B"/>
    <w:rsid w:val="006710A6"/>
    <w:rsid w:val="006719A1"/>
    <w:rsid w:val="006753E1"/>
    <w:rsid w:val="00680204"/>
    <w:rsid w:val="006804A7"/>
    <w:rsid w:val="006816A0"/>
    <w:rsid w:val="006821C9"/>
    <w:rsid w:val="00682402"/>
    <w:rsid w:val="00683954"/>
    <w:rsid w:val="0068736C"/>
    <w:rsid w:val="006914D2"/>
    <w:rsid w:val="006931BA"/>
    <w:rsid w:val="006941D9"/>
    <w:rsid w:val="00697BD9"/>
    <w:rsid w:val="006A05D0"/>
    <w:rsid w:val="006A6E6C"/>
    <w:rsid w:val="006A7A08"/>
    <w:rsid w:val="006A7EB0"/>
    <w:rsid w:val="006B3654"/>
    <w:rsid w:val="006B3C89"/>
    <w:rsid w:val="006B7E81"/>
    <w:rsid w:val="006C3531"/>
    <w:rsid w:val="006C6642"/>
    <w:rsid w:val="006C6901"/>
    <w:rsid w:val="006C6F7E"/>
    <w:rsid w:val="006D1125"/>
    <w:rsid w:val="006D418F"/>
    <w:rsid w:val="006D521E"/>
    <w:rsid w:val="006D6167"/>
    <w:rsid w:val="006D6764"/>
    <w:rsid w:val="006D7B92"/>
    <w:rsid w:val="006E0CD7"/>
    <w:rsid w:val="006F4CDE"/>
    <w:rsid w:val="006F7390"/>
    <w:rsid w:val="0070038F"/>
    <w:rsid w:val="0070254E"/>
    <w:rsid w:val="00703181"/>
    <w:rsid w:val="007043CB"/>
    <w:rsid w:val="0070453C"/>
    <w:rsid w:val="0070465C"/>
    <w:rsid w:val="00707444"/>
    <w:rsid w:val="007125A9"/>
    <w:rsid w:val="007168FF"/>
    <w:rsid w:val="0071707B"/>
    <w:rsid w:val="00724649"/>
    <w:rsid w:val="0073008D"/>
    <w:rsid w:val="007364A5"/>
    <w:rsid w:val="00737D8D"/>
    <w:rsid w:val="00741DDA"/>
    <w:rsid w:val="007446D6"/>
    <w:rsid w:val="0074704C"/>
    <w:rsid w:val="00747253"/>
    <w:rsid w:val="007516EC"/>
    <w:rsid w:val="00751978"/>
    <w:rsid w:val="00752E54"/>
    <w:rsid w:val="00753017"/>
    <w:rsid w:val="00760882"/>
    <w:rsid w:val="0076112F"/>
    <w:rsid w:val="007622B6"/>
    <w:rsid w:val="00762E9B"/>
    <w:rsid w:val="0076471B"/>
    <w:rsid w:val="007726B4"/>
    <w:rsid w:val="00774A66"/>
    <w:rsid w:val="007757BB"/>
    <w:rsid w:val="00782E49"/>
    <w:rsid w:val="0079208B"/>
    <w:rsid w:val="0079417F"/>
    <w:rsid w:val="00794A4C"/>
    <w:rsid w:val="00794DF4"/>
    <w:rsid w:val="00794F9E"/>
    <w:rsid w:val="00796D87"/>
    <w:rsid w:val="007A6DB9"/>
    <w:rsid w:val="007B0609"/>
    <w:rsid w:val="007B1108"/>
    <w:rsid w:val="007B2A0D"/>
    <w:rsid w:val="007C0014"/>
    <w:rsid w:val="007C074E"/>
    <w:rsid w:val="007C25F2"/>
    <w:rsid w:val="007C2877"/>
    <w:rsid w:val="007D18C5"/>
    <w:rsid w:val="007D3326"/>
    <w:rsid w:val="007D427E"/>
    <w:rsid w:val="007D7B26"/>
    <w:rsid w:val="007E04D8"/>
    <w:rsid w:val="007E059F"/>
    <w:rsid w:val="007E2475"/>
    <w:rsid w:val="007E248A"/>
    <w:rsid w:val="007E6371"/>
    <w:rsid w:val="007E6A18"/>
    <w:rsid w:val="007E7D46"/>
    <w:rsid w:val="007E7DBD"/>
    <w:rsid w:val="007F7D05"/>
    <w:rsid w:val="00802AAC"/>
    <w:rsid w:val="00802E92"/>
    <w:rsid w:val="0080778B"/>
    <w:rsid w:val="0081361A"/>
    <w:rsid w:val="00816D31"/>
    <w:rsid w:val="00823624"/>
    <w:rsid w:val="00824590"/>
    <w:rsid w:val="00825609"/>
    <w:rsid w:val="008439E9"/>
    <w:rsid w:val="008441B5"/>
    <w:rsid w:val="00853F6C"/>
    <w:rsid w:val="00854631"/>
    <w:rsid w:val="00854F86"/>
    <w:rsid w:val="008607C0"/>
    <w:rsid w:val="00864939"/>
    <w:rsid w:val="00866DB1"/>
    <w:rsid w:val="00871A92"/>
    <w:rsid w:val="00873C48"/>
    <w:rsid w:val="00882246"/>
    <w:rsid w:val="00882953"/>
    <w:rsid w:val="00885BAE"/>
    <w:rsid w:val="00885F63"/>
    <w:rsid w:val="00886487"/>
    <w:rsid w:val="00891617"/>
    <w:rsid w:val="00897519"/>
    <w:rsid w:val="008A2FE1"/>
    <w:rsid w:val="008A33DC"/>
    <w:rsid w:val="008A7CBC"/>
    <w:rsid w:val="008B0572"/>
    <w:rsid w:val="008B0FC7"/>
    <w:rsid w:val="008B2329"/>
    <w:rsid w:val="008B40B5"/>
    <w:rsid w:val="008B4103"/>
    <w:rsid w:val="008B5565"/>
    <w:rsid w:val="008B72D7"/>
    <w:rsid w:val="008C2434"/>
    <w:rsid w:val="008C3705"/>
    <w:rsid w:val="008C7E5A"/>
    <w:rsid w:val="008D4A96"/>
    <w:rsid w:val="008D6C78"/>
    <w:rsid w:val="008E1341"/>
    <w:rsid w:val="008E1AEB"/>
    <w:rsid w:val="008E1D5D"/>
    <w:rsid w:val="008E3A12"/>
    <w:rsid w:val="008E4346"/>
    <w:rsid w:val="008E4D5E"/>
    <w:rsid w:val="008E5F88"/>
    <w:rsid w:val="008F1075"/>
    <w:rsid w:val="008F1116"/>
    <w:rsid w:val="008F57DC"/>
    <w:rsid w:val="008F5BE4"/>
    <w:rsid w:val="00902D68"/>
    <w:rsid w:val="00913A67"/>
    <w:rsid w:val="0091609E"/>
    <w:rsid w:val="009179AA"/>
    <w:rsid w:val="009253E0"/>
    <w:rsid w:val="009306E9"/>
    <w:rsid w:val="00931BEC"/>
    <w:rsid w:val="009320D8"/>
    <w:rsid w:val="00934A0B"/>
    <w:rsid w:val="00943519"/>
    <w:rsid w:val="00946C5B"/>
    <w:rsid w:val="009502AF"/>
    <w:rsid w:val="00955177"/>
    <w:rsid w:val="0095687B"/>
    <w:rsid w:val="009569F9"/>
    <w:rsid w:val="00960678"/>
    <w:rsid w:val="00962CB4"/>
    <w:rsid w:val="00971EA5"/>
    <w:rsid w:val="009753CC"/>
    <w:rsid w:val="0097606F"/>
    <w:rsid w:val="009778D7"/>
    <w:rsid w:val="009809B8"/>
    <w:rsid w:val="0098144C"/>
    <w:rsid w:val="00981757"/>
    <w:rsid w:val="009823DB"/>
    <w:rsid w:val="0098336A"/>
    <w:rsid w:val="00983863"/>
    <w:rsid w:val="00984F39"/>
    <w:rsid w:val="00985630"/>
    <w:rsid w:val="00991794"/>
    <w:rsid w:val="00995884"/>
    <w:rsid w:val="00996139"/>
    <w:rsid w:val="009A09B0"/>
    <w:rsid w:val="009A19CF"/>
    <w:rsid w:val="009A64EA"/>
    <w:rsid w:val="009B0FC6"/>
    <w:rsid w:val="009B15CC"/>
    <w:rsid w:val="009B3806"/>
    <w:rsid w:val="009B5908"/>
    <w:rsid w:val="009C2F8D"/>
    <w:rsid w:val="009C6E37"/>
    <w:rsid w:val="009D1121"/>
    <w:rsid w:val="009D26ED"/>
    <w:rsid w:val="009D5AAD"/>
    <w:rsid w:val="009D6333"/>
    <w:rsid w:val="009E3FE2"/>
    <w:rsid w:val="009E50B0"/>
    <w:rsid w:val="009F38BD"/>
    <w:rsid w:val="009F7CE6"/>
    <w:rsid w:val="00A0169E"/>
    <w:rsid w:val="00A12684"/>
    <w:rsid w:val="00A15049"/>
    <w:rsid w:val="00A1644F"/>
    <w:rsid w:val="00A238F4"/>
    <w:rsid w:val="00A30A55"/>
    <w:rsid w:val="00A317D1"/>
    <w:rsid w:val="00A317EB"/>
    <w:rsid w:val="00A35E6B"/>
    <w:rsid w:val="00A40B8F"/>
    <w:rsid w:val="00A422D9"/>
    <w:rsid w:val="00A471A0"/>
    <w:rsid w:val="00A50535"/>
    <w:rsid w:val="00A5170B"/>
    <w:rsid w:val="00A518D4"/>
    <w:rsid w:val="00A51CBE"/>
    <w:rsid w:val="00A527D9"/>
    <w:rsid w:val="00A61E42"/>
    <w:rsid w:val="00A63325"/>
    <w:rsid w:val="00A66BA1"/>
    <w:rsid w:val="00A75118"/>
    <w:rsid w:val="00A85DB3"/>
    <w:rsid w:val="00A862F3"/>
    <w:rsid w:val="00A86570"/>
    <w:rsid w:val="00A9177D"/>
    <w:rsid w:val="00A95896"/>
    <w:rsid w:val="00A979D4"/>
    <w:rsid w:val="00AA1E17"/>
    <w:rsid w:val="00AA2E0D"/>
    <w:rsid w:val="00AA6DD1"/>
    <w:rsid w:val="00AA7634"/>
    <w:rsid w:val="00AB67C8"/>
    <w:rsid w:val="00AB68AA"/>
    <w:rsid w:val="00AB7A65"/>
    <w:rsid w:val="00AC1EBC"/>
    <w:rsid w:val="00AC383F"/>
    <w:rsid w:val="00AC416A"/>
    <w:rsid w:val="00AC4992"/>
    <w:rsid w:val="00AD36A9"/>
    <w:rsid w:val="00AD3772"/>
    <w:rsid w:val="00AE23BF"/>
    <w:rsid w:val="00AE30FE"/>
    <w:rsid w:val="00AE63A9"/>
    <w:rsid w:val="00AE6815"/>
    <w:rsid w:val="00AE6AF9"/>
    <w:rsid w:val="00AF134F"/>
    <w:rsid w:val="00AF2431"/>
    <w:rsid w:val="00AF269C"/>
    <w:rsid w:val="00AF5A36"/>
    <w:rsid w:val="00AF5F84"/>
    <w:rsid w:val="00AF67D6"/>
    <w:rsid w:val="00AF6E7B"/>
    <w:rsid w:val="00AF706E"/>
    <w:rsid w:val="00AF753A"/>
    <w:rsid w:val="00B02D5A"/>
    <w:rsid w:val="00B1301B"/>
    <w:rsid w:val="00B146F1"/>
    <w:rsid w:val="00B15883"/>
    <w:rsid w:val="00B163FB"/>
    <w:rsid w:val="00B2168C"/>
    <w:rsid w:val="00B21DFF"/>
    <w:rsid w:val="00B21E68"/>
    <w:rsid w:val="00B236F7"/>
    <w:rsid w:val="00B23780"/>
    <w:rsid w:val="00B2565F"/>
    <w:rsid w:val="00B33E15"/>
    <w:rsid w:val="00B34F29"/>
    <w:rsid w:val="00B35355"/>
    <w:rsid w:val="00B4195A"/>
    <w:rsid w:val="00B41EFC"/>
    <w:rsid w:val="00B421E1"/>
    <w:rsid w:val="00B501A7"/>
    <w:rsid w:val="00B50D33"/>
    <w:rsid w:val="00B51F6D"/>
    <w:rsid w:val="00B5235D"/>
    <w:rsid w:val="00B52BFC"/>
    <w:rsid w:val="00B52C6E"/>
    <w:rsid w:val="00B53229"/>
    <w:rsid w:val="00B55541"/>
    <w:rsid w:val="00B55D07"/>
    <w:rsid w:val="00B5693C"/>
    <w:rsid w:val="00B5787A"/>
    <w:rsid w:val="00B617AA"/>
    <w:rsid w:val="00B61CFD"/>
    <w:rsid w:val="00B6233A"/>
    <w:rsid w:val="00B634A0"/>
    <w:rsid w:val="00B70B98"/>
    <w:rsid w:val="00B73AE8"/>
    <w:rsid w:val="00B74831"/>
    <w:rsid w:val="00B77B29"/>
    <w:rsid w:val="00B8048F"/>
    <w:rsid w:val="00B83856"/>
    <w:rsid w:val="00B84E7A"/>
    <w:rsid w:val="00B8594C"/>
    <w:rsid w:val="00B85F11"/>
    <w:rsid w:val="00B860B4"/>
    <w:rsid w:val="00B87629"/>
    <w:rsid w:val="00B939F7"/>
    <w:rsid w:val="00B95D51"/>
    <w:rsid w:val="00BA3331"/>
    <w:rsid w:val="00BA67F7"/>
    <w:rsid w:val="00BB47C5"/>
    <w:rsid w:val="00BB4D0E"/>
    <w:rsid w:val="00BB703D"/>
    <w:rsid w:val="00BC44D7"/>
    <w:rsid w:val="00BD7F84"/>
    <w:rsid w:val="00BE29EE"/>
    <w:rsid w:val="00BE57D9"/>
    <w:rsid w:val="00BE7718"/>
    <w:rsid w:val="00BE7E59"/>
    <w:rsid w:val="00BF14EF"/>
    <w:rsid w:val="00BF17A9"/>
    <w:rsid w:val="00BF7781"/>
    <w:rsid w:val="00C011F0"/>
    <w:rsid w:val="00C013BB"/>
    <w:rsid w:val="00C01E21"/>
    <w:rsid w:val="00C02814"/>
    <w:rsid w:val="00C0358C"/>
    <w:rsid w:val="00C0461C"/>
    <w:rsid w:val="00C069D6"/>
    <w:rsid w:val="00C07D0F"/>
    <w:rsid w:val="00C15FA7"/>
    <w:rsid w:val="00C25F63"/>
    <w:rsid w:val="00C3089D"/>
    <w:rsid w:val="00C31AC2"/>
    <w:rsid w:val="00C31C97"/>
    <w:rsid w:val="00C34957"/>
    <w:rsid w:val="00C374DB"/>
    <w:rsid w:val="00C412F0"/>
    <w:rsid w:val="00C42113"/>
    <w:rsid w:val="00C429C4"/>
    <w:rsid w:val="00C42D53"/>
    <w:rsid w:val="00C434FF"/>
    <w:rsid w:val="00C44B3E"/>
    <w:rsid w:val="00C46E8E"/>
    <w:rsid w:val="00C50906"/>
    <w:rsid w:val="00C518F2"/>
    <w:rsid w:val="00C534E8"/>
    <w:rsid w:val="00C53A29"/>
    <w:rsid w:val="00C567F2"/>
    <w:rsid w:val="00C711D5"/>
    <w:rsid w:val="00C72D17"/>
    <w:rsid w:val="00C74E48"/>
    <w:rsid w:val="00C773C9"/>
    <w:rsid w:val="00C77668"/>
    <w:rsid w:val="00C80F90"/>
    <w:rsid w:val="00C827CC"/>
    <w:rsid w:val="00C85D82"/>
    <w:rsid w:val="00C96347"/>
    <w:rsid w:val="00C97A2D"/>
    <w:rsid w:val="00CA64D6"/>
    <w:rsid w:val="00CB0D8F"/>
    <w:rsid w:val="00CB2510"/>
    <w:rsid w:val="00CB4CD2"/>
    <w:rsid w:val="00CB71BB"/>
    <w:rsid w:val="00CC0323"/>
    <w:rsid w:val="00CC2DFE"/>
    <w:rsid w:val="00CC324F"/>
    <w:rsid w:val="00CC3A27"/>
    <w:rsid w:val="00CC498E"/>
    <w:rsid w:val="00CC4CF2"/>
    <w:rsid w:val="00CC60E4"/>
    <w:rsid w:val="00CC7AAE"/>
    <w:rsid w:val="00CC7FE7"/>
    <w:rsid w:val="00CD0944"/>
    <w:rsid w:val="00CD265C"/>
    <w:rsid w:val="00CD6FB6"/>
    <w:rsid w:val="00CD7314"/>
    <w:rsid w:val="00CE0716"/>
    <w:rsid w:val="00CE299F"/>
    <w:rsid w:val="00CE3FF8"/>
    <w:rsid w:val="00CE79A2"/>
    <w:rsid w:val="00CF27BF"/>
    <w:rsid w:val="00D0262D"/>
    <w:rsid w:val="00D05933"/>
    <w:rsid w:val="00D14CB8"/>
    <w:rsid w:val="00D171CE"/>
    <w:rsid w:val="00D20A60"/>
    <w:rsid w:val="00D20FCE"/>
    <w:rsid w:val="00D21726"/>
    <w:rsid w:val="00D23263"/>
    <w:rsid w:val="00D2392C"/>
    <w:rsid w:val="00D24346"/>
    <w:rsid w:val="00D273AA"/>
    <w:rsid w:val="00D3106B"/>
    <w:rsid w:val="00D3246F"/>
    <w:rsid w:val="00D33378"/>
    <w:rsid w:val="00D3550C"/>
    <w:rsid w:val="00D448DA"/>
    <w:rsid w:val="00D51996"/>
    <w:rsid w:val="00D563E8"/>
    <w:rsid w:val="00D61219"/>
    <w:rsid w:val="00D6195B"/>
    <w:rsid w:val="00D6403B"/>
    <w:rsid w:val="00D64E41"/>
    <w:rsid w:val="00D704A7"/>
    <w:rsid w:val="00D76B1F"/>
    <w:rsid w:val="00D824C8"/>
    <w:rsid w:val="00D84303"/>
    <w:rsid w:val="00D86F46"/>
    <w:rsid w:val="00D87339"/>
    <w:rsid w:val="00D93783"/>
    <w:rsid w:val="00DA0410"/>
    <w:rsid w:val="00DA0A44"/>
    <w:rsid w:val="00DA1CE0"/>
    <w:rsid w:val="00DA26E5"/>
    <w:rsid w:val="00DA277B"/>
    <w:rsid w:val="00DA370C"/>
    <w:rsid w:val="00DA3ABB"/>
    <w:rsid w:val="00DA4761"/>
    <w:rsid w:val="00DA5431"/>
    <w:rsid w:val="00DB0FFE"/>
    <w:rsid w:val="00DB35A5"/>
    <w:rsid w:val="00DB51F8"/>
    <w:rsid w:val="00DB72AA"/>
    <w:rsid w:val="00DC00AA"/>
    <w:rsid w:val="00DC4624"/>
    <w:rsid w:val="00DD1AAB"/>
    <w:rsid w:val="00DD26D5"/>
    <w:rsid w:val="00DD6D18"/>
    <w:rsid w:val="00DE6176"/>
    <w:rsid w:val="00DE73FA"/>
    <w:rsid w:val="00DE7602"/>
    <w:rsid w:val="00E00F38"/>
    <w:rsid w:val="00E02FDD"/>
    <w:rsid w:val="00E039D0"/>
    <w:rsid w:val="00E04814"/>
    <w:rsid w:val="00E05267"/>
    <w:rsid w:val="00E07879"/>
    <w:rsid w:val="00E11F9D"/>
    <w:rsid w:val="00E134B3"/>
    <w:rsid w:val="00E21B6D"/>
    <w:rsid w:val="00E224E3"/>
    <w:rsid w:val="00E24DAB"/>
    <w:rsid w:val="00E25154"/>
    <w:rsid w:val="00E25192"/>
    <w:rsid w:val="00E3072A"/>
    <w:rsid w:val="00E36B7E"/>
    <w:rsid w:val="00E37964"/>
    <w:rsid w:val="00E46AF3"/>
    <w:rsid w:val="00E50103"/>
    <w:rsid w:val="00E50438"/>
    <w:rsid w:val="00E52211"/>
    <w:rsid w:val="00E52CE1"/>
    <w:rsid w:val="00E530DC"/>
    <w:rsid w:val="00E64262"/>
    <w:rsid w:val="00E6555E"/>
    <w:rsid w:val="00E6665B"/>
    <w:rsid w:val="00E700B9"/>
    <w:rsid w:val="00E70522"/>
    <w:rsid w:val="00E72220"/>
    <w:rsid w:val="00E726A8"/>
    <w:rsid w:val="00E7279E"/>
    <w:rsid w:val="00E729B9"/>
    <w:rsid w:val="00E754A7"/>
    <w:rsid w:val="00E8314F"/>
    <w:rsid w:val="00E852EB"/>
    <w:rsid w:val="00E9050B"/>
    <w:rsid w:val="00E9144F"/>
    <w:rsid w:val="00E92BF5"/>
    <w:rsid w:val="00E95B55"/>
    <w:rsid w:val="00E96317"/>
    <w:rsid w:val="00E97606"/>
    <w:rsid w:val="00EA28D2"/>
    <w:rsid w:val="00EA4E3C"/>
    <w:rsid w:val="00EB1186"/>
    <w:rsid w:val="00EB6654"/>
    <w:rsid w:val="00EB72D1"/>
    <w:rsid w:val="00EC59EF"/>
    <w:rsid w:val="00ED1A9B"/>
    <w:rsid w:val="00ED6E8C"/>
    <w:rsid w:val="00EE073D"/>
    <w:rsid w:val="00EE1677"/>
    <w:rsid w:val="00EE1AC3"/>
    <w:rsid w:val="00EE2D46"/>
    <w:rsid w:val="00EE34ED"/>
    <w:rsid w:val="00EE42D9"/>
    <w:rsid w:val="00EE5DF0"/>
    <w:rsid w:val="00EF0267"/>
    <w:rsid w:val="00EF17A2"/>
    <w:rsid w:val="00EF2982"/>
    <w:rsid w:val="00EF42CE"/>
    <w:rsid w:val="00EF486A"/>
    <w:rsid w:val="00EF54E5"/>
    <w:rsid w:val="00EF5BD4"/>
    <w:rsid w:val="00EF5D74"/>
    <w:rsid w:val="00F119B9"/>
    <w:rsid w:val="00F12259"/>
    <w:rsid w:val="00F169D6"/>
    <w:rsid w:val="00F213C6"/>
    <w:rsid w:val="00F21E56"/>
    <w:rsid w:val="00F25406"/>
    <w:rsid w:val="00F274C4"/>
    <w:rsid w:val="00F42D3D"/>
    <w:rsid w:val="00F4546D"/>
    <w:rsid w:val="00F5125F"/>
    <w:rsid w:val="00F52B67"/>
    <w:rsid w:val="00F52CEE"/>
    <w:rsid w:val="00F57CFB"/>
    <w:rsid w:val="00F600BC"/>
    <w:rsid w:val="00F6150D"/>
    <w:rsid w:val="00F62FD7"/>
    <w:rsid w:val="00F64242"/>
    <w:rsid w:val="00F649E3"/>
    <w:rsid w:val="00F656E5"/>
    <w:rsid w:val="00F664A5"/>
    <w:rsid w:val="00F6771D"/>
    <w:rsid w:val="00F71366"/>
    <w:rsid w:val="00F72604"/>
    <w:rsid w:val="00F7627D"/>
    <w:rsid w:val="00F86FA1"/>
    <w:rsid w:val="00F8730F"/>
    <w:rsid w:val="00F87D6A"/>
    <w:rsid w:val="00F90CB0"/>
    <w:rsid w:val="00F950E0"/>
    <w:rsid w:val="00F96305"/>
    <w:rsid w:val="00F97E42"/>
    <w:rsid w:val="00FA5451"/>
    <w:rsid w:val="00FA663A"/>
    <w:rsid w:val="00FB1DBA"/>
    <w:rsid w:val="00FB738F"/>
    <w:rsid w:val="00FC3A61"/>
    <w:rsid w:val="00FC4D85"/>
    <w:rsid w:val="00FD2558"/>
    <w:rsid w:val="00FD7256"/>
    <w:rsid w:val="00FE70FC"/>
    <w:rsid w:val="00FF0916"/>
    <w:rsid w:val="00FF680E"/>
    <w:rsid w:val="00FF7B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01"/>
    <w:rPr>
      <w:sz w:val="24"/>
      <w:szCs w:val="24"/>
    </w:rPr>
  </w:style>
  <w:style w:type="paragraph" w:styleId="Heading3">
    <w:name w:val="heading 3"/>
    <w:basedOn w:val="Normal"/>
    <w:link w:val="Heading3Char"/>
    <w:uiPriority w:val="9"/>
    <w:qFormat/>
    <w:rsid w:val="004066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customStyle="1" w:styleId="naisf">
    <w:name w:val="naisf"/>
    <w:basedOn w:val="Normal"/>
    <w:rsid w:val="004B488F"/>
    <w:pPr>
      <w:spacing w:before="75" w:after="75"/>
      <w:ind w:firstLine="375"/>
      <w:jc w:val="both"/>
    </w:pPr>
  </w:style>
  <w:style w:type="paragraph" w:styleId="BodyText">
    <w:name w:val="Body Text"/>
    <w:basedOn w:val="Normal"/>
    <w:link w:val="BodyTextChar"/>
    <w:rsid w:val="00F950E0"/>
    <w:pPr>
      <w:tabs>
        <w:tab w:val="num" w:pos="1200"/>
      </w:tabs>
      <w:ind w:right="-6"/>
      <w:jc w:val="both"/>
    </w:pPr>
    <w:rPr>
      <w:szCs w:val="28"/>
      <w:lang w:eastAsia="en-US"/>
    </w:rPr>
  </w:style>
  <w:style w:type="character" w:customStyle="1" w:styleId="BodyTextChar">
    <w:name w:val="Body Text Char"/>
    <w:basedOn w:val="DefaultParagraphFont"/>
    <w:link w:val="BodyText"/>
    <w:rsid w:val="00F950E0"/>
    <w:rPr>
      <w:sz w:val="24"/>
      <w:szCs w:val="28"/>
      <w:lang w:eastAsia="en-US"/>
    </w:rPr>
  </w:style>
  <w:style w:type="paragraph" w:customStyle="1" w:styleId="naisc">
    <w:name w:val="naisc"/>
    <w:basedOn w:val="Normal"/>
    <w:rsid w:val="002C4FFF"/>
    <w:pPr>
      <w:spacing w:before="75" w:after="75"/>
      <w:jc w:val="center"/>
    </w:pPr>
  </w:style>
  <w:style w:type="character" w:customStyle="1" w:styleId="Heading3Char">
    <w:name w:val="Heading 3 Char"/>
    <w:basedOn w:val="DefaultParagraphFont"/>
    <w:link w:val="Heading3"/>
    <w:uiPriority w:val="9"/>
    <w:rsid w:val="004066D5"/>
    <w:rPr>
      <w:b/>
      <w:bCs/>
      <w:sz w:val="27"/>
      <w:szCs w:val="27"/>
    </w:rPr>
  </w:style>
  <w:style w:type="character" w:styleId="CommentReference">
    <w:name w:val="annotation reference"/>
    <w:basedOn w:val="DefaultParagraphFont"/>
    <w:rsid w:val="000E5B60"/>
    <w:rPr>
      <w:sz w:val="16"/>
      <w:szCs w:val="16"/>
    </w:rPr>
  </w:style>
  <w:style w:type="paragraph" w:styleId="CommentText">
    <w:name w:val="annotation text"/>
    <w:basedOn w:val="Normal"/>
    <w:link w:val="CommentTextChar"/>
    <w:rsid w:val="000E5B60"/>
    <w:rPr>
      <w:sz w:val="20"/>
      <w:szCs w:val="20"/>
    </w:rPr>
  </w:style>
  <w:style w:type="character" w:customStyle="1" w:styleId="CommentTextChar">
    <w:name w:val="Comment Text Char"/>
    <w:basedOn w:val="DefaultParagraphFont"/>
    <w:link w:val="CommentText"/>
    <w:rsid w:val="000E5B60"/>
    <w:rPr>
      <w:lang w:val="lv-LV" w:eastAsia="lv-LV"/>
    </w:rPr>
  </w:style>
  <w:style w:type="paragraph" w:styleId="CommentSubject">
    <w:name w:val="annotation subject"/>
    <w:basedOn w:val="CommentText"/>
    <w:next w:val="CommentText"/>
    <w:link w:val="CommentSubjectChar"/>
    <w:rsid w:val="000E5B60"/>
    <w:rPr>
      <w:b/>
      <w:bCs/>
    </w:rPr>
  </w:style>
  <w:style w:type="character" w:customStyle="1" w:styleId="CommentSubjectChar">
    <w:name w:val="Comment Subject Char"/>
    <w:basedOn w:val="CommentTextChar"/>
    <w:link w:val="CommentSubject"/>
    <w:rsid w:val="000E5B60"/>
    <w:rPr>
      <w:b/>
      <w:bCs/>
    </w:rPr>
  </w:style>
  <w:style w:type="table" w:styleId="TableGrid">
    <w:name w:val="Table Grid"/>
    <w:basedOn w:val="TableNormal"/>
    <w:rsid w:val="0072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0F35EB"/>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4D7430"/>
    <w:pPr>
      <w:ind w:left="720"/>
      <w:contextualSpacing/>
    </w:pPr>
  </w:style>
</w:styles>
</file>

<file path=word/webSettings.xml><?xml version="1.0" encoding="utf-8"?>
<w:webSettings xmlns:r="http://schemas.openxmlformats.org/officeDocument/2006/relationships" xmlns:w="http://schemas.openxmlformats.org/wordprocessingml/2006/main">
  <w:divs>
    <w:div w:id="77219169">
      <w:bodyDiv w:val="1"/>
      <w:marLeft w:val="45"/>
      <w:marRight w:val="45"/>
      <w:marTop w:val="90"/>
      <w:marBottom w:val="90"/>
      <w:divBdr>
        <w:top w:val="none" w:sz="0" w:space="0" w:color="auto"/>
        <w:left w:val="none" w:sz="0" w:space="0" w:color="auto"/>
        <w:bottom w:val="none" w:sz="0" w:space="0" w:color="auto"/>
        <w:right w:val="none" w:sz="0" w:space="0" w:color="auto"/>
      </w:divBdr>
      <w:divsChild>
        <w:div w:id="1194924734">
          <w:marLeft w:val="0"/>
          <w:marRight w:val="0"/>
          <w:marTop w:val="0"/>
          <w:marBottom w:val="567"/>
          <w:divBdr>
            <w:top w:val="none" w:sz="0" w:space="0" w:color="auto"/>
            <w:left w:val="none" w:sz="0" w:space="0" w:color="auto"/>
            <w:bottom w:val="none" w:sz="0" w:space="0" w:color="auto"/>
            <w:right w:val="none" w:sz="0" w:space="0" w:color="auto"/>
          </w:divBdr>
        </w:div>
      </w:divsChild>
    </w:div>
    <w:div w:id="2103064438">
      <w:bodyDiv w:val="1"/>
      <w:marLeft w:val="53"/>
      <w:marRight w:val="53"/>
      <w:marTop w:val="107"/>
      <w:marBottom w:val="107"/>
      <w:divBdr>
        <w:top w:val="none" w:sz="0" w:space="0" w:color="auto"/>
        <w:left w:val="none" w:sz="0" w:space="0" w:color="auto"/>
        <w:bottom w:val="none" w:sz="0" w:space="0" w:color="auto"/>
        <w:right w:val="none" w:sz="0" w:space="0" w:color="auto"/>
      </w:divBdr>
      <w:divsChild>
        <w:div w:id="1129476126">
          <w:marLeft w:val="0"/>
          <w:marRight w:val="0"/>
          <w:marTop w:val="480"/>
          <w:marBottom w:val="240"/>
          <w:divBdr>
            <w:top w:val="none" w:sz="0" w:space="0" w:color="auto"/>
            <w:left w:val="none" w:sz="0" w:space="0" w:color="auto"/>
            <w:bottom w:val="none" w:sz="0" w:space="0" w:color="auto"/>
            <w:right w:val="none" w:sz="0" w:space="0" w:color="auto"/>
          </w:divBdr>
        </w:div>
        <w:div w:id="13855220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90D9-490E-4C80-8403-6163F823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1262</Words>
  <Characters>9136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21.jūlija noteikumos Nr.578 „Noteikumi par darbības programmas „Cilvēkresursi un nodarbinātība” papildinājuma 1.2.1.1.4.apakšaktivitāti „Sākotnējās profesionālās izglītības pievil</vt:lpstr>
    </vt:vector>
  </TitlesOfParts>
  <Company>Microsoft Corporation</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21.jūlija noteikumos Nr.578 „Noteikumi par darbības programmas „Cilvēkresursi un nodarbinātība” papildinājuma 1.2.1.1.4.apakšaktivitāti „Sākotnējās profesionālās izglītības pievilcības veicināšana”” sākotnējās ietekmes novērtējuma ziņojums (anotācija)</dc:title>
  <dc:subject>Ministru kabineta noteikumu projekta anotācija</dc:subject>
  <dc:creator>Jevgēnija Sviridenkova</dc:creator>
  <cp:keywords/>
  <dc:description>jevgenija.sviridenkova@izm.gov.lv; tālr.67047774</dc:description>
  <cp:lastModifiedBy>jsviridenkova</cp:lastModifiedBy>
  <cp:revision>59</cp:revision>
  <cp:lastPrinted>2010-11-23T15:24:00Z</cp:lastPrinted>
  <dcterms:created xsi:type="dcterms:W3CDTF">2011-03-21T13:58:00Z</dcterms:created>
  <dcterms:modified xsi:type="dcterms:W3CDTF">2011-08-18T11:46:00Z</dcterms:modified>
  <cp:category>IZM</cp:category>
</cp:coreProperties>
</file>