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19" w:rsidRPr="0007611D" w:rsidRDefault="00772719" w:rsidP="00772719">
      <w:pPr>
        <w:pStyle w:val="BodyText"/>
        <w:tabs>
          <w:tab w:val="left" w:pos="5760"/>
        </w:tabs>
        <w:jc w:val="center"/>
        <w:rPr>
          <w:b/>
          <w:sz w:val="28"/>
          <w:szCs w:val="28"/>
        </w:rPr>
      </w:pPr>
      <w:r w:rsidRPr="0007611D">
        <w:rPr>
          <w:b/>
          <w:sz w:val="28"/>
          <w:szCs w:val="28"/>
        </w:rPr>
        <w:t>Ministru kabineta noteikumu projekta</w:t>
      </w:r>
    </w:p>
    <w:p w:rsidR="00772719" w:rsidRPr="0007611D" w:rsidRDefault="00772719" w:rsidP="00772719">
      <w:pPr>
        <w:pStyle w:val="BodyText"/>
        <w:tabs>
          <w:tab w:val="left" w:pos="5760"/>
        </w:tabs>
        <w:jc w:val="center"/>
        <w:rPr>
          <w:b/>
          <w:sz w:val="28"/>
          <w:szCs w:val="28"/>
        </w:rPr>
      </w:pPr>
      <w:r w:rsidRPr="0007611D">
        <w:rPr>
          <w:b/>
          <w:sz w:val="28"/>
          <w:szCs w:val="28"/>
        </w:rPr>
        <w:t xml:space="preserve"> „Grozījums Ministru kabineta 2009.gada 15.decembra noteikumos Nr.1436 „Noteikumi par Olaines Mehānikas un tehnoloģijas koledžas sniegto maksas pakalpojumu cenrādi”” sākotnējās ietekmes novērtējuma ziņojums (anotācija) </w:t>
      </w:r>
    </w:p>
    <w:p w:rsidR="00751F8C" w:rsidRPr="0050047E" w:rsidRDefault="00751F8C" w:rsidP="00751F8C">
      <w:pPr>
        <w:jc w:val="center"/>
        <w:rPr>
          <w:b/>
          <w:bCs/>
        </w:rPr>
      </w:pPr>
    </w:p>
    <w:tbl>
      <w:tblPr>
        <w:tblW w:w="9498"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
        <w:gridCol w:w="1815"/>
        <w:gridCol w:w="1926"/>
        <w:gridCol w:w="62"/>
        <w:gridCol w:w="464"/>
        <w:gridCol w:w="870"/>
        <w:gridCol w:w="994"/>
        <w:gridCol w:w="994"/>
        <w:gridCol w:w="1997"/>
      </w:tblGrid>
      <w:tr w:rsidR="00751F8C" w:rsidRPr="00917D09" w:rsidTr="000B65D6">
        <w:trPr>
          <w:tblCellSpacing w:w="0" w:type="dxa"/>
        </w:trPr>
        <w:tc>
          <w:tcPr>
            <w:tcW w:w="9498" w:type="dxa"/>
            <w:gridSpan w:val="10"/>
            <w:tcBorders>
              <w:top w:val="outset" w:sz="6" w:space="0" w:color="auto"/>
              <w:left w:val="outset" w:sz="6" w:space="0" w:color="auto"/>
              <w:bottom w:val="outset" w:sz="6" w:space="0" w:color="auto"/>
              <w:right w:val="outset" w:sz="6" w:space="0" w:color="auto"/>
            </w:tcBorders>
            <w:vAlign w:val="center"/>
            <w:hideMark/>
          </w:tcPr>
          <w:p w:rsidR="00751F8C" w:rsidRPr="00917D09" w:rsidRDefault="00751F8C" w:rsidP="009D5D98">
            <w:pPr>
              <w:rPr>
                <w:b/>
                <w:bCs/>
              </w:rPr>
            </w:pPr>
            <w:r w:rsidRPr="00917D09">
              <w:rPr>
                <w:b/>
                <w:bCs/>
              </w:rPr>
              <w:t> </w:t>
            </w:r>
          </w:p>
          <w:p w:rsidR="00751F8C" w:rsidRPr="0050047E" w:rsidRDefault="00751F8C" w:rsidP="009D5D98">
            <w:pPr>
              <w:jc w:val="center"/>
              <w:rPr>
                <w:b/>
                <w:bCs/>
              </w:rPr>
            </w:pPr>
            <w:r w:rsidRPr="00917D09">
              <w:rPr>
                <w:b/>
                <w:bCs/>
              </w:rPr>
              <w:t>I. Tiesību akta projekta izstrādes nepieciešamība</w:t>
            </w:r>
          </w:p>
        </w:tc>
      </w:tr>
      <w:tr w:rsidR="00751F8C" w:rsidRPr="00917D09" w:rsidTr="000B65D6">
        <w:trPr>
          <w:trHeight w:val="630"/>
          <w:tblCellSpacing w:w="0" w:type="dxa"/>
        </w:trPr>
        <w:tc>
          <w:tcPr>
            <w:tcW w:w="376"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1.</w:t>
            </w:r>
          </w:p>
        </w:tc>
        <w:tc>
          <w:tcPr>
            <w:tcW w:w="3741"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r w:rsidRPr="00917D09">
              <w:t> Pamatojums</w:t>
            </w:r>
          </w:p>
        </w:tc>
        <w:tc>
          <w:tcPr>
            <w:tcW w:w="5381" w:type="dxa"/>
            <w:gridSpan w:val="6"/>
            <w:tcBorders>
              <w:top w:val="outset" w:sz="6" w:space="0" w:color="auto"/>
              <w:left w:val="outset" w:sz="6" w:space="0" w:color="auto"/>
              <w:bottom w:val="outset" w:sz="6" w:space="0" w:color="auto"/>
              <w:right w:val="outset" w:sz="6" w:space="0" w:color="auto"/>
            </w:tcBorders>
            <w:hideMark/>
          </w:tcPr>
          <w:p w:rsidR="00772719" w:rsidRPr="00F179AC" w:rsidRDefault="00772719" w:rsidP="0007611D">
            <w:pPr>
              <w:ind w:left="113" w:right="113"/>
              <w:jc w:val="both"/>
            </w:pPr>
            <w:r w:rsidRPr="00F179AC">
              <w:t xml:space="preserve">Ministru kabineta noteikumu projekts </w:t>
            </w:r>
            <w:r>
              <w:t xml:space="preserve">„Grozījums Ministru kabineta 2009.gada 15.decembra noteikumos Nr.1436 </w:t>
            </w:r>
            <w:r w:rsidRPr="00F179AC">
              <w:t xml:space="preserve">„Noteikumi par </w:t>
            </w:r>
            <w:r>
              <w:t>Olaines Mehānikas un tehnoloģijas</w:t>
            </w:r>
            <w:r w:rsidRPr="00F179AC">
              <w:t xml:space="preserve"> koledžas sniegto maksas pakalpojumu cenrādi”</w:t>
            </w:r>
            <w:r>
              <w:t>”</w:t>
            </w:r>
            <w:r w:rsidRPr="00F179AC">
              <w:t xml:space="preserve"> (turpmāk – noteikumu projekts) izstrādāts saskaņā ar likuma „Par budžetu un finanšu vadību” 5.panta  devīto daļu, kas nosaka, ka Ministru kabinets izdod noteikumus par valsts tiešās pārvaldes iestāžu sniegto maksas pakalpojumu cenrādi.</w:t>
            </w:r>
          </w:p>
          <w:p w:rsidR="007D1D48" w:rsidRPr="007D1D48" w:rsidRDefault="00523BCE" w:rsidP="00523BCE">
            <w:pPr>
              <w:pStyle w:val="BodyText"/>
              <w:tabs>
                <w:tab w:val="left" w:pos="5760"/>
              </w:tabs>
              <w:spacing w:after="0"/>
              <w:ind w:left="113" w:right="113"/>
              <w:jc w:val="both"/>
            </w:pPr>
            <w:r w:rsidRPr="00F179AC">
              <w:t>Noteikumu projekts sagatavots, ņemot vērā Ministru kabineta 20</w:t>
            </w:r>
            <w:r>
              <w:t>12</w:t>
            </w:r>
            <w:r w:rsidRPr="00F179AC">
              <w:t xml:space="preserve">.gada </w:t>
            </w:r>
            <w:r>
              <w:t>10.janvāra</w:t>
            </w:r>
            <w:r w:rsidRPr="00F179AC">
              <w:t xml:space="preserve"> noteikumu Nr.</w:t>
            </w:r>
            <w:r>
              <w:t xml:space="preserve">36 „Iepriekšējā izglītībā vai profesionālajā pieredzē sasniegtu studiju rezultātu atzīšanas noteikumi” (turpmāk – noteikumi Nr.36) 22.punktā ietverto regulējumu, kas nosaka, ka personai par iepriekšējā izglītībā vai profesionālajā pieredzē sasniegto studiju rezultātu atzīšanu var noteikt maksu koledžas noteiktajā kārtībā vai saskaņā ar Ministru kabineta noteikto maksas pakalpojuma cenrādi, ja tā ir valsts dibināta koledža. </w:t>
            </w:r>
          </w:p>
        </w:tc>
      </w:tr>
      <w:tr w:rsidR="00751F8C" w:rsidRPr="00917D09" w:rsidTr="000B65D6">
        <w:trPr>
          <w:trHeight w:val="472"/>
          <w:tblCellSpacing w:w="0" w:type="dxa"/>
        </w:trPr>
        <w:tc>
          <w:tcPr>
            <w:tcW w:w="376"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2.</w:t>
            </w:r>
          </w:p>
        </w:tc>
        <w:tc>
          <w:tcPr>
            <w:tcW w:w="3741"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r w:rsidRPr="00917D09">
              <w:t> Pašreizējā situācija un problēmas</w:t>
            </w:r>
          </w:p>
        </w:tc>
        <w:tc>
          <w:tcPr>
            <w:tcW w:w="5381" w:type="dxa"/>
            <w:gridSpan w:val="6"/>
            <w:tcBorders>
              <w:top w:val="outset" w:sz="6" w:space="0" w:color="auto"/>
              <w:left w:val="outset" w:sz="6" w:space="0" w:color="auto"/>
              <w:bottom w:val="outset" w:sz="6" w:space="0" w:color="auto"/>
              <w:right w:val="outset" w:sz="6" w:space="0" w:color="auto"/>
            </w:tcBorders>
            <w:hideMark/>
          </w:tcPr>
          <w:p w:rsidR="00772719" w:rsidRDefault="00772719" w:rsidP="0007611D">
            <w:pPr>
              <w:ind w:left="113" w:right="113"/>
              <w:jc w:val="both"/>
            </w:pPr>
            <w:r>
              <w:t xml:space="preserve">Šobrīd koledža sniedz maksas pakalpojumus, piemērojot Ministru kabineta 2009.gada 15.decembra noteikumus Nr.1436 </w:t>
            </w:r>
            <w:r w:rsidRPr="00F179AC">
              <w:t xml:space="preserve">„Noteikumi par </w:t>
            </w:r>
            <w:r>
              <w:t>Olaines Mehānikas un tehnoloģijas</w:t>
            </w:r>
            <w:r w:rsidRPr="00F179AC">
              <w:t xml:space="preserve"> koledžas sniegto maksas pakalpojumu cenrādi”</w:t>
            </w:r>
            <w:r>
              <w:t xml:space="preserve"> (turpmāk – noteikumi Nr.1436).</w:t>
            </w:r>
          </w:p>
          <w:p w:rsidR="00772719" w:rsidRDefault="00772719" w:rsidP="0007611D">
            <w:pPr>
              <w:ind w:left="113" w:right="113"/>
              <w:jc w:val="both"/>
            </w:pPr>
            <w:r>
              <w:t>Saskaņā ar Ministru kabineta 2011.gada 3.maija noteikumu Nr.333 „Kārtība, kādā plānojami un uzskaitāmi ieņēmumi no maksas pakalpojumiem un ar šo pakalpojumu sniegšanu saistītie izdevumi, kā arī maksas pakalpojumu noteikšanas metodika un izcenojumu apstiprināšanas kārtība” 18.1.punktu grozījumus maksas pakalpojumu cenrādī iestāde izdara, ja ir izdarīti grozījumi normatīvajos aktos vai mainījušies apstākļi, kas ietekmē iestādes sniedzamo pakalpojumu klāstu, bet saskaņā ar 18.2.punktu – būtiski mainījušās tiešās vai netiešās izmaksas (palielinājušās vai samazinājušās), kuras veido maksas pakalpojumu izcenojumus.</w:t>
            </w:r>
          </w:p>
          <w:p w:rsidR="00772719" w:rsidRDefault="00772719" w:rsidP="0007611D">
            <w:pPr>
              <w:ind w:left="113" w:right="113"/>
              <w:jc w:val="both"/>
            </w:pPr>
            <w:r>
              <w:t>2012.gada 10.janvārī Ministru kabinets pieņēma noteikumus Nr.36</w:t>
            </w:r>
            <w:r w:rsidR="00523BCE">
              <w:t xml:space="preserve">, kuru </w:t>
            </w:r>
            <w:r>
              <w:t xml:space="preserve">22.punktā ietvertais regulējums paredz, ka personai par iepriekšējā izglītībā vai profesionālajā pieredzē sasniegto studiju rezultātu atzīšanu var noteikt maksu koledžas noteiktajā kārtībā vai saskaņā ar Ministru kabineta noteikto maksas pakalpojuma cenrādi, ja tā ir valsts dibināta koledža. </w:t>
            </w:r>
          </w:p>
          <w:p w:rsidR="00772719" w:rsidRDefault="00772719" w:rsidP="0007611D">
            <w:pPr>
              <w:ind w:left="113" w:right="113"/>
              <w:jc w:val="both"/>
            </w:pPr>
            <w:r>
              <w:t>Ņemot vērā, ka Augstskolu likuma 59.² pants tika pieņemts reizē ar grozījumiem Augstskolu likumā, kuri stājās spēkā 2011.gada 1.augustā, koledžas maksas pakalpojumu cenrādī nebija iekļauts  maksas pakalpojuma veids par iepriekšējā izglītībā vai profesionālajā pieredzē sasniegto studiju rezultātu atzīšanu. Lai koledža varētu saņemt maksu par šī pakalpojuma sniegšanu, ir nepieciešams papildināt koledžas sniegto maksas pakalpojumu cenrādi (pielikumu) ar jaunu pakalpojumu klāstu un to izcenojumiem.</w:t>
            </w:r>
          </w:p>
          <w:p w:rsidR="00772719" w:rsidRDefault="00772719" w:rsidP="0007611D">
            <w:pPr>
              <w:ind w:left="113" w:right="113"/>
              <w:jc w:val="both"/>
            </w:pPr>
            <w:r>
              <w:t>Ņemot vērā, ka Ministru kabinetā iepriekš apstiprinātā maksas pakalpojuma „1.1. īres maksa 1.1.1. izglītojamiem, kas mācās vai studē budžeta grupā” izcenojuma aprēķins tika veikts, balstoties uz 2009.gada komunālo pakalpojumu izmaksām, bet 2012.gadā siltumenerģijas un elektroenerģijas tarifu pieaugums salīdzinājumā ar 2009.gadu pieaudzis vidēji par 25 procentiem, kā arī palielinājušās dienesta viesnīcas uzturēšanas izmaksas sakarā ar nepieciešamajiem ūdensvada, kanalizācijas un telpu remontdarbiem, ir nepieciešams precizēt šo maksas pakalpojumu, nosakot diferencētus izcenojumus īres maksai atkarībā no dzīvojošo skaita istabā.</w:t>
            </w:r>
          </w:p>
          <w:p w:rsidR="00772719" w:rsidRDefault="00772719" w:rsidP="0007611D">
            <w:pPr>
              <w:ind w:left="113" w:right="113"/>
              <w:jc w:val="both"/>
            </w:pPr>
            <w:r>
              <w:t>Izmaiņas akadēmiskā personāla atalgojuma stundas likmē deva iespēju pazemināt maksas pakalpojumu izcenojumu par eksāmenu un ieskaiti akadēmisko parādu kārtošanai.</w:t>
            </w:r>
          </w:p>
          <w:p w:rsidR="00772719" w:rsidRDefault="00772719" w:rsidP="0007611D">
            <w:pPr>
              <w:ind w:left="113" w:right="113"/>
              <w:jc w:val="both"/>
            </w:pPr>
            <w:r>
              <w:t>Kā liecina koledžas pieredze, laika posmā no 2009.gada līdz 2012.gadam nav bijis pieprasījums maksas pakalpojumam „3.2. mācību kursi (citām personām)”. Ņemot to vērā, noteikumu projekts paredz šī pakalpojuma izslēgšanu no koledžas sniegto maksas pakalpojumu klāsta.</w:t>
            </w:r>
          </w:p>
          <w:p w:rsidR="00847F5A" w:rsidRPr="004F4704" w:rsidRDefault="00772719" w:rsidP="0007611D">
            <w:pPr>
              <w:ind w:left="113" w:right="113"/>
              <w:jc w:val="both"/>
            </w:pPr>
            <w:r w:rsidRPr="00E07C90">
              <w:t>Nepieciešamību veikt izmaiņas noteikumu Nr.1436 koledžas maksas pakalpojumu cenrādī nosaka arī tas apstāklis, ka saskaņā ar Likuma „Par pievienotās vērtības nodokli” 3.panta 5</w:t>
            </w:r>
            <w:r w:rsidRPr="00E07C90">
              <w:rPr>
                <w:vertAlign w:val="superscript"/>
              </w:rPr>
              <w:t>3</w:t>
            </w:r>
            <w:r>
              <w:t xml:space="preserve"> daļu </w:t>
            </w:r>
            <w:r w:rsidRPr="00E07C90">
              <w:t xml:space="preserve">no 2011.gada 18.marta koledža ir izslēgta no PVN maksātāju reģistra </w:t>
            </w:r>
            <w:r>
              <w:t>(VID lēmums Nr.8.21.6.1/7018), jo tās ar nodokli apliekamo preču piegāžu un sniegto pakalpojumu kopējā vērtība 12 mēnešu laikā nav pārsniegusi Ls 35 000.</w:t>
            </w:r>
          </w:p>
        </w:tc>
      </w:tr>
      <w:tr w:rsidR="00751F8C" w:rsidRPr="00917D09" w:rsidTr="000B65D6">
        <w:trPr>
          <w:trHeight w:val="511"/>
          <w:tblCellSpacing w:w="0" w:type="dxa"/>
        </w:trPr>
        <w:tc>
          <w:tcPr>
            <w:tcW w:w="376"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3.</w:t>
            </w:r>
          </w:p>
        </w:tc>
        <w:tc>
          <w:tcPr>
            <w:tcW w:w="3741"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jc w:val="both"/>
            </w:pPr>
            <w:r w:rsidRPr="00917D09">
              <w:t>Saistītie politikas ietekmes novērtējumi un pētījumi</w:t>
            </w:r>
          </w:p>
        </w:tc>
        <w:tc>
          <w:tcPr>
            <w:tcW w:w="5381" w:type="dxa"/>
            <w:gridSpan w:val="6"/>
            <w:tcBorders>
              <w:top w:val="outset" w:sz="6" w:space="0" w:color="auto"/>
              <w:left w:val="outset" w:sz="6" w:space="0" w:color="auto"/>
              <w:bottom w:val="outset" w:sz="6" w:space="0" w:color="auto"/>
              <w:right w:val="outset" w:sz="6" w:space="0" w:color="auto"/>
            </w:tcBorders>
            <w:hideMark/>
          </w:tcPr>
          <w:p w:rsidR="00751F8C" w:rsidRPr="00917D09" w:rsidRDefault="00772719" w:rsidP="0007611D">
            <w:pPr>
              <w:ind w:left="113" w:right="113"/>
            </w:pPr>
            <w:r>
              <w:t>Noteikumu projekts šo jomu neskar.</w:t>
            </w:r>
          </w:p>
        </w:tc>
      </w:tr>
      <w:tr w:rsidR="00751F8C" w:rsidRPr="00917D09" w:rsidTr="000B65D6">
        <w:trPr>
          <w:trHeight w:val="65"/>
          <w:tblCellSpacing w:w="0" w:type="dxa"/>
        </w:trPr>
        <w:tc>
          <w:tcPr>
            <w:tcW w:w="376"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4.</w:t>
            </w:r>
          </w:p>
        </w:tc>
        <w:tc>
          <w:tcPr>
            <w:tcW w:w="3741"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jc w:val="both"/>
            </w:pPr>
            <w:r w:rsidRPr="00917D09">
              <w:t>Tiesiskā regulējuma mērķis un būtība</w:t>
            </w:r>
          </w:p>
        </w:tc>
        <w:tc>
          <w:tcPr>
            <w:tcW w:w="5381" w:type="dxa"/>
            <w:gridSpan w:val="6"/>
            <w:tcBorders>
              <w:top w:val="outset" w:sz="6" w:space="0" w:color="auto"/>
              <w:left w:val="outset" w:sz="6" w:space="0" w:color="auto"/>
              <w:bottom w:val="outset" w:sz="6" w:space="0" w:color="auto"/>
              <w:right w:val="outset" w:sz="6" w:space="0" w:color="auto"/>
            </w:tcBorders>
            <w:hideMark/>
          </w:tcPr>
          <w:p w:rsidR="00101CBC" w:rsidRDefault="00101CBC" w:rsidP="0007611D">
            <w:pPr>
              <w:ind w:left="113" w:right="113"/>
              <w:jc w:val="both"/>
            </w:pPr>
            <w:r w:rsidRPr="002F6838">
              <w:t>Noteikumu projekta mērķis ir izveidot tiesisko regulējumu maksai par</w:t>
            </w:r>
            <w:r w:rsidRPr="00F179AC">
              <w:t xml:space="preserve"> </w:t>
            </w:r>
            <w:r>
              <w:t xml:space="preserve">iepriekšējā izglītībā vai profesionālajā pieredzē sasniegto studiju rezultātu atzīšanu. </w:t>
            </w:r>
          </w:p>
          <w:p w:rsidR="00772719" w:rsidRDefault="00772719" w:rsidP="0007611D">
            <w:pPr>
              <w:ind w:left="113" w:right="113"/>
              <w:jc w:val="both"/>
            </w:pPr>
            <w:r w:rsidRPr="00F179AC">
              <w:t xml:space="preserve">Noteikumu projekts </w:t>
            </w:r>
            <w:r>
              <w:t>paredz izteikt noteikumu Nr.1436 pielikumu jaunā redakcijā, paredzot šādas izmaiņas:</w:t>
            </w:r>
          </w:p>
          <w:p w:rsidR="00772719" w:rsidRDefault="00772719" w:rsidP="0007611D">
            <w:pPr>
              <w:ind w:left="113" w:right="113"/>
              <w:jc w:val="both"/>
            </w:pPr>
            <w:r>
              <w:t>1) noteikt diferencētu īres maksu izglītojamiem, kas mācās vai studē budžeta grupā, atkarībā no tā, vai istabā dzīvo divi vai četri īrnieki. Izcenojums par vienu vietu mēnesī palielināts sakarā ar siltumenerģijas un elektroenerģijas tarifu pieaugumu, telpu remontu un atkarīgs no sadzīves apstākļiem istabā;</w:t>
            </w:r>
          </w:p>
          <w:p w:rsidR="00772719" w:rsidRDefault="00772719" w:rsidP="0007611D">
            <w:pPr>
              <w:ind w:left="113" w:right="113"/>
              <w:jc w:val="both"/>
            </w:pPr>
            <w:r>
              <w:t>2) samazināt maksājumus par akadēmisko parādu kārtošanu pakalpojumam „3.1.1. noslēguma pārbaudījums (eksāmens)”: izcenojums pazemināts no Ls 11,00 uz Ls 6,50, un maksas pakalpojumam „3.1.2. ieskaite (arī atkārtota)”: izcenojums pazemināts no Ls 7,50 uz Ls 3,25 uz akadēmiskā personāla atalgojuma stundas likmes un attīstības izmaksu samazinājuma rēķina;</w:t>
            </w:r>
          </w:p>
          <w:p w:rsidR="00772719" w:rsidRDefault="00772719" w:rsidP="0007611D">
            <w:pPr>
              <w:ind w:left="113" w:right="113"/>
              <w:jc w:val="both"/>
            </w:pPr>
            <w:r>
              <w:t>3) izslēgts maksas pakalpojums „3.2. mācību kursi (citām personām)”;</w:t>
            </w:r>
          </w:p>
          <w:p w:rsidR="00772719" w:rsidRDefault="00772719" w:rsidP="0007611D">
            <w:pPr>
              <w:ind w:left="113" w:right="113"/>
              <w:jc w:val="both"/>
            </w:pPr>
            <w:r>
              <w:t>4) sakarā ar to, ka koledžas maksas pakalpojumiem kopš 2011.gada 18.marta netiek piemērots pievienotās vērtības nodoklis, samazinājušās ir to koledžas pakalpojumu cenas, kuriem iepriekš pievienotā vērtības nodokļa likme tika piemērota;</w:t>
            </w:r>
          </w:p>
          <w:p w:rsidR="00772719" w:rsidRDefault="00772719" w:rsidP="0007611D">
            <w:pPr>
              <w:ind w:left="113" w:right="113"/>
              <w:jc w:val="both"/>
            </w:pPr>
            <w:r>
              <w:t>5) pielikums papildināts ar jaunu maksas pakalpojumu - „3.2. i</w:t>
            </w:r>
            <w:r w:rsidRPr="000B72DB">
              <w:t>epriekšējā izglītībā vai profesionālajā pieredzē sasniegto studiju rezultātu atzīšana</w:t>
            </w:r>
            <w:r>
              <w:t>”. I</w:t>
            </w:r>
            <w:r w:rsidRPr="000B72DB">
              <w:t>epriekšējā izglītībā vai profesionālajā pieredzē sasniegto studiju rezultātu atzīšana</w:t>
            </w:r>
            <w:r>
              <w:t xml:space="preserve"> ir komplekss pasākums, kas sevī ietver ne tikai personas, kura vēlas, lai tiktu atzīti tās iepriekšējā izglītībā vai profesionālajā pieredzē sasniegtie studiju rezultāti, iesnieguma un pievienoto dokumentu, kas apliecina iepriekšējā izglītībā vai profesionālajā pieredzē sasniegtos studiju rezultātus, izskatīšanu un lēmuma pieņemšanu. Nepieciešamības gadījumā var tikt noteikti pārbaudījumi iepriekšējā izglītībā vai profesionālajā pieredzē sasniegto studiju rezultātu novērtēšanai. Ņemot vērā šī pakalpojuma komplicētību, kā arī individuālo piemērošanas raksturu, tas sadalīts vairākos atsevišķos maksas pakalpojumos: </w:t>
            </w:r>
          </w:p>
          <w:p w:rsidR="00772719" w:rsidRDefault="00772719" w:rsidP="0007611D">
            <w:pPr>
              <w:ind w:left="113" w:right="113"/>
              <w:jc w:val="both"/>
            </w:pPr>
            <w:r>
              <w:t>„</w:t>
            </w:r>
            <w:r w:rsidRPr="000B39E0">
              <w:t>3.2.1. iesniegto dokumentu izvērtēšana un lēmuma sagatavošana</w:t>
            </w:r>
          </w:p>
          <w:p w:rsidR="00772719" w:rsidRPr="000B39E0" w:rsidRDefault="00772719" w:rsidP="0007611D">
            <w:pPr>
              <w:ind w:left="113" w:right="113"/>
              <w:jc w:val="both"/>
              <w:rPr>
                <w:lang w:val="pt-BR"/>
              </w:rPr>
            </w:pPr>
            <w:r>
              <w:rPr>
                <w:lang w:val="pt-BR"/>
              </w:rPr>
              <w:t>3.2.2. p</w:t>
            </w:r>
            <w:r w:rsidRPr="000B39E0">
              <w:rPr>
                <w:lang w:val="pt-BR"/>
              </w:rPr>
              <w:t>ārbaudījumi</w:t>
            </w:r>
          </w:p>
          <w:p w:rsidR="00772719" w:rsidRPr="000B39E0" w:rsidRDefault="00772719" w:rsidP="0007611D">
            <w:pPr>
              <w:ind w:left="113" w:right="113"/>
              <w:jc w:val="both"/>
            </w:pPr>
            <w:r w:rsidRPr="000B39E0">
              <w:t xml:space="preserve">3.2.2.1. ieskaite  </w:t>
            </w:r>
          </w:p>
          <w:p w:rsidR="00772719" w:rsidRDefault="00772719" w:rsidP="0007611D">
            <w:pPr>
              <w:ind w:left="113" w:right="113"/>
              <w:jc w:val="both"/>
            </w:pPr>
            <w:r w:rsidRPr="00D379FC">
              <w:t xml:space="preserve">3.2.2.2. eksāmens </w:t>
            </w:r>
          </w:p>
          <w:p w:rsidR="00772719" w:rsidRDefault="00772719" w:rsidP="0007611D">
            <w:pPr>
              <w:ind w:left="113" w:right="113"/>
              <w:jc w:val="both"/>
            </w:pPr>
            <w:r>
              <w:t>3.2.2.3</w:t>
            </w:r>
            <w:r w:rsidRPr="00D379FC">
              <w:t>. laboratorijas darbs</w:t>
            </w:r>
            <w:r>
              <w:t xml:space="preserve">”. </w:t>
            </w:r>
          </w:p>
          <w:p w:rsidR="00751F8C" w:rsidRPr="004F4704" w:rsidRDefault="00772719" w:rsidP="0007611D">
            <w:pPr>
              <w:ind w:left="113" w:right="113"/>
              <w:jc w:val="both"/>
              <w:rPr>
                <w:rStyle w:val="Strong"/>
                <w:b w:val="0"/>
              </w:rPr>
            </w:pPr>
            <w:r>
              <w:t>Noteikumu projekts pilnībā atrisinās</w:t>
            </w:r>
            <w:r w:rsidRPr="00F179AC">
              <w:t xml:space="preserve"> anotā</w:t>
            </w:r>
            <w:r>
              <w:t>cijas I sadaļas 2.punktā minēto</w:t>
            </w:r>
            <w:r w:rsidRPr="00F179AC">
              <w:t xml:space="preserve"> problēm</w:t>
            </w:r>
            <w:r>
              <w:t>u.</w:t>
            </w:r>
          </w:p>
        </w:tc>
      </w:tr>
      <w:tr w:rsidR="00751F8C" w:rsidRPr="00917D09" w:rsidTr="000B65D6">
        <w:trPr>
          <w:trHeight w:val="476"/>
          <w:tblCellSpacing w:w="0" w:type="dxa"/>
        </w:trPr>
        <w:tc>
          <w:tcPr>
            <w:tcW w:w="376"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5.</w:t>
            </w:r>
          </w:p>
        </w:tc>
        <w:tc>
          <w:tcPr>
            <w:tcW w:w="3741"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pPr>
            <w:r w:rsidRPr="00917D09">
              <w:t>Projekta izstrādē iesaistītās institūcijas</w:t>
            </w:r>
          </w:p>
        </w:tc>
        <w:tc>
          <w:tcPr>
            <w:tcW w:w="5381" w:type="dxa"/>
            <w:gridSpan w:val="6"/>
            <w:tcBorders>
              <w:top w:val="outset" w:sz="6" w:space="0" w:color="auto"/>
              <w:left w:val="outset" w:sz="6" w:space="0" w:color="auto"/>
              <w:bottom w:val="outset" w:sz="6" w:space="0" w:color="auto"/>
              <w:right w:val="outset" w:sz="6" w:space="0" w:color="auto"/>
            </w:tcBorders>
            <w:hideMark/>
          </w:tcPr>
          <w:p w:rsidR="00751F8C" w:rsidRPr="00917D09" w:rsidRDefault="00772719" w:rsidP="0007611D">
            <w:pPr>
              <w:ind w:left="113" w:right="113"/>
              <w:jc w:val="both"/>
              <w:rPr>
                <w:rStyle w:val="Strong"/>
                <w:b w:val="0"/>
                <w:bCs w:val="0"/>
              </w:rPr>
            </w:pPr>
            <w:r>
              <w:t>Izglītības un zinātnes ministrija, Olaines mehānikas un tehnoloģijas koledža</w:t>
            </w:r>
          </w:p>
        </w:tc>
      </w:tr>
      <w:tr w:rsidR="00751F8C" w:rsidRPr="00917D09" w:rsidTr="000B65D6">
        <w:trPr>
          <w:trHeight w:val="526"/>
          <w:tblCellSpacing w:w="0" w:type="dxa"/>
        </w:trPr>
        <w:tc>
          <w:tcPr>
            <w:tcW w:w="376"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6.</w:t>
            </w:r>
          </w:p>
        </w:tc>
        <w:tc>
          <w:tcPr>
            <w:tcW w:w="3741"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right="126"/>
              <w:jc w:val="both"/>
            </w:pPr>
            <w:r w:rsidRPr="00917D09">
              <w:t>Iemesli, kādēļ netika nodrošināta  sabiedrības līdzdalība</w:t>
            </w:r>
          </w:p>
        </w:tc>
        <w:tc>
          <w:tcPr>
            <w:tcW w:w="5381" w:type="dxa"/>
            <w:gridSpan w:val="6"/>
            <w:tcBorders>
              <w:top w:val="outset" w:sz="6" w:space="0" w:color="auto"/>
              <w:left w:val="outset" w:sz="6" w:space="0" w:color="auto"/>
              <w:bottom w:val="outset" w:sz="6" w:space="0" w:color="auto"/>
              <w:right w:val="outset" w:sz="6" w:space="0" w:color="auto"/>
            </w:tcBorders>
            <w:hideMark/>
          </w:tcPr>
          <w:p w:rsidR="00751F8C" w:rsidRPr="00917D09" w:rsidRDefault="00772719" w:rsidP="0007611D">
            <w:pPr>
              <w:ind w:left="113" w:right="113"/>
              <w:jc w:val="both"/>
            </w:pPr>
            <w:r>
              <w:t>Sabiedrības līdzdalība netika nodrošināta, jo noteikumu projekts būtībā neparedz negatīvu ietekmi uz sabiedrību, bet tieši pretēji – paredz atsevišķu maksas pakalpojumu cenu samazinājumu. Īres maksa izglītojamiem, kas mācās vai studē budžeta grupā pieaugumu kompensēs sadzīves apstākļu uzlabošana viesnīcas telpās.</w:t>
            </w:r>
          </w:p>
        </w:tc>
      </w:tr>
      <w:tr w:rsidR="00751F8C" w:rsidRPr="00917D09" w:rsidTr="000B65D6">
        <w:trPr>
          <w:tblCellSpacing w:w="0" w:type="dxa"/>
        </w:trPr>
        <w:tc>
          <w:tcPr>
            <w:tcW w:w="376"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7.</w:t>
            </w:r>
          </w:p>
        </w:tc>
        <w:tc>
          <w:tcPr>
            <w:tcW w:w="3741"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r w:rsidRPr="00917D09">
              <w:t>Cita informācija</w:t>
            </w:r>
          </w:p>
        </w:tc>
        <w:tc>
          <w:tcPr>
            <w:tcW w:w="5381" w:type="dxa"/>
            <w:gridSpan w:val="6"/>
            <w:tcBorders>
              <w:top w:val="outset" w:sz="6" w:space="0" w:color="auto"/>
              <w:left w:val="outset" w:sz="6" w:space="0" w:color="auto"/>
              <w:bottom w:val="outset" w:sz="6" w:space="0" w:color="auto"/>
              <w:right w:val="outset" w:sz="6" w:space="0" w:color="auto"/>
            </w:tcBorders>
            <w:hideMark/>
          </w:tcPr>
          <w:p w:rsidR="00751F8C" w:rsidRPr="004F01A7" w:rsidRDefault="00772719" w:rsidP="0007611D">
            <w:pPr>
              <w:ind w:left="113" w:right="113"/>
              <w:jc w:val="both"/>
            </w:pPr>
            <w:r>
              <w:t>Nav.</w:t>
            </w:r>
          </w:p>
        </w:tc>
      </w:tr>
      <w:tr w:rsidR="00751F8C" w:rsidRPr="00917D09" w:rsidTr="000B65D6">
        <w:trPr>
          <w:tblCellSpacing w:w="0" w:type="dxa"/>
        </w:trPr>
        <w:tc>
          <w:tcPr>
            <w:tcW w:w="9498" w:type="dxa"/>
            <w:gridSpan w:val="10"/>
            <w:tcBorders>
              <w:top w:val="outset" w:sz="6" w:space="0" w:color="auto"/>
              <w:left w:val="outset" w:sz="6" w:space="0" w:color="auto"/>
              <w:bottom w:val="outset" w:sz="6" w:space="0" w:color="auto"/>
              <w:right w:val="outset" w:sz="6" w:space="0" w:color="auto"/>
            </w:tcBorders>
            <w:vAlign w:val="center"/>
            <w:hideMark/>
          </w:tcPr>
          <w:p w:rsidR="00751F8C" w:rsidRPr="00917D09" w:rsidRDefault="00751F8C" w:rsidP="0007611D">
            <w:pPr>
              <w:ind w:left="113" w:right="113"/>
              <w:rPr>
                <w:b/>
                <w:bCs/>
              </w:rPr>
            </w:pPr>
          </w:p>
          <w:p w:rsidR="00751F8C" w:rsidRPr="00917D09" w:rsidRDefault="00751F8C" w:rsidP="0007611D">
            <w:pPr>
              <w:ind w:left="113" w:right="113"/>
              <w:jc w:val="center"/>
              <w:rPr>
                <w:b/>
                <w:bCs/>
              </w:rPr>
            </w:pPr>
            <w:r w:rsidRPr="00917D09">
              <w:rPr>
                <w:b/>
                <w:bCs/>
              </w:rPr>
              <w:t>II. Tiesību akta projekta ietekme uz sabiedrību</w:t>
            </w:r>
          </w:p>
        </w:tc>
      </w:tr>
      <w:tr w:rsidR="00751F8C" w:rsidRPr="00917D09" w:rsidTr="000B65D6">
        <w:trPr>
          <w:trHeight w:val="467"/>
          <w:tblCellSpacing w:w="0" w:type="dxa"/>
        </w:trPr>
        <w:tc>
          <w:tcPr>
            <w:tcW w:w="368"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1.</w:t>
            </w:r>
          </w:p>
        </w:tc>
        <w:tc>
          <w:tcPr>
            <w:tcW w:w="4275"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jc w:val="both"/>
            </w:pPr>
            <w:r w:rsidRPr="00917D09">
              <w:t>Sabiedrības mērķgrupa</w:t>
            </w:r>
          </w:p>
        </w:tc>
        <w:tc>
          <w:tcPr>
            <w:tcW w:w="4855" w:type="dxa"/>
            <w:gridSpan w:val="4"/>
            <w:tcBorders>
              <w:top w:val="outset" w:sz="6" w:space="0" w:color="auto"/>
              <w:left w:val="outset" w:sz="6" w:space="0" w:color="auto"/>
              <w:bottom w:val="outset" w:sz="6" w:space="0" w:color="auto"/>
              <w:right w:val="outset" w:sz="6" w:space="0" w:color="auto"/>
            </w:tcBorders>
            <w:hideMark/>
          </w:tcPr>
          <w:p w:rsidR="00751F8C" w:rsidRPr="00BD3E5A" w:rsidRDefault="0075292A" w:rsidP="0007611D">
            <w:pPr>
              <w:ind w:left="113" w:right="113"/>
              <w:jc w:val="both"/>
            </w:pPr>
            <w:r>
              <w:t>Koledžā izglītojamie, kuru skaits aptuveni ir 300 personas, izglītojamie, koledžas darbinieki un citas personas, kuras izmanto dienesta viesnīcas pakalpojumus – līdz 200 personām, kā arī personas, kuras, uzsākot studijas koledžā, vēlēsies saņemt atzinumu par iepriekšējā izglītībā vai profesionālajā pieredzē sasniegtiem studiju rezultātiem. Gadā plānotais šādu personu skaits – 5 personas.</w:t>
            </w:r>
          </w:p>
        </w:tc>
      </w:tr>
      <w:tr w:rsidR="00751F8C" w:rsidRPr="00917D09" w:rsidTr="000B65D6">
        <w:trPr>
          <w:trHeight w:val="523"/>
          <w:tblCellSpacing w:w="0" w:type="dxa"/>
        </w:trPr>
        <w:tc>
          <w:tcPr>
            <w:tcW w:w="368"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2.</w:t>
            </w:r>
          </w:p>
        </w:tc>
        <w:tc>
          <w:tcPr>
            <w:tcW w:w="4275"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Citas sabiedrības grupas (bez mērķgrupas), kuras tiesiskais regulējums arī ietekmē vai varētu ietekmēt</w:t>
            </w:r>
          </w:p>
        </w:tc>
        <w:tc>
          <w:tcPr>
            <w:tcW w:w="4855"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751F8C" w:rsidRPr="00917D09">
              <w:rPr>
                <w:color w:val="000000"/>
              </w:rPr>
              <w:t>Noteikumu projekts šo jomu neskar.</w:t>
            </w:r>
          </w:p>
        </w:tc>
      </w:tr>
      <w:tr w:rsidR="00751F8C" w:rsidRPr="00917D09" w:rsidTr="000B65D6">
        <w:trPr>
          <w:trHeight w:val="378"/>
          <w:tblCellSpacing w:w="0" w:type="dxa"/>
        </w:trPr>
        <w:tc>
          <w:tcPr>
            <w:tcW w:w="368"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3.</w:t>
            </w:r>
          </w:p>
        </w:tc>
        <w:tc>
          <w:tcPr>
            <w:tcW w:w="4275"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Tiesiskā regulējuma finansiālā ietekme</w:t>
            </w:r>
          </w:p>
        </w:tc>
        <w:tc>
          <w:tcPr>
            <w:tcW w:w="4855"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751F8C" w:rsidRPr="00917D09">
              <w:rPr>
                <w:color w:val="000000"/>
              </w:rPr>
              <w:t>Noteikumu projekts šo jomu neskar.</w:t>
            </w:r>
          </w:p>
        </w:tc>
      </w:tr>
      <w:tr w:rsidR="00751F8C" w:rsidRPr="00917D09" w:rsidTr="000B65D6">
        <w:trPr>
          <w:trHeight w:val="517"/>
          <w:tblCellSpacing w:w="0" w:type="dxa"/>
        </w:trPr>
        <w:tc>
          <w:tcPr>
            <w:tcW w:w="368"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4.</w:t>
            </w:r>
          </w:p>
        </w:tc>
        <w:tc>
          <w:tcPr>
            <w:tcW w:w="4275"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Tiesiskā regulējuma nefinansiālā ietekme</w:t>
            </w:r>
          </w:p>
        </w:tc>
        <w:tc>
          <w:tcPr>
            <w:tcW w:w="4855"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751F8C" w:rsidRPr="00917D09">
              <w:rPr>
                <w:color w:val="000000"/>
              </w:rPr>
              <w:t>Noteikumu projekts šo jomu neskar.</w:t>
            </w:r>
          </w:p>
        </w:tc>
      </w:tr>
      <w:tr w:rsidR="00751F8C" w:rsidRPr="00917D09" w:rsidTr="000B65D6">
        <w:trPr>
          <w:trHeight w:val="531"/>
          <w:tblCellSpacing w:w="0" w:type="dxa"/>
        </w:trPr>
        <w:tc>
          <w:tcPr>
            <w:tcW w:w="368"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5.</w:t>
            </w:r>
          </w:p>
        </w:tc>
        <w:tc>
          <w:tcPr>
            <w:tcW w:w="4275"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Administratīvās procedūras raksturojums</w:t>
            </w:r>
          </w:p>
        </w:tc>
        <w:tc>
          <w:tcPr>
            <w:tcW w:w="4855"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751F8C" w:rsidRPr="00917D09">
              <w:rPr>
                <w:color w:val="000000"/>
              </w:rPr>
              <w:t>Noteikumu projekts šo jomu neskar.</w:t>
            </w:r>
          </w:p>
        </w:tc>
      </w:tr>
      <w:tr w:rsidR="00751F8C" w:rsidRPr="00917D09" w:rsidTr="000B65D6">
        <w:trPr>
          <w:trHeight w:val="357"/>
          <w:tblCellSpacing w:w="0" w:type="dxa"/>
        </w:trPr>
        <w:tc>
          <w:tcPr>
            <w:tcW w:w="368"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6.</w:t>
            </w:r>
          </w:p>
        </w:tc>
        <w:tc>
          <w:tcPr>
            <w:tcW w:w="4275"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Administratīvo izmaksu monetārs  novērtējums</w:t>
            </w:r>
          </w:p>
        </w:tc>
        <w:tc>
          <w:tcPr>
            <w:tcW w:w="4855"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751F8C" w:rsidRPr="00917D09">
              <w:rPr>
                <w:color w:val="000000"/>
              </w:rPr>
              <w:t>Noteikumu projekts šo jomu neskar.</w:t>
            </w:r>
          </w:p>
        </w:tc>
      </w:tr>
      <w:tr w:rsidR="00751F8C" w:rsidRPr="00917D09" w:rsidTr="000B65D6">
        <w:trPr>
          <w:tblCellSpacing w:w="0" w:type="dxa"/>
        </w:trPr>
        <w:tc>
          <w:tcPr>
            <w:tcW w:w="368"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7.</w:t>
            </w:r>
          </w:p>
        </w:tc>
        <w:tc>
          <w:tcPr>
            <w:tcW w:w="4275"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Cita informācija</w:t>
            </w:r>
          </w:p>
        </w:tc>
        <w:tc>
          <w:tcPr>
            <w:tcW w:w="4855"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751F8C" w:rsidP="0007611D">
            <w:pPr>
              <w:ind w:left="113" w:right="113"/>
              <w:jc w:val="both"/>
            </w:pPr>
            <w:r w:rsidRPr="00917D09">
              <w:t>Nav.</w:t>
            </w:r>
          </w:p>
        </w:tc>
      </w:tr>
      <w:tr w:rsidR="00C23B92"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9498" w:type="dxa"/>
            <w:gridSpan w:val="10"/>
            <w:tcBorders>
              <w:top w:val="outset" w:sz="6" w:space="0" w:color="000000"/>
              <w:left w:val="outset" w:sz="6" w:space="0" w:color="000000"/>
              <w:bottom w:val="outset" w:sz="6" w:space="0" w:color="000000"/>
              <w:right w:val="outset" w:sz="6" w:space="0" w:color="000000"/>
            </w:tcBorders>
            <w:hideMark/>
          </w:tcPr>
          <w:p w:rsidR="00C23B92" w:rsidRPr="000911E6" w:rsidRDefault="00C23B92" w:rsidP="00C23B92">
            <w:pPr>
              <w:jc w:val="center"/>
              <w:rPr>
                <w:b/>
                <w:bCs/>
              </w:rPr>
            </w:pPr>
            <w:r w:rsidRPr="000911E6">
              <w:rPr>
                <w:b/>
                <w:bCs/>
              </w:rPr>
              <w:t>III. Tiesību akta projekta ietekme uz valsts budžetu un pašvaldību budžetiem</w:t>
            </w:r>
          </w:p>
        </w:tc>
      </w:tr>
      <w:tr w:rsidR="00C23B92"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rPr>
                <w:b/>
                <w:bCs/>
              </w:rPr>
            </w:pPr>
            <w:r w:rsidRPr="000911E6">
              <w:rPr>
                <w:b/>
                <w:bCs/>
              </w:rPr>
              <w:t>Rādītāji</w:t>
            </w:r>
          </w:p>
        </w:tc>
        <w:tc>
          <w:tcPr>
            <w:tcW w:w="3322" w:type="dxa"/>
            <w:gridSpan w:val="4"/>
            <w:vMerge w:val="restart"/>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2012</w:t>
            </w:r>
            <w:r w:rsidR="00C23B92" w:rsidRPr="000911E6">
              <w:rPr>
                <w:b/>
                <w:bCs/>
              </w:rPr>
              <w:t xml:space="preserve"> gads</w:t>
            </w:r>
          </w:p>
        </w:tc>
        <w:tc>
          <w:tcPr>
            <w:tcW w:w="3985" w:type="dxa"/>
            <w:gridSpan w:val="3"/>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Turpmākie trīs gadi (tūkst. latu)</w:t>
            </w:r>
          </w:p>
        </w:tc>
      </w:tr>
      <w:tr w:rsidR="00C23B92"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vMerge/>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rPr>
                <w:b/>
                <w:bCs/>
              </w:rPr>
            </w:pPr>
          </w:p>
        </w:tc>
        <w:tc>
          <w:tcPr>
            <w:tcW w:w="3322" w:type="dxa"/>
            <w:gridSpan w:val="4"/>
            <w:vMerge/>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2014</w:t>
            </w:r>
          </w:p>
        </w:tc>
        <w:tc>
          <w:tcPr>
            <w:tcW w:w="1997" w:type="dxa"/>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2015</w:t>
            </w:r>
          </w:p>
        </w:tc>
      </w:tr>
      <w:tr w:rsidR="00C23B92"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vMerge/>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rPr>
                <w:b/>
                <w:bCs/>
              </w:rPr>
            </w:pPr>
          </w:p>
        </w:tc>
        <w:tc>
          <w:tcPr>
            <w:tcW w:w="1988"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Saskaņā ar valsts budžetu kārtējam gadam</w:t>
            </w:r>
          </w:p>
        </w:tc>
        <w:tc>
          <w:tcPr>
            <w:tcW w:w="1334"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salīdzinot ar kārtējo (n) gadu</w:t>
            </w:r>
          </w:p>
        </w:tc>
        <w:tc>
          <w:tcPr>
            <w:tcW w:w="1997" w:type="dxa"/>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salīdzinot ar kārtējo (n) gadu</w:t>
            </w:r>
          </w:p>
        </w:tc>
      </w:tr>
      <w:tr w:rsidR="00C23B92"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1</w:t>
            </w:r>
          </w:p>
        </w:tc>
        <w:tc>
          <w:tcPr>
            <w:tcW w:w="1988"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2</w:t>
            </w:r>
          </w:p>
        </w:tc>
        <w:tc>
          <w:tcPr>
            <w:tcW w:w="1334"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5</w:t>
            </w:r>
          </w:p>
        </w:tc>
        <w:tc>
          <w:tcPr>
            <w:tcW w:w="1997" w:type="dxa"/>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6</w:t>
            </w:r>
          </w:p>
        </w:tc>
      </w:tr>
      <w:tr w:rsidR="00C23B92"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C23B92" w:rsidRPr="000911E6" w:rsidRDefault="00C23B92" w:rsidP="009D5D98">
            <w:pPr>
              <w:spacing w:before="100" w:beforeAutospacing="1" w:after="100" w:afterAutospacing="1"/>
            </w:pPr>
            <w:r w:rsidRPr="000911E6">
              <w:t>1. Budžeta ieņēmumi:</w:t>
            </w:r>
          </w:p>
        </w:tc>
        <w:tc>
          <w:tcPr>
            <w:tcW w:w="1988" w:type="dxa"/>
            <w:gridSpan w:val="2"/>
            <w:tcBorders>
              <w:top w:val="outset" w:sz="6" w:space="0" w:color="000000"/>
              <w:left w:val="outset" w:sz="6" w:space="0" w:color="000000"/>
              <w:bottom w:val="outset" w:sz="6" w:space="0" w:color="000000"/>
              <w:right w:val="outset" w:sz="6" w:space="0" w:color="000000"/>
            </w:tcBorders>
            <w:hideMark/>
          </w:tcPr>
          <w:p w:rsidR="00C23B92" w:rsidRPr="000911E6" w:rsidRDefault="00C45AD8" w:rsidP="00C45AD8">
            <w:pPr>
              <w:spacing w:line="360" w:lineRule="auto"/>
              <w:jc w:val="center"/>
            </w:pPr>
            <w:r>
              <w:t>67,3</w:t>
            </w:r>
          </w:p>
        </w:tc>
        <w:tc>
          <w:tcPr>
            <w:tcW w:w="1334" w:type="dxa"/>
            <w:gridSpan w:val="2"/>
            <w:tcBorders>
              <w:top w:val="outset" w:sz="6" w:space="0" w:color="000000"/>
              <w:left w:val="outset" w:sz="6" w:space="0" w:color="000000"/>
              <w:bottom w:val="outset" w:sz="6" w:space="0" w:color="000000"/>
              <w:right w:val="outset" w:sz="6" w:space="0" w:color="000000"/>
            </w:tcBorders>
            <w:hideMark/>
          </w:tcPr>
          <w:p w:rsidR="00C23B92" w:rsidRPr="000911E6" w:rsidRDefault="000C220E" w:rsidP="00C45AD8">
            <w:pPr>
              <w:spacing w:line="360" w:lineRule="auto"/>
              <w:jc w:val="center"/>
            </w:pPr>
            <w:r>
              <w:t>0,8</w:t>
            </w:r>
          </w:p>
        </w:tc>
        <w:tc>
          <w:tcPr>
            <w:tcW w:w="0" w:type="auto"/>
            <w:tcBorders>
              <w:top w:val="outset" w:sz="6" w:space="0" w:color="000000"/>
              <w:left w:val="outset" w:sz="6" w:space="0" w:color="000000"/>
              <w:bottom w:val="outset" w:sz="6" w:space="0" w:color="000000"/>
              <w:right w:val="outset" w:sz="6" w:space="0" w:color="000000"/>
            </w:tcBorders>
            <w:hideMark/>
          </w:tcPr>
          <w:p w:rsidR="00C23B92" w:rsidRPr="000911E6" w:rsidRDefault="00C45AD8" w:rsidP="00C45AD8">
            <w:pPr>
              <w:spacing w:line="360" w:lineRule="auto"/>
              <w:jc w:val="center"/>
            </w:pPr>
            <w:r>
              <w:t>2,4</w:t>
            </w:r>
          </w:p>
        </w:tc>
        <w:tc>
          <w:tcPr>
            <w:tcW w:w="0" w:type="auto"/>
            <w:tcBorders>
              <w:top w:val="outset" w:sz="6" w:space="0" w:color="000000"/>
              <w:left w:val="outset" w:sz="6" w:space="0" w:color="000000"/>
              <w:bottom w:val="outset" w:sz="6" w:space="0" w:color="000000"/>
              <w:right w:val="outset" w:sz="6" w:space="0" w:color="000000"/>
            </w:tcBorders>
            <w:hideMark/>
          </w:tcPr>
          <w:p w:rsidR="00C23B92" w:rsidRPr="000911E6" w:rsidRDefault="00C45AD8" w:rsidP="00C45AD8">
            <w:pPr>
              <w:spacing w:line="360" w:lineRule="auto"/>
              <w:jc w:val="center"/>
            </w:pPr>
            <w:r>
              <w:t>2,4</w:t>
            </w:r>
          </w:p>
        </w:tc>
        <w:tc>
          <w:tcPr>
            <w:tcW w:w="1997" w:type="dxa"/>
            <w:tcBorders>
              <w:top w:val="outset" w:sz="6" w:space="0" w:color="000000"/>
              <w:left w:val="outset" w:sz="6" w:space="0" w:color="000000"/>
              <w:bottom w:val="outset" w:sz="6" w:space="0" w:color="000000"/>
              <w:right w:val="outset" w:sz="6" w:space="0" w:color="000000"/>
            </w:tcBorders>
            <w:hideMark/>
          </w:tcPr>
          <w:p w:rsidR="00C23B92" w:rsidRPr="000911E6" w:rsidRDefault="00C45AD8" w:rsidP="00C45AD8">
            <w:pPr>
              <w:spacing w:line="360" w:lineRule="auto"/>
              <w:jc w:val="center"/>
            </w:pPr>
            <w:r>
              <w:t>2,4</w:t>
            </w:r>
          </w:p>
        </w:tc>
      </w:tr>
      <w:tr w:rsidR="00C23B92"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C23B92" w:rsidRPr="000911E6" w:rsidRDefault="00C23B92" w:rsidP="009D5D98">
            <w:pPr>
              <w:spacing w:before="100" w:beforeAutospacing="1" w:after="100" w:afterAutospacing="1"/>
            </w:pPr>
            <w:r w:rsidRPr="000911E6">
              <w:t>1.1. valsts pamatbudžets, tai skaitā ieņēmumi no maksas pakalpo-jumiem un citi pašu ieņēmumi</w:t>
            </w:r>
          </w:p>
        </w:tc>
        <w:tc>
          <w:tcPr>
            <w:tcW w:w="1988" w:type="dxa"/>
            <w:gridSpan w:val="2"/>
            <w:tcBorders>
              <w:top w:val="outset" w:sz="6" w:space="0" w:color="000000"/>
              <w:left w:val="outset" w:sz="6" w:space="0" w:color="000000"/>
              <w:bottom w:val="outset" w:sz="6" w:space="0" w:color="000000"/>
              <w:right w:val="outset" w:sz="6" w:space="0" w:color="000000"/>
            </w:tcBorders>
            <w:hideMark/>
          </w:tcPr>
          <w:p w:rsidR="00C23B92" w:rsidRPr="000911E6" w:rsidRDefault="00C45AD8" w:rsidP="00C45AD8">
            <w:pPr>
              <w:spacing w:line="360" w:lineRule="auto"/>
              <w:jc w:val="center"/>
            </w:pPr>
            <w:r>
              <w:t>67,3</w:t>
            </w:r>
          </w:p>
        </w:tc>
        <w:tc>
          <w:tcPr>
            <w:tcW w:w="1334" w:type="dxa"/>
            <w:gridSpan w:val="2"/>
            <w:tcBorders>
              <w:top w:val="outset" w:sz="6" w:space="0" w:color="000000"/>
              <w:left w:val="outset" w:sz="6" w:space="0" w:color="000000"/>
              <w:bottom w:val="outset" w:sz="6" w:space="0" w:color="000000"/>
              <w:right w:val="outset" w:sz="6" w:space="0" w:color="000000"/>
            </w:tcBorders>
            <w:hideMark/>
          </w:tcPr>
          <w:p w:rsidR="00C23B92" w:rsidRPr="000911E6" w:rsidRDefault="000C220E" w:rsidP="000C220E">
            <w:pPr>
              <w:spacing w:line="360" w:lineRule="auto"/>
              <w:jc w:val="center"/>
            </w:pPr>
            <w:r>
              <w:t>0,8</w:t>
            </w:r>
          </w:p>
        </w:tc>
        <w:tc>
          <w:tcPr>
            <w:tcW w:w="0" w:type="auto"/>
            <w:tcBorders>
              <w:top w:val="outset" w:sz="6" w:space="0" w:color="000000"/>
              <w:left w:val="outset" w:sz="6" w:space="0" w:color="000000"/>
              <w:bottom w:val="outset" w:sz="6" w:space="0" w:color="000000"/>
              <w:right w:val="outset" w:sz="6" w:space="0" w:color="000000"/>
            </w:tcBorders>
            <w:hideMark/>
          </w:tcPr>
          <w:p w:rsidR="00C23B92" w:rsidRPr="000911E6" w:rsidRDefault="00C45AD8" w:rsidP="00C45AD8">
            <w:pPr>
              <w:spacing w:line="360" w:lineRule="auto"/>
              <w:jc w:val="center"/>
            </w:pPr>
            <w:r>
              <w:t>2,4</w:t>
            </w:r>
          </w:p>
        </w:tc>
        <w:tc>
          <w:tcPr>
            <w:tcW w:w="0" w:type="auto"/>
            <w:tcBorders>
              <w:top w:val="outset" w:sz="6" w:space="0" w:color="000000"/>
              <w:left w:val="outset" w:sz="6" w:space="0" w:color="000000"/>
              <w:bottom w:val="outset" w:sz="6" w:space="0" w:color="000000"/>
              <w:right w:val="outset" w:sz="6" w:space="0" w:color="000000"/>
            </w:tcBorders>
            <w:hideMark/>
          </w:tcPr>
          <w:p w:rsidR="00C23B92" w:rsidRPr="000911E6" w:rsidRDefault="00C45AD8" w:rsidP="00C45AD8">
            <w:pPr>
              <w:spacing w:line="360" w:lineRule="auto"/>
              <w:jc w:val="center"/>
            </w:pPr>
            <w:r>
              <w:t>2,4</w:t>
            </w:r>
          </w:p>
        </w:tc>
        <w:tc>
          <w:tcPr>
            <w:tcW w:w="1997" w:type="dxa"/>
            <w:tcBorders>
              <w:top w:val="outset" w:sz="6" w:space="0" w:color="000000"/>
              <w:left w:val="outset" w:sz="6" w:space="0" w:color="000000"/>
              <w:bottom w:val="outset" w:sz="6" w:space="0" w:color="000000"/>
              <w:right w:val="outset" w:sz="6" w:space="0" w:color="000000"/>
            </w:tcBorders>
            <w:hideMark/>
          </w:tcPr>
          <w:p w:rsidR="00C23B92" w:rsidRPr="000911E6" w:rsidRDefault="00C45AD8" w:rsidP="00C45AD8">
            <w:pPr>
              <w:spacing w:line="360" w:lineRule="auto"/>
              <w:jc w:val="center"/>
            </w:pPr>
            <w:r>
              <w:t>2,4</w:t>
            </w:r>
          </w:p>
        </w:tc>
      </w:tr>
      <w:tr w:rsidR="00C23B92"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C23B92" w:rsidRPr="000911E6" w:rsidRDefault="00C23B92" w:rsidP="009D5D98">
            <w:pPr>
              <w:spacing w:before="100" w:beforeAutospacing="1" w:after="100" w:afterAutospacing="1"/>
            </w:pPr>
            <w:r w:rsidRPr="000911E6">
              <w:t>1.2. valsts speciālais budžets</w:t>
            </w:r>
          </w:p>
        </w:tc>
        <w:tc>
          <w:tcPr>
            <w:tcW w:w="1988" w:type="dxa"/>
            <w:gridSpan w:val="2"/>
            <w:tcBorders>
              <w:top w:val="outset" w:sz="6" w:space="0" w:color="000000"/>
              <w:left w:val="outset" w:sz="6" w:space="0" w:color="000000"/>
              <w:bottom w:val="outset" w:sz="6" w:space="0" w:color="000000"/>
              <w:right w:val="outset" w:sz="6" w:space="0" w:color="000000"/>
            </w:tcBorders>
            <w:hideMark/>
          </w:tcPr>
          <w:p w:rsidR="00C23B92" w:rsidRPr="000911E6" w:rsidRDefault="00C45AD8" w:rsidP="00C45AD8">
            <w:pPr>
              <w:spacing w:line="360" w:lineRule="auto"/>
              <w:jc w:val="center"/>
            </w:pPr>
            <w:r>
              <w:t>0</w:t>
            </w:r>
          </w:p>
        </w:tc>
        <w:tc>
          <w:tcPr>
            <w:tcW w:w="1334" w:type="dxa"/>
            <w:gridSpan w:val="2"/>
            <w:tcBorders>
              <w:top w:val="outset" w:sz="6" w:space="0" w:color="000000"/>
              <w:left w:val="outset" w:sz="6" w:space="0" w:color="000000"/>
              <w:bottom w:val="outset" w:sz="6" w:space="0" w:color="000000"/>
              <w:right w:val="outset" w:sz="6" w:space="0" w:color="000000"/>
            </w:tcBorders>
            <w:hideMark/>
          </w:tcPr>
          <w:p w:rsidR="00C23B92" w:rsidRPr="000911E6" w:rsidRDefault="00C45AD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C23B92" w:rsidRPr="000911E6" w:rsidRDefault="00C45AD8"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C23B92" w:rsidRPr="000911E6" w:rsidRDefault="00C45AD8" w:rsidP="00C45AD8">
            <w:pPr>
              <w:spacing w:line="360" w:lineRule="auto"/>
              <w:jc w:val="center"/>
            </w:pPr>
            <w:r>
              <w:t>0</w:t>
            </w:r>
          </w:p>
        </w:tc>
        <w:tc>
          <w:tcPr>
            <w:tcW w:w="1997" w:type="dxa"/>
            <w:tcBorders>
              <w:top w:val="outset" w:sz="6" w:space="0" w:color="000000"/>
              <w:left w:val="outset" w:sz="6" w:space="0" w:color="000000"/>
              <w:bottom w:val="outset" w:sz="6" w:space="0" w:color="000000"/>
              <w:right w:val="outset" w:sz="6" w:space="0" w:color="000000"/>
            </w:tcBorders>
            <w:hideMark/>
          </w:tcPr>
          <w:p w:rsidR="00C23B92" w:rsidRPr="000911E6" w:rsidRDefault="00C45AD8" w:rsidP="00C45AD8">
            <w:pPr>
              <w:spacing w:line="360" w:lineRule="auto"/>
              <w:jc w:val="center"/>
            </w:pPr>
            <w:r>
              <w:t>0</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1.3. pašvaldību budžets</w:t>
            </w:r>
          </w:p>
        </w:tc>
        <w:tc>
          <w:tcPr>
            <w:tcW w:w="1988"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46656D">
            <w:pPr>
              <w:spacing w:line="360" w:lineRule="auto"/>
              <w:jc w:val="center"/>
            </w:pPr>
            <w:r>
              <w:t>0</w:t>
            </w:r>
          </w:p>
        </w:tc>
        <w:tc>
          <w:tcPr>
            <w:tcW w:w="1334"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46656D">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46656D">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46656D">
            <w:pPr>
              <w:spacing w:line="360" w:lineRule="auto"/>
              <w:jc w:val="center"/>
            </w:pPr>
            <w:r>
              <w:t>0</w:t>
            </w:r>
          </w:p>
        </w:tc>
        <w:tc>
          <w:tcPr>
            <w:tcW w:w="1997" w:type="dxa"/>
            <w:tcBorders>
              <w:top w:val="outset" w:sz="6" w:space="0" w:color="000000"/>
              <w:left w:val="outset" w:sz="6" w:space="0" w:color="000000"/>
              <w:bottom w:val="outset" w:sz="6" w:space="0" w:color="000000"/>
              <w:right w:val="outset" w:sz="6" w:space="0" w:color="000000"/>
            </w:tcBorders>
            <w:hideMark/>
          </w:tcPr>
          <w:p w:rsidR="006454E1" w:rsidRPr="000911E6" w:rsidRDefault="006454E1" w:rsidP="0046656D">
            <w:pPr>
              <w:spacing w:line="360" w:lineRule="auto"/>
              <w:jc w:val="center"/>
            </w:pPr>
            <w:r>
              <w:t>0</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2. Budžeta izdevumi:</w:t>
            </w:r>
          </w:p>
        </w:tc>
        <w:tc>
          <w:tcPr>
            <w:tcW w:w="1988"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67,3</w:t>
            </w:r>
          </w:p>
        </w:tc>
        <w:tc>
          <w:tcPr>
            <w:tcW w:w="1334"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0C220E" w:rsidP="00C45AD8">
            <w:pPr>
              <w:spacing w:line="360" w:lineRule="auto"/>
              <w:jc w:val="center"/>
            </w:pPr>
            <w:r>
              <w:t>0,8</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2,4</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2,4</w:t>
            </w:r>
          </w:p>
        </w:tc>
        <w:tc>
          <w:tcPr>
            <w:tcW w:w="1997" w:type="dxa"/>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2,4</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2.1. valsts pamatbudžets</w:t>
            </w:r>
          </w:p>
        </w:tc>
        <w:tc>
          <w:tcPr>
            <w:tcW w:w="1988"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67,3</w:t>
            </w:r>
          </w:p>
        </w:tc>
        <w:tc>
          <w:tcPr>
            <w:tcW w:w="1334"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0C220E" w:rsidP="00C45AD8">
            <w:pPr>
              <w:spacing w:line="360" w:lineRule="auto"/>
              <w:jc w:val="center"/>
            </w:pPr>
            <w:r>
              <w:t>0,8</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2,4</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2,4</w:t>
            </w:r>
          </w:p>
        </w:tc>
        <w:tc>
          <w:tcPr>
            <w:tcW w:w="1997" w:type="dxa"/>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2,4</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2.2. valsts speciālais budžets</w:t>
            </w:r>
          </w:p>
        </w:tc>
        <w:tc>
          <w:tcPr>
            <w:tcW w:w="1988"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334"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997" w:type="dxa"/>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2.3. pašvaldību budžets</w:t>
            </w:r>
          </w:p>
        </w:tc>
        <w:tc>
          <w:tcPr>
            <w:tcW w:w="1988"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334"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997" w:type="dxa"/>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3. Finansiālā ietekme:</w:t>
            </w:r>
          </w:p>
        </w:tc>
        <w:tc>
          <w:tcPr>
            <w:tcW w:w="1988"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334"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997" w:type="dxa"/>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3.1. valsts pamatbudžets</w:t>
            </w:r>
          </w:p>
        </w:tc>
        <w:tc>
          <w:tcPr>
            <w:tcW w:w="1988"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334"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997" w:type="dxa"/>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3.2. speciālais budžets</w:t>
            </w:r>
          </w:p>
        </w:tc>
        <w:tc>
          <w:tcPr>
            <w:tcW w:w="1988"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334"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997" w:type="dxa"/>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3.3. pašvaldību budžets</w:t>
            </w:r>
          </w:p>
        </w:tc>
        <w:tc>
          <w:tcPr>
            <w:tcW w:w="1988"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334"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997" w:type="dxa"/>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vMerge w:val="restart"/>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4. Finanšu līdzekļi papildu izde</w:t>
            </w:r>
            <w:r w:rsidRPr="000911E6">
              <w:softHyphen/>
              <w:t>vumu finansēšanai (kompensējošu izdevumu samazinājumu norāda ar "+" zīmi)</w:t>
            </w:r>
          </w:p>
        </w:tc>
        <w:tc>
          <w:tcPr>
            <w:tcW w:w="1988" w:type="dxa"/>
            <w:gridSpan w:val="2"/>
            <w:vMerge w:val="restart"/>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before="100" w:beforeAutospacing="1" w:after="100" w:afterAutospacing="1"/>
              <w:jc w:val="center"/>
            </w:pPr>
            <w:r w:rsidRPr="000911E6">
              <w:t>X</w:t>
            </w:r>
          </w:p>
        </w:tc>
        <w:tc>
          <w:tcPr>
            <w:tcW w:w="1334"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997" w:type="dxa"/>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vMerge/>
            <w:tcBorders>
              <w:top w:val="outset" w:sz="6" w:space="0" w:color="000000"/>
              <w:left w:val="outset" w:sz="6" w:space="0" w:color="000000"/>
              <w:bottom w:val="outset" w:sz="6" w:space="0" w:color="000000"/>
              <w:right w:val="outset" w:sz="6" w:space="0" w:color="000000"/>
            </w:tcBorders>
            <w:vAlign w:val="center"/>
            <w:hideMark/>
          </w:tcPr>
          <w:p w:rsidR="006454E1" w:rsidRPr="000911E6" w:rsidRDefault="006454E1" w:rsidP="009D5D98"/>
        </w:tc>
        <w:tc>
          <w:tcPr>
            <w:tcW w:w="1988" w:type="dxa"/>
            <w:gridSpan w:val="2"/>
            <w:vMerge/>
            <w:tcBorders>
              <w:top w:val="outset" w:sz="6" w:space="0" w:color="000000"/>
              <w:left w:val="outset" w:sz="6" w:space="0" w:color="000000"/>
              <w:bottom w:val="outset" w:sz="6" w:space="0" w:color="000000"/>
              <w:right w:val="outset" w:sz="6" w:space="0" w:color="000000"/>
            </w:tcBorders>
            <w:vAlign w:val="center"/>
            <w:hideMark/>
          </w:tcPr>
          <w:p w:rsidR="006454E1" w:rsidRPr="000911E6" w:rsidRDefault="006454E1" w:rsidP="00C45AD8">
            <w:pPr>
              <w:jc w:val="center"/>
            </w:pPr>
          </w:p>
        </w:tc>
        <w:tc>
          <w:tcPr>
            <w:tcW w:w="1334"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997" w:type="dxa"/>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vMerge/>
            <w:tcBorders>
              <w:top w:val="outset" w:sz="6" w:space="0" w:color="000000"/>
              <w:left w:val="outset" w:sz="6" w:space="0" w:color="000000"/>
              <w:bottom w:val="outset" w:sz="6" w:space="0" w:color="000000"/>
              <w:right w:val="outset" w:sz="6" w:space="0" w:color="000000"/>
            </w:tcBorders>
            <w:vAlign w:val="center"/>
            <w:hideMark/>
          </w:tcPr>
          <w:p w:rsidR="006454E1" w:rsidRPr="000911E6" w:rsidRDefault="006454E1" w:rsidP="009D5D98"/>
        </w:tc>
        <w:tc>
          <w:tcPr>
            <w:tcW w:w="1988" w:type="dxa"/>
            <w:gridSpan w:val="2"/>
            <w:vMerge/>
            <w:tcBorders>
              <w:top w:val="outset" w:sz="6" w:space="0" w:color="000000"/>
              <w:left w:val="outset" w:sz="6" w:space="0" w:color="000000"/>
              <w:bottom w:val="outset" w:sz="6" w:space="0" w:color="000000"/>
              <w:right w:val="outset" w:sz="6" w:space="0" w:color="000000"/>
            </w:tcBorders>
            <w:vAlign w:val="center"/>
            <w:hideMark/>
          </w:tcPr>
          <w:p w:rsidR="006454E1" w:rsidRPr="000911E6" w:rsidRDefault="006454E1" w:rsidP="00C45AD8">
            <w:pPr>
              <w:jc w:val="center"/>
            </w:pPr>
          </w:p>
        </w:tc>
        <w:tc>
          <w:tcPr>
            <w:tcW w:w="1334"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997" w:type="dxa"/>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5. Precizēta finansiālā ietekme:</w:t>
            </w:r>
          </w:p>
        </w:tc>
        <w:tc>
          <w:tcPr>
            <w:tcW w:w="1988" w:type="dxa"/>
            <w:gridSpan w:val="2"/>
            <w:vMerge w:val="restart"/>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before="100" w:beforeAutospacing="1" w:after="100" w:afterAutospacing="1"/>
              <w:jc w:val="center"/>
            </w:pPr>
            <w:r w:rsidRPr="000911E6">
              <w:t>X</w:t>
            </w:r>
          </w:p>
        </w:tc>
        <w:tc>
          <w:tcPr>
            <w:tcW w:w="1334"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997" w:type="dxa"/>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5.1. valsts pamatbudžets</w:t>
            </w:r>
          </w:p>
        </w:tc>
        <w:tc>
          <w:tcPr>
            <w:tcW w:w="1988" w:type="dxa"/>
            <w:gridSpan w:val="2"/>
            <w:vMerge/>
            <w:tcBorders>
              <w:top w:val="outset" w:sz="6" w:space="0" w:color="000000"/>
              <w:left w:val="outset" w:sz="6" w:space="0" w:color="000000"/>
              <w:bottom w:val="outset" w:sz="6" w:space="0" w:color="000000"/>
              <w:right w:val="outset" w:sz="6" w:space="0" w:color="000000"/>
            </w:tcBorders>
            <w:vAlign w:val="center"/>
            <w:hideMark/>
          </w:tcPr>
          <w:p w:rsidR="006454E1" w:rsidRPr="000911E6" w:rsidRDefault="006454E1" w:rsidP="00C45AD8">
            <w:pPr>
              <w:jc w:val="center"/>
            </w:pPr>
          </w:p>
        </w:tc>
        <w:tc>
          <w:tcPr>
            <w:tcW w:w="1334"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997" w:type="dxa"/>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5.2. speciālais budžets</w:t>
            </w:r>
          </w:p>
        </w:tc>
        <w:tc>
          <w:tcPr>
            <w:tcW w:w="1988" w:type="dxa"/>
            <w:gridSpan w:val="2"/>
            <w:vMerge/>
            <w:tcBorders>
              <w:top w:val="outset" w:sz="6" w:space="0" w:color="000000"/>
              <w:left w:val="outset" w:sz="6" w:space="0" w:color="000000"/>
              <w:bottom w:val="outset" w:sz="6" w:space="0" w:color="000000"/>
              <w:right w:val="outset" w:sz="6" w:space="0" w:color="000000"/>
            </w:tcBorders>
            <w:vAlign w:val="center"/>
            <w:hideMark/>
          </w:tcPr>
          <w:p w:rsidR="006454E1" w:rsidRPr="000911E6" w:rsidRDefault="006454E1" w:rsidP="00C45AD8">
            <w:pPr>
              <w:jc w:val="center"/>
            </w:pPr>
          </w:p>
        </w:tc>
        <w:tc>
          <w:tcPr>
            <w:tcW w:w="1334"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997" w:type="dxa"/>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5.3. pašvaldību budžets</w:t>
            </w:r>
          </w:p>
        </w:tc>
        <w:tc>
          <w:tcPr>
            <w:tcW w:w="1988" w:type="dxa"/>
            <w:gridSpan w:val="2"/>
            <w:vMerge/>
            <w:tcBorders>
              <w:top w:val="outset" w:sz="6" w:space="0" w:color="000000"/>
              <w:left w:val="outset" w:sz="6" w:space="0" w:color="000000"/>
              <w:bottom w:val="outset" w:sz="6" w:space="0" w:color="000000"/>
              <w:right w:val="outset" w:sz="6" w:space="0" w:color="000000"/>
            </w:tcBorders>
            <w:vAlign w:val="center"/>
            <w:hideMark/>
          </w:tcPr>
          <w:p w:rsidR="006454E1" w:rsidRPr="000911E6" w:rsidRDefault="006454E1" w:rsidP="00C45AD8">
            <w:pPr>
              <w:jc w:val="center"/>
            </w:pPr>
          </w:p>
        </w:tc>
        <w:tc>
          <w:tcPr>
            <w:tcW w:w="1334" w:type="dxa"/>
            <w:gridSpan w:val="2"/>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c>
          <w:tcPr>
            <w:tcW w:w="1997" w:type="dxa"/>
            <w:tcBorders>
              <w:top w:val="outset" w:sz="6" w:space="0" w:color="000000"/>
              <w:left w:val="outset" w:sz="6" w:space="0" w:color="000000"/>
              <w:bottom w:val="outset" w:sz="6" w:space="0" w:color="000000"/>
              <w:right w:val="outset" w:sz="6" w:space="0" w:color="000000"/>
            </w:tcBorders>
            <w:hideMark/>
          </w:tcPr>
          <w:p w:rsidR="006454E1" w:rsidRPr="000911E6" w:rsidRDefault="006454E1" w:rsidP="00C45AD8">
            <w:pPr>
              <w:spacing w:line="360" w:lineRule="auto"/>
              <w:jc w:val="center"/>
            </w:pPr>
            <w:r>
              <w:t>0</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6. Detalizēts ieņēmumu un izdevu</w:t>
            </w:r>
            <w:r w:rsidRPr="000911E6">
              <w:softHyphen/>
              <w:t>mu aprēķins (ja nepieciešams, detalizētu ieņēmumu un izdevumu aprēķinu var pievienot anotācijas pielikumā):</w:t>
            </w:r>
          </w:p>
        </w:tc>
        <w:tc>
          <w:tcPr>
            <w:tcW w:w="7307" w:type="dxa"/>
            <w:gridSpan w:val="7"/>
            <w:vMerge w:val="restart"/>
            <w:tcBorders>
              <w:top w:val="outset" w:sz="6" w:space="0" w:color="000000"/>
              <w:left w:val="outset" w:sz="6" w:space="0" w:color="000000"/>
              <w:bottom w:val="outset" w:sz="6" w:space="0" w:color="000000"/>
              <w:right w:val="outset" w:sz="6" w:space="0" w:color="000000"/>
            </w:tcBorders>
            <w:vAlign w:val="center"/>
            <w:hideMark/>
          </w:tcPr>
          <w:p w:rsidR="006454E1" w:rsidRPr="00F06E12" w:rsidRDefault="006454E1" w:rsidP="000705BE">
            <w:pPr>
              <w:pStyle w:val="naiskr"/>
              <w:spacing w:before="0" w:beforeAutospacing="0" w:after="0" w:afterAutospacing="0"/>
              <w:ind w:left="113" w:right="113"/>
              <w:jc w:val="both"/>
            </w:pPr>
            <w:r w:rsidRPr="000911E6">
              <w:t> </w:t>
            </w:r>
            <w:r w:rsidRPr="00F06E12">
              <w:t xml:space="preserve">Atbilstoši likumam „Par valsts budžetu 2012.gadam” koledžas ieņēmumi no maksas pakalpojumiem un citi pašu ieņēmumi plānoti Ls 67300 (tajā skaitā no pamatbudžeta summas apakšprogrammā 03.11.00 „Koledžas”- Ls 21000 un </w:t>
            </w:r>
            <w:r w:rsidR="00457A8A">
              <w:t>apakš</w:t>
            </w:r>
            <w:r w:rsidRPr="00F06E12">
              <w:t xml:space="preserve">programmā 02.01.00 „Profesionālās izglītības programmu īstenošana”- Ls 46300) un izdevumi no maksas pakalpojumiem un citiem pašu ieņēmumiem – Ls 67300 (tajā skaitā no pamatbudžeta summas apakšprogrammā 03.11.00 „Koledžas”- Ls 21000 un </w:t>
            </w:r>
            <w:r w:rsidR="00457A8A">
              <w:t>apakš</w:t>
            </w:r>
            <w:r w:rsidRPr="00F06E12">
              <w:t>programmā 02.01.00 „Profesionālās izglītības programmu īstenošana”- Ls 46300).</w:t>
            </w:r>
          </w:p>
          <w:p w:rsidR="006454E1" w:rsidRPr="003123E0" w:rsidRDefault="006454E1" w:rsidP="000705BE">
            <w:pPr>
              <w:ind w:left="113" w:right="113"/>
              <w:jc w:val="both"/>
            </w:pPr>
            <w:r w:rsidRPr="003123E0">
              <w:t>Noteikumu projekts paredz iz</w:t>
            </w:r>
            <w:r>
              <w:t>maiņas šādiem maksas pakalpojumiem:</w:t>
            </w:r>
          </w:p>
          <w:p w:rsidR="006454E1" w:rsidRDefault="006454E1" w:rsidP="000705BE">
            <w:pPr>
              <w:ind w:left="113" w:right="113"/>
              <w:jc w:val="both"/>
            </w:pPr>
            <w:r>
              <w:t>Maksas pakalpojumu veidi:</w:t>
            </w:r>
          </w:p>
          <w:p w:rsidR="006454E1" w:rsidRPr="00382937" w:rsidRDefault="006454E1" w:rsidP="000705BE">
            <w:pPr>
              <w:pStyle w:val="BalloonText"/>
              <w:ind w:left="113" w:right="113"/>
              <w:jc w:val="both"/>
              <w:rPr>
                <w:rFonts w:ascii="Times New Roman" w:hAnsi="Times New Roman" w:cs="Times New Roman"/>
                <w:b/>
                <w:sz w:val="24"/>
                <w:szCs w:val="24"/>
              </w:rPr>
            </w:pPr>
            <w:r w:rsidRPr="00382937">
              <w:rPr>
                <w:rFonts w:ascii="Times New Roman" w:hAnsi="Times New Roman" w:cs="Times New Roman"/>
                <w:b/>
                <w:sz w:val="24"/>
                <w:szCs w:val="24"/>
              </w:rPr>
              <w:t>1.Dienesta viesnīcas pakalpojumi:</w:t>
            </w:r>
          </w:p>
          <w:p w:rsidR="006454E1" w:rsidRPr="00382937" w:rsidRDefault="006454E1" w:rsidP="000705BE">
            <w:pPr>
              <w:pStyle w:val="naiskr"/>
              <w:spacing w:before="0" w:beforeAutospacing="0" w:after="0" w:afterAutospacing="0"/>
              <w:ind w:left="113" w:right="113"/>
              <w:jc w:val="both"/>
              <w:rPr>
                <w:b/>
              </w:rPr>
            </w:pPr>
            <w:r w:rsidRPr="00382937">
              <w:rPr>
                <w:b/>
              </w:rPr>
              <w:t>1.1. īres maksa:</w:t>
            </w:r>
          </w:p>
          <w:p w:rsidR="006454E1" w:rsidRDefault="006454E1" w:rsidP="000705BE">
            <w:pPr>
              <w:pStyle w:val="naiskr"/>
              <w:spacing w:before="0" w:beforeAutospacing="0" w:after="0" w:afterAutospacing="0"/>
              <w:ind w:left="113" w:right="113"/>
              <w:jc w:val="both"/>
              <w:rPr>
                <w:b/>
              </w:rPr>
            </w:pPr>
            <w:r w:rsidRPr="00382937">
              <w:rPr>
                <w:b/>
              </w:rPr>
              <w:t>1.1.1.</w:t>
            </w:r>
            <w:r>
              <w:rPr>
                <w:b/>
              </w:rPr>
              <w:t>izglītojamiem, kas mācās vai studē budžeta grupā</w:t>
            </w:r>
          </w:p>
          <w:p w:rsidR="006454E1" w:rsidRDefault="006454E1" w:rsidP="000705BE">
            <w:pPr>
              <w:pStyle w:val="naiskr"/>
              <w:spacing w:before="0" w:beforeAutospacing="0" w:after="0" w:afterAutospacing="0"/>
              <w:ind w:left="113" w:right="113"/>
              <w:jc w:val="both"/>
              <w:rPr>
                <w:b/>
              </w:rPr>
            </w:pPr>
            <w:r>
              <w:rPr>
                <w:b/>
              </w:rPr>
              <w:t>1.1.1.1. divi īrnieki istabā</w:t>
            </w:r>
          </w:p>
          <w:p w:rsidR="006454E1" w:rsidRDefault="006454E1" w:rsidP="000705BE">
            <w:pPr>
              <w:pStyle w:val="naiskr"/>
              <w:spacing w:before="0" w:beforeAutospacing="0" w:after="0" w:afterAutospacing="0"/>
              <w:ind w:left="113" w:right="113"/>
              <w:jc w:val="both"/>
              <w:rPr>
                <w:color w:val="000000"/>
              </w:rPr>
            </w:pPr>
            <w:r>
              <w:t>Aprēķins veikts, ņemot vērā, ka i</w:t>
            </w:r>
            <w:r w:rsidRPr="005D6890">
              <w:t>zdevumi par komunālajiem pakalpojumiem (siltumenerģija, elektroenerģija, ūd</w:t>
            </w:r>
            <w:r>
              <w:t>ens un kanalizācija</w:t>
            </w:r>
            <w:r w:rsidRPr="005D6890">
              <w:t xml:space="preserve"> </w:t>
            </w:r>
            <w:r>
              <w:t>uz 1 m</w:t>
            </w:r>
            <w:r>
              <w:rPr>
                <w:vertAlign w:val="superscript"/>
              </w:rPr>
              <w:t xml:space="preserve">2 </w:t>
            </w:r>
            <w:r>
              <w:t xml:space="preserve"> ir Ls 0.98, dienesta viesnīcas istabas platība 24.18 m</w:t>
            </w:r>
            <w:r>
              <w:rPr>
                <w:vertAlign w:val="superscript"/>
              </w:rPr>
              <w:t>2</w:t>
            </w:r>
            <w:r>
              <w:t>; k</w:t>
            </w:r>
            <w:r w:rsidRPr="00177C0E">
              <w:t>ārtējā remonta un iestāžu uzturēšanas materiāli</w:t>
            </w:r>
            <w:r>
              <w:t xml:space="preserve"> (remonta, saimniecības materiālu, inventāra iegāde) uz vienu izglītojamo - Ls 2.33;</w:t>
            </w:r>
            <w:r>
              <w:rPr>
                <w:color w:val="000000"/>
              </w:rPr>
              <w:t xml:space="preserve"> nekustamā īpašuma un pamatlīdzekļu amortizācija -  Ls 0.82 uz vienu izglītojamo.</w:t>
            </w:r>
          </w:p>
          <w:p w:rsidR="006454E1" w:rsidRDefault="006454E1" w:rsidP="000705BE">
            <w:pPr>
              <w:pStyle w:val="naiskr"/>
              <w:spacing w:before="0" w:beforeAutospacing="0" w:after="0" w:afterAutospacing="0"/>
              <w:ind w:left="113" w:right="113"/>
              <w:jc w:val="both"/>
            </w:pPr>
            <w:r>
              <w:t xml:space="preserve">Prognozētie ieņēmumi (arī laika periodam no 2013.gada līdz 2015.gadam) ik gadu – Ls 3000,00; 2012.gada četros mēnešos (septembris-decembris) – Ls </w:t>
            </w:r>
            <w:r w:rsidR="006D5C88">
              <w:t>99</w:t>
            </w:r>
            <w:r>
              <w:t>0,00.</w:t>
            </w:r>
          </w:p>
          <w:p w:rsidR="006454E1" w:rsidRDefault="006454E1" w:rsidP="000705BE">
            <w:pPr>
              <w:pStyle w:val="naiskr"/>
              <w:spacing w:before="0" w:beforeAutospacing="0" w:after="0" w:afterAutospacing="0"/>
              <w:ind w:left="113" w:right="113"/>
              <w:jc w:val="both"/>
            </w:pPr>
            <w:r>
              <w:t xml:space="preserve">Mainoties pakalpojuma cenai no Ls 9,00 uz Ls 15,00, gada ieņēmumi no pakalpojuma salīdzinājumā ar budžetu kārtējam gadam palielināsies par </w:t>
            </w:r>
            <w:r w:rsidRPr="00CD3486">
              <w:rPr>
                <w:b/>
              </w:rPr>
              <w:t>Ls 1200</w:t>
            </w:r>
            <w:r>
              <w:t xml:space="preserve"> (15,00 Ls – 9,00 Ls) x 200 pak. sk.), bet 2012.gada četros mēnešos (septembris-decembris) – par </w:t>
            </w:r>
            <w:r w:rsidRPr="00CD3486">
              <w:rPr>
                <w:b/>
              </w:rPr>
              <w:t>Ls 400,00</w:t>
            </w:r>
            <w:r>
              <w:t xml:space="preserve">. </w:t>
            </w:r>
          </w:p>
          <w:p w:rsidR="006454E1" w:rsidRDefault="006454E1" w:rsidP="000705BE">
            <w:pPr>
              <w:pStyle w:val="naiskr"/>
              <w:spacing w:before="0" w:beforeAutospacing="0" w:after="0" w:afterAutospacing="0"/>
              <w:ind w:left="113" w:right="113"/>
              <w:jc w:val="both"/>
              <w:rPr>
                <w:color w:val="000000"/>
              </w:rPr>
            </w:pPr>
            <w:r>
              <w:t>Izdevumi tiek plānoti tādā pašā apmērā kā ieņēmumi.</w:t>
            </w:r>
          </w:p>
          <w:p w:rsidR="006454E1" w:rsidRDefault="006454E1" w:rsidP="000705BE">
            <w:pPr>
              <w:pStyle w:val="naiskr"/>
              <w:spacing w:before="0" w:beforeAutospacing="0" w:after="0" w:afterAutospacing="0"/>
              <w:ind w:left="113" w:right="113"/>
              <w:jc w:val="both"/>
            </w:pPr>
            <w:r w:rsidRPr="00D3190A">
              <w:t>Pakalpojuma izcenojuma aprēķins</w:t>
            </w:r>
            <w:r>
              <w:t xml:space="preserve"> pievienots anotācijas pielikumā. </w:t>
            </w:r>
          </w:p>
          <w:p w:rsidR="006454E1" w:rsidRDefault="006454E1" w:rsidP="000705BE">
            <w:pPr>
              <w:pStyle w:val="naiskr"/>
              <w:spacing w:before="0" w:beforeAutospacing="0" w:after="0" w:afterAutospacing="0"/>
              <w:ind w:left="113" w:right="113"/>
              <w:jc w:val="both"/>
              <w:rPr>
                <w:b/>
              </w:rPr>
            </w:pPr>
          </w:p>
          <w:p w:rsidR="006454E1" w:rsidRDefault="006454E1" w:rsidP="000705BE">
            <w:pPr>
              <w:pStyle w:val="naiskr"/>
              <w:spacing w:before="0" w:beforeAutospacing="0" w:after="0" w:afterAutospacing="0"/>
              <w:ind w:left="113" w:right="113"/>
              <w:jc w:val="both"/>
              <w:rPr>
                <w:b/>
              </w:rPr>
            </w:pPr>
            <w:r>
              <w:rPr>
                <w:b/>
              </w:rPr>
              <w:t>1.1.1.2. četri īrnieki istabā</w:t>
            </w:r>
          </w:p>
          <w:p w:rsidR="006454E1" w:rsidRDefault="006454E1" w:rsidP="000705BE">
            <w:pPr>
              <w:pStyle w:val="naiskr"/>
              <w:spacing w:before="0" w:beforeAutospacing="0" w:after="0" w:afterAutospacing="0"/>
              <w:ind w:left="113" w:right="113"/>
              <w:jc w:val="both"/>
              <w:rPr>
                <w:color w:val="000000"/>
              </w:rPr>
            </w:pPr>
            <w:r>
              <w:t>Aprēķins veikts, ņemot vērā, ka i</w:t>
            </w:r>
            <w:r w:rsidRPr="005D6890">
              <w:t>zdevumi par komunālajiem pakalpojumiem (siltumenerģija, elektroenerģija, ūd</w:t>
            </w:r>
            <w:r>
              <w:t>ens un kanalizācija)</w:t>
            </w:r>
            <w:r w:rsidRPr="005D6890">
              <w:t xml:space="preserve"> </w:t>
            </w:r>
            <w:r>
              <w:t>uz 1 m</w:t>
            </w:r>
            <w:r>
              <w:rPr>
                <w:vertAlign w:val="superscript"/>
              </w:rPr>
              <w:t xml:space="preserve">2 </w:t>
            </w:r>
            <w:r>
              <w:t xml:space="preserve"> ir Ls 0.98, dienesta viesnīcas istabas platība 32,04 m</w:t>
            </w:r>
            <w:r>
              <w:rPr>
                <w:vertAlign w:val="superscript"/>
              </w:rPr>
              <w:t>2</w:t>
            </w:r>
            <w:r>
              <w:t>; k</w:t>
            </w:r>
            <w:r w:rsidRPr="00177C0E">
              <w:t>ārtējā remonta un iestāžu uzturēšanas materiāli</w:t>
            </w:r>
            <w:r>
              <w:t xml:space="preserve"> (remonta, saimniecības materiālu, inventāra iegāde) uz vienu izglītojamo - Ls 1.33;</w:t>
            </w:r>
            <w:r>
              <w:rPr>
                <w:color w:val="000000"/>
              </w:rPr>
              <w:t xml:space="preserve"> nekustamā īpašuma un pamatlīdzekļu amortizācija -  Ls 0.82 uz vienu izglītojamo.</w:t>
            </w:r>
          </w:p>
          <w:p w:rsidR="006454E1" w:rsidRDefault="006454E1" w:rsidP="006906BA">
            <w:pPr>
              <w:pStyle w:val="naiskr"/>
              <w:spacing w:before="0" w:beforeAutospacing="0" w:after="0" w:afterAutospacing="0"/>
              <w:ind w:left="113" w:right="113"/>
              <w:jc w:val="both"/>
            </w:pPr>
            <w:r>
              <w:t>Prognozētie ieņēmumi (arī laika periodam no 2013.gada līdz 2015.gadam) ik gadu – Ls 10000,00; 2012.gada četros mēnešos (se</w:t>
            </w:r>
            <w:r w:rsidR="006D5C88">
              <w:t>ptembris-decembris) – Ls 33</w:t>
            </w:r>
            <w:r w:rsidR="00F06ECD">
              <w:t>3</w:t>
            </w:r>
            <w:r w:rsidR="00EE1A8A">
              <w:t>0</w:t>
            </w:r>
            <w:r w:rsidR="006D5C88">
              <w:t>,00</w:t>
            </w:r>
            <w:r>
              <w:t>.</w:t>
            </w:r>
          </w:p>
          <w:p w:rsidR="006454E1" w:rsidRDefault="006454E1" w:rsidP="00C9114B">
            <w:pPr>
              <w:pStyle w:val="naiskr"/>
              <w:spacing w:before="0" w:beforeAutospacing="0" w:after="0" w:afterAutospacing="0"/>
              <w:ind w:left="113" w:right="113"/>
              <w:jc w:val="both"/>
            </w:pPr>
            <w:r>
              <w:t xml:space="preserve">Mainoties pakalpojuma cenai no Ls 9,00 uz Ls 10,00, gada ieņēmumi no pakalpojuma salīdzinājumā ar budžetu kārtējam gadam palielināsies par </w:t>
            </w:r>
            <w:r w:rsidRPr="00CD3486">
              <w:rPr>
                <w:b/>
              </w:rPr>
              <w:t>Ls 1</w:t>
            </w:r>
            <w:r>
              <w:rPr>
                <w:b/>
              </w:rPr>
              <w:t>0</w:t>
            </w:r>
            <w:r w:rsidRPr="00CD3486">
              <w:rPr>
                <w:b/>
              </w:rPr>
              <w:t>00</w:t>
            </w:r>
            <w:r>
              <w:rPr>
                <w:b/>
              </w:rPr>
              <w:t>,00</w:t>
            </w:r>
            <w:r>
              <w:t xml:space="preserve"> (1</w:t>
            </w:r>
            <w:r w:rsidR="00457A8A">
              <w:t>0</w:t>
            </w:r>
            <w:r>
              <w:t xml:space="preserve">,00 Ls – 9,00 Ls) x 1000 pak. sk.), bet 2012.gada četros mēnešos (septembris-decembris) – par </w:t>
            </w:r>
            <w:r w:rsidRPr="00CD3486">
              <w:rPr>
                <w:b/>
              </w:rPr>
              <w:t xml:space="preserve">Ls </w:t>
            </w:r>
            <w:r>
              <w:rPr>
                <w:b/>
              </w:rPr>
              <w:t>333</w:t>
            </w:r>
            <w:r w:rsidRPr="00CD3486">
              <w:rPr>
                <w:b/>
              </w:rPr>
              <w:t>,</w:t>
            </w:r>
            <w:r>
              <w:rPr>
                <w:b/>
              </w:rPr>
              <w:t>33</w:t>
            </w:r>
            <w:r>
              <w:t xml:space="preserve">. </w:t>
            </w:r>
          </w:p>
          <w:p w:rsidR="006454E1" w:rsidRDefault="006454E1" w:rsidP="00C9114B">
            <w:pPr>
              <w:pStyle w:val="naiskr"/>
              <w:spacing w:before="0" w:beforeAutospacing="0" w:after="0" w:afterAutospacing="0"/>
              <w:ind w:left="113" w:right="113"/>
              <w:jc w:val="both"/>
              <w:rPr>
                <w:color w:val="000000"/>
              </w:rPr>
            </w:pPr>
            <w:r>
              <w:t>Izdevumi tiek plānoti tādā pašā apmērā kā ieņēmumi.</w:t>
            </w:r>
          </w:p>
          <w:p w:rsidR="006454E1" w:rsidRDefault="006454E1" w:rsidP="00C9114B">
            <w:pPr>
              <w:pStyle w:val="naiskr"/>
              <w:spacing w:before="0" w:beforeAutospacing="0" w:after="0" w:afterAutospacing="0"/>
              <w:ind w:left="113" w:right="113"/>
              <w:jc w:val="both"/>
            </w:pPr>
            <w:r w:rsidRPr="00D3190A">
              <w:t>Pakalpojuma izcenojuma aprēķins</w:t>
            </w:r>
            <w:r>
              <w:t xml:space="preserve"> pievienots anotācijas pielikumā. </w:t>
            </w:r>
          </w:p>
          <w:p w:rsidR="006454E1" w:rsidRDefault="006454E1" w:rsidP="000705BE">
            <w:pPr>
              <w:pStyle w:val="naiskr"/>
              <w:spacing w:before="0" w:beforeAutospacing="0" w:after="0" w:afterAutospacing="0"/>
              <w:ind w:left="113" w:right="113"/>
              <w:jc w:val="both"/>
              <w:rPr>
                <w:color w:val="000000"/>
              </w:rPr>
            </w:pPr>
          </w:p>
          <w:p w:rsidR="006454E1" w:rsidRPr="006C7AE7" w:rsidRDefault="006454E1" w:rsidP="000705BE">
            <w:pPr>
              <w:ind w:left="113" w:right="113"/>
              <w:jc w:val="both"/>
              <w:rPr>
                <w:b/>
              </w:rPr>
            </w:pPr>
            <w:r w:rsidRPr="006C7AE7">
              <w:rPr>
                <w:b/>
              </w:rPr>
              <w:t>3. Ar mācību procesu saistītie pakalpojumi:</w:t>
            </w:r>
          </w:p>
          <w:p w:rsidR="006454E1" w:rsidRPr="006C7AE7" w:rsidRDefault="006454E1" w:rsidP="000705BE">
            <w:pPr>
              <w:ind w:left="113" w:right="113"/>
              <w:jc w:val="both"/>
              <w:rPr>
                <w:b/>
              </w:rPr>
            </w:pPr>
            <w:r w:rsidRPr="006C7AE7">
              <w:rPr>
                <w:b/>
              </w:rPr>
              <w:t xml:space="preserve">3.1. maksājumi par akadēmisko parādu kārtošanu </w:t>
            </w:r>
          </w:p>
          <w:p w:rsidR="006454E1" w:rsidRDefault="006454E1" w:rsidP="000705BE">
            <w:pPr>
              <w:ind w:left="113" w:right="113"/>
              <w:jc w:val="both"/>
              <w:rPr>
                <w:b/>
              </w:rPr>
            </w:pPr>
            <w:r>
              <w:rPr>
                <w:b/>
              </w:rPr>
              <w:t xml:space="preserve">3.1.1. noslēguma pārbaudījums (eksāmens) </w:t>
            </w:r>
          </w:p>
          <w:p w:rsidR="006B4C1D" w:rsidRPr="00DB6F5A" w:rsidRDefault="006454E1" w:rsidP="006B4C1D">
            <w:pPr>
              <w:ind w:left="113" w:right="113"/>
              <w:jc w:val="both"/>
            </w:pPr>
            <w:r>
              <w:t>Aprēķins veikts, pieņemot, ka</w:t>
            </w:r>
            <w:r w:rsidRPr="005B3432">
              <w:t xml:space="preserve"> </w:t>
            </w:r>
            <w:r>
              <w:t xml:space="preserve">eksāmenu pieņem viens cilvēks, pakalpojuma sniegšanai patērētais laiks ir viena stunda, stundas likme </w:t>
            </w:r>
            <w:r w:rsidRPr="005B3432">
              <w:t xml:space="preserve">Ls </w:t>
            </w:r>
            <w:r w:rsidR="006B4C1D" w:rsidRPr="00DB6F5A">
              <w:t>5.238, rēķinot no lektora /docenta likmes Ls 523.80 mēnesī.(saskaņā ar Ministru kabineta 2009.gada 28.jūlija noteikumiem Nr.836 „Pedagogu darba samaksas noteikumi” un iestādē noteikto slodzi 100 stundas mēnesī)</w:t>
            </w:r>
            <w:r w:rsidR="00675C7D" w:rsidRPr="00DB6F5A">
              <w:t>.</w:t>
            </w:r>
            <w:r w:rsidR="006B4C1D" w:rsidRPr="00DB6F5A">
              <w:t xml:space="preserve"> </w:t>
            </w:r>
          </w:p>
          <w:p w:rsidR="006454E1" w:rsidRPr="00DB6F5A" w:rsidRDefault="006454E1" w:rsidP="00D513D8">
            <w:pPr>
              <w:pStyle w:val="naiskr"/>
              <w:spacing w:before="0" w:beforeAutospacing="0" w:after="0" w:afterAutospacing="0"/>
              <w:ind w:left="113" w:right="113"/>
              <w:jc w:val="both"/>
            </w:pPr>
            <w:r w:rsidRPr="00DB6F5A">
              <w:t>Prognozētie ieņēmumi (arī laika periodam no 2013.gada līdz 2015.gadam) ik gadu – Ls 130,00; 2012.gada četros mēnešos (</w:t>
            </w:r>
            <w:r w:rsidR="0034723E" w:rsidRPr="00DB6F5A">
              <w:t>septembris-decembris) – Ls 39</w:t>
            </w:r>
            <w:r w:rsidR="006D5C88" w:rsidRPr="00DB6F5A">
              <w:t>,00</w:t>
            </w:r>
            <w:r w:rsidRPr="00DB6F5A">
              <w:t>.</w:t>
            </w:r>
          </w:p>
          <w:p w:rsidR="00675C7D" w:rsidRPr="00DB6F5A" w:rsidRDefault="00675C7D" w:rsidP="00D513D8">
            <w:pPr>
              <w:pStyle w:val="naiskr"/>
              <w:spacing w:before="0" w:beforeAutospacing="0" w:after="0" w:afterAutospacing="0"/>
              <w:ind w:left="113" w:right="113"/>
              <w:jc w:val="both"/>
            </w:pPr>
          </w:p>
          <w:p w:rsidR="006454E1" w:rsidRPr="00DB6F5A" w:rsidRDefault="006454E1" w:rsidP="007E761F">
            <w:pPr>
              <w:pStyle w:val="naiskr"/>
              <w:spacing w:before="0" w:beforeAutospacing="0" w:after="0" w:afterAutospacing="0"/>
              <w:ind w:left="113" w:right="113"/>
              <w:jc w:val="both"/>
            </w:pPr>
            <w:r w:rsidRPr="00DB6F5A">
              <w:t xml:space="preserve">Mainoties pakalpojuma cenai no Ls 11,00 uz Ls 6,50, gada ieņēmumi no pakalpojuma salīdzinājumā ar budžetu kārtējam gadam samazināsies par </w:t>
            </w:r>
            <w:r w:rsidRPr="00DB6F5A">
              <w:rPr>
                <w:b/>
              </w:rPr>
              <w:t>Ls 90,00</w:t>
            </w:r>
            <w:r w:rsidRPr="00DB6F5A">
              <w:t xml:space="preserve"> (11,00 Ls – 6,50 Ls) x 20 pak. sk.), bet 2012.gada četros mēnešos (septembris-decembris) – </w:t>
            </w:r>
            <w:r w:rsidRPr="00DB6F5A">
              <w:rPr>
                <w:b/>
              </w:rPr>
              <w:t xml:space="preserve">Ls </w:t>
            </w:r>
            <w:r w:rsidR="001141C6" w:rsidRPr="00DB6F5A">
              <w:rPr>
                <w:b/>
              </w:rPr>
              <w:t>27</w:t>
            </w:r>
            <w:r w:rsidRPr="00DB6F5A">
              <w:rPr>
                <w:b/>
              </w:rPr>
              <w:t>,00</w:t>
            </w:r>
            <w:r w:rsidR="009F6DD8">
              <w:rPr>
                <w:b/>
              </w:rPr>
              <w:t xml:space="preserve"> </w:t>
            </w:r>
            <w:r w:rsidR="009F6DD8" w:rsidRPr="00DB6F5A">
              <w:t xml:space="preserve">(11,00 Ls – 6,50 Ls) x </w:t>
            </w:r>
            <w:r w:rsidR="009F6DD8">
              <w:t>6</w:t>
            </w:r>
            <w:r w:rsidR="009F6DD8" w:rsidRPr="00DB6F5A">
              <w:t xml:space="preserve"> pak. sk.)</w:t>
            </w:r>
            <w:r w:rsidRPr="00DB6F5A">
              <w:t xml:space="preserve">. </w:t>
            </w:r>
          </w:p>
          <w:p w:rsidR="006454E1" w:rsidRPr="00DB6F5A" w:rsidRDefault="006454E1" w:rsidP="007E761F">
            <w:pPr>
              <w:pStyle w:val="naiskr"/>
              <w:spacing w:before="0" w:beforeAutospacing="0" w:after="0" w:afterAutospacing="0"/>
              <w:ind w:left="113" w:right="113"/>
              <w:jc w:val="both"/>
            </w:pPr>
            <w:r w:rsidRPr="00DB6F5A">
              <w:t>Izdevumi tiek plānoti tādā pašā apmērā kā ieņēmumi.</w:t>
            </w:r>
          </w:p>
          <w:p w:rsidR="006454E1" w:rsidRPr="00DB6F5A" w:rsidRDefault="006454E1" w:rsidP="007E761F">
            <w:pPr>
              <w:pStyle w:val="naiskr"/>
              <w:spacing w:before="0" w:beforeAutospacing="0" w:after="0" w:afterAutospacing="0"/>
              <w:ind w:left="113" w:right="113"/>
              <w:jc w:val="both"/>
            </w:pPr>
            <w:r w:rsidRPr="00DB6F5A">
              <w:t xml:space="preserve">Pakalpojuma izcenojuma aprēķins pievienots anotācijas pielikumā. </w:t>
            </w:r>
          </w:p>
          <w:p w:rsidR="006454E1" w:rsidRPr="00DB6F5A" w:rsidRDefault="006454E1" w:rsidP="000705BE">
            <w:pPr>
              <w:pStyle w:val="naiskr"/>
              <w:spacing w:before="0" w:beforeAutospacing="0" w:after="0" w:afterAutospacing="0"/>
              <w:ind w:left="113" w:right="113"/>
              <w:jc w:val="both"/>
            </w:pPr>
          </w:p>
          <w:p w:rsidR="006454E1" w:rsidRPr="00DB6F5A" w:rsidRDefault="006454E1" w:rsidP="000705BE">
            <w:pPr>
              <w:ind w:left="113" w:right="113"/>
              <w:jc w:val="both"/>
              <w:rPr>
                <w:b/>
              </w:rPr>
            </w:pPr>
            <w:r w:rsidRPr="00DB6F5A">
              <w:rPr>
                <w:b/>
              </w:rPr>
              <w:t xml:space="preserve">3.1.2.   ieskaite (arī atkārtota) </w:t>
            </w:r>
          </w:p>
          <w:p w:rsidR="006B4C1D" w:rsidRPr="00DB6F5A" w:rsidRDefault="006454E1" w:rsidP="006B4C1D">
            <w:pPr>
              <w:ind w:left="113" w:right="113"/>
              <w:jc w:val="both"/>
            </w:pPr>
            <w:r w:rsidRPr="00DB6F5A">
              <w:t xml:space="preserve">Aprēķins veikts, pieņemot, ka ieskaiti pieņem viens cilvēks, pakalpojuma sniegšanai patērētais laiks ir pusstunda, stundas likme Ls </w:t>
            </w:r>
            <w:r w:rsidR="006B4C1D" w:rsidRPr="00DB6F5A">
              <w:t>5.238, rēķinot no lektora /docenta likmes Ls 523.80 mēnesī.(saskaņā ar Ministru kabineta 2009.gada 28.jūlija noteikumiem Nr.836 „Pedagogu darba samaksas noteikumi” un iestādē noteikto slodzi 100 stundas mēnesī)</w:t>
            </w:r>
          </w:p>
          <w:p w:rsidR="006454E1" w:rsidRPr="00DB6F5A" w:rsidRDefault="006454E1" w:rsidP="000705BE">
            <w:pPr>
              <w:ind w:left="113" w:right="113"/>
              <w:jc w:val="both"/>
            </w:pPr>
            <w:r w:rsidRPr="00DB6F5A">
              <w:t>.</w:t>
            </w:r>
          </w:p>
          <w:p w:rsidR="006454E1" w:rsidRPr="00DB6F5A" w:rsidRDefault="006454E1" w:rsidP="001966AA">
            <w:pPr>
              <w:pStyle w:val="naiskr"/>
              <w:spacing w:before="0" w:beforeAutospacing="0" w:after="0" w:afterAutospacing="0"/>
              <w:ind w:left="113" w:right="113"/>
              <w:jc w:val="both"/>
            </w:pPr>
            <w:r w:rsidRPr="00DB6F5A">
              <w:t xml:space="preserve">Prognozētie ieņēmumi (arī laika periodam no 2013.gada līdz 2015.gadam) ik gadu – Ls 65,00; 2012.gada četros mēnešos (septembris-decembris) – Ls </w:t>
            </w:r>
            <w:r w:rsidR="006D5C88" w:rsidRPr="00DB6F5A">
              <w:t>19,50</w:t>
            </w:r>
            <w:r w:rsidRPr="00DB6F5A">
              <w:t>.</w:t>
            </w:r>
          </w:p>
          <w:p w:rsidR="006454E1" w:rsidRPr="00382282" w:rsidRDefault="006454E1" w:rsidP="002B3484">
            <w:pPr>
              <w:pStyle w:val="naiskr"/>
              <w:spacing w:before="0" w:beforeAutospacing="0" w:after="0" w:afterAutospacing="0"/>
              <w:ind w:left="113" w:right="113"/>
              <w:jc w:val="both"/>
            </w:pPr>
            <w:r w:rsidRPr="00DB6F5A">
              <w:t xml:space="preserve">Mainoties pakalpojuma cenai no Ls 7,50 uz Ls 3,25, gada ieņēmumi no pakalpojuma salīdzinājumā ar budžetu kārtējam gadam samazināsies par </w:t>
            </w:r>
            <w:r w:rsidRPr="00DB6F5A">
              <w:rPr>
                <w:b/>
              </w:rPr>
              <w:t>Ls 85,00</w:t>
            </w:r>
            <w:r w:rsidRPr="00DB6F5A">
              <w:t xml:space="preserve"> (7,50 Ls – 3,25 Ls) x 20 pak. sk.), bet 2012.gada četros mēnešos (septembris-decembris) – </w:t>
            </w:r>
            <w:r w:rsidRPr="00DB6F5A">
              <w:rPr>
                <w:b/>
              </w:rPr>
              <w:t>Ls 2</w:t>
            </w:r>
            <w:r w:rsidR="00382282">
              <w:rPr>
                <w:b/>
              </w:rPr>
              <w:t xml:space="preserve">5,50 </w:t>
            </w:r>
            <w:r w:rsidR="00382282" w:rsidRPr="00382282">
              <w:t>(7,50 Ls – 3,25 Ls) x 6 pak.</w:t>
            </w:r>
            <w:r w:rsidR="00382282">
              <w:t xml:space="preserve"> </w:t>
            </w:r>
            <w:r w:rsidR="00382282" w:rsidRPr="00382282">
              <w:t>sk.</w:t>
            </w:r>
          </w:p>
          <w:p w:rsidR="006454E1" w:rsidRPr="00DB6F5A" w:rsidRDefault="006454E1" w:rsidP="002B3484">
            <w:pPr>
              <w:pStyle w:val="naiskr"/>
              <w:spacing w:before="0" w:beforeAutospacing="0" w:after="0" w:afterAutospacing="0"/>
              <w:ind w:left="113" w:right="113"/>
              <w:jc w:val="both"/>
            </w:pPr>
            <w:r w:rsidRPr="00DB6F5A">
              <w:t>Izdevumi tiek plānoti tādā pašā apmērā kā ieņēmumi.</w:t>
            </w:r>
          </w:p>
          <w:p w:rsidR="006454E1" w:rsidRPr="00DB6F5A" w:rsidRDefault="006454E1" w:rsidP="002B3484">
            <w:pPr>
              <w:pStyle w:val="naiskr"/>
              <w:spacing w:before="0" w:beforeAutospacing="0" w:after="0" w:afterAutospacing="0"/>
              <w:ind w:left="113" w:right="113"/>
              <w:jc w:val="both"/>
            </w:pPr>
            <w:r w:rsidRPr="00DB6F5A">
              <w:t xml:space="preserve">Pakalpojuma izcenojuma aprēķins pievienots anotācijas pielikumā. </w:t>
            </w:r>
          </w:p>
          <w:p w:rsidR="006454E1" w:rsidRPr="00DB6F5A" w:rsidRDefault="006454E1" w:rsidP="000705BE">
            <w:pPr>
              <w:ind w:left="113" w:right="113"/>
              <w:jc w:val="both"/>
            </w:pPr>
          </w:p>
          <w:p w:rsidR="006454E1" w:rsidRPr="00DB6F5A" w:rsidRDefault="006454E1" w:rsidP="000705BE">
            <w:pPr>
              <w:ind w:left="113" w:right="113"/>
              <w:jc w:val="both"/>
              <w:rPr>
                <w:b/>
              </w:rPr>
            </w:pPr>
            <w:r w:rsidRPr="00DB6F5A">
              <w:rPr>
                <w:b/>
              </w:rPr>
              <w:t xml:space="preserve">3.2. vērtējums par iepriekšējā izglītībā vai profesionālajā pieredzē sasniegto studiju rezultātu atzīšanu: </w:t>
            </w:r>
          </w:p>
          <w:p w:rsidR="006454E1" w:rsidRPr="00DB6F5A" w:rsidRDefault="006454E1" w:rsidP="000705BE">
            <w:pPr>
              <w:ind w:left="113" w:right="113"/>
              <w:jc w:val="both"/>
            </w:pPr>
            <w:r w:rsidRPr="00DB6F5A">
              <w:rPr>
                <w:b/>
              </w:rPr>
              <w:t>3.2.1. iesniegto dokumentu izvērtēšana un lēmuma sagatavošana</w:t>
            </w:r>
            <w:r w:rsidRPr="00DB6F5A">
              <w:t xml:space="preserve"> </w:t>
            </w:r>
          </w:p>
          <w:p w:rsidR="006454E1" w:rsidRPr="00DB6F5A" w:rsidRDefault="006454E1" w:rsidP="000705BE">
            <w:pPr>
              <w:ind w:left="113" w:right="113"/>
              <w:jc w:val="both"/>
            </w:pPr>
          </w:p>
          <w:p w:rsidR="006B4C1D" w:rsidRPr="00DB6F5A" w:rsidRDefault="006454E1" w:rsidP="006B4C1D">
            <w:pPr>
              <w:ind w:left="113" w:right="113"/>
              <w:jc w:val="both"/>
            </w:pPr>
            <w:r w:rsidRPr="00DB6F5A">
              <w:t xml:space="preserve">Aprēķins veikts, ņemot vērā, ka iesniegto dokumentu izvērtēšanu un lēmuma sagatavošanu veic trīs komisijas locekļi, dokumentu izvērtēšanai un lēmuma sagatavošanai katrs komisijas loceklis patērējis trīs stundas, komisijas locekļa atalgojums - </w:t>
            </w:r>
            <w:r w:rsidR="006B4C1D" w:rsidRPr="00DB6F5A">
              <w:t xml:space="preserve">Ls 2,68 stundā (algas likme Ls 452.00 mēnesī pēc Ministru kabineta 2009.gada 28.jūlija noteikumiem Nr.836 „Pedagogu darba samaksas noteikumi” un studiju daļas  vai nodaļas vadītājas noteikto slodzi 168.7 stundas mēnesī); biroja preču un biroja aprīkojuma izmaksas (papīrs, printera kasetes, dators, printeris </w:t>
            </w:r>
            <w:r w:rsidR="00700200">
              <w:t>u.c.) vienai personai ir Ls 0,55</w:t>
            </w:r>
            <w:r w:rsidR="006B4C1D" w:rsidRPr="00DB6F5A">
              <w:t>.</w:t>
            </w:r>
          </w:p>
          <w:p w:rsidR="006454E1" w:rsidRPr="00DB6F5A" w:rsidRDefault="006454E1" w:rsidP="000705BE">
            <w:pPr>
              <w:pStyle w:val="naiskr"/>
              <w:spacing w:before="0" w:beforeAutospacing="0" w:after="0" w:afterAutospacing="0"/>
              <w:ind w:left="113" w:right="113"/>
              <w:jc w:val="both"/>
            </w:pPr>
            <w:r w:rsidRPr="00DB6F5A">
              <w:t xml:space="preserve">Prognozētie ieņēmumi (arī laika periodam no 2013.gada līdz 2015.gadam) ik gadu tiek plānoti Ls </w:t>
            </w:r>
            <w:r w:rsidRPr="00DB6F5A">
              <w:rPr>
                <w:b/>
              </w:rPr>
              <w:t>152,50</w:t>
            </w:r>
            <w:r w:rsidRPr="00DB6F5A">
              <w:t>; 2012.gada četros mēnešos (septembris-decembris) – Ls</w:t>
            </w:r>
            <w:r w:rsidRPr="00DB6F5A">
              <w:rPr>
                <w:b/>
              </w:rPr>
              <w:t xml:space="preserve"> </w:t>
            </w:r>
            <w:r w:rsidR="006D5C88" w:rsidRPr="00DB6F5A">
              <w:rPr>
                <w:b/>
              </w:rPr>
              <w:t>61</w:t>
            </w:r>
            <w:r w:rsidRPr="00DB6F5A">
              <w:rPr>
                <w:b/>
              </w:rPr>
              <w:t>,</w:t>
            </w:r>
            <w:r w:rsidR="00AA0154" w:rsidRPr="00DB6F5A">
              <w:rPr>
                <w:b/>
              </w:rPr>
              <w:t>00</w:t>
            </w:r>
            <w:r w:rsidRPr="00DB6F5A">
              <w:t>. Izdevumi tiek plānoti tādā pašā apmērā kā ieņēmumi.</w:t>
            </w:r>
          </w:p>
          <w:p w:rsidR="006454E1" w:rsidRPr="00DB6F5A" w:rsidRDefault="006454E1" w:rsidP="000705BE">
            <w:pPr>
              <w:pStyle w:val="naiskr"/>
              <w:spacing w:before="0" w:beforeAutospacing="0" w:after="0" w:afterAutospacing="0"/>
              <w:ind w:left="113" w:right="113"/>
              <w:jc w:val="both"/>
            </w:pPr>
            <w:r w:rsidRPr="00DB6F5A">
              <w:t xml:space="preserve">Pakalpojuma izcenojuma aprēķins pievienots anotācijas pielikumā. </w:t>
            </w:r>
          </w:p>
          <w:p w:rsidR="006454E1" w:rsidRPr="00DB6F5A" w:rsidRDefault="006454E1" w:rsidP="000705BE">
            <w:pPr>
              <w:ind w:left="113" w:right="113"/>
              <w:jc w:val="both"/>
              <w:rPr>
                <w:b/>
              </w:rPr>
            </w:pPr>
          </w:p>
          <w:p w:rsidR="006454E1" w:rsidRPr="00DB6F5A" w:rsidRDefault="006454E1" w:rsidP="000705BE">
            <w:pPr>
              <w:ind w:left="113" w:right="113"/>
              <w:jc w:val="both"/>
              <w:rPr>
                <w:b/>
                <w:lang w:val="pt-BR"/>
              </w:rPr>
            </w:pPr>
            <w:r w:rsidRPr="00DB6F5A">
              <w:rPr>
                <w:b/>
                <w:lang w:val="pt-BR"/>
              </w:rPr>
              <w:t>3.2.2. Pārbaudījumi</w:t>
            </w:r>
          </w:p>
          <w:p w:rsidR="006454E1" w:rsidRPr="00DB6F5A" w:rsidRDefault="006454E1" w:rsidP="000705BE">
            <w:pPr>
              <w:ind w:left="113" w:right="113"/>
              <w:jc w:val="both"/>
            </w:pPr>
            <w:r w:rsidRPr="00DB6F5A">
              <w:rPr>
                <w:b/>
              </w:rPr>
              <w:t>3.2.2.1. ieskaite</w:t>
            </w:r>
            <w:r w:rsidRPr="00DB6F5A">
              <w:t xml:space="preserve">  </w:t>
            </w:r>
          </w:p>
          <w:p w:rsidR="006B4C1D" w:rsidRPr="00DB6F5A" w:rsidRDefault="006454E1" w:rsidP="006B4C1D">
            <w:pPr>
              <w:ind w:left="113" w:right="113"/>
              <w:jc w:val="both"/>
            </w:pPr>
            <w:r w:rsidRPr="00DB6F5A">
              <w:t>Aprēķins veikts, ņemot vērā, ka atalgojums pakalpojuma sniedzējam aprēķināts, pieņemot, ka ieskaiti pieņem viens cilvēks, pakalpojuma sniegšanai patērētais laiks ir 0,5 stundas, stundas likme Ls 5.2</w:t>
            </w:r>
            <w:r w:rsidR="00675C7D" w:rsidRPr="00DB6F5A">
              <w:t>38</w:t>
            </w:r>
            <w:r w:rsidRPr="00DB6F5A">
              <w:t xml:space="preserve">, rēķinot no lektora /docenta likmes Ls </w:t>
            </w:r>
            <w:r w:rsidR="006B4C1D" w:rsidRPr="00DB6F5A">
              <w:t>52</w:t>
            </w:r>
            <w:r w:rsidR="00675C7D" w:rsidRPr="00DB6F5A">
              <w:t>3,80</w:t>
            </w:r>
            <w:r w:rsidR="006B4C1D" w:rsidRPr="00DB6F5A">
              <w:t xml:space="preserve"> mēnesī (saskaņā ar Ministru kabineta 2009.gada 28.jūlija noteikumiem Nr.836 „Pedagogu darba samaksas noteikumi” un iestādē noteikto slodzi 100 stundas mēnesī) </w:t>
            </w:r>
          </w:p>
          <w:p w:rsidR="006454E1" w:rsidRPr="00DB6F5A" w:rsidRDefault="006454E1" w:rsidP="000705BE">
            <w:pPr>
              <w:ind w:left="113" w:right="113"/>
              <w:jc w:val="both"/>
            </w:pPr>
          </w:p>
          <w:p w:rsidR="006454E1" w:rsidRPr="00DB6F5A" w:rsidRDefault="006454E1" w:rsidP="000705BE">
            <w:pPr>
              <w:pStyle w:val="naiskr"/>
              <w:spacing w:before="0" w:beforeAutospacing="0" w:after="0" w:afterAutospacing="0"/>
              <w:ind w:left="113" w:right="113"/>
              <w:jc w:val="both"/>
            </w:pPr>
            <w:r w:rsidRPr="00DB6F5A">
              <w:t xml:space="preserve">Prognozētie ieņēmumi (arī laika periodam no 2013.gada līdz 2015.gadam) ik gadu tiek plānoti Ls </w:t>
            </w:r>
            <w:r w:rsidRPr="00DB6F5A">
              <w:rPr>
                <w:b/>
              </w:rPr>
              <w:t>48,75</w:t>
            </w:r>
            <w:r w:rsidRPr="00DB6F5A">
              <w:t>; 2012.gada četros mēnešos (septembris-decembris) – Ls</w:t>
            </w:r>
            <w:r w:rsidRPr="00DB6F5A">
              <w:rPr>
                <w:b/>
              </w:rPr>
              <w:t xml:space="preserve"> 16,25</w:t>
            </w:r>
            <w:r w:rsidRPr="00DB6F5A">
              <w:t>. Izdevumi tiek plānoti tādā pašā apmērā kā ieņēmumi.</w:t>
            </w:r>
          </w:p>
          <w:p w:rsidR="006454E1" w:rsidRPr="00DB6F5A" w:rsidRDefault="006454E1" w:rsidP="000705BE">
            <w:pPr>
              <w:pStyle w:val="naiskr"/>
              <w:spacing w:before="0" w:beforeAutospacing="0" w:after="0" w:afterAutospacing="0"/>
              <w:ind w:left="113" w:right="113"/>
              <w:jc w:val="both"/>
            </w:pPr>
            <w:r w:rsidRPr="00DB6F5A">
              <w:t xml:space="preserve">Pakalpojuma izcenojuma aprēķins pievienots anotācijas pielikumā. </w:t>
            </w:r>
          </w:p>
          <w:p w:rsidR="006454E1" w:rsidRPr="00DB6F5A" w:rsidRDefault="006454E1" w:rsidP="000705BE">
            <w:pPr>
              <w:ind w:left="113" w:right="113"/>
              <w:jc w:val="both"/>
              <w:rPr>
                <w:b/>
                <w:lang w:val="pt-BR"/>
              </w:rPr>
            </w:pPr>
          </w:p>
          <w:p w:rsidR="006454E1" w:rsidRPr="00DB6F5A" w:rsidRDefault="006454E1" w:rsidP="000705BE">
            <w:pPr>
              <w:ind w:left="113" w:right="113"/>
              <w:jc w:val="both"/>
            </w:pPr>
            <w:r w:rsidRPr="00DB6F5A">
              <w:rPr>
                <w:b/>
              </w:rPr>
              <w:t>3.2.2.2. eksāmens</w:t>
            </w:r>
            <w:r w:rsidRPr="00DB6F5A">
              <w:t xml:space="preserve">  </w:t>
            </w:r>
          </w:p>
          <w:p w:rsidR="006B4C1D" w:rsidRPr="00DB6F5A" w:rsidRDefault="006454E1" w:rsidP="006B4C1D">
            <w:pPr>
              <w:pStyle w:val="naiskr"/>
              <w:spacing w:before="0" w:beforeAutospacing="0" w:after="0" w:afterAutospacing="0"/>
              <w:ind w:left="113" w:right="113"/>
              <w:jc w:val="both"/>
            </w:pPr>
            <w:r w:rsidRPr="00DB6F5A">
              <w:t>Aprēķins veikts, pieņemot, ka eksāmenu pieņem viens cilvēks, pakalpojuma sniegšanai patērētais laiks ir vie</w:t>
            </w:r>
            <w:r w:rsidR="00700200">
              <w:t>na stunda, stundas likme Ls 5.238</w:t>
            </w:r>
            <w:r w:rsidRPr="00DB6F5A">
              <w:t>, rēķinot no lektora /docenta likmes Ls 52</w:t>
            </w:r>
            <w:r w:rsidR="00675C7D" w:rsidRPr="00DB6F5A">
              <w:t>3,80</w:t>
            </w:r>
            <w:r w:rsidRPr="00DB6F5A">
              <w:t xml:space="preserve"> mēnesī.</w:t>
            </w:r>
            <w:r w:rsidR="006B4C1D" w:rsidRPr="00DB6F5A">
              <w:t xml:space="preserve"> (saskaņā ar Ministru kabineta 2009.gada 28.jūlija noteikumiem Nr.836 „Pedagogu darba samaksas noteikumi” un iestādē noteikto slodzi 100 stundas mēnesī) </w:t>
            </w:r>
          </w:p>
          <w:p w:rsidR="006454E1" w:rsidRPr="00DB6F5A" w:rsidRDefault="006454E1" w:rsidP="000705BE">
            <w:pPr>
              <w:ind w:left="113" w:right="113"/>
              <w:jc w:val="both"/>
            </w:pPr>
          </w:p>
          <w:p w:rsidR="006454E1" w:rsidRPr="00DB6F5A" w:rsidRDefault="006454E1" w:rsidP="000705BE">
            <w:pPr>
              <w:pStyle w:val="naiskr"/>
              <w:spacing w:before="0" w:beforeAutospacing="0" w:after="0" w:afterAutospacing="0"/>
              <w:ind w:left="113" w:right="113"/>
              <w:jc w:val="both"/>
            </w:pPr>
            <w:r w:rsidRPr="00DB6F5A">
              <w:t xml:space="preserve">Prognozētie ieņēmumi (arī laika periodam no 2013.gada līdz 2015.gadam) ik gadu tiek plānoti Ls </w:t>
            </w:r>
            <w:r w:rsidRPr="00DB6F5A">
              <w:rPr>
                <w:b/>
              </w:rPr>
              <w:t>65,00</w:t>
            </w:r>
            <w:r w:rsidRPr="00DB6F5A">
              <w:t>; 2012.gada četros mēnešos (septembris-decembris) – Ls</w:t>
            </w:r>
            <w:r w:rsidRPr="00DB6F5A">
              <w:rPr>
                <w:b/>
              </w:rPr>
              <w:t xml:space="preserve"> </w:t>
            </w:r>
            <w:r w:rsidR="00AA0154" w:rsidRPr="00DB6F5A">
              <w:rPr>
                <w:b/>
              </w:rPr>
              <w:t>19,50</w:t>
            </w:r>
            <w:r w:rsidRPr="00DB6F5A">
              <w:t>. Izdevumi tiek plānoti tādā pašā apmērā kā ieņēmumi.</w:t>
            </w:r>
          </w:p>
          <w:p w:rsidR="006454E1" w:rsidRPr="00DB6F5A" w:rsidRDefault="006454E1" w:rsidP="000705BE">
            <w:pPr>
              <w:pStyle w:val="naiskr"/>
              <w:spacing w:before="0" w:beforeAutospacing="0" w:after="0" w:afterAutospacing="0"/>
              <w:ind w:left="113" w:right="113"/>
              <w:jc w:val="both"/>
            </w:pPr>
            <w:r w:rsidRPr="00DB6F5A">
              <w:t xml:space="preserve">Pakalpojuma izcenojuma aprēķins pievienots anotācijas pielikumā. </w:t>
            </w:r>
          </w:p>
          <w:p w:rsidR="006454E1" w:rsidRPr="00DB6F5A" w:rsidRDefault="006454E1" w:rsidP="000705BE">
            <w:pPr>
              <w:ind w:left="113" w:right="113"/>
              <w:jc w:val="both"/>
              <w:rPr>
                <w:b/>
                <w:lang w:val="pt-BR"/>
              </w:rPr>
            </w:pPr>
          </w:p>
          <w:p w:rsidR="006454E1" w:rsidRPr="00DB6F5A" w:rsidRDefault="006454E1" w:rsidP="000705BE">
            <w:pPr>
              <w:ind w:left="113" w:right="113"/>
              <w:jc w:val="both"/>
            </w:pPr>
            <w:r w:rsidRPr="00DB6F5A">
              <w:rPr>
                <w:b/>
              </w:rPr>
              <w:t>3.2.2.3. laboratorijas darbs</w:t>
            </w:r>
            <w:r w:rsidRPr="00DB6F5A">
              <w:t xml:space="preserve">  </w:t>
            </w:r>
          </w:p>
          <w:p w:rsidR="006454E1" w:rsidRPr="00DB6F5A" w:rsidRDefault="006454E1" w:rsidP="000705BE">
            <w:pPr>
              <w:ind w:left="113" w:right="113"/>
              <w:jc w:val="both"/>
            </w:pPr>
            <w:r w:rsidRPr="00DB6F5A">
              <w:t xml:space="preserve">Aprēķins veikts, pieņemot, ka laboratorijas darba pārbaudījumu pieņem viens cilvēks, pakalpojuma sniegšanai patērētais laiks ir </w:t>
            </w:r>
            <w:r w:rsidR="006B4C1D" w:rsidRPr="00DB6F5A">
              <w:t>divas stundas, stundas likme Ls 5.238, rēķinot no lektora /docenta likmes Ls 523.80 mēnesī;</w:t>
            </w:r>
            <w:r w:rsidRPr="00DB6F5A">
              <w:t xml:space="preserve"> laboratorijas darba veikšanai nepieciešamo izejvielu (ķīmisko reaģentu, laboratorijas trauku, destilētā ūdens) izmaksas – Ls 1,50.</w:t>
            </w:r>
          </w:p>
          <w:p w:rsidR="006454E1" w:rsidRPr="00DB6F5A" w:rsidRDefault="006454E1" w:rsidP="000705BE">
            <w:pPr>
              <w:pStyle w:val="naiskr"/>
              <w:spacing w:before="0" w:beforeAutospacing="0" w:after="0" w:afterAutospacing="0"/>
              <w:ind w:left="113" w:right="113"/>
              <w:jc w:val="both"/>
            </w:pPr>
            <w:r w:rsidRPr="00DB6F5A">
              <w:t xml:space="preserve">Prognozētie ieņēmumi (arī laika periodam no 2013.gada līdz 2015.gadam) ik gadu tiek plānoti Ls </w:t>
            </w:r>
            <w:r w:rsidRPr="00DB6F5A">
              <w:rPr>
                <w:b/>
              </w:rPr>
              <w:t>150,00</w:t>
            </w:r>
            <w:r w:rsidRPr="00DB6F5A">
              <w:t xml:space="preserve">; 2012.gada četros mēnešos (septembris-decembris) – Ls </w:t>
            </w:r>
            <w:r w:rsidR="00AA0154" w:rsidRPr="00DB6F5A">
              <w:rPr>
                <w:b/>
              </w:rPr>
              <w:t>45</w:t>
            </w:r>
            <w:r w:rsidRPr="00DB6F5A">
              <w:rPr>
                <w:b/>
              </w:rPr>
              <w:t>,00</w:t>
            </w:r>
            <w:r w:rsidRPr="00DB6F5A">
              <w:t>. Izdevumi tiek plānoti tādā pašā apmērā kā ieņēmumi.</w:t>
            </w:r>
          </w:p>
          <w:p w:rsidR="006454E1" w:rsidRPr="00DB6F5A" w:rsidRDefault="006454E1" w:rsidP="000705BE">
            <w:pPr>
              <w:pStyle w:val="naiskr"/>
              <w:spacing w:before="0" w:beforeAutospacing="0" w:after="0" w:afterAutospacing="0"/>
              <w:ind w:left="113" w:right="113"/>
              <w:jc w:val="both"/>
            </w:pPr>
            <w:r w:rsidRPr="00DB6F5A">
              <w:t xml:space="preserve">Pakalpojuma izcenojuma aprēķins pievienots anotācijas pielikumā. </w:t>
            </w:r>
          </w:p>
          <w:p w:rsidR="006454E1" w:rsidRPr="00DB6F5A" w:rsidRDefault="006454E1" w:rsidP="000705BE">
            <w:pPr>
              <w:ind w:left="113" w:right="113"/>
              <w:jc w:val="both"/>
            </w:pPr>
          </w:p>
          <w:p w:rsidR="006454E1" w:rsidRPr="00DB6F5A" w:rsidRDefault="006454E1" w:rsidP="000705BE">
            <w:pPr>
              <w:ind w:left="113" w:right="113"/>
              <w:jc w:val="both"/>
            </w:pPr>
            <w:r w:rsidRPr="00DB6F5A">
              <w:t xml:space="preserve">Izmaiņas ieņēmumos kārtējā gadā, salīdzinot ar budžetu kārtējam gadam (četros mēnešos) tiek plānotas Ls </w:t>
            </w:r>
            <w:r w:rsidR="001141C6" w:rsidRPr="00DB6F5A">
              <w:rPr>
                <w:b/>
              </w:rPr>
              <w:t>8</w:t>
            </w:r>
            <w:r w:rsidR="00382282">
              <w:rPr>
                <w:b/>
              </w:rPr>
              <w:t xml:space="preserve">22,58 </w:t>
            </w:r>
            <w:r w:rsidRPr="00DB6F5A">
              <w:t>apmērā, t.sk.:</w:t>
            </w:r>
          </w:p>
          <w:p w:rsidR="006454E1" w:rsidRPr="00DB6F5A" w:rsidRDefault="006454E1" w:rsidP="000705BE">
            <w:pPr>
              <w:pStyle w:val="naiskr"/>
              <w:spacing w:before="0" w:beforeAutospacing="0" w:after="0" w:afterAutospacing="0"/>
              <w:ind w:left="113" w:right="113"/>
              <w:jc w:val="both"/>
            </w:pPr>
            <w:r w:rsidRPr="00DB6F5A">
              <w:t>1.1. īres maksa:</w:t>
            </w:r>
          </w:p>
          <w:p w:rsidR="006454E1" w:rsidRPr="00DB6F5A" w:rsidRDefault="006454E1" w:rsidP="000705BE">
            <w:pPr>
              <w:pStyle w:val="naiskr"/>
              <w:spacing w:before="0" w:beforeAutospacing="0" w:after="0" w:afterAutospacing="0"/>
              <w:ind w:left="113" w:right="113"/>
              <w:jc w:val="both"/>
            </w:pPr>
            <w:r w:rsidRPr="00DB6F5A">
              <w:t>1.1.1.izglītojamiem, kas mācās vai studē budžeta grupā (lati)</w:t>
            </w:r>
          </w:p>
          <w:p w:rsidR="006454E1" w:rsidRPr="00DB6F5A" w:rsidRDefault="006454E1" w:rsidP="009D5D98">
            <w:pPr>
              <w:pStyle w:val="naiskr"/>
              <w:spacing w:before="0" w:beforeAutospacing="0" w:after="0" w:afterAutospacing="0"/>
              <w:ind w:left="113" w:right="113"/>
              <w:jc w:val="both"/>
            </w:pPr>
            <w:r w:rsidRPr="00DB6F5A">
              <w:t xml:space="preserve">1.1.1.1. divi īrnieki istabā –       +400,00 </w:t>
            </w:r>
          </w:p>
          <w:p w:rsidR="006454E1" w:rsidRPr="00DB6F5A" w:rsidRDefault="006454E1" w:rsidP="009D5D98">
            <w:pPr>
              <w:pStyle w:val="naiskr"/>
              <w:spacing w:before="0" w:beforeAutospacing="0" w:after="0" w:afterAutospacing="0"/>
              <w:ind w:left="113" w:right="113"/>
              <w:jc w:val="both"/>
            </w:pPr>
            <w:r w:rsidRPr="00DB6F5A">
              <w:t>1.1.1.2. četri īrnieki istabā –      +333,33</w:t>
            </w:r>
          </w:p>
          <w:p w:rsidR="006454E1" w:rsidRPr="00DB6F5A" w:rsidRDefault="006454E1" w:rsidP="000705BE">
            <w:pPr>
              <w:ind w:left="113" w:right="113"/>
              <w:jc w:val="both"/>
            </w:pPr>
            <w:r w:rsidRPr="00DB6F5A">
              <w:t>3.1. maksājumi par akadēmisko parādu kārtošanu  (lati)</w:t>
            </w:r>
          </w:p>
          <w:p w:rsidR="006454E1" w:rsidRPr="00DB6F5A" w:rsidRDefault="006454E1" w:rsidP="000705BE">
            <w:pPr>
              <w:ind w:left="113" w:right="113"/>
              <w:jc w:val="both"/>
            </w:pPr>
            <w:r w:rsidRPr="00DB6F5A">
              <w:t>3.1.1. noslēguma pārbaudījums (eksāmens) –   -</w:t>
            </w:r>
            <w:r w:rsidR="001141C6" w:rsidRPr="00DB6F5A">
              <w:t>27</w:t>
            </w:r>
            <w:r w:rsidRPr="00DB6F5A">
              <w:t xml:space="preserve">,00 </w:t>
            </w:r>
          </w:p>
          <w:p w:rsidR="006454E1" w:rsidRPr="00DB6F5A" w:rsidRDefault="006454E1" w:rsidP="000705BE">
            <w:pPr>
              <w:ind w:left="113" w:right="113"/>
              <w:jc w:val="both"/>
            </w:pPr>
            <w:r w:rsidRPr="00DB6F5A">
              <w:t>3.1.2.   ieskaite (arī atkārtota) –                         -2</w:t>
            </w:r>
            <w:r w:rsidR="00382282">
              <w:t>5,50</w:t>
            </w:r>
          </w:p>
          <w:p w:rsidR="006454E1" w:rsidRPr="00DB6F5A" w:rsidRDefault="006454E1" w:rsidP="000705BE">
            <w:pPr>
              <w:ind w:left="113" w:right="113"/>
              <w:jc w:val="both"/>
            </w:pPr>
            <w:r w:rsidRPr="00DB6F5A">
              <w:t xml:space="preserve">3.2. vērtējums par iepriekšējā izglītībā vai profesionālajā pieredzē sasniegto studiju rezultātu atzīšanu (lati): </w:t>
            </w:r>
          </w:p>
          <w:p w:rsidR="006454E1" w:rsidRPr="00DB6F5A" w:rsidRDefault="006454E1" w:rsidP="000705BE">
            <w:pPr>
              <w:ind w:left="113" w:right="113"/>
              <w:jc w:val="both"/>
            </w:pPr>
            <w:r w:rsidRPr="00DB6F5A">
              <w:t xml:space="preserve">3.2.1. iesniegto dokumentu izvērtēšana un lēmuma sagatavošana –                + </w:t>
            </w:r>
            <w:r w:rsidR="00AA0154" w:rsidRPr="00DB6F5A">
              <w:t>61,00</w:t>
            </w:r>
            <w:r w:rsidRPr="00DB6F5A">
              <w:t xml:space="preserve"> </w:t>
            </w:r>
          </w:p>
          <w:p w:rsidR="006454E1" w:rsidRPr="00DB6F5A" w:rsidRDefault="006454E1" w:rsidP="000705BE">
            <w:pPr>
              <w:ind w:left="113" w:right="113"/>
              <w:jc w:val="both"/>
              <w:rPr>
                <w:lang w:val="pt-BR"/>
              </w:rPr>
            </w:pPr>
            <w:r w:rsidRPr="00DB6F5A">
              <w:rPr>
                <w:lang w:val="pt-BR"/>
              </w:rPr>
              <w:t xml:space="preserve">3.2.2. pārbaudījumi </w:t>
            </w:r>
          </w:p>
          <w:p w:rsidR="006454E1" w:rsidRPr="00DB6F5A" w:rsidRDefault="006454E1" w:rsidP="000705BE">
            <w:pPr>
              <w:ind w:left="113" w:right="113"/>
              <w:jc w:val="both"/>
            </w:pPr>
            <w:r w:rsidRPr="00DB6F5A">
              <w:t xml:space="preserve">3.2.2.1. ieskaite –    </w:t>
            </w:r>
            <w:r w:rsidRPr="00DB6F5A">
              <w:rPr>
                <w:lang w:val="pt-BR"/>
              </w:rPr>
              <w:t>+16,25</w:t>
            </w:r>
            <w:r w:rsidRPr="00DB6F5A">
              <w:t xml:space="preserve">  </w:t>
            </w:r>
          </w:p>
          <w:p w:rsidR="006454E1" w:rsidRPr="00DB6F5A" w:rsidRDefault="006454E1" w:rsidP="000705BE">
            <w:pPr>
              <w:ind w:left="113" w:right="113"/>
              <w:jc w:val="both"/>
            </w:pPr>
            <w:r w:rsidRPr="00DB6F5A">
              <w:t>3.2.2.2. eksāmens – +</w:t>
            </w:r>
            <w:r w:rsidR="00AA0154" w:rsidRPr="00DB6F5A">
              <w:t>19,50</w:t>
            </w:r>
            <w:r w:rsidRPr="00DB6F5A">
              <w:t xml:space="preserve"> </w:t>
            </w:r>
          </w:p>
          <w:p w:rsidR="006454E1" w:rsidRPr="00DB6F5A" w:rsidRDefault="006454E1" w:rsidP="000705BE">
            <w:pPr>
              <w:ind w:left="113" w:right="113"/>
              <w:jc w:val="both"/>
            </w:pPr>
            <w:r w:rsidRPr="00DB6F5A">
              <w:t>3.2.2.3. laboratorijas darbs –  +</w:t>
            </w:r>
            <w:r w:rsidR="00AA0154" w:rsidRPr="00DB6F5A">
              <w:t>45</w:t>
            </w:r>
            <w:r w:rsidRPr="00DB6F5A">
              <w:t xml:space="preserve">,00. </w:t>
            </w:r>
          </w:p>
          <w:p w:rsidR="006454E1" w:rsidRPr="00DB6F5A" w:rsidRDefault="006454E1" w:rsidP="000705BE">
            <w:pPr>
              <w:ind w:left="113" w:right="113"/>
              <w:jc w:val="both"/>
            </w:pPr>
          </w:p>
          <w:p w:rsidR="006454E1" w:rsidRPr="00DB6F5A" w:rsidRDefault="006454E1" w:rsidP="000705BE">
            <w:pPr>
              <w:ind w:left="113" w:right="113"/>
              <w:jc w:val="both"/>
            </w:pPr>
            <w:r w:rsidRPr="00DB6F5A">
              <w:t xml:space="preserve">Izmaiņas ieņēmumos 2013.-2015.gadā salīdzinot ar budžetu kārtējam gadam ik gadu tiek plānotas Ls </w:t>
            </w:r>
            <w:r w:rsidRPr="00DB6F5A">
              <w:rPr>
                <w:b/>
              </w:rPr>
              <w:t>2441,25</w:t>
            </w:r>
            <w:r w:rsidRPr="00DB6F5A">
              <w:t xml:space="preserve"> apmērā, t.sk.:</w:t>
            </w:r>
          </w:p>
          <w:p w:rsidR="006454E1" w:rsidRPr="00DB6F5A" w:rsidRDefault="006454E1" w:rsidP="00070BA5">
            <w:pPr>
              <w:pStyle w:val="naiskr"/>
              <w:spacing w:before="0" w:beforeAutospacing="0" w:after="0" w:afterAutospacing="0"/>
              <w:ind w:left="113" w:right="113"/>
              <w:jc w:val="both"/>
            </w:pPr>
            <w:r w:rsidRPr="00DB6F5A">
              <w:t>1.1. īres maksa:</w:t>
            </w:r>
          </w:p>
          <w:p w:rsidR="006454E1" w:rsidRPr="00DB6F5A" w:rsidRDefault="006454E1" w:rsidP="00070BA5">
            <w:pPr>
              <w:pStyle w:val="naiskr"/>
              <w:spacing w:before="0" w:beforeAutospacing="0" w:after="0" w:afterAutospacing="0"/>
              <w:ind w:left="113" w:right="113"/>
              <w:jc w:val="both"/>
            </w:pPr>
            <w:r w:rsidRPr="00DB6F5A">
              <w:t>1.1.1.izglītojamiem, kas mācās vai studē budžeta grupā (lati)</w:t>
            </w:r>
          </w:p>
          <w:p w:rsidR="006454E1" w:rsidRPr="00DB6F5A" w:rsidRDefault="006454E1" w:rsidP="00070BA5">
            <w:pPr>
              <w:pStyle w:val="naiskr"/>
              <w:spacing w:before="0" w:beforeAutospacing="0" w:after="0" w:afterAutospacing="0"/>
              <w:ind w:left="113" w:right="113"/>
              <w:jc w:val="both"/>
            </w:pPr>
            <w:r w:rsidRPr="00DB6F5A">
              <w:t xml:space="preserve">1.1.1.1. divi īrnieki istabā –       +1200,00 </w:t>
            </w:r>
          </w:p>
          <w:p w:rsidR="006454E1" w:rsidRPr="00DB6F5A" w:rsidRDefault="006454E1" w:rsidP="00070BA5">
            <w:pPr>
              <w:pStyle w:val="naiskr"/>
              <w:spacing w:before="0" w:beforeAutospacing="0" w:after="0" w:afterAutospacing="0"/>
              <w:ind w:left="113" w:right="113"/>
              <w:jc w:val="both"/>
            </w:pPr>
            <w:r w:rsidRPr="00DB6F5A">
              <w:t>1.1.1.2. četri īrnieki istabā –      +1000,00</w:t>
            </w:r>
          </w:p>
          <w:p w:rsidR="006454E1" w:rsidRPr="00DB6F5A" w:rsidRDefault="006454E1" w:rsidP="00070BA5">
            <w:pPr>
              <w:ind w:left="113" w:right="113"/>
              <w:jc w:val="both"/>
            </w:pPr>
            <w:r w:rsidRPr="00DB6F5A">
              <w:t>3.1. maksājumi par akadēmisko parādu kārtošanu  (lati)</w:t>
            </w:r>
          </w:p>
          <w:p w:rsidR="006454E1" w:rsidRPr="00DB6F5A" w:rsidRDefault="006454E1" w:rsidP="00070BA5">
            <w:pPr>
              <w:ind w:left="113" w:right="113"/>
              <w:jc w:val="both"/>
            </w:pPr>
            <w:r w:rsidRPr="00DB6F5A">
              <w:t xml:space="preserve">3.1.1. noslēguma pārbaudījums (eksāmens) –   -90,00 </w:t>
            </w:r>
          </w:p>
          <w:p w:rsidR="006454E1" w:rsidRPr="00DB6F5A" w:rsidRDefault="006454E1" w:rsidP="00070BA5">
            <w:pPr>
              <w:ind w:left="113" w:right="113"/>
              <w:jc w:val="both"/>
            </w:pPr>
            <w:r w:rsidRPr="00DB6F5A">
              <w:t xml:space="preserve">3.1.2.   ieskaite (arī atkārtota) </w:t>
            </w:r>
            <w:r w:rsidR="005E460B">
              <w:t>–                         -85,00</w:t>
            </w:r>
          </w:p>
          <w:p w:rsidR="006454E1" w:rsidRPr="00DB6F5A" w:rsidRDefault="006454E1" w:rsidP="000705BE">
            <w:pPr>
              <w:ind w:left="113" w:right="113"/>
              <w:jc w:val="both"/>
            </w:pPr>
            <w:r w:rsidRPr="00DB6F5A">
              <w:t xml:space="preserve">3.2. vērtējums par iepriekšējā izglītībā vai profesionālajā pieredzē sasniegto studiju rezultātu atzīšanu (lati): </w:t>
            </w:r>
          </w:p>
          <w:p w:rsidR="006454E1" w:rsidRPr="00DB6F5A" w:rsidRDefault="006454E1" w:rsidP="000705BE">
            <w:pPr>
              <w:ind w:left="113" w:right="113"/>
              <w:jc w:val="both"/>
            </w:pPr>
            <w:r w:rsidRPr="00DB6F5A">
              <w:t>3.2.1. iesniegto dokumentu izvērtēšana un lēmuma sagatavošana –  +152,50</w:t>
            </w:r>
          </w:p>
          <w:p w:rsidR="006454E1" w:rsidRPr="00DB6F5A" w:rsidRDefault="006454E1" w:rsidP="000705BE">
            <w:pPr>
              <w:ind w:left="113" w:right="113"/>
              <w:jc w:val="both"/>
              <w:rPr>
                <w:lang w:val="pt-BR"/>
              </w:rPr>
            </w:pPr>
            <w:r w:rsidRPr="00DB6F5A">
              <w:rPr>
                <w:lang w:val="pt-BR"/>
              </w:rPr>
              <w:t>3.2.2. pārbaudījumi</w:t>
            </w:r>
          </w:p>
          <w:p w:rsidR="006454E1" w:rsidRPr="00DB6F5A" w:rsidRDefault="006454E1" w:rsidP="000705BE">
            <w:pPr>
              <w:ind w:left="113" w:right="113"/>
              <w:jc w:val="both"/>
            </w:pPr>
            <w:r w:rsidRPr="00DB6F5A">
              <w:t>3.2.2.1. ieskaite –   + 48,75</w:t>
            </w:r>
          </w:p>
          <w:p w:rsidR="006454E1" w:rsidRPr="00DB6F5A" w:rsidRDefault="006454E1" w:rsidP="000705BE">
            <w:pPr>
              <w:ind w:left="113" w:right="113"/>
              <w:jc w:val="both"/>
            </w:pPr>
            <w:r w:rsidRPr="00DB6F5A">
              <w:t xml:space="preserve">3.2.2.2. eksāmens   + 65,00  </w:t>
            </w:r>
          </w:p>
          <w:p w:rsidR="006454E1" w:rsidRPr="000911E6" w:rsidRDefault="006454E1" w:rsidP="000A737F">
            <w:pPr>
              <w:ind w:left="113" w:right="113"/>
              <w:jc w:val="both"/>
            </w:pPr>
            <w:r w:rsidRPr="00DB6F5A">
              <w:t>3.2.2.3. laboratorijas darbs  - +150,00.</w:t>
            </w:r>
          </w:p>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6.1. detalizēts ieņēmumu aprēķins</w:t>
            </w:r>
          </w:p>
        </w:tc>
        <w:tc>
          <w:tcPr>
            <w:tcW w:w="7307" w:type="dxa"/>
            <w:gridSpan w:val="7"/>
            <w:vMerge/>
            <w:tcBorders>
              <w:top w:val="outset" w:sz="6" w:space="0" w:color="000000"/>
              <w:left w:val="outset" w:sz="6" w:space="0" w:color="000000"/>
              <w:bottom w:val="outset" w:sz="6" w:space="0" w:color="000000"/>
              <w:right w:val="outset" w:sz="6" w:space="0" w:color="000000"/>
            </w:tcBorders>
            <w:vAlign w:val="center"/>
            <w:hideMark/>
          </w:tcPr>
          <w:p w:rsidR="006454E1" w:rsidRPr="000911E6" w:rsidRDefault="006454E1" w:rsidP="009D5D98"/>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6.2. detalizēts izdevumu aprēķins</w:t>
            </w:r>
          </w:p>
        </w:tc>
        <w:tc>
          <w:tcPr>
            <w:tcW w:w="7307" w:type="dxa"/>
            <w:gridSpan w:val="7"/>
            <w:vMerge/>
            <w:tcBorders>
              <w:top w:val="outset" w:sz="6" w:space="0" w:color="000000"/>
              <w:left w:val="outset" w:sz="6" w:space="0" w:color="000000"/>
              <w:bottom w:val="outset" w:sz="6" w:space="0" w:color="000000"/>
              <w:right w:val="outset" w:sz="6" w:space="0" w:color="000000"/>
            </w:tcBorders>
            <w:vAlign w:val="center"/>
            <w:hideMark/>
          </w:tcPr>
          <w:p w:rsidR="006454E1" w:rsidRPr="000911E6" w:rsidRDefault="006454E1" w:rsidP="009D5D98"/>
        </w:tc>
      </w:tr>
      <w:tr w:rsidR="006454E1" w:rsidRPr="000911E6" w:rsidTr="000B65D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191" w:type="dxa"/>
            <w:gridSpan w:val="3"/>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rsidRPr="000911E6">
              <w:t>7. Cita informācija</w:t>
            </w:r>
          </w:p>
        </w:tc>
        <w:tc>
          <w:tcPr>
            <w:tcW w:w="7307" w:type="dxa"/>
            <w:gridSpan w:val="7"/>
            <w:tcBorders>
              <w:top w:val="outset" w:sz="6" w:space="0" w:color="000000"/>
              <w:left w:val="outset" w:sz="6" w:space="0" w:color="000000"/>
              <w:bottom w:val="outset" w:sz="6" w:space="0" w:color="000000"/>
              <w:right w:val="outset" w:sz="6" w:space="0" w:color="000000"/>
            </w:tcBorders>
            <w:hideMark/>
          </w:tcPr>
          <w:p w:rsidR="006454E1" w:rsidRPr="000911E6" w:rsidRDefault="006454E1" w:rsidP="009D5D98">
            <w:pPr>
              <w:spacing w:before="100" w:beforeAutospacing="1" w:after="100" w:afterAutospacing="1"/>
            </w:pPr>
            <w:r>
              <w:t>Nav</w:t>
            </w:r>
          </w:p>
        </w:tc>
      </w:tr>
    </w:tbl>
    <w:p w:rsidR="00751F8C" w:rsidRDefault="00751F8C" w:rsidP="00751F8C">
      <w:pPr>
        <w:pStyle w:val="Footer"/>
        <w:tabs>
          <w:tab w:val="clear" w:pos="4153"/>
          <w:tab w:val="clear" w:pos="8306"/>
        </w:tabs>
        <w:jc w:val="both"/>
        <w:rPr>
          <w:b/>
        </w:rPr>
      </w:pPr>
    </w:p>
    <w:p w:rsidR="0075292A" w:rsidRDefault="0075292A" w:rsidP="006550B7">
      <w:pPr>
        <w:pStyle w:val="Footer"/>
        <w:tabs>
          <w:tab w:val="clear" w:pos="4153"/>
          <w:tab w:val="clear" w:pos="8306"/>
        </w:tabs>
        <w:jc w:val="both"/>
        <w:rPr>
          <w:b/>
        </w:rPr>
      </w:pPr>
    </w:p>
    <w:p w:rsidR="008D2AFA" w:rsidRDefault="001A2053" w:rsidP="006550B7">
      <w:pPr>
        <w:pStyle w:val="Footer"/>
        <w:tabs>
          <w:tab w:val="clear" w:pos="4153"/>
          <w:tab w:val="clear" w:pos="8306"/>
        </w:tabs>
        <w:jc w:val="both"/>
        <w:rPr>
          <w:b/>
        </w:rPr>
      </w:pPr>
      <w:r>
        <w:rPr>
          <w:b/>
        </w:rPr>
        <w:t xml:space="preserve">Anotācijas </w:t>
      </w:r>
      <w:r w:rsidR="008D2AFA">
        <w:rPr>
          <w:b/>
        </w:rPr>
        <w:t>IV, V un</w:t>
      </w:r>
      <w:r>
        <w:rPr>
          <w:b/>
        </w:rPr>
        <w:t xml:space="preserve"> VI sadaļa – projekts šīs jomas neskar</w:t>
      </w:r>
    </w:p>
    <w:p w:rsidR="00751F8C" w:rsidRPr="00917D09" w:rsidRDefault="00751F8C" w:rsidP="006550B7">
      <w:pPr>
        <w:pStyle w:val="Footer"/>
        <w:tabs>
          <w:tab w:val="clear" w:pos="4153"/>
          <w:tab w:val="clear" w:pos="8306"/>
        </w:tabs>
        <w:jc w:val="both"/>
        <w:rPr>
          <w:bCs/>
        </w:rPr>
      </w:pPr>
      <w:r w:rsidRPr="00917D09">
        <w:rPr>
          <w:b/>
        </w:rPr>
        <w:t xml:space="preserve"> </w:t>
      </w:r>
    </w:p>
    <w:tbl>
      <w:tblPr>
        <w:tblW w:w="5677" w:type="pct"/>
        <w:tblInd w:w="-53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77"/>
        <w:gridCol w:w="3828"/>
        <w:gridCol w:w="4894"/>
      </w:tblGrid>
      <w:tr w:rsidR="003B0609" w:rsidRPr="000911E6" w:rsidTr="000B65D6">
        <w:tc>
          <w:tcPr>
            <w:tcW w:w="5000" w:type="pct"/>
            <w:gridSpan w:val="3"/>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jc w:val="center"/>
              <w:rPr>
                <w:b/>
                <w:bCs/>
              </w:rPr>
            </w:pPr>
            <w:r w:rsidRPr="000911E6">
              <w:rPr>
                <w:b/>
                <w:bCs/>
              </w:rPr>
              <w:t>VII. Tiesību akta projekta izpildes nodrošināšana un tās ietekme uz institūcijām</w:t>
            </w:r>
          </w:p>
        </w:tc>
      </w:tr>
      <w:tr w:rsidR="003B0609" w:rsidRPr="000911E6" w:rsidTr="000B65D6">
        <w:tc>
          <w:tcPr>
            <w:tcW w:w="409" w:type="pct"/>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1.</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izpildē iesaistītās institūcijas</w:t>
            </w:r>
          </w:p>
        </w:tc>
        <w:tc>
          <w:tcPr>
            <w:tcW w:w="2576" w:type="pct"/>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Izglītības un zinātnes ministrija, Olaines Mehānikas un tehnoloģijas koledža</w:t>
            </w:r>
          </w:p>
        </w:tc>
      </w:tr>
      <w:tr w:rsidR="003B0609" w:rsidRPr="000911E6" w:rsidTr="000B65D6">
        <w:tc>
          <w:tcPr>
            <w:tcW w:w="409" w:type="pct"/>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2.</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funkcijām</w:t>
            </w:r>
          </w:p>
        </w:tc>
        <w:tc>
          <w:tcPr>
            <w:tcW w:w="2576" w:type="pct"/>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3B0609" w:rsidRPr="000911E6" w:rsidTr="000B65D6">
        <w:tc>
          <w:tcPr>
            <w:tcW w:w="409" w:type="pct"/>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3.</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institucionālo struktūru.</w:t>
            </w:r>
          </w:p>
          <w:p w:rsidR="003B0609" w:rsidRPr="000911E6" w:rsidRDefault="003B0609" w:rsidP="009D5D98">
            <w:pPr>
              <w:spacing w:before="100" w:beforeAutospacing="1" w:after="100" w:afterAutospacing="1"/>
            </w:pPr>
            <w:r w:rsidRPr="000911E6">
              <w:t>Jaunu institūciju izveide</w:t>
            </w:r>
          </w:p>
        </w:tc>
        <w:tc>
          <w:tcPr>
            <w:tcW w:w="2576" w:type="pct"/>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3B0609" w:rsidRPr="000911E6" w:rsidTr="000B65D6">
        <w:tc>
          <w:tcPr>
            <w:tcW w:w="409" w:type="pct"/>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4.</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institucionālo struktūru.</w:t>
            </w:r>
          </w:p>
          <w:p w:rsidR="003B0609" w:rsidRPr="000911E6" w:rsidRDefault="003B0609" w:rsidP="009D5D98">
            <w:pPr>
              <w:spacing w:before="100" w:beforeAutospacing="1" w:after="100" w:afterAutospacing="1"/>
            </w:pPr>
            <w:r w:rsidRPr="000911E6">
              <w:t>Esošu institūciju likvidācija</w:t>
            </w:r>
          </w:p>
        </w:tc>
        <w:tc>
          <w:tcPr>
            <w:tcW w:w="2576" w:type="pct"/>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3B0609" w:rsidRPr="000911E6" w:rsidTr="000B65D6">
        <w:tc>
          <w:tcPr>
            <w:tcW w:w="409" w:type="pct"/>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5.</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institucionālo struktūru.</w:t>
            </w:r>
          </w:p>
          <w:p w:rsidR="003B0609" w:rsidRPr="000911E6" w:rsidRDefault="003B0609" w:rsidP="009D5D98">
            <w:pPr>
              <w:spacing w:before="100" w:beforeAutospacing="1" w:after="100" w:afterAutospacing="1"/>
            </w:pPr>
            <w:r w:rsidRPr="000911E6">
              <w:t>Esošu institūciju reorganizācija</w:t>
            </w:r>
          </w:p>
        </w:tc>
        <w:tc>
          <w:tcPr>
            <w:tcW w:w="2576" w:type="pct"/>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3B0609" w:rsidRPr="000911E6" w:rsidTr="000B65D6">
        <w:tc>
          <w:tcPr>
            <w:tcW w:w="409" w:type="pct"/>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6.</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Cita informācija</w:t>
            </w:r>
          </w:p>
        </w:tc>
        <w:tc>
          <w:tcPr>
            <w:tcW w:w="2576" w:type="pct"/>
            <w:tcBorders>
              <w:top w:val="outset" w:sz="6" w:space="0" w:color="000000"/>
              <w:left w:val="outset" w:sz="6" w:space="0" w:color="000000"/>
              <w:bottom w:val="outset" w:sz="6" w:space="0" w:color="000000"/>
              <w:right w:val="outset" w:sz="6" w:space="0" w:color="000000"/>
            </w:tcBorders>
            <w:hideMark/>
          </w:tcPr>
          <w:p w:rsidR="003B0609" w:rsidRPr="000911E6" w:rsidRDefault="00A16DC7" w:rsidP="00C568E6">
            <w:pPr>
              <w:spacing w:before="100" w:beforeAutospacing="1" w:after="100" w:afterAutospacing="1"/>
            </w:pPr>
            <w:r w:rsidRPr="000911E6">
              <w:t xml:space="preserve">Nav </w:t>
            </w:r>
          </w:p>
        </w:tc>
      </w:tr>
    </w:tbl>
    <w:p w:rsidR="00751F8C" w:rsidRDefault="00751F8C" w:rsidP="00751F8C">
      <w:pPr>
        <w:jc w:val="both"/>
        <w:rPr>
          <w:bCs/>
        </w:rPr>
      </w:pPr>
    </w:p>
    <w:p w:rsidR="008A3DFF" w:rsidRDefault="008A3DFF" w:rsidP="008A3DFF">
      <w:pPr>
        <w:rPr>
          <w:sz w:val="28"/>
          <w:szCs w:val="28"/>
        </w:rPr>
      </w:pPr>
    </w:p>
    <w:p w:rsidR="008A3DFF" w:rsidRDefault="008A3DFF" w:rsidP="008A3DFF">
      <w:pPr>
        <w:rPr>
          <w:sz w:val="28"/>
          <w:szCs w:val="28"/>
        </w:rPr>
      </w:pPr>
    </w:p>
    <w:p w:rsidR="008A3DFF" w:rsidRPr="00C440B7" w:rsidRDefault="008A3DFF" w:rsidP="008A3DFF">
      <w:pPr>
        <w:rPr>
          <w:sz w:val="28"/>
          <w:szCs w:val="28"/>
        </w:rPr>
      </w:pPr>
      <w:r w:rsidRPr="00C440B7">
        <w:rPr>
          <w:sz w:val="28"/>
          <w:szCs w:val="28"/>
        </w:rPr>
        <w:t>Veselības ministre,</w:t>
      </w:r>
    </w:p>
    <w:p w:rsidR="008A3DFF" w:rsidRPr="00BF7D4C" w:rsidRDefault="008A3DFF" w:rsidP="008A3DFF">
      <w:pPr>
        <w:jc w:val="both"/>
        <w:rPr>
          <w:sz w:val="28"/>
          <w:szCs w:val="28"/>
        </w:rPr>
      </w:pPr>
      <w:r w:rsidRPr="00C440B7">
        <w:rPr>
          <w:sz w:val="28"/>
          <w:szCs w:val="28"/>
        </w:rPr>
        <w:t xml:space="preserve">izglītības un zinātnes ministra pienākumu izpildītāja   </w:t>
      </w:r>
      <w:r>
        <w:rPr>
          <w:sz w:val="28"/>
          <w:szCs w:val="28"/>
        </w:rPr>
        <w:t xml:space="preserve">                 </w:t>
      </w:r>
      <w:r w:rsidRPr="00C440B7">
        <w:rPr>
          <w:sz w:val="28"/>
          <w:szCs w:val="28"/>
        </w:rPr>
        <w:t>I.Circene</w:t>
      </w:r>
      <w:r>
        <w:rPr>
          <w:bCs/>
          <w:sz w:val="28"/>
          <w:szCs w:val="28"/>
        </w:rPr>
        <w:t xml:space="preserve"> </w:t>
      </w:r>
    </w:p>
    <w:p w:rsidR="008A3DFF" w:rsidRDefault="008A3DFF" w:rsidP="008A3DFF">
      <w:pPr>
        <w:ind w:firstLine="709"/>
        <w:rPr>
          <w:szCs w:val="28"/>
        </w:rPr>
      </w:pPr>
    </w:p>
    <w:p w:rsidR="008A3DFF" w:rsidRPr="00BF7D4C" w:rsidRDefault="008A3DFF" w:rsidP="008A3DFF">
      <w:pPr>
        <w:jc w:val="both"/>
        <w:rPr>
          <w:bCs/>
          <w:sz w:val="28"/>
          <w:szCs w:val="28"/>
        </w:rPr>
      </w:pPr>
    </w:p>
    <w:p w:rsidR="008A3DFF" w:rsidRPr="00C440B7" w:rsidRDefault="008A3DFF" w:rsidP="008A3DFF">
      <w:pPr>
        <w:autoSpaceDE w:val="0"/>
        <w:autoSpaceDN w:val="0"/>
        <w:adjustRightInd w:val="0"/>
        <w:rPr>
          <w:color w:val="000000"/>
          <w:sz w:val="28"/>
          <w:szCs w:val="28"/>
        </w:rPr>
      </w:pPr>
      <w:r>
        <w:rPr>
          <w:sz w:val="28"/>
          <w:szCs w:val="28"/>
        </w:rPr>
        <w:t>V</w:t>
      </w:r>
      <w:r w:rsidRPr="00C440B7">
        <w:rPr>
          <w:sz w:val="28"/>
          <w:szCs w:val="28"/>
        </w:rPr>
        <w:t xml:space="preserve">izē: </w:t>
      </w:r>
      <w:r w:rsidRPr="00C440B7">
        <w:rPr>
          <w:color w:val="000000"/>
          <w:sz w:val="28"/>
          <w:szCs w:val="28"/>
        </w:rPr>
        <w:t xml:space="preserve">Nodrošinājuma un finanšu departamenta  </w:t>
      </w:r>
    </w:p>
    <w:p w:rsidR="008A3DFF" w:rsidRPr="00C440B7" w:rsidRDefault="008A3DFF" w:rsidP="008A3DFF">
      <w:pPr>
        <w:autoSpaceDE w:val="0"/>
        <w:autoSpaceDN w:val="0"/>
        <w:adjustRightInd w:val="0"/>
        <w:rPr>
          <w:color w:val="000000"/>
          <w:sz w:val="28"/>
          <w:szCs w:val="28"/>
        </w:rPr>
      </w:pPr>
      <w:r>
        <w:rPr>
          <w:color w:val="000000"/>
          <w:sz w:val="28"/>
          <w:szCs w:val="28"/>
        </w:rPr>
        <w:t xml:space="preserve">          </w:t>
      </w:r>
      <w:r w:rsidRPr="00C440B7">
        <w:rPr>
          <w:color w:val="000000"/>
          <w:sz w:val="28"/>
          <w:szCs w:val="28"/>
        </w:rPr>
        <w:t xml:space="preserve">direktora vietniece nodrošinājuma jomā, </w:t>
      </w:r>
    </w:p>
    <w:p w:rsidR="008A3DFF" w:rsidRPr="00C440B7" w:rsidRDefault="008A3DFF" w:rsidP="008A3DFF">
      <w:pPr>
        <w:autoSpaceDE w:val="0"/>
        <w:autoSpaceDN w:val="0"/>
        <w:adjustRightInd w:val="0"/>
        <w:rPr>
          <w:color w:val="000000"/>
          <w:sz w:val="28"/>
          <w:szCs w:val="28"/>
        </w:rPr>
      </w:pPr>
      <w:r>
        <w:rPr>
          <w:color w:val="000000"/>
          <w:sz w:val="28"/>
          <w:szCs w:val="28"/>
        </w:rPr>
        <w:t xml:space="preserve">           </w:t>
      </w:r>
      <w:r w:rsidRPr="00C440B7">
        <w:rPr>
          <w:color w:val="000000"/>
          <w:sz w:val="28"/>
          <w:szCs w:val="28"/>
        </w:rPr>
        <w:t>valsts sekretāra pienākumu izpildītāja                   </w:t>
      </w:r>
      <w:r>
        <w:rPr>
          <w:color w:val="000000"/>
          <w:sz w:val="28"/>
          <w:szCs w:val="28"/>
        </w:rPr>
        <w:t xml:space="preserve">            </w:t>
      </w:r>
      <w:r w:rsidRPr="00C440B7">
        <w:rPr>
          <w:color w:val="000000"/>
          <w:sz w:val="28"/>
          <w:szCs w:val="28"/>
        </w:rPr>
        <w:t>   </w:t>
      </w:r>
      <w:proofErr w:type="spellStart"/>
      <w:r w:rsidRPr="00C440B7">
        <w:rPr>
          <w:color w:val="000000"/>
          <w:sz w:val="28"/>
          <w:szCs w:val="28"/>
        </w:rPr>
        <w:t>S.Sidiki</w:t>
      </w:r>
      <w:proofErr w:type="spellEnd"/>
      <w:r w:rsidRPr="00C440B7">
        <w:rPr>
          <w:color w:val="000000"/>
          <w:sz w:val="28"/>
          <w:szCs w:val="28"/>
        </w:rPr>
        <w:t xml:space="preserve"> </w:t>
      </w:r>
    </w:p>
    <w:p w:rsidR="00CA0607" w:rsidRDefault="00CA0607" w:rsidP="00C94A7E">
      <w:pPr>
        <w:rPr>
          <w:sz w:val="26"/>
          <w:szCs w:val="26"/>
        </w:rPr>
      </w:pPr>
    </w:p>
    <w:p w:rsidR="00CA0607" w:rsidRDefault="00CA0607" w:rsidP="00C94A7E">
      <w:pPr>
        <w:rPr>
          <w:sz w:val="26"/>
          <w:szCs w:val="26"/>
        </w:rPr>
      </w:pPr>
    </w:p>
    <w:p w:rsidR="00CA0607" w:rsidRDefault="00CA0607" w:rsidP="00C94A7E">
      <w:pPr>
        <w:rPr>
          <w:sz w:val="26"/>
          <w:szCs w:val="26"/>
        </w:rPr>
      </w:pPr>
    </w:p>
    <w:p w:rsidR="00CA0607" w:rsidRDefault="00CA0607" w:rsidP="00C94A7E">
      <w:pPr>
        <w:rPr>
          <w:sz w:val="26"/>
          <w:szCs w:val="26"/>
        </w:rPr>
      </w:pPr>
    </w:p>
    <w:p w:rsidR="00CA0607" w:rsidRPr="00DF0865" w:rsidRDefault="00CA0607" w:rsidP="00C94A7E">
      <w:pPr>
        <w:rPr>
          <w:sz w:val="26"/>
          <w:szCs w:val="26"/>
        </w:rPr>
      </w:pPr>
    </w:p>
    <w:p w:rsidR="008D2AFA" w:rsidRPr="00DF0865" w:rsidRDefault="008A3DFF" w:rsidP="008D2AFA">
      <w:pPr>
        <w:ind w:firstLine="720"/>
        <w:outlineLvl w:val="0"/>
        <w:rPr>
          <w:sz w:val="22"/>
          <w:szCs w:val="22"/>
        </w:rPr>
      </w:pPr>
      <w:r>
        <w:rPr>
          <w:sz w:val="22"/>
          <w:szCs w:val="22"/>
        </w:rPr>
        <w:t>19.07</w:t>
      </w:r>
      <w:r w:rsidR="008D2AFA">
        <w:rPr>
          <w:sz w:val="22"/>
          <w:szCs w:val="22"/>
        </w:rPr>
        <w:t>.2012</w:t>
      </w:r>
      <w:r w:rsidR="008D2AFA" w:rsidRPr="00DF0865">
        <w:rPr>
          <w:sz w:val="22"/>
          <w:szCs w:val="22"/>
        </w:rPr>
        <w:t xml:space="preserve">. </w:t>
      </w:r>
      <w:r>
        <w:rPr>
          <w:sz w:val="22"/>
          <w:szCs w:val="22"/>
        </w:rPr>
        <w:t>11:05</w:t>
      </w:r>
    </w:p>
    <w:p w:rsidR="008D2AFA" w:rsidRDefault="008A3DFF" w:rsidP="008D2AFA">
      <w:pPr>
        <w:pStyle w:val="NoSpacing"/>
        <w:ind w:firstLine="720"/>
        <w:rPr>
          <w:sz w:val="20"/>
          <w:szCs w:val="20"/>
        </w:rPr>
      </w:pPr>
      <w:r>
        <w:rPr>
          <w:sz w:val="20"/>
          <w:szCs w:val="20"/>
        </w:rPr>
        <w:t>2591</w:t>
      </w:r>
    </w:p>
    <w:p w:rsidR="008D2AFA" w:rsidRDefault="008D2AFA" w:rsidP="008D2AFA">
      <w:pPr>
        <w:pStyle w:val="NoSpacing"/>
        <w:ind w:firstLine="720"/>
        <w:rPr>
          <w:sz w:val="20"/>
          <w:szCs w:val="20"/>
        </w:rPr>
      </w:pPr>
      <w:r>
        <w:rPr>
          <w:sz w:val="20"/>
          <w:szCs w:val="20"/>
        </w:rPr>
        <w:t>I.Rotberga, 67047824</w:t>
      </w:r>
    </w:p>
    <w:p w:rsidR="008D2AFA" w:rsidRDefault="008D2AFA" w:rsidP="008D2AFA">
      <w:pPr>
        <w:pStyle w:val="NoSpacing"/>
        <w:ind w:firstLine="720"/>
      </w:pPr>
      <w:r>
        <w:rPr>
          <w:sz w:val="20"/>
          <w:szCs w:val="20"/>
        </w:rPr>
        <w:t>Izolde.rotberga@izm.gov.lv</w:t>
      </w:r>
    </w:p>
    <w:p w:rsidR="008D2AFA" w:rsidRDefault="008D2AFA" w:rsidP="008D2AFA">
      <w:pPr>
        <w:ind w:firstLine="709"/>
      </w:pPr>
    </w:p>
    <w:sectPr w:rsidR="008D2AFA" w:rsidSect="004050AB">
      <w:headerReference w:type="default" r:id="rId8"/>
      <w:footerReference w:type="default" r:id="rId9"/>
      <w:footerReference w:type="first" r:id="rId10"/>
      <w:pgSz w:w="11906" w:h="16838"/>
      <w:pgMar w:top="1440" w:right="1800" w:bottom="1440" w:left="1800"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11" w:rsidRDefault="00C00411" w:rsidP="00F450E7">
      <w:r>
        <w:separator/>
      </w:r>
    </w:p>
  </w:endnote>
  <w:endnote w:type="continuationSeparator" w:id="0">
    <w:p w:rsidR="00C00411" w:rsidRDefault="00C00411" w:rsidP="00F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98" w:rsidRPr="000B65D6" w:rsidRDefault="008A3DFF" w:rsidP="000B65D6">
    <w:pPr>
      <w:pStyle w:val="Footer"/>
      <w:tabs>
        <w:tab w:val="clear" w:pos="8306"/>
        <w:tab w:val="right" w:pos="8931"/>
      </w:tabs>
      <w:ind w:right="-625"/>
      <w:jc w:val="both"/>
    </w:pPr>
    <w:r>
      <w:t>IZMAnot_1907</w:t>
    </w:r>
    <w:r w:rsidR="009D5D98" w:rsidRPr="000B65D6">
      <w:t>12_OMTK_CRgr; Ministru kabineta noteikumu „Grozījums Ministru kabineta 2009.gada 15.decembra noteikumos Nr.1436 „Noteikumi par Olaines Mehānikas un tehnoloģijas koledžas sniegto maksas pakalpojumu cenrādi””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98" w:rsidRPr="00F67CB8" w:rsidRDefault="009D5D98" w:rsidP="009D1BBE">
    <w:pPr>
      <w:pStyle w:val="Footer"/>
      <w:tabs>
        <w:tab w:val="clear" w:pos="8306"/>
        <w:tab w:val="right" w:pos="8931"/>
      </w:tabs>
      <w:ind w:right="-625"/>
      <w:jc w:val="both"/>
    </w:pPr>
    <w:r w:rsidRPr="00BF7D4C">
      <w:t>IZMAnot_</w:t>
    </w:r>
    <w:r w:rsidR="008A3DFF">
      <w:t>1907</w:t>
    </w:r>
    <w:r w:rsidRPr="00BF7D4C">
      <w:t xml:space="preserve">12_OMTK_CRgr; Ministru kabineta noteikumu </w:t>
    </w:r>
    <w:r>
      <w:t>„</w:t>
    </w:r>
    <w:r w:rsidRPr="00F67CB8">
      <w:t xml:space="preserve">Grozījums Ministru </w:t>
    </w:r>
    <w:r>
      <w:t xml:space="preserve">kabineta </w:t>
    </w:r>
    <w:r w:rsidRPr="00F67CB8">
      <w:t>2009.gad</w:t>
    </w:r>
    <w:r>
      <w:t>a 15.decembra noteikumos Nr.1436</w:t>
    </w:r>
    <w:r w:rsidRPr="00F67CB8">
      <w:t xml:space="preserve"> „Noteikumi par </w:t>
    </w:r>
    <w:r>
      <w:t>Olaines Mehānikas un tehnoloģijas koledžas</w:t>
    </w:r>
    <w:r w:rsidRPr="00F67CB8">
      <w:t xml:space="preserve"> sniegto maksas </w:t>
    </w:r>
    <w:r>
      <w:t>p</w:t>
    </w:r>
    <w:r w:rsidRPr="00F67CB8">
      <w:t>akalpojumu cenrādi”</w:t>
    </w:r>
    <w:r>
      <w:t>” projekta sākotnējās ietekmes novērtējuma ziņojums (anotācija)</w:t>
    </w:r>
  </w:p>
  <w:p w:rsidR="009D5D98" w:rsidRPr="00C90504" w:rsidRDefault="009D5D98" w:rsidP="006272AD">
    <w:pPr>
      <w:jc w:val="both"/>
      <w:rPr>
        <w:sz w:val="20"/>
        <w:szCs w:val="20"/>
      </w:rPr>
    </w:pPr>
  </w:p>
  <w:p w:rsidR="009D5D98" w:rsidRPr="005C6650" w:rsidRDefault="009D5D98" w:rsidP="005C6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11" w:rsidRDefault="00C00411" w:rsidP="00F450E7">
      <w:r>
        <w:separator/>
      </w:r>
    </w:p>
  </w:footnote>
  <w:footnote w:type="continuationSeparator" w:id="0">
    <w:p w:rsidR="00C00411" w:rsidRDefault="00C00411" w:rsidP="00F4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98" w:rsidRDefault="00C00411">
    <w:pPr>
      <w:pStyle w:val="Header"/>
      <w:jc w:val="center"/>
    </w:pPr>
    <w:r>
      <w:fldChar w:fldCharType="begin"/>
    </w:r>
    <w:r>
      <w:instrText xml:space="preserve"> PAGE   \* MERGEFORMAT </w:instrText>
    </w:r>
    <w:r>
      <w:fldChar w:fldCharType="separate"/>
    </w:r>
    <w:r w:rsidR="004050AB">
      <w:rPr>
        <w:noProof/>
      </w:rPr>
      <w:t>10</w:t>
    </w:r>
    <w:r>
      <w:rPr>
        <w:noProof/>
      </w:rPr>
      <w:fldChar w:fldCharType="end"/>
    </w:r>
  </w:p>
  <w:p w:rsidR="009D5D98" w:rsidRDefault="009D5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841B7C"/>
    <w:lvl w:ilvl="0">
      <w:start w:val="1"/>
      <w:numFmt w:val="decimal"/>
      <w:lvlText w:val="%1."/>
      <w:lvlJc w:val="left"/>
      <w:pPr>
        <w:tabs>
          <w:tab w:val="num" w:pos="1492"/>
        </w:tabs>
        <w:ind w:left="1492" w:hanging="360"/>
      </w:pPr>
    </w:lvl>
  </w:abstractNum>
  <w:abstractNum w:abstractNumId="1">
    <w:nsid w:val="FFFFFF7D"/>
    <w:multiLevelType w:val="singleLevel"/>
    <w:tmpl w:val="E9028018"/>
    <w:lvl w:ilvl="0">
      <w:start w:val="1"/>
      <w:numFmt w:val="decimal"/>
      <w:lvlText w:val="%1."/>
      <w:lvlJc w:val="left"/>
      <w:pPr>
        <w:tabs>
          <w:tab w:val="num" w:pos="1209"/>
        </w:tabs>
        <w:ind w:left="1209" w:hanging="360"/>
      </w:pPr>
    </w:lvl>
  </w:abstractNum>
  <w:abstractNum w:abstractNumId="2">
    <w:nsid w:val="FFFFFF7E"/>
    <w:multiLevelType w:val="singleLevel"/>
    <w:tmpl w:val="AE625A7C"/>
    <w:lvl w:ilvl="0">
      <w:start w:val="1"/>
      <w:numFmt w:val="decimal"/>
      <w:lvlText w:val="%1."/>
      <w:lvlJc w:val="left"/>
      <w:pPr>
        <w:tabs>
          <w:tab w:val="num" w:pos="926"/>
        </w:tabs>
        <w:ind w:left="926" w:hanging="360"/>
      </w:pPr>
    </w:lvl>
  </w:abstractNum>
  <w:abstractNum w:abstractNumId="3">
    <w:nsid w:val="FFFFFF7F"/>
    <w:multiLevelType w:val="singleLevel"/>
    <w:tmpl w:val="3294AF02"/>
    <w:lvl w:ilvl="0">
      <w:start w:val="1"/>
      <w:numFmt w:val="decimal"/>
      <w:lvlText w:val="%1."/>
      <w:lvlJc w:val="left"/>
      <w:pPr>
        <w:tabs>
          <w:tab w:val="num" w:pos="643"/>
        </w:tabs>
        <w:ind w:left="643" w:hanging="360"/>
      </w:pPr>
    </w:lvl>
  </w:abstractNum>
  <w:abstractNum w:abstractNumId="4">
    <w:nsid w:val="FFFFFF80"/>
    <w:multiLevelType w:val="singleLevel"/>
    <w:tmpl w:val="753E5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3E9F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4413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7EC8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FE41C8"/>
    <w:lvl w:ilvl="0">
      <w:start w:val="1"/>
      <w:numFmt w:val="decimal"/>
      <w:lvlText w:val="%1."/>
      <w:lvlJc w:val="left"/>
      <w:pPr>
        <w:tabs>
          <w:tab w:val="num" w:pos="360"/>
        </w:tabs>
        <w:ind w:left="360" w:hanging="360"/>
      </w:pPr>
    </w:lvl>
  </w:abstractNum>
  <w:abstractNum w:abstractNumId="9">
    <w:nsid w:val="FFFFFF89"/>
    <w:multiLevelType w:val="singleLevel"/>
    <w:tmpl w:val="F2B80F60"/>
    <w:lvl w:ilvl="0">
      <w:start w:val="1"/>
      <w:numFmt w:val="bullet"/>
      <w:lvlText w:val=""/>
      <w:lvlJc w:val="left"/>
      <w:pPr>
        <w:tabs>
          <w:tab w:val="num" w:pos="360"/>
        </w:tabs>
        <w:ind w:left="360" w:hanging="360"/>
      </w:pPr>
      <w:rPr>
        <w:rFonts w:ascii="Symbol" w:hAnsi="Symbol" w:hint="default"/>
      </w:rPr>
    </w:lvl>
  </w:abstractNum>
  <w:abstractNum w:abstractNumId="10">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1">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12">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27DD"/>
    <w:rsid w:val="00013E66"/>
    <w:rsid w:val="000167BE"/>
    <w:rsid w:val="000174AB"/>
    <w:rsid w:val="0002181F"/>
    <w:rsid w:val="0002682A"/>
    <w:rsid w:val="00027A06"/>
    <w:rsid w:val="000323B3"/>
    <w:rsid w:val="00041440"/>
    <w:rsid w:val="000426A1"/>
    <w:rsid w:val="00043C31"/>
    <w:rsid w:val="00050CC0"/>
    <w:rsid w:val="000521AD"/>
    <w:rsid w:val="00052725"/>
    <w:rsid w:val="0005348C"/>
    <w:rsid w:val="00062C17"/>
    <w:rsid w:val="00067070"/>
    <w:rsid w:val="000705BE"/>
    <w:rsid w:val="00070BA5"/>
    <w:rsid w:val="00071F96"/>
    <w:rsid w:val="0007489C"/>
    <w:rsid w:val="0007611D"/>
    <w:rsid w:val="000855E1"/>
    <w:rsid w:val="00086164"/>
    <w:rsid w:val="000A737F"/>
    <w:rsid w:val="000A7A5B"/>
    <w:rsid w:val="000B2517"/>
    <w:rsid w:val="000B5751"/>
    <w:rsid w:val="000B65D6"/>
    <w:rsid w:val="000B7B92"/>
    <w:rsid w:val="000C013B"/>
    <w:rsid w:val="000C0825"/>
    <w:rsid w:val="000C220E"/>
    <w:rsid w:val="000C2A3E"/>
    <w:rsid w:val="000C30A5"/>
    <w:rsid w:val="000D023E"/>
    <w:rsid w:val="000D4CE0"/>
    <w:rsid w:val="000D53ED"/>
    <w:rsid w:val="000D5DB9"/>
    <w:rsid w:val="000D7300"/>
    <w:rsid w:val="000F24BD"/>
    <w:rsid w:val="000F2CED"/>
    <w:rsid w:val="00100921"/>
    <w:rsid w:val="001014CB"/>
    <w:rsid w:val="00101CBC"/>
    <w:rsid w:val="001039F1"/>
    <w:rsid w:val="00105C7D"/>
    <w:rsid w:val="00107552"/>
    <w:rsid w:val="00110F4F"/>
    <w:rsid w:val="001141C6"/>
    <w:rsid w:val="00116CF2"/>
    <w:rsid w:val="0012352D"/>
    <w:rsid w:val="001255E1"/>
    <w:rsid w:val="0013337C"/>
    <w:rsid w:val="0013664D"/>
    <w:rsid w:val="00150274"/>
    <w:rsid w:val="001602A5"/>
    <w:rsid w:val="00163F35"/>
    <w:rsid w:val="00170728"/>
    <w:rsid w:val="001720A1"/>
    <w:rsid w:val="001778D7"/>
    <w:rsid w:val="00193D4B"/>
    <w:rsid w:val="001966AA"/>
    <w:rsid w:val="00196C79"/>
    <w:rsid w:val="001A02CE"/>
    <w:rsid w:val="001A2053"/>
    <w:rsid w:val="001B0962"/>
    <w:rsid w:val="001B4B8B"/>
    <w:rsid w:val="001B4D6B"/>
    <w:rsid w:val="001C0D22"/>
    <w:rsid w:val="001C1B2F"/>
    <w:rsid w:val="001C75B9"/>
    <w:rsid w:val="001D4215"/>
    <w:rsid w:val="001D5FF1"/>
    <w:rsid w:val="001D7028"/>
    <w:rsid w:val="001F10ED"/>
    <w:rsid w:val="001F43F6"/>
    <w:rsid w:val="001F7FD1"/>
    <w:rsid w:val="002031EB"/>
    <w:rsid w:val="00211994"/>
    <w:rsid w:val="0021440F"/>
    <w:rsid w:val="00225BB6"/>
    <w:rsid w:val="0023170A"/>
    <w:rsid w:val="00233EA0"/>
    <w:rsid w:val="002476C5"/>
    <w:rsid w:val="00247938"/>
    <w:rsid w:val="00247C3D"/>
    <w:rsid w:val="00253AC4"/>
    <w:rsid w:val="00263899"/>
    <w:rsid w:val="0027398B"/>
    <w:rsid w:val="00273D67"/>
    <w:rsid w:val="00273FF1"/>
    <w:rsid w:val="002743C5"/>
    <w:rsid w:val="002774A4"/>
    <w:rsid w:val="00281561"/>
    <w:rsid w:val="00293CC2"/>
    <w:rsid w:val="002A28EF"/>
    <w:rsid w:val="002A2C40"/>
    <w:rsid w:val="002A42BB"/>
    <w:rsid w:val="002A6DB0"/>
    <w:rsid w:val="002A7E62"/>
    <w:rsid w:val="002B3484"/>
    <w:rsid w:val="002B349D"/>
    <w:rsid w:val="002B7626"/>
    <w:rsid w:val="002B7A4F"/>
    <w:rsid w:val="002C77EA"/>
    <w:rsid w:val="002D47E8"/>
    <w:rsid w:val="002E03EC"/>
    <w:rsid w:val="002F03B1"/>
    <w:rsid w:val="002F1706"/>
    <w:rsid w:val="003047D1"/>
    <w:rsid w:val="00306807"/>
    <w:rsid w:val="00307F23"/>
    <w:rsid w:val="00312B15"/>
    <w:rsid w:val="00321786"/>
    <w:rsid w:val="00321A25"/>
    <w:rsid w:val="003309C0"/>
    <w:rsid w:val="00335307"/>
    <w:rsid w:val="00336594"/>
    <w:rsid w:val="00343A6F"/>
    <w:rsid w:val="0034723E"/>
    <w:rsid w:val="003507E8"/>
    <w:rsid w:val="0035259B"/>
    <w:rsid w:val="0036318E"/>
    <w:rsid w:val="003676E7"/>
    <w:rsid w:val="00370532"/>
    <w:rsid w:val="00382282"/>
    <w:rsid w:val="00391E7A"/>
    <w:rsid w:val="0039397A"/>
    <w:rsid w:val="00394B47"/>
    <w:rsid w:val="00397A56"/>
    <w:rsid w:val="003A1F91"/>
    <w:rsid w:val="003A41C0"/>
    <w:rsid w:val="003A6AC1"/>
    <w:rsid w:val="003A6E50"/>
    <w:rsid w:val="003B0609"/>
    <w:rsid w:val="003B2021"/>
    <w:rsid w:val="003B6AFE"/>
    <w:rsid w:val="003C0C91"/>
    <w:rsid w:val="003C5C17"/>
    <w:rsid w:val="003D6B7D"/>
    <w:rsid w:val="003D78E6"/>
    <w:rsid w:val="003E2984"/>
    <w:rsid w:val="003E2D40"/>
    <w:rsid w:val="003E59B0"/>
    <w:rsid w:val="003E7E12"/>
    <w:rsid w:val="003F35F2"/>
    <w:rsid w:val="003F7135"/>
    <w:rsid w:val="003F7913"/>
    <w:rsid w:val="003F7BA6"/>
    <w:rsid w:val="00404877"/>
    <w:rsid w:val="004050AB"/>
    <w:rsid w:val="00406E64"/>
    <w:rsid w:val="0041034C"/>
    <w:rsid w:val="00416C15"/>
    <w:rsid w:val="0041772D"/>
    <w:rsid w:val="00423CAA"/>
    <w:rsid w:val="00424EE1"/>
    <w:rsid w:val="00432AC5"/>
    <w:rsid w:val="004444D1"/>
    <w:rsid w:val="0044493F"/>
    <w:rsid w:val="00453BF5"/>
    <w:rsid w:val="00457A8A"/>
    <w:rsid w:val="00462F46"/>
    <w:rsid w:val="00464A9B"/>
    <w:rsid w:val="00482C33"/>
    <w:rsid w:val="00484032"/>
    <w:rsid w:val="0048573C"/>
    <w:rsid w:val="00490AF5"/>
    <w:rsid w:val="00491313"/>
    <w:rsid w:val="004940EF"/>
    <w:rsid w:val="00496B49"/>
    <w:rsid w:val="004A0771"/>
    <w:rsid w:val="004B0016"/>
    <w:rsid w:val="004B5452"/>
    <w:rsid w:val="004B6B80"/>
    <w:rsid w:val="004B773E"/>
    <w:rsid w:val="004C06A7"/>
    <w:rsid w:val="004C7F2E"/>
    <w:rsid w:val="004D0308"/>
    <w:rsid w:val="004D294C"/>
    <w:rsid w:val="004D7864"/>
    <w:rsid w:val="004D7C5C"/>
    <w:rsid w:val="004E2F8B"/>
    <w:rsid w:val="004E39F6"/>
    <w:rsid w:val="004E72FA"/>
    <w:rsid w:val="004F0160"/>
    <w:rsid w:val="004F01A7"/>
    <w:rsid w:val="004F3C64"/>
    <w:rsid w:val="00500450"/>
    <w:rsid w:val="0051157A"/>
    <w:rsid w:val="00520A3F"/>
    <w:rsid w:val="00523699"/>
    <w:rsid w:val="00523BCE"/>
    <w:rsid w:val="0052533B"/>
    <w:rsid w:val="005314B6"/>
    <w:rsid w:val="00541E15"/>
    <w:rsid w:val="00542240"/>
    <w:rsid w:val="0054384A"/>
    <w:rsid w:val="00567EB4"/>
    <w:rsid w:val="00573D38"/>
    <w:rsid w:val="00584886"/>
    <w:rsid w:val="005951BC"/>
    <w:rsid w:val="005A2A0B"/>
    <w:rsid w:val="005A6C6C"/>
    <w:rsid w:val="005B14DA"/>
    <w:rsid w:val="005B48B9"/>
    <w:rsid w:val="005B72B5"/>
    <w:rsid w:val="005C51D7"/>
    <w:rsid w:val="005C6650"/>
    <w:rsid w:val="005D46A7"/>
    <w:rsid w:val="005D4E0C"/>
    <w:rsid w:val="005D519D"/>
    <w:rsid w:val="005D5E80"/>
    <w:rsid w:val="005D784B"/>
    <w:rsid w:val="005E1B53"/>
    <w:rsid w:val="005E4462"/>
    <w:rsid w:val="005E460B"/>
    <w:rsid w:val="005E7559"/>
    <w:rsid w:val="00602177"/>
    <w:rsid w:val="0060297E"/>
    <w:rsid w:val="006138DE"/>
    <w:rsid w:val="006143F7"/>
    <w:rsid w:val="00614E7A"/>
    <w:rsid w:val="00615189"/>
    <w:rsid w:val="0062580D"/>
    <w:rsid w:val="006272AD"/>
    <w:rsid w:val="006443CE"/>
    <w:rsid w:val="00644559"/>
    <w:rsid w:val="006454E1"/>
    <w:rsid w:val="00647246"/>
    <w:rsid w:val="006550B7"/>
    <w:rsid w:val="00655FAB"/>
    <w:rsid w:val="00656702"/>
    <w:rsid w:val="00656762"/>
    <w:rsid w:val="006623D0"/>
    <w:rsid w:val="006627B5"/>
    <w:rsid w:val="00667C6F"/>
    <w:rsid w:val="00675C29"/>
    <w:rsid w:val="00675C7D"/>
    <w:rsid w:val="00681EA1"/>
    <w:rsid w:val="0068293F"/>
    <w:rsid w:val="00687767"/>
    <w:rsid w:val="006906BA"/>
    <w:rsid w:val="006A253C"/>
    <w:rsid w:val="006A47ED"/>
    <w:rsid w:val="006A7F0E"/>
    <w:rsid w:val="006B4C1D"/>
    <w:rsid w:val="006C21D4"/>
    <w:rsid w:val="006C29AF"/>
    <w:rsid w:val="006D5C88"/>
    <w:rsid w:val="006D79A4"/>
    <w:rsid w:val="006F38F0"/>
    <w:rsid w:val="006F6FEA"/>
    <w:rsid w:val="00700200"/>
    <w:rsid w:val="00707ED7"/>
    <w:rsid w:val="00712ACF"/>
    <w:rsid w:val="007210B7"/>
    <w:rsid w:val="007348AB"/>
    <w:rsid w:val="007461BC"/>
    <w:rsid w:val="00746D1A"/>
    <w:rsid w:val="007476CA"/>
    <w:rsid w:val="00751F8C"/>
    <w:rsid w:val="0075292A"/>
    <w:rsid w:val="00754F64"/>
    <w:rsid w:val="00756268"/>
    <w:rsid w:val="0076117D"/>
    <w:rsid w:val="00764ED0"/>
    <w:rsid w:val="00772719"/>
    <w:rsid w:val="00774258"/>
    <w:rsid w:val="007835D7"/>
    <w:rsid w:val="00791404"/>
    <w:rsid w:val="007967B5"/>
    <w:rsid w:val="007974F8"/>
    <w:rsid w:val="007A4DBF"/>
    <w:rsid w:val="007A4F60"/>
    <w:rsid w:val="007A559D"/>
    <w:rsid w:val="007B552D"/>
    <w:rsid w:val="007C00B1"/>
    <w:rsid w:val="007C099C"/>
    <w:rsid w:val="007C1413"/>
    <w:rsid w:val="007C4C77"/>
    <w:rsid w:val="007C4D95"/>
    <w:rsid w:val="007D1D48"/>
    <w:rsid w:val="007D29E3"/>
    <w:rsid w:val="007E0D39"/>
    <w:rsid w:val="007E596E"/>
    <w:rsid w:val="007E761F"/>
    <w:rsid w:val="007F2336"/>
    <w:rsid w:val="0080532A"/>
    <w:rsid w:val="00813125"/>
    <w:rsid w:val="00816E7B"/>
    <w:rsid w:val="00817C84"/>
    <w:rsid w:val="008305EE"/>
    <w:rsid w:val="0083118F"/>
    <w:rsid w:val="00835249"/>
    <w:rsid w:val="00837273"/>
    <w:rsid w:val="008455D4"/>
    <w:rsid w:val="00847F5A"/>
    <w:rsid w:val="00853451"/>
    <w:rsid w:val="00853890"/>
    <w:rsid w:val="008538BA"/>
    <w:rsid w:val="00855EE8"/>
    <w:rsid w:val="0085612B"/>
    <w:rsid w:val="00857F51"/>
    <w:rsid w:val="00861145"/>
    <w:rsid w:val="008662C9"/>
    <w:rsid w:val="00867425"/>
    <w:rsid w:val="00876804"/>
    <w:rsid w:val="00877B2E"/>
    <w:rsid w:val="00880B16"/>
    <w:rsid w:val="008813F7"/>
    <w:rsid w:val="00885B61"/>
    <w:rsid w:val="00887B93"/>
    <w:rsid w:val="008A3DFF"/>
    <w:rsid w:val="008A5A9F"/>
    <w:rsid w:val="008A7095"/>
    <w:rsid w:val="008B3440"/>
    <w:rsid w:val="008C6D19"/>
    <w:rsid w:val="008D2AFA"/>
    <w:rsid w:val="008D5A1B"/>
    <w:rsid w:val="008E5221"/>
    <w:rsid w:val="00902465"/>
    <w:rsid w:val="00905CF9"/>
    <w:rsid w:val="00907431"/>
    <w:rsid w:val="009107B8"/>
    <w:rsid w:val="00917BD7"/>
    <w:rsid w:val="00921B2A"/>
    <w:rsid w:val="00921B6D"/>
    <w:rsid w:val="00937CAF"/>
    <w:rsid w:val="00946409"/>
    <w:rsid w:val="00950DE9"/>
    <w:rsid w:val="00954E9D"/>
    <w:rsid w:val="0095768A"/>
    <w:rsid w:val="00963183"/>
    <w:rsid w:val="009721CA"/>
    <w:rsid w:val="009734B1"/>
    <w:rsid w:val="0097725D"/>
    <w:rsid w:val="00983D6F"/>
    <w:rsid w:val="00992521"/>
    <w:rsid w:val="009A11D6"/>
    <w:rsid w:val="009B6490"/>
    <w:rsid w:val="009B7570"/>
    <w:rsid w:val="009C3E0A"/>
    <w:rsid w:val="009C4FBA"/>
    <w:rsid w:val="009C6B18"/>
    <w:rsid w:val="009D1BBE"/>
    <w:rsid w:val="009D5D98"/>
    <w:rsid w:val="009D7210"/>
    <w:rsid w:val="009D785B"/>
    <w:rsid w:val="009E3331"/>
    <w:rsid w:val="009F6DD8"/>
    <w:rsid w:val="00A0527F"/>
    <w:rsid w:val="00A055AD"/>
    <w:rsid w:val="00A060FE"/>
    <w:rsid w:val="00A10BBC"/>
    <w:rsid w:val="00A11A4C"/>
    <w:rsid w:val="00A16B74"/>
    <w:rsid w:val="00A16DC7"/>
    <w:rsid w:val="00A27429"/>
    <w:rsid w:val="00A27B2C"/>
    <w:rsid w:val="00A300E9"/>
    <w:rsid w:val="00A573E5"/>
    <w:rsid w:val="00A57415"/>
    <w:rsid w:val="00A74716"/>
    <w:rsid w:val="00A7677C"/>
    <w:rsid w:val="00A826E2"/>
    <w:rsid w:val="00A82A45"/>
    <w:rsid w:val="00AA0154"/>
    <w:rsid w:val="00AA3E54"/>
    <w:rsid w:val="00AA4D48"/>
    <w:rsid w:val="00AA6E98"/>
    <w:rsid w:val="00AB427E"/>
    <w:rsid w:val="00AC0ED5"/>
    <w:rsid w:val="00AC1384"/>
    <w:rsid w:val="00AC2B12"/>
    <w:rsid w:val="00AC754F"/>
    <w:rsid w:val="00AD37DB"/>
    <w:rsid w:val="00AD7558"/>
    <w:rsid w:val="00AD7D90"/>
    <w:rsid w:val="00AE0D56"/>
    <w:rsid w:val="00AE3A5C"/>
    <w:rsid w:val="00AE4831"/>
    <w:rsid w:val="00AF073B"/>
    <w:rsid w:val="00AF27DD"/>
    <w:rsid w:val="00AF44F7"/>
    <w:rsid w:val="00AF60B4"/>
    <w:rsid w:val="00B073BF"/>
    <w:rsid w:val="00B20CF6"/>
    <w:rsid w:val="00B316DD"/>
    <w:rsid w:val="00B31B99"/>
    <w:rsid w:val="00B3268C"/>
    <w:rsid w:val="00B35B88"/>
    <w:rsid w:val="00B37D4A"/>
    <w:rsid w:val="00B40A5A"/>
    <w:rsid w:val="00B47A3A"/>
    <w:rsid w:val="00B57408"/>
    <w:rsid w:val="00B65DA1"/>
    <w:rsid w:val="00B73776"/>
    <w:rsid w:val="00B76BF2"/>
    <w:rsid w:val="00B77105"/>
    <w:rsid w:val="00B84474"/>
    <w:rsid w:val="00B8633D"/>
    <w:rsid w:val="00B90D56"/>
    <w:rsid w:val="00B94D0D"/>
    <w:rsid w:val="00B96F37"/>
    <w:rsid w:val="00BD09C6"/>
    <w:rsid w:val="00BD177B"/>
    <w:rsid w:val="00BD2FA9"/>
    <w:rsid w:val="00BD3E5A"/>
    <w:rsid w:val="00BE6D01"/>
    <w:rsid w:val="00C00411"/>
    <w:rsid w:val="00C1123F"/>
    <w:rsid w:val="00C15595"/>
    <w:rsid w:val="00C16040"/>
    <w:rsid w:val="00C17760"/>
    <w:rsid w:val="00C22A99"/>
    <w:rsid w:val="00C23B92"/>
    <w:rsid w:val="00C30116"/>
    <w:rsid w:val="00C3155C"/>
    <w:rsid w:val="00C452C2"/>
    <w:rsid w:val="00C45AD8"/>
    <w:rsid w:val="00C50209"/>
    <w:rsid w:val="00C50CE8"/>
    <w:rsid w:val="00C51E36"/>
    <w:rsid w:val="00C52583"/>
    <w:rsid w:val="00C52CBF"/>
    <w:rsid w:val="00C55259"/>
    <w:rsid w:val="00C568E6"/>
    <w:rsid w:val="00C56BB5"/>
    <w:rsid w:val="00C608D8"/>
    <w:rsid w:val="00C62DE1"/>
    <w:rsid w:val="00C63685"/>
    <w:rsid w:val="00C708AB"/>
    <w:rsid w:val="00C72650"/>
    <w:rsid w:val="00C808F5"/>
    <w:rsid w:val="00C90504"/>
    <w:rsid w:val="00C9114B"/>
    <w:rsid w:val="00C932EE"/>
    <w:rsid w:val="00C942AB"/>
    <w:rsid w:val="00C94A7E"/>
    <w:rsid w:val="00CA0607"/>
    <w:rsid w:val="00CB25D6"/>
    <w:rsid w:val="00CB7038"/>
    <w:rsid w:val="00CC5B70"/>
    <w:rsid w:val="00CC5E2E"/>
    <w:rsid w:val="00CD14DE"/>
    <w:rsid w:val="00CD3486"/>
    <w:rsid w:val="00CD379A"/>
    <w:rsid w:val="00CF0695"/>
    <w:rsid w:val="00CF1E54"/>
    <w:rsid w:val="00CF71F2"/>
    <w:rsid w:val="00D007C9"/>
    <w:rsid w:val="00D10F9E"/>
    <w:rsid w:val="00D12648"/>
    <w:rsid w:val="00D1401A"/>
    <w:rsid w:val="00D17EBE"/>
    <w:rsid w:val="00D20847"/>
    <w:rsid w:val="00D3409D"/>
    <w:rsid w:val="00D47B61"/>
    <w:rsid w:val="00D513D8"/>
    <w:rsid w:val="00D518D4"/>
    <w:rsid w:val="00D56CF1"/>
    <w:rsid w:val="00D607E4"/>
    <w:rsid w:val="00D63252"/>
    <w:rsid w:val="00D64791"/>
    <w:rsid w:val="00D676A4"/>
    <w:rsid w:val="00D740AE"/>
    <w:rsid w:val="00D90192"/>
    <w:rsid w:val="00DA6D22"/>
    <w:rsid w:val="00DA7CDE"/>
    <w:rsid w:val="00DB6F5A"/>
    <w:rsid w:val="00DC3076"/>
    <w:rsid w:val="00DC6B22"/>
    <w:rsid w:val="00DC6C79"/>
    <w:rsid w:val="00DD1473"/>
    <w:rsid w:val="00DD3CDC"/>
    <w:rsid w:val="00DE1AAF"/>
    <w:rsid w:val="00DE1B27"/>
    <w:rsid w:val="00DF0865"/>
    <w:rsid w:val="00DF265F"/>
    <w:rsid w:val="00DF5814"/>
    <w:rsid w:val="00DF6EDF"/>
    <w:rsid w:val="00E175A6"/>
    <w:rsid w:val="00E230A9"/>
    <w:rsid w:val="00E24751"/>
    <w:rsid w:val="00E25137"/>
    <w:rsid w:val="00E26E8B"/>
    <w:rsid w:val="00E4637C"/>
    <w:rsid w:val="00E500FE"/>
    <w:rsid w:val="00E51D58"/>
    <w:rsid w:val="00E5368D"/>
    <w:rsid w:val="00E57913"/>
    <w:rsid w:val="00E621FA"/>
    <w:rsid w:val="00E6313D"/>
    <w:rsid w:val="00E64966"/>
    <w:rsid w:val="00E712E0"/>
    <w:rsid w:val="00E81DE0"/>
    <w:rsid w:val="00E84830"/>
    <w:rsid w:val="00E86DE6"/>
    <w:rsid w:val="00E965BD"/>
    <w:rsid w:val="00EA177E"/>
    <w:rsid w:val="00EA6E1C"/>
    <w:rsid w:val="00EB2811"/>
    <w:rsid w:val="00EB6DF1"/>
    <w:rsid w:val="00EC1D45"/>
    <w:rsid w:val="00EC4411"/>
    <w:rsid w:val="00EC5465"/>
    <w:rsid w:val="00ED3B76"/>
    <w:rsid w:val="00ED79A6"/>
    <w:rsid w:val="00EE1A8A"/>
    <w:rsid w:val="00EE1B80"/>
    <w:rsid w:val="00EE21D6"/>
    <w:rsid w:val="00EF7E12"/>
    <w:rsid w:val="00F00AF4"/>
    <w:rsid w:val="00F00CF0"/>
    <w:rsid w:val="00F00F59"/>
    <w:rsid w:val="00F01A43"/>
    <w:rsid w:val="00F02B63"/>
    <w:rsid w:val="00F06ECD"/>
    <w:rsid w:val="00F07B1A"/>
    <w:rsid w:val="00F12176"/>
    <w:rsid w:val="00F12231"/>
    <w:rsid w:val="00F17CC6"/>
    <w:rsid w:val="00F34911"/>
    <w:rsid w:val="00F450E7"/>
    <w:rsid w:val="00F50CE5"/>
    <w:rsid w:val="00F52120"/>
    <w:rsid w:val="00F537DB"/>
    <w:rsid w:val="00F54188"/>
    <w:rsid w:val="00F61ADF"/>
    <w:rsid w:val="00F635C5"/>
    <w:rsid w:val="00F70912"/>
    <w:rsid w:val="00F75137"/>
    <w:rsid w:val="00F75198"/>
    <w:rsid w:val="00F77572"/>
    <w:rsid w:val="00F80EBE"/>
    <w:rsid w:val="00F8197D"/>
    <w:rsid w:val="00F940BE"/>
    <w:rsid w:val="00F957DA"/>
    <w:rsid w:val="00FB207F"/>
    <w:rsid w:val="00FB7732"/>
    <w:rsid w:val="00FD64A6"/>
    <w:rsid w:val="00FE2598"/>
    <w:rsid w:val="00FE51E4"/>
    <w:rsid w:val="00FE6A0E"/>
    <w:rsid w:val="00FF46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basedOn w:val="DefaultParagraphFont"/>
    <w:link w:val="Footer"/>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basedOn w:val="DefaultParagraphFont"/>
    <w:link w:val="BodyTextIndent"/>
    <w:rsid w:val="00464A9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50E7"/>
    <w:pPr>
      <w:tabs>
        <w:tab w:val="center" w:pos="4153"/>
        <w:tab w:val="right" w:pos="8306"/>
      </w:tabs>
    </w:pPr>
  </w:style>
  <w:style w:type="character" w:customStyle="1" w:styleId="HeaderChar">
    <w:name w:val="Header Char"/>
    <w:basedOn w:val="DefaultParagraphFont"/>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semiHidden/>
    <w:unhideWhenUsed/>
    <w:rsid w:val="00F450E7"/>
    <w:rPr>
      <w:rFonts w:ascii="Tahoma" w:hAnsi="Tahoma" w:cs="Tahoma"/>
      <w:sz w:val="16"/>
      <w:szCs w:val="16"/>
    </w:rPr>
  </w:style>
  <w:style w:type="character" w:customStyle="1" w:styleId="BalloonTextChar">
    <w:name w:val="Balloon Text Char"/>
    <w:basedOn w:val="DefaultParagraphFont"/>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basedOn w:val="DefaultParagraphFont"/>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basedOn w:val="DefaultParagraphFont"/>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CED"/>
    <w:rPr>
      <w:sz w:val="16"/>
      <w:szCs w:val="16"/>
    </w:rPr>
  </w:style>
  <w:style w:type="paragraph" w:styleId="CommentText">
    <w:name w:val="annotation text"/>
    <w:basedOn w:val="Normal"/>
    <w:link w:val="CommentTextChar"/>
    <w:uiPriority w:val="99"/>
    <w:semiHidden/>
    <w:unhideWhenUsed/>
    <w:rsid w:val="000F2CED"/>
    <w:rPr>
      <w:sz w:val="20"/>
      <w:szCs w:val="20"/>
    </w:rPr>
  </w:style>
  <w:style w:type="character" w:customStyle="1" w:styleId="CommentTextChar">
    <w:name w:val="Comment Text Char"/>
    <w:basedOn w:val="DefaultParagraphFont"/>
    <w:link w:val="CommentText"/>
    <w:uiPriority w:val="99"/>
    <w:semiHidden/>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basedOn w:val="CommentTextChar"/>
    <w:link w:val="CommentSubject"/>
    <w:uiPriority w:val="99"/>
    <w:semiHidden/>
    <w:rsid w:val="000F2CED"/>
    <w:rPr>
      <w:rFonts w:ascii="Times New Roman" w:eastAsia="Times New Roman" w:hAnsi="Times New Roman" w:cs="Times New Roman"/>
      <w:b/>
      <w:bCs/>
    </w:rPr>
  </w:style>
  <w:style w:type="character" w:customStyle="1" w:styleId="Heading1Char">
    <w:name w:val="Heading 1 Char"/>
    <w:basedOn w:val="DefaultParagraphFont"/>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semiHidden/>
    <w:unhideWhenUsed/>
    <w:rsid w:val="00C22A99"/>
    <w:pPr>
      <w:spacing w:after="120" w:line="480" w:lineRule="auto"/>
    </w:pPr>
  </w:style>
  <w:style w:type="character" w:customStyle="1" w:styleId="BodyText2Char">
    <w:name w:val="Body Text 2 Char"/>
    <w:basedOn w:val="DefaultParagraphFont"/>
    <w:link w:val="BodyText2"/>
    <w:uiPriority w:val="99"/>
    <w:semiHidden/>
    <w:rsid w:val="00C22A99"/>
    <w:rPr>
      <w:rFonts w:ascii="Times New Roman" w:eastAsia="Times New Roman" w:hAnsi="Times New Roman" w:cs="Times New Roman"/>
      <w:sz w:val="24"/>
      <w:szCs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basedOn w:val="DefaultParagraphFont"/>
    <w:link w:val="FootnoteText"/>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 w:type="paragraph" w:customStyle="1" w:styleId="RakstzCharCharRakstzCharCharRakstz">
    <w:name w:val="Rakstz. Char Char Rakstz. Char Char Rakstz."/>
    <w:basedOn w:val="Normal"/>
    <w:rsid w:val="0062580D"/>
    <w:pPr>
      <w:spacing w:after="160" w:line="240" w:lineRule="exact"/>
    </w:pPr>
    <w:rPr>
      <w:rFonts w:ascii="Tahoma" w:hAnsi="Tahoma"/>
      <w:sz w:val="20"/>
      <w:szCs w:val="20"/>
      <w:lang w:val="en-US" w:eastAsia="en-US"/>
    </w:rPr>
  </w:style>
  <w:style w:type="character" w:styleId="Strong">
    <w:name w:val="Strong"/>
    <w:basedOn w:val="DefaultParagraphFont"/>
    <w:qFormat/>
    <w:rsid w:val="00751F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4255">
      <w:bodyDiv w:val="1"/>
      <w:marLeft w:val="0"/>
      <w:marRight w:val="0"/>
      <w:marTop w:val="0"/>
      <w:marBottom w:val="0"/>
      <w:divBdr>
        <w:top w:val="none" w:sz="0" w:space="0" w:color="auto"/>
        <w:left w:val="none" w:sz="0" w:space="0" w:color="auto"/>
        <w:bottom w:val="none" w:sz="0" w:space="0" w:color="auto"/>
        <w:right w:val="none" w:sz="0" w:space="0" w:color="auto"/>
      </w:divBdr>
    </w:div>
    <w:div w:id="1649937933">
      <w:bodyDiv w:val="1"/>
      <w:marLeft w:val="0"/>
      <w:marRight w:val="0"/>
      <w:marTop w:val="0"/>
      <w:marBottom w:val="0"/>
      <w:divBdr>
        <w:top w:val="none" w:sz="0" w:space="0" w:color="auto"/>
        <w:left w:val="none" w:sz="0" w:space="0" w:color="auto"/>
        <w:bottom w:val="none" w:sz="0" w:space="0" w:color="auto"/>
        <w:right w:val="none" w:sz="0" w:space="0" w:color="auto"/>
      </w:divBdr>
      <w:divsChild>
        <w:div w:id="1559978050">
          <w:marLeft w:val="0"/>
          <w:marRight w:val="0"/>
          <w:marTop w:val="0"/>
          <w:marBottom w:val="0"/>
          <w:divBdr>
            <w:top w:val="none" w:sz="0" w:space="0" w:color="auto"/>
            <w:left w:val="none" w:sz="0" w:space="0" w:color="auto"/>
            <w:bottom w:val="none" w:sz="0" w:space="0" w:color="auto"/>
            <w:right w:val="none" w:sz="0" w:space="0" w:color="auto"/>
          </w:divBdr>
          <w:divsChild>
            <w:div w:id="154566434">
              <w:marLeft w:val="0"/>
              <w:marRight w:val="0"/>
              <w:marTop w:val="0"/>
              <w:marBottom w:val="0"/>
              <w:divBdr>
                <w:top w:val="none" w:sz="0" w:space="0" w:color="auto"/>
                <w:left w:val="none" w:sz="0" w:space="0" w:color="auto"/>
                <w:bottom w:val="none" w:sz="0" w:space="0" w:color="auto"/>
                <w:right w:val="none" w:sz="0" w:space="0" w:color="auto"/>
              </w:divBdr>
              <w:divsChild>
                <w:div w:id="19500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7700">
      <w:bodyDiv w:val="1"/>
      <w:marLeft w:val="0"/>
      <w:marRight w:val="0"/>
      <w:marTop w:val="0"/>
      <w:marBottom w:val="0"/>
      <w:divBdr>
        <w:top w:val="none" w:sz="0" w:space="0" w:color="auto"/>
        <w:left w:val="none" w:sz="0" w:space="0" w:color="auto"/>
        <w:bottom w:val="none" w:sz="0" w:space="0" w:color="auto"/>
        <w:right w:val="none" w:sz="0" w:space="0" w:color="auto"/>
      </w:divBdr>
      <w:divsChild>
        <w:div w:id="637883194">
          <w:marLeft w:val="0"/>
          <w:marRight w:val="0"/>
          <w:marTop w:val="0"/>
          <w:marBottom w:val="0"/>
          <w:divBdr>
            <w:top w:val="none" w:sz="0" w:space="0" w:color="auto"/>
            <w:left w:val="none" w:sz="0" w:space="0" w:color="auto"/>
            <w:bottom w:val="none" w:sz="0" w:space="0" w:color="auto"/>
            <w:right w:val="none" w:sz="0" w:space="0" w:color="auto"/>
          </w:divBdr>
          <w:divsChild>
            <w:div w:id="1016343289">
              <w:marLeft w:val="0"/>
              <w:marRight w:val="0"/>
              <w:marTop w:val="0"/>
              <w:marBottom w:val="0"/>
              <w:divBdr>
                <w:top w:val="none" w:sz="0" w:space="0" w:color="auto"/>
                <w:left w:val="none" w:sz="0" w:space="0" w:color="auto"/>
                <w:bottom w:val="none" w:sz="0" w:space="0" w:color="auto"/>
                <w:right w:val="none" w:sz="0" w:space="0" w:color="auto"/>
              </w:divBdr>
              <w:divsChild>
                <w:div w:id="12634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12946</Words>
  <Characters>7380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2009.gada 15.decembra noteikumos Nr.1436 "Noteikumi par Olaines Mehānikas un tehnoloģijas koledžas sniegto maksas pakalpojumu cenrādi"</vt:lpstr>
    </vt:vector>
  </TitlesOfParts>
  <Company>Izglītības un zinātnes ministrija</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2009.gada 15.decembra noteikumos Nr.1436 "Noteikumi par Olaines Mehānikas un tehnoloģijas koledžas sniegto maksas pakalpojumu cenrādi"</dc:title>
  <dc:subject> anotācija</dc:subject>
  <dc:creator>Izolde Rotberga</dc:creator>
  <cp:keywords>nolikums, koledža</cp:keywords>
  <dc:description>izolde.rotberga, 67047824, fakss 67243126,
izolde.rotberga@izm.gov.lv</dc:description>
  <cp:lastModifiedBy>irotberga</cp:lastModifiedBy>
  <cp:revision>3</cp:revision>
  <cp:lastPrinted>2012-07-24T06:03:00Z</cp:lastPrinted>
  <dcterms:created xsi:type="dcterms:W3CDTF">2012-07-19T08:03:00Z</dcterms:created>
  <dcterms:modified xsi:type="dcterms:W3CDTF">2012-07-19T08:06:00Z</dcterms:modified>
</cp:coreProperties>
</file>