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F1" w:rsidRPr="00DB55F1" w:rsidRDefault="00DB55F1" w:rsidP="00DB55F1">
      <w:pPr>
        <w:pStyle w:val="BodyText"/>
        <w:tabs>
          <w:tab w:val="left" w:pos="5760"/>
        </w:tabs>
        <w:jc w:val="center"/>
        <w:rPr>
          <w:b/>
          <w:sz w:val="28"/>
          <w:szCs w:val="28"/>
        </w:rPr>
      </w:pPr>
      <w:r w:rsidRPr="00DB55F1">
        <w:rPr>
          <w:b/>
          <w:sz w:val="28"/>
          <w:szCs w:val="28"/>
        </w:rPr>
        <w:t>Ministru kabineta noteikumu projekta</w:t>
      </w:r>
    </w:p>
    <w:p w:rsidR="00DB55F1" w:rsidRPr="00DB55F1" w:rsidRDefault="00DB55F1" w:rsidP="00DB55F1">
      <w:pPr>
        <w:pStyle w:val="BodyText"/>
        <w:tabs>
          <w:tab w:val="left" w:pos="5760"/>
        </w:tabs>
        <w:jc w:val="center"/>
        <w:rPr>
          <w:b/>
          <w:sz w:val="28"/>
          <w:szCs w:val="28"/>
        </w:rPr>
      </w:pPr>
      <w:r w:rsidRPr="00DB55F1">
        <w:rPr>
          <w:b/>
          <w:sz w:val="28"/>
          <w:szCs w:val="28"/>
        </w:rPr>
        <w:t xml:space="preserve"> „Grozījums Ministru kabineta 2009.gada 15.decembra noteikumos Nr.1435 „Noteikumi par Rīgas 1.medicīnas koledžas sniegto maksas pakalpojumu cenrādi”” sākotnējās ietekmes novērtējuma ziņojums (anotācija) </w:t>
      </w:r>
    </w:p>
    <w:p w:rsidR="00751F8C" w:rsidRPr="0050047E" w:rsidRDefault="00751F8C" w:rsidP="00751F8C">
      <w:pPr>
        <w:jc w:val="center"/>
        <w:rPr>
          <w:b/>
          <w:bCs/>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
        <w:gridCol w:w="8"/>
        <w:gridCol w:w="2031"/>
        <w:gridCol w:w="2313"/>
        <w:gridCol w:w="71"/>
        <w:gridCol w:w="464"/>
        <w:gridCol w:w="994"/>
        <w:gridCol w:w="994"/>
        <w:gridCol w:w="994"/>
        <w:gridCol w:w="1530"/>
      </w:tblGrid>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9D5D98">
            <w:pPr>
              <w:rPr>
                <w:b/>
                <w:bCs/>
              </w:rPr>
            </w:pPr>
            <w:r w:rsidRPr="00917D09">
              <w:rPr>
                <w:b/>
                <w:bCs/>
              </w:rPr>
              <w:t> </w:t>
            </w:r>
          </w:p>
          <w:p w:rsidR="00751F8C" w:rsidRPr="0050047E" w:rsidRDefault="00751F8C" w:rsidP="009D5D98">
            <w:pPr>
              <w:jc w:val="center"/>
              <w:rPr>
                <w:b/>
                <w:bCs/>
              </w:rPr>
            </w:pPr>
            <w:r w:rsidRPr="00917D09">
              <w:rPr>
                <w:b/>
                <w:bCs/>
              </w:rPr>
              <w:t>I. Tiesību akta projekta izstrādes nepieciešamība</w:t>
            </w:r>
          </w:p>
        </w:tc>
      </w:tr>
      <w:tr w:rsidR="00751F8C" w:rsidRPr="00917D09" w:rsidTr="00225BB6">
        <w:trPr>
          <w:trHeight w:val="630"/>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Pamatojums</w:t>
            </w:r>
          </w:p>
        </w:tc>
        <w:tc>
          <w:tcPr>
            <w:tcW w:w="5047" w:type="dxa"/>
            <w:gridSpan w:val="6"/>
            <w:tcBorders>
              <w:top w:val="outset" w:sz="6" w:space="0" w:color="auto"/>
              <w:left w:val="outset" w:sz="6" w:space="0" w:color="auto"/>
              <w:bottom w:val="outset" w:sz="6" w:space="0" w:color="auto"/>
              <w:right w:val="outset" w:sz="6" w:space="0" w:color="auto"/>
            </w:tcBorders>
            <w:hideMark/>
          </w:tcPr>
          <w:p w:rsidR="00DB55F1" w:rsidRPr="00F179AC" w:rsidRDefault="00DB55F1" w:rsidP="00DB55F1">
            <w:pPr>
              <w:ind w:left="113"/>
              <w:jc w:val="both"/>
            </w:pPr>
            <w:r w:rsidRPr="00F179AC">
              <w:t xml:space="preserve">Ministru kabineta noteikumu projekts </w:t>
            </w:r>
            <w:r>
              <w:t xml:space="preserve">„Grozījums Ministru kabineta 2009.gada 15.decembra noteikumos Nr.1435 </w:t>
            </w:r>
            <w:r w:rsidRPr="00F179AC">
              <w:t>„Noteikumi par Rīgas 1.medicīnas koledžas sniegto maksas pakalpojumu cenrādi”</w:t>
            </w:r>
            <w:r>
              <w:t>”</w:t>
            </w:r>
            <w:r w:rsidRPr="00F179AC">
              <w:t xml:space="preserve"> (turpmāk – noteikumu projekts) izstrādāts saskaņā ar likuma „Par budžetu un finanšu vadību” 5.panta  devīto daļu, kas nosaka, ka Ministru kabinets izdod noteikumus par valsts tiešās pārvaldes iestāžu sniegto maksas pakalpojumu cenrādi.</w:t>
            </w:r>
          </w:p>
          <w:p w:rsidR="007D1D48" w:rsidRPr="007D1D48" w:rsidRDefault="00DB55F1" w:rsidP="006B55D7">
            <w:pPr>
              <w:ind w:left="113"/>
              <w:jc w:val="both"/>
            </w:pPr>
            <w:r w:rsidRPr="00F179AC">
              <w:t>Noteikumu projekts sagatavots, ņemot vērā Ministru kabineta 20</w:t>
            </w:r>
            <w:r w:rsidR="006B55D7">
              <w:t>12</w:t>
            </w:r>
            <w:r w:rsidRPr="00F179AC">
              <w:t xml:space="preserve">.gada </w:t>
            </w:r>
            <w:r w:rsidR="006B55D7">
              <w:t>10.janvāra</w:t>
            </w:r>
            <w:r w:rsidRPr="00F179AC">
              <w:t xml:space="preserve"> noteikumu Nr.</w:t>
            </w:r>
            <w:r w:rsidR="006B55D7">
              <w:t xml:space="preserve">36 „Iepriekšējā izglītībā vai profesionālajā pieredzē sasniegtu studiju rezultātu atzīšanas noteikumi” (turpmāk – noteikumi Nr.36) 22.punktā ietverto regulējumu, kas nosaka, ka personai par iepriekšējā izglītībā vai profesionālajā pieredzē sasniegto studiju rezultātu atzīšanu var noteikt maksu koledžas noteiktajā kārtībā vai saskaņā ar Ministru kabineta noteikto maksas pakalpojuma cenrādi, ja tā ir valsts dibināta koledža. </w:t>
            </w:r>
          </w:p>
        </w:tc>
      </w:tr>
      <w:tr w:rsidR="00751F8C" w:rsidRPr="00917D09" w:rsidTr="00225BB6">
        <w:trPr>
          <w:trHeight w:val="472"/>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Pašreizējā situācija un problēmas</w:t>
            </w:r>
          </w:p>
        </w:tc>
        <w:tc>
          <w:tcPr>
            <w:tcW w:w="5047" w:type="dxa"/>
            <w:gridSpan w:val="6"/>
            <w:tcBorders>
              <w:top w:val="outset" w:sz="6" w:space="0" w:color="auto"/>
              <w:left w:val="outset" w:sz="6" w:space="0" w:color="auto"/>
              <w:bottom w:val="outset" w:sz="6" w:space="0" w:color="auto"/>
              <w:right w:val="outset" w:sz="6" w:space="0" w:color="auto"/>
            </w:tcBorders>
            <w:hideMark/>
          </w:tcPr>
          <w:p w:rsidR="00E61660" w:rsidRDefault="00A67CB5" w:rsidP="00DB55F1">
            <w:pPr>
              <w:ind w:left="113"/>
              <w:jc w:val="both"/>
            </w:pPr>
            <w:r>
              <w:t xml:space="preserve">2011.gada 1.augustā stājās spēkā grozījumi Augstskolu likumā. Veikto grozījumu rezultātā Augstskolu likums tika papildināts ar tiesību normām, kas regulē studijas ārpus studiju programmām. Augstskolu likuma  </w:t>
            </w:r>
            <w:r w:rsidR="00C61C05">
              <w:t xml:space="preserve">59.² panta piektā daļā ietvertais regulējums uzdod Ministru kabinetam noteikt iepriekšējā izglītībā vai profesionālajā pieredzē sasniegtu studiju rezultātu atzīšanas kārtību un kritērijus. </w:t>
            </w:r>
            <w:r w:rsidR="00E61660" w:rsidRPr="00F179AC">
              <w:t>20</w:t>
            </w:r>
            <w:r w:rsidR="00E61660">
              <w:t>12</w:t>
            </w:r>
            <w:r w:rsidR="00E61660" w:rsidRPr="00F179AC">
              <w:t xml:space="preserve">.gada </w:t>
            </w:r>
            <w:r w:rsidR="00E61660">
              <w:t>10.janvārī Ministru kabinets pieņēma</w:t>
            </w:r>
            <w:r w:rsidR="00E61660" w:rsidRPr="00F179AC">
              <w:t xml:space="preserve"> noteikumu</w:t>
            </w:r>
            <w:r w:rsidR="00E61660">
              <w:t>s</w:t>
            </w:r>
            <w:r w:rsidR="00E61660" w:rsidRPr="00F179AC">
              <w:t xml:space="preserve"> Nr.</w:t>
            </w:r>
            <w:r w:rsidR="00E61660">
              <w:t>36, kuru 22.punktā noteikts, ka koledža par iepriekšējā izglītībā vai profesionālajā pieredzē sasniegt</w:t>
            </w:r>
            <w:r w:rsidR="00D6608F">
              <w:t>u</w:t>
            </w:r>
            <w:r w:rsidR="00E61660">
              <w:t xml:space="preserve"> studiju rezultātu atzīšanu var noteikt maksu saskaņā ar Ministru kabineta noteikto maksas pakalpojuma cenrādi.</w:t>
            </w:r>
          </w:p>
          <w:p w:rsidR="00464DD2" w:rsidRPr="00E5060F" w:rsidRDefault="00DB55F1" w:rsidP="00210D6B">
            <w:pPr>
              <w:ind w:left="113"/>
              <w:jc w:val="both"/>
            </w:pPr>
            <w:r>
              <w:t xml:space="preserve">Šobrīd koledža sniedz maksas pakalpojumus, piemērojot Ministru kabineta 2009.gada 15.decembra noteikumus Nr.1435 </w:t>
            </w:r>
            <w:r w:rsidRPr="00F179AC">
              <w:t xml:space="preserve">„Noteikumi par Rīgas 1.medicīnas koledžas sniegto maksas </w:t>
            </w:r>
            <w:r w:rsidRPr="00F179AC">
              <w:lastRenderedPageBreak/>
              <w:t>pakalpojumu cenrādi”</w:t>
            </w:r>
            <w:r>
              <w:t xml:space="preserve"> (turpmāk – noteikumi Nr.1435).</w:t>
            </w:r>
            <w:r w:rsidR="00E61660">
              <w:t xml:space="preserve"> </w:t>
            </w:r>
            <w:r>
              <w:t xml:space="preserve">Lai koledža varētu saņemt maksu par </w:t>
            </w:r>
            <w:r w:rsidR="00E61660">
              <w:t>iepriekšējā izglītībā vai profesionālajā pieredzē sasniegtu studiju rezultātu atzīšanu</w:t>
            </w:r>
            <w:r>
              <w:t>,</w:t>
            </w:r>
            <w:r w:rsidR="0084767E">
              <w:t xml:space="preserve"> </w:t>
            </w:r>
            <w:r w:rsidR="00FF347B">
              <w:t xml:space="preserve">šis pakalpojums jāiekļauj </w:t>
            </w:r>
            <w:r w:rsidR="0084767E">
              <w:t>koledžas sniegto maksas pakalpojuma cenr</w:t>
            </w:r>
            <w:r w:rsidR="00FF347B">
              <w:t>ādī</w:t>
            </w:r>
            <w:r w:rsidR="0084767E">
              <w:t xml:space="preserve"> </w:t>
            </w:r>
            <w:r w:rsidR="00FF347B">
              <w:t>(pielikumā</w:t>
            </w:r>
            <w:r>
              <w:t xml:space="preserve">) </w:t>
            </w:r>
            <w:r w:rsidR="00FF347B">
              <w:t>un jānosaka tā izcenojums</w:t>
            </w:r>
            <w:r w:rsidR="002F635E">
              <w:t>.</w:t>
            </w:r>
          </w:p>
        </w:tc>
      </w:tr>
      <w:tr w:rsidR="00751F8C" w:rsidRPr="00917D09" w:rsidTr="00225BB6">
        <w:trPr>
          <w:trHeight w:val="511"/>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3.</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Saistītie politikas ietekmes novērtējumi un pētījumi</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07611D">
            <w:pPr>
              <w:ind w:left="113" w:right="113"/>
            </w:pPr>
            <w:r>
              <w:t>Noteikumu projekts šo jomu neskar.</w:t>
            </w:r>
          </w:p>
        </w:tc>
      </w:tr>
      <w:tr w:rsidR="00751F8C" w:rsidRPr="00917D09" w:rsidTr="00225BB6">
        <w:trPr>
          <w:trHeight w:val="65"/>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Tiesiskā regulējuma mērķis un būtība</w:t>
            </w:r>
          </w:p>
        </w:tc>
        <w:tc>
          <w:tcPr>
            <w:tcW w:w="5047" w:type="dxa"/>
            <w:gridSpan w:val="6"/>
            <w:tcBorders>
              <w:top w:val="outset" w:sz="6" w:space="0" w:color="auto"/>
              <w:left w:val="outset" w:sz="6" w:space="0" w:color="auto"/>
              <w:bottom w:val="outset" w:sz="6" w:space="0" w:color="auto"/>
              <w:right w:val="outset" w:sz="6" w:space="0" w:color="auto"/>
            </w:tcBorders>
            <w:hideMark/>
          </w:tcPr>
          <w:p w:rsidR="005C7DB9" w:rsidRDefault="00803AFC" w:rsidP="00DB55F1">
            <w:pPr>
              <w:ind w:left="113"/>
              <w:jc w:val="both"/>
            </w:pPr>
            <w:r w:rsidRPr="002F6838">
              <w:t>Noteikumu projekta mērķis ir izveidot tiesisko regulējumu maksai par</w:t>
            </w:r>
            <w:r w:rsidRPr="00F179AC">
              <w:t xml:space="preserve"> </w:t>
            </w:r>
            <w:r>
              <w:t xml:space="preserve">iepriekšējā izglītībā vai profesionālajā pieredzē sasniegto studiju rezultātu atzīšanu. </w:t>
            </w:r>
            <w:r w:rsidR="00DB55F1" w:rsidRPr="00F179AC">
              <w:t xml:space="preserve">Noteikumu projekts </w:t>
            </w:r>
            <w:r w:rsidR="00DB55F1">
              <w:t>paredz papildināt noteikumu Nr.1435 pielikumu ar jaunu maksas pakalpojumu - „i</w:t>
            </w:r>
            <w:r w:rsidR="00DB55F1" w:rsidRPr="000B72DB">
              <w:t>epriekšējā izglītībā vai profesionālajā pieredzē sasniegt</w:t>
            </w:r>
            <w:r w:rsidR="00D6608F">
              <w:t>u</w:t>
            </w:r>
            <w:r w:rsidR="00DB55F1" w:rsidRPr="000B72DB">
              <w:t xml:space="preserve"> studiju rezultātu atzīšana</w:t>
            </w:r>
            <w:r w:rsidR="00DB55F1">
              <w:t>”. I</w:t>
            </w:r>
            <w:r w:rsidR="00DB55F1" w:rsidRPr="000B72DB">
              <w:t>epriekšējā izglītībā vai profesionālajā pieredzē sasniegt</w:t>
            </w:r>
            <w:r w:rsidR="00ED3874">
              <w:t>u</w:t>
            </w:r>
            <w:r w:rsidR="00DB55F1" w:rsidRPr="000B72DB">
              <w:t xml:space="preserve"> studiju rezultātu atzīšana</w:t>
            </w:r>
            <w:r w:rsidR="00DB55F1">
              <w:t xml:space="preserve"> ir komplekss pasākums, kas sevī ietver ne tikai personas, kura vēlas, lai tiktu atzīti tās iepriekšējā izglītībā vai profesionālajā pieredzē sasniegtie studiju rezultāti, iesnieguma un pievienoto dokumentu, kas apliecina iepriekšējā izglītībā vai profesionālajā pieredzē sasniegtos studiju rezultātus, izskatīšanu un lēmuma pieņemšanu. Nepieciešamības gadījumā pretendentam var tikt noteikti arī pārbaudījumi iepriekšējā izglītībā vai profesionālajā pieredzē sasniegto studiju rezultātu novērtēšanai. Ņemot vērā šī pakalpojuma komplicētību, kā arī individuālo piemērošanas raksturu, augstāk minētais pakalpojums sadalīts vairākos</w:t>
            </w:r>
            <w:r w:rsidR="00E15122">
              <w:t xml:space="preserve"> atsevišķos maksas pakalpojumos:</w:t>
            </w:r>
          </w:p>
          <w:p w:rsidR="00E15122" w:rsidRDefault="00E15122" w:rsidP="005C7DB9">
            <w:pPr>
              <w:ind w:left="113" w:right="113"/>
              <w:jc w:val="both"/>
            </w:pPr>
            <w:r>
              <w:t xml:space="preserve"> </w:t>
            </w:r>
            <w:r w:rsidR="005C7DB9">
              <w:t>„</w:t>
            </w:r>
            <w:r>
              <w:t>5</w:t>
            </w:r>
            <w:r w:rsidR="005C7DB9" w:rsidRPr="000B39E0">
              <w:t xml:space="preserve">. </w:t>
            </w:r>
            <w:r>
              <w:t>Vērtējums par iepriekšējā izglītībā vai profesionālajā pieredzē sasniegto studiju rezultātu atzīšanu</w:t>
            </w:r>
          </w:p>
          <w:p w:rsidR="005C7DB9" w:rsidRDefault="00E15122" w:rsidP="005C7DB9">
            <w:pPr>
              <w:ind w:left="113" w:right="113"/>
              <w:jc w:val="both"/>
            </w:pPr>
            <w:r>
              <w:t xml:space="preserve">5.1. </w:t>
            </w:r>
            <w:r w:rsidR="005C7DB9" w:rsidRPr="000B39E0">
              <w:t>iesniegto dokumentu izvērtēšana un lēmuma sagatavošana</w:t>
            </w:r>
          </w:p>
          <w:p w:rsidR="005C7DB9" w:rsidRPr="000B39E0" w:rsidRDefault="00E15122" w:rsidP="005C7DB9">
            <w:pPr>
              <w:ind w:left="113" w:right="113"/>
              <w:jc w:val="both"/>
              <w:rPr>
                <w:lang w:val="pt-BR"/>
              </w:rPr>
            </w:pPr>
            <w:r>
              <w:rPr>
                <w:lang w:val="pt-BR"/>
              </w:rPr>
              <w:t>5</w:t>
            </w:r>
            <w:r w:rsidR="005C7DB9">
              <w:rPr>
                <w:lang w:val="pt-BR"/>
              </w:rPr>
              <w:t>.2. p</w:t>
            </w:r>
            <w:r w:rsidR="005C7DB9" w:rsidRPr="000B39E0">
              <w:rPr>
                <w:lang w:val="pt-BR"/>
              </w:rPr>
              <w:t>ārbaudījumi</w:t>
            </w:r>
          </w:p>
          <w:p w:rsidR="005C7DB9" w:rsidRPr="000B39E0" w:rsidRDefault="00E15122" w:rsidP="005C7DB9">
            <w:pPr>
              <w:ind w:left="113" w:right="113"/>
              <w:jc w:val="both"/>
            </w:pPr>
            <w:r>
              <w:t>5</w:t>
            </w:r>
            <w:r w:rsidR="005C7DB9" w:rsidRPr="000B39E0">
              <w:t xml:space="preserve">.2.1. ieskaite  </w:t>
            </w:r>
          </w:p>
          <w:p w:rsidR="005C7DB9" w:rsidRDefault="00E15122" w:rsidP="005C7DB9">
            <w:pPr>
              <w:ind w:left="113" w:right="113"/>
              <w:jc w:val="both"/>
            </w:pPr>
            <w:r>
              <w:t>5</w:t>
            </w:r>
            <w:r w:rsidR="005C7DB9" w:rsidRPr="00D379FC">
              <w:t xml:space="preserve">.2.2. eksāmens </w:t>
            </w:r>
          </w:p>
          <w:p w:rsidR="00E15122" w:rsidRDefault="00E15122" w:rsidP="005C7DB9">
            <w:pPr>
              <w:ind w:left="113" w:right="113"/>
              <w:jc w:val="both"/>
            </w:pPr>
            <w:r>
              <w:t>5</w:t>
            </w:r>
            <w:r w:rsidR="005C7DB9">
              <w:t>.2.3</w:t>
            </w:r>
            <w:r w:rsidR="005C7DB9" w:rsidRPr="00D379FC">
              <w:t xml:space="preserve">. </w:t>
            </w:r>
            <w:r>
              <w:t>praktiskais darba (manipulāciju veikšana)</w:t>
            </w:r>
          </w:p>
          <w:p w:rsidR="00E15122" w:rsidRDefault="00E15122" w:rsidP="005C7DB9">
            <w:pPr>
              <w:ind w:left="113" w:right="113"/>
              <w:jc w:val="both"/>
            </w:pPr>
            <w:r>
              <w:t xml:space="preserve">5.2.4. </w:t>
            </w:r>
            <w:r w:rsidR="005C7DB9" w:rsidRPr="00D379FC">
              <w:t>laboratorijas darbs</w:t>
            </w:r>
          </w:p>
          <w:p w:rsidR="005C7DB9" w:rsidRDefault="00E15122" w:rsidP="005C7DB9">
            <w:pPr>
              <w:ind w:left="113" w:right="113"/>
              <w:jc w:val="both"/>
            </w:pPr>
            <w:r>
              <w:t>5.2.5. patstāvīgais darbs</w:t>
            </w:r>
            <w:r w:rsidR="005C7DB9">
              <w:t xml:space="preserve">”. </w:t>
            </w:r>
          </w:p>
          <w:p w:rsidR="00210D6B" w:rsidRDefault="00210D6B" w:rsidP="00210D6B">
            <w:pPr>
              <w:ind w:left="113" w:right="113"/>
              <w:jc w:val="both"/>
            </w:pPr>
          </w:p>
          <w:p w:rsidR="00210D6B" w:rsidRDefault="00210D6B" w:rsidP="00210D6B">
            <w:pPr>
              <w:ind w:left="113" w:right="113"/>
              <w:jc w:val="both"/>
            </w:pPr>
            <w:r w:rsidRPr="00E5060F">
              <w:t>Koledža nav reģistrēta Valsts ieņēmumu dienesta ar pievienotās vērtības nodokli apliekamo personu reģistrā. Tāpēc noteikumu projekta pielikumā iekļautos pakalpojumus neapliek ar pievienotās vērtības nodokli saskaņā ar likuma „Par pievienotās vērtības nodokli” 3.panta 5</w:t>
            </w:r>
            <w:r w:rsidRPr="00E5060F">
              <w:rPr>
                <w:vertAlign w:val="superscript"/>
              </w:rPr>
              <w:t>3</w:t>
            </w:r>
            <w:r w:rsidRPr="00E5060F">
              <w:t xml:space="preserve"> </w:t>
            </w:r>
            <w:r w:rsidRPr="00E5060F">
              <w:lastRenderedPageBreak/>
              <w:t>daļu</w:t>
            </w:r>
            <w:r>
              <w:t>.</w:t>
            </w:r>
            <w:r w:rsidRPr="00E5060F">
              <w:t xml:space="preserve"> </w:t>
            </w:r>
            <w:r>
              <w:t>Noteikumu projekta pielikums satur arī pakalpojumus, kurus neapliek ar pievienotās vērtības nodokli saskaņā ar</w:t>
            </w:r>
            <w:r w:rsidRPr="001E66CF">
              <w:t xml:space="preserve"> likuma „Par pievienotās vērtības nodokli” 6.panta pirmās daļas 4.punktu un šīs d</w:t>
            </w:r>
            <w:r>
              <w:t>aļas 14.punkta „a” apakšpunktu.</w:t>
            </w:r>
          </w:p>
          <w:p w:rsidR="00210D6B" w:rsidRPr="004F4704" w:rsidRDefault="00210D6B" w:rsidP="00210D6B">
            <w:pPr>
              <w:ind w:left="113" w:right="113"/>
              <w:jc w:val="both"/>
              <w:rPr>
                <w:rStyle w:val="Strong"/>
                <w:b w:val="0"/>
              </w:rPr>
            </w:pPr>
            <w:r>
              <w:t>Noteikumu projekts pilnībā atrisinās</w:t>
            </w:r>
            <w:r w:rsidRPr="00F179AC">
              <w:t xml:space="preserve"> anotā</w:t>
            </w:r>
            <w:r>
              <w:t>cijas I sadaļas 2.punktā minēto</w:t>
            </w:r>
            <w:r w:rsidRPr="00F179AC">
              <w:t xml:space="preserve"> problēm</w:t>
            </w:r>
            <w:r>
              <w:t>u.</w:t>
            </w:r>
          </w:p>
        </w:tc>
      </w:tr>
      <w:tr w:rsidR="00751F8C" w:rsidRPr="00917D09" w:rsidTr="00225BB6">
        <w:trPr>
          <w:trHeight w:val="47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5.</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pPr>
            <w:r w:rsidRPr="00917D09">
              <w:t>Projekta izstrādē iesaistītās institūcijas</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DB55F1">
            <w:pPr>
              <w:ind w:left="113" w:right="113"/>
              <w:jc w:val="both"/>
              <w:rPr>
                <w:rStyle w:val="Strong"/>
                <w:b w:val="0"/>
                <w:bCs w:val="0"/>
              </w:rPr>
            </w:pPr>
            <w:r>
              <w:t xml:space="preserve">Izglītības un zinātnes ministrija, </w:t>
            </w:r>
            <w:r w:rsidR="00DB55F1">
              <w:t>Rīgas 1.medicīnas</w:t>
            </w:r>
            <w:r>
              <w:t xml:space="preserve"> koledža</w:t>
            </w:r>
          </w:p>
        </w:tc>
      </w:tr>
      <w:tr w:rsidR="00751F8C" w:rsidRPr="00917D09" w:rsidTr="00225BB6">
        <w:trPr>
          <w:trHeight w:val="52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right="126"/>
              <w:jc w:val="both"/>
            </w:pPr>
            <w:r w:rsidRPr="00917D09">
              <w:t>Iemesli, kādēļ netika nodrošināta  sabiedrības līdzdalība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9850A8" w:rsidP="0007611D">
            <w:pPr>
              <w:ind w:left="113" w:right="113"/>
              <w:jc w:val="both"/>
            </w:pPr>
            <w:r>
              <w:t>Sabiedrības līdzdalība netika nodrošināta, jo noteikumu projekts neparedz negatīvu ietekmi uz sabiedrību, bet tieši pretēji – paredz noteikt cenu pakalpojumam, kura piemērošanas rezultātā sabiedrības locekļiem būs iespējams atzīt iepriekšējā izglītībā vai profesionālajā pieredzē sasniegtos studiju rezultātus, saņemt par tiem kredītpunktus un rezultātā saīsināt studijām nepieciešamo laiku un izmaksas.</w:t>
            </w:r>
          </w:p>
        </w:tc>
      </w:tr>
      <w:tr w:rsidR="00751F8C" w:rsidRPr="00917D09" w:rsidTr="00225BB6">
        <w:trPr>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Cita informācija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4F01A7" w:rsidRDefault="00772719" w:rsidP="0007611D">
            <w:pPr>
              <w:ind w:left="113" w:right="113"/>
              <w:jc w:val="both"/>
            </w:pPr>
            <w:r>
              <w:t>Nav.</w:t>
            </w:r>
          </w:p>
        </w:tc>
      </w:tr>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07611D">
            <w:pPr>
              <w:ind w:left="113" w:right="113"/>
              <w:rPr>
                <w:b/>
                <w:bCs/>
              </w:rPr>
            </w:pPr>
          </w:p>
          <w:p w:rsidR="00751F8C" w:rsidRPr="00917D09" w:rsidRDefault="00751F8C" w:rsidP="0007611D">
            <w:pPr>
              <w:ind w:left="113" w:right="113"/>
              <w:jc w:val="center"/>
              <w:rPr>
                <w:b/>
                <w:bCs/>
              </w:rPr>
            </w:pPr>
            <w:r w:rsidRPr="00917D09">
              <w:rPr>
                <w:b/>
                <w:bCs/>
              </w:rPr>
              <w:t>II. Tiesību akta projekta ietekme uz sabiedrību</w:t>
            </w:r>
          </w:p>
        </w:tc>
      </w:tr>
      <w:tr w:rsidR="00751F8C" w:rsidRPr="00917D09" w:rsidTr="00225BB6">
        <w:trPr>
          <w:trHeight w:val="46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jc w:val="both"/>
            </w:pPr>
            <w:r w:rsidRPr="00917D09">
              <w:t xml:space="preserve">Sabiedrības </w:t>
            </w:r>
            <w:proofErr w:type="spellStart"/>
            <w:r w:rsidRPr="00917D09">
              <w:t>mērķgrupa</w:t>
            </w:r>
            <w:proofErr w:type="spellEnd"/>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BD3E5A" w:rsidRDefault="009850A8" w:rsidP="00FD725A">
            <w:pPr>
              <w:ind w:left="113" w:right="113"/>
              <w:jc w:val="both"/>
            </w:pPr>
            <w:r>
              <w:t xml:space="preserve">Personas, kuras, uzsākot studijas koledžā, vēlēsies saņemt atzinumu par iepriekšējā izglītībā vai profesionālajā pieredzē sasniegtiem studiju rezultātiem. Gadā plānotais šādu personu skaits – </w:t>
            </w:r>
            <w:r w:rsidR="00FD725A">
              <w:t>3</w:t>
            </w:r>
            <w:r>
              <w:t>0 personas.</w:t>
            </w:r>
          </w:p>
        </w:tc>
      </w:tr>
      <w:tr w:rsidR="00751F8C" w:rsidRPr="00917D09" w:rsidTr="00225BB6">
        <w:trPr>
          <w:trHeight w:val="523"/>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 xml:space="preserve">Citas sabiedrības grupas (bez </w:t>
            </w:r>
            <w:proofErr w:type="spellStart"/>
            <w:r w:rsidRPr="00917D09">
              <w:t>mērķgrupas</w:t>
            </w:r>
            <w:proofErr w:type="spellEnd"/>
            <w:r w:rsidRPr="00917D09">
              <w:t>), kuras tiesiskais regulējums arī ietekmē vai varētu ietekmēt</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378"/>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3.</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51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nefinansiālā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531"/>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5.</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Administratīvās procedūras raksturojums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35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Administratīvo izmaksu monetārs  novērtējums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Cita informācija</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751F8C" w:rsidP="0007611D">
            <w:pPr>
              <w:ind w:left="113" w:right="113"/>
              <w:jc w:val="both"/>
            </w:pPr>
            <w:r w:rsidRPr="00917D09">
              <w:t>Nav.</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796" w:type="dxa"/>
            <w:gridSpan w:val="10"/>
            <w:tcBorders>
              <w:top w:val="outset" w:sz="6" w:space="0" w:color="000000"/>
              <w:left w:val="outset" w:sz="6" w:space="0" w:color="000000"/>
              <w:bottom w:val="outset" w:sz="6" w:space="0" w:color="000000"/>
              <w:right w:val="outset" w:sz="6" w:space="0" w:color="000000"/>
            </w:tcBorders>
            <w:hideMark/>
          </w:tcPr>
          <w:p w:rsidR="00C23B92" w:rsidRPr="000911E6" w:rsidRDefault="00C23B92" w:rsidP="00C23B92">
            <w:pPr>
              <w:jc w:val="center"/>
              <w:rPr>
                <w:b/>
                <w:bCs/>
              </w:rPr>
            </w:pPr>
            <w:r w:rsidRPr="000911E6">
              <w:rPr>
                <w:b/>
                <w:bCs/>
              </w:rPr>
              <w:t>III. Tiesību akta projekta ietekme uz valsts budžetu un pašvaldību budžetiem</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rPr>
                <w:b/>
                <w:bCs/>
              </w:rPr>
            </w:pPr>
            <w:r w:rsidRPr="000911E6">
              <w:rPr>
                <w:b/>
                <w:bCs/>
              </w:rPr>
              <w:t>Rādītāji</w:t>
            </w:r>
          </w:p>
        </w:tc>
        <w:tc>
          <w:tcPr>
            <w:tcW w:w="3842"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2012</w:t>
            </w:r>
            <w:r w:rsidR="00C23B92" w:rsidRPr="000911E6">
              <w:rPr>
                <w:b/>
                <w:bCs/>
              </w:rPr>
              <w:t xml:space="preserve"> gads</w:t>
            </w:r>
          </w:p>
        </w:tc>
        <w:tc>
          <w:tcPr>
            <w:tcW w:w="3518"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Turpmākie trīs gadi (tūkst. latu)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3842" w:type="dxa"/>
            <w:gridSpan w:val="4"/>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2014</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2015</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Saskaņā ar valsts budžetu kārtējam gadam</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1</w:t>
            </w: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2</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5</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6</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lastRenderedPageBreak/>
              <w:t>1. Budžeta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BB40A8" w:rsidP="00C45AD8">
            <w:pPr>
              <w:spacing w:line="360" w:lineRule="auto"/>
              <w:jc w:val="center"/>
            </w:pPr>
            <w:r>
              <w:t>32,5</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1317D" w:rsidP="00C45AD8">
            <w:pPr>
              <w:spacing w:line="360" w:lineRule="auto"/>
              <w:jc w:val="center"/>
            </w:pPr>
            <w:r>
              <w:t>0,6</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1317D" w:rsidP="00C45AD8">
            <w:pPr>
              <w:spacing w:line="360" w:lineRule="auto"/>
              <w:jc w:val="center"/>
            </w:pPr>
            <w:r>
              <w:t>1,9</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1317D" w:rsidP="00C45AD8">
            <w:pPr>
              <w:spacing w:line="360" w:lineRule="auto"/>
              <w:jc w:val="center"/>
            </w:pPr>
            <w:r>
              <w:t>1,9</w:t>
            </w:r>
          </w:p>
        </w:tc>
        <w:tc>
          <w:tcPr>
            <w:tcW w:w="1530" w:type="dxa"/>
            <w:tcBorders>
              <w:top w:val="outset" w:sz="6" w:space="0" w:color="000000"/>
              <w:left w:val="outset" w:sz="6" w:space="0" w:color="000000"/>
              <w:bottom w:val="outset" w:sz="6" w:space="0" w:color="000000"/>
              <w:right w:val="outset" w:sz="6" w:space="0" w:color="000000"/>
            </w:tcBorders>
            <w:hideMark/>
          </w:tcPr>
          <w:p w:rsidR="00C23B92" w:rsidRPr="000911E6" w:rsidRDefault="00C1317D" w:rsidP="00C45AD8">
            <w:pPr>
              <w:spacing w:line="360" w:lineRule="auto"/>
              <w:jc w:val="center"/>
            </w:pPr>
            <w:r>
              <w:t>1,9</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1.1. valsts pamatbudžets, tai skaitā ieņēmumi no maksas pakalpo-jumiem un citi pašu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BB40A8" w:rsidP="00C45AD8">
            <w:pPr>
              <w:spacing w:line="360" w:lineRule="auto"/>
              <w:jc w:val="center"/>
            </w:pPr>
            <w:r>
              <w:t>32,5</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0,6</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1.2.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1.3.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2. Budžeta izdevumi: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BB40A8" w:rsidP="00C45AD8">
            <w:pPr>
              <w:spacing w:line="360" w:lineRule="auto"/>
              <w:jc w:val="center"/>
            </w:pPr>
            <w:r>
              <w:t>32,5</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0,6</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2.1.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BB40A8" w:rsidP="00C45AD8">
            <w:pPr>
              <w:spacing w:line="360" w:lineRule="auto"/>
              <w:jc w:val="center"/>
            </w:pPr>
            <w:r>
              <w:t>32,5</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0,6</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46656D">
            <w:pPr>
              <w:spacing w:line="360" w:lineRule="auto"/>
              <w:jc w:val="center"/>
            </w:pPr>
            <w:r>
              <w:t>1,9</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2.2.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2.3.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E301CC">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3. Finansiālā ietekme:</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3.1.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3.2.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3.3.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5. Precizēta finansiālā ietekme:</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5.1. valsts pamatbudžets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5.2. speciālais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5.3. pašvaldību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2559E8" w:rsidRPr="000911E6" w:rsidRDefault="002559E8" w:rsidP="00C45AD8">
            <w:pPr>
              <w:spacing w:line="360" w:lineRule="auto"/>
              <w:jc w:val="center"/>
            </w:pPr>
            <w:r>
              <w:t>0</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7360" w:type="dxa"/>
            <w:gridSpan w:val="7"/>
            <w:vMerge w:val="restart"/>
            <w:tcBorders>
              <w:top w:val="outset" w:sz="6" w:space="0" w:color="000000"/>
              <w:left w:val="outset" w:sz="6" w:space="0" w:color="000000"/>
              <w:bottom w:val="outset" w:sz="6" w:space="0" w:color="000000"/>
              <w:right w:val="outset" w:sz="6" w:space="0" w:color="000000"/>
            </w:tcBorders>
            <w:vAlign w:val="center"/>
            <w:hideMark/>
          </w:tcPr>
          <w:p w:rsidR="002559E8" w:rsidRPr="00F06E12" w:rsidRDefault="002559E8" w:rsidP="001401D2">
            <w:pPr>
              <w:pStyle w:val="naiskr"/>
              <w:spacing w:before="0" w:beforeAutospacing="0" w:after="0" w:afterAutospacing="0"/>
              <w:ind w:left="113" w:right="113"/>
              <w:jc w:val="both"/>
            </w:pPr>
            <w:r w:rsidRPr="00F06E12">
              <w:t xml:space="preserve">Atbilstoši likumam „Par valsts budžetu 2012.gadam” koledžas ieņēmumi no maksas pakalpojumiem un citi pašu ieņēmumi plānoti Ls </w:t>
            </w:r>
            <w:r w:rsidR="0004374E">
              <w:t>42180</w:t>
            </w:r>
            <w:r w:rsidRPr="00F06E12">
              <w:t xml:space="preserve"> (tajā skaitā no pamatbudžeta summas apakšprogrammā 03.11.00 „Koledžas”- Ls </w:t>
            </w:r>
            <w:r w:rsidR="0004374E">
              <w:t>32522</w:t>
            </w:r>
            <w:r w:rsidRPr="00F06E12">
              <w:t xml:space="preserve"> un </w:t>
            </w:r>
            <w:r w:rsidR="00A33BD3">
              <w:t>apakš</w:t>
            </w:r>
            <w:r w:rsidRPr="00F06E12">
              <w:t xml:space="preserve">programmā 02.01.00 „Profesionālās izglītības programmu īstenošana”- Ls </w:t>
            </w:r>
            <w:r w:rsidR="0004374E">
              <w:t>9658</w:t>
            </w:r>
            <w:r w:rsidRPr="00F06E12">
              <w:t xml:space="preserve">) un izdevumi no maksas pakalpojumiem un citiem pašu ieņēmumiem – Ls </w:t>
            </w:r>
            <w:r w:rsidR="0004374E">
              <w:t>42180</w:t>
            </w:r>
            <w:r w:rsidRPr="00F06E12">
              <w:t xml:space="preserve"> (tajā skaitā no pamatbudžeta summas apakšprogrammā 03.11.00 „Koledžas”- Ls </w:t>
            </w:r>
            <w:r w:rsidR="0004374E">
              <w:t>32522</w:t>
            </w:r>
            <w:r w:rsidRPr="00F06E12">
              <w:t xml:space="preserve"> un </w:t>
            </w:r>
            <w:r w:rsidR="00A33BD3">
              <w:t>apakš</w:t>
            </w:r>
            <w:r w:rsidRPr="00F06E12">
              <w:t xml:space="preserve">programmā 02.01.00 „Profesionālās izglītības programmu īstenošana”- Ls </w:t>
            </w:r>
            <w:r w:rsidR="0004374E">
              <w:t>9658</w:t>
            </w:r>
            <w:r w:rsidRPr="00F06E12">
              <w:t>).</w:t>
            </w:r>
          </w:p>
          <w:p w:rsidR="0004374E" w:rsidRDefault="0004374E" w:rsidP="001401D2">
            <w:pPr>
              <w:ind w:left="113" w:right="113"/>
              <w:jc w:val="both"/>
            </w:pPr>
          </w:p>
          <w:p w:rsidR="002559E8" w:rsidRPr="003123E0" w:rsidRDefault="002559E8" w:rsidP="001401D2">
            <w:pPr>
              <w:ind w:left="113" w:right="113"/>
              <w:jc w:val="both"/>
            </w:pPr>
            <w:r w:rsidRPr="003123E0">
              <w:t xml:space="preserve">Noteikumu projekts paredz </w:t>
            </w:r>
            <w:r>
              <w:t>šādas izmaiņas koledžas sniegto maksas pakalpojumu cenrādī:</w:t>
            </w:r>
          </w:p>
          <w:p w:rsidR="002559E8" w:rsidRPr="007C6362" w:rsidRDefault="002559E8" w:rsidP="00A11BB8">
            <w:pPr>
              <w:ind w:left="113" w:right="113"/>
              <w:rPr>
                <w:b/>
              </w:rPr>
            </w:pPr>
            <w:r>
              <w:rPr>
                <w:b/>
              </w:rPr>
              <w:t xml:space="preserve">5. </w:t>
            </w:r>
            <w:r w:rsidRPr="007C6362">
              <w:rPr>
                <w:b/>
              </w:rPr>
              <w:t>vērtējums par iepriekšējā izglītībā vai p</w:t>
            </w:r>
            <w:r w:rsidR="00E46353">
              <w:rPr>
                <w:b/>
              </w:rPr>
              <w:t>rofesionālajā pieredzē sasniegtu</w:t>
            </w:r>
            <w:r w:rsidRPr="007C6362">
              <w:rPr>
                <w:b/>
              </w:rPr>
              <w:t xml:space="preserve"> studiju rezultātu atzīšanu</w:t>
            </w:r>
            <w:r>
              <w:rPr>
                <w:b/>
              </w:rPr>
              <w:t>:</w:t>
            </w:r>
            <w:r w:rsidRPr="007C6362">
              <w:rPr>
                <w:b/>
              </w:rPr>
              <w:t xml:space="preserve"> </w:t>
            </w:r>
          </w:p>
          <w:p w:rsidR="002559E8" w:rsidRDefault="002559E8" w:rsidP="00A11BB8">
            <w:pPr>
              <w:ind w:left="113" w:right="113"/>
              <w:rPr>
                <w:b/>
                <w:bCs/>
              </w:rPr>
            </w:pPr>
            <w:r>
              <w:rPr>
                <w:b/>
                <w:bCs/>
              </w:rPr>
              <w:t>5.1. iesniegto dokumentu izvērtēšana un lēmuma sagatavošana – vienai personai</w:t>
            </w:r>
          </w:p>
          <w:p w:rsidR="002559E8" w:rsidRPr="00ED069F" w:rsidRDefault="002559E8" w:rsidP="00A11BB8">
            <w:pPr>
              <w:ind w:left="113" w:right="113"/>
              <w:jc w:val="both"/>
            </w:pPr>
            <w:r w:rsidRPr="00D31651">
              <w:t xml:space="preserve">Aprēķins veikts, ņemot vērā, ka dokumentu izskatīšanai, izvērtēšanai un lēmuma sagatavošanai vienai personai patērētais laiks ir 2,8 ak. stundas.  Stundas likme Ls 4,60, rēķinot no lektora likmes 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w:t>
            </w:r>
            <w:r w:rsidR="001835AC">
              <w:t>s likmi augstskolās un koledžās</w:t>
            </w:r>
            <w:r w:rsidR="001835AC" w:rsidRPr="00ED069F">
              <w:t>,</w:t>
            </w:r>
            <w:r w:rsidRPr="00ED069F">
              <w:t xml:space="preserve"> </w:t>
            </w:r>
            <w:r w:rsidR="001835AC" w:rsidRPr="00ED069F">
              <w:t>un prognozēto maksas pakalpojumu skaitu gadā – 30 personām.</w:t>
            </w:r>
          </w:p>
          <w:p w:rsidR="002559E8" w:rsidRDefault="002559E8" w:rsidP="00E34768">
            <w:pPr>
              <w:pStyle w:val="naiskr"/>
              <w:spacing w:before="0" w:beforeAutospacing="0" w:after="0" w:afterAutospacing="0"/>
              <w:ind w:left="113" w:right="113"/>
              <w:jc w:val="both"/>
            </w:pPr>
            <w:r>
              <w:t xml:space="preserve">Prognozētie ieņēmumi (arī laika periodam no 2013.gada līdz 2015.gadam) ik gadu tiek plānoti Ls </w:t>
            </w:r>
            <w:r w:rsidRPr="00E34768">
              <w:rPr>
                <w:b/>
              </w:rPr>
              <w:t>600,00</w:t>
            </w:r>
            <w:r>
              <w:t>; 2012.gada četros mēnešos (septembris-decembris) – Ls</w:t>
            </w:r>
            <w:r w:rsidRPr="00900B4F">
              <w:rPr>
                <w:b/>
              </w:rPr>
              <w:t xml:space="preserve"> </w:t>
            </w:r>
            <w:r>
              <w:rPr>
                <w:b/>
              </w:rPr>
              <w:t>200,00</w:t>
            </w:r>
            <w:r>
              <w:t>. Izdevumi tiek plānoti tādā pašā apmērā kā ieņēmumi.</w:t>
            </w:r>
          </w:p>
          <w:p w:rsidR="002559E8" w:rsidRPr="00D31651" w:rsidRDefault="002559E8" w:rsidP="009850A8">
            <w:pPr>
              <w:jc w:val="both"/>
            </w:pPr>
          </w:p>
          <w:p w:rsidR="002559E8" w:rsidRDefault="002559E8" w:rsidP="00A11BB8">
            <w:pPr>
              <w:ind w:left="113" w:right="113"/>
              <w:jc w:val="both"/>
              <w:rPr>
                <w:b/>
                <w:bCs/>
              </w:rPr>
            </w:pPr>
            <w:r>
              <w:rPr>
                <w:b/>
                <w:bCs/>
              </w:rPr>
              <w:t>5.2. Pārbaudījumi</w:t>
            </w:r>
          </w:p>
          <w:p w:rsidR="002559E8" w:rsidRDefault="002559E8" w:rsidP="00A11BB8">
            <w:pPr>
              <w:ind w:left="113" w:right="113"/>
              <w:jc w:val="both"/>
            </w:pPr>
            <w:r>
              <w:rPr>
                <w:b/>
                <w:bCs/>
              </w:rPr>
              <w:t>5.2.1. ieskaite – mērvienība viena ieskaite</w:t>
            </w:r>
          </w:p>
          <w:p w:rsidR="002559E8" w:rsidRDefault="002559E8" w:rsidP="00A11BB8">
            <w:pPr>
              <w:ind w:left="113" w:right="113"/>
              <w:jc w:val="both"/>
            </w:pPr>
            <w:r>
              <w:t xml:space="preserve">Aprēķins veikts, ņemot vērā, ka ieskaites individuālo uzdevumu sagatavošanai un noformēšanai patērētais laiks ir 0,5 ak. stundas, ieskaites pieņemšanai – 0,5 ak. stundas. Stundas likme Ls 4,60, rēķinot no lektora likmes saskaņā ar Ministru kabineta 2009.gada </w:t>
            </w:r>
            <w:r w:rsidRPr="00D31651">
              <w:t>28</w:t>
            </w:r>
            <w:r>
              <w:t>.jūlija</w:t>
            </w:r>
            <w:r w:rsidRPr="00D31651">
              <w:t xml:space="preserve"> noteikumos Nr.836 </w:t>
            </w:r>
            <w:r>
              <w:t xml:space="preserve">„Pedagogu darba samaksas noteikumi” apstiprināto pedagogu zemāko mēneša darba algas likmi augstskolās un koledžās. </w:t>
            </w:r>
          </w:p>
          <w:p w:rsidR="002559E8" w:rsidRDefault="002559E8" w:rsidP="008E4248">
            <w:pPr>
              <w:pStyle w:val="naiskr"/>
              <w:spacing w:before="0" w:beforeAutospacing="0" w:after="0" w:afterAutospacing="0"/>
              <w:ind w:left="113" w:right="113"/>
              <w:jc w:val="both"/>
            </w:pPr>
            <w:r>
              <w:t xml:space="preserve">Prognozētie ieņēmumi (arī laika periodam no 2013.gada līdz 2015.gadam) ik gadu tiek plānoti Ls </w:t>
            </w:r>
            <w:r w:rsidRPr="009D5D98">
              <w:rPr>
                <w:b/>
              </w:rPr>
              <w:t>1</w:t>
            </w:r>
            <w:r>
              <w:rPr>
                <w:b/>
              </w:rPr>
              <w:t>71,24</w:t>
            </w:r>
            <w:r>
              <w:t>; 2012.gada četros mēnešos (septembris-decembris) – Ls</w:t>
            </w:r>
            <w:r w:rsidRPr="00900B4F">
              <w:rPr>
                <w:b/>
              </w:rPr>
              <w:t xml:space="preserve"> 5</w:t>
            </w:r>
            <w:r>
              <w:rPr>
                <w:b/>
              </w:rPr>
              <w:t>7,</w:t>
            </w:r>
            <w:r w:rsidR="009506B9">
              <w:rPr>
                <w:b/>
              </w:rPr>
              <w:t>10</w:t>
            </w:r>
            <w:r>
              <w:t>. Izdevumi tiek plānoti tādā pašā apmērā kā ieņēmumi.</w:t>
            </w:r>
          </w:p>
          <w:p w:rsidR="002559E8" w:rsidRDefault="002559E8" w:rsidP="009850A8">
            <w:pPr>
              <w:jc w:val="both"/>
            </w:pPr>
          </w:p>
          <w:p w:rsidR="002559E8" w:rsidRDefault="002559E8" w:rsidP="006F73CB">
            <w:pPr>
              <w:ind w:left="113" w:right="113"/>
              <w:jc w:val="both"/>
            </w:pPr>
            <w:r>
              <w:rPr>
                <w:b/>
                <w:bCs/>
              </w:rPr>
              <w:t>5.2.2. eksāmens – mērvienība viens eksāmens</w:t>
            </w:r>
          </w:p>
          <w:p w:rsidR="002559E8" w:rsidRDefault="002559E8" w:rsidP="006F73CB">
            <w:pPr>
              <w:ind w:left="113" w:right="113"/>
              <w:jc w:val="both"/>
            </w:pPr>
            <w:r>
              <w:t xml:space="preserve">Aprēķins veikts, ņemot vērā ka eksāmena individuālo uzdevumu sagatavošanai un noformēšanai patērētais laiks ir 0,5 ak. stundas, eksāmena pieņemšanai – 0,5 ak. stundas. Stundas likme Ls 4,60, rēķinot no lektora likmes saskaņā ar Ministru kabineta 2009.gada </w:t>
            </w:r>
            <w:r w:rsidRPr="00D31651">
              <w:t>28</w:t>
            </w:r>
            <w:r>
              <w:t>.jūlija</w:t>
            </w:r>
            <w:r w:rsidRPr="00D31651">
              <w:t xml:space="preserve"> noteikumos Nr.836 </w:t>
            </w:r>
            <w:r>
              <w:t xml:space="preserve">„Pedagogu darba samaksas noteikumi” apstiprināto pedagogu zemāko mēneša darba algas likmi augstskolās un koledžās. </w:t>
            </w:r>
          </w:p>
          <w:p w:rsidR="002559E8" w:rsidRDefault="002559E8" w:rsidP="008E4248">
            <w:pPr>
              <w:pStyle w:val="naiskr"/>
              <w:spacing w:before="0" w:beforeAutospacing="0" w:after="0" w:afterAutospacing="0"/>
              <w:ind w:left="113" w:right="113"/>
              <w:jc w:val="both"/>
            </w:pPr>
            <w:r>
              <w:t xml:space="preserve">Prognozētie ieņēmumi (arī laika periodam no 2013.gada līdz 2015.gadam) ik gadu tiek plānoti Ls </w:t>
            </w:r>
            <w:r w:rsidRPr="00E34768">
              <w:rPr>
                <w:b/>
              </w:rPr>
              <w:t>342,49</w:t>
            </w:r>
            <w:r>
              <w:t>; 2012.gada četros mēnešos (septembris-decembris) – Ls</w:t>
            </w:r>
            <w:r w:rsidRPr="00900B4F">
              <w:rPr>
                <w:b/>
              </w:rPr>
              <w:t xml:space="preserve"> </w:t>
            </w:r>
            <w:r>
              <w:rPr>
                <w:b/>
              </w:rPr>
              <w:t>114,</w:t>
            </w:r>
            <w:r w:rsidR="009506B9">
              <w:rPr>
                <w:b/>
              </w:rPr>
              <w:t>20</w:t>
            </w:r>
            <w:r>
              <w:t>. Izdevumi tiek plānoti tādā pašā apmērā kā ieņēmumi.</w:t>
            </w:r>
          </w:p>
          <w:p w:rsidR="002559E8" w:rsidRDefault="002559E8" w:rsidP="009850A8">
            <w:pPr>
              <w:jc w:val="both"/>
              <w:rPr>
                <w:b/>
                <w:bCs/>
              </w:rPr>
            </w:pPr>
          </w:p>
          <w:p w:rsidR="002559E8" w:rsidRDefault="002559E8" w:rsidP="006F73CB">
            <w:pPr>
              <w:ind w:left="113" w:right="113"/>
              <w:jc w:val="both"/>
            </w:pPr>
            <w:r>
              <w:rPr>
                <w:b/>
                <w:bCs/>
              </w:rPr>
              <w:t>5.2.3. praktiskais darbs (manipulāciju veikšana) – mērvienība viens praktiskais darbs</w:t>
            </w:r>
          </w:p>
          <w:p w:rsidR="002559E8" w:rsidRDefault="002559E8" w:rsidP="006F73CB">
            <w:pPr>
              <w:ind w:left="113" w:right="113"/>
              <w:jc w:val="both"/>
            </w:pPr>
            <w:r>
              <w:t xml:space="preserve">Aprēķins veikts, pieņemot, ka praktiskā darba individuālo uzdevumu (manipulāciju) sagatavošanai patērētais laiks ir 0,5 ak. stundas un praktiskā darba pieņemšanai patērētais laiks ir 0,5 ak. stundas. Stundas likme Ls 4,60, rēķinot no lektora likmes saskaņā ar Ministru kabineta </w:t>
            </w:r>
            <w:r>
              <w:lastRenderedPageBreak/>
              <w:t xml:space="preserve">2009.gada </w:t>
            </w:r>
            <w:r w:rsidRPr="00D31651">
              <w:t>28</w:t>
            </w:r>
            <w:r>
              <w:t>.jūlija</w:t>
            </w:r>
            <w:r w:rsidRPr="00D31651">
              <w:t xml:space="preserve"> noteikumos Nr.836 </w:t>
            </w:r>
            <w:r>
              <w:t>„Pedagogu darba samaksas noteikumi” apstiprināto pedagogu zemāko mēneša darba algas likmi augstskolās un koledžās. Manipulācijām izmantojamo vienreizējo materiālu iegāde- Ls 3,00. Izmantojamo iekārtu amortizācija – Ls 1.29.</w:t>
            </w:r>
          </w:p>
          <w:p w:rsidR="002559E8" w:rsidRDefault="002559E8" w:rsidP="008E4248">
            <w:pPr>
              <w:pStyle w:val="naiskr"/>
              <w:spacing w:before="0" w:beforeAutospacing="0" w:after="0" w:afterAutospacing="0"/>
              <w:ind w:left="113" w:right="113"/>
              <w:jc w:val="both"/>
            </w:pPr>
            <w:r>
              <w:t xml:space="preserve">Prognozētie ieņēmumi (arī laika periodam no 2013.gada līdz 2015.gadam) ik gadu tiek plānoti Ls </w:t>
            </w:r>
            <w:r w:rsidRPr="00E34768">
              <w:rPr>
                <w:b/>
              </w:rPr>
              <w:t>3</w:t>
            </w:r>
            <w:r>
              <w:rPr>
                <w:b/>
              </w:rPr>
              <w:t>00,00</w:t>
            </w:r>
            <w:r>
              <w:t>; 2012.gada četros mēnešos (septembris-decembris) – Ls</w:t>
            </w:r>
            <w:r w:rsidRPr="00900B4F">
              <w:rPr>
                <w:b/>
              </w:rPr>
              <w:t xml:space="preserve"> </w:t>
            </w:r>
            <w:r>
              <w:rPr>
                <w:b/>
              </w:rPr>
              <w:t>100,00</w:t>
            </w:r>
            <w:r>
              <w:t>. Izdevumi tiek plānoti tādā pašā apmērā kā ieņēmumi.</w:t>
            </w:r>
          </w:p>
          <w:p w:rsidR="002559E8" w:rsidRDefault="002559E8" w:rsidP="009850A8">
            <w:pPr>
              <w:jc w:val="both"/>
            </w:pPr>
          </w:p>
          <w:p w:rsidR="002559E8" w:rsidRDefault="002559E8" w:rsidP="005205C5">
            <w:pPr>
              <w:ind w:left="113" w:right="113"/>
              <w:jc w:val="both"/>
            </w:pPr>
            <w:r>
              <w:rPr>
                <w:b/>
                <w:bCs/>
              </w:rPr>
              <w:t>5.2.4. laboratorijas darbs – mērvienība viens laboratorijas darbs</w:t>
            </w:r>
          </w:p>
          <w:p w:rsidR="002559E8" w:rsidRDefault="002559E8" w:rsidP="005205C5">
            <w:pPr>
              <w:ind w:left="113" w:right="113"/>
              <w:jc w:val="both"/>
            </w:pPr>
            <w:r>
              <w:t xml:space="preserve">Aprēķins veikts, pieņemot, ka laboratorijas darba individuālo uzdevumu sagatavošanai patērētais laiks ir 0,5 ak. stundas un laboratorijas darba pieņemšanai patērētais laiks ir 0,5 ak. stundas. Stundas likme ir Ls 4,60, rēķinot no lektora likmes saskaņā ar  Ministru kabineta 2009.gada </w:t>
            </w:r>
            <w:r w:rsidRPr="00D31651">
              <w:t>28</w:t>
            </w:r>
            <w:r>
              <w:t>.jūlija</w:t>
            </w:r>
            <w:r w:rsidRPr="00D31651">
              <w:t xml:space="preserve"> noteikumos Nr.836 </w:t>
            </w:r>
            <w:r>
              <w:t xml:space="preserve">„Pedagogu darba samaksas noteikumi” apstiprināto pedagogu zemāko mēneša darba algas likmi augstskolās un koledžās. Laboratorijas darbam nepieciešamo izejvielu izmaksas ir Ls 3,00 , iekārtu amortizācija Ls 1.29. </w:t>
            </w:r>
          </w:p>
          <w:p w:rsidR="002559E8" w:rsidRDefault="002559E8" w:rsidP="008A0FFE">
            <w:pPr>
              <w:pStyle w:val="naiskr"/>
              <w:spacing w:before="0" w:beforeAutospacing="0" w:after="0" w:afterAutospacing="0"/>
              <w:ind w:left="113" w:right="113"/>
              <w:jc w:val="both"/>
            </w:pPr>
            <w:r>
              <w:t xml:space="preserve">Prognozētie ieņēmumi (arī laika periodam no 2013.gada līdz 2015.gadam) ik gadu tiek plānoti Ls </w:t>
            </w:r>
            <w:r w:rsidRPr="00E34768">
              <w:rPr>
                <w:b/>
              </w:rPr>
              <w:t>3</w:t>
            </w:r>
            <w:r>
              <w:rPr>
                <w:b/>
              </w:rPr>
              <w:t>00,00</w:t>
            </w:r>
            <w:r>
              <w:t>; 2012.gada četros mēnešos (septembris-decembris) – Ls</w:t>
            </w:r>
            <w:r w:rsidRPr="00900B4F">
              <w:rPr>
                <w:b/>
              </w:rPr>
              <w:t xml:space="preserve"> </w:t>
            </w:r>
            <w:r>
              <w:rPr>
                <w:b/>
              </w:rPr>
              <w:t>100,00</w:t>
            </w:r>
            <w:r>
              <w:t>. Izdevumi tiek plānoti tādā pašā apmērā kā ieņēmumi.</w:t>
            </w:r>
          </w:p>
          <w:p w:rsidR="002559E8" w:rsidRDefault="002559E8" w:rsidP="009850A8">
            <w:pPr>
              <w:jc w:val="both"/>
            </w:pPr>
          </w:p>
          <w:p w:rsidR="002559E8" w:rsidRPr="00D022B6" w:rsidRDefault="002559E8" w:rsidP="005205C5">
            <w:pPr>
              <w:ind w:left="113" w:right="113"/>
              <w:jc w:val="both"/>
              <w:rPr>
                <w:b/>
              </w:rPr>
            </w:pPr>
            <w:r w:rsidRPr="00D022B6">
              <w:rPr>
                <w:b/>
              </w:rPr>
              <w:t>5.2.5. patstāvīgais darbs – mērvienība viens patstāvīgais darbs</w:t>
            </w:r>
          </w:p>
          <w:p w:rsidR="002559E8" w:rsidRDefault="002559E8" w:rsidP="005205C5">
            <w:pPr>
              <w:ind w:left="113" w:right="113"/>
              <w:jc w:val="both"/>
            </w:pPr>
            <w:r>
              <w:t xml:space="preserve">Patstāvīgais darbs var būt referāts vai cits individuāls, patstāvīgi veicams uzdevums ar noteiktu pārbaudes mērķi. Aprēķins veikts, pieņemot, ka patstāvīgā darba individuālo uzdevumu sagatavošanai patērētais laiks ir 0,5 ak. stundas un patstāvīgā darba pieņemšanai patērētais laiks ir 0,5 ak. stundas. Stundas likme ir 4,60 Ls, rēķinot no lektora likmes saskaņā ar Ministru kabineta 2009.gada </w:t>
            </w:r>
            <w:r w:rsidRPr="00D31651">
              <w:t>28</w:t>
            </w:r>
            <w:r>
              <w:t>.jūlija</w:t>
            </w:r>
            <w:r w:rsidRPr="00D31651">
              <w:t xml:space="preserve"> noteikumos Nr.836 </w:t>
            </w:r>
            <w:r>
              <w:t>„Pedagogu darba samaksas noteikumi” apstiprināto pedagogu zemāko mēneša darba algas likmi augstskolās un koledžās.</w:t>
            </w:r>
          </w:p>
          <w:p w:rsidR="002559E8" w:rsidRDefault="002559E8" w:rsidP="003F0E91">
            <w:pPr>
              <w:pStyle w:val="naiskr"/>
              <w:spacing w:before="0" w:beforeAutospacing="0" w:after="0" w:afterAutospacing="0"/>
              <w:ind w:left="113" w:right="113"/>
              <w:jc w:val="both"/>
            </w:pPr>
            <w:r>
              <w:t xml:space="preserve">Prognozētie ieņēmumi (arī laika periodam no 2013.gada līdz 2015.gadam) ik gadu tiek plānoti Ls </w:t>
            </w:r>
            <w:r w:rsidRPr="009D5D98">
              <w:rPr>
                <w:b/>
              </w:rPr>
              <w:t>1</w:t>
            </w:r>
            <w:r>
              <w:rPr>
                <w:b/>
              </w:rPr>
              <w:t>71,24</w:t>
            </w:r>
            <w:r>
              <w:t>; 2012.gada četros mēnešos (septembris-decembris) – Ls</w:t>
            </w:r>
            <w:r w:rsidRPr="00900B4F">
              <w:rPr>
                <w:b/>
              </w:rPr>
              <w:t xml:space="preserve"> 5</w:t>
            </w:r>
            <w:r>
              <w:rPr>
                <w:b/>
              </w:rPr>
              <w:t>7,</w:t>
            </w:r>
            <w:r w:rsidR="009506B9">
              <w:rPr>
                <w:b/>
              </w:rPr>
              <w:t>10</w:t>
            </w:r>
            <w:r>
              <w:t>. Izdevumi tiek plānoti tādā pašā apmērā kā ieņēmumi.</w:t>
            </w:r>
          </w:p>
          <w:p w:rsidR="002559E8" w:rsidRDefault="00ED3874" w:rsidP="009850A8">
            <w:pPr>
              <w:ind w:left="113" w:right="113"/>
              <w:jc w:val="both"/>
            </w:pPr>
            <w:r>
              <w:t>Pakalpojumu izcenojumu aprēķini pievienoti</w:t>
            </w:r>
            <w:r w:rsidR="002559E8">
              <w:t xml:space="preserve"> anotācijas pielikumā.</w:t>
            </w:r>
          </w:p>
          <w:p w:rsidR="002559E8" w:rsidRDefault="002559E8" w:rsidP="009850A8">
            <w:pPr>
              <w:ind w:left="113" w:right="113"/>
              <w:jc w:val="both"/>
            </w:pPr>
          </w:p>
          <w:p w:rsidR="002559E8" w:rsidRDefault="002559E8" w:rsidP="000705BE">
            <w:pPr>
              <w:ind w:left="113" w:right="113"/>
              <w:jc w:val="both"/>
            </w:pPr>
            <w:r>
              <w:t>Izmaiņas ieņēmumos</w:t>
            </w:r>
            <w:r w:rsidRPr="00F64F1E">
              <w:t xml:space="preserve"> kārtējā gadā, salīdzinot ar budžetu kārtējam gadam </w:t>
            </w:r>
            <w:r>
              <w:t xml:space="preserve">(četros mēnešos) tiek plānotas Ls </w:t>
            </w:r>
            <w:r w:rsidRPr="00272A80">
              <w:rPr>
                <w:b/>
              </w:rPr>
              <w:t>628,</w:t>
            </w:r>
            <w:r w:rsidR="009506B9">
              <w:rPr>
                <w:b/>
              </w:rPr>
              <w:t>40</w:t>
            </w:r>
            <w:r>
              <w:t xml:space="preserve"> apmērā, t.sk.:</w:t>
            </w:r>
          </w:p>
          <w:p w:rsidR="002559E8" w:rsidRPr="00122DD8" w:rsidRDefault="002559E8" w:rsidP="000705BE">
            <w:pPr>
              <w:ind w:left="113" w:right="113"/>
              <w:jc w:val="both"/>
            </w:pPr>
            <w:r>
              <w:t>5. V</w:t>
            </w:r>
            <w:r w:rsidRPr="00122DD8">
              <w:t>ērtējums par iepriekšējā izglītībā vai p</w:t>
            </w:r>
            <w:r w:rsidR="00E46353">
              <w:t>rofesionālajā pieredzē sasniegtu</w:t>
            </w:r>
            <w:r w:rsidRPr="00122DD8">
              <w:t xml:space="preserve"> studiju rezultātu atzīšanu</w:t>
            </w:r>
            <w:r>
              <w:t xml:space="preserve"> (lati)</w:t>
            </w:r>
            <w:r w:rsidRPr="00122DD8">
              <w:t xml:space="preserve">: </w:t>
            </w:r>
          </w:p>
          <w:p w:rsidR="002559E8" w:rsidRDefault="002559E8" w:rsidP="000705BE">
            <w:pPr>
              <w:ind w:left="113" w:right="113"/>
              <w:jc w:val="both"/>
            </w:pPr>
            <w:r>
              <w:t>5</w:t>
            </w:r>
            <w:r w:rsidRPr="00122DD8">
              <w:t>.1. iesniegto dokumentu izvērtēšana un lēmuma sagatavošana</w:t>
            </w:r>
            <w:r>
              <w:t xml:space="preserve"> –  200,00              </w:t>
            </w:r>
          </w:p>
          <w:p w:rsidR="002559E8" w:rsidRPr="00122DD8" w:rsidRDefault="002559E8" w:rsidP="000705BE">
            <w:pPr>
              <w:ind w:left="113" w:right="113"/>
              <w:jc w:val="both"/>
              <w:rPr>
                <w:lang w:val="pt-BR"/>
              </w:rPr>
            </w:pPr>
            <w:r>
              <w:rPr>
                <w:lang w:val="pt-BR"/>
              </w:rPr>
              <w:t>5.2. p</w:t>
            </w:r>
            <w:r w:rsidRPr="00122DD8">
              <w:rPr>
                <w:lang w:val="pt-BR"/>
              </w:rPr>
              <w:t>ārbaudījumi</w:t>
            </w:r>
            <w:r>
              <w:rPr>
                <w:lang w:val="pt-BR"/>
              </w:rPr>
              <w:t xml:space="preserve"> </w:t>
            </w:r>
          </w:p>
          <w:p w:rsidR="002559E8" w:rsidRPr="00122DD8" w:rsidRDefault="002559E8" w:rsidP="000705BE">
            <w:pPr>
              <w:ind w:left="113" w:right="113"/>
              <w:jc w:val="both"/>
            </w:pPr>
            <w:r>
              <w:t>5</w:t>
            </w:r>
            <w:r w:rsidRPr="00122DD8">
              <w:t xml:space="preserve">.2.1. ieskaite </w:t>
            </w:r>
            <w:r>
              <w:t>– 57,</w:t>
            </w:r>
            <w:r w:rsidR="009506B9">
              <w:t>10</w:t>
            </w:r>
            <w:r>
              <w:t xml:space="preserve"> </w:t>
            </w:r>
            <w:r w:rsidRPr="00122DD8">
              <w:t xml:space="preserve"> </w:t>
            </w:r>
          </w:p>
          <w:p w:rsidR="002559E8" w:rsidRPr="00122DD8" w:rsidRDefault="002559E8" w:rsidP="000705BE">
            <w:pPr>
              <w:ind w:left="113" w:right="113"/>
              <w:jc w:val="both"/>
            </w:pPr>
            <w:r>
              <w:t>5</w:t>
            </w:r>
            <w:r w:rsidRPr="00122DD8">
              <w:t xml:space="preserve">.2.2. eksāmens </w:t>
            </w:r>
            <w:r>
              <w:t>– 114,</w:t>
            </w:r>
            <w:r w:rsidR="009506B9">
              <w:t>20</w:t>
            </w:r>
            <w:r w:rsidRPr="00122DD8">
              <w:t xml:space="preserve"> </w:t>
            </w:r>
          </w:p>
          <w:p w:rsidR="002559E8" w:rsidRDefault="002559E8" w:rsidP="000705BE">
            <w:pPr>
              <w:ind w:left="113" w:right="113"/>
              <w:jc w:val="both"/>
            </w:pPr>
            <w:r>
              <w:t>5</w:t>
            </w:r>
            <w:r w:rsidRPr="00122DD8">
              <w:t xml:space="preserve">.2.3. </w:t>
            </w:r>
            <w:r>
              <w:t>praktiskais darbs (manipulāciju veikšana) – 100,00</w:t>
            </w:r>
          </w:p>
          <w:p w:rsidR="002559E8" w:rsidRPr="00122DD8" w:rsidRDefault="002559E8" w:rsidP="000705BE">
            <w:pPr>
              <w:ind w:left="113" w:right="113"/>
              <w:jc w:val="both"/>
            </w:pPr>
            <w:r>
              <w:t xml:space="preserve">5.2.4. </w:t>
            </w:r>
            <w:r w:rsidRPr="00122DD8">
              <w:t>laboratorijas darbs</w:t>
            </w:r>
            <w:r>
              <w:t xml:space="preserve"> –  100,00</w:t>
            </w:r>
            <w:r w:rsidRPr="00122DD8">
              <w:t xml:space="preserve"> </w:t>
            </w:r>
          </w:p>
          <w:p w:rsidR="002559E8" w:rsidRDefault="002559E8" w:rsidP="000705BE">
            <w:pPr>
              <w:ind w:left="113" w:right="113"/>
              <w:jc w:val="both"/>
            </w:pPr>
            <w:r>
              <w:t>5.2.5. patstāvīgais darbs – 57,</w:t>
            </w:r>
            <w:r w:rsidR="009506B9">
              <w:t>10</w:t>
            </w:r>
            <w:r>
              <w:t>.</w:t>
            </w:r>
          </w:p>
          <w:p w:rsidR="002559E8" w:rsidRDefault="002559E8" w:rsidP="000705BE">
            <w:pPr>
              <w:ind w:left="113" w:right="113"/>
              <w:jc w:val="both"/>
            </w:pPr>
          </w:p>
          <w:p w:rsidR="002559E8" w:rsidRDefault="002559E8" w:rsidP="000705BE">
            <w:pPr>
              <w:ind w:left="113" w:right="113"/>
              <w:jc w:val="both"/>
            </w:pPr>
            <w:r>
              <w:lastRenderedPageBreak/>
              <w:t>Izmaiņas ieņēmumos</w:t>
            </w:r>
            <w:r w:rsidRPr="00F64F1E">
              <w:t xml:space="preserve"> </w:t>
            </w:r>
            <w:r>
              <w:t>2013.-2015.</w:t>
            </w:r>
            <w:r w:rsidRPr="00F64F1E">
              <w:t xml:space="preserve">gadā salīdzinot ar budžetu kārtējam gadam </w:t>
            </w:r>
            <w:r>
              <w:t xml:space="preserve">ik gadu tiek plānotas Ls </w:t>
            </w:r>
            <w:r w:rsidRPr="00C1317D">
              <w:rPr>
                <w:b/>
              </w:rPr>
              <w:t>1884,97</w:t>
            </w:r>
            <w:r>
              <w:t xml:space="preserve"> apmērā, t.sk.:</w:t>
            </w:r>
          </w:p>
          <w:p w:rsidR="002559E8" w:rsidRPr="00122DD8" w:rsidRDefault="002559E8" w:rsidP="00272A80">
            <w:pPr>
              <w:ind w:left="113" w:right="113"/>
              <w:jc w:val="both"/>
            </w:pPr>
            <w:r>
              <w:t>5. V</w:t>
            </w:r>
            <w:r w:rsidRPr="00122DD8">
              <w:t>ērtējums par iepriekšējā izglītībā vai p</w:t>
            </w:r>
            <w:r w:rsidR="00E46353">
              <w:t>rofesionālajā pieredzē sasniegtu</w:t>
            </w:r>
            <w:r w:rsidRPr="00122DD8">
              <w:t xml:space="preserve"> studiju rezultātu atzīšanu</w:t>
            </w:r>
            <w:r>
              <w:t xml:space="preserve"> (lati)</w:t>
            </w:r>
            <w:r w:rsidRPr="00122DD8">
              <w:t xml:space="preserve">: </w:t>
            </w:r>
          </w:p>
          <w:p w:rsidR="002559E8" w:rsidRDefault="002559E8" w:rsidP="00272A80">
            <w:pPr>
              <w:ind w:left="113" w:right="113"/>
              <w:jc w:val="both"/>
            </w:pPr>
            <w:r>
              <w:t>5</w:t>
            </w:r>
            <w:r w:rsidRPr="00122DD8">
              <w:t>.1. iesniegto dokumentu izvērtēšana un lēmuma sagatavošana</w:t>
            </w:r>
            <w:r>
              <w:t xml:space="preserve"> –  600,00              </w:t>
            </w:r>
          </w:p>
          <w:p w:rsidR="002559E8" w:rsidRPr="00122DD8" w:rsidRDefault="002559E8" w:rsidP="00272A80">
            <w:pPr>
              <w:ind w:left="113" w:right="113"/>
              <w:jc w:val="both"/>
              <w:rPr>
                <w:lang w:val="pt-BR"/>
              </w:rPr>
            </w:pPr>
            <w:r>
              <w:rPr>
                <w:lang w:val="pt-BR"/>
              </w:rPr>
              <w:t>5.2. p</w:t>
            </w:r>
            <w:r w:rsidRPr="00122DD8">
              <w:rPr>
                <w:lang w:val="pt-BR"/>
              </w:rPr>
              <w:t>ārbaudījumi</w:t>
            </w:r>
            <w:r>
              <w:rPr>
                <w:lang w:val="pt-BR"/>
              </w:rPr>
              <w:t xml:space="preserve"> </w:t>
            </w:r>
          </w:p>
          <w:p w:rsidR="002559E8" w:rsidRPr="00122DD8" w:rsidRDefault="002559E8" w:rsidP="00272A80">
            <w:pPr>
              <w:ind w:left="113" w:right="113"/>
              <w:jc w:val="both"/>
            </w:pPr>
            <w:r>
              <w:t>5</w:t>
            </w:r>
            <w:r w:rsidRPr="00122DD8">
              <w:t xml:space="preserve">.2.1. ieskaite </w:t>
            </w:r>
            <w:r>
              <w:t xml:space="preserve">– 171,24 </w:t>
            </w:r>
            <w:r w:rsidRPr="00122DD8">
              <w:t xml:space="preserve"> </w:t>
            </w:r>
          </w:p>
          <w:p w:rsidR="002559E8" w:rsidRPr="00122DD8" w:rsidRDefault="002559E8" w:rsidP="00272A80">
            <w:pPr>
              <w:ind w:left="113" w:right="113"/>
              <w:jc w:val="both"/>
            </w:pPr>
            <w:r>
              <w:t>5</w:t>
            </w:r>
            <w:r w:rsidRPr="00122DD8">
              <w:t xml:space="preserve">.2.2. eksāmens </w:t>
            </w:r>
            <w:r>
              <w:t>– 342,49</w:t>
            </w:r>
            <w:r w:rsidRPr="00122DD8">
              <w:t xml:space="preserve"> </w:t>
            </w:r>
          </w:p>
          <w:p w:rsidR="002559E8" w:rsidRDefault="002559E8" w:rsidP="00272A80">
            <w:pPr>
              <w:ind w:left="113" w:right="113"/>
              <w:jc w:val="both"/>
            </w:pPr>
            <w:r>
              <w:t>5</w:t>
            </w:r>
            <w:r w:rsidRPr="00122DD8">
              <w:t xml:space="preserve">.2.3. </w:t>
            </w:r>
            <w:r>
              <w:t>praktiskais darbs (manipulāciju veikšana) – 300,00</w:t>
            </w:r>
          </w:p>
          <w:p w:rsidR="002559E8" w:rsidRPr="00122DD8" w:rsidRDefault="002559E8" w:rsidP="00272A80">
            <w:pPr>
              <w:ind w:left="113" w:right="113"/>
              <w:jc w:val="both"/>
            </w:pPr>
            <w:r>
              <w:t xml:space="preserve">5.2.4. </w:t>
            </w:r>
            <w:r w:rsidRPr="00122DD8">
              <w:t>laboratorijas darbs</w:t>
            </w:r>
            <w:r>
              <w:t xml:space="preserve"> –  300,00</w:t>
            </w:r>
            <w:r w:rsidRPr="00122DD8">
              <w:t xml:space="preserve"> </w:t>
            </w:r>
          </w:p>
          <w:p w:rsidR="002559E8" w:rsidRPr="000911E6" w:rsidRDefault="002559E8" w:rsidP="00272A80">
            <w:pPr>
              <w:ind w:left="113" w:right="113"/>
              <w:jc w:val="both"/>
            </w:pPr>
            <w:r>
              <w:t>5.2.5. patstāvīgais darbs – 171,24.</w:t>
            </w:r>
          </w:p>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t>6.1. detalizēts ieņēmumu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9D5D98"/>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lastRenderedPageBreak/>
              <w:t>6.2. detalizēts izdevumu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2559E8" w:rsidRPr="000911E6" w:rsidRDefault="002559E8" w:rsidP="009D5D98"/>
        </w:tc>
      </w:tr>
      <w:tr w:rsidR="002559E8"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rsidRPr="000911E6">
              <w:lastRenderedPageBreak/>
              <w:t>7. Cita informācija</w:t>
            </w:r>
          </w:p>
        </w:tc>
        <w:tc>
          <w:tcPr>
            <w:tcW w:w="7360" w:type="dxa"/>
            <w:gridSpan w:val="7"/>
            <w:tcBorders>
              <w:top w:val="outset" w:sz="6" w:space="0" w:color="000000"/>
              <w:left w:val="outset" w:sz="6" w:space="0" w:color="000000"/>
              <w:bottom w:val="outset" w:sz="6" w:space="0" w:color="000000"/>
              <w:right w:val="outset" w:sz="6" w:space="0" w:color="000000"/>
            </w:tcBorders>
            <w:hideMark/>
          </w:tcPr>
          <w:p w:rsidR="002559E8" w:rsidRPr="000911E6" w:rsidRDefault="002559E8" w:rsidP="009D5D98">
            <w:pPr>
              <w:spacing w:before="100" w:beforeAutospacing="1" w:after="100" w:afterAutospacing="1"/>
            </w:pPr>
            <w:r>
              <w:t>Nav</w:t>
            </w:r>
          </w:p>
        </w:tc>
      </w:tr>
    </w:tbl>
    <w:p w:rsidR="00751F8C" w:rsidRDefault="00751F8C" w:rsidP="00751F8C">
      <w:pPr>
        <w:pStyle w:val="Footer"/>
        <w:tabs>
          <w:tab w:val="clear" w:pos="4153"/>
          <w:tab w:val="clear" w:pos="8306"/>
        </w:tabs>
        <w:jc w:val="both"/>
        <w:rPr>
          <w:b/>
        </w:rPr>
      </w:pPr>
    </w:p>
    <w:p w:rsidR="0075292A" w:rsidRDefault="0075292A" w:rsidP="006550B7">
      <w:pPr>
        <w:pStyle w:val="Footer"/>
        <w:tabs>
          <w:tab w:val="clear" w:pos="4153"/>
          <w:tab w:val="clear" w:pos="8306"/>
        </w:tabs>
        <w:jc w:val="both"/>
        <w:rPr>
          <w:b/>
        </w:rPr>
      </w:pPr>
    </w:p>
    <w:p w:rsidR="008D2AFA" w:rsidRDefault="001A2053" w:rsidP="006550B7">
      <w:pPr>
        <w:pStyle w:val="Footer"/>
        <w:tabs>
          <w:tab w:val="clear" w:pos="4153"/>
          <w:tab w:val="clear" w:pos="8306"/>
        </w:tabs>
        <w:jc w:val="both"/>
        <w:rPr>
          <w:b/>
        </w:rPr>
      </w:pPr>
      <w:r>
        <w:rPr>
          <w:b/>
        </w:rPr>
        <w:t xml:space="preserve">Anotācijas </w:t>
      </w:r>
      <w:r w:rsidR="008D2AFA">
        <w:rPr>
          <w:b/>
        </w:rPr>
        <w:t>IV, V un</w:t>
      </w:r>
      <w:r>
        <w:rPr>
          <w:b/>
        </w:rPr>
        <w:t xml:space="preserve"> VI sadaļa – projekts šīs jomas neskar</w:t>
      </w:r>
    </w:p>
    <w:p w:rsidR="00751F8C" w:rsidRPr="00917D09" w:rsidRDefault="00751F8C" w:rsidP="006550B7">
      <w:pPr>
        <w:pStyle w:val="Footer"/>
        <w:tabs>
          <w:tab w:val="clear" w:pos="4153"/>
          <w:tab w:val="clear" w:pos="8306"/>
        </w:tabs>
        <w:jc w:val="both"/>
        <w:rPr>
          <w:bCs/>
        </w:rPr>
      </w:pPr>
      <w:r w:rsidRPr="00917D09">
        <w:rPr>
          <w:b/>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4666"/>
        <w:gridCol w:w="4368"/>
      </w:tblGrid>
      <w:tr w:rsidR="003B0609" w:rsidRPr="000911E6" w:rsidTr="009D5D98">
        <w:tc>
          <w:tcPr>
            <w:tcW w:w="0" w:type="auto"/>
            <w:gridSpan w:val="3"/>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jc w:val="center"/>
              <w:rPr>
                <w:b/>
                <w:bCs/>
              </w:rPr>
            </w:pPr>
            <w:r w:rsidRPr="000911E6">
              <w:rPr>
                <w:b/>
                <w:bCs/>
              </w:rPr>
              <w:t>VII. Tiesību akta projekta izpildes nodrošināšana un tās ietekme uz institūcijām</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1.</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9850A8" w:rsidP="009850A8">
            <w:pPr>
              <w:spacing w:before="100" w:beforeAutospacing="1" w:after="100" w:afterAutospacing="1"/>
            </w:pPr>
            <w:r>
              <w:t xml:space="preserve">Izglītības un zinātnes ministrija, Rīgas 1.medicīnas koledža </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2.</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3.</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Jaunu institūciju izveide</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4.</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likvidācija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5.</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reorganizācija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6.</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A16DC7" w:rsidRPr="000911E6" w:rsidRDefault="00A16DC7" w:rsidP="00A16DC7">
            <w:pPr>
              <w:spacing w:before="100" w:beforeAutospacing="1" w:after="100" w:afterAutospacing="1"/>
            </w:pPr>
            <w:r w:rsidRPr="000911E6">
              <w:t xml:space="preserve">Nav </w:t>
            </w:r>
          </w:p>
          <w:p w:rsidR="003B0609" w:rsidRPr="000911E6" w:rsidRDefault="003B0609" w:rsidP="009D5D98">
            <w:pPr>
              <w:spacing w:before="100" w:beforeAutospacing="1" w:after="100" w:afterAutospacing="1"/>
            </w:pPr>
          </w:p>
        </w:tc>
      </w:tr>
    </w:tbl>
    <w:p w:rsidR="00C440B7" w:rsidRDefault="00C440B7" w:rsidP="00C440B7">
      <w:pPr>
        <w:rPr>
          <w:bCs/>
        </w:rPr>
      </w:pPr>
    </w:p>
    <w:p w:rsidR="00C440B7" w:rsidRDefault="00C440B7" w:rsidP="00C440B7">
      <w:pPr>
        <w:rPr>
          <w:bCs/>
        </w:rPr>
      </w:pPr>
    </w:p>
    <w:p w:rsidR="00C440B7" w:rsidRPr="00C440B7" w:rsidRDefault="00C440B7" w:rsidP="00C440B7">
      <w:pPr>
        <w:rPr>
          <w:sz w:val="28"/>
          <w:szCs w:val="28"/>
        </w:rPr>
      </w:pPr>
      <w:r w:rsidRPr="00C440B7">
        <w:rPr>
          <w:sz w:val="28"/>
          <w:szCs w:val="28"/>
        </w:rPr>
        <w:t>Veselības ministre,</w:t>
      </w:r>
    </w:p>
    <w:p w:rsidR="00C440B7" w:rsidRPr="00BF7D4C" w:rsidRDefault="00C440B7" w:rsidP="00C440B7">
      <w:pPr>
        <w:jc w:val="both"/>
        <w:rPr>
          <w:sz w:val="28"/>
          <w:szCs w:val="28"/>
        </w:rPr>
      </w:pPr>
      <w:r w:rsidRPr="00C440B7">
        <w:rPr>
          <w:sz w:val="28"/>
          <w:szCs w:val="28"/>
        </w:rPr>
        <w:t xml:space="preserve">izglītības un zinātnes ministra pienākumu izpildītāja    </w:t>
      </w:r>
      <w:r>
        <w:rPr>
          <w:sz w:val="28"/>
          <w:szCs w:val="28"/>
        </w:rPr>
        <w:t xml:space="preserve">                    </w:t>
      </w:r>
      <w:proofErr w:type="spellStart"/>
      <w:r w:rsidRPr="00C440B7">
        <w:rPr>
          <w:sz w:val="28"/>
          <w:szCs w:val="28"/>
        </w:rPr>
        <w:t>I.Circene</w:t>
      </w:r>
      <w:proofErr w:type="spellEnd"/>
      <w:r>
        <w:rPr>
          <w:bCs/>
          <w:sz w:val="28"/>
          <w:szCs w:val="28"/>
        </w:rPr>
        <w:t xml:space="preserve"> </w:t>
      </w:r>
    </w:p>
    <w:p w:rsidR="00C440B7" w:rsidRDefault="00C440B7" w:rsidP="00C440B7">
      <w:pPr>
        <w:ind w:firstLine="709"/>
        <w:rPr>
          <w:szCs w:val="28"/>
        </w:rPr>
      </w:pPr>
    </w:p>
    <w:p w:rsidR="008D2AFA" w:rsidRPr="00BF7D4C" w:rsidRDefault="008D2AFA" w:rsidP="008D2AFA">
      <w:pPr>
        <w:jc w:val="both"/>
        <w:rPr>
          <w:bCs/>
          <w:sz w:val="28"/>
          <w:szCs w:val="28"/>
        </w:rPr>
      </w:pPr>
    </w:p>
    <w:p w:rsidR="00C440B7" w:rsidRPr="00C440B7" w:rsidRDefault="00C440B7" w:rsidP="00C440B7">
      <w:pPr>
        <w:autoSpaceDE w:val="0"/>
        <w:autoSpaceDN w:val="0"/>
        <w:adjustRightInd w:val="0"/>
        <w:rPr>
          <w:color w:val="000000"/>
          <w:sz w:val="28"/>
          <w:szCs w:val="28"/>
        </w:rPr>
      </w:pPr>
      <w:r w:rsidRPr="00C440B7">
        <w:rPr>
          <w:sz w:val="28"/>
          <w:szCs w:val="28"/>
        </w:rPr>
        <w:t xml:space="preserve">Vizē: </w:t>
      </w:r>
      <w:r w:rsidRPr="00C440B7">
        <w:rPr>
          <w:color w:val="000000"/>
          <w:sz w:val="28"/>
          <w:szCs w:val="28"/>
        </w:rPr>
        <w:t xml:space="preserve">Nodrošinājuma un finanšu departamenta  </w:t>
      </w:r>
    </w:p>
    <w:p w:rsidR="00C440B7" w:rsidRPr="00C440B7" w:rsidRDefault="00C440B7" w:rsidP="00C440B7">
      <w:pPr>
        <w:autoSpaceDE w:val="0"/>
        <w:autoSpaceDN w:val="0"/>
        <w:adjustRightInd w:val="0"/>
        <w:rPr>
          <w:color w:val="000000"/>
          <w:sz w:val="28"/>
          <w:szCs w:val="28"/>
        </w:rPr>
      </w:pPr>
      <w:r>
        <w:rPr>
          <w:color w:val="000000"/>
          <w:sz w:val="28"/>
          <w:szCs w:val="28"/>
        </w:rPr>
        <w:t xml:space="preserve">          </w:t>
      </w:r>
      <w:r w:rsidRPr="00C440B7">
        <w:rPr>
          <w:color w:val="000000"/>
          <w:sz w:val="28"/>
          <w:szCs w:val="28"/>
        </w:rPr>
        <w:t xml:space="preserve">direktora vietniece nodrošinājuma jomā, </w:t>
      </w:r>
    </w:p>
    <w:p w:rsidR="00C440B7" w:rsidRPr="00C440B7" w:rsidRDefault="00C440B7" w:rsidP="00C440B7">
      <w:pPr>
        <w:autoSpaceDE w:val="0"/>
        <w:autoSpaceDN w:val="0"/>
        <w:adjustRightInd w:val="0"/>
        <w:rPr>
          <w:color w:val="000000"/>
          <w:sz w:val="28"/>
          <w:szCs w:val="28"/>
        </w:rPr>
      </w:pPr>
      <w:r>
        <w:rPr>
          <w:color w:val="000000"/>
          <w:sz w:val="28"/>
          <w:szCs w:val="28"/>
        </w:rPr>
        <w:t xml:space="preserve">           </w:t>
      </w:r>
      <w:r w:rsidRPr="00C440B7">
        <w:rPr>
          <w:color w:val="000000"/>
          <w:sz w:val="28"/>
          <w:szCs w:val="28"/>
        </w:rPr>
        <w:t>valsts sekretāra pienākumu izpildītāja                            </w:t>
      </w:r>
      <w:r>
        <w:rPr>
          <w:color w:val="000000"/>
          <w:sz w:val="28"/>
          <w:szCs w:val="28"/>
        </w:rPr>
        <w:t xml:space="preserve">            </w:t>
      </w:r>
      <w:r w:rsidRPr="00C440B7">
        <w:rPr>
          <w:color w:val="000000"/>
          <w:sz w:val="28"/>
          <w:szCs w:val="28"/>
        </w:rPr>
        <w:t>   </w:t>
      </w:r>
      <w:proofErr w:type="spellStart"/>
      <w:r w:rsidRPr="00C440B7">
        <w:rPr>
          <w:color w:val="000000"/>
          <w:sz w:val="28"/>
          <w:szCs w:val="28"/>
        </w:rPr>
        <w:t>S.Sidiki</w:t>
      </w:r>
      <w:proofErr w:type="spellEnd"/>
      <w:r w:rsidRPr="00C440B7">
        <w:rPr>
          <w:color w:val="000000"/>
          <w:sz w:val="28"/>
          <w:szCs w:val="28"/>
        </w:rPr>
        <w:t xml:space="preserve"> </w:t>
      </w:r>
    </w:p>
    <w:p w:rsidR="008D2AFA" w:rsidRPr="00C440B7" w:rsidRDefault="008D2AFA" w:rsidP="008D2AFA">
      <w:pPr>
        <w:jc w:val="both"/>
        <w:rPr>
          <w:bCs/>
          <w:sz w:val="28"/>
          <w:szCs w:val="28"/>
        </w:rPr>
      </w:pPr>
    </w:p>
    <w:p w:rsidR="00751F8C" w:rsidRDefault="00751F8C" w:rsidP="00751F8C">
      <w:pPr>
        <w:pStyle w:val="Header"/>
        <w:rPr>
          <w:sz w:val="20"/>
        </w:rPr>
      </w:pPr>
    </w:p>
    <w:p w:rsidR="000322B4" w:rsidRDefault="000322B4" w:rsidP="008D2AFA">
      <w:pPr>
        <w:ind w:firstLine="720"/>
        <w:outlineLvl w:val="0"/>
        <w:rPr>
          <w:sz w:val="22"/>
          <w:szCs w:val="22"/>
        </w:rPr>
      </w:pPr>
    </w:p>
    <w:p w:rsidR="008D2AFA" w:rsidRPr="00DF0865" w:rsidRDefault="00C440B7" w:rsidP="008D2AFA">
      <w:pPr>
        <w:ind w:firstLine="720"/>
        <w:outlineLvl w:val="0"/>
        <w:rPr>
          <w:sz w:val="22"/>
          <w:szCs w:val="22"/>
        </w:rPr>
      </w:pPr>
      <w:r>
        <w:rPr>
          <w:sz w:val="22"/>
          <w:szCs w:val="22"/>
        </w:rPr>
        <w:t>19.07</w:t>
      </w:r>
      <w:r w:rsidR="008D2AFA">
        <w:rPr>
          <w:sz w:val="22"/>
          <w:szCs w:val="22"/>
        </w:rPr>
        <w:t>.2012</w:t>
      </w:r>
      <w:r w:rsidR="008D2AFA" w:rsidRPr="00DF0865">
        <w:rPr>
          <w:sz w:val="22"/>
          <w:szCs w:val="22"/>
        </w:rPr>
        <w:t xml:space="preserve">. </w:t>
      </w:r>
      <w:r w:rsidR="00C94D44">
        <w:rPr>
          <w:sz w:val="22"/>
          <w:szCs w:val="22"/>
        </w:rPr>
        <w:t>10:28</w:t>
      </w:r>
    </w:p>
    <w:p w:rsidR="008D2AFA" w:rsidRDefault="00C94D44" w:rsidP="008D2AFA">
      <w:pPr>
        <w:pStyle w:val="NoSpacing"/>
        <w:ind w:firstLine="720"/>
        <w:rPr>
          <w:sz w:val="20"/>
          <w:szCs w:val="20"/>
        </w:rPr>
      </w:pPr>
      <w:r>
        <w:rPr>
          <w:sz w:val="20"/>
          <w:szCs w:val="20"/>
        </w:rPr>
        <w:t>1876</w:t>
      </w:r>
    </w:p>
    <w:p w:rsidR="008D2AFA" w:rsidRDefault="008D2AFA" w:rsidP="008D2AFA">
      <w:pPr>
        <w:pStyle w:val="NoSpacing"/>
        <w:ind w:firstLine="720"/>
        <w:rPr>
          <w:sz w:val="20"/>
          <w:szCs w:val="20"/>
        </w:rPr>
      </w:pPr>
      <w:proofErr w:type="spellStart"/>
      <w:r>
        <w:rPr>
          <w:sz w:val="20"/>
          <w:szCs w:val="20"/>
        </w:rPr>
        <w:t>I.Rotberga</w:t>
      </w:r>
      <w:proofErr w:type="spellEnd"/>
      <w:r>
        <w:rPr>
          <w:sz w:val="20"/>
          <w:szCs w:val="20"/>
        </w:rPr>
        <w:t>, 67047824</w:t>
      </w:r>
    </w:p>
    <w:p w:rsidR="008D2AFA" w:rsidRDefault="008D2AFA" w:rsidP="00ED069F">
      <w:pPr>
        <w:pStyle w:val="NoSpacing"/>
        <w:ind w:firstLine="720"/>
      </w:pPr>
      <w:r>
        <w:rPr>
          <w:sz w:val="20"/>
          <w:szCs w:val="20"/>
        </w:rPr>
        <w:t>Izolde.rotberga@izm.gov.lv</w:t>
      </w:r>
    </w:p>
    <w:sectPr w:rsidR="008D2AFA" w:rsidSect="00C23B92">
      <w:headerReference w:type="default" r:id="rId7"/>
      <w:footerReference w:type="default" r:id="rId8"/>
      <w:footerReference w:type="first" r:id="rId9"/>
      <w:pgSz w:w="11906" w:h="16838"/>
      <w:pgMar w:top="1418" w:right="991" w:bottom="1134" w:left="1701" w:header="709" w:footer="1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BC" w:rsidRDefault="00771ABC" w:rsidP="00F450E7">
      <w:r>
        <w:separator/>
      </w:r>
    </w:p>
  </w:endnote>
  <w:endnote w:type="continuationSeparator" w:id="0">
    <w:p w:rsidR="00771ABC" w:rsidRDefault="00771ABC" w:rsidP="00F4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50" w:rsidRPr="00F67CB8" w:rsidRDefault="00C440B7" w:rsidP="006C4150">
    <w:pPr>
      <w:pStyle w:val="Footer"/>
      <w:jc w:val="both"/>
    </w:pPr>
    <w:r>
      <w:t>IZMAnot_1907</w:t>
    </w:r>
    <w:r w:rsidR="006C4150" w:rsidRPr="00BF7D4C">
      <w:t>12_</w:t>
    </w:r>
    <w:r w:rsidR="006C4150">
      <w:t>R1MK</w:t>
    </w:r>
    <w:r w:rsidR="006C4150" w:rsidRPr="00BF7D4C">
      <w:t xml:space="preserve">_CRgr; Ministru kabineta noteikumu </w:t>
    </w:r>
    <w:r w:rsidR="006C4150">
      <w:t>„</w:t>
    </w:r>
    <w:r w:rsidR="006C4150" w:rsidRPr="00F67CB8">
      <w:t xml:space="preserve">Grozījums Ministru </w:t>
    </w:r>
    <w:r w:rsidR="006C4150">
      <w:t xml:space="preserve">kabineta </w:t>
    </w:r>
    <w:r w:rsidR="006C4150" w:rsidRPr="00F67CB8">
      <w:t>2009.gad</w:t>
    </w:r>
    <w:r w:rsidR="006C4150">
      <w:t>a 15.decembra noteikumos Nr.1435</w:t>
    </w:r>
    <w:r w:rsidR="006C4150" w:rsidRPr="00F67CB8">
      <w:t xml:space="preserve"> „Noteikumi par </w:t>
    </w:r>
    <w:r w:rsidR="006C4150">
      <w:t>Rīgas 1.medicīnas koledžas</w:t>
    </w:r>
    <w:r w:rsidR="006C4150" w:rsidRPr="00F67CB8">
      <w:t xml:space="preserve"> sniegto maksas </w:t>
    </w:r>
    <w:r w:rsidR="006C4150">
      <w:t>p</w:t>
    </w:r>
    <w:r w:rsidR="006C4150" w:rsidRPr="00F67CB8">
      <w:t>akalpojumu cenrādi”</w:t>
    </w:r>
    <w:r w:rsidR="006C4150">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50" w:rsidRPr="00F67CB8" w:rsidRDefault="00C440B7" w:rsidP="006C4150">
    <w:pPr>
      <w:pStyle w:val="Footer"/>
      <w:jc w:val="both"/>
    </w:pPr>
    <w:r>
      <w:t>IZMAnot_1907</w:t>
    </w:r>
    <w:r w:rsidR="006C4150" w:rsidRPr="00BF7D4C">
      <w:t>12_</w:t>
    </w:r>
    <w:r w:rsidR="006C4150">
      <w:t>R1MK</w:t>
    </w:r>
    <w:r w:rsidR="006C4150" w:rsidRPr="00BF7D4C">
      <w:t xml:space="preserve">_CRgr; Ministru kabineta noteikumu </w:t>
    </w:r>
    <w:r w:rsidR="006C4150">
      <w:t>„</w:t>
    </w:r>
    <w:r w:rsidR="006C4150" w:rsidRPr="00F67CB8">
      <w:t xml:space="preserve">Grozījums Ministru </w:t>
    </w:r>
    <w:r w:rsidR="006C4150">
      <w:t xml:space="preserve">kabineta </w:t>
    </w:r>
    <w:r w:rsidR="006C4150" w:rsidRPr="00F67CB8">
      <w:t>2009.gad</w:t>
    </w:r>
    <w:r w:rsidR="006C4150">
      <w:t>a 15.decembra noteikumos Nr.1435</w:t>
    </w:r>
    <w:r w:rsidR="006C4150" w:rsidRPr="00F67CB8">
      <w:t xml:space="preserve"> „Noteikumi par </w:t>
    </w:r>
    <w:r w:rsidR="006C4150">
      <w:t>Rīgas 1.medicīnas koledžas</w:t>
    </w:r>
    <w:r w:rsidR="006C4150" w:rsidRPr="00F67CB8">
      <w:t xml:space="preserve"> sniegto maksas </w:t>
    </w:r>
    <w:r w:rsidR="006C4150">
      <w:t>p</w:t>
    </w:r>
    <w:r w:rsidR="006C4150" w:rsidRPr="00F67CB8">
      <w:t>akalpojumu cenrādi”</w:t>
    </w:r>
    <w:r w:rsidR="006C4150">
      <w:t>” projekta sākotnējās ietekmes novērtējuma ziņojums (anotācija)</w:t>
    </w:r>
  </w:p>
  <w:p w:rsidR="009D5D98" w:rsidRPr="005C6650" w:rsidRDefault="009D5D98" w:rsidP="005C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BC" w:rsidRDefault="00771ABC" w:rsidP="00F450E7">
      <w:r>
        <w:separator/>
      </w:r>
    </w:p>
  </w:footnote>
  <w:footnote w:type="continuationSeparator" w:id="0">
    <w:p w:rsidR="00771ABC" w:rsidRDefault="00771ABC" w:rsidP="00F4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98" w:rsidRDefault="00BC64AD">
    <w:pPr>
      <w:pStyle w:val="Header"/>
      <w:jc w:val="center"/>
    </w:pPr>
    <w:fldSimple w:instr=" PAGE   \* MERGEFORMAT ">
      <w:r w:rsidR="00C94D44">
        <w:rPr>
          <w:noProof/>
        </w:rPr>
        <w:t>8</w:t>
      </w:r>
    </w:fldSimple>
  </w:p>
  <w:p w:rsidR="009D5D98" w:rsidRDefault="009D5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841B7C"/>
    <w:lvl w:ilvl="0">
      <w:start w:val="1"/>
      <w:numFmt w:val="decimal"/>
      <w:lvlText w:val="%1."/>
      <w:lvlJc w:val="left"/>
      <w:pPr>
        <w:tabs>
          <w:tab w:val="num" w:pos="1492"/>
        </w:tabs>
        <w:ind w:left="1492" w:hanging="360"/>
      </w:pPr>
    </w:lvl>
  </w:abstractNum>
  <w:abstractNum w:abstractNumId="1">
    <w:nsid w:val="FFFFFF7D"/>
    <w:multiLevelType w:val="singleLevel"/>
    <w:tmpl w:val="E9028018"/>
    <w:lvl w:ilvl="0">
      <w:start w:val="1"/>
      <w:numFmt w:val="decimal"/>
      <w:lvlText w:val="%1."/>
      <w:lvlJc w:val="left"/>
      <w:pPr>
        <w:tabs>
          <w:tab w:val="num" w:pos="1209"/>
        </w:tabs>
        <w:ind w:left="1209" w:hanging="360"/>
      </w:pPr>
    </w:lvl>
  </w:abstractNum>
  <w:abstractNum w:abstractNumId="2">
    <w:nsid w:val="FFFFFF7E"/>
    <w:multiLevelType w:val="singleLevel"/>
    <w:tmpl w:val="AE625A7C"/>
    <w:lvl w:ilvl="0">
      <w:start w:val="1"/>
      <w:numFmt w:val="decimal"/>
      <w:lvlText w:val="%1."/>
      <w:lvlJc w:val="left"/>
      <w:pPr>
        <w:tabs>
          <w:tab w:val="num" w:pos="926"/>
        </w:tabs>
        <w:ind w:left="926" w:hanging="360"/>
      </w:pPr>
    </w:lvl>
  </w:abstractNum>
  <w:abstractNum w:abstractNumId="3">
    <w:nsid w:val="FFFFFF7F"/>
    <w:multiLevelType w:val="singleLevel"/>
    <w:tmpl w:val="3294AF02"/>
    <w:lvl w:ilvl="0">
      <w:start w:val="1"/>
      <w:numFmt w:val="decimal"/>
      <w:lvlText w:val="%1."/>
      <w:lvlJc w:val="left"/>
      <w:pPr>
        <w:tabs>
          <w:tab w:val="num" w:pos="643"/>
        </w:tabs>
        <w:ind w:left="643" w:hanging="360"/>
      </w:pPr>
    </w:lvl>
  </w:abstractNum>
  <w:abstractNum w:abstractNumId="4">
    <w:nsid w:val="FFFFFF80"/>
    <w:multiLevelType w:val="singleLevel"/>
    <w:tmpl w:val="753E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E9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41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EC8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FE41C8"/>
    <w:lvl w:ilvl="0">
      <w:start w:val="1"/>
      <w:numFmt w:val="decimal"/>
      <w:lvlText w:val="%1."/>
      <w:lvlJc w:val="left"/>
      <w:pPr>
        <w:tabs>
          <w:tab w:val="num" w:pos="360"/>
        </w:tabs>
        <w:ind w:left="360" w:hanging="360"/>
      </w:pPr>
    </w:lvl>
  </w:abstractNum>
  <w:abstractNum w:abstractNumId="9">
    <w:nsid w:val="FFFFFF89"/>
    <w:multiLevelType w:val="singleLevel"/>
    <w:tmpl w:val="F2B80F60"/>
    <w:lvl w:ilvl="0">
      <w:start w:val="1"/>
      <w:numFmt w:val="bullet"/>
      <w:lvlText w:val=""/>
      <w:lvlJc w:val="left"/>
      <w:pPr>
        <w:tabs>
          <w:tab w:val="num" w:pos="360"/>
        </w:tabs>
        <w:ind w:left="360" w:hanging="360"/>
      </w:pPr>
      <w:rPr>
        <w:rFonts w:ascii="Symbol" w:hAnsi="Symbol" w:hint="default"/>
      </w:rPr>
    </w:lvl>
  </w:abstractNum>
  <w:abstractNum w:abstractNumId="1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1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27DD"/>
    <w:rsid w:val="00013E66"/>
    <w:rsid w:val="000167BE"/>
    <w:rsid w:val="000174AB"/>
    <w:rsid w:val="0002181F"/>
    <w:rsid w:val="00024AC6"/>
    <w:rsid w:val="00027A06"/>
    <w:rsid w:val="000322B4"/>
    <w:rsid w:val="000323B3"/>
    <w:rsid w:val="00041440"/>
    <w:rsid w:val="000426A1"/>
    <w:rsid w:val="0004374E"/>
    <w:rsid w:val="00050CC0"/>
    <w:rsid w:val="000521AD"/>
    <w:rsid w:val="00052725"/>
    <w:rsid w:val="0005348C"/>
    <w:rsid w:val="00057BB8"/>
    <w:rsid w:val="00062C17"/>
    <w:rsid w:val="00067070"/>
    <w:rsid w:val="000705BE"/>
    <w:rsid w:val="00070BA5"/>
    <w:rsid w:val="00071F96"/>
    <w:rsid w:val="0007489C"/>
    <w:rsid w:val="0007611D"/>
    <w:rsid w:val="000855E1"/>
    <w:rsid w:val="00086164"/>
    <w:rsid w:val="000A737F"/>
    <w:rsid w:val="000A7A5B"/>
    <w:rsid w:val="000B2517"/>
    <w:rsid w:val="000B3D48"/>
    <w:rsid w:val="000B7B92"/>
    <w:rsid w:val="000C013B"/>
    <w:rsid w:val="000C0825"/>
    <w:rsid w:val="000C2A3E"/>
    <w:rsid w:val="000C30A5"/>
    <w:rsid w:val="000D023E"/>
    <w:rsid w:val="000D4CE0"/>
    <w:rsid w:val="000D5DB9"/>
    <w:rsid w:val="000D7300"/>
    <w:rsid w:val="000F24BD"/>
    <w:rsid w:val="000F2CED"/>
    <w:rsid w:val="00100921"/>
    <w:rsid w:val="001014CB"/>
    <w:rsid w:val="001039F1"/>
    <w:rsid w:val="00104334"/>
    <w:rsid w:val="00105C7D"/>
    <w:rsid w:val="00107552"/>
    <w:rsid w:val="00110F4F"/>
    <w:rsid w:val="0012352D"/>
    <w:rsid w:val="001255E1"/>
    <w:rsid w:val="0013337C"/>
    <w:rsid w:val="00134D3F"/>
    <w:rsid w:val="0013664D"/>
    <w:rsid w:val="001401D2"/>
    <w:rsid w:val="00150274"/>
    <w:rsid w:val="001602A5"/>
    <w:rsid w:val="00163F35"/>
    <w:rsid w:val="00170728"/>
    <w:rsid w:val="001720A1"/>
    <w:rsid w:val="001778D7"/>
    <w:rsid w:val="001835AC"/>
    <w:rsid w:val="00193D4B"/>
    <w:rsid w:val="001966AA"/>
    <w:rsid w:val="00196C79"/>
    <w:rsid w:val="001A02CE"/>
    <w:rsid w:val="001A2053"/>
    <w:rsid w:val="001B0962"/>
    <w:rsid w:val="001B4B8B"/>
    <w:rsid w:val="001B4D6B"/>
    <w:rsid w:val="001C0D22"/>
    <w:rsid w:val="001C1B2F"/>
    <w:rsid w:val="001C1D47"/>
    <w:rsid w:val="001C75B9"/>
    <w:rsid w:val="001D4215"/>
    <w:rsid w:val="001D5FF1"/>
    <w:rsid w:val="001D7028"/>
    <w:rsid w:val="001F10ED"/>
    <w:rsid w:val="001F43F6"/>
    <w:rsid w:val="001F7FD1"/>
    <w:rsid w:val="00200540"/>
    <w:rsid w:val="002031EB"/>
    <w:rsid w:val="00210D6B"/>
    <w:rsid w:val="00211994"/>
    <w:rsid w:val="0021440F"/>
    <w:rsid w:val="00225BB6"/>
    <w:rsid w:val="0023170A"/>
    <w:rsid w:val="00233EA0"/>
    <w:rsid w:val="002476C5"/>
    <w:rsid w:val="00247938"/>
    <w:rsid w:val="00247C3D"/>
    <w:rsid w:val="00253AC4"/>
    <w:rsid w:val="002559E8"/>
    <w:rsid w:val="00263899"/>
    <w:rsid w:val="00272A80"/>
    <w:rsid w:val="0027398B"/>
    <w:rsid w:val="00273D67"/>
    <w:rsid w:val="00273FF1"/>
    <w:rsid w:val="002743C5"/>
    <w:rsid w:val="002774A4"/>
    <w:rsid w:val="00293CC2"/>
    <w:rsid w:val="002A28EF"/>
    <w:rsid w:val="002A2C40"/>
    <w:rsid w:val="002A42BB"/>
    <w:rsid w:val="002A6DB0"/>
    <w:rsid w:val="002A7E62"/>
    <w:rsid w:val="002B3484"/>
    <w:rsid w:val="002B349D"/>
    <w:rsid w:val="002B7626"/>
    <w:rsid w:val="002B7A4F"/>
    <w:rsid w:val="002C77EA"/>
    <w:rsid w:val="002D47E8"/>
    <w:rsid w:val="002E03EC"/>
    <w:rsid w:val="002F03B1"/>
    <w:rsid w:val="002F1706"/>
    <w:rsid w:val="002F635E"/>
    <w:rsid w:val="00306807"/>
    <w:rsid w:val="00307F23"/>
    <w:rsid w:val="00312B15"/>
    <w:rsid w:val="00321786"/>
    <w:rsid w:val="00321A25"/>
    <w:rsid w:val="003239D0"/>
    <w:rsid w:val="003309C0"/>
    <w:rsid w:val="00335307"/>
    <w:rsid w:val="00336594"/>
    <w:rsid w:val="003459D6"/>
    <w:rsid w:val="003507E8"/>
    <w:rsid w:val="0035259B"/>
    <w:rsid w:val="0036318E"/>
    <w:rsid w:val="003676E7"/>
    <w:rsid w:val="00370532"/>
    <w:rsid w:val="00391E7A"/>
    <w:rsid w:val="0039397A"/>
    <w:rsid w:val="00394B47"/>
    <w:rsid w:val="00397A56"/>
    <w:rsid w:val="003A1F91"/>
    <w:rsid w:val="003A41C0"/>
    <w:rsid w:val="003A4470"/>
    <w:rsid w:val="003A6AC1"/>
    <w:rsid w:val="003A6E50"/>
    <w:rsid w:val="003B0609"/>
    <w:rsid w:val="003B2021"/>
    <w:rsid w:val="003B6AFE"/>
    <w:rsid w:val="003C0C91"/>
    <w:rsid w:val="003C5C17"/>
    <w:rsid w:val="003D09D2"/>
    <w:rsid w:val="003D6B7D"/>
    <w:rsid w:val="003D78E6"/>
    <w:rsid w:val="003E2D40"/>
    <w:rsid w:val="003E59B0"/>
    <w:rsid w:val="003E7E12"/>
    <w:rsid w:val="003F0E91"/>
    <w:rsid w:val="003F35F2"/>
    <w:rsid w:val="003F7135"/>
    <w:rsid w:val="003F7913"/>
    <w:rsid w:val="004031F0"/>
    <w:rsid w:val="00404877"/>
    <w:rsid w:val="0041034C"/>
    <w:rsid w:val="00416C15"/>
    <w:rsid w:val="0041772D"/>
    <w:rsid w:val="00423CAA"/>
    <w:rsid w:val="00424EE1"/>
    <w:rsid w:val="0044493F"/>
    <w:rsid w:val="004461C9"/>
    <w:rsid w:val="00453BF5"/>
    <w:rsid w:val="00464A9B"/>
    <w:rsid w:val="00464DD2"/>
    <w:rsid w:val="00482C33"/>
    <w:rsid w:val="00484032"/>
    <w:rsid w:val="0048573C"/>
    <w:rsid w:val="00490AF5"/>
    <w:rsid w:val="00491313"/>
    <w:rsid w:val="004940EF"/>
    <w:rsid w:val="00496B49"/>
    <w:rsid w:val="004A0771"/>
    <w:rsid w:val="004B0016"/>
    <w:rsid w:val="004B5452"/>
    <w:rsid w:val="004B6B80"/>
    <w:rsid w:val="004B773E"/>
    <w:rsid w:val="004C06A7"/>
    <w:rsid w:val="004C7F2E"/>
    <w:rsid w:val="004D0308"/>
    <w:rsid w:val="004D294C"/>
    <w:rsid w:val="004D7864"/>
    <w:rsid w:val="004D7C5C"/>
    <w:rsid w:val="004E2F8B"/>
    <w:rsid w:val="004E39F6"/>
    <w:rsid w:val="004E72FA"/>
    <w:rsid w:val="004F0160"/>
    <w:rsid w:val="004F01A7"/>
    <w:rsid w:val="004F3C64"/>
    <w:rsid w:val="00500450"/>
    <w:rsid w:val="00507CB7"/>
    <w:rsid w:val="005205C5"/>
    <w:rsid w:val="00520A3F"/>
    <w:rsid w:val="00523699"/>
    <w:rsid w:val="0052533B"/>
    <w:rsid w:val="005314B6"/>
    <w:rsid w:val="00541E15"/>
    <w:rsid w:val="00542240"/>
    <w:rsid w:val="0054384A"/>
    <w:rsid w:val="00567EB4"/>
    <w:rsid w:val="00573D38"/>
    <w:rsid w:val="00584886"/>
    <w:rsid w:val="005951BC"/>
    <w:rsid w:val="005A2A0B"/>
    <w:rsid w:val="005A6C6C"/>
    <w:rsid w:val="005B14DA"/>
    <w:rsid w:val="005B48B9"/>
    <w:rsid w:val="005C51D7"/>
    <w:rsid w:val="005C57DF"/>
    <w:rsid w:val="005C6650"/>
    <w:rsid w:val="005C7DB9"/>
    <w:rsid w:val="005D46A7"/>
    <w:rsid w:val="005D4E0C"/>
    <w:rsid w:val="005D519D"/>
    <w:rsid w:val="005D784B"/>
    <w:rsid w:val="005E1B53"/>
    <w:rsid w:val="005E4462"/>
    <w:rsid w:val="005E7559"/>
    <w:rsid w:val="0060297E"/>
    <w:rsid w:val="006138DE"/>
    <w:rsid w:val="006143F7"/>
    <w:rsid w:val="00614E7A"/>
    <w:rsid w:val="00615189"/>
    <w:rsid w:val="0062580D"/>
    <w:rsid w:val="006272AD"/>
    <w:rsid w:val="006443CE"/>
    <w:rsid w:val="00644559"/>
    <w:rsid w:val="00647246"/>
    <w:rsid w:val="006550B7"/>
    <w:rsid w:val="00655FAB"/>
    <w:rsid w:val="00656702"/>
    <w:rsid w:val="00656762"/>
    <w:rsid w:val="006623D0"/>
    <w:rsid w:val="006627B5"/>
    <w:rsid w:val="00667C6F"/>
    <w:rsid w:val="00675C29"/>
    <w:rsid w:val="00681EA1"/>
    <w:rsid w:val="00683398"/>
    <w:rsid w:val="00687767"/>
    <w:rsid w:val="006906BA"/>
    <w:rsid w:val="006A47ED"/>
    <w:rsid w:val="006A7F0E"/>
    <w:rsid w:val="006B55D7"/>
    <w:rsid w:val="006C21D4"/>
    <w:rsid w:val="006C29AF"/>
    <w:rsid w:val="006C4150"/>
    <w:rsid w:val="006D79A4"/>
    <w:rsid w:val="006F38F0"/>
    <w:rsid w:val="006F6FEA"/>
    <w:rsid w:val="006F73CB"/>
    <w:rsid w:val="00707ED7"/>
    <w:rsid w:val="00712ACF"/>
    <w:rsid w:val="007210B7"/>
    <w:rsid w:val="007461BC"/>
    <w:rsid w:val="00746D1A"/>
    <w:rsid w:val="007476CA"/>
    <w:rsid w:val="00751F8C"/>
    <w:rsid w:val="0075292A"/>
    <w:rsid w:val="00754F64"/>
    <w:rsid w:val="00756268"/>
    <w:rsid w:val="0076117D"/>
    <w:rsid w:val="00764ED0"/>
    <w:rsid w:val="00771ABC"/>
    <w:rsid w:val="0077264D"/>
    <w:rsid w:val="00772719"/>
    <w:rsid w:val="007835D7"/>
    <w:rsid w:val="00791404"/>
    <w:rsid w:val="007967B5"/>
    <w:rsid w:val="007974F8"/>
    <w:rsid w:val="007A4DBF"/>
    <w:rsid w:val="007A4F60"/>
    <w:rsid w:val="007B552D"/>
    <w:rsid w:val="007C00B1"/>
    <w:rsid w:val="007C099C"/>
    <w:rsid w:val="007C4C77"/>
    <w:rsid w:val="007C4D95"/>
    <w:rsid w:val="007D1D48"/>
    <w:rsid w:val="007D29E3"/>
    <w:rsid w:val="007E0D39"/>
    <w:rsid w:val="007E596E"/>
    <w:rsid w:val="007E761F"/>
    <w:rsid w:val="007F2336"/>
    <w:rsid w:val="00803AFC"/>
    <w:rsid w:val="0080532A"/>
    <w:rsid w:val="00813125"/>
    <w:rsid w:val="00816E7B"/>
    <w:rsid w:val="00817C84"/>
    <w:rsid w:val="008305EE"/>
    <w:rsid w:val="0083118F"/>
    <w:rsid w:val="00835249"/>
    <w:rsid w:val="00837273"/>
    <w:rsid w:val="00842D55"/>
    <w:rsid w:val="008455D4"/>
    <w:rsid w:val="0084767E"/>
    <w:rsid w:val="00847F5A"/>
    <w:rsid w:val="008505D9"/>
    <w:rsid w:val="00853451"/>
    <w:rsid w:val="008538BA"/>
    <w:rsid w:val="00855EE8"/>
    <w:rsid w:val="0085612B"/>
    <w:rsid w:val="00857F51"/>
    <w:rsid w:val="00861145"/>
    <w:rsid w:val="008662C9"/>
    <w:rsid w:val="00867425"/>
    <w:rsid w:val="00876804"/>
    <w:rsid w:val="00877B2E"/>
    <w:rsid w:val="00880B16"/>
    <w:rsid w:val="008813F7"/>
    <w:rsid w:val="00882D04"/>
    <w:rsid w:val="00885B61"/>
    <w:rsid w:val="00887B93"/>
    <w:rsid w:val="0089451C"/>
    <w:rsid w:val="008A0FFE"/>
    <w:rsid w:val="008A38CB"/>
    <w:rsid w:val="008A5A9F"/>
    <w:rsid w:val="008A7095"/>
    <w:rsid w:val="008A77F3"/>
    <w:rsid w:val="008B3440"/>
    <w:rsid w:val="008C6D19"/>
    <w:rsid w:val="008D2AFA"/>
    <w:rsid w:val="008D5A1B"/>
    <w:rsid w:val="008E4248"/>
    <w:rsid w:val="008E5221"/>
    <w:rsid w:val="00902465"/>
    <w:rsid w:val="00905CF9"/>
    <w:rsid w:val="00907431"/>
    <w:rsid w:val="009107B8"/>
    <w:rsid w:val="00911E2D"/>
    <w:rsid w:val="00917BD7"/>
    <w:rsid w:val="00921B2A"/>
    <w:rsid w:val="00921B6D"/>
    <w:rsid w:val="00937CAF"/>
    <w:rsid w:val="009506B9"/>
    <w:rsid w:val="0095768A"/>
    <w:rsid w:val="00963183"/>
    <w:rsid w:val="009734B1"/>
    <w:rsid w:val="0097725D"/>
    <w:rsid w:val="009850A8"/>
    <w:rsid w:val="00992521"/>
    <w:rsid w:val="00993544"/>
    <w:rsid w:val="009A11D6"/>
    <w:rsid w:val="009B6490"/>
    <w:rsid w:val="009B668C"/>
    <w:rsid w:val="009C3E0A"/>
    <w:rsid w:val="009C4FBA"/>
    <w:rsid w:val="009C6B18"/>
    <w:rsid w:val="009D5D98"/>
    <w:rsid w:val="009D7210"/>
    <w:rsid w:val="009E3331"/>
    <w:rsid w:val="00A0527F"/>
    <w:rsid w:val="00A060FE"/>
    <w:rsid w:val="00A10BBC"/>
    <w:rsid w:val="00A11A4C"/>
    <w:rsid w:val="00A11BB8"/>
    <w:rsid w:val="00A16B74"/>
    <w:rsid w:val="00A16DC7"/>
    <w:rsid w:val="00A27429"/>
    <w:rsid w:val="00A27B2C"/>
    <w:rsid w:val="00A300E9"/>
    <w:rsid w:val="00A33BD3"/>
    <w:rsid w:val="00A573E5"/>
    <w:rsid w:val="00A57415"/>
    <w:rsid w:val="00A67CB5"/>
    <w:rsid w:val="00A74716"/>
    <w:rsid w:val="00A7677C"/>
    <w:rsid w:val="00A826E2"/>
    <w:rsid w:val="00AA4D48"/>
    <w:rsid w:val="00AA6BBD"/>
    <w:rsid w:val="00AA6E98"/>
    <w:rsid w:val="00AB427E"/>
    <w:rsid w:val="00AC0ED5"/>
    <w:rsid w:val="00AC1384"/>
    <w:rsid w:val="00AC2B12"/>
    <w:rsid w:val="00AC754F"/>
    <w:rsid w:val="00AD37DB"/>
    <w:rsid w:val="00AD7558"/>
    <w:rsid w:val="00AD7D90"/>
    <w:rsid w:val="00AE0D56"/>
    <w:rsid w:val="00AE4831"/>
    <w:rsid w:val="00AF073B"/>
    <w:rsid w:val="00AF27DD"/>
    <w:rsid w:val="00AF44F7"/>
    <w:rsid w:val="00AF60B4"/>
    <w:rsid w:val="00B073BF"/>
    <w:rsid w:val="00B20CF6"/>
    <w:rsid w:val="00B316DD"/>
    <w:rsid w:val="00B31B99"/>
    <w:rsid w:val="00B3268C"/>
    <w:rsid w:val="00B35B88"/>
    <w:rsid w:val="00B37D4A"/>
    <w:rsid w:val="00B40A5A"/>
    <w:rsid w:val="00B47A3A"/>
    <w:rsid w:val="00B57408"/>
    <w:rsid w:val="00B65DA1"/>
    <w:rsid w:val="00B73776"/>
    <w:rsid w:val="00B76BF2"/>
    <w:rsid w:val="00B77105"/>
    <w:rsid w:val="00B84474"/>
    <w:rsid w:val="00B8633D"/>
    <w:rsid w:val="00B90D56"/>
    <w:rsid w:val="00B94D0D"/>
    <w:rsid w:val="00B96F37"/>
    <w:rsid w:val="00BB40A8"/>
    <w:rsid w:val="00BC64AD"/>
    <w:rsid w:val="00BD09C6"/>
    <w:rsid w:val="00BD177B"/>
    <w:rsid w:val="00BD2FA9"/>
    <w:rsid w:val="00BD3E5A"/>
    <w:rsid w:val="00C05C38"/>
    <w:rsid w:val="00C1123F"/>
    <w:rsid w:val="00C128D2"/>
    <w:rsid w:val="00C1317D"/>
    <w:rsid w:val="00C15595"/>
    <w:rsid w:val="00C16040"/>
    <w:rsid w:val="00C17760"/>
    <w:rsid w:val="00C22A99"/>
    <w:rsid w:val="00C23B92"/>
    <w:rsid w:val="00C30116"/>
    <w:rsid w:val="00C3155C"/>
    <w:rsid w:val="00C440B7"/>
    <w:rsid w:val="00C44D63"/>
    <w:rsid w:val="00C452C2"/>
    <w:rsid w:val="00C45AD8"/>
    <w:rsid w:val="00C50209"/>
    <w:rsid w:val="00C50CE8"/>
    <w:rsid w:val="00C51E36"/>
    <w:rsid w:val="00C52583"/>
    <w:rsid w:val="00C52CBF"/>
    <w:rsid w:val="00C55259"/>
    <w:rsid w:val="00C56BB5"/>
    <w:rsid w:val="00C608D8"/>
    <w:rsid w:val="00C61C05"/>
    <w:rsid w:val="00C62DE1"/>
    <w:rsid w:val="00C63685"/>
    <w:rsid w:val="00C708AB"/>
    <w:rsid w:val="00C72650"/>
    <w:rsid w:val="00C808F5"/>
    <w:rsid w:val="00C90504"/>
    <w:rsid w:val="00C9114B"/>
    <w:rsid w:val="00C932EE"/>
    <w:rsid w:val="00C942AB"/>
    <w:rsid w:val="00C94A7E"/>
    <w:rsid w:val="00C94D44"/>
    <w:rsid w:val="00CB25D6"/>
    <w:rsid w:val="00CB7038"/>
    <w:rsid w:val="00CC5B70"/>
    <w:rsid w:val="00CC5E01"/>
    <w:rsid w:val="00CC5E2E"/>
    <w:rsid w:val="00CD14DE"/>
    <w:rsid w:val="00CD3486"/>
    <w:rsid w:val="00CD379A"/>
    <w:rsid w:val="00CF0695"/>
    <w:rsid w:val="00CF1E54"/>
    <w:rsid w:val="00D007C9"/>
    <w:rsid w:val="00D022B6"/>
    <w:rsid w:val="00D10F9E"/>
    <w:rsid w:val="00D12648"/>
    <w:rsid w:val="00D1401A"/>
    <w:rsid w:val="00D17EBE"/>
    <w:rsid w:val="00D20847"/>
    <w:rsid w:val="00D33FB5"/>
    <w:rsid w:val="00D3409D"/>
    <w:rsid w:val="00D47B61"/>
    <w:rsid w:val="00D513D8"/>
    <w:rsid w:val="00D518D4"/>
    <w:rsid w:val="00D56CF1"/>
    <w:rsid w:val="00D607E4"/>
    <w:rsid w:val="00D63252"/>
    <w:rsid w:val="00D64791"/>
    <w:rsid w:val="00D6608F"/>
    <w:rsid w:val="00D676A4"/>
    <w:rsid w:val="00D740AE"/>
    <w:rsid w:val="00D90192"/>
    <w:rsid w:val="00D9107C"/>
    <w:rsid w:val="00DA7CDE"/>
    <w:rsid w:val="00DB55F1"/>
    <w:rsid w:val="00DC3076"/>
    <w:rsid w:val="00DC4A47"/>
    <w:rsid w:val="00DC6B22"/>
    <w:rsid w:val="00DC6C79"/>
    <w:rsid w:val="00DD1473"/>
    <w:rsid w:val="00DD3CDC"/>
    <w:rsid w:val="00DE1AAF"/>
    <w:rsid w:val="00DE1B27"/>
    <w:rsid w:val="00DF0594"/>
    <w:rsid w:val="00DF0865"/>
    <w:rsid w:val="00DF265F"/>
    <w:rsid w:val="00DF5814"/>
    <w:rsid w:val="00DF6EDF"/>
    <w:rsid w:val="00E15122"/>
    <w:rsid w:val="00E175A6"/>
    <w:rsid w:val="00E230A9"/>
    <w:rsid w:val="00E24751"/>
    <w:rsid w:val="00E25137"/>
    <w:rsid w:val="00E34768"/>
    <w:rsid w:val="00E46353"/>
    <w:rsid w:val="00E500FE"/>
    <w:rsid w:val="00E5060F"/>
    <w:rsid w:val="00E5368D"/>
    <w:rsid w:val="00E57913"/>
    <w:rsid w:val="00E61660"/>
    <w:rsid w:val="00E621FA"/>
    <w:rsid w:val="00E6313D"/>
    <w:rsid w:val="00E712E0"/>
    <w:rsid w:val="00E81DE0"/>
    <w:rsid w:val="00E84830"/>
    <w:rsid w:val="00E86DE6"/>
    <w:rsid w:val="00E965BD"/>
    <w:rsid w:val="00EA177E"/>
    <w:rsid w:val="00EA59ED"/>
    <w:rsid w:val="00EA6E1C"/>
    <w:rsid w:val="00EB2811"/>
    <w:rsid w:val="00EB6DF1"/>
    <w:rsid w:val="00EC1D45"/>
    <w:rsid w:val="00EC4411"/>
    <w:rsid w:val="00EC5465"/>
    <w:rsid w:val="00ED069F"/>
    <w:rsid w:val="00ED3874"/>
    <w:rsid w:val="00ED3B76"/>
    <w:rsid w:val="00ED79A6"/>
    <w:rsid w:val="00EE1B80"/>
    <w:rsid w:val="00EF7E12"/>
    <w:rsid w:val="00F00AF4"/>
    <w:rsid w:val="00F00CF0"/>
    <w:rsid w:val="00F00F59"/>
    <w:rsid w:val="00F01A43"/>
    <w:rsid w:val="00F02B63"/>
    <w:rsid w:val="00F07B1A"/>
    <w:rsid w:val="00F12176"/>
    <w:rsid w:val="00F12231"/>
    <w:rsid w:val="00F17CC6"/>
    <w:rsid w:val="00F450E7"/>
    <w:rsid w:val="00F50CE5"/>
    <w:rsid w:val="00F52120"/>
    <w:rsid w:val="00F537DB"/>
    <w:rsid w:val="00F54188"/>
    <w:rsid w:val="00F61ADF"/>
    <w:rsid w:val="00F635C5"/>
    <w:rsid w:val="00F70912"/>
    <w:rsid w:val="00F75137"/>
    <w:rsid w:val="00F75198"/>
    <w:rsid w:val="00F77572"/>
    <w:rsid w:val="00F77C63"/>
    <w:rsid w:val="00F80EBE"/>
    <w:rsid w:val="00F8197D"/>
    <w:rsid w:val="00F940BE"/>
    <w:rsid w:val="00F957DA"/>
    <w:rsid w:val="00FB7732"/>
    <w:rsid w:val="00FC4E41"/>
    <w:rsid w:val="00FD64A6"/>
    <w:rsid w:val="00FD725A"/>
    <w:rsid w:val="00FE2598"/>
    <w:rsid w:val="00FE51E4"/>
    <w:rsid w:val="00FE6A0E"/>
    <w:rsid w:val="00FF347B"/>
    <w:rsid w:val="00FF46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basedOn w:val="DefaultParagraphFont"/>
    <w:link w:val="Footer"/>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basedOn w:val="DefaultParagraphFont"/>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basedOn w:val="DefaultParagraphFont"/>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unhideWhenUsed/>
    <w:rsid w:val="00F450E7"/>
    <w:rPr>
      <w:rFonts w:ascii="Tahoma" w:hAnsi="Tahoma" w:cs="Tahoma"/>
      <w:sz w:val="16"/>
      <w:szCs w:val="16"/>
    </w:rPr>
  </w:style>
  <w:style w:type="character" w:customStyle="1" w:styleId="BalloonTextChar">
    <w:name w:val="Balloon Text Char"/>
    <w:basedOn w:val="DefaultParagraphFont"/>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basedOn w:val="DefaultParagraphFont"/>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basedOn w:val="DefaultParagraphFont"/>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basedOn w:val="DefaultParagraphFont"/>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basedOn w:val="CommentTextChar"/>
    <w:link w:val="CommentSubject"/>
    <w:uiPriority w:val="99"/>
    <w:semiHidden/>
    <w:rsid w:val="000F2CED"/>
    <w:rPr>
      <w:b/>
      <w:bCs/>
    </w:rPr>
  </w:style>
  <w:style w:type="character" w:customStyle="1" w:styleId="Heading1Char">
    <w:name w:val="Heading 1 Char"/>
    <w:basedOn w:val="DefaultParagraphFont"/>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nhideWhenUsed/>
    <w:rsid w:val="00C22A99"/>
    <w:pPr>
      <w:spacing w:after="120" w:line="480" w:lineRule="auto"/>
    </w:pPr>
  </w:style>
  <w:style w:type="character" w:customStyle="1" w:styleId="BodyText2Char">
    <w:name w:val="Body Text 2 Char"/>
    <w:basedOn w:val="DefaultParagraphFont"/>
    <w:link w:val="BodyText2"/>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RakstzCharCharRakstzCharCharRakstz">
    <w:name w:val="Rakstz. Char Char Rakstz. Char Char Rakstz."/>
    <w:basedOn w:val="Normal"/>
    <w:rsid w:val="0062580D"/>
    <w:pPr>
      <w:spacing w:after="160" w:line="240" w:lineRule="exact"/>
    </w:pPr>
    <w:rPr>
      <w:rFonts w:ascii="Tahoma" w:hAnsi="Tahoma"/>
      <w:sz w:val="20"/>
      <w:szCs w:val="20"/>
      <w:lang w:val="en-US" w:eastAsia="en-US"/>
    </w:rPr>
  </w:style>
  <w:style w:type="character" w:styleId="Strong">
    <w:name w:val="Strong"/>
    <w:basedOn w:val="DefaultParagraphFont"/>
    <w:qFormat/>
    <w:rsid w:val="00751F8C"/>
    <w:rPr>
      <w:b/>
      <w:bCs/>
    </w:rPr>
  </w:style>
</w:styles>
</file>

<file path=word/webSettings.xml><?xml version="1.0" encoding="utf-8"?>
<w:webSettings xmlns:r="http://schemas.openxmlformats.org/officeDocument/2006/relationships" xmlns:w="http://schemas.openxmlformats.org/wordprocessingml/2006/main">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sChild>
        <w:div w:id="1559978050">
          <w:marLeft w:val="0"/>
          <w:marRight w:val="0"/>
          <w:marTop w:val="0"/>
          <w:marBottom w:val="0"/>
          <w:divBdr>
            <w:top w:val="none" w:sz="0" w:space="0" w:color="auto"/>
            <w:left w:val="none" w:sz="0" w:space="0" w:color="auto"/>
            <w:bottom w:val="none" w:sz="0" w:space="0" w:color="auto"/>
            <w:right w:val="none" w:sz="0" w:space="0" w:color="auto"/>
          </w:divBdr>
          <w:divsChild>
            <w:div w:id="154566434">
              <w:marLeft w:val="0"/>
              <w:marRight w:val="0"/>
              <w:marTop w:val="0"/>
              <w:marBottom w:val="0"/>
              <w:divBdr>
                <w:top w:val="none" w:sz="0" w:space="0" w:color="auto"/>
                <w:left w:val="none" w:sz="0" w:space="0" w:color="auto"/>
                <w:bottom w:val="none" w:sz="0" w:space="0" w:color="auto"/>
                <w:right w:val="none" w:sz="0" w:space="0" w:color="auto"/>
              </w:divBdr>
              <w:divsChild>
                <w:div w:id="1950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883194">
          <w:marLeft w:val="0"/>
          <w:marRight w:val="0"/>
          <w:marTop w:val="0"/>
          <w:marBottom w:val="0"/>
          <w:divBdr>
            <w:top w:val="none" w:sz="0" w:space="0" w:color="auto"/>
            <w:left w:val="none" w:sz="0" w:space="0" w:color="auto"/>
            <w:bottom w:val="none" w:sz="0" w:space="0" w:color="auto"/>
            <w:right w:val="none" w:sz="0" w:space="0" w:color="auto"/>
          </w:divBdr>
          <w:divsChild>
            <w:div w:id="1016343289">
              <w:marLeft w:val="0"/>
              <w:marRight w:val="0"/>
              <w:marTop w:val="0"/>
              <w:marBottom w:val="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9478</Words>
  <Characters>5403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2009.gada 15.decembra noteikumos Nr.1435  "Noteikumi par Rīgas 1.medicīnas koledžas sniegto maksas pakalpojumu cenrādi""</vt:lpstr>
    </vt:vector>
  </TitlesOfParts>
  <Company>Izglītības un zinātnes ministrija</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15.decembra noteikumos Nr.1435  "Noteikumi par Rīgas 1.medicīnas koledžas sniegto maksas pakalpojumu cenrādi""</dc:title>
  <dc:subject> anotācija</dc:subject>
  <dc:creator>Izolde Rotberga</dc:creator>
  <cp:keywords>nolikums, koledža</cp:keywords>
  <dc:description>izolde.rotberga, 67047824, fakss 67243126,
izolde.rotberga@izm.gov.lv</dc:description>
  <cp:lastModifiedBy>irotberga</cp:lastModifiedBy>
  <cp:revision>4</cp:revision>
  <cp:lastPrinted>2012-04-18T08:59:00Z</cp:lastPrinted>
  <dcterms:created xsi:type="dcterms:W3CDTF">2012-07-19T07:20:00Z</dcterms:created>
  <dcterms:modified xsi:type="dcterms:W3CDTF">2012-07-19T07:29:00Z</dcterms:modified>
</cp:coreProperties>
</file>