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3A5E20" w:rsidP="00846994">
      <w:pPr>
        <w:pStyle w:val="naislab"/>
        <w:jc w:val="center"/>
        <w:outlineLvl w:val="0"/>
        <w:rPr>
          <w:b/>
        </w:rPr>
      </w:pPr>
      <w:r w:rsidRPr="003A5E20">
        <w:rPr>
          <w:b/>
        </w:rPr>
        <w:t xml:space="preserve">Ministru kabineta noteikumu projekta "Noteikumi par valsts </w:t>
      </w:r>
      <w:r w:rsidR="00A12BEE">
        <w:rPr>
          <w:b/>
        </w:rPr>
        <w:t>pā</w:t>
      </w:r>
      <w:r w:rsidR="00E11F61">
        <w:rPr>
          <w:b/>
        </w:rPr>
        <w:t>rbaudes darbu norises laiku 2013./2014</w:t>
      </w:r>
      <w:r w:rsidR="00A12BEE">
        <w:rPr>
          <w:b/>
        </w:rPr>
        <w:t>.mācību gadā</w:t>
      </w:r>
      <w:r w:rsidRPr="003A5E20">
        <w:rPr>
          <w:b/>
        </w:rPr>
        <w:t xml:space="preserve">" </w:t>
      </w:r>
      <w:r w:rsidR="00852042" w:rsidRPr="00852042">
        <w:rPr>
          <w:b/>
        </w:rPr>
        <w:t>sākotnējā</w:t>
      </w:r>
      <w:r w:rsidR="002D3306">
        <w:rPr>
          <w:b/>
        </w:rPr>
        <w:t>s</w:t>
      </w:r>
      <w:r w:rsidR="00852042" w:rsidRPr="00852042">
        <w:rPr>
          <w:b/>
        </w:rPr>
        <w:t xml:space="preserve"> ietekmes novērtējuma </w:t>
      </w:r>
      <w:smartTag w:uri="schemas-tilde-lv/tildestengine" w:element="veidnes">
        <w:smartTagPr>
          <w:attr w:name="text" w:val="ziņojums"/>
          <w:attr w:name="baseform" w:val="ziņojums"/>
          <w:attr w:name="id" w:val="-1"/>
        </w:smartTagPr>
        <w:r w:rsidR="00852042" w:rsidRPr="00852042">
          <w:rPr>
            <w:b/>
          </w:rPr>
          <w:t>ziņojums</w:t>
        </w:r>
      </w:smartTag>
      <w:r w:rsidR="00852042" w:rsidRPr="00852042">
        <w:rPr>
          <w:b/>
        </w:rPr>
        <w:t xml:space="preserve"> (anotācija)</w:t>
      </w:r>
    </w:p>
    <w:tbl>
      <w:tblPr>
        <w:tblpPr w:leftFromText="180" w:rightFromText="180" w:vertAnchor="text" w:horzAnchor="margin" w:tblpXSpec="center" w:tblpY="149"/>
        <w:tblW w:w="88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62"/>
        <w:gridCol w:w="5395"/>
      </w:tblGrid>
      <w:tr w:rsidR="00852042" w:rsidRPr="00435535">
        <w:trPr>
          <w:tblCellSpacing w:w="0" w:type="dxa"/>
        </w:trPr>
        <w:tc>
          <w:tcPr>
            <w:tcW w:w="8807" w:type="dxa"/>
            <w:gridSpan w:val="3"/>
            <w:vAlign w:val="center"/>
          </w:tcPr>
          <w:p w:rsidR="00852042" w:rsidRPr="00435535" w:rsidRDefault="00852042" w:rsidP="00917532">
            <w:pPr>
              <w:pStyle w:val="naisnod"/>
            </w:pPr>
            <w:r w:rsidRPr="00435535">
              <w:t xml:space="preserve"> I Tiesību akta </w:t>
            </w:r>
            <w:r w:rsidR="002E3FF4" w:rsidRPr="00435535">
              <w:t xml:space="preserve">projekta </w:t>
            </w:r>
            <w:r w:rsidRPr="00435535">
              <w:t>izstrādes nepieciešamība</w:t>
            </w:r>
          </w:p>
        </w:tc>
      </w:tr>
      <w:tr w:rsidR="00262E2B" w:rsidRPr="00435535" w:rsidTr="00AB46EF">
        <w:trPr>
          <w:trHeight w:val="630"/>
          <w:tblCellSpacing w:w="0" w:type="dxa"/>
        </w:trPr>
        <w:tc>
          <w:tcPr>
            <w:tcW w:w="550" w:type="dxa"/>
          </w:tcPr>
          <w:p w:rsidR="00262E2B" w:rsidRPr="00435535" w:rsidRDefault="00262E2B" w:rsidP="00AB46EF">
            <w:pPr>
              <w:pStyle w:val="naiskr"/>
              <w:ind w:left="180" w:hanging="180"/>
              <w:jc w:val="center"/>
            </w:pPr>
            <w:r w:rsidRPr="00435535">
              <w:t>1.</w:t>
            </w:r>
          </w:p>
        </w:tc>
        <w:tc>
          <w:tcPr>
            <w:tcW w:w="2862" w:type="dxa"/>
          </w:tcPr>
          <w:p w:rsidR="00262E2B" w:rsidRPr="00435535" w:rsidRDefault="002D7F54" w:rsidP="004443F9">
            <w:pPr>
              <w:pStyle w:val="naiskr"/>
              <w:ind w:left="180" w:hanging="10"/>
            </w:pPr>
            <w:r w:rsidRPr="00435535">
              <w:t>Pamatojums</w:t>
            </w:r>
          </w:p>
        </w:tc>
        <w:tc>
          <w:tcPr>
            <w:tcW w:w="5395" w:type="dxa"/>
          </w:tcPr>
          <w:p w:rsidR="00D60692" w:rsidRPr="00435535" w:rsidRDefault="003A7661" w:rsidP="002F0389">
            <w:pPr>
              <w:spacing w:before="75" w:after="75"/>
              <w:jc w:val="both"/>
            </w:pPr>
            <w:r>
              <w:t>Ministru kabineta n</w:t>
            </w:r>
            <w:r w:rsidRPr="00435535">
              <w:t xml:space="preserve">oteikumu projekts </w:t>
            </w:r>
            <w:r>
              <w:t xml:space="preserve">„Noteikumi par </w:t>
            </w:r>
            <w:r w:rsidRPr="00435535">
              <w:t>valsts pā</w:t>
            </w:r>
            <w:r w:rsidR="00E11F61">
              <w:t>rbaudes darbu norises laiku 2013./2014</w:t>
            </w:r>
            <w:r w:rsidRPr="00435535">
              <w:t>.mācību gadā”</w:t>
            </w:r>
            <w:r>
              <w:t xml:space="preserve"> (turpmāk – noteikumu projekts) izstrādāts, pamatojoties uz</w:t>
            </w:r>
            <w:r w:rsidRPr="00435535">
              <w:t xml:space="preserve"> Vispārējās izg</w:t>
            </w:r>
            <w:r>
              <w:t xml:space="preserve">lītības likuma 4.panta 12.punktā doto deleģējumu Ministru kabinetam </w:t>
            </w:r>
            <w:r w:rsidRPr="00435535">
              <w:t xml:space="preserve">katru mācību gadu atbilstoši valsts vispārējās izglītības standartiem </w:t>
            </w:r>
            <w:r>
              <w:t xml:space="preserve">noteikt </w:t>
            </w:r>
            <w:r w:rsidRPr="00435535">
              <w:t>valsts pārbaudes darbu norises laiku</w:t>
            </w:r>
            <w:r w:rsidR="002A10BF">
              <w:t xml:space="preserve"> </w:t>
            </w:r>
            <w:r w:rsidR="002A10BF" w:rsidRPr="00C674D5">
              <w:t>un kārtību</w:t>
            </w:r>
            <w:r w:rsidR="00461502">
              <w:t>, kā arī</w:t>
            </w:r>
            <w:r w:rsidR="002F0389">
              <w:t xml:space="preserve"> ņemot vērā Valdības rīcības plāna Deklarācijas par Valda Dombrovska vadītā Ministru kabineta iecerēto darbību īstenošanai (apstiprināts ar Ministru kabineta 2012.gada 16.februāra rīkojumu Nr.84) 6.4.apakšpunktā noteikto – radīt priekšnoteikumus skolēna noslodzes samazināšanai mācību gada ietvaros.</w:t>
            </w:r>
          </w:p>
        </w:tc>
      </w:tr>
      <w:tr w:rsidR="00262E2B" w:rsidRPr="00435535" w:rsidTr="00AB46EF">
        <w:trPr>
          <w:trHeight w:val="706"/>
          <w:tblCellSpacing w:w="0" w:type="dxa"/>
        </w:trPr>
        <w:tc>
          <w:tcPr>
            <w:tcW w:w="550" w:type="dxa"/>
          </w:tcPr>
          <w:p w:rsidR="00262E2B" w:rsidRPr="00435535" w:rsidRDefault="00262E2B" w:rsidP="00AB46EF">
            <w:pPr>
              <w:pStyle w:val="naiskr"/>
              <w:jc w:val="center"/>
            </w:pPr>
            <w:r w:rsidRPr="00435535">
              <w:t>2.</w:t>
            </w:r>
          </w:p>
        </w:tc>
        <w:tc>
          <w:tcPr>
            <w:tcW w:w="2862" w:type="dxa"/>
          </w:tcPr>
          <w:p w:rsidR="00262E2B" w:rsidRPr="00435535" w:rsidRDefault="00262E2B" w:rsidP="004443F9">
            <w:pPr>
              <w:pStyle w:val="naiskr"/>
              <w:tabs>
                <w:tab w:val="left" w:pos="170"/>
              </w:tabs>
              <w:ind w:left="170"/>
            </w:pPr>
            <w:r w:rsidRPr="00435535">
              <w:t>Pašreizējā situācija</w:t>
            </w:r>
            <w:r w:rsidR="001F5CD6" w:rsidRPr="00435535">
              <w:t xml:space="preserve"> un problēmas</w:t>
            </w:r>
          </w:p>
        </w:tc>
        <w:tc>
          <w:tcPr>
            <w:tcW w:w="5395" w:type="dxa"/>
          </w:tcPr>
          <w:p w:rsidR="002B3EB8" w:rsidRDefault="00A12BEE" w:rsidP="002A10BF">
            <w:pPr>
              <w:pStyle w:val="naiskr"/>
              <w:spacing w:after="0"/>
              <w:jc w:val="both"/>
            </w:pPr>
            <w:r w:rsidRPr="00435535">
              <w:t>Valsts pārbaudes darbu norises laik</w:t>
            </w:r>
            <w:r w:rsidR="00E11F61">
              <w:t>u 2012./2013</w:t>
            </w:r>
            <w:r w:rsidR="00D60692">
              <w:t>.mācību gadā noteica</w:t>
            </w:r>
            <w:r w:rsidR="00B12204">
              <w:t xml:space="preserve"> </w:t>
            </w:r>
            <w:r w:rsidR="003A7661" w:rsidRPr="00435535">
              <w:t>Min</w:t>
            </w:r>
            <w:r w:rsidR="003A7661">
              <w:t xml:space="preserve">istru kabineta </w:t>
            </w:r>
            <w:r w:rsidR="00E11F61">
              <w:t>2012.gada 11.decembra</w:t>
            </w:r>
            <w:r w:rsidRPr="00435535">
              <w:t xml:space="preserve"> </w:t>
            </w:r>
            <w:r w:rsidR="00B12204">
              <w:t>noteikumi Nr</w:t>
            </w:r>
            <w:r w:rsidR="00E11F61">
              <w:t>.846</w:t>
            </w:r>
            <w:r w:rsidRPr="00435535">
              <w:t xml:space="preserve"> „Noteikumi par valsts pā</w:t>
            </w:r>
            <w:r w:rsidR="00E11F61">
              <w:t>rbaudes darbu norises laiku 2012./2013</w:t>
            </w:r>
            <w:r w:rsidRPr="00435535">
              <w:t>.mācību gadā”.</w:t>
            </w:r>
            <w:r w:rsidR="00C54F8E">
              <w:t xml:space="preserve"> </w:t>
            </w:r>
            <w:r w:rsidR="003A7661">
              <w:t>Ministru kabineta noteikumi, kas nosaka valsts pā</w:t>
            </w:r>
            <w:r w:rsidR="00E11F61">
              <w:t>rbaudes darbu norises laiku 2013./2014</w:t>
            </w:r>
            <w:r w:rsidR="003A7661" w:rsidRPr="00435535">
              <w:t>.mācību gadā</w:t>
            </w:r>
            <w:r w:rsidR="003A7661">
              <w:t>, nav izdoti.</w:t>
            </w:r>
          </w:p>
          <w:p w:rsidR="00DC7BAD" w:rsidRPr="00CA32A8" w:rsidRDefault="007852C1" w:rsidP="008E56A2">
            <w:pPr>
              <w:pStyle w:val="naiskr"/>
              <w:spacing w:before="0"/>
              <w:jc w:val="both"/>
            </w:pPr>
            <w:r>
              <w:t>Valsts pārbaudes darbu norises kārtība noteikta</w:t>
            </w:r>
            <w:r w:rsidRPr="00CA32A8">
              <w:t xml:space="preserve"> </w:t>
            </w:r>
            <w:r w:rsidR="008665D6" w:rsidRPr="00CA32A8">
              <w:t>Ministru kabineta 2010.gada 6.aprīļa noteikum</w:t>
            </w:r>
            <w:r w:rsidR="002B3EB8">
              <w:t>os</w:t>
            </w:r>
            <w:r w:rsidR="008665D6" w:rsidRPr="00CA32A8">
              <w:t xml:space="preserve"> Nr.334 „Noteikumi par valsts pārbaudījumu norises kārtību”</w:t>
            </w:r>
            <w:r w:rsidR="003E2374" w:rsidRPr="00CA32A8">
              <w:t xml:space="preserve"> un Ministru kabin</w:t>
            </w:r>
            <w:r w:rsidR="002B3EB8">
              <w:t>eta 2010.gada 6.aprīļa noteikumos</w:t>
            </w:r>
            <w:r w:rsidR="003E2374" w:rsidRPr="00CA32A8">
              <w:t xml:space="preserve"> Nr.335 „Noteikumi par centralizēto </w:t>
            </w:r>
            <w:r w:rsidR="00687E3D" w:rsidRPr="00CA32A8">
              <w:t>eksāmenu saturu un norises kārtību”.</w:t>
            </w:r>
          </w:p>
        </w:tc>
      </w:tr>
      <w:tr w:rsidR="00262E2B" w:rsidRPr="00435535" w:rsidTr="00AB46EF">
        <w:trPr>
          <w:trHeight w:val="735"/>
          <w:tblCellSpacing w:w="0" w:type="dxa"/>
        </w:trPr>
        <w:tc>
          <w:tcPr>
            <w:tcW w:w="550" w:type="dxa"/>
          </w:tcPr>
          <w:p w:rsidR="00262E2B" w:rsidRPr="00435535" w:rsidRDefault="00262E2B" w:rsidP="00AB46EF">
            <w:pPr>
              <w:pStyle w:val="naiskr"/>
              <w:jc w:val="center"/>
            </w:pPr>
            <w:r w:rsidRPr="00435535">
              <w:t>3.</w:t>
            </w:r>
          </w:p>
        </w:tc>
        <w:tc>
          <w:tcPr>
            <w:tcW w:w="2862" w:type="dxa"/>
          </w:tcPr>
          <w:p w:rsidR="00262E2B" w:rsidRPr="00435535" w:rsidRDefault="00420870" w:rsidP="004443F9">
            <w:pPr>
              <w:pStyle w:val="naiskr"/>
              <w:ind w:left="170"/>
            </w:pPr>
            <w:r w:rsidRPr="00435535">
              <w:t>S</w:t>
            </w:r>
            <w:r w:rsidR="000B69CF" w:rsidRPr="00435535">
              <w:t xml:space="preserve">aistītie </w:t>
            </w:r>
            <w:r w:rsidR="001A6AE4" w:rsidRPr="00435535">
              <w:t>politikas ietekmes novērtējumi</w:t>
            </w:r>
            <w:r w:rsidR="00CB0247" w:rsidRPr="00435535">
              <w:t xml:space="preserve"> un</w:t>
            </w:r>
            <w:r w:rsidR="001A6AE4" w:rsidRPr="00435535">
              <w:t xml:space="preserve"> </w:t>
            </w:r>
            <w:r w:rsidR="000B69CF" w:rsidRPr="00435535">
              <w:t>pētījumi</w:t>
            </w:r>
          </w:p>
        </w:tc>
        <w:tc>
          <w:tcPr>
            <w:tcW w:w="5395" w:type="dxa"/>
          </w:tcPr>
          <w:p w:rsidR="00D20FF4" w:rsidRPr="00435535" w:rsidRDefault="00FD1FC4" w:rsidP="00805381">
            <w:pPr>
              <w:pStyle w:val="naiskr"/>
              <w:jc w:val="both"/>
            </w:pPr>
            <w:r>
              <w:rPr>
                <w:iCs/>
              </w:rPr>
              <w:t>Projekts šo jomu neskar</w:t>
            </w:r>
            <w:r w:rsidR="004443F9">
              <w:rPr>
                <w:iCs/>
              </w:rPr>
              <w:t>.</w:t>
            </w:r>
          </w:p>
        </w:tc>
      </w:tr>
      <w:tr w:rsidR="00262E2B" w:rsidRPr="00435535" w:rsidTr="00AB46EF">
        <w:trPr>
          <w:trHeight w:val="725"/>
          <w:tblCellSpacing w:w="0" w:type="dxa"/>
        </w:trPr>
        <w:tc>
          <w:tcPr>
            <w:tcW w:w="550" w:type="dxa"/>
          </w:tcPr>
          <w:p w:rsidR="00262E2B" w:rsidRPr="00435535" w:rsidRDefault="00262E2B" w:rsidP="00AB46EF">
            <w:pPr>
              <w:pStyle w:val="naiskr"/>
              <w:jc w:val="center"/>
            </w:pPr>
            <w:r w:rsidRPr="00435535">
              <w:t>4.</w:t>
            </w:r>
          </w:p>
        </w:tc>
        <w:tc>
          <w:tcPr>
            <w:tcW w:w="2862" w:type="dxa"/>
          </w:tcPr>
          <w:p w:rsidR="00262E2B" w:rsidRPr="00435535" w:rsidRDefault="000C790C" w:rsidP="004443F9">
            <w:pPr>
              <w:pStyle w:val="naiskr"/>
              <w:ind w:left="170"/>
            </w:pPr>
            <w:r w:rsidRPr="00435535">
              <w:t>Tiesiskā r</w:t>
            </w:r>
            <w:r w:rsidR="00400032" w:rsidRPr="00435535">
              <w:t xml:space="preserve">egulējuma </w:t>
            </w:r>
            <w:r w:rsidR="00262E2B" w:rsidRPr="00435535">
              <w:t>mērķis un būtība</w:t>
            </w:r>
          </w:p>
          <w:p w:rsidR="00262E2B" w:rsidRPr="00435535" w:rsidRDefault="00262E2B" w:rsidP="004443F9">
            <w:pPr>
              <w:pStyle w:val="naiskr"/>
              <w:ind w:left="360" w:hanging="360"/>
            </w:pPr>
          </w:p>
          <w:p w:rsidR="00262E2B" w:rsidRPr="00435535" w:rsidRDefault="00262E2B" w:rsidP="004443F9">
            <w:pPr>
              <w:pStyle w:val="naiskr"/>
              <w:ind w:left="170"/>
            </w:pPr>
          </w:p>
        </w:tc>
        <w:tc>
          <w:tcPr>
            <w:tcW w:w="5395" w:type="dxa"/>
          </w:tcPr>
          <w:p w:rsidR="00A307BD" w:rsidRDefault="00A12BEE" w:rsidP="00C54F8E">
            <w:pPr>
              <w:pStyle w:val="naiskr"/>
              <w:spacing w:before="0" w:after="0"/>
              <w:jc w:val="both"/>
            </w:pPr>
            <w:r w:rsidRPr="00435535">
              <w:t xml:space="preserve">Noteikumu projekts nosaka norises laikus </w:t>
            </w:r>
            <w:r w:rsidR="005E4FB9">
              <w:t>valsts pārbaudes darbiem</w:t>
            </w:r>
            <w:r w:rsidR="00E11F61">
              <w:t xml:space="preserve"> 2013./2014</w:t>
            </w:r>
            <w:r w:rsidRPr="00435535">
              <w:t>.mācību gadā tiem izglītojamiem, kuriem atbilstoši valsts vi</w:t>
            </w:r>
            <w:r w:rsidR="00382829">
              <w:t xml:space="preserve">spārējās izglītības standartiem </w:t>
            </w:r>
            <w:r w:rsidR="00BF4D75">
              <w:t xml:space="preserve">un </w:t>
            </w:r>
            <w:r w:rsidR="00BF4D75" w:rsidRPr="00BF4D75">
              <w:t>valsts profesionā</w:t>
            </w:r>
            <w:r w:rsidR="00BF4D75">
              <w:t>lās vidējās izglītības standartam</w:t>
            </w:r>
            <w:r w:rsidR="00BF4D75" w:rsidRPr="00BF4D75">
              <w:t xml:space="preserve"> un</w:t>
            </w:r>
            <w:r w:rsidR="00BF4D75">
              <w:t xml:space="preserve"> valsts arodizglītības standartam </w:t>
            </w:r>
            <w:r w:rsidRPr="00435535">
              <w:t>attiecīgajā mācību gadā ir jākārto noteiktie valsts pārbaudes darbi. Tāpat arī noteikumu projekts nosaka valsts pārbaudes darbu norises laikus izglītojamiem, kuri attaisnojošu iemeslu dēļ nav varējuši kārtot valsts pārbaudes darbus noteiktajos laikos.</w:t>
            </w:r>
          </w:p>
          <w:p w:rsidR="001636A3" w:rsidRDefault="00A47EE2" w:rsidP="00596202">
            <w:pPr>
              <w:pStyle w:val="naiskr"/>
              <w:spacing w:before="0" w:after="0"/>
              <w:jc w:val="both"/>
            </w:pPr>
            <w:r w:rsidRPr="009A02B4">
              <w:t xml:space="preserve">Ņemot vērā </w:t>
            </w:r>
            <w:r w:rsidR="00E11F61">
              <w:t>Izglītības un zinātnes ministrijas</w:t>
            </w:r>
            <w:r w:rsidR="00A400E9">
              <w:t xml:space="preserve"> (turpmāk – ministrija)</w:t>
            </w:r>
            <w:r w:rsidR="00E11F61">
              <w:t xml:space="preserve"> </w:t>
            </w:r>
            <w:r w:rsidR="00B81599" w:rsidRPr="005E4FB9">
              <w:rPr>
                <w:i/>
              </w:rPr>
              <w:t>Reformu īstenošanas rīcības plān</w:t>
            </w:r>
            <w:r w:rsidR="005E4FB9">
              <w:rPr>
                <w:i/>
              </w:rPr>
              <w:t>ā</w:t>
            </w:r>
            <w:r w:rsidR="00B81599" w:rsidRPr="005E4FB9">
              <w:rPr>
                <w:i/>
              </w:rPr>
              <w:t xml:space="preserve"> vispārējā izglītībā</w:t>
            </w:r>
            <w:r w:rsidR="00B81599">
              <w:t xml:space="preserve"> </w:t>
            </w:r>
            <w:r w:rsidR="005E4FB9">
              <w:t>izvirzīto</w:t>
            </w:r>
            <w:r w:rsidR="00B81599">
              <w:t xml:space="preserve"> uzdevumu s</w:t>
            </w:r>
            <w:r w:rsidR="00B81599" w:rsidRPr="00B81599">
              <w:t>agatavot optimālu valsts</w:t>
            </w:r>
            <w:r w:rsidR="00B81599">
              <w:t xml:space="preserve"> pārbaudījumu termiņu plānojumu, </w:t>
            </w:r>
            <w:r w:rsidR="00C54F8E" w:rsidRPr="009A02B4">
              <w:t xml:space="preserve">noteikumu projekts paredz </w:t>
            </w:r>
            <w:r w:rsidR="001C1A00" w:rsidRPr="009A02B4">
              <w:t xml:space="preserve">noteikt </w:t>
            </w:r>
            <w:r w:rsidR="00092AEE">
              <w:t>visu svešvalodu centralizēto</w:t>
            </w:r>
            <w:r w:rsidR="00FA32E7" w:rsidRPr="009A02B4">
              <w:t xml:space="preserve"> eksāmen</w:t>
            </w:r>
            <w:r w:rsidR="00092AEE">
              <w:t>u</w:t>
            </w:r>
            <w:r w:rsidR="00FA32E7" w:rsidRPr="009A02B4">
              <w:t xml:space="preserve"> (turpmāk – </w:t>
            </w:r>
            <w:r w:rsidR="00092AEE">
              <w:t>svešvalodu</w:t>
            </w:r>
            <w:r w:rsidR="004B3B8D">
              <w:t xml:space="preserve"> </w:t>
            </w:r>
            <w:r w:rsidR="00092AEE">
              <w:lastRenderedPageBreak/>
              <w:t>eksāmen</w:t>
            </w:r>
            <w:r w:rsidR="00C603D6">
              <w:t>s</w:t>
            </w:r>
            <w:r w:rsidR="00FA32E7" w:rsidRPr="009A02B4">
              <w:t xml:space="preserve">) norisi </w:t>
            </w:r>
            <w:r w:rsidR="00373613">
              <w:t>2014.gada martā</w:t>
            </w:r>
            <w:r w:rsidR="001636A3">
              <w:t xml:space="preserve"> un 3.klases diagnosticējošā darba ar kombinētu mācību saturu – 2014.gada februārī</w:t>
            </w:r>
            <w:r w:rsidR="00373613">
              <w:t>.</w:t>
            </w:r>
            <w:r w:rsidR="00B81599">
              <w:t xml:space="preserve"> T</w:t>
            </w:r>
            <w:r w:rsidR="004B3B8D">
              <w:t>ā rezultātā</w:t>
            </w:r>
            <w:r w:rsidR="00B81599">
              <w:t xml:space="preserve"> tiks s</w:t>
            </w:r>
            <w:r w:rsidR="00B81599" w:rsidRPr="009A02B4">
              <w:t>amazināt</w:t>
            </w:r>
            <w:r w:rsidR="004B3B8D">
              <w:t>a</w:t>
            </w:r>
            <w:r w:rsidR="00B81599" w:rsidRPr="009A02B4">
              <w:t xml:space="preserve"> izglītojamo slodz</w:t>
            </w:r>
            <w:r w:rsidR="004B3B8D">
              <w:t>e</w:t>
            </w:r>
            <w:r w:rsidR="00B81599" w:rsidRPr="009A02B4">
              <w:t xml:space="preserve"> valsts pārbaudījumu laikā maija beigās un jūnijā</w:t>
            </w:r>
            <w:r w:rsidR="001636A3">
              <w:t>.</w:t>
            </w:r>
          </w:p>
          <w:p w:rsidR="00BC61E8" w:rsidRPr="009A02B4" w:rsidRDefault="0025336B" w:rsidP="00FF4F62">
            <w:pPr>
              <w:pStyle w:val="naiskr"/>
              <w:spacing w:before="0" w:after="0"/>
              <w:jc w:val="both"/>
            </w:pPr>
            <w:r w:rsidRPr="0025336B">
              <w:t xml:space="preserve">Tā kā </w:t>
            </w:r>
            <w:r w:rsidR="00373613">
              <w:t>svešvalodu eksāmenu</w:t>
            </w:r>
            <w:r w:rsidRPr="0025336B">
              <w:t xml:space="preserve"> norisei nepieciešamas </w:t>
            </w:r>
            <w:r w:rsidR="00373613">
              <w:t>vairākas dienas un tajos</w:t>
            </w:r>
            <w:r w:rsidRPr="0025336B">
              <w:t xml:space="preserve"> piedalās liels pedagogu skaits, tad t</w:t>
            </w:r>
            <w:r w:rsidR="00373613">
              <w:t>o</w:t>
            </w:r>
            <w:r w:rsidRPr="0025336B">
              <w:t xml:space="preserve"> norise ieplānota laikā, kas pārējiem izglītojamiem Ministru kabinet</w:t>
            </w:r>
            <w:r>
              <w:t xml:space="preserve">a </w:t>
            </w:r>
            <w:r w:rsidR="00373613">
              <w:t>2013.gada 2.aprīļa noteikumos Nr.</w:t>
            </w:r>
            <w:r w:rsidR="00C603D6">
              <w:t>166</w:t>
            </w:r>
            <w:r w:rsidR="00373613">
              <w:t xml:space="preserve"> </w:t>
            </w:r>
            <w:r w:rsidRPr="0025336B">
              <w:t>„Noteikumi par 2013./2014.mācību gada un mācību semestru sākuma un beigu laiku”</w:t>
            </w:r>
            <w:r>
              <w:t xml:space="preserve"> </w:t>
            </w:r>
            <w:r w:rsidRPr="0025336B">
              <w:t>noteikts kā pavasara brīvdienas</w:t>
            </w:r>
            <w:r>
              <w:t>, lai netiktu</w:t>
            </w:r>
            <w:r w:rsidRPr="0025336B">
              <w:t xml:space="preserve"> traucēts pā</w:t>
            </w:r>
            <w:r w:rsidR="00373613">
              <w:t>rējo izglītojamo mācību process.</w:t>
            </w:r>
            <w:r w:rsidR="00596202">
              <w:t xml:space="preserve"> 12.klases izglītojamajiem pavasara brīvlaiks ir noteikts pēc svešvalodu eksāmenu norises – no 2014.gada 24.marta līdz 2014.gada 28.martam. </w:t>
            </w:r>
            <w:r w:rsidR="00373613">
              <w:t>Svešvalodu</w:t>
            </w:r>
            <w:r w:rsidR="004B3B8D">
              <w:t xml:space="preserve"> </w:t>
            </w:r>
            <w:r w:rsidR="00373613">
              <w:t>eksāmenā</w:t>
            </w:r>
            <w:r w:rsidR="00BC61E8" w:rsidRPr="009A02B4">
              <w:t xml:space="preserve"> tiek vērtētas izglītojamo </w:t>
            </w:r>
            <w:r w:rsidR="00EE0F9A" w:rsidRPr="009A02B4">
              <w:t xml:space="preserve">vispārējās </w:t>
            </w:r>
            <w:r w:rsidR="00BC61E8" w:rsidRPr="009A02B4">
              <w:t>prasm</w:t>
            </w:r>
            <w:r w:rsidR="001A496A">
              <w:t>es saprast un lietot valodu, tāpēc</w:t>
            </w:r>
            <w:r w:rsidR="004B3B8D">
              <w:t xml:space="preserve"> ir pieļaujama </w:t>
            </w:r>
            <w:r w:rsidR="00373613">
              <w:t>tā</w:t>
            </w:r>
            <w:r w:rsidR="00BC61E8" w:rsidRPr="009A02B4">
              <w:t xml:space="preserve"> norise pirms mācību priekšmeta </w:t>
            </w:r>
            <w:r w:rsidR="00C603D6">
              <w:t xml:space="preserve">apguves </w:t>
            </w:r>
            <w:r w:rsidR="00BC61E8" w:rsidRPr="009A02B4">
              <w:t>noslēguma</w:t>
            </w:r>
            <w:r w:rsidR="004B3B8D">
              <w:t>, kas</w:t>
            </w:r>
            <w:r w:rsidR="00BC61E8" w:rsidRPr="009A02B4">
              <w:t xml:space="preserve"> būtiski neietekmē izglītojam</w:t>
            </w:r>
            <w:r w:rsidR="004B3B8D">
              <w:t>o sasniegumu vērtējumu eksāmenā.</w:t>
            </w:r>
          </w:p>
          <w:p w:rsidR="00FA32E7" w:rsidRDefault="00E5706C" w:rsidP="00E819ED">
            <w:pPr>
              <w:pStyle w:val="naiskr"/>
              <w:spacing w:before="0" w:after="0"/>
              <w:jc w:val="both"/>
            </w:pPr>
            <w:r w:rsidRPr="009A02B4">
              <w:t xml:space="preserve">Lai </w:t>
            </w:r>
            <w:r w:rsidR="00476A70" w:rsidRPr="009A02B4">
              <w:t xml:space="preserve">personai būtu iespējams </w:t>
            </w:r>
            <w:r w:rsidRPr="009A02B4">
              <w:t xml:space="preserve">savlaicīgi iesniegt izglītības dokumentus </w:t>
            </w:r>
            <w:r w:rsidR="00476A70" w:rsidRPr="009A02B4">
              <w:t xml:space="preserve">kādā no ārvalsts </w:t>
            </w:r>
            <w:r w:rsidRPr="009A02B4">
              <w:t>augstskolā</w:t>
            </w:r>
            <w:r w:rsidR="00476A70" w:rsidRPr="009A02B4">
              <w:t>m, ir nepieciešams pēc iespējas paātrināt sertifikāt</w:t>
            </w:r>
            <w:r w:rsidR="00120032">
              <w:t>u izsniegšanas termiņu. Svešvalodu e</w:t>
            </w:r>
            <w:r w:rsidR="001E2700">
              <w:t>ksāmenu</w:t>
            </w:r>
            <w:r w:rsidR="00476A70" w:rsidRPr="009A02B4">
              <w:t xml:space="preserve"> nor</w:t>
            </w:r>
            <w:r w:rsidR="001E2700">
              <w:t>ise 2014</w:t>
            </w:r>
            <w:r w:rsidR="00EE0F9A" w:rsidRPr="009A02B4">
              <w:t>.gada martā</w:t>
            </w:r>
            <w:r w:rsidR="001E2700">
              <w:t xml:space="preserve"> </w:t>
            </w:r>
            <w:r w:rsidR="00EE0F9A" w:rsidRPr="009A02B4">
              <w:t xml:space="preserve">dod iespēju izglītojamo </w:t>
            </w:r>
            <w:r w:rsidR="00120032">
              <w:t>svešvalodu eksāmenu</w:t>
            </w:r>
            <w:r w:rsidR="00476A70" w:rsidRPr="009A02B4">
              <w:t xml:space="preserve"> darbu vērtēšanu s</w:t>
            </w:r>
            <w:r w:rsidR="00233AF6" w:rsidRPr="009A02B4">
              <w:t xml:space="preserve">ākt </w:t>
            </w:r>
            <w:r w:rsidR="007D0D43">
              <w:t xml:space="preserve">līdz ar mācību gada beigām </w:t>
            </w:r>
            <w:r w:rsidR="00596202">
              <w:t>1. – 8.klašu un 10. – 11.</w:t>
            </w:r>
            <w:r w:rsidR="007D0D43">
              <w:t xml:space="preserve">klašu izglītojamajiem </w:t>
            </w:r>
            <w:r w:rsidR="00476A70" w:rsidRPr="009A02B4">
              <w:t xml:space="preserve">un vispārējās vidējās izglītības sertifikātus </w:t>
            </w:r>
            <w:r w:rsidR="00476A70" w:rsidRPr="0058156E">
              <w:t>izsniegt</w:t>
            </w:r>
            <w:r w:rsidR="005E4FB9" w:rsidRPr="0058156E">
              <w:t xml:space="preserve"> </w:t>
            </w:r>
            <w:r w:rsidR="00373613" w:rsidRPr="0058156E">
              <w:t>vairākas dienas</w:t>
            </w:r>
            <w:r w:rsidR="00476A70" w:rsidRPr="0058156E">
              <w:t xml:space="preserve"> ātrāk </w:t>
            </w:r>
            <w:r w:rsidR="007D0D43" w:rsidRPr="0058156E">
              <w:t>ne</w:t>
            </w:r>
            <w:r w:rsidR="00476A70" w:rsidRPr="0058156E">
              <w:t>kā iepriekšējā mācību gadā.</w:t>
            </w:r>
            <w:r w:rsidR="00AC7598" w:rsidRPr="0058156E">
              <w:t xml:space="preserve"> </w:t>
            </w:r>
            <w:r w:rsidR="00864B7F" w:rsidRPr="0058156E">
              <w:t xml:space="preserve">Tā kā 2014.gada 30.jūnijā un 1.jūlijā ir paredzēta valsts pārbaudījumu, kas nav centralizētie eksāmeni, norise izglītojamajiem, kuri attaisnotu iemeslu dēļ nav varējuši kārtot valsts pārbaudes darbus noteiktajos laikos, kā arī izglītojamo sasniegumu vērtējums šajos eksāmenos </w:t>
            </w:r>
            <w:r w:rsidR="00A308B1" w:rsidRPr="0058156E">
              <w:t>ne</w:t>
            </w:r>
            <w:r w:rsidR="00864B7F" w:rsidRPr="0058156E">
              <w:t xml:space="preserve">tiek norādīts </w:t>
            </w:r>
            <w:r w:rsidR="00A308B1" w:rsidRPr="0058156E">
              <w:t>sertifikātā</w:t>
            </w:r>
            <w:r w:rsidR="00864B7F" w:rsidRPr="0058156E">
              <w:t>, tad</w:t>
            </w:r>
            <w:proofErr w:type="gramStart"/>
            <w:r w:rsidR="00864B7F" w:rsidRPr="0058156E">
              <w:t xml:space="preserve">  </w:t>
            </w:r>
            <w:proofErr w:type="gramEnd"/>
            <w:r w:rsidR="00AC7598">
              <w:t xml:space="preserve">2013./2014.mācību gadā </w:t>
            </w:r>
            <w:r w:rsidR="00AC7598" w:rsidRPr="009A02B4">
              <w:t>vispārējās vidējās izglītības sertifikātus</w:t>
            </w:r>
            <w:r w:rsidR="00AC7598">
              <w:t xml:space="preserve"> paredzēts izsniegt 2014.gada 30.jūnijā.</w:t>
            </w:r>
          </w:p>
          <w:p w:rsidR="005C5AA6" w:rsidRPr="007D0D43" w:rsidRDefault="005C5AA6" w:rsidP="001519B1">
            <w:pPr>
              <w:pStyle w:val="naiskr"/>
              <w:spacing w:before="0" w:after="0"/>
              <w:jc w:val="both"/>
            </w:pPr>
            <w:r>
              <w:t xml:space="preserve">Ministrija ir izstrādājusi </w:t>
            </w:r>
            <w:r w:rsidRPr="005C5AA6">
              <w:t>Mini</w:t>
            </w:r>
            <w:r>
              <w:t>stru kabineta noteikumu projektu</w:t>
            </w:r>
            <w:r w:rsidRPr="005C5AA6">
              <w:t xml:space="preserve"> „</w:t>
            </w:r>
            <w:r w:rsidRPr="005C5AA6">
              <w:rPr>
                <w:bCs/>
              </w:rPr>
              <w:t>Noteikumi par valsts pamatizglītības standartu, pamatizglītības mācību priekšmetu standartiem</w:t>
            </w:r>
            <w:r w:rsidRPr="005C5AA6">
              <w:t xml:space="preserve"> un pamatizglītības programmu paraugiem”</w:t>
            </w:r>
            <w:r w:rsidR="00D43C76">
              <w:t xml:space="preserve"> (turpmāk – noteikumu projekts par pamatizglītības standartu)</w:t>
            </w:r>
            <w:r w:rsidR="001519B1">
              <w:t xml:space="preserve">. </w:t>
            </w:r>
            <w:r w:rsidR="00725983">
              <w:t>Noteikumu projekts par pamatizglītības standartu</w:t>
            </w:r>
            <w:r w:rsidR="00725983" w:rsidRPr="00725983">
              <w:rPr>
                <w:bCs/>
              </w:rPr>
              <w:t xml:space="preserve"> paredz, ka, beidzot 3. un 6.klasi, turpmāk </w:t>
            </w:r>
            <w:r w:rsidR="00203697">
              <w:t>valsts pārbaudes darba</w:t>
            </w:r>
            <w:r w:rsidR="00725983" w:rsidRPr="00725983">
              <w:t xml:space="preserve"> </w:t>
            </w:r>
            <w:r w:rsidR="00725983">
              <w:t xml:space="preserve">forma „Ieskaite” 3. un 6.klasē </w:t>
            </w:r>
            <w:r w:rsidR="00203697">
              <w:t>tiks aizstāta</w:t>
            </w:r>
            <w:r w:rsidR="00725983">
              <w:t xml:space="preserve"> ar </w:t>
            </w:r>
            <w:r w:rsidR="00725983" w:rsidRPr="00725983">
              <w:t>valsts pārbau</w:t>
            </w:r>
            <w:r w:rsidR="009E35FD">
              <w:t xml:space="preserve">des </w:t>
            </w:r>
            <w:r w:rsidR="00203697">
              <w:t>darba</w:t>
            </w:r>
            <w:r w:rsidR="00725983" w:rsidRPr="00725983">
              <w:t xml:space="preserve"> formu „Valsts diagnosticējošais darbs”</w:t>
            </w:r>
            <w:r w:rsidR="00725983">
              <w:t>.</w:t>
            </w:r>
          </w:p>
        </w:tc>
      </w:tr>
      <w:tr w:rsidR="00262E2B" w:rsidRPr="00435535" w:rsidTr="00AB46EF">
        <w:trPr>
          <w:trHeight w:val="476"/>
          <w:tblCellSpacing w:w="0" w:type="dxa"/>
        </w:trPr>
        <w:tc>
          <w:tcPr>
            <w:tcW w:w="550" w:type="dxa"/>
          </w:tcPr>
          <w:p w:rsidR="00262E2B" w:rsidRPr="00435535" w:rsidRDefault="00262E2B" w:rsidP="00AB46EF">
            <w:pPr>
              <w:pStyle w:val="naiskr"/>
              <w:jc w:val="center"/>
            </w:pPr>
            <w:r w:rsidRPr="00435535">
              <w:lastRenderedPageBreak/>
              <w:t>5.</w:t>
            </w:r>
          </w:p>
        </w:tc>
        <w:tc>
          <w:tcPr>
            <w:tcW w:w="2862" w:type="dxa"/>
          </w:tcPr>
          <w:p w:rsidR="00262E2B" w:rsidRPr="00435535" w:rsidRDefault="001A4066" w:rsidP="004443F9">
            <w:pPr>
              <w:pStyle w:val="naiskr"/>
              <w:ind w:left="170"/>
            </w:pPr>
            <w:r w:rsidRPr="00435535">
              <w:t>Projekta i</w:t>
            </w:r>
            <w:r w:rsidR="00262E2B" w:rsidRPr="00435535">
              <w:t>zstrād</w:t>
            </w:r>
            <w:r w:rsidR="00420870" w:rsidRPr="00435535">
              <w:t xml:space="preserve">ē </w:t>
            </w:r>
            <w:r w:rsidR="00262E2B" w:rsidRPr="00435535">
              <w:t xml:space="preserve">iesaistītās institūcijas </w:t>
            </w:r>
          </w:p>
        </w:tc>
        <w:tc>
          <w:tcPr>
            <w:tcW w:w="5395" w:type="dxa"/>
          </w:tcPr>
          <w:p w:rsidR="00262E2B" w:rsidRPr="00435535" w:rsidRDefault="00FD1FC4" w:rsidP="00805381">
            <w:pPr>
              <w:pStyle w:val="naiskr"/>
              <w:jc w:val="both"/>
              <w:rPr>
                <w:i/>
              </w:rPr>
            </w:pPr>
            <w:r>
              <w:rPr>
                <w:iCs/>
              </w:rPr>
              <w:t>Projekts šo jomu neskar</w:t>
            </w:r>
            <w:r w:rsidR="004443F9">
              <w:rPr>
                <w:iCs/>
              </w:rPr>
              <w:t>.</w:t>
            </w:r>
          </w:p>
        </w:tc>
      </w:tr>
      <w:tr w:rsidR="00262E2B" w:rsidRPr="00435535" w:rsidTr="00AB46EF">
        <w:trPr>
          <w:trHeight w:val="897"/>
          <w:tblCellSpacing w:w="0" w:type="dxa"/>
        </w:trPr>
        <w:tc>
          <w:tcPr>
            <w:tcW w:w="550" w:type="dxa"/>
          </w:tcPr>
          <w:p w:rsidR="00262E2B" w:rsidRPr="00435535" w:rsidRDefault="00262E2B" w:rsidP="00AB46EF">
            <w:pPr>
              <w:pStyle w:val="naiskr"/>
              <w:jc w:val="center"/>
            </w:pPr>
            <w:r w:rsidRPr="00435535">
              <w:lastRenderedPageBreak/>
              <w:t>6.</w:t>
            </w:r>
          </w:p>
        </w:tc>
        <w:tc>
          <w:tcPr>
            <w:tcW w:w="2862" w:type="dxa"/>
          </w:tcPr>
          <w:p w:rsidR="00262E2B" w:rsidRPr="00435535" w:rsidRDefault="00BB7C94" w:rsidP="004443F9">
            <w:pPr>
              <w:pStyle w:val="naiskr"/>
              <w:ind w:left="170"/>
              <w:rPr>
                <w:i/>
                <w:highlight w:val="yellow"/>
              </w:rPr>
            </w:pPr>
            <w:r w:rsidRPr="00435535">
              <w:t xml:space="preserve">Iemesli, kādēļ netika nodrošināta </w:t>
            </w:r>
            <w:r w:rsidR="00262E2B" w:rsidRPr="00435535">
              <w:t xml:space="preserve">sabiedrības </w:t>
            </w:r>
            <w:r w:rsidRPr="00435535">
              <w:t>līdzdalība</w:t>
            </w:r>
          </w:p>
        </w:tc>
        <w:tc>
          <w:tcPr>
            <w:tcW w:w="5395" w:type="dxa"/>
          </w:tcPr>
          <w:p w:rsidR="00D20FF4" w:rsidRPr="00435535" w:rsidRDefault="00B96755" w:rsidP="00467F81">
            <w:pPr>
              <w:pStyle w:val="naiskr"/>
              <w:jc w:val="both"/>
            </w:pPr>
            <w:r w:rsidRPr="0058156E">
              <w:rPr>
                <w:iCs/>
              </w:rPr>
              <w:t>Projekts šo jomu neskar.</w:t>
            </w:r>
          </w:p>
        </w:tc>
      </w:tr>
      <w:tr w:rsidR="00262E2B" w:rsidRPr="00435535" w:rsidTr="00AB46EF">
        <w:trPr>
          <w:trHeight w:val="449"/>
          <w:tblCellSpacing w:w="0" w:type="dxa"/>
        </w:trPr>
        <w:tc>
          <w:tcPr>
            <w:tcW w:w="550" w:type="dxa"/>
          </w:tcPr>
          <w:p w:rsidR="00262E2B" w:rsidRPr="00435535" w:rsidRDefault="00262E2B" w:rsidP="00AB46EF">
            <w:pPr>
              <w:pStyle w:val="naiskr"/>
              <w:jc w:val="center"/>
            </w:pPr>
            <w:r w:rsidRPr="00435535">
              <w:t>7.</w:t>
            </w:r>
          </w:p>
        </w:tc>
        <w:tc>
          <w:tcPr>
            <w:tcW w:w="2862" w:type="dxa"/>
          </w:tcPr>
          <w:p w:rsidR="00262E2B" w:rsidRPr="00435535" w:rsidRDefault="00262E2B" w:rsidP="004443F9">
            <w:pPr>
              <w:pStyle w:val="naiskr"/>
              <w:ind w:left="170"/>
            </w:pPr>
            <w:r w:rsidRPr="00435535">
              <w:t>Cita informācija</w:t>
            </w:r>
          </w:p>
        </w:tc>
        <w:tc>
          <w:tcPr>
            <w:tcW w:w="5395" w:type="dxa"/>
          </w:tcPr>
          <w:p w:rsidR="00262E2B" w:rsidRPr="003C2E09" w:rsidRDefault="007D0D43" w:rsidP="003C2E09">
            <w:pPr>
              <w:pStyle w:val="naiskr"/>
              <w:jc w:val="both"/>
            </w:pPr>
            <w:r>
              <w:rPr>
                <w:iCs/>
              </w:rPr>
              <w:t>Nav</w:t>
            </w:r>
          </w:p>
        </w:tc>
      </w:tr>
    </w:tbl>
    <w:p w:rsidR="00852042" w:rsidRPr="00FD3121" w:rsidRDefault="00852042" w:rsidP="00381144">
      <w:pPr>
        <w:pStyle w:val="naisf"/>
        <w:ind w:firstLine="0"/>
        <w:rPr>
          <w:sz w:val="20"/>
          <w:szCs w:val="20"/>
        </w:rPr>
      </w:pPr>
    </w:p>
    <w:tbl>
      <w:tblPr>
        <w:tblpPr w:leftFromText="180" w:rightFromText="180" w:vertAnchor="text" w:horzAnchor="margin" w:tblpXSpec="center" w:tblpY="149"/>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62298A" w:rsidRPr="00435535">
        <w:trPr>
          <w:tblCellSpacing w:w="0" w:type="dxa"/>
        </w:trPr>
        <w:tc>
          <w:tcPr>
            <w:tcW w:w="8949" w:type="dxa"/>
            <w:gridSpan w:val="3"/>
            <w:vAlign w:val="center"/>
          </w:tcPr>
          <w:p w:rsidR="0062298A" w:rsidRPr="00435535" w:rsidRDefault="0062298A" w:rsidP="0058603B">
            <w:pPr>
              <w:pStyle w:val="naisnod"/>
            </w:pPr>
            <w:r w:rsidRPr="00435535">
              <w:t>II Tiesību akta projekta ietekme uz sabiedrību</w:t>
            </w:r>
          </w:p>
        </w:tc>
      </w:tr>
      <w:tr w:rsidR="0062298A" w:rsidRPr="00435535" w:rsidTr="00446EF0">
        <w:trPr>
          <w:trHeight w:val="467"/>
          <w:tblCellSpacing w:w="0" w:type="dxa"/>
        </w:trPr>
        <w:tc>
          <w:tcPr>
            <w:tcW w:w="550" w:type="dxa"/>
          </w:tcPr>
          <w:p w:rsidR="0062298A" w:rsidRPr="00435535" w:rsidRDefault="0062298A" w:rsidP="00AB46EF">
            <w:pPr>
              <w:pStyle w:val="naiskr"/>
              <w:spacing w:after="0"/>
              <w:ind w:left="181" w:hanging="181"/>
              <w:jc w:val="center"/>
            </w:pPr>
            <w:r w:rsidRPr="00435535">
              <w:t>1.</w:t>
            </w:r>
          </w:p>
        </w:tc>
        <w:tc>
          <w:tcPr>
            <w:tcW w:w="3004" w:type="dxa"/>
          </w:tcPr>
          <w:p w:rsidR="0062298A" w:rsidRPr="00435535" w:rsidRDefault="00C27A08" w:rsidP="00446EF0">
            <w:pPr>
              <w:pStyle w:val="naiskr"/>
              <w:spacing w:after="0"/>
              <w:ind w:left="170"/>
            </w:pPr>
            <w:r w:rsidRPr="00435535">
              <w:t>Sabiedrības mērķgrupa</w:t>
            </w:r>
          </w:p>
        </w:tc>
        <w:tc>
          <w:tcPr>
            <w:tcW w:w="5395" w:type="dxa"/>
          </w:tcPr>
          <w:p w:rsidR="00E72176" w:rsidRPr="00435535" w:rsidRDefault="003A7661" w:rsidP="00446EF0">
            <w:pPr>
              <w:pStyle w:val="naiskr"/>
              <w:rPr>
                <w:i/>
              </w:rPr>
            </w:pPr>
            <w:r>
              <w:rPr>
                <w:iCs/>
              </w:rPr>
              <w:t>I</w:t>
            </w:r>
            <w:r w:rsidR="008A75A0" w:rsidRPr="00435535">
              <w:rPr>
                <w:iCs/>
              </w:rPr>
              <w:t xml:space="preserve">zglītības iestādes </w:t>
            </w:r>
            <w:r w:rsidR="00453A9D" w:rsidRPr="00435535">
              <w:rPr>
                <w:iCs/>
              </w:rPr>
              <w:t>(t.</w:t>
            </w:r>
            <w:r w:rsidR="00C01704">
              <w:rPr>
                <w:iCs/>
              </w:rPr>
              <w:t xml:space="preserve">sk. sākumskolas, pamatskolas, </w:t>
            </w:r>
            <w:r w:rsidR="00453A9D" w:rsidRPr="00435535">
              <w:rPr>
                <w:iCs/>
              </w:rPr>
              <w:t>vidusskolas</w:t>
            </w:r>
            <w:r w:rsidR="00C01704">
              <w:rPr>
                <w:iCs/>
              </w:rPr>
              <w:t xml:space="preserve"> un profesionālās izglītības iestādes</w:t>
            </w:r>
            <w:r w:rsidR="00453A9D" w:rsidRPr="00435535">
              <w:rPr>
                <w:iCs/>
              </w:rPr>
              <w:t>) –</w:t>
            </w:r>
            <w:r w:rsidR="008A2DBA">
              <w:rPr>
                <w:iCs/>
              </w:rPr>
              <w:t xml:space="preserve"> 897</w:t>
            </w:r>
            <w:r w:rsidR="007B7715">
              <w:rPr>
                <w:iCs/>
              </w:rPr>
              <w:t>.</w:t>
            </w:r>
          </w:p>
        </w:tc>
      </w:tr>
      <w:tr w:rsidR="0062298A" w:rsidRPr="00435535" w:rsidTr="00446EF0">
        <w:trPr>
          <w:trHeight w:val="523"/>
          <w:tblCellSpacing w:w="0" w:type="dxa"/>
        </w:trPr>
        <w:tc>
          <w:tcPr>
            <w:tcW w:w="550" w:type="dxa"/>
          </w:tcPr>
          <w:p w:rsidR="0062298A" w:rsidRPr="00435535" w:rsidRDefault="0062298A" w:rsidP="00AB46EF">
            <w:pPr>
              <w:pStyle w:val="naiskr"/>
              <w:jc w:val="center"/>
            </w:pPr>
            <w:r w:rsidRPr="00435535">
              <w:t>2.</w:t>
            </w:r>
          </w:p>
        </w:tc>
        <w:tc>
          <w:tcPr>
            <w:tcW w:w="3004" w:type="dxa"/>
          </w:tcPr>
          <w:p w:rsidR="00C1133D" w:rsidRPr="00435535" w:rsidRDefault="00C27A08" w:rsidP="00446EF0">
            <w:pPr>
              <w:pStyle w:val="naiskr"/>
              <w:ind w:left="170"/>
            </w:pPr>
            <w:r w:rsidRPr="00435535">
              <w:t>Citas sabiedrības grupas (bez mērķgrupas), kuras tiesiskais regulējums arī ietekmē vai varētu ietekmēt</w:t>
            </w:r>
          </w:p>
        </w:tc>
        <w:tc>
          <w:tcPr>
            <w:tcW w:w="5395" w:type="dxa"/>
          </w:tcPr>
          <w:p w:rsidR="0062298A" w:rsidRPr="00435535" w:rsidRDefault="008A75A0" w:rsidP="00446EF0">
            <w:pPr>
              <w:pStyle w:val="naiskr"/>
              <w:rPr>
                <w:i/>
              </w:rPr>
            </w:pPr>
            <w:r w:rsidRPr="00435535">
              <w:rPr>
                <w:iCs/>
              </w:rPr>
              <w:t xml:space="preserve">Augstākās izglītības iestādes </w:t>
            </w:r>
            <w:r w:rsidR="00453A9D" w:rsidRPr="00435535">
              <w:rPr>
                <w:iCs/>
              </w:rPr>
              <w:t>–</w:t>
            </w:r>
            <w:r w:rsidRPr="00435535">
              <w:rPr>
                <w:iCs/>
              </w:rPr>
              <w:t xml:space="preserve"> 4</w:t>
            </w:r>
            <w:r w:rsidR="007B7715">
              <w:rPr>
                <w:iCs/>
              </w:rPr>
              <w:t>, p</w:t>
            </w:r>
            <w:r w:rsidRPr="00435535">
              <w:t xml:space="preserve">ašvaldības izglītības speciālisti vai izglītības pārvaldes iestādes </w:t>
            </w:r>
            <w:r w:rsidR="00453A9D" w:rsidRPr="00435535">
              <w:t>–</w:t>
            </w:r>
            <w:r w:rsidRPr="00435535">
              <w:t xml:space="preserve"> 109</w:t>
            </w:r>
            <w:r w:rsidR="007B7715">
              <w:t>.</w:t>
            </w:r>
          </w:p>
        </w:tc>
      </w:tr>
      <w:tr w:rsidR="0062298A" w:rsidRPr="00435535" w:rsidTr="00446EF0">
        <w:trPr>
          <w:trHeight w:val="517"/>
          <w:tblCellSpacing w:w="0" w:type="dxa"/>
        </w:trPr>
        <w:tc>
          <w:tcPr>
            <w:tcW w:w="550" w:type="dxa"/>
          </w:tcPr>
          <w:p w:rsidR="0062298A" w:rsidRPr="00435535" w:rsidRDefault="0062298A" w:rsidP="00AB46EF">
            <w:pPr>
              <w:pStyle w:val="naiskr"/>
              <w:jc w:val="center"/>
            </w:pPr>
            <w:r w:rsidRPr="00435535">
              <w:t>3.</w:t>
            </w:r>
          </w:p>
        </w:tc>
        <w:tc>
          <w:tcPr>
            <w:tcW w:w="3004" w:type="dxa"/>
          </w:tcPr>
          <w:p w:rsidR="00C1133D" w:rsidRPr="00435535" w:rsidRDefault="000C790C" w:rsidP="00446EF0">
            <w:pPr>
              <w:pStyle w:val="naiskr"/>
              <w:ind w:left="170"/>
            </w:pPr>
            <w:r w:rsidRPr="00435535">
              <w:t>Tiesiskā r</w:t>
            </w:r>
            <w:r w:rsidR="003D21FF" w:rsidRPr="00435535">
              <w:t>egulējuma</w:t>
            </w:r>
            <w:r w:rsidR="00C27A08" w:rsidRPr="00435535">
              <w:t xml:space="preserve"> finansiālā ietekme</w:t>
            </w:r>
            <w:r w:rsidR="00C1133D" w:rsidRPr="00435535">
              <w:t xml:space="preserve"> </w:t>
            </w:r>
          </w:p>
        </w:tc>
        <w:tc>
          <w:tcPr>
            <w:tcW w:w="5395" w:type="dxa"/>
          </w:tcPr>
          <w:p w:rsidR="00382EB2" w:rsidRPr="00435535" w:rsidRDefault="00F305CD" w:rsidP="00446EF0">
            <w:pPr>
              <w:pStyle w:val="naiskr"/>
              <w:rPr>
                <w:i/>
              </w:rPr>
            </w:pPr>
            <w:r w:rsidRPr="00435535">
              <w:t>Piešķirto budžeta līdzekļu ietvaros</w:t>
            </w:r>
            <w:r w:rsidR="00484844">
              <w:t>.</w:t>
            </w:r>
          </w:p>
        </w:tc>
      </w:tr>
      <w:tr w:rsidR="00C27A08" w:rsidRPr="00435535" w:rsidTr="00446EF0">
        <w:trPr>
          <w:trHeight w:val="517"/>
          <w:tblCellSpacing w:w="0" w:type="dxa"/>
        </w:trPr>
        <w:tc>
          <w:tcPr>
            <w:tcW w:w="550" w:type="dxa"/>
          </w:tcPr>
          <w:p w:rsidR="00C27A08" w:rsidRPr="00435535" w:rsidRDefault="00C27A08" w:rsidP="00AB46EF">
            <w:pPr>
              <w:pStyle w:val="naiskr"/>
              <w:jc w:val="center"/>
            </w:pPr>
            <w:r w:rsidRPr="00435535">
              <w:t>4.</w:t>
            </w:r>
          </w:p>
        </w:tc>
        <w:tc>
          <w:tcPr>
            <w:tcW w:w="3004" w:type="dxa"/>
          </w:tcPr>
          <w:p w:rsidR="00C27A08" w:rsidRPr="00435535" w:rsidRDefault="00C27A08" w:rsidP="00446EF0">
            <w:pPr>
              <w:pStyle w:val="naiskr"/>
              <w:ind w:left="170"/>
            </w:pPr>
            <w:r w:rsidRPr="00435535">
              <w:t>Tiesiskā regulējuma nefinansiālā ietekme</w:t>
            </w:r>
          </w:p>
        </w:tc>
        <w:tc>
          <w:tcPr>
            <w:tcW w:w="5395" w:type="dxa"/>
          </w:tcPr>
          <w:p w:rsidR="009E35FD" w:rsidRDefault="00233AF6" w:rsidP="003D612A">
            <w:pPr>
              <w:pStyle w:val="naiskr"/>
              <w:jc w:val="both"/>
              <w:rPr>
                <w:iCs/>
              </w:rPr>
            </w:pPr>
            <w:r w:rsidRPr="009A02B4">
              <w:rPr>
                <w:iCs/>
              </w:rPr>
              <w:t xml:space="preserve">Tā kā </w:t>
            </w:r>
            <w:r w:rsidR="00576859">
              <w:rPr>
                <w:iCs/>
              </w:rPr>
              <w:t>svešvalodu</w:t>
            </w:r>
            <w:r w:rsidRPr="009A02B4">
              <w:rPr>
                <w:iCs/>
              </w:rPr>
              <w:t xml:space="preserve"> centralizētajā eksāmenā tiek vērtētas izglītojamo valodas prasmes, kas apgūtas visā vidējās izglītības posmā, tad nav nepieciešams īpaši palielināt izglītojamā mācību slodzi, gatavojoties eksāmenam.</w:t>
            </w:r>
          </w:p>
          <w:p w:rsidR="001636A3" w:rsidRPr="00C8305A" w:rsidRDefault="001636A3" w:rsidP="009C76B7">
            <w:pPr>
              <w:pStyle w:val="naiskr"/>
              <w:spacing w:before="0"/>
              <w:jc w:val="both"/>
              <w:rPr>
                <w:iCs/>
              </w:rPr>
            </w:pPr>
            <w:r>
              <w:rPr>
                <w:iCs/>
              </w:rPr>
              <w:t>Ņemot vērā</w:t>
            </w:r>
            <w:r w:rsidR="009C76B7">
              <w:rPr>
                <w:iCs/>
              </w:rPr>
              <w:t>, ka viena</w:t>
            </w:r>
            <w:r>
              <w:rPr>
                <w:iCs/>
              </w:rPr>
              <w:t xml:space="preserve"> no vērtēšanas funkcijām ir uzlabot izglītojamo sasniegumus </w:t>
            </w:r>
            <w:r w:rsidR="009C76B7">
              <w:rPr>
                <w:iCs/>
              </w:rPr>
              <w:t xml:space="preserve">jau </w:t>
            </w:r>
            <w:r>
              <w:rPr>
                <w:iCs/>
              </w:rPr>
              <w:t>mācību procesa</w:t>
            </w:r>
            <w:r w:rsidR="009C76B7">
              <w:rPr>
                <w:iCs/>
              </w:rPr>
              <w:t xml:space="preserve"> laikā,</w:t>
            </w:r>
            <w:r>
              <w:rPr>
                <w:iCs/>
              </w:rPr>
              <w:t xml:space="preserve"> ir pieļaujama 3.klases diagnosticējošā darba ar kombinētu mācību saturu </w:t>
            </w:r>
            <w:r w:rsidR="009C76B7">
              <w:rPr>
                <w:iCs/>
              </w:rPr>
              <w:t>norise februārī</w:t>
            </w:r>
            <w:r>
              <w:rPr>
                <w:iCs/>
              </w:rPr>
              <w:t xml:space="preserve">. </w:t>
            </w:r>
          </w:p>
        </w:tc>
      </w:tr>
      <w:tr w:rsidR="0062298A" w:rsidRPr="00435535" w:rsidTr="00446EF0">
        <w:trPr>
          <w:trHeight w:val="716"/>
          <w:tblCellSpacing w:w="0" w:type="dxa"/>
        </w:trPr>
        <w:tc>
          <w:tcPr>
            <w:tcW w:w="550" w:type="dxa"/>
          </w:tcPr>
          <w:p w:rsidR="0062298A" w:rsidRPr="00435535" w:rsidRDefault="00C27A08" w:rsidP="00AB46EF">
            <w:pPr>
              <w:pStyle w:val="naiskr"/>
              <w:jc w:val="center"/>
            </w:pPr>
            <w:r w:rsidRPr="00435535">
              <w:t>5</w:t>
            </w:r>
            <w:r w:rsidR="0062298A" w:rsidRPr="00435535">
              <w:t>.</w:t>
            </w:r>
          </w:p>
        </w:tc>
        <w:tc>
          <w:tcPr>
            <w:tcW w:w="3004" w:type="dxa"/>
          </w:tcPr>
          <w:p w:rsidR="00C1133D" w:rsidRPr="00435535" w:rsidRDefault="00C1133D" w:rsidP="00446EF0">
            <w:pPr>
              <w:pStyle w:val="naiskr"/>
              <w:ind w:left="170"/>
            </w:pPr>
            <w:r w:rsidRPr="00435535">
              <w:t>Administratīv</w:t>
            </w:r>
            <w:r w:rsidR="00C27A08" w:rsidRPr="00435535">
              <w:t>ās</w:t>
            </w:r>
            <w:r w:rsidRPr="00435535">
              <w:t xml:space="preserve"> procedūr</w:t>
            </w:r>
            <w:r w:rsidR="00965897" w:rsidRPr="00435535">
              <w:t>a</w:t>
            </w:r>
            <w:r w:rsidRPr="00435535">
              <w:t xml:space="preserve">s </w:t>
            </w:r>
            <w:r w:rsidR="00C27A08" w:rsidRPr="00435535">
              <w:t>raksturojums</w:t>
            </w:r>
          </w:p>
        </w:tc>
        <w:tc>
          <w:tcPr>
            <w:tcW w:w="5395" w:type="dxa"/>
          </w:tcPr>
          <w:p w:rsidR="0062298A" w:rsidRPr="00435535" w:rsidRDefault="00E770DF" w:rsidP="00446EF0">
            <w:pPr>
              <w:pStyle w:val="naiskr"/>
              <w:rPr>
                <w:i/>
              </w:rPr>
            </w:pPr>
            <w:r>
              <w:rPr>
                <w:iCs/>
              </w:rPr>
              <w:t>Projekts šo jomu neskar</w:t>
            </w:r>
            <w:r w:rsidR="007B7715">
              <w:rPr>
                <w:iCs/>
              </w:rPr>
              <w:t>.</w:t>
            </w:r>
          </w:p>
        </w:tc>
      </w:tr>
      <w:tr w:rsidR="0062298A" w:rsidRPr="00435535" w:rsidTr="00446EF0">
        <w:trPr>
          <w:trHeight w:val="709"/>
          <w:tblCellSpacing w:w="0" w:type="dxa"/>
        </w:trPr>
        <w:tc>
          <w:tcPr>
            <w:tcW w:w="550" w:type="dxa"/>
          </w:tcPr>
          <w:p w:rsidR="0062298A" w:rsidRPr="00435535" w:rsidRDefault="00C27A08" w:rsidP="00AB46EF">
            <w:pPr>
              <w:pStyle w:val="naiskr"/>
              <w:jc w:val="center"/>
            </w:pPr>
            <w:r w:rsidRPr="00435535">
              <w:t>6</w:t>
            </w:r>
            <w:r w:rsidR="0062298A" w:rsidRPr="00435535">
              <w:t>.</w:t>
            </w:r>
          </w:p>
        </w:tc>
        <w:tc>
          <w:tcPr>
            <w:tcW w:w="3004" w:type="dxa"/>
          </w:tcPr>
          <w:p w:rsidR="00AE5066" w:rsidRPr="00435535" w:rsidRDefault="00C27A08" w:rsidP="00446EF0">
            <w:pPr>
              <w:pStyle w:val="naiskr"/>
              <w:ind w:left="170"/>
            </w:pPr>
            <w:r w:rsidRPr="00435535">
              <w:t xml:space="preserve">Administratīvo izmaksu </w:t>
            </w:r>
            <w:r w:rsidR="00502374" w:rsidRPr="00435535">
              <w:t xml:space="preserve">monetārs </w:t>
            </w:r>
            <w:r w:rsidRPr="00435535">
              <w:t>novērtējums</w:t>
            </w:r>
          </w:p>
        </w:tc>
        <w:tc>
          <w:tcPr>
            <w:tcW w:w="5395" w:type="dxa"/>
          </w:tcPr>
          <w:p w:rsidR="0062298A" w:rsidRPr="00435535" w:rsidRDefault="00E770DF" w:rsidP="00446EF0">
            <w:pPr>
              <w:pStyle w:val="naiskr"/>
            </w:pPr>
            <w:r>
              <w:rPr>
                <w:iCs/>
              </w:rPr>
              <w:t>Projekts šo jomu neskar</w:t>
            </w:r>
            <w:r w:rsidR="007B7715">
              <w:rPr>
                <w:iCs/>
              </w:rPr>
              <w:t>.</w:t>
            </w:r>
          </w:p>
        </w:tc>
      </w:tr>
      <w:tr w:rsidR="0062298A" w:rsidRPr="00435535" w:rsidTr="00446EF0">
        <w:trPr>
          <w:tblCellSpacing w:w="0" w:type="dxa"/>
        </w:trPr>
        <w:tc>
          <w:tcPr>
            <w:tcW w:w="550" w:type="dxa"/>
          </w:tcPr>
          <w:p w:rsidR="0062298A" w:rsidRPr="00435535" w:rsidRDefault="00C27A08" w:rsidP="00AB46EF">
            <w:pPr>
              <w:pStyle w:val="naiskr"/>
              <w:jc w:val="center"/>
            </w:pPr>
            <w:r w:rsidRPr="00435535">
              <w:t>7</w:t>
            </w:r>
            <w:r w:rsidR="0062298A" w:rsidRPr="00435535">
              <w:t>.</w:t>
            </w:r>
          </w:p>
        </w:tc>
        <w:tc>
          <w:tcPr>
            <w:tcW w:w="3004" w:type="dxa"/>
          </w:tcPr>
          <w:p w:rsidR="0062298A" w:rsidRPr="00435535" w:rsidRDefault="0062298A" w:rsidP="00446EF0">
            <w:pPr>
              <w:pStyle w:val="naiskr"/>
              <w:ind w:left="170"/>
            </w:pPr>
            <w:r w:rsidRPr="00435535">
              <w:t>Cita informācija.</w:t>
            </w:r>
          </w:p>
        </w:tc>
        <w:tc>
          <w:tcPr>
            <w:tcW w:w="5395" w:type="dxa"/>
          </w:tcPr>
          <w:p w:rsidR="0062298A" w:rsidRPr="00435535" w:rsidRDefault="00B12A2C" w:rsidP="00446EF0">
            <w:pPr>
              <w:pStyle w:val="naiskr"/>
              <w:rPr>
                <w:i/>
              </w:rPr>
            </w:pPr>
            <w:r w:rsidRPr="00435535">
              <w:rPr>
                <w:iCs/>
              </w:rPr>
              <w:t>Nav</w:t>
            </w:r>
          </w:p>
        </w:tc>
      </w:tr>
    </w:tbl>
    <w:p w:rsidR="00641527" w:rsidRPr="00446EF0" w:rsidRDefault="00641527" w:rsidP="00744F3C">
      <w:pPr>
        <w:jc w:val="center"/>
      </w:pPr>
    </w:p>
    <w:p w:rsidR="001A6DE9" w:rsidRDefault="00641527" w:rsidP="001A6DE9">
      <w:pPr>
        <w:jc w:val="center"/>
      </w:pPr>
      <w:r w:rsidRPr="00601AB5">
        <w:t xml:space="preserve">Anotācijas </w:t>
      </w:r>
      <w:r w:rsidR="00601AB5">
        <w:t>III</w:t>
      </w:r>
      <w:r w:rsidRPr="00601AB5">
        <w:t xml:space="preserve"> sadaļa </w:t>
      </w:r>
      <w:r w:rsidR="00CA4564" w:rsidRPr="00601AB5">
        <w:t xml:space="preserve">– </w:t>
      </w:r>
      <w:r w:rsidR="00601AB5">
        <w:rPr>
          <w:iCs/>
        </w:rPr>
        <w:t>noteikumu projekts šo jomu</w:t>
      </w:r>
      <w:r w:rsidR="00E770DF" w:rsidRPr="00601AB5">
        <w:rPr>
          <w:iCs/>
        </w:rPr>
        <w:t xml:space="preserve"> neskar</w:t>
      </w:r>
      <w:r w:rsidRPr="00601AB5">
        <w:t>.</w:t>
      </w:r>
    </w:p>
    <w:tbl>
      <w:tblPr>
        <w:tblpPr w:leftFromText="181" w:rightFromText="181" w:vertAnchor="text" w:horzAnchor="margin" w:tblpXSpec="center" w:tblpY="540"/>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1A6DE9" w:rsidRPr="00EF4AA3" w:rsidTr="00FE65F7">
        <w:trPr>
          <w:tblCellSpacing w:w="0" w:type="dxa"/>
        </w:trPr>
        <w:tc>
          <w:tcPr>
            <w:tcW w:w="9082" w:type="dxa"/>
            <w:gridSpan w:val="3"/>
            <w:vAlign w:val="center"/>
          </w:tcPr>
          <w:p w:rsidR="001A6DE9" w:rsidRPr="00EF4AA3" w:rsidRDefault="001A6DE9" w:rsidP="00FE65F7">
            <w:pPr>
              <w:pStyle w:val="naisnod"/>
            </w:pPr>
            <w:r w:rsidRPr="00EF4AA3">
              <w:t>IV  Tiesību akta projekta ietekme uz</w:t>
            </w:r>
            <w:r w:rsidRPr="00EF4AA3">
              <w:br/>
              <w:t>spēkā esošo tiesību normu sistēmu</w:t>
            </w:r>
          </w:p>
        </w:tc>
      </w:tr>
      <w:tr w:rsidR="001A6DE9" w:rsidRPr="00EF4AA3" w:rsidTr="00FE65F7">
        <w:trPr>
          <w:trHeight w:val="557"/>
          <w:tblCellSpacing w:w="0" w:type="dxa"/>
        </w:trPr>
        <w:tc>
          <w:tcPr>
            <w:tcW w:w="550" w:type="dxa"/>
          </w:tcPr>
          <w:p w:rsidR="001A6DE9" w:rsidRPr="00EF4AA3" w:rsidRDefault="001A6DE9" w:rsidP="00FE65F7">
            <w:pPr>
              <w:pStyle w:val="naiskr"/>
              <w:ind w:left="180" w:hanging="180"/>
              <w:jc w:val="center"/>
            </w:pPr>
            <w:r w:rsidRPr="00EF4AA3">
              <w:t>1.</w:t>
            </w:r>
          </w:p>
        </w:tc>
        <w:tc>
          <w:tcPr>
            <w:tcW w:w="2880" w:type="dxa"/>
            <w:shd w:val="clear" w:color="auto" w:fill="auto"/>
          </w:tcPr>
          <w:p w:rsidR="001A6DE9" w:rsidRPr="00EF4AA3" w:rsidRDefault="001A6DE9" w:rsidP="00FE65F7">
            <w:pPr>
              <w:pStyle w:val="naiskr"/>
              <w:ind w:left="180" w:hanging="10"/>
            </w:pPr>
            <w:r w:rsidRPr="00EF4AA3">
              <w:t>Nepieciešamie saistītie tiesību akta projekti</w:t>
            </w:r>
          </w:p>
        </w:tc>
        <w:tc>
          <w:tcPr>
            <w:tcW w:w="5652" w:type="dxa"/>
            <w:shd w:val="clear" w:color="auto" w:fill="auto"/>
          </w:tcPr>
          <w:p w:rsidR="00FE65F7" w:rsidRDefault="00FE65F7" w:rsidP="00FE65F7">
            <w:pPr>
              <w:pStyle w:val="naiskr"/>
              <w:jc w:val="both"/>
            </w:pPr>
            <w:r>
              <w:t>M</w:t>
            </w:r>
            <w:r w:rsidR="00E75D8F">
              <w:t>inistrijas izstrādāt</w:t>
            </w:r>
            <w:r w:rsidR="001519B1">
              <w:t>ais noteikumu projekt</w:t>
            </w:r>
            <w:r w:rsidR="00D43C76">
              <w:t>s par pamatizglītības standartu</w:t>
            </w:r>
            <w:r w:rsidR="001519B1">
              <w:t xml:space="preserve">, kas izsludināts </w:t>
            </w:r>
            <w:r w:rsidR="001519B1" w:rsidRPr="004256C5">
              <w:t>2012.gada 25.oktobrī Valsts sekretāru sanāksmē (VSS-1078, protokols Nr.43, 9.§)</w:t>
            </w:r>
            <w:r w:rsidR="001519B1">
              <w:t>,</w:t>
            </w:r>
            <w:r w:rsidR="00E75D8F">
              <w:t xml:space="preserve"> </w:t>
            </w:r>
            <w:r w:rsidR="00356E56">
              <w:t>paredz 3.un 6.klases izglītojamajiem kārtot diagnosticējošos darbus</w:t>
            </w:r>
            <w:r>
              <w:t>. Noteikumu projekts par pamatizglītības standartu 2013.gada 5.martā iesniegts izskatīšanai Ministru kabineta sēdē.</w:t>
            </w:r>
          </w:p>
          <w:p w:rsidR="001A6DE9" w:rsidRDefault="00FE65F7" w:rsidP="00FE65F7">
            <w:pPr>
              <w:pStyle w:val="naiskr"/>
              <w:jc w:val="both"/>
            </w:pPr>
            <w:r>
              <w:t>N</w:t>
            </w:r>
            <w:r w:rsidR="00356E56">
              <w:t xml:space="preserve">oteikumu projekts var tikt virzīts izskatīšanai Ministru </w:t>
            </w:r>
            <w:r w:rsidR="00356E56">
              <w:lastRenderedPageBreak/>
              <w:t xml:space="preserve">kabineta sēdē vienlaikus ar </w:t>
            </w:r>
            <w:r w:rsidR="001519B1">
              <w:t>noteikumu projektu par pamatizglītības standartu vai pēc tā izskatīšanas Ministru kabineta sēdē.</w:t>
            </w:r>
          </w:p>
          <w:p w:rsidR="00A308B1" w:rsidRPr="00EF4AA3" w:rsidRDefault="0023724B" w:rsidP="00D43C76">
            <w:pPr>
              <w:pStyle w:val="naiskr"/>
              <w:jc w:val="both"/>
            </w:pPr>
            <w:r w:rsidRPr="0058156E">
              <w:t>Noteikumu projekt</w:t>
            </w:r>
            <w:r w:rsidR="008416A0" w:rsidRPr="0058156E">
              <w:t>ā</w:t>
            </w:r>
            <w:r w:rsidRPr="0058156E">
              <w:t xml:space="preserve"> par pamatizglītības standartu</w:t>
            </w:r>
            <w:r w:rsidR="008416A0" w:rsidRPr="0058156E">
              <w:t xml:space="preserve"> paredz</w:t>
            </w:r>
            <w:r w:rsidR="002B5AF3" w:rsidRPr="0058156E">
              <w:t>ētā</w:t>
            </w:r>
            <w:r w:rsidR="00D43C76">
              <w:t>s</w:t>
            </w:r>
            <w:r w:rsidR="008416A0" w:rsidRPr="0058156E">
              <w:t xml:space="preserve"> </w:t>
            </w:r>
            <w:r w:rsidR="002B5AF3" w:rsidRPr="0058156E">
              <w:t>jaunā</w:t>
            </w:r>
            <w:r w:rsidR="00D43C76">
              <w:t>s</w:t>
            </w:r>
            <w:r w:rsidR="008416A0" w:rsidRPr="0058156E">
              <w:t xml:space="preserve"> valsts pārbaudījuma </w:t>
            </w:r>
            <w:r w:rsidR="00D43C76">
              <w:t>formas</w:t>
            </w:r>
            <w:proofErr w:type="gramStart"/>
            <w:r w:rsidR="00C2295B">
              <w:t xml:space="preserve"> </w:t>
            </w:r>
            <w:r w:rsidR="008416A0" w:rsidRPr="0058156E">
              <w:t xml:space="preserve"> </w:t>
            </w:r>
            <w:proofErr w:type="gramEnd"/>
            <w:r w:rsidR="008416A0" w:rsidRPr="00C2295B">
              <w:rPr>
                <w:i/>
              </w:rPr>
              <w:t>diagnosticējošais darbs</w:t>
            </w:r>
            <w:r w:rsidR="008416A0" w:rsidRPr="0058156E">
              <w:t xml:space="preserve"> tiesiskais regulējums pilnībā tiks izstrādāts un ietverts</w:t>
            </w:r>
            <w:r w:rsidR="002B5AF3" w:rsidRPr="0058156E">
              <w:t xml:space="preserve"> </w:t>
            </w:r>
            <w:r w:rsidR="00BD1D1F" w:rsidRPr="0058156E">
              <w:t>līdz 2013.gada 1.decembrim</w:t>
            </w:r>
            <w:r w:rsidR="002B5AF3" w:rsidRPr="0058156E">
              <w:t>, sagatavojot un iesniedzot</w:t>
            </w:r>
            <w:r w:rsidR="00BD1D1F" w:rsidRPr="0058156E">
              <w:t xml:space="preserve"> izskatīšanai Ministru kabinetā nepieciešamos grozījumus </w:t>
            </w:r>
            <w:r w:rsidR="00AD367C" w:rsidRPr="0058156E">
              <w:t>Ministru kabineta 2010.gada 6.aprīļa noteikumos Nr.334 „Noteikumi par valsts pārbaudījumu norises kārtību”.</w:t>
            </w:r>
          </w:p>
        </w:tc>
      </w:tr>
      <w:tr w:rsidR="001A6DE9" w:rsidRPr="00EF4AA3" w:rsidTr="00FE65F7">
        <w:trPr>
          <w:trHeight w:val="547"/>
          <w:tblCellSpacing w:w="0" w:type="dxa"/>
        </w:trPr>
        <w:tc>
          <w:tcPr>
            <w:tcW w:w="550" w:type="dxa"/>
          </w:tcPr>
          <w:p w:rsidR="001A6DE9" w:rsidRPr="00EF4AA3" w:rsidRDefault="001A6DE9" w:rsidP="00FE65F7">
            <w:pPr>
              <w:pStyle w:val="naiskr"/>
              <w:ind w:left="180" w:hanging="180"/>
              <w:jc w:val="center"/>
            </w:pPr>
            <w:r w:rsidRPr="00EF4AA3">
              <w:lastRenderedPageBreak/>
              <w:t>2.</w:t>
            </w:r>
          </w:p>
        </w:tc>
        <w:tc>
          <w:tcPr>
            <w:tcW w:w="2880" w:type="dxa"/>
            <w:shd w:val="clear" w:color="auto" w:fill="auto"/>
          </w:tcPr>
          <w:p w:rsidR="001A6DE9" w:rsidRPr="00EF4AA3" w:rsidRDefault="001A6DE9" w:rsidP="00FE65F7">
            <w:pPr>
              <w:pStyle w:val="naiskr"/>
              <w:ind w:left="180" w:hanging="10"/>
            </w:pPr>
            <w:r w:rsidRPr="00EF4AA3">
              <w:t>Cita informācija</w:t>
            </w:r>
          </w:p>
        </w:tc>
        <w:tc>
          <w:tcPr>
            <w:tcW w:w="5652" w:type="dxa"/>
            <w:shd w:val="clear" w:color="auto" w:fill="auto"/>
          </w:tcPr>
          <w:p w:rsidR="001A6DE9" w:rsidRPr="00DB674C" w:rsidRDefault="001519B1" w:rsidP="00FE65F7">
            <w:pPr>
              <w:pStyle w:val="naiskr"/>
              <w:jc w:val="both"/>
            </w:pPr>
            <w:r>
              <w:t>Nav.</w:t>
            </w:r>
          </w:p>
        </w:tc>
      </w:tr>
    </w:tbl>
    <w:p w:rsidR="009C76B7" w:rsidRDefault="009C76B7" w:rsidP="00576859">
      <w:pPr>
        <w:jc w:val="center"/>
      </w:pPr>
    </w:p>
    <w:p w:rsidR="001A6DE9" w:rsidRDefault="001A6DE9" w:rsidP="00576859">
      <w:pPr>
        <w:jc w:val="center"/>
      </w:pPr>
      <w:r w:rsidRPr="00601AB5">
        <w:t xml:space="preserve">Anotācijas </w:t>
      </w:r>
      <w:r>
        <w:t>V</w:t>
      </w:r>
      <w:r w:rsidRPr="00601AB5">
        <w:t xml:space="preserve"> sadaļa – </w:t>
      </w:r>
      <w:r>
        <w:rPr>
          <w:iCs/>
        </w:rPr>
        <w:t>noteikumu projekts šo jomu</w:t>
      </w:r>
      <w:r w:rsidRPr="00601AB5">
        <w:rPr>
          <w:iCs/>
        </w:rPr>
        <w:t xml:space="preserve"> neskar</w:t>
      </w:r>
      <w:r w:rsidRPr="00601AB5">
        <w:t>.</w:t>
      </w:r>
    </w:p>
    <w:tbl>
      <w:tblPr>
        <w:tblpPr w:leftFromText="180" w:rightFromText="180" w:vertAnchor="text" w:horzAnchor="margin" w:tblpY="302"/>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4470EE" w:rsidRPr="00EF4AA3" w:rsidTr="004470EE">
        <w:trPr>
          <w:tblCellSpacing w:w="0" w:type="dxa"/>
        </w:trPr>
        <w:tc>
          <w:tcPr>
            <w:tcW w:w="9082" w:type="dxa"/>
            <w:gridSpan w:val="3"/>
            <w:vAlign w:val="center"/>
          </w:tcPr>
          <w:p w:rsidR="004470EE" w:rsidRPr="00EF4AA3" w:rsidRDefault="004470EE" w:rsidP="004470EE">
            <w:pPr>
              <w:pStyle w:val="naisnod"/>
            </w:pPr>
            <w:r w:rsidRPr="00EF4AA3">
              <w:t>V</w:t>
            </w:r>
            <w:r>
              <w:t xml:space="preserve">I </w:t>
            </w:r>
            <w:r w:rsidRPr="004470EE">
              <w:t>Sabiedrības līdzdalība un šīs līdzdalības rezultāti</w:t>
            </w:r>
          </w:p>
        </w:tc>
      </w:tr>
      <w:tr w:rsidR="004470EE" w:rsidRPr="00EF4AA3" w:rsidTr="00446EF0">
        <w:trPr>
          <w:trHeight w:val="557"/>
          <w:tblCellSpacing w:w="0" w:type="dxa"/>
        </w:trPr>
        <w:tc>
          <w:tcPr>
            <w:tcW w:w="550" w:type="dxa"/>
          </w:tcPr>
          <w:p w:rsidR="004470EE" w:rsidRPr="00EF4AA3" w:rsidRDefault="004470EE" w:rsidP="00446EF0">
            <w:pPr>
              <w:pStyle w:val="naiskr"/>
              <w:ind w:left="180" w:hanging="180"/>
              <w:jc w:val="center"/>
            </w:pPr>
            <w:r w:rsidRPr="00EF4AA3">
              <w:t>1.</w:t>
            </w:r>
          </w:p>
        </w:tc>
        <w:tc>
          <w:tcPr>
            <w:tcW w:w="2880" w:type="dxa"/>
            <w:shd w:val="clear" w:color="auto" w:fill="auto"/>
            <w:vAlign w:val="center"/>
          </w:tcPr>
          <w:p w:rsidR="004470EE" w:rsidRPr="00EF4AA3" w:rsidRDefault="004470EE" w:rsidP="00446EF0">
            <w:pPr>
              <w:pStyle w:val="naiskr"/>
              <w:ind w:left="180" w:hanging="10"/>
            </w:pPr>
            <w:r>
              <w:t>Sabiedrības informēšana par projekta izstrādes uzsākšanu</w:t>
            </w:r>
          </w:p>
        </w:tc>
        <w:tc>
          <w:tcPr>
            <w:tcW w:w="5652" w:type="dxa"/>
            <w:shd w:val="clear" w:color="auto" w:fill="auto"/>
          </w:tcPr>
          <w:p w:rsidR="00F86EB1" w:rsidRPr="0058156E" w:rsidRDefault="00F86EB1" w:rsidP="00571B13">
            <w:pPr>
              <w:pStyle w:val="naiskr"/>
              <w:jc w:val="both"/>
            </w:pPr>
            <w:r w:rsidRPr="0058156E">
              <w:t xml:space="preserve">Valsts izglītības satura centrs </w:t>
            </w:r>
            <w:r w:rsidR="00945994" w:rsidRPr="0058156E">
              <w:t xml:space="preserve">2013.gada februārī </w:t>
            </w:r>
            <w:r w:rsidRPr="0058156E">
              <w:t>veica elektronisku aptauju par sagatavoto noteikumu projektu,</w:t>
            </w:r>
            <w:r w:rsidR="009C76B7" w:rsidRPr="0058156E">
              <w:t xml:space="preserve"> izņemot noteikuma projekta 2.punktu,</w:t>
            </w:r>
            <w:r w:rsidRPr="0058156E">
              <w:t xml:space="preserve"> to </w:t>
            </w:r>
            <w:r w:rsidR="00571B13" w:rsidRPr="0058156E">
              <w:t>no</w:t>
            </w:r>
            <w:r w:rsidRPr="0058156E">
              <w:t>sūtot visām mērķgrupas izglītības iestādēm.</w:t>
            </w:r>
          </w:p>
        </w:tc>
      </w:tr>
      <w:tr w:rsidR="004470EE" w:rsidRPr="00EF4AA3" w:rsidTr="00E02396">
        <w:trPr>
          <w:trHeight w:val="903"/>
          <w:tblCellSpacing w:w="0" w:type="dxa"/>
        </w:trPr>
        <w:tc>
          <w:tcPr>
            <w:tcW w:w="550" w:type="dxa"/>
          </w:tcPr>
          <w:p w:rsidR="004470EE" w:rsidRPr="00EF4AA3" w:rsidRDefault="004470EE" w:rsidP="00446EF0">
            <w:pPr>
              <w:pStyle w:val="naiskr"/>
              <w:ind w:left="180" w:hanging="180"/>
              <w:jc w:val="center"/>
            </w:pPr>
            <w:r w:rsidRPr="00EF4AA3">
              <w:t>2.</w:t>
            </w:r>
          </w:p>
        </w:tc>
        <w:tc>
          <w:tcPr>
            <w:tcW w:w="2880" w:type="dxa"/>
            <w:shd w:val="clear" w:color="auto" w:fill="auto"/>
          </w:tcPr>
          <w:p w:rsidR="004470EE" w:rsidRPr="00EF4AA3" w:rsidRDefault="004470EE" w:rsidP="00446EF0">
            <w:pPr>
              <w:pStyle w:val="naiskr"/>
              <w:ind w:left="180" w:hanging="10"/>
            </w:pPr>
            <w:r>
              <w:t>Sabiedrības līdzdalība projekta izstrādē</w:t>
            </w:r>
          </w:p>
        </w:tc>
        <w:tc>
          <w:tcPr>
            <w:tcW w:w="5652" w:type="dxa"/>
            <w:shd w:val="clear" w:color="auto" w:fill="auto"/>
          </w:tcPr>
          <w:p w:rsidR="00D97096" w:rsidRPr="0058156E" w:rsidRDefault="00571B13" w:rsidP="001A6DE9">
            <w:pPr>
              <w:pStyle w:val="naiskr"/>
            </w:pPr>
            <w:r w:rsidRPr="0058156E">
              <w:t xml:space="preserve">Noteikumu projekts </w:t>
            </w:r>
            <w:r w:rsidR="00A544DA" w:rsidRPr="0058156E">
              <w:t xml:space="preserve">tika </w:t>
            </w:r>
            <w:proofErr w:type="gramStart"/>
            <w:r w:rsidRPr="0058156E">
              <w:t>apspriests arodbiedrības „Latvijas izglītības vadītāju asociācija”</w:t>
            </w:r>
            <w:proofErr w:type="gramEnd"/>
            <w:r w:rsidRPr="0058156E">
              <w:t xml:space="preserve"> (turpmāk – LIVA) rīkotajā seminārā 2013.gada 6.februārī</w:t>
            </w:r>
            <w:r w:rsidR="001A6DE9" w:rsidRPr="0058156E">
              <w:t xml:space="preserve"> un 2013.gada 3.aprīlī nosūtīts LIVA atzinumu sniegšanai.</w:t>
            </w:r>
          </w:p>
        </w:tc>
      </w:tr>
      <w:tr w:rsidR="004470EE" w:rsidRPr="00EF4AA3" w:rsidTr="00FF45F6">
        <w:trPr>
          <w:trHeight w:val="557"/>
          <w:tblCellSpacing w:w="0" w:type="dxa"/>
        </w:trPr>
        <w:tc>
          <w:tcPr>
            <w:tcW w:w="550" w:type="dxa"/>
          </w:tcPr>
          <w:p w:rsidR="004470EE" w:rsidRPr="00EF4AA3" w:rsidRDefault="004470EE" w:rsidP="00446EF0">
            <w:pPr>
              <w:pStyle w:val="naiskr"/>
              <w:ind w:left="180" w:hanging="180"/>
              <w:jc w:val="center"/>
            </w:pPr>
            <w:r>
              <w:t>3.</w:t>
            </w:r>
          </w:p>
        </w:tc>
        <w:tc>
          <w:tcPr>
            <w:tcW w:w="2880" w:type="dxa"/>
            <w:shd w:val="clear" w:color="auto" w:fill="auto"/>
          </w:tcPr>
          <w:p w:rsidR="004470EE" w:rsidRDefault="004470EE" w:rsidP="00446EF0">
            <w:pPr>
              <w:pStyle w:val="naiskr"/>
              <w:ind w:left="180" w:hanging="10"/>
            </w:pPr>
            <w:r>
              <w:t>Sabiedrības līdzdalības rezultāti</w:t>
            </w:r>
          </w:p>
        </w:tc>
        <w:tc>
          <w:tcPr>
            <w:tcW w:w="5652" w:type="dxa"/>
            <w:shd w:val="clear" w:color="auto" w:fill="auto"/>
          </w:tcPr>
          <w:p w:rsidR="004470EE" w:rsidRPr="0058156E" w:rsidRDefault="00B96755" w:rsidP="001A6DE9">
            <w:pPr>
              <w:pStyle w:val="naiskr"/>
              <w:spacing w:after="0"/>
              <w:jc w:val="both"/>
            </w:pPr>
            <w:r w:rsidRPr="0058156E">
              <w:t xml:space="preserve">LIVA </w:t>
            </w:r>
            <w:r w:rsidR="001A6DE9" w:rsidRPr="0058156E">
              <w:t>atbalsta noteikumu projekta tālāko virzību.</w:t>
            </w:r>
          </w:p>
          <w:p w:rsidR="00E74F91" w:rsidRPr="0058156E" w:rsidRDefault="00E74F91" w:rsidP="00E74F91">
            <w:pPr>
              <w:pStyle w:val="naiskr"/>
              <w:spacing w:before="0" w:after="0"/>
              <w:jc w:val="both"/>
            </w:pPr>
            <w:r w:rsidRPr="0058156E">
              <w:t>Izglītības iestādes atbalsta izstrādāto noteikuma projektu.</w:t>
            </w:r>
          </w:p>
        </w:tc>
      </w:tr>
      <w:tr w:rsidR="004470EE" w:rsidRPr="00EF4AA3" w:rsidTr="00446EF0">
        <w:trPr>
          <w:trHeight w:val="631"/>
          <w:tblCellSpacing w:w="0" w:type="dxa"/>
        </w:trPr>
        <w:tc>
          <w:tcPr>
            <w:tcW w:w="550" w:type="dxa"/>
          </w:tcPr>
          <w:p w:rsidR="004470EE" w:rsidRPr="00EF4AA3" w:rsidRDefault="004470EE" w:rsidP="00446EF0">
            <w:pPr>
              <w:pStyle w:val="naiskr"/>
              <w:ind w:left="180" w:hanging="180"/>
              <w:jc w:val="center"/>
            </w:pPr>
            <w:r>
              <w:t>4.</w:t>
            </w:r>
          </w:p>
        </w:tc>
        <w:tc>
          <w:tcPr>
            <w:tcW w:w="2880" w:type="dxa"/>
            <w:shd w:val="clear" w:color="auto" w:fill="auto"/>
          </w:tcPr>
          <w:p w:rsidR="004470EE" w:rsidRDefault="004470EE" w:rsidP="00446EF0">
            <w:pPr>
              <w:pStyle w:val="naiskr"/>
              <w:ind w:left="180" w:hanging="10"/>
            </w:pPr>
            <w:r>
              <w:t>Saeimas un ekspertu līdzdalība</w:t>
            </w:r>
          </w:p>
        </w:tc>
        <w:tc>
          <w:tcPr>
            <w:tcW w:w="5652" w:type="dxa"/>
            <w:shd w:val="clear" w:color="auto" w:fill="auto"/>
          </w:tcPr>
          <w:p w:rsidR="004470EE" w:rsidRPr="00EF4AA3" w:rsidRDefault="00CB36ED" w:rsidP="00446EF0">
            <w:pPr>
              <w:pStyle w:val="naiskr"/>
              <w:rPr>
                <w:iCs/>
              </w:rPr>
            </w:pPr>
            <w:r>
              <w:rPr>
                <w:iCs/>
              </w:rPr>
              <w:t>Projekts šo jomu neskar.</w:t>
            </w:r>
          </w:p>
        </w:tc>
      </w:tr>
      <w:tr w:rsidR="004470EE" w:rsidRPr="00EF4AA3" w:rsidTr="00446EF0">
        <w:trPr>
          <w:trHeight w:val="613"/>
          <w:tblCellSpacing w:w="0" w:type="dxa"/>
        </w:trPr>
        <w:tc>
          <w:tcPr>
            <w:tcW w:w="550" w:type="dxa"/>
          </w:tcPr>
          <w:p w:rsidR="004470EE" w:rsidRDefault="004470EE" w:rsidP="00446EF0">
            <w:pPr>
              <w:pStyle w:val="naiskr"/>
              <w:ind w:left="180" w:hanging="180"/>
              <w:jc w:val="center"/>
            </w:pPr>
            <w:r>
              <w:t>5.</w:t>
            </w:r>
          </w:p>
        </w:tc>
        <w:tc>
          <w:tcPr>
            <w:tcW w:w="2880" w:type="dxa"/>
            <w:shd w:val="clear" w:color="auto" w:fill="auto"/>
          </w:tcPr>
          <w:p w:rsidR="004470EE" w:rsidRDefault="004470EE" w:rsidP="00446EF0">
            <w:pPr>
              <w:pStyle w:val="naiskr"/>
              <w:ind w:left="180" w:hanging="10"/>
            </w:pPr>
            <w:r w:rsidRPr="00EF4AA3">
              <w:t>Cita informācija</w:t>
            </w:r>
          </w:p>
        </w:tc>
        <w:tc>
          <w:tcPr>
            <w:tcW w:w="5652" w:type="dxa"/>
            <w:shd w:val="clear" w:color="auto" w:fill="auto"/>
          </w:tcPr>
          <w:p w:rsidR="004470EE" w:rsidRPr="00EF4AA3" w:rsidRDefault="00CB36ED" w:rsidP="00446EF0">
            <w:pPr>
              <w:pStyle w:val="naiskr"/>
              <w:rPr>
                <w:iCs/>
              </w:rPr>
            </w:pPr>
            <w:r>
              <w:rPr>
                <w:iCs/>
              </w:rPr>
              <w:t>Nav.</w:t>
            </w:r>
          </w:p>
        </w:tc>
      </w:tr>
    </w:tbl>
    <w:p w:rsidR="00946B98" w:rsidRPr="00744F3C" w:rsidRDefault="00946B98" w:rsidP="00946B98">
      <w:pPr>
        <w:pStyle w:val="naisf"/>
        <w:ind w:firstLine="0"/>
        <w:rPr>
          <w:b/>
        </w:rPr>
      </w:pPr>
    </w:p>
    <w:tbl>
      <w:tblPr>
        <w:tblW w:w="9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60"/>
        <w:gridCol w:w="5424"/>
      </w:tblGrid>
      <w:tr w:rsidR="0023436E" w:rsidRPr="00435535">
        <w:trPr>
          <w:tblCellSpacing w:w="0" w:type="dxa"/>
          <w:jc w:val="center"/>
        </w:trPr>
        <w:tc>
          <w:tcPr>
            <w:tcW w:w="9034" w:type="dxa"/>
            <w:gridSpan w:val="3"/>
            <w:vAlign w:val="center"/>
          </w:tcPr>
          <w:p w:rsidR="0023436E" w:rsidRPr="00435535" w:rsidRDefault="0023436E" w:rsidP="00946B98">
            <w:pPr>
              <w:pStyle w:val="naisnod"/>
            </w:pPr>
            <w:r w:rsidRPr="00435535">
              <w:t>VII Tiesību akta projekta izpildes nodrošināšana un tās ietekme uz institūcijām</w:t>
            </w:r>
          </w:p>
        </w:tc>
      </w:tr>
      <w:tr w:rsidR="0023436E" w:rsidRPr="00435535" w:rsidTr="00446EF0">
        <w:trPr>
          <w:trHeight w:val="834"/>
          <w:tblCellSpacing w:w="0" w:type="dxa"/>
          <w:jc w:val="center"/>
        </w:trPr>
        <w:tc>
          <w:tcPr>
            <w:tcW w:w="550" w:type="dxa"/>
          </w:tcPr>
          <w:p w:rsidR="0023436E" w:rsidRPr="00435535" w:rsidRDefault="0023436E" w:rsidP="00AB46EF">
            <w:pPr>
              <w:pStyle w:val="naisnod"/>
              <w:spacing w:before="75" w:after="75"/>
              <w:ind w:left="181" w:hanging="181"/>
              <w:rPr>
                <w:b w:val="0"/>
              </w:rPr>
            </w:pPr>
            <w:r w:rsidRPr="00435535">
              <w:rPr>
                <w:b w:val="0"/>
              </w:rPr>
              <w:t>1.</w:t>
            </w:r>
          </w:p>
        </w:tc>
        <w:tc>
          <w:tcPr>
            <w:tcW w:w="3060" w:type="dxa"/>
          </w:tcPr>
          <w:p w:rsidR="0023436E" w:rsidRPr="00435535" w:rsidRDefault="001A4066" w:rsidP="00446EF0">
            <w:pPr>
              <w:pStyle w:val="naisf"/>
              <w:ind w:left="170" w:firstLine="0"/>
              <w:jc w:val="left"/>
            </w:pPr>
            <w:r w:rsidRPr="00435535">
              <w:t>P</w:t>
            </w:r>
            <w:r w:rsidR="0023436E" w:rsidRPr="00435535">
              <w:t xml:space="preserve">rojekta izpildē iesaistītās institūcijas </w:t>
            </w:r>
          </w:p>
        </w:tc>
        <w:tc>
          <w:tcPr>
            <w:tcW w:w="5424" w:type="dxa"/>
          </w:tcPr>
          <w:p w:rsidR="0023436E" w:rsidRPr="00435535" w:rsidRDefault="004827CA" w:rsidP="00FD3121">
            <w:pPr>
              <w:pStyle w:val="naisnod"/>
              <w:spacing w:before="75" w:after="75"/>
              <w:jc w:val="both"/>
              <w:rPr>
                <w:b w:val="0"/>
              </w:rPr>
            </w:pPr>
            <w:r>
              <w:rPr>
                <w:b w:val="0"/>
                <w:iCs/>
              </w:rPr>
              <w:t>I</w:t>
            </w:r>
            <w:r w:rsidRPr="00435535">
              <w:rPr>
                <w:b w:val="0"/>
                <w:iCs/>
              </w:rPr>
              <w:t>zglītības iestādes</w:t>
            </w:r>
            <w:r w:rsidR="008A2DBA">
              <w:rPr>
                <w:b w:val="0"/>
                <w:iCs/>
              </w:rPr>
              <w:t xml:space="preserve"> – 897</w:t>
            </w:r>
            <w:r w:rsidRPr="00435535">
              <w:rPr>
                <w:b w:val="0"/>
                <w:iCs/>
              </w:rPr>
              <w:t xml:space="preserve">, </w:t>
            </w:r>
            <w:r>
              <w:rPr>
                <w:b w:val="0"/>
                <w:iCs/>
              </w:rPr>
              <w:t xml:space="preserve">kuras īsteno vispārējās pamatizglītības programmas, vispārējās vidējās izglītības programmas, profesionālās vidējās izglītības un arodizglītības programmas, </w:t>
            </w:r>
            <w:r w:rsidRPr="00435535">
              <w:rPr>
                <w:b w:val="0"/>
                <w:iCs/>
              </w:rPr>
              <w:t>p</w:t>
            </w:r>
            <w:r w:rsidRPr="00435535">
              <w:rPr>
                <w:b w:val="0"/>
              </w:rPr>
              <w:t>ašvaldības izglītības speciālisti vai izglītības pārvaldes iestādes</w:t>
            </w:r>
            <w:r w:rsidR="00FD3121">
              <w:rPr>
                <w:b w:val="0"/>
              </w:rPr>
              <w:t xml:space="preserve"> – 109,</w:t>
            </w:r>
            <w:r w:rsidRPr="00435535">
              <w:rPr>
                <w:b w:val="0"/>
              </w:rPr>
              <w:t xml:space="preserve"> augstākās izglītības </w:t>
            </w:r>
            <w:r>
              <w:rPr>
                <w:b w:val="0"/>
              </w:rPr>
              <w:t>iestādes</w:t>
            </w:r>
            <w:r w:rsidR="00FD3121">
              <w:rPr>
                <w:b w:val="0"/>
              </w:rPr>
              <w:t xml:space="preserve"> – 4</w:t>
            </w:r>
            <w:r>
              <w:rPr>
                <w:b w:val="0"/>
              </w:rPr>
              <w:t>, ar</w:t>
            </w:r>
            <w:r w:rsidR="00A22D14" w:rsidRPr="00435535">
              <w:rPr>
                <w:b w:val="0"/>
              </w:rPr>
              <w:t xml:space="preserve"> kurām </w:t>
            </w:r>
            <w:r w:rsidR="00435535">
              <w:rPr>
                <w:b w:val="0"/>
              </w:rPr>
              <w:t xml:space="preserve">Valsts izglītības </w:t>
            </w:r>
            <w:r w:rsidR="009E6CF7">
              <w:rPr>
                <w:b w:val="0"/>
              </w:rPr>
              <w:t xml:space="preserve">satura </w:t>
            </w:r>
            <w:r w:rsidR="00435535">
              <w:rPr>
                <w:b w:val="0"/>
              </w:rPr>
              <w:t>centrs</w:t>
            </w:r>
            <w:r w:rsidR="00567355" w:rsidRPr="00435535">
              <w:rPr>
                <w:b w:val="0"/>
              </w:rPr>
              <w:t xml:space="preserve"> ir noslēdzis līgumu par valsts pārbaudījumu norises organizēšanu</w:t>
            </w:r>
            <w:r w:rsidR="00461A90" w:rsidRPr="00435535">
              <w:rPr>
                <w:b w:val="0"/>
              </w:rPr>
              <w:t>.</w:t>
            </w:r>
          </w:p>
        </w:tc>
      </w:tr>
      <w:tr w:rsidR="0023436E" w:rsidRPr="00435535" w:rsidTr="00446EF0">
        <w:trPr>
          <w:trHeight w:val="879"/>
          <w:tblCellSpacing w:w="0" w:type="dxa"/>
          <w:jc w:val="center"/>
        </w:trPr>
        <w:tc>
          <w:tcPr>
            <w:tcW w:w="550" w:type="dxa"/>
          </w:tcPr>
          <w:p w:rsidR="0023436E" w:rsidRPr="00435535" w:rsidRDefault="0023436E" w:rsidP="00AB46EF">
            <w:pPr>
              <w:pStyle w:val="naisnod"/>
              <w:spacing w:before="75" w:after="75"/>
              <w:rPr>
                <w:b w:val="0"/>
              </w:rPr>
            </w:pPr>
            <w:r w:rsidRPr="00435535">
              <w:rPr>
                <w:b w:val="0"/>
              </w:rPr>
              <w:t>2.</w:t>
            </w:r>
          </w:p>
        </w:tc>
        <w:tc>
          <w:tcPr>
            <w:tcW w:w="3060" w:type="dxa"/>
          </w:tcPr>
          <w:p w:rsidR="0023436E" w:rsidRPr="00435535" w:rsidRDefault="001A4066" w:rsidP="00446EF0">
            <w:pPr>
              <w:pStyle w:val="naisf"/>
              <w:ind w:left="170" w:firstLine="0"/>
              <w:jc w:val="left"/>
            </w:pPr>
            <w:r w:rsidRPr="00435535">
              <w:t>Projekta i</w:t>
            </w:r>
            <w:r w:rsidR="0023436E" w:rsidRPr="00435535">
              <w:t xml:space="preserve">zpildes ietekme uz pārvaldes funkcijām </w:t>
            </w:r>
          </w:p>
        </w:tc>
        <w:tc>
          <w:tcPr>
            <w:tcW w:w="5424" w:type="dxa"/>
          </w:tcPr>
          <w:p w:rsidR="0023436E" w:rsidRPr="00435535" w:rsidRDefault="000424B3" w:rsidP="00805381">
            <w:pPr>
              <w:pStyle w:val="naisnod"/>
              <w:spacing w:before="75" w:after="75"/>
              <w:jc w:val="both"/>
              <w:rPr>
                <w:b w:val="0"/>
              </w:rPr>
            </w:pPr>
            <w:r>
              <w:rPr>
                <w:b w:val="0"/>
                <w:iCs/>
              </w:rPr>
              <w:t>Izglītības iestādēm</w:t>
            </w:r>
            <w:r w:rsidRPr="00435535">
              <w:rPr>
                <w:b w:val="0"/>
                <w:iCs/>
              </w:rPr>
              <w:t xml:space="preserve">, </w:t>
            </w:r>
            <w:r>
              <w:rPr>
                <w:b w:val="0"/>
                <w:iCs/>
              </w:rPr>
              <w:t>kuras īsteno vispārējās pamatizglītības programmas</w:t>
            </w:r>
            <w:r w:rsidR="00993CB2">
              <w:rPr>
                <w:b w:val="0"/>
                <w:iCs/>
              </w:rPr>
              <w:t xml:space="preserve">, </w:t>
            </w:r>
            <w:r>
              <w:rPr>
                <w:b w:val="0"/>
                <w:iCs/>
              </w:rPr>
              <w:t>vispārējās vidējās izglītības programmas</w:t>
            </w:r>
            <w:r>
              <w:rPr>
                <w:b w:val="0"/>
              </w:rPr>
              <w:t>,</w:t>
            </w:r>
            <w:r w:rsidR="00993CB2">
              <w:rPr>
                <w:b w:val="0"/>
              </w:rPr>
              <w:t xml:space="preserve"> </w:t>
            </w:r>
            <w:r w:rsidR="00993CB2">
              <w:rPr>
                <w:b w:val="0"/>
                <w:iCs/>
              </w:rPr>
              <w:t xml:space="preserve">profesionālās vidējās izglītības </w:t>
            </w:r>
            <w:r w:rsidR="00993CB2">
              <w:rPr>
                <w:b w:val="0"/>
                <w:iCs/>
              </w:rPr>
              <w:lastRenderedPageBreak/>
              <w:t>un arodizglītības programmas,</w:t>
            </w:r>
            <w:r w:rsidR="00993CB2" w:rsidRPr="00435535">
              <w:rPr>
                <w:b w:val="0"/>
              </w:rPr>
              <w:t xml:space="preserve"> </w:t>
            </w:r>
            <w:r w:rsidR="00567355" w:rsidRPr="00435535">
              <w:rPr>
                <w:b w:val="0"/>
              </w:rPr>
              <w:t xml:space="preserve">atbilstoši </w:t>
            </w:r>
            <w:r w:rsidR="00461A90" w:rsidRPr="00435535">
              <w:rPr>
                <w:b w:val="0"/>
              </w:rPr>
              <w:t>noteikumu projektā noteiktajiem datumiem</w:t>
            </w:r>
            <w:r w:rsidR="00567355" w:rsidRPr="00435535">
              <w:rPr>
                <w:b w:val="0"/>
              </w:rPr>
              <w:t xml:space="preserve"> jānodrošina valsts pārbaudes darbu </w:t>
            </w:r>
            <w:r w:rsidR="00461A90" w:rsidRPr="00435535">
              <w:rPr>
                <w:b w:val="0"/>
              </w:rPr>
              <w:t>norise</w:t>
            </w:r>
            <w:r w:rsidR="00567355" w:rsidRPr="00435535">
              <w:rPr>
                <w:b w:val="0"/>
              </w:rPr>
              <w:t xml:space="preserve">. </w:t>
            </w:r>
          </w:p>
        </w:tc>
      </w:tr>
      <w:tr w:rsidR="0023436E" w:rsidRPr="00435535" w:rsidTr="00446EF0">
        <w:trPr>
          <w:trHeight w:val="725"/>
          <w:tblCellSpacing w:w="0" w:type="dxa"/>
          <w:jc w:val="center"/>
        </w:trPr>
        <w:tc>
          <w:tcPr>
            <w:tcW w:w="550" w:type="dxa"/>
          </w:tcPr>
          <w:p w:rsidR="0023436E" w:rsidRPr="00435535" w:rsidRDefault="0023436E" w:rsidP="00AB46EF">
            <w:pPr>
              <w:pStyle w:val="naisnod"/>
              <w:spacing w:before="75" w:after="75"/>
              <w:rPr>
                <w:b w:val="0"/>
              </w:rPr>
            </w:pPr>
            <w:r w:rsidRPr="00435535">
              <w:rPr>
                <w:b w:val="0"/>
              </w:rPr>
              <w:lastRenderedPageBreak/>
              <w:t>3.</w:t>
            </w:r>
          </w:p>
        </w:tc>
        <w:tc>
          <w:tcPr>
            <w:tcW w:w="3060" w:type="dxa"/>
          </w:tcPr>
          <w:p w:rsidR="0023436E" w:rsidRPr="00435535" w:rsidRDefault="001A4066" w:rsidP="00446EF0">
            <w:pPr>
              <w:pStyle w:val="naisf"/>
              <w:ind w:left="170" w:firstLine="0"/>
              <w:jc w:val="left"/>
            </w:pPr>
            <w:r w:rsidRPr="00435535">
              <w:t>Projekta iz</w:t>
            </w:r>
            <w:r w:rsidR="0023436E" w:rsidRPr="00435535">
              <w:t>pildes ietekme uz pārvaldes institucionālo struktūru.</w:t>
            </w:r>
          </w:p>
          <w:p w:rsidR="0023436E" w:rsidRPr="00435535" w:rsidRDefault="0023436E" w:rsidP="00446EF0">
            <w:pPr>
              <w:pStyle w:val="naisf"/>
              <w:ind w:left="350" w:hanging="180"/>
              <w:jc w:val="left"/>
            </w:pPr>
            <w:r w:rsidRPr="00435535">
              <w:t>Jaunu institūciju izveide.</w:t>
            </w:r>
          </w:p>
        </w:tc>
        <w:tc>
          <w:tcPr>
            <w:tcW w:w="5424" w:type="dxa"/>
          </w:tcPr>
          <w:p w:rsidR="0023436E" w:rsidRPr="00452AEF" w:rsidRDefault="00452AEF" w:rsidP="00805381">
            <w:pPr>
              <w:pStyle w:val="naisnod"/>
              <w:spacing w:before="75" w:after="75"/>
              <w:jc w:val="both"/>
              <w:rPr>
                <w:b w:val="0"/>
              </w:rPr>
            </w:pPr>
            <w:r w:rsidRPr="00CB3303">
              <w:rPr>
                <w:b w:val="0"/>
              </w:rPr>
              <w:t>Normatīvā akta izpilde tiks nodrošināta esošo institūciju ietvaros.</w:t>
            </w:r>
          </w:p>
        </w:tc>
      </w:tr>
      <w:tr w:rsidR="0023436E" w:rsidRPr="00435535" w:rsidTr="00446EF0">
        <w:trPr>
          <w:trHeight w:val="671"/>
          <w:tblCellSpacing w:w="0" w:type="dxa"/>
          <w:jc w:val="center"/>
        </w:trPr>
        <w:tc>
          <w:tcPr>
            <w:tcW w:w="550" w:type="dxa"/>
          </w:tcPr>
          <w:p w:rsidR="0023436E" w:rsidRPr="00435535" w:rsidRDefault="0023436E" w:rsidP="00AB46EF">
            <w:pPr>
              <w:pStyle w:val="naisnod"/>
              <w:spacing w:before="15" w:after="15"/>
              <w:rPr>
                <w:b w:val="0"/>
              </w:rPr>
            </w:pPr>
            <w:r w:rsidRPr="00435535">
              <w:rPr>
                <w:b w:val="0"/>
              </w:rPr>
              <w:t>4.</w:t>
            </w:r>
          </w:p>
        </w:tc>
        <w:tc>
          <w:tcPr>
            <w:tcW w:w="3060" w:type="dxa"/>
          </w:tcPr>
          <w:p w:rsidR="0023436E" w:rsidRPr="00435535" w:rsidRDefault="001A4066" w:rsidP="00446EF0">
            <w:pPr>
              <w:pStyle w:val="naisf"/>
              <w:ind w:left="170" w:firstLine="0"/>
              <w:jc w:val="left"/>
            </w:pPr>
            <w:r w:rsidRPr="00435535">
              <w:t>Projekta i</w:t>
            </w:r>
            <w:r w:rsidR="0023436E" w:rsidRPr="00435535">
              <w:t>zpildes ietekme uz pārvaldes institucionālo struktūru.</w:t>
            </w:r>
          </w:p>
          <w:p w:rsidR="0023436E" w:rsidRPr="00435535" w:rsidRDefault="0023436E" w:rsidP="00446EF0">
            <w:pPr>
              <w:pStyle w:val="naisf"/>
              <w:ind w:left="350" w:hanging="180"/>
              <w:jc w:val="left"/>
            </w:pPr>
            <w:r w:rsidRPr="00435535">
              <w:t>Esošu institūciju likvidācija.</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939"/>
          <w:tblCellSpacing w:w="0" w:type="dxa"/>
          <w:jc w:val="center"/>
        </w:trPr>
        <w:tc>
          <w:tcPr>
            <w:tcW w:w="550" w:type="dxa"/>
          </w:tcPr>
          <w:p w:rsidR="0023436E" w:rsidRPr="00435535" w:rsidRDefault="0023436E" w:rsidP="00AB46EF">
            <w:pPr>
              <w:pStyle w:val="naisnod"/>
              <w:spacing w:before="15" w:after="15"/>
              <w:rPr>
                <w:b w:val="0"/>
              </w:rPr>
            </w:pPr>
            <w:r w:rsidRPr="00435535">
              <w:rPr>
                <w:b w:val="0"/>
              </w:rPr>
              <w:t>5.</w:t>
            </w:r>
          </w:p>
        </w:tc>
        <w:tc>
          <w:tcPr>
            <w:tcW w:w="3060" w:type="dxa"/>
          </w:tcPr>
          <w:p w:rsidR="0023436E" w:rsidRPr="00435535" w:rsidRDefault="001A4066" w:rsidP="007B7715">
            <w:pPr>
              <w:pStyle w:val="naisf"/>
              <w:ind w:left="170" w:firstLine="0"/>
              <w:jc w:val="left"/>
            </w:pPr>
            <w:r w:rsidRPr="00435535">
              <w:t>Projekta i</w:t>
            </w:r>
            <w:r w:rsidR="0023436E" w:rsidRPr="00435535">
              <w:t>zpildes ietekme uz pārvaldes institucionālo struktūru.</w:t>
            </w:r>
          </w:p>
          <w:p w:rsidR="0023436E" w:rsidRPr="00435535" w:rsidRDefault="007F1E7E" w:rsidP="007B7715">
            <w:pPr>
              <w:pStyle w:val="naisf"/>
              <w:ind w:left="131" w:firstLine="0"/>
              <w:jc w:val="left"/>
            </w:pPr>
            <w:r>
              <w:t xml:space="preserve">Esošu institūciju </w:t>
            </w:r>
            <w:r w:rsidR="0023436E" w:rsidRPr="00435535">
              <w:t>reorganizācija</w:t>
            </w:r>
            <w:r w:rsidR="00651E00" w:rsidRPr="00435535">
              <w:t>.</w:t>
            </w:r>
          </w:p>
        </w:tc>
        <w:tc>
          <w:tcPr>
            <w:tcW w:w="5424" w:type="dxa"/>
          </w:tcPr>
          <w:p w:rsidR="0023436E" w:rsidRPr="00452AEF" w:rsidRDefault="00452AEF" w:rsidP="00805381">
            <w:pPr>
              <w:pStyle w:val="naisnod"/>
              <w:spacing w:before="75" w:after="75"/>
              <w:jc w:val="both"/>
              <w:rPr>
                <w:b w:val="0"/>
              </w:rPr>
            </w:pPr>
            <w:r w:rsidRPr="00452AEF">
              <w:rPr>
                <w:b w:val="0"/>
                <w:iCs/>
              </w:rPr>
              <w:t>Projekts šo jomu neskar</w:t>
            </w:r>
            <w:r w:rsidR="004443F9">
              <w:rPr>
                <w:b w:val="0"/>
                <w:iCs/>
              </w:rPr>
              <w:t>.</w:t>
            </w:r>
          </w:p>
        </w:tc>
      </w:tr>
      <w:tr w:rsidR="0023436E" w:rsidRPr="00435535" w:rsidTr="00AB46EF">
        <w:trPr>
          <w:trHeight w:val="476"/>
          <w:tblCellSpacing w:w="0" w:type="dxa"/>
          <w:jc w:val="center"/>
        </w:trPr>
        <w:tc>
          <w:tcPr>
            <w:tcW w:w="550" w:type="dxa"/>
          </w:tcPr>
          <w:p w:rsidR="0023436E" w:rsidRPr="00435535" w:rsidRDefault="00CA4564" w:rsidP="00AB46EF">
            <w:pPr>
              <w:pStyle w:val="naiskr"/>
              <w:spacing w:before="15" w:after="15"/>
              <w:jc w:val="center"/>
            </w:pPr>
            <w:r>
              <w:t>6</w:t>
            </w:r>
            <w:r w:rsidR="0023436E" w:rsidRPr="00435535">
              <w:t>.</w:t>
            </w:r>
          </w:p>
        </w:tc>
        <w:tc>
          <w:tcPr>
            <w:tcW w:w="3060" w:type="dxa"/>
          </w:tcPr>
          <w:p w:rsidR="0023436E" w:rsidRPr="00435535" w:rsidRDefault="0023436E" w:rsidP="007B7715">
            <w:pPr>
              <w:pStyle w:val="naiskr"/>
              <w:ind w:left="170"/>
            </w:pPr>
            <w:r w:rsidRPr="00435535">
              <w:t>Cita informācija.</w:t>
            </w:r>
          </w:p>
        </w:tc>
        <w:tc>
          <w:tcPr>
            <w:tcW w:w="5424" w:type="dxa"/>
          </w:tcPr>
          <w:p w:rsidR="0023436E" w:rsidRPr="00435535" w:rsidRDefault="00567355" w:rsidP="00805381">
            <w:pPr>
              <w:pStyle w:val="naiskr"/>
              <w:jc w:val="both"/>
            </w:pPr>
            <w:r w:rsidRPr="00435535">
              <w:t>Nav</w:t>
            </w:r>
          </w:p>
        </w:tc>
      </w:tr>
    </w:tbl>
    <w:p w:rsidR="003334B7" w:rsidRDefault="003334B7" w:rsidP="007B7715">
      <w:pPr>
        <w:rPr>
          <w:lang w:eastAsia="en-US"/>
        </w:rPr>
      </w:pPr>
    </w:p>
    <w:p w:rsidR="001A496A" w:rsidRDefault="001A496A" w:rsidP="007B7715">
      <w:pPr>
        <w:rPr>
          <w:lang w:eastAsia="en-US"/>
        </w:rPr>
      </w:pPr>
    </w:p>
    <w:p w:rsidR="001A496A" w:rsidRPr="007B7715" w:rsidRDefault="001A496A" w:rsidP="007B7715">
      <w:pPr>
        <w:rPr>
          <w:lang w:eastAsia="en-US"/>
        </w:rPr>
      </w:pPr>
    </w:p>
    <w:p w:rsidR="005A34CD" w:rsidRPr="00435535" w:rsidRDefault="00452AEF" w:rsidP="00E02396">
      <w:pPr>
        <w:pStyle w:val="Heading5"/>
        <w:tabs>
          <w:tab w:val="right" w:pos="8789"/>
        </w:tabs>
        <w:ind w:firstLine="426"/>
        <w:rPr>
          <w:sz w:val="24"/>
          <w:szCs w:val="24"/>
          <w:lang w:val="lv-LV"/>
        </w:rPr>
      </w:pPr>
      <w:r>
        <w:rPr>
          <w:sz w:val="24"/>
          <w:szCs w:val="24"/>
          <w:lang w:val="lv-LV"/>
        </w:rPr>
        <w:t>Izglītī</w:t>
      </w:r>
      <w:r w:rsidR="00E02396">
        <w:rPr>
          <w:sz w:val="24"/>
          <w:szCs w:val="24"/>
          <w:lang w:val="lv-LV"/>
        </w:rPr>
        <w:t>bas un zinātnes ministrs</w:t>
      </w:r>
      <w:r w:rsidR="00E02396">
        <w:rPr>
          <w:sz w:val="24"/>
          <w:szCs w:val="24"/>
          <w:lang w:val="lv-LV"/>
        </w:rPr>
        <w:tab/>
      </w:r>
      <w:r w:rsidR="00E7354E">
        <w:rPr>
          <w:sz w:val="24"/>
          <w:szCs w:val="24"/>
          <w:lang w:val="lv-LV"/>
        </w:rPr>
        <w:t>V.Dombrovskis</w:t>
      </w:r>
    </w:p>
    <w:p w:rsidR="007B7715" w:rsidRDefault="007B7715" w:rsidP="005A34CD">
      <w:pPr>
        <w:tabs>
          <w:tab w:val="left" w:pos="6663"/>
        </w:tabs>
      </w:pPr>
    </w:p>
    <w:p w:rsidR="001A496A" w:rsidRDefault="001A496A" w:rsidP="005A34CD">
      <w:pPr>
        <w:tabs>
          <w:tab w:val="left" w:pos="6663"/>
        </w:tabs>
      </w:pPr>
    </w:p>
    <w:p w:rsidR="001A496A" w:rsidRDefault="001A496A" w:rsidP="005A34CD">
      <w:pPr>
        <w:tabs>
          <w:tab w:val="left" w:pos="6663"/>
        </w:tabs>
      </w:pPr>
    </w:p>
    <w:p w:rsidR="00F815D9" w:rsidRPr="00435535" w:rsidRDefault="00F815D9" w:rsidP="005A34CD">
      <w:pPr>
        <w:tabs>
          <w:tab w:val="left" w:pos="6663"/>
        </w:tabs>
      </w:pPr>
    </w:p>
    <w:p w:rsidR="00944324" w:rsidRPr="00944324" w:rsidRDefault="00E02396" w:rsidP="00E02396">
      <w:pPr>
        <w:tabs>
          <w:tab w:val="left" w:pos="5580"/>
          <w:tab w:val="left" w:pos="6663"/>
          <w:tab w:val="right" w:pos="8789"/>
        </w:tabs>
        <w:ind w:firstLine="426"/>
      </w:pPr>
      <w:r>
        <w:t>Vizē: Valsts sekretāre</w:t>
      </w:r>
      <w:r>
        <w:tab/>
      </w:r>
      <w:r>
        <w:tab/>
      </w:r>
      <w:r>
        <w:tab/>
        <w:t>S.Liepiņa</w:t>
      </w:r>
    </w:p>
    <w:p w:rsidR="005A34CD" w:rsidRPr="00944324" w:rsidRDefault="005A34CD" w:rsidP="005A34CD">
      <w:pPr>
        <w:pStyle w:val="Footer"/>
      </w:pPr>
    </w:p>
    <w:p w:rsidR="00FF45F6" w:rsidRDefault="00FF45F6" w:rsidP="005A34CD">
      <w:pPr>
        <w:rPr>
          <w:sz w:val="20"/>
        </w:rPr>
      </w:pPr>
    </w:p>
    <w:p w:rsidR="00FF45F6" w:rsidRDefault="00FF45F6" w:rsidP="005A34CD">
      <w:pPr>
        <w:rPr>
          <w:sz w:val="20"/>
        </w:rPr>
      </w:pPr>
    </w:p>
    <w:p w:rsidR="00FF45F6" w:rsidRDefault="00FF45F6"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8519C9" w:rsidRDefault="008519C9" w:rsidP="005A34CD">
      <w:pPr>
        <w:rPr>
          <w:sz w:val="20"/>
        </w:rPr>
      </w:pPr>
    </w:p>
    <w:p w:rsidR="00203697" w:rsidRDefault="00203697" w:rsidP="005A34CD">
      <w:pPr>
        <w:rPr>
          <w:sz w:val="20"/>
        </w:rPr>
      </w:pPr>
    </w:p>
    <w:p w:rsidR="00203697" w:rsidRDefault="00203697" w:rsidP="005A34CD">
      <w:pPr>
        <w:rPr>
          <w:sz w:val="20"/>
        </w:rPr>
      </w:pPr>
    </w:p>
    <w:p w:rsidR="00203697" w:rsidRDefault="00203697" w:rsidP="005A34CD">
      <w:pPr>
        <w:rPr>
          <w:sz w:val="20"/>
        </w:rPr>
      </w:pPr>
    </w:p>
    <w:p w:rsidR="00203697" w:rsidRDefault="00203697" w:rsidP="005A34CD">
      <w:pPr>
        <w:rPr>
          <w:sz w:val="20"/>
        </w:rPr>
      </w:pPr>
    </w:p>
    <w:p w:rsidR="00203697" w:rsidRDefault="00203697" w:rsidP="005A34CD">
      <w:pPr>
        <w:rPr>
          <w:sz w:val="20"/>
        </w:rPr>
      </w:pPr>
    </w:p>
    <w:p w:rsidR="00203697" w:rsidRDefault="00203697" w:rsidP="005A34CD">
      <w:pPr>
        <w:rPr>
          <w:sz w:val="20"/>
        </w:rPr>
      </w:pPr>
      <w:bookmarkStart w:id="0" w:name="_GoBack"/>
      <w:bookmarkEnd w:id="0"/>
    </w:p>
    <w:p w:rsidR="001A496A" w:rsidRDefault="001A496A" w:rsidP="005A34CD">
      <w:pPr>
        <w:rPr>
          <w:sz w:val="20"/>
        </w:rPr>
      </w:pPr>
    </w:p>
    <w:p w:rsidR="00A66ED1" w:rsidRPr="00131FB7" w:rsidRDefault="00864B7F" w:rsidP="005A34CD">
      <w:pPr>
        <w:rPr>
          <w:sz w:val="20"/>
        </w:rPr>
      </w:pPr>
      <w:r>
        <w:rPr>
          <w:sz w:val="20"/>
        </w:rPr>
        <w:t>20.05</w:t>
      </w:r>
      <w:r w:rsidR="008A2DBA">
        <w:rPr>
          <w:sz w:val="20"/>
        </w:rPr>
        <w:t>.2013</w:t>
      </w:r>
      <w:r w:rsidR="00A66ED1" w:rsidRPr="00131FB7">
        <w:rPr>
          <w:sz w:val="20"/>
        </w:rPr>
        <w:t xml:space="preserve"> 1</w:t>
      </w:r>
      <w:r w:rsidR="008519C9">
        <w:rPr>
          <w:sz w:val="20"/>
        </w:rPr>
        <w:t>5</w:t>
      </w:r>
      <w:r w:rsidR="003B2B30">
        <w:rPr>
          <w:sz w:val="20"/>
        </w:rPr>
        <w:t>:05</w:t>
      </w:r>
    </w:p>
    <w:p w:rsidR="00A66ED1" w:rsidRPr="00131FB7" w:rsidRDefault="00D43C76" w:rsidP="005A34CD">
      <w:pPr>
        <w:rPr>
          <w:sz w:val="20"/>
        </w:rPr>
      </w:pPr>
      <w:r>
        <w:rPr>
          <w:sz w:val="20"/>
        </w:rPr>
        <w:t>1123</w:t>
      </w:r>
    </w:p>
    <w:p w:rsidR="005A34CD" w:rsidRPr="00131FB7" w:rsidRDefault="00461A90" w:rsidP="005A34CD">
      <w:pPr>
        <w:rPr>
          <w:sz w:val="20"/>
        </w:rPr>
      </w:pPr>
      <w:r>
        <w:rPr>
          <w:sz w:val="20"/>
        </w:rPr>
        <w:t>I.Kamarūte</w:t>
      </w:r>
    </w:p>
    <w:p w:rsidR="007004FC" w:rsidRPr="00131FB7" w:rsidRDefault="00461A90" w:rsidP="00C177C5">
      <w:pPr>
        <w:rPr>
          <w:sz w:val="20"/>
        </w:rPr>
      </w:pPr>
      <w:r>
        <w:rPr>
          <w:sz w:val="20"/>
        </w:rPr>
        <w:t>67814478,</w:t>
      </w:r>
      <w:r w:rsidR="00435535">
        <w:rPr>
          <w:sz w:val="20"/>
        </w:rPr>
        <w:t>i</w:t>
      </w:r>
      <w:r>
        <w:rPr>
          <w:sz w:val="20"/>
        </w:rPr>
        <w:t>ngrida.kamarute</w:t>
      </w:r>
      <w:r w:rsidR="005A34CD" w:rsidRPr="00131FB7">
        <w:rPr>
          <w:sz w:val="20"/>
        </w:rPr>
        <w:t>@visc.gov.lv</w:t>
      </w:r>
    </w:p>
    <w:sectPr w:rsidR="007004FC" w:rsidRPr="00131FB7" w:rsidSect="00131FB7">
      <w:headerReference w:type="even" r:id="rId9"/>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7C" w:rsidRDefault="008E307C">
      <w:r>
        <w:separator/>
      </w:r>
    </w:p>
  </w:endnote>
  <w:endnote w:type="continuationSeparator" w:id="0">
    <w:p w:rsidR="008E307C" w:rsidRDefault="008E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864B7F">
      <w:rPr>
        <w:sz w:val="20"/>
      </w:rPr>
      <w:t>2005</w:t>
    </w:r>
    <w:r w:rsidR="00E11F61">
      <w:rPr>
        <w:sz w:val="20"/>
      </w:rPr>
      <w:t>13</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pārbaudes darbu norises laiku</w:t>
    </w:r>
    <w:r w:rsidR="00E11F61">
      <w:rPr>
        <w:bCs/>
        <w:sz w:val="20"/>
      </w:rPr>
      <w:t xml:space="preserve"> 2013./2014</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p w:rsidR="00484844" w:rsidRPr="008C4716" w:rsidRDefault="00484844" w:rsidP="008C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864B7F">
      <w:rPr>
        <w:sz w:val="20"/>
      </w:rPr>
      <w:t>2005</w:t>
    </w:r>
    <w:r w:rsidR="00E11F61">
      <w:rPr>
        <w:sz w:val="20"/>
      </w:rPr>
      <w:t>13</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w:t>
    </w:r>
    <w:r w:rsidR="00E11F61">
      <w:rPr>
        <w:bCs/>
        <w:sz w:val="20"/>
      </w:rPr>
      <w:t>rbaudes darbu norises laiku 2013./2014</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7C" w:rsidRDefault="008E307C">
      <w:r>
        <w:separator/>
      </w:r>
    </w:p>
  </w:footnote>
  <w:footnote w:type="continuationSeparator" w:id="0">
    <w:p w:rsidR="008E307C" w:rsidRDefault="008E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203697">
      <w:rPr>
        <w:rStyle w:val="PageNumber"/>
        <w:noProof/>
        <w:sz w:val="20"/>
        <w:szCs w:val="20"/>
      </w:rPr>
      <w:t>5</w:t>
    </w:r>
    <w:r w:rsidRPr="00DB073B">
      <w:rPr>
        <w:rStyle w:val="PageNumber"/>
        <w:sz w:val="20"/>
        <w:szCs w:val="20"/>
      </w:rPr>
      <w:fldChar w:fldCharType="end"/>
    </w:r>
  </w:p>
  <w:p w:rsidR="00484844" w:rsidRDefault="0048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563"/>
    <w:rsid w:val="00011D24"/>
    <w:rsid w:val="00013FF4"/>
    <w:rsid w:val="00020850"/>
    <w:rsid w:val="00020FE1"/>
    <w:rsid w:val="00022E13"/>
    <w:rsid w:val="0002628A"/>
    <w:rsid w:val="00032388"/>
    <w:rsid w:val="000343AF"/>
    <w:rsid w:val="00035CE2"/>
    <w:rsid w:val="000424B3"/>
    <w:rsid w:val="000554E4"/>
    <w:rsid w:val="0005553B"/>
    <w:rsid w:val="000604D2"/>
    <w:rsid w:val="0007505A"/>
    <w:rsid w:val="00077886"/>
    <w:rsid w:val="00083D39"/>
    <w:rsid w:val="00085229"/>
    <w:rsid w:val="0009005E"/>
    <w:rsid w:val="00092888"/>
    <w:rsid w:val="00092AEE"/>
    <w:rsid w:val="00095C35"/>
    <w:rsid w:val="000A6451"/>
    <w:rsid w:val="000B064E"/>
    <w:rsid w:val="000B69CF"/>
    <w:rsid w:val="000C2424"/>
    <w:rsid w:val="000C790C"/>
    <w:rsid w:val="000D0918"/>
    <w:rsid w:val="000D31E7"/>
    <w:rsid w:val="000D6A77"/>
    <w:rsid w:val="000D7439"/>
    <w:rsid w:val="000F061D"/>
    <w:rsid w:val="000F7140"/>
    <w:rsid w:val="00100D77"/>
    <w:rsid w:val="00120032"/>
    <w:rsid w:val="00124F12"/>
    <w:rsid w:val="00131FB7"/>
    <w:rsid w:val="00135FC0"/>
    <w:rsid w:val="00144E3A"/>
    <w:rsid w:val="00147D07"/>
    <w:rsid w:val="0015060C"/>
    <w:rsid w:val="001519B1"/>
    <w:rsid w:val="0016018A"/>
    <w:rsid w:val="00161F0E"/>
    <w:rsid w:val="001636A3"/>
    <w:rsid w:val="00170E2A"/>
    <w:rsid w:val="00175774"/>
    <w:rsid w:val="00176798"/>
    <w:rsid w:val="001814C0"/>
    <w:rsid w:val="00183CC2"/>
    <w:rsid w:val="00187B0C"/>
    <w:rsid w:val="001900E4"/>
    <w:rsid w:val="00190F88"/>
    <w:rsid w:val="0019530E"/>
    <w:rsid w:val="001A4066"/>
    <w:rsid w:val="001A496A"/>
    <w:rsid w:val="001A6AE4"/>
    <w:rsid w:val="001A6DE9"/>
    <w:rsid w:val="001B01FD"/>
    <w:rsid w:val="001B4A71"/>
    <w:rsid w:val="001C1A00"/>
    <w:rsid w:val="001C3573"/>
    <w:rsid w:val="001D5B54"/>
    <w:rsid w:val="001E1DBF"/>
    <w:rsid w:val="001E2700"/>
    <w:rsid w:val="001E4639"/>
    <w:rsid w:val="001E4A7D"/>
    <w:rsid w:val="001F1191"/>
    <w:rsid w:val="001F43A8"/>
    <w:rsid w:val="001F5CD6"/>
    <w:rsid w:val="001F7784"/>
    <w:rsid w:val="00203697"/>
    <w:rsid w:val="0020621D"/>
    <w:rsid w:val="00206D21"/>
    <w:rsid w:val="0021068D"/>
    <w:rsid w:val="0021263D"/>
    <w:rsid w:val="00213F0C"/>
    <w:rsid w:val="0021592D"/>
    <w:rsid w:val="00220E01"/>
    <w:rsid w:val="00222D76"/>
    <w:rsid w:val="00223EB1"/>
    <w:rsid w:val="00231344"/>
    <w:rsid w:val="00231778"/>
    <w:rsid w:val="002336C6"/>
    <w:rsid w:val="00233AF6"/>
    <w:rsid w:val="0023436E"/>
    <w:rsid w:val="002347C0"/>
    <w:rsid w:val="0023724B"/>
    <w:rsid w:val="00241A6C"/>
    <w:rsid w:val="00242D2B"/>
    <w:rsid w:val="00245806"/>
    <w:rsid w:val="002476DF"/>
    <w:rsid w:val="0025336B"/>
    <w:rsid w:val="00262E2B"/>
    <w:rsid w:val="00270429"/>
    <w:rsid w:val="002723E9"/>
    <w:rsid w:val="00277929"/>
    <w:rsid w:val="00283B82"/>
    <w:rsid w:val="002846E9"/>
    <w:rsid w:val="00284C34"/>
    <w:rsid w:val="0029066C"/>
    <w:rsid w:val="002951CA"/>
    <w:rsid w:val="0029712C"/>
    <w:rsid w:val="002A10BF"/>
    <w:rsid w:val="002B3EB8"/>
    <w:rsid w:val="002B50DB"/>
    <w:rsid w:val="002B5AF3"/>
    <w:rsid w:val="002C12AB"/>
    <w:rsid w:val="002C1D08"/>
    <w:rsid w:val="002C20C1"/>
    <w:rsid w:val="002C4061"/>
    <w:rsid w:val="002C7CAC"/>
    <w:rsid w:val="002D3306"/>
    <w:rsid w:val="002D48AA"/>
    <w:rsid w:val="002D63EA"/>
    <w:rsid w:val="002D7BAA"/>
    <w:rsid w:val="002D7F54"/>
    <w:rsid w:val="002E3FF4"/>
    <w:rsid w:val="002E5985"/>
    <w:rsid w:val="002F0389"/>
    <w:rsid w:val="002F3C39"/>
    <w:rsid w:val="002F5A00"/>
    <w:rsid w:val="002F78C8"/>
    <w:rsid w:val="00301B6E"/>
    <w:rsid w:val="00301CF3"/>
    <w:rsid w:val="00325CD0"/>
    <w:rsid w:val="0032715C"/>
    <w:rsid w:val="003334B7"/>
    <w:rsid w:val="00337CA5"/>
    <w:rsid w:val="00356E56"/>
    <w:rsid w:val="00357531"/>
    <w:rsid w:val="00362478"/>
    <w:rsid w:val="003717D5"/>
    <w:rsid w:val="00373613"/>
    <w:rsid w:val="00375B25"/>
    <w:rsid w:val="00381144"/>
    <w:rsid w:val="00382242"/>
    <w:rsid w:val="00382829"/>
    <w:rsid w:val="00382EB2"/>
    <w:rsid w:val="003832EC"/>
    <w:rsid w:val="00392B1D"/>
    <w:rsid w:val="00394DC8"/>
    <w:rsid w:val="00396542"/>
    <w:rsid w:val="0039685B"/>
    <w:rsid w:val="003A4BA0"/>
    <w:rsid w:val="003A5E20"/>
    <w:rsid w:val="003A7661"/>
    <w:rsid w:val="003A7F0C"/>
    <w:rsid w:val="003A7F79"/>
    <w:rsid w:val="003B2B30"/>
    <w:rsid w:val="003B6404"/>
    <w:rsid w:val="003C2E09"/>
    <w:rsid w:val="003D081D"/>
    <w:rsid w:val="003D21FF"/>
    <w:rsid w:val="003D60EE"/>
    <w:rsid w:val="003D612A"/>
    <w:rsid w:val="003E2374"/>
    <w:rsid w:val="003F0112"/>
    <w:rsid w:val="003F071A"/>
    <w:rsid w:val="003F160B"/>
    <w:rsid w:val="00400032"/>
    <w:rsid w:val="00400B5B"/>
    <w:rsid w:val="00401BA1"/>
    <w:rsid w:val="00404BD7"/>
    <w:rsid w:val="00405A00"/>
    <w:rsid w:val="00407105"/>
    <w:rsid w:val="00410DA3"/>
    <w:rsid w:val="0041798D"/>
    <w:rsid w:val="00420870"/>
    <w:rsid w:val="00421EF3"/>
    <w:rsid w:val="004256C5"/>
    <w:rsid w:val="00435535"/>
    <w:rsid w:val="00441483"/>
    <w:rsid w:val="00441BCB"/>
    <w:rsid w:val="004443F9"/>
    <w:rsid w:val="00446EF0"/>
    <w:rsid w:val="004470EE"/>
    <w:rsid w:val="0045176A"/>
    <w:rsid w:val="00452AEF"/>
    <w:rsid w:val="00453A9D"/>
    <w:rsid w:val="00456332"/>
    <w:rsid w:val="00461502"/>
    <w:rsid w:val="00461A90"/>
    <w:rsid w:val="00467F81"/>
    <w:rsid w:val="00476A70"/>
    <w:rsid w:val="004800F9"/>
    <w:rsid w:val="004827CA"/>
    <w:rsid w:val="00484844"/>
    <w:rsid w:val="0049134A"/>
    <w:rsid w:val="004A1B91"/>
    <w:rsid w:val="004A3741"/>
    <w:rsid w:val="004A58CB"/>
    <w:rsid w:val="004B131B"/>
    <w:rsid w:val="004B1795"/>
    <w:rsid w:val="004B3B8D"/>
    <w:rsid w:val="004B56DD"/>
    <w:rsid w:val="004C1AFD"/>
    <w:rsid w:val="004C558B"/>
    <w:rsid w:val="004C786C"/>
    <w:rsid w:val="004E190B"/>
    <w:rsid w:val="004F1F88"/>
    <w:rsid w:val="004F5F1B"/>
    <w:rsid w:val="00502374"/>
    <w:rsid w:val="00503FAE"/>
    <w:rsid w:val="005112F7"/>
    <w:rsid w:val="0051503E"/>
    <w:rsid w:val="00516072"/>
    <w:rsid w:val="00523F98"/>
    <w:rsid w:val="005332EC"/>
    <w:rsid w:val="00534418"/>
    <w:rsid w:val="005353AB"/>
    <w:rsid w:val="00535E25"/>
    <w:rsid w:val="00553B7B"/>
    <w:rsid w:val="0055422F"/>
    <w:rsid w:val="005560BC"/>
    <w:rsid w:val="005573BE"/>
    <w:rsid w:val="00567355"/>
    <w:rsid w:val="00571B13"/>
    <w:rsid w:val="00572700"/>
    <w:rsid w:val="00574450"/>
    <w:rsid w:val="00576859"/>
    <w:rsid w:val="00580468"/>
    <w:rsid w:val="0058156E"/>
    <w:rsid w:val="0058603B"/>
    <w:rsid w:val="0059431B"/>
    <w:rsid w:val="00596202"/>
    <w:rsid w:val="005976F0"/>
    <w:rsid w:val="005A34CD"/>
    <w:rsid w:val="005A39CC"/>
    <w:rsid w:val="005A43E4"/>
    <w:rsid w:val="005A6EF5"/>
    <w:rsid w:val="005B3406"/>
    <w:rsid w:val="005B4730"/>
    <w:rsid w:val="005C5AA6"/>
    <w:rsid w:val="005E05D7"/>
    <w:rsid w:val="005E41E7"/>
    <w:rsid w:val="005E450F"/>
    <w:rsid w:val="005E4FB9"/>
    <w:rsid w:val="005E6091"/>
    <w:rsid w:val="00601AB5"/>
    <w:rsid w:val="00613F77"/>
    <w:rsid w:val="0062298A"/>
    <w:rsid w:val="00626514"/>
    <w:rsid w:val="00626589"/>
    <w:rsid w:val="006339A0"/>
    <w:rsid w:val="006362E0"/>
    <w:rsid w:val="006413A8"/>
    <w:rsid w:val="00641527"/>
    <w:rsid w:val="00642E56"/>
    <w:rsid w:val="00644619"/>
    <w:rsid w:val="00651E00"/>
    <w:rsid w:val="0066109D"/>
    <w:rsid w:val="00672721"/>
    <w:rsid w:val="00674572"/>
    <w:rsid w:val="00687763"/>
    <w:rsid w:val="00687E3D"/>
    <w:rsid w:val="00692B0D"/>
    <w:rsid w:val="00693E0E"/>
    <w:rsid w:val="006A1AE3"/>
    <w:rsid w:val="006A26C1"/>
    <w:rsid w:val="006A7DB6"/>
    <w:rsid w:val="006B09FD"/>
    <w:rsid w:val="006C30E1"/>
    <w:rsid w:val="006D48F1"/>
    <w:rsid w:val="006D63B4"/>
    <w:rsid w:val="006E375B"/>
    <w:rsid w:val="006E44AC"/>
    <w:rsid w:val="006E75FA"/>
    <w:rsid w:val="006E78FB"/>
    <w:rsid w:val="006F45BE"/>
    <w:rsid w:val="006F7FC5"/>
    <w:rsid w:val="007004FC"/>
    <w:rsid w:val="007047DE"/>
    <w:rsid w:val="00706670"/>
    <w:rsid w:val="007229CA"/>
    <w:rsid w:val="0072417C"/>
    <w:rsid w:val="00725983"/>
    <w:rsid w:val="00734450"/>
    <w:rsid w:val="00744F3C"/>
    <w:rsid w:val="00745F67"/>
    <w:rsid w:val="00752D9D"/>
    <w:rsid w:val="00754784"/>
    <w:rsid w:val="00757C6E"/>
    <w:rsid w:val="00762BDA"/>
    <w:rsid w:val="00762F0A"/>
    <w:rsid w:val="007667A0"/>
    <w:rsid w:val="00767B89"/>
    <w:rsid w:val="007805FD"/>
    <w:rsid w:val="00784422"/>
    <w:rsid w:val="007852C1"/>
    <w:rsid w:val="007B223A"/>
    <w:rsid w:val="007B3B54"/>
    <w:rsid w:val="007B3FA0"/>
    <w:rsid w:val="007B566B"/>
    <w:rsid w:val="007B7715"/>
    <w:rsid w:val="007C0BCE"/>
    <w:rsid w:val="007C2BCC"/>
    <w:rsid w:val="007C4EF0"/>
    <w:rsid w:val="007D0D43"/>
    <w:rsid w:val="007E2664"/>
    <w:rsid w:val="007E3ABF"/>
    <w:rsid w:val="007E42F7"/>
    <w:rsid w:val="007E532B"/>
    <w:rsid w:val="007E5BFA"/>
    <w:rsid w:val="007E6689"/>
    <w:rsid w:val="007E731C"/>
    <w:rsid w:val="007F0A03"/>
    <w:rsid w:val="007F0FE7"/>
    <w:rsid w:val="007F1E7E"/>
    <w:rsid w:val="008019BF"/>
    <w:rsid w:val="0080366A"/>
    <w:rsid w:val="00805381"/>
    <w:rsid w:val="00810040"/>
    <w:rsid w:val="0082023A"/>
    <w:rsid w:val="00821A7A"/>
    <w:rsid w:val="00824CD2"/>
    <w:rsid w:val="008253F8"/>
    <w:rsid w:val="00832A2B"/>
    <w:rsid w:val="008416A0"/>
    <w:rsid w:val="00843F41"/>
    <w:rsid w:val="00846994"/>
    <w:rsid w:val="00847688"/>
    <w:rsid w:val="00850451"/>
    <w:rsid w:val="008519C9"/>
    <w:rsid w:val="00852042"/>
    <w:rsid w:val="008534C9"/>
    <w:rsid w:val="00853881"/>
    <w:rsid w:val="0085599D"/>
    <w:rsid w:val="00864B7F"/>
    <w:rsid w:val="008665D6"/>
    <w:rsid w:val="00866D72"/>
    <w:rsid w:val="0087510C"/>
    <w:rsid w:val="008802D5"/>
    <w:rsid w:val="0088077C"/>
    <w:rsid w:val="00882DFF"/>
    <w:rsid w:val="008835D0"/>
    <w:rsid w:val="008839C9"/>
    <w:rsid w:val="00885A18"/>
    <w:rsid w:val="0089484C"/>
    <w:rsid w:val="0089738E"/>
    <w:rsid w:val="008A2DBA"/>
    <w:rsid w:val="008A75A0"/>
    <w:rsid w:val="008B0D79"/>
    <w:rsid w:val="008B5FDB"/>
    <w:rsid w:val="008C4716"/>
    <w:rsid w:val="008C5649"/>
    <w:rsid w:val="008E22BA"/>
    <w:rsid w:val="008E307C"/>
    <w:rsid w:val="008E44A2"/>
    <w:rsid w:val="008E56A2"/>
    <w:rsid w:val="008E697D"/>
    <w:rsid w:val="008E70DC"/>
    <w:rsid w:val="00903263"/>
    <w:rsid w:val="00906A21"/>
    <w:rsid w:val="009079C3"/>
    <w:rsid w:val="00910462"/>
    <w:rsid w:val="009141A8"/>
    <w:rsid w:val="00915AB1"/>
    <w:rsid w:val="00917532"/>
    <w:rsid w:val="009235BA"/>
    <w:rsid w:val="00924CE2"/>
    <w:rsid w:val="00925B9F"/>
    <w:rsid w:val="00930A9D"/>
    <w:rsid w:val="00931AED"/>
    <w:rsid w:val="00944324"/>
    <w:rsid w:val="00945994"/>
    <w:rsid w:val="00946B98"/>
    <w:rsid w:val="009476A3"/>
    <w:rsid w:val="0095334F"/>
    <w:rsid w:val="00962BE5"/>
    <w:rsid w:val="0096576A"/>
    <w:rsid w:val="00965897"/>
    <w:rsid w:val="0096765C"/>
    <w:rsid w:val="00971366"/>
    <w:rsid w:val="009727E4"/>
    <w:rsid w:val="00972B9E"/>
    <w:rsid w:val="00972EF8"/>
    <w:rsid w:val="00973B5D"/>
    <w:rsid w:val="009934C5"/>
    <w:rsid w:val="00993CB2"/>
    <w:rsid w:val="00994C0F"/>
    <w:rsid w:val="009A02B4"/>
    <w:rsid w:val="009A6319"/>
    <w:rsid w:val="009B22D7"/>
    <w:rsid w:val="009B72ED"/>
    <w:rsid w:val="009C1220"/>
    <w:rsid w:val="009C59BB"/>
    <w:rsid w:val="009C6DEB"/>
    <w:rsid w:val="009C76B7"/>
    <w:rsid w:val="009D061B"/>
    <w:rsid w:val="009D6504"/>
    <w:rsid w:val="009E35FD"/>
    <w:rsid w:val="009E3C70"/>
    <w:rsid w:val="009E661A"/>
    <w:rsid w:val="009E6CF7"/>
    <w:rsid w:val="00A007CC"/>
    <w:rsid w:val="00A06781"/>
    <w:rsid w:val="00A12BEE"/>
    <w:rsid w:val="00A1509C"/>
    <w:rsid w:val="00A22D14"/>
    <w:rsid w:val="00A26A6C"/>
    <w:rsid w:val="00A307BD"/>
    <w:rsid w:val="00A308B1"/>
    <w:rsid w:val="00A34260"/>
    <w:rsid w:val="00A36959"/>
    <w:rsid w:val="00A36FD9"/>
    <w:rsid w:val="00A37674"/>
    <w:rsid w:val="00A400E9"/>
    <w:rsid w:val="00A47EE2"/>
    <w:rsid w:val="00A51A58"/>
    <w:rsid w:val="00A544DA"/>
    <w:rsid w:val="00A60E48"/>
    <w:rsid w:val="00A6618C"/>
    <w:rsid w:val="00A66ED1"/>
    <w:rsid w:val="00A70CFD"/>
    <w:rsid w:val="00A72A0B"/>
    <w:rsid w:val="00A75706"/>
    <w:rsid w:val="00A81E42"/>
    <w:rsid w:val="00A864FE"/>
    <w:rsid w:val="00A86F41"/>
    <w:rsid w:val="00A87D04"/>
    <w:rsid w:val="00A950C5"/>
    <w:rsid w:val="00AA1D25"/>
    <w:rsid w:val="00AB2B1A"/>
    <w:rsid w:val="00AB397F"/>
    <w:rsid w:val="00AB46EF"/>
    <w:rsid w:val="00AB5832"/>
    <w:rsid w:val="00AC0B86"/>
    <w:rsid w:val="00AC1091"/>
    <w:rsid w:val="00AC51F2"/>
    <w:rsid w:val="00AC58EB"/>
    <w:rsid w:val="00AC7598"/>
    <w:rsid w:val="00AC7D0F"/>
    <w:rsid w:val="00AD367C"/>
    <w:rsid w:val="00AE5066"/>
    <w:rsid w:val="00AE5E24"/>
    <w:rsid w:val="00AE61B7"/>
    <w:rsid w:val="00AE6CBA"/>
    <w:rsid w:val="00AE79AD"/>
    <w:rsid w:val="00AF0071"/>
    <w:rsid w:val="00AF35E4"/>
    <w:rsid w:val="00AF5CDE"/>
    <w:rsid w:val="00B11A57"/>
    <w:rsid w:val="00B12204"/>
    <w:rsid w:val="00B12A2C"/>
    <w:rsid w:val="00B131C7"/>
    <w:rsid w:val="00B25597"/>
    <w:rsid w:val="00B266B8"/>
    <w:rsid w:val="00B267B9"/>
    <w:rsid w:val="00B33E09"/>
    <w:rsid w:val="00B50708"/>
    <w:rsid w:val="00B50C68"/>
    <w:rsid w:val="00B51293"/>
    <w:rsid w:val="00B52B1E"/>
    <w:rsid w:val="00B55481"/>
    <w:rsid w:val="00B56959"/>
    <w:rsid w:val="00B56C32"/>
    <w:rsid w:val="00B57ACF"/>
    <w:rsid w:val="00B6049C"/>
    <w:rsid w:val="00B64BB1"/>
    <w:rsid w:val="00B73166"/>
    <w:rsid w:val="00B773BE"/>
    <w:rsid w:val="00B81599"/>
    <w:rsid w:val="00B8426C"/>
    <w:rsid w:val="00B91B8D"/>
    <w:rsid w:val="00B94E90"/>
    <w:rsid w:val="00B96755"/>
    <w:rsid w:val="00B97419"/>
    <w:rsid w:val="00BA004E"/>
    <w:rsid w:val="00BB0A82"/>
    <w:rsid w:val="00BB7C94"/>
    <w:rsid w:val="00BC0A9D"/>
    <w:rsid w:val="00BC61E8"/>
    <w:rsid w:val="00BD1D1F"/>
    <w:rsid w:val="00BE52A8"/>
    <w:rsid w:val="00BF49A2"/>
    <w:rsid w:val="00BF4D75"/>
    <w:rsid w:val="00BF5BC2"/>
    <w:rsid w:val="00C01704"/>
    <w:rsid w:val="00C042D8"/>
    <w:rsid w:val="00C04D98"/>
    <w:rsid w:val="00C1133D"/>
    <w:rsid w:val="00C17411"/>
    <w:rsid w:val="00C177C5"/>
    <w:rsid w:val="00C2295B"/>
    <w:rsid w:val="00C26EA6"/>
    <w:rsid w:val="00C27A08"/>
    <w:rsid w:val="00C31312"/>
    <w:rsid w:val="00C326C6"/>
    <w:rsid w:val="00C35295"/>
    <w:rsid w:val="00C36ADD"/>
    <w:rsid w:val="00C36E74"/>
    <w:rsid w:val="00C40595"/>
    <w:rsid w:val="00C41621"/>
    <w:rsid w:val="00C449FA"/>
    <w:rsid w:val="00C5384F"/>
    <w:rsid w:val="00C54F8E"/>
    <w:rsid w:val="00C56964"/>
    <w:rsid w:val="00C57176"/>
    <w:rsid w:val="00C576A7"/>
    <w:rsid w:val="00C603D6"/>
    <w:rsid w:val="00C650ED"/>
    <w:rsid w:val="00C656D5"/>
    <w:rsid w:val="00C67103"/>
    <w:rsid w:val="00C674D5"/>
    <w:rsid w:val="00C71BB9"/>
    <w:rsid w:val="00C8090B"/>
    <w:rsid w:val="00C8305A"/>
    <w:rsid w:val="00C84D99"/>
    <w:rsid w:val="00C85B02"/>
    <w:rsid w:val="00C94C28"/>
    <w:rsid w:val="00CA32A8"/>
    <w:rsid w:val="00CA4564"/>
    <w:rsid w:val="00CA752D"/>
    <w:rsid w:val="00CB0247"/>
    <w:rsid w:val="00CB3440"/>
    <w:rsid w:val="00CB36ED"/>
    <w:rsid w:val="00CC1692"/>
    <w:rsid w:val="00CD138B"/>
    <w:rsid w:val="00CD3E31"/>
    <w:rsid w:val="00CD74A3"/>
    <w:rsid w:val="00CE0527"/>
    <w:rsid w:val="00CE5B23"/>
    <w:rsid w:val="00CF70AD"/>
    <w:rsid w:val="00CF7729"/>
    <w:rsid w:val="00D107FA"/>
    <w:rsid w:val="00D12275"/>
    <w:rsid w:val="00D12766"/>
    <w:rsid w:val="00D16F4F"/>
    <w:rsid w:val="00D20286"/>
    <w:rsid w:val="00D20FF4"/>
    <w:rsid w:val="00D24D2C"/>
    <w:rsid w:val="00D35881"/>
    <w:rsid w:val="00D3679E"/>
    <w:rsid w:val="00D37842"/>
    <w:rsid w:val="00D43C76"/>
    <w:rsid w:val="00D60692"/>
    <w:rsid w:val="00D751B3"/>
    <w:rsid w:val="00D752CB"/>
    <w:rsid w:val="00D964CB"/>
    <w:rsid w:val="00D97096"/>
    <w:rsid w:val="00DA7DA5"/>
    <w:rsid w:val="00DB073B"/>
    <w:rsid w:val="00DB674C"/>
    <w:rsid w:val="00DB78F0"/>
    <w:rsid w:val="00DC2E43"/>
    <w:rsid w:val="00DC7BAD"/>
    <w:rsid w:val="00DD095C"/>
    <w:rsid w:val="00DD1330"/>
    <w:rsid w:val="00DE0931"/>
    <w:rsid w:val="00DE0932"/>
    <w:rsid w:val="00DE0B83"/>
    <w:rsid w:val="00DE1A81"/>
    <w:rsid w:val="00DE4E10"/>
    <w:rsid w:val="00DF5D3D"/>
    <w:rsid w:val="00E02396"/>
    <w:rsid w:val="00E02ABF"/>
    <w:rsid w:val="00E053DB"/>
    <w:rsid w:val="00E07058"/>
    <w:rsid w:val="00E11F61"/>
    <w:rsid w:val="00E13A21"/>
    <w:rsid w:val="00E14995"/>
    <w:rsid w:val="00E17142"/>
    <w:rsid w:val="00E179CD"/>
    <w:rsid w:val="00E17C88"/>
    <w:rsid w:val="00E23550"/>
    <w:rsid w:val="00E23E8D"/>
    <w:rsid w:val="00E2600F"/>
    <w:rsid w:val="00E27440"/>
    <w:rsid w:val="00E37F98"/>
    <w:rsid w:val="00E45B7A"/>
    <w:rsid w:val="00E46559"/>
    <w:rsid w:val="00E5706C"/>
    <w:rsid w:val="00E57DE2"/>
    <w:rsid w:val="00E65F30"/>
    <w:rsid w:val="00E663AA"/>
    <w:rsid w:val="00E6670C"/>
    <w:rsid w:val="00E7180B"/>
    <w:rsid w:val="00E72176"/>
    <w:rsid w:val="00E7354E"/>
    <w:rsid w:val="00E743E6"/>
    <w:rsid w:val="00E74F91"/>
    <w:rsid w:val="00E75B59"/>
    <w:rsid w:val="00E75D8F"/>
    <w:rsid w:val="00E770DF"/>
    <w:rsid w:val="00E776E8"/>
    <w:rsid w:val="00E819ED"/>
    <w:rsid w:val="00E92C1F"/>
    <w:rsid w:val="00E94889"/>
    <w:rsid w:val="00E95D4B"/>
    <w:rsid w:val="00EB199F"/>
    <w:rsid w:val="00EB35C7"/>
    <w:rsid w:val="00EC23F7"/>
    <w:rsid w:val="00EC4BD8"/>
    <w:rsid w:val="00EC63EB"/>
    <w:rsid w:val="00ED412F"/>
    <w:rsid w:val="00ED7C37"/>
    <w:rsid w:val="00EE0F9A"/>
    <w:rsid w:val="00EE7CA5"/>
    <w:rsid w:val="00EF36B2"/>
    <w:rsid w:val="00F0014F"/>
    <w:rsid w:val="00F01501"/>
    <w:rsid w:val="00F201EC"/>
    <w:rsid w:val="00F208A9"/>
    <w:rsid w:val="00F237C2"/>
    <w:rsid w:val="00F305CD"/>
    <w:rsid w:val="00F30DD6"/>
    <w:rsid w:val="00F31388"/>
    <w:rsid w:val="00F421FC"/>
    <w:rsid w:val="00F652D2"/>
    <w:rsid w:val="00F7454F"/>
    <w:rsid w:val="00F77988"/>
    <w:rsid w:val="00F77F48"/>
    <w:rsid w:val="00F815D9"/>
    <w:rsid w:val="00F86EB1"/>
    <w:rsid w:val="00F91F70"/>
    <w:rsid w:val="00F930F7"/>
    <w:rsid w:val="00F97B33"/>
    <w:rsid w:val="00FA32E7"/>
    <w:rsid w:val="00FB1958"/>
    <w:rsid w:val="00FB30F1"/>
    <w:rsid w:val="00FB53E7"/>
    <w:rsid w:val="00FB626F"/>
    <w:rsid w:val="00FC75C4"/>
    <w:rsid w:val="00FD1855"/>
    <w:rsid w:val="00FD1FC4"/>
    <w:rsid w:val="00FD3121"/>
    <w:rsid w:val="00FE65F7"/>
    <w:rsid w:val="00FF45F6"/>
    <w:rsid w:val="00FF4F62"/>
    <w:rsid w:val="00FF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FA75-9498-4909-9314-3D34CD7D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6104</Words>
  <Characters>3480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"Noteikumi par valsts pārbaudes darbu norises laiku 2013./2014.mācību gadā" sākotnējās ietekmes novērtējuma ziņojums (anotācija)</vt:lpstr>
    </vt:vector>
  </TitlesOfParts>
  <Manager>Valsts izglītības satura centrs</Manager>
  <Company>Izglītības un zinātnes ministrija</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pārbaudes darbu norises laiku 2013./2014.mācību gadā" sākotnējās ietekmes novērtējuma ziņojums (anotācija)</dc:title>
  <dc:subject>Anotācija</dc:subject>
  <dc:creator>Ingrīda Kamarūte</dc:creator>
  <cp:lastModifiedBy>Ingrida Kamarute</cp:lastModifiedBy>
  <cp:revision>10</cp:revision>
  <cp:lastPrinted>2013-04-16T12:07:00Z</cp:lastPrinted>
  <dcterms:created xsi:type="dcterms:W3CDTF">2013-05-20T07:38:00Z</dcterms:created>
  <dcterms:modified xsi:type="dcterms:W3CDTF">2013-05-28T09:43:00Z</dcterms:modified>
</cp:coreProperties>
</file>