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69" w:rsidRDefault="00B21DFF">
      <w:pPr>
        <w:ind w:firstLine="720"/>
        <w:jc w:val="center"/>
        <w:rPr>
          <w:b/>
          <w:bCs/>
        </w:rPr>
      </w:pPr>
      <w:bookmarkStart w:id="0" w:name="OLE_LINK9"/>
      <w:bookmarkStart w:id="1" w:name="OLE_LINK10"/>
      <w:bookmarkStart w:id="2" w:name="OLE_LINK3"/>
      <w:bookmarkStart w:id="3" w:name="OLE_LINK4"/>
      <w:bookmarkStart w:id="4" w:name="OLE_LINK7"/>
      <w:bookmarkStart w:id="5" w:name="OLE_LINK8"/>
      <w:r w:rsidRPr="00464EA5">
        <w:rPr>
          <w:b/>
          <w:bCs/>
        </w:rPr>
        <w:t>Mini</w:t>
      </w:r>
      <w:bookmarkStart w:id="6" w:name="OLE_LINK5"/>
      <w:bookmarkStart w:id="7" w:name="OLE_LINK6"/>
      <w:bookmarkStart w:id="8" w:name="OLE_LINK1"/>
      <w:bookmarkStart w:id="9" w:name="OLE_LINK2"/>
      <w:r w:rsidR="00324897" w:rsidRPr="00464EA5">
        <w:rPr>
          <w:b/>
          <w:bCs/>
        </w:rPr>
        <w:t xml:space="preserve">stru kabineta noteikumu </w:t>
      </w:r>
      <w:bookmarkEnd w:id="6"/>
      <w:bookmarkEnd w:id="7"/>
      <w:bookmarkEnd w:id="8"/>
      <w:bookmarkEnd w:id="9"/>
      <w:r w:rsidR="000F564C">
        <w:rPr>
          <w:b/>
          <w:bCs/>
        </w:rPr>
        <w:t>„</w:t>
      </w:r>
      <w:r w:rsidR="006D7604">
        <w:rPr>
          <w:b/>
          <w:bCs/>
        </w:rPr>
        <w:t xml:space="preserve">Noteikumi par darbības programmas "Uzņēmējdarbība un inovācijas" papildinājuma 2.1.1.1.aktivitātes "Atbalsts zinātnei un pētniecībai" otro projektu iesniegumu atlases kārtu” </w:t>
      </w:r>
      <w:r w:rsidR="00324897" w:rsidRPr="00464EA5">
        <w:rPr>
          <w:b/>
          <w:bCs/>
        </w:rPr>
        <w:t xml:space="preserve">projekta sākotnējās ietekmes novērtējuma ziņojums </w:t>
      </w:r>
      <w:bookmarkEnd w:id="0"/>
      <w:bookmarkEnd w:id="1"/>
      <w:r w:rsidR="00324897" w:rsidRPr="00464EA5">
        <w:rPr>
          <w:b/>
          <w:bCs/>
        </w:rPr>
        <w:t>(</w:t>
      </w:r>
      <w:r w:rsidRPr="00464EA5">
        <w:rPr>
          <w:b/>
          <w:bCs/>
        </w:rPr>
        <w:t>anotācija</w:t>
      </w:r>
      <w:bookmarkEnd w:id="2"/>
      <w:bookmarkEnd w:id="3"/>
      <w:r w:rsidR="00324897" w:rsidRPr="00464EA5">
        <w:rPr>
          <w:b/>
          <w:bCs/>
        </w:rPr>
        <w:t>)</w:t>
      </w:r>
      <w:bookmarkEnd w:id="4"/>
      <w:bookmarkEnd w:id="5"/>
    </w:p>
    <w:p w:rsidR="00A94662" w:rsidRPr="00464EA5" w:rsidRDefault="00A94662" w:rsidP="0014630D">
      <w:pPr>
        <w:jc w:val="center"/>
        <w:rPr>
          <w:b/>
          <w:bC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3"/>
        <w:gridCol w:w="2392"/>
        <w:gridCol w:w="6266"/>
      </w:tblGrid>
      <w:tr w:rsidR="007A6DB9" w:rsidRPr="00464EA5" w:rsidTr="003D5644">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7A6DB9" w:rsidRPr="00464EA5" w:rsidRDefault="007A6DB9" w:rsidP="007F59CE">
            <w:pPr>
              <w:spacing w:before="6" w:after="6"/>
              <w:ind w:left="113" w:right="113"/>
              <w:jc w:val="center"/>
              <w:rPr>
                <w:b/>
                <w:bCs/>
              </w:rPr>
            </w:pPr>
            <w:r w:rsidRPr="00464EA5">
              <w:rPr>
                <w:b/>
                <w:bCs/>
              </w:rPr>
              <w:t>I. Tiesību akta projekta izstrādes nepieciešamība</w:t>
            </w:r>
          </w:p>
        </w:tc>
      </w:tr>
      <w:tr w:rsidR="007A6DB9" w:rsidRPr="00464EA5" w:rsidTr="00211C60">
        <w:trPr>
          <w:trHeight w:val="479"/>
        </w:trPr>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1.</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Pamatojums</w:t>
            </w:r>
          </w:p>
        </w:tc>
        <w:tc>
          <w:tcPr>
            <w:tcW w:w="3431" w:type="pct"/>
            <w:tcBorders>
              <w:top w:val="outset" w:sz="6" w:space="0" w:color="000000"/>
              <w:left w:val="outset" w:sz="6" w:space="0" w:color="000000"/>
              <w:bottom w:val="outset" w:sz="6" w:space="0" w:color="000000"/>
              <w:right w:val="outset" w:sz="6" w:space="0" w:color="000000"/>
            </w:tcBorders>
            <w:hideMark/>
          </w:tcPr>
          <w:p w:rsidR="00811564" w:rsidRPr="00464EA5" w:rsidRDefault="00384894" w:rsidP="008C6BAF">
            <w:pPr>
              <w:spacing w:before="6" w:after="6"/>
              <w:ind w:left="113" w:right="113"/>
              <w:jc w:val="both"/>
            </w:pPr>
            <w:r w:rsidRPr="00464EA5">
              <w:t xml:space="preserve">Ministru kabineta noteikumu </w:t>
            </w:r>
            <w:r w:rsidR="00A461C2">
              <w:t>„</w:t>
            </w:r>
            <w:r w:rsidR="00A461C2" w:rsidRPr="00A461C2">
              <w:t xml:space="preserve">Grozījumi Ministru kabineta 2013.gada 3.janvāra noteikumos Nr.14 </w:t>
            </w:r>
            <w:r w:rsidR="00A461C2" w:rsidRPr="00CF2238">
              <w:t>"</w:t>
            </w:r>
            <w:r w:rsidR="00A461C2" w:rsidRPr="00A461C2">
              <w:t>Noteikumi par darbības programmas "Uzņēmējdarbība un inovācijas" papildinājuma 2.1.1.1.aktivitātes "Atbalsts zinātnei un pētniecībai" otro projektu iesniegumu atlases kārtu”</w:t>
            </w:r>
            <w:r w:rsidRPr="006D7604">
              <w:t xml:space="preserve"> </w:t>
            </w:r>
            <w:r w:rsidR="00DB72A9">
              <w:t xml:space="preserve">projekts </w:t>
            </w:r>
            <w:r w:rsidRPr="00464EA5">
              <w:t xml:space="preserve">(turpmāk – noteikumu projekts) sagatavots saskaņā ar Eiropas Savienības </w:t>
            </w:r>
            <w:r w:rsidRPr="005C2490">
              <w:t>struktūrfondu un Kohēzijas fonda vadības likuma 18.panta 10.punktu</w:t>
            </w:r>
            <w:r w:rsidR="00010FE0">
              <w:t xml:space="preserve"> </w:t>
            </w:r>
            <w:r w:rsidR="00010FE0" w:rsidRPr="00AB2974">
              <w:t xml:space="preserve">un Ministru kabineta 2013.gada 20.augusta sēdes </w:t>
            </w:r>
            <w:proofErr w:type="spellStart"/>
            <w:r w:rsidR="00010FE0" w:rsidRPr="00AB2974">
              <w:t>protokollēmumu</w:t>
            </w:r>
            <w:proofErr w:type="spellEnd"/>
            <w:r w:rsidR="00010FE0" w:rsidRPr="00AB2974">
              <w:t xml:space="preserve"> (prot. Nr.45 97.§) "</w:t>
            </w:r>
            <w:r w:rsidR="008C6BAF" w:rsidRPr="00AB2974">
              <w:t>Informatīvais ziņojums "Par Eiropas Savienības struktūrfondu un Kohēzijas fonda, Eiropas Ekonomikas zonas finanšu instrumenta, Norvēģijas finanšu instrumenta un Latvijas un Šveices sadarbības programmas apguvi līdz 2013.gada 30.jūnijam"</w:t>
            </w:r>
            <w:r w:rsidR="00010FE0" w:rsidRPr="00AB2974">
              <w:t>".</w:t>
            </w:r>
            <w:r w:rsidR="00811564" w:rsidRPr="005C2490">
              <w:t xml:space="preserve"> </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2.</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Pašreizējā situācija un problēmas</w:t>
            </w:r>
          </w:p>
        </w:tc>
        <w:tc>
          <w:tcPr>
            <w:tcW w:w="3431" w:type="pct"/>
            <w:tcBorders>
              <w:top w:val="outset" w:sz="6" w:space="0" w:color="000000"/>
              <w:left w:val="outset" w:sz="6" w:space="0" w:color="000000"/>
              <w:bottom w:val="outset" w:sz="6" w:space="0" w:color="000000"/>
              <w:right w:val="outset" w:sz="6" w:space="0" w:color="000000"/>
            </w:tcBorders>
            <w:hideMark/>
          </w:tcPr>
          <w:p w:rsidR="00686F3E" w:rsidRPr="005C2490" w:rsidRDefault="005C3DA3" w:rsidP="00113557">
            <w:pPr>
              <w:spacing w:before="6" w:after="6"/>
              <w:ind w:left="113" w:right="113"/>
              <w:jc w:val="both"/>
            </w:pPr>
            <w:r w:rsidRPr="00E76667">
              <w:t>Ministru kabineta 2013.gada 3.janvāra noteikum</w:t>
            </w:r>
            <w:r>
              <w:t>u</w:t>
            </w:r>
            <w:r w:rsidRPr="00E76667">
              <w:t xml:space="preserve"> Nr.14 „Noteikumi par darbības programmas „Uzņēmējdarbība un inovācijas” papildinājuma 2.1.1.1.aktivitātes „Atbalsts zinātnei un pētniecībai” otro projektu iesniegumu atlases kārtu” (turpmāk – noteikumi Nr.14) 12.punkts nosaka, ka 2.1.1.1.aktivitātes „Atbalsts zinātnei un pētniecībai” otrās projektu iesniegumu atlases kārtas (turpmāk – 2.1.1.1.aktivitāte) ietvaros īstenotos projektus finansē no Eiropas Reģionālās attīstības fonda (turpmāk – ERAF), kura pieejamais </w:t>
            </w:r>
            <w:proofErr w:type="spellStart"/>
            <w:r w:rsidRPr="00E76667">
              <w:t>virssaistību</w:t>
            </w:r>
            <w:proofErr w:type="spellEnd"/>
            <w:r w:rsidRPr="00E76667">
              <w:t xml:space="preserve"> apjoms ir 14</w:t>
            </w:r>
            <w:r>
              <w:t> </w:t>
            </w:r>
            <w:r w:rsidRPr="00E76667">
              <w:t>221</w:t>
            </w:r>
            <w:r>
              <w:t> </w:t>
            </w:r>
            <w:r w:rsidRPr="00E76667">
              <w:t>838  lati</w:t>
            </w:r>
            <w:r w:rsidR="00686F3E">
              <w:t xml:space="preserve"> un </w:t>
            </w:r>
            <w:r w:rsidR="00686F3E" w:rsidRPr="005C2490">
              <w:t>pieejamais Eiropas Reģionālās attīstības fonda (turpmāk – ERAF) finansējums ir</w:t>
            </w:r>
            <w:r w:rsidR="00686F3E">
              <w:t xml:space="preserve"> </w:t>
            </w:r>
            <w:r w:rsidR="00686F3E" w:rsidRPr="00E76667">
              <w:t>2 931 113</w:t>
            </w:r>
            <w:r w:rsidR="00686F3E" w:rsidRPr="00372958">
              <w:t xml:space="preserve"> </w:t>
            </w:r>
            <w:r w:rsidR="00686F3E" w:rsidRPr="005C2490">
              <w:t>latu.</w:t>
            </w:r>
          </w:p>
          <w:p w:rsidR="00432FAC" w:rsidRDefault="00A54E2B" w:rsidP="00113557">
            <w:pPr>
              <w:spacing w:before="6" w:after="6"/>
              <w:ind w:left="113" w:right="113"/>
              <w:jc w:val="both"/>
            </w:pPr>
            <w:r w:rsidRPr="00E76667">
              <w:t xml:space="preserve">Koalīcijas darba grupas par ES struktūrfondu un Kohēzijas fonda jautājumiem 2013.gada 14.augusta sēdē panākta konceptuāla vienošanās par </w:t>
            </w:r>
            <w:r w:rsidR="00095383" w:rsidRPr="00E76667">
              <w:t>2.1.1.1.aktivitāte</w:t>
            </w:r>
            <w:r w:rsidR="00763CFC">
              <w:t>i</w:t>
            </w:r>
            <w:r w:rsidR="00095383" w:rsidRPr="00E76667">
              <w:t xml:space="preserve"> </w:t>
            </w:r>
            <w:r w:rsidR="00AA6C45" w:rsidRPr="00E76667">
              <w:t xml:space="preserve">pieejamā </w:t>
            </w:r>
            <w:proofErr w:type="spellStart"/>
            <w:r w:rsidR="007D53CD" w:rsidRPr="00E76667">
              <w:t>virssaistību</w:t>
            </w:r>
            <w:proofErr w:type="spellEnd"/>
            <w:r w:rsidR="007D53CD" w:rsidRPr="00E76667">
              <w:t xml:space="preserve"> </w:t>
            </w:r>
            <w:r w:rsidR="00AA6C45" w:rsidRPr="00E76667">
              <w:t>finansējuma pārdal</w:t>
            </w:r>
            <w:r w:rsidR="001C5789" w:rsidRPr="00E76667">
              <w:t>i</w:t>
            </w:r>
            <w:r w:rsidR="00E50F4E">
              <w:t xml:space="preserve"> </w:t>
            </w:r>
            <w:r w:rsidR="00BD66BB" w:rsidRPr="00E76667">
              <w:t>un 2.1.1.3.1.apakšaktivitāte</w:t>
            </w:r>
            <w:r w:rsidR="004D6E59">
              <w:t>s</w:t>
            </w:r>
            <w:r w:rsidR="00BD66BB" w:rsidRPr="00E76667">
              <w:t xml:space="preserve"> „Zinātnes infrastruktūras attīstība” </w:t>
            </w:r>
            <w:r w:rsidR="00502B2B">
              <w:t xml:space="preserve">(turpmāk – 2.1.1.3.1.aktivitāte) </w:t>
            </w:r>
            <w:r w:rsidR="00BD66BB" w:rsidRPr="00E76667">
              <w:t>ietvaros pieejam</w:t>
            </w:r>
            <w:r w:rsidR="00E50F4E">
              <w:t>ā</w:t>
            </w:r>
            <w:r w:rsidR="00BD66BB" w:rsidRPr="00E76667">
              <w:t xml:space="preserve"> ERAF finansējum</w:t>
            </w:r>
            <w:r w:rsidR="00E50F4E">
              <w:t>a</w:t>
            </w:r>
            <w:r w:rsidR="004D6E59">
              <w:t xml:space="preserve"> novirzī</w:t>
            </w:r>
            <w:r w:rsidR="00E50F4E">
              <w:t>šanu</w:t>
            </w:r>
            <w:r w:rsidR="00FB4B51">
              <w:t xml:space="preserve"> 2.1.1.1.aktivitātes </w:t>
            </w:r>
            <w:r w:rsidR="00C57243">
              <w:t xml:space="preserve">īstenošanai. </w:t>
            </w:r>
            <w:r w:rsidR="00611758" w:rsidRPr="00AB2974">
              <w:t xml:space="preserve">Saskaņā ar Ministru kabineta 2013.gada 20.augusta </w:t>
            </w:r>
            <w:r w:rsidR="002602E8" w:rsidRPr="00AB2974">
              <w:t xml:space="preserve">sēdes Nr.45 </w:t>
            </w:r>
            <w:proofErr w:type="spellStart"/>
            <w:r w:rsidR="002602E8" w:rsidRPr="00AB2974">
              <w:t>protokollēmuma</w:t>
            </w:r>
            <w:proofErr w:type="spellEnd"/>
            <w:r w:rsidR="002602E8" w:rsidRPr="00AB2974">
              <w:t xml:space="preserve"> 97.§</w:t>
            </w:r>
            <w:r w:rsidR="002602E8" w:rsidRPr="00AB2974">
              <w:rPr>
                <w:sz w:val="26"/>
                <w:szCs w:val="26"/>
              </w:rPr>
              <w:t xml:space="preserve"> </w:t>
            </w:r>
            <w:r w:rsidR="00760F4D" w:rsidRPr="00AB2974">
              <w:t>10.punktu</w:t>
            </w:r>
            <w:r w:rsidR="00760F4D" w:rsidRPr="00AB2974">
              <w:rPr>
                <w:sz w:val="26"/>
                <w:szCs w:val="26"/>
              </w:rPr>
              <w:t xml:space="preserve"> </w:t>
            </w:r>
            <w:proofErr w:type="spellStart"/>
            <w:r w:rsidR="00760F4D" w:rsidRPr="00AB2974">
              <w:t>v</w:t>
            </w:r>
            <w:r w:rsidR="00C57243" w:rsidRPr="00AB2974">
              <w:t>irssaistību</w:t>
            </w:r>
            <w:proofErr w:type="spellEnd"/>
            <w:r w:rsidR="00C57243" w:rsidRPr="00AB2974">
              <w:t xml:space="preserve"> pārdale</w:t>
            </w:r>
            <w:r w:rsidR="00C57243">
              <w:t xml:space="preserve"> ietver</w:t>
            </w:r>
            <w:r w:rsidR="008B4C24">
              <w:t>:</w:t>
            </w:r>
          </w:p>
          <w:p w:rsidR="00797B02" w:rsidRPr="00D87B60" w:rsidRDefault="008059A8" w:rsidP="00113557">
            <w:pPr>
              <w:spacing w:before="6" w:after="6"/>
              <w:ind w:left="113" w:right="113"/>
              <w:jc w:val="both"/>
            </w:pPr>
            <w:r w:rsidRPr="00D87B60">
              <w:t>1) </w:t>
            </w:r>
            <w:r w:rsidR="00797B02" w:rsidRPr="00D87B60">
              <w:t xml:space="preserve">2 634 258 latu pārdale saistībā ar sociālekonomisko risku mazināšanu, ja AS „Liepājas Metalurgs” tiek sākts maksātnespējas process; </w:t>
            </w:r>
          </w:p>
          <w:p w:rsidR="00960507" w:rsidRPr="00D87B60" w:rsidRDefault="00635553" w:rsidP="00113557">
            <w:pPr>
              <w:spacing w:before="6" w:after="6"/>
              <w:ind w:left="113" w:right="113"/>
              <w:jc w:val="both"/>
            </w:pPr>
            <w:r w:rsidRPr="00D87B60">
              <w:rPr>
                <w:color w:val="2A2A2A"/>
              </w:rPr>
              <w:t>2</w:t>
            </w:r>
            <w:r w:rsidR="00960507" w:rsidRPr="00D87B60">
              <w:rPr>
                <w:color w:val="2A2A2A"/>
              </w:rPr>
              <w:t>) 4</w:t>
            </w:r>
            <w:r w:rsidR="007C0399" w:rsidRPr="00D87B60">
              <w:rPr>
                <w:color w:val="2A2A2A"/>
              </w:rPr>
              <w:t> </w:t>
            </w:r>
            <w:r w:rsidR="00960507" w:rsidRPr="00D87B60">
              <w:rPr>
                <w:color w:val="2A2A2A"/>
              </w:rPr>
              <w:t>582</w:t>
            </w:r>
            <w:r w:rsidR="007C0399" w:rsidRPr="00D87B60">
              <w:rPr>
                <w:color w:val="2A2A2A"/>
              </w:rPr>
              <w:t> </w:t>
            </w:r>
            <w:r w:rsidR="00960507" w:rsidRPr="00D87B60">
              <w:rPr>
                <w:color w:val="2A2A2A"/>
              </w:rPr>
              <w:t xml:space="preserve">162 latu </w:t>
            </w:r>
            <w:r w:rsidR="00A71778" w:rsidRPr="00D87B60">
              <w:rPr>
                <w:color w:val="2A2A2A"/>
              </w:rPr>
              <w:t>pārdale uz</w:t>
            </w:r>
            <w:r w:rsidR="00960507" w:rsidRPr="00D87B60">
              <w:rPr>
                <w:color w:val="2A2A2A"/>
              </w:rPr>
              <w:t xml:space="preserve"> Labklājības ministrijas </w:t>
            </w:r>
            <w:proofErr w:type="spellStart"/>
            <w:r w:rsidR="00960507" w:rsidRPr="00D87B60">
              <w:rPr>
                <w:color w:val="2A2A2A"/>
              </w:rPr>
              <w:t>pārzi</w:t>
            </w:r>
            <w:r w:rsidR="00FC54CA" w:rsidRPr="00D87B60">
              <w:rPr>
                <w:color w:val="2A2A2A"/>
              </w:rPr>
              <w:t>ņ</w:t>
            </w:r>
            <w:r w:rsidR="00960507" w:rsidRPr="00D87B60">
              <w:rPr>
                <w:color w:val="2A2A2A"/>
              </w:rPr>
              <w:t>ā</w:t>
            </w:r>
            <w:proofErr w:type="spellEnd"/>
            <w:r w:rsidR="00960507" w:rsidRPr="00D87B60">
              <w:rPr>
                <w:color w:val="2A2A2A"/>
              </w:rPr>
              <w:t xml:space="preserve"> esošo aktīvo nodarbinātības un preventīvo bezdarba samazināšanas pasākumu īstenošanai 2014.gadā;</w:t>
            </w:r>
          </w:p>
          <w:p w:rsidR="00615A8D" w:rsidRDefault="00635553" w:rsidP="00113557">
            <w:pPr>
              <w:spacing w:before="6" w:after="6"/>
              <w:ind w:left="113" w:right="113"/>
              <w:jc w:val="both"/>
            </w:pPr>
            <w:r>
              <w:t>3</w:t>
            </w:r>
            <w:r w:rsidR="00146C05" w:rsidRPr="00E76667">
              <w:t>) 709 725 latu</w:t>
            </w:r>
            <w:r w:rsidR="00633CCB">
              <w:t xml:space="preserve"> </w:t>
            </w:r>
            <w:r w:rsidR="00146C05" w:rsidRPr="00E76667">
              <w:t>novirz</w:t>
            </w:r>
            <w:r w:rsidR="009540EC">
              <w:t>ī</w:t>
            </w:r>
            <w:r w:rsidR="00633CCB">
              <w:t>šanu</w:t>
            </w:r>
            <w:r w:rsidR="00146C05" w:rsidRPr="00E76667">
              <w:t xml:space="preserve"> 1.2.1.1.4.apakšaktivitātei „Sākotnējās profesionālās izglītības pievilcības veicināšana” </w:t>
            </w:r>
            <w:r w:rsidR="00146C05" w:rsidRPr="00E76667">
              <w:lastRenderedPageBreak/>
              <w:t xml:space="preserve">(turpmāk – 1.2.1.1.4.apakšaktivitāte), lai nodrošinātu </w:t>
            </w:r>
            <w:proofErr w:type="spellStart"/>
            <w:r w:rsidR="00146C05" w:rsidRPr="00E76667">
              <w:t>mērķstipendijas</w:t>
            </w:r>
            <w:proofErr w:type="spellEnd"/>
            <w:r w:rsidR="00146C05" w:rsidRPr="00E76667">
              <w:t xml:space="preserve"> izmaksu profesionālās izglītības iestāžu izglītojamajiem</w:t>
            </w:r>
            <w:r w:rsidR="00C22197">
              <w:t>;</w:t>
            </w:r>
          </w:p>
          <w:p w:rsidR="00615A8D" w:rsidRDefault="00635553" w:rsidP="00113557">
            <w:pPr>
              <w:spacing w:before="6" w:after="6"/>
              <w:ind w:left="113" w:right="113"/>
              <w:jc w:val="both"/>
            </w:pPr>
            <w:r>
              <w:t>4</w:t>
            </w:r>
            <w:r w:rsidR="00615A8D">
              <w:t>) </w:t>
            </w:r>
            <w:r w:rsidR="00AF3E81">
              <w:t>6 </w:t>
            </w:r>
            <w:r w:rsidR="00C57243">
              <w:t>290</w:t>
            </w:r>
            <w:r w:rsidR="00AF3E81">
              <w:t> </w:t>
            </w:r>
            <w:r w:rsidR="00AD6A88">
              <w:t>275</w:t>
            </w:r>
            <w:r w:rsidR="00AF3E81">
              <w:t xml:space="preserve"> latu novirzīšanu </w:t>
            </w:r>
            <w:r w:rsidR="00FA3738" w:rsidRPr="00E76667">
              <w:t>1.1.1.2.aktivitātes „Cilvēkresursu piesaiste zinātnei</w:t>
            </w:r>
            <w:r w:rsidR="00FA3738">
              <w:t>” otrajai projektu iesniegumu atlases kārtai</w:t>
            </w:r>
            <w:r w:rsidR="00974B78">
              <w:t xml:space="preserve"> (turpmāk – 1.1.1.2.aktivitāte)</w:t>
            </w:r>
            <w:r w:rsidR="00545CA2">
              <w:t>, lai sniegtu atbalstu finansējuma trūkuma dēļ noraidītiem pētniecības projektiem</w:t>
            </w:r>
            <w:r w:rsidR="00FC482E">
              <w:t xml:space="preserve">, </w:t>
            </w:r>
            <w:r w:rsidR="00FC482E" w:rsidRPr="00FC482E">
              <w:t xml:space="preserve">vienlaicīgi </w:t>
            </w:r>
            <w:r w:rsidR="00676D22">
              <w:t xml:space="preserve">paredzot </w:t>
            </w:r>
            <w:r w:rsidR="00FC482E" w:rsidRPr="00FC482E">
              <w:t>finansējum</w:t>
            </w:r>
            <w:r w:rsidR="007F72D2">
              <w:t>a</w:t>
            </w:r>
            <w:r w:rsidR="00930EE9">
              <w:t>, kas nepieciešams</w:t>
            </w:r>
            <w:r w:rsidR="00FC482E" w:rsidRPr="00FC482E">
              <w:t xml:space="preserve"> 2.1.1.1.aktivitātes „Atbalsts zinātnei un pētniecībai” ietvaros iesniegto projektu </w:t>
            </w:r>
            <w:r w:rsidR="00930EE9">
              <w:t xml:space="preserve">īstenošanai, </w:t>
            </w:r>
            <w:r w:rsidR="00FC482E" w:rsidRPr="00FC482E">
              <w:t>pārdal</w:t>
            </w:r>
            <w:r w:rsidR="00930EE9">
              <w:t>i</w:t>
            </w:r>
            <w:r w:rsidR="00FC482E" w:rsidRPr="00FC482E">
              <w:t xml:space="preserve"> no 2.1.1.3.1.apakšaktivitātes „Zinātnes infrastruktūras attīstība” ietvaros pieejamā finansējuma</w:t>
            </w:r>
            <w:r w:rsidR="00807DBC">
              <w:t>.</w:t>
            </w:r>
          </w:p>
          <w:p w:rsidR="00A54E2B" w:rsidRPr="00AB2974" w:rsidRDefault="000E73E3" w:rsidP="00113557">
            <w:pPr>
              <w:spacing w:before="6" w:after="6"/>
              <w:ind w:left="113" w:right="113"/>
              <w:jc w:val="both"/>
            </w:pPr>
            <w:r>
              <w:t xml:space="preserve">IZM ierosina </w:t>
            </w:r>
            <w:r w:rsidR="00482381" w:rsidRPr="00AB2974">
              <w:t xml:space="preserve">no 2.1.1.3.1.apakšaktivitātes „Zinātnes infrastruktūras attīstība” </w:t>
            </w:r>
            <w:r w:rsidR="00482381">
              <w:t xml:space="preserve">uz </w:t>
            </w:r>
            <w:r w:rsidR="00DD0A61" w:rsidRPr="00AB2974">
              <w:t>2.1.1.1.aktivitāt</w:t>
            </w:r>
            <w:r w:rsidR="00482381">
              <w:t>i</w:t>
            </w:r>
            <w:r w:rsidR="00DD0A61" w:rsidRPr="00AB2974">
              <w:t xml:space="preserve"> „Atbalsts zinātnei un pētniecībai” </w:t>
            </w:r>
            <w:r w:rsidR="00482381">
              <w:t xml:space="preserve">pārdalīt </w:t>
            </w:r>
            <w:r w:rsidR="00296FAF">
              <w:t>15 879 791 latu</w:t>
            </w:r>
            <w:r w:rsidR="002B12FD" w:rsidRPr="00AB2974">
              <w:t xml:space="preserve">, tādējādi palielinot </w:t>
            </w:r>
            <w:r w:rsidR="00A62687" w:rsidRPr="00AB2974">
              <w:t xml:space="preserve">2.1.1.1.aktivitātei </w:t>
            </w:r>
            <w:r w:rsidR="002B12FD" w:rsidRPr="00AB2974">
              <w:t>pieejamo ERAF finansējuma apmēru no 2</w:t>
            </w:r>
            <w:r w:rsidR="00F53430" w:rsidRPr="00AB2974">
              <w:t> </w:t>
            </w:r>
            <w:r w:rsidR="002B12FD" w:rsidRPr="00AB2974">
              <w:t>931 113 latiem uz 18</w:t>
            </w:r>
            <w:r w:rsidR="00F53430" w:rsidRPr="00AB2974">
              <w:t> </w:t>
            </w:r>
            <w:r w:rsidR="002B12FD" w:rsidRPr="00AB2974">
              <w:t>7</w:t>
            </w:r>
            <w:r w:rsidR="00F53430" w:rsidRPr="00AB2974">
              <w:t>02</w:t>
            </w:r>
            <w:r w:rsidR="002B12FD" w:rsidRPr="00AB2974">
              <w:t> </w:t>
            </w:r>
            <w:r w:rsidR="00F53430" w:rsidRPr="00AB2974">
              <w:t>693</w:t>
            </w:r>
            <w:r w:rsidR="002B12FD" w:rsidRPr="00AB2974">
              <w:t xml:space="preserve"> latiem</w:t>
            </w:r>
            <w:r w:rsidR="00AD6A88" w:rsidRPr="00AB2974">
              <w:t>.</w:t>
            </w:r>
            <w:r w:rsidR="002F3FC7" w:rsidRPr="00AB2974">
              <w:t xml:space="preserve"> </w:t>
            </w:r>
          </w:p>
          <w:p w:rsidR="00196155" w:rsidRDefault="00935F13" w:rsidP="00113557">
            <w:pPr>
              <w:spacing w:before="6" w:after="6"/>
              <w:ind w:left="113" w:right="113"/>
              <w:jc w:val="both"/>
            </w:pPr>
            <w:r>
              <w:t>2.1.1.1.aktivitātei pieejamais f</w:t>
            </w:r>
            <w:r w:rsidR="003D63BE" w:rsidRPr="00464EA5">
              <w:t>inansējums nepieciešams</w:t>
            </w:r>
            <w:r>
              <w:t xml:space="preserve"> 2.1.1.1.aktivitātes trešās kārtas īstenošanai</w:t>
            </w:r>
            <w:r w:rsidR="003D63BE" w:rsidRPr="00464EA5">
              <w:t xml:space="preserve">, lai </w:t>
            </w:r>
            <w:r w:rsidR="005C2490" w:rsidRPr="006658E3">
              <w:t xml:space="preserve">sekmētu </w:t>
            </w:r>
            <w:r w:rsidR="00D94E9D">
              <w:t xml:space="preserve">darbības programmas </w:t>
            </w:r>
            <w:r w:rsidR="00B17908" w:rsidRPr="00113557">
              <w:t>"Uzņēmējdarbība un inovācijas"</w:t>
            </w:r>
            <w:r w:rsidR="00D94E9D">
              <w:t xml:space="preserve"> </w:t>
            </w:r>
            <w:r w:rsidR="00B17908">
              <w:t>papildinājumā</w:t>
            </w:r>
            <w:r w:rsidR="00B17908" w:rsidRPr="006658E3">
              <w:t xml:space="preserve"> </w:t>
            </w:r>
            <w:r w:rsidR="00B17908">
              <w:t>aktivitātes plānoto rezultātu rādītāju sasniegšanu</w:t>
            </w:r>
            <w:r w:rsidR="000D0DE2">
              <w:t>, kā arī</w:t>
            </w:r>
            <w:r w:rsidR="00B17908">
              <w:t xml:space="preserve"> </w:t>
            </w:r>
            <w:r w:rsidR="005C2490" w:rsidRPr="006658E3">
              <w:t xml:space="preserve">zinātnes un ražošanas integrāciju, ko nodrošina plānotie rezultāti: </w:t>
            </w:r>
            <w:r w:rsidR="00C1090A">
              <w:t xml:space="preserve">intelektuālā īpašuma licences līgumi, </w:t>
            </w:r>
            <w:r w:rsidR="005C2490" w:rsidRPr="00407100">
              <w:t>jaunas tehnoloģijas un produkti (preces un pakalpojumi)</w:t>
            </w:r>
            <w:r w:rsidR="00C1090A">
              <w:t xml:space="preserve"> un</w:t>
            </w:r>
            <w:r w:rsidR="005C2490" w:rsidRPr="00407100">
              <w:t xml:space="preserve"> sagaidāmie inovācijas ietekmes veidi, tai skaitā: eksporta palielināšanās, produktivitātes pieaugums, materiālu un enerģijas patēriņa uz vienu</w:t>
            </w:r>
            <w:r w:rsidR="005C2490" w:rsidRPr="008F3FB1">
              <w:t xml:space="preserve"> saražoto vienību samazināšanās</w:t>
            </w:r>
            <w:r w:rsidR="005C2490">
              <w:t xml:space="preserve">, </w:t>
            </w:r>
            <w:r w:rsidR="005C2490" w:rsidRPr="008F3FB1">
              <w:t xml:space="preserve"> kaitējuma apkārtējai videi samazināšanās.</w:t>
            </w:r>
            <w:r w:rsidR="003D63BE" w:rsidRPr="00464EA5">
              <w:t xml:space="preserve"> </w:t>
            </w:r>
          </w:p>
          <w:p w:rsidR="00196155" w:rsidRPr="00704A36" w:rsidRDefault="00196155" w:rsidP="00113557">
            <w:pPr>
              <w:spacing w:before="6" w:after="6"/>
              <w:ind w:left="113" w:right="113"/>
              <w:jc w:val="both"/>
            </w:pPr>
            <w:r w:rsidRPr="00DD31B7">
              <w:t xml:space="preserve">Saskaņā ar </w:t>
            </w:r>
            <w:r w:rsidRPr="00796E79">
              <w:t>Kopienas nostādnēm par valsts atbalstu pētniecībai, attīstībai un inovācijai (publicētas Eiropas Savienības Oficiālajā Vēstnesī 2006.gada 30.decembrī, Nr. C 323/1) (turpmāk –</w:t>
            </w:r>
            <w:r w:rsidR="00384F2C">
              <w:t xml:space="preserve"> </w:t>
            </w:r>
            <w:r w:rsidR="00010616">
              <w:t>N</w:t>
            </w:r>
            <w:r w:rsidRPr="00796E79">
              <w:t>ostādnes)</w:t>
            </w:r>
            <w:r w:rsidR="00A01F75">
              <w:t xml:space="preserve"> </w:t>
            </w:r>
            <w:r w:rsidRPr="00704A36">
              <w:t xml:space="preserve">pētniecības organizāciju pamatdarbībām parasti nav saimniecisks raksturs, </w:t>
            </w:r>
            <w:r w:rsidRPr="00704A36">
              <w:rPr>
                <w:i/>
              </w:rPr>
              <w:t>„jo īpaši izglītībai nolūkā panākt personāla daudzuma un kvalifikācijas pieaugumu; neatkarīgu P&amp;A veikšanai, lai gūtu vairāk zināšanu un labāku sapratni</w:t>
            </w:r>
            <w:r w:rsidR="0009346B" w:rsidRPr="00704A36">
              <w:rPr>
                <w:i/>
              </w:rPr>
              <w:t xml:space="preserve"> …</w:t>
            </w:r>
            <w:r w:rsidRPr="00704A36">
              <w:rPr>
                <w:i/>
              </w:rPr>
              <w:t xml:space="preserve"> un zināšanu un tehnoloģiju pārneses darbībām</w:t>
            </w:r>
            <w:r w:rsidR="00F91D85" w:rsidRPr="00704A36">
              <w:rPr>
                <w:i/>
              </w:rPr>
              <w:t xml:space="preserve"> </w:t>
            </w:r>
            <w:r w:rsidR="00F91D85" w:rsidRPr="00704A36">
              <w:t>(zināšanu pārval</w:t>
            </w:r>
            <w:r w:rsidR="00010616" w:rsidRPr="00704A36">
              <w:t>d</w:t>
            </w:r>
            <w:r w:rsidR="00F91D85" w:rsidRPr="00704A36">
              <w:t>ība)</w:t>
            </w:r>
            <w:r w:rsidRPr="00704A36">
              <w:t>, ja</w:t>
            </w:r>
            <w:r w:rsidR="00F1718A" w:rsidRPr="00704A36">
              <w:t xml:space="preserve">, veicot zināšanu un tehnoloģiju, </w:t>
            </w:r>
            <w:r w:rsidRPr="00704A36">
              <w:t xml:space="preserve">nodrošina šādu </w:t>
            </w:r>
            <w:r w:rsidR="00010616" w:rsidRPr="00704A36">
              <w:t>N</w:t>
            </w:r>
            <w:r w:rsidRPr="00704A36">
              <w:t>ostādņu nosacījumu</w:t>
            </w:r>
            <w:r w:rsidRPr="00704A36">
              <w:rPr>
                <w:vertAlign w:val="superscript"/>
              </w:rPr>
              <w:footnoteReference w:id="1"/>
            </w:r>
            <w:r w:rsidRPr="00704A36">
              <w:t xml:space="preserve"> izpildi: </w:t>
            </w:r>
          </w:p>
          <w:p w:rsidR="00F60F6F" w:rsidRPr="00704A36" w:rsidRDefault="00196155" w:rsidP="00F75837">
            <w:pPr>
              <w:autoSpaceDE w:val="0"/>
              <w:autoSpaceDN w:val="0"/>
              <w:adjustRightInd w:val="0"/>
              <w:ind w:left="113" w:right="113"/>
              <w:jc w:val="both"/>
              <w:rPr>
                <w:i/>
              </w:rPr>
            </w:pPr>
            <w:r w:rsidRPr="00704A36">
              <w:t>1. tehnoloģiju pārneses darbībām (licencēšana, uzlabojumi vai pētniecības organizācijas radīto zināšanu citi pārvaldības veidi) ir iekšējs raksturs (</w:t>
            </w:r>
            <w:r w:rsidR="00A54A50" w:rsidRPr="00704A36">
              <w:t xml:space="preserve">Nostādņu </w:t>
            </w:r>
            <w:r w:rsidRPr="00704A36">
              <w:t>3.1.1.sadaļa)</w:t>
            </w:r>
            <w:r w:rsidR="00A54A50" w:rsidRPr="00704A36">
              <w:t xml:space="preserve">. </w:t>
            </w:r>
            <w:r w:rsidR="003209B4" w:rsidRPr="00704A36">
              <w:t>S</w:t>
            </w:r>
            <w:r w:rsidR="009B43DD" w:rsidRPr="00704A36">
              <w:t xml:space="preserve">askaņā ar Nostādņu 25.zemsvītras piezīmi </w:t>
            </w:r>
            <w:r w:rsidR="009B43DD" w:rsidRPr="00704A36">
              <w:rPr>
                <w:i/>
              </w:rPr>
              <w:t>„</w:t>
            </w:r>
            <w:r w:rsidR="009B43DD" w:rsidRPr="00704A36">
              <w:rPr>
                <w:i/>
                <w:u w:val="single"/>
              </w:rPr>
              <w:t xml:space="preserve">Ar iekšējo darbību Komisija saprot situāciju, kad pētniecības organizācijas </w:t>
            </w:r>
            <w:r w:rsidR="009B43DD" w:rsidRPr="00704A36">
              <w:lastRenderedPageBreak/>
              <w:t>zināšanu</w:t>
            </w:r>
            <w:r w:rsidR="009B43DD" w:rsidRPr="00704A36">
              <w:rPr>
                <w:i/>
                <w:u w:val="single"/>
              </w:rPr>
              <w:t xml:space="preserve"> pārvaldību veic vai nu šīs organizācijas nodaļa vai meitasuzņēmums</w:t>
            </w:r>
            <w:r w:rsidR="009B43DD" w:rsidRPr="00704A36">
              <w:rPr>
                <w:i/>
              </w:rPr>
              <w:t>, vai to veic kopīgi ar citām pētniecības</w:t>
            </w:r>
            <w:r w:rsidR="009B43DD" w:rsidRPr="003209B4">
              <w:rPr>
                <w:b/>
                <w:i/>
              </w:rPr>
              <w:t xml:space="preserve"> </w:t>
            </w:r>
            <w:r w:rsidR="009B43DD" w:rsidRPr="00704A36">
              <w:rPr>
                <w:i/>
              </w:rPr>
              <w:t xml:space="preserve">organizācijām. </w:t>
            </w:r>
            <w:r w:rsidR="00A54A50" w:rsidRPr="00704A36">
              <w:rPr>
                <w:i/>
              </w:rPr>
              <w:t xml:space="preserve">Līgumu slēgšana ar </w:t>
            </w:r>
            <w:proofErr w:type="spellStart"/>
            <w:r w:rsidR="00A54A50" w:rsidRPr="00704A36">
              <w:rPr>
                <w:i/>
              </w:rPr>
              <w:t>trešām</w:t>
            </w:r>
            <w:proofErr w:type="spellEnd"/>
            <w:r w:rsidR="00A54A50" w:rsidRPr="00704A36">
              <w:rPr>
                <w:i/>
              </w:rPr>
              <w:t xml:space="preserve"> pusēm par noteiktiem pakalpojumiem atklātā konkursā neizjauc šo darbību iekšējo raksturu</w:t>
            </w:r>
            <w:r w:rsidR="009B43DD" w:rsidRPr="00704A36">
              <w:rPr>
                <w:i/>
              </w:rPr>
              <w:t>”</w:t>
            </w:r>
            <w:r w:rsidR="00F60F6F" w:rsidRPr="00704A36">
              <w:rPr>
                <w:i/>
              </w:rPr>
              <w:t>;</w:t>
            </w:r>
          </w:p>
          <w:p w:rsidR="00196155" w:rsidRPr="00704A36" w:rsidRDefault="00B03F78" w:rsidP="00F75837">
            <w:pPr>
              <w:autoSpaceDE w:val="0"/>
              <w:autoSpaceDN w:val="0"/>
              <w:adjustRightInd w:val="0"/>
              <w:ind w:left="113" w:right="113"/>
              <w:jc w:val="both"/>
              <w:rPr>
                <w:i/>
              </w:rPr>
            </w:pPr>
            <w:r w:rsidRPr="00704A36">
              <w:t>2. j</w:t>
            </w:r>
            <w:r w:rsidR="008B776E" w:rsidRPr="00704A36">
              <w:t>uridisk</w:t>
            </w:r>
            <w:r w:rsidRPr="00704A36">
              <w:t>a</w:t>
            </w:r>
            <w:r w:rsidR="008B776E" w:rsidRPr="00704A36">
              <w:t>s personas, tai skaitā p</w:t>
            </w:r>
            <w:r w:rsidR="00A615F8" w:rsidRPr="00704A36">
              <w:t>rivāto tiesību subjekta</w:t>
            </w:r>
            <w:r w:rsidR="008B776E" w:rsidRPr="00704A36">
              <w:t>,</w:t>
            </w:r>
            <w:r w:rsidR="00A615F8" w:rsidRPr="00704A36">
              <w:t xml:space="preserve"> atbilstību pētniecības organizācijas statusam vērtē</w:t>
            </w:r>
            <w:r w:rsidR="002F0D45" w:rsidRPr="00704A36">
              <w:t xml:space="preserve"> atbilstoši </w:t>
            </w:r>
            <w:r w:rsidR="00310886" w:rsidRPr="00704A36">
              <w:t xml:space="preserve">Nostādņu </w:t>
            </w:r>
            <w:r w:rsidR="005374DE" w:rsidRPr="00704A36">
              <w:t>2</w:t>
            </w:r>
            <w:r w:rsidR="00E1470C" w:rsidRPr="00704A36">
              <w:t>.</w:t>
            </w:r>
            <w:r w:rsidR="005374DE" w:rsidRPr="00704A36">
              <w:t>2.sadaļas d)punktam</w:t>
            </w:r>
            <w:r w:rsidR="003A2F00" w:rsidRPr="00704A36">
              <w:t xml:space="preserve"> (Komisijas Regulas Nr.800/2008 30.panta 1.punkt</w:t>
            </w:r>
            <w:r w:rsidR="00B43BB0" w:rsidRPr="00704A36">
              <w:t>am</w:t>
            </w:r>
            <w:r w:rsidR="003A2F00" w:rsidRPr="00704A36">
              <w:t>)</w:t>
            </w:r>
            <w:r w:rsidR="005374DE" w:rsidRPr="00704A36">
              <w:t>:</w:t>
            </w:r>
            <w:r w:rsidR="00E1470C" w:rsidRPr="00704A36">
              <w:t>”</w:t>
            </w:r>
            <w:r w:rsidR="005374DE" w:rsidRPr="00704A36">
              <w:rPr>
                <w:rFonts w:ascii="EUAlbertina+20" w:hAnsi="EUAlbertina+20" w:cs="EUAlbertina+20"/>
                <w:sz w:val="19"/>
                <w:szCs w:val="19"/>
              </w:rPr>
              <w:t>“</w:t>
            </w:r>
            <w:r w:rsidR="005374DE" w:rsidRPr="00704A36">
              <w:rPr>
                <w:i/>
              </w:rPr>
              <w:t xml:space="preserve">pētniecības organizācija” ir tāda struktūra, </w:t>
            </w:r>
            <w:r w:rsidR="00E1470C" w:rsidRPr="00704A36">
              <w:rPr>
                <w:i/>
              </w:rPr>
              <w:t>…</w:t>
            </w:r>
            <w:r w:rsidR="005374DE" w:rsidRPr="00704A36">
              <w:rPr>
                <w:i/>
              </w:rPr>
              <w:t xml:space="preserve"> kura galvenais uzdevums </w:t>
            </w:r>
            <w:r w:rsidR="005374DE" w:rsidRPr="00704A36">
              <w:rPr>
                <w:i/>
                <w:u w:val="single"/>
              </w:rPr>
              <w:t>neatkarīgi no tā juridiskā statusa</w:t>
            </w:r>
            <w:r w:rsidR="005374DE" w:rsidRPr="00704A36">
              <w:rPr>
                <w:i/>
              </w:rPr>
              <w:t xml:space="preserve"> (vai tas ir publisko vai privāto tiesību subjekts) </w:t>
            </w:r>
            <w:r w:rsidR="005374DE" w:rsidRPr="00704A36">
              <w:rPr>
                <w:i/>
                <w:u w:val="single"/>
              </w:rPr>
              <w:t>vai</w:t>
            </w:r>
            <w:r w:rsidR="005374DE" w:rsidRPr="00704A36">
              <w:rPr>
                <w:i/>
              </w:rPr>
              <w:t xml:space="preserve"> </w:t>
            </w:r>
            <w:r w:rsidR="005374DE" w:rsidRPr="00704A36">
              <w:rPr>
                <w:i/>
                <w:u w:val="single"/>
              </w:rPr>
              <w:t>finansēšanas veida</w:t>
            </w:r>
            <w:r w:rsidR="005374DE" w:rsidRPr="00704A36">
              <w:rPr>
                <w:i/>
              </w:rPr>
              <w:t xml:space="preserve"> ir veikt fundamentālos pētījumus, rūpnieciskos pētījumus vai eksperimentālo izstrādni, un izplatīt to rezultātus mācību, publikāciju vai tehnoloģiju nodošanas veidā; </w:t>
            </w:r>
            <w:r w:rsidR="005374DE" w:rsidRPr="00704A36">
              <w:rPr>
                <w:i/>
                <w:u w:val="single"/>
              </w:rPr>
              <w:t>visa peļņa tiek atkārtoti investēta šajā darbībā, tās rezultātu izplatīšanā vai mācībās; uzņēmumiem, kas var ietekmēt šādu struktūru, piemēram, būdami tās akcionāri vai dalībnieki, nedrīkst būt piekļuves priekšrocību attiecībā uz šādas struktūras pētījumu kapacitāti vai tās radītajiem pētniecības rezultātiem</w:t>
            </w:r>
            <w:r w:rsidR="002503EB" w:rsidRPr="00704A36">
              <w:rPr>
                <w:i/>
                <w:u w:val="single"/>
              </w:rPr>
              <w:t>”</w:t>
            </w:r>
            <w:r w:rsidR="000034B0" w:rsidRPr="00704A36">
              <w:rPr>
                <w:i/>
                <w:u w:val="single"/>
              </w:rPr>
              <w:t xml:space="preserve">. </w:t>
            </w:r>
            <w:r w:rsidR="000034B0" w:rsidRPr="00704A36">
              <w:t xml:space="preserve">Tādējādi, ja </w:t>
            </w:r>
            <w:r w:rsidR="00952CF2" w:rsidRPr="00704A36">
              <w:t>struktūra</w:t>
            </w:r>
            <w:r w:rsidR="000034B0" w:rsidRPr="00704A36">
              <w:t xml:space="preserve"> </w:t>
            </w:r>
            <w:r w:rsidR="002B688D" w:rsidRPr="00704A36">
              <w:t xml:space="preserve">atbilst </w:t>
            </w:r>
            <w:r w:rsidR="00A13B44" w:rsidRPr="00704A36">
              <w:t>pētniecības organizācijas</w:t>
            </w:r>
            <w:r w:rsidR="002B688D" w:rsidRPr="00704A36">
              <w:t xml:space="preserve"> definīcijai</w:t>
            </w:r>
            <w:r w:rsidR="00991909" w:rsidRPr="00704A36">
              <w:t>, proti,</w:t>
            </w:r>
            <w:r w:rsidR="00CA07C6" w:rsidRPr="00704A36">
              <w:t xml:space="preserve"> tā </w:t>
            </w:r>
            <w:r w:rsidR="000034B0" w:rsidRPr="00704A36">
              <w:t xml:space="preserve">nodrošina, ka </w:t>
            </w:r>
            <w:r w:rsidR="000F6AD5" w:rsidRPr="00704A36">
              <w:t xml:space="preserve">1) </w:t>
            </w:r>
            <w:r w:rsidR="000034B0" w:rsidRPr="00704A36">
              <w:t>meitas uzņēmumam</w:t>
            </w:r>
            <w:r w:rsidR="002503EB" w:rsidRPr="00704A36">
              <w:t xml:space="preserve"> </w:t>
            </w:r>
            <w:r w:rsidR="005A467F" w:rsidRPr="00704A36">
              <w:t>(</w:t>
            </w:r>
            <w:r w:rsidR="00952CF2" w:rsidRPr="00704A36">
              <w:t>„</w:t>
            </w:r>
            <w:r w:rsidR="005A467F" w:rsidRPr="00704A36">
              <w:rPr>
                <w:i/>
              </w:rPr>
              <w:t>kurā ir liela privātā līdzdalība</w:t>
            </w:r>
            <w:r w:rsidR="00952CF2" w:rsidRPr="00704A36">
              <w:rPr>
                <w:i/>
              </w:rPr>
              <w:t>”</w:t>
            </w:r>
            <w:r w:rsidR="005A467F" w:rsidRPr="00704A36">
              <w:t xml:space="preserve">) </w:t>
            </w:r>
            <w:r w:rsidR="002503EB" w:rsidRPr="00704A36">
              <w:t xml:space="preserve">nav piekļuves priekšrocību attiecībā uz </w:t>
            </w:r>
            <w:r w:rsidR="000F6AD5" w:rsidRPr="00704A36">
              <w:t>struktūras</w:t>
            </w:r>
            <w:r w:rsidR="002503EB" w:rsidRPr="00704A36">
              <w:t xml:space="preserve"> pētījumu kapacitāti vai tās radītajiem pētniecības rezultātiem</w:t>
            </w:r>
            <w:r w:rsidR="000F6AD5" w:rsidRPr="00704A36">
              <w:t xml:space="preserve">, 2) visus ieņēmumus </w:t>
            </w:r>
            <w:proofErr w:type="spellStart"/>
            <w:r w:rsidR="000F6AD5" w:rsidRPr="00704A36">
              <w:t>reinvestē</w:t>
            </w:r>
            <w:proofErr w:type="spellEnd"/>
            <w:r w:rsidR="000F6AD5" w:rsidRPr="00704A36">
              <w:t xml:space="preserve"> pamatdarbībā </w:t>
            </w:r>
            <w:r w:rsidR="00F758A0" w:rsidRPr="00704A36">
              <w:t>(</w:t>
            </w:r>
            <w:r w:rsidR="000F6AD5" w:rsidRPr="00704A36">
              <w:t xml:space="preserve">pētniecībā un </w:t>
            </w:r>
            <w:r w:rsidR="002B688D" w:rsidRPr="00704A36">
              <w:t>zināšanu un tehnoloģiju pārnesē</w:t>
            </w:r>
            <w:r w:rsidR="00F758A0" w:rsidRPr="00704A36">
              <w:t>),</w:t>
            </w:r>
            <w:r w:rsidR="00BE7213" w:rsidRPr="00704A36">
              <w:t xml:space="preserve"> </w:t>
            </w:r>
            <w:r w:rsidR="00D127B3" w:rsidRPr="00704A36">
              <w:rPr>
                <w:i/>
                <w:u w:val="single"/>
              </w:rPr>
              <w:t xml:space="preserve">pētniecības organizācijas </w:t>
            </w:r>
            <w:r w:rsidR="00D127B3" w:rsidRPr="00704A36">
              <w:t>zināšanu</w:t>
            </w:r>
            <w:r w:rsidR="00D127B3" w:rsidRPr="00704A36">
              <w:rPr>
                <w:i/>
                <w:u w:val="single"/>
              </w:rPr>
              <w:t xml:space="preserve"> pārvaldībai, ko veic šīs organizācijas meitasuzņēmums</w:t>
            </w:r>
            <w:r w:rsidR="00F758A0" w:rsidRPr="00704A36">
              <w:rPr>
                <w:i/>
                <w:u w:val="single"/>
              </w:rPr>
              <w:t>,</w:t>
            </w:r>
            <w:r w:rsidR="00BE7213" w:rsidRPr="00704A36">
              <w:t xml:space="preserve"> ir ne-saimniecisks </w:t>
            </w:r>
            <w:r w:rsidR="00D127B3" w:rsidRPr="00704A36">
              <w:t xml:space="preserve">(iekšējs) </w:t>
            </w:r>
            <w:r w:rsidR="00BE7213" w:rsidRPr="00704A36">
              <w:t>raksturs</w:t>
            </w:r>
            <w:r w:rsidR="00196155" w:rsidRPr="00704A36">
              <w:t>;</w:t>
            </w:r>
          </w:p>
          <w:p w:rsidR="00196155" w:rsidRPr="00704A36" w:rsidRDefault="00B55AEB" w:rsidP="00113557">
            <w:pPr>
              <w:spacing w:before="6" w:after="6"/>
              <w:ind w:left="113" w:right="113"/>
              <w:jc w:val="both"/>
            </w:pPr>
            <w:r>
              <w:t>3</w:t>
            </w:r>
            <w:r w:rsidR="00196155" w:rsidRPr="00DD31B7">
              <w:t>. pētniecības organizācijas par visām licenciātam</w:t>
            </w:r>
            <w:r w:rsidR="008036FC">
              <w:t xml:space="preserve"> (trešajai pusei)</w:t>
            </w:r>
            <w:r w:rsidR="00196155" w:rsidRPr="00DD31B7">
              <w:t xml:space="preserve"> nodotajām ekonomiskajām priekšrocībām saņem tādu </w:t>
            </w:r>
            <w:r w:rsidR="00B84E06">
              <w:t>kompensāciju (</w:t>
            </w:r>
            <w:r w:rsidR="00196155" w:rsidRPr="00DD31B7">
              <w:t>atlīdzību</w:t>
            </w:r>
            <w:r w:rsidR="00B84E06">
              <w:t>)</w:t>
            </w:r>
            <w:r w:rsidR="00196155" w:rsidRPr="00DD31B7">
              <w:t>, kas ir līdzvērtīga tirgus cenai par intelektuālā īpašuma tiesībām, kas izriet no licenciāra projekta ietvaros veiktās darbības</w:t>
            </w:r>
            <w:r w:rsidR="00AE7477">
              <w:t xml:space="preserve"> (Nostādņu 3.2.2.sadaļas 3.punkts)</w:t>
            </w:r>
            <w:r w:rsidR="0037749C">
              <w:t xml:space="preserve">. </w:t>
            </w:r>
            <w:r w:rsidR="00B84E06" w:rsidRPr="00704A36">
              <w:t>Saskaņā ar Nostādņu 29.zemsvītras piezīmi</w:t>
            </w:r>
            <w:r w:rsidR="008036FC" w:rsidRPr="00704A36">
              <w:t>:</w:t>
            </w:r>
            <w:r w:rsidR="00B84E06" w:rsidRPr="00704A36">
              <w:t xml:space="preserve"> „</w:t>
            </w:r>
            <w:r w:rsidR="00B84E06" w:rsidRPr="00704A36">
              <w:rPr>
                <w:i/>
              </w:rPr>
              <w:t>Kompensācija, kas ir līdzvērtīga tirgus cenai par intelektuālā īpašuma tiesībām attiecas uz kompensāciju par visām ekonomiskajām priekšrocībām no šīm tiesībām. Ievērojot vispārējos valsts atbalsta principus un ņemot vērā raksturīgās grūtības, nosakot objektīvi tirgus cenu intelektuālā īpašuma tiesībām, Komisija uzskatīs, ka šis nosacījums ir izpildīts, ja pētniecības organizācija kā pārdevējs veiks pārrunas, lai iegūtu maksimālu labumu tajā brīdī, kad tiek noslēgts līgums”</w:t>
            </w:r>
            <w:r w:rsidR="00196155" w:rsidRPr="00704A36">
              <w:t>;</w:t>
            </w:r>
          </w:p>
          <w:p w:rsidR="00196155" w:rsidRPr="00704A36" w:rsidRDefault="00B55AEB" w:rsidP="00113557">
            <w:pPr>
              <w:spacing w:before="6" w:after="6"/>
              <w:ind w:left="113" w:right="113"/>
              <w:jc w:val="both"/>
            </w:pPr>
            <w:r w:rsidRPr="00704A36">
              <w:t>4</w:t>
            </w:r>
            <w:r w:rsidR="00196155" w:rsidRPr="00704A36">
              <w:t>. visus ienākumus no šīm darbībām atkārtoti iegulda pētniecības organizācijas pamatdarbībā.</w:t>
            </w:r>
          </w:p>
          <w:p w:rsidR="005D2038" w:rsidRPr="00704A36" w:rsidRDefault="00196155" w:rsidP="00113557">
            <w:pPr>
              <w:spacing w:before="6" w:after="6"/>
              <w:ind w:left="113" w:right="113"/>
              <w:jc w:val="both"/>
            </w:pPr>
            <w:r w:rsidRPr="00704A36">
              <w:t xml:space="preserve">Tādējādi pētniecības organizācijas </w:t>
            </w:r>
            <w:r w:rsidR="00A86418" w:rsidRPr="00704A36">
              <w:t xml:space="preserve">pētniecības </w:t>
            </w:r>
            <w:r w:rsidRPr="00704A36">
              <w:t>projektam nav saimniecisks raksturs, ja</w:t>
            </w:r>
            <w:r w:rsidR="005D2038" w:rsidRPr="00704A36">
              <w:t>:</w:t>
            </w:r>
          </w:p>
          <w:p w:rsidR="00C206D6" w:rsidRPr="00704A36" w:rsidRDefault="00B55AEB" w:rsidP="00113557">
            <w:pPr>
              <w:spacing w:before="6" w:after="6"/>
              <w:ind w:left="113" w:right="113"/>
              <w:jc w:val="both"/>
            </w:pPr>
            <w:r w:rsidRPr="00704A36">
              <w:t>4.</w:t>
            </w:r>
            <w:r w:rsidR="005D2038" w:rsidRPr="00704A36">
              <w:t>1</w:t>
            </w:r>
            <w:r w:rsidR="00702535" w:rsidRPr="00704A36">
              <w:t>.</w:t>
            </w:r>
            <w:r w:rsidR="00D14BF6" w:rsidRPr="00704A36">
              <w:t> </w:t>
            </w:r>
            <w:r w:rsidR="00196155" w:rsidRPr="00704A36">
              <w:t xml:space="preserve">pētniecības organizācija </w:t>
            </w:r>
            <w:r w:rsidR="004529F6" w:rsidRPr="00704A36">
              <w:t xml:space="preserve">pētniecības projektu īsteno </w:t>
            </w:r>
            <w:r w:rsidR="004529F6" w:rsidRPr="00704A36">
              <w:lastRenderedPageBreak/>
              <w:t>individuāli</w:t>
            </w:r>
            <w:r w:rsidR="004E7104" w:rsidRPr="00704A36">
              <w:t xml:space="preserve">, tādējādi </w:t>
            </w:r>
            <w:r w:rsidR="00EE590A" w:rsidRPr="00704A36">
              <w:t>nodrošinot, ka pētniecības organizācija aktivitātes ietvar</w:t>
            </w:r>
            <w:r w:rsidR="00A11FD0" w:rsidRPr="00704A36">
              <w:t>o</w:t>
            </w:r>
            <w:r w:rsidR="00EE590A" w:rsidRPr="00704A36">
              <w:t xml:space="preserve">s īstenos neatkarīgu pētniecību, un </w:t>
            </w:r>
            <w:r w:rsidR="004E7104" w:rsidRPr="00704A36">
              <w:t>izslēdzot ekskluzīvu licences līgumu slēgšanu</w:t>
            </w:r>
            <w:r w:rsidR="00D80042" w:rsidRPr="00704A36">
              <w:t xml:space="preserve"> ar sadarbības partneri – komersantu;</w:t>
            </w:r>
          </w:p>
          <w:p w:rsidR="00796E79" w:rsidRDefault="00B55AEB" w:rsidP="00113557">
            <w:pPr>
              <w:spacing w:before="6" w:after="6"/>
              <w:ind w:left="113" w:right="113"/>
              <w:jc w:val="both"/>
            </w:pPr>
            <w:r>
              <w:t>4.</w:t>
            </w:r>
            <w:r w:rsidR="00702535">
              <w:t>2.</w:t>
            </w:r>
            <w:r w:rsidR="00D14BF6">
              <w:t> </w:t>
            </w:r>
            <w:r w:rsidR="004529F6">
              <w:t>projekta</w:t>
            </w:r>
            <w:r w:rsidR="001857F9">
              <w:t xml:space="preserve"> </w:t>
            </w:r>
            <w:r w:rsidR="00E274F2">
              <w:t>ie</w:t>
            </w:r>
            <w:r w:rsidR="00955CAE">
              <w:t>t</w:t>
            </w:r>
            <w:r w:rsidR="00E274F2">
              <w:t xml:space="preserve">varos veiktās </w:t>
            </w:r>
            <w:r w:rsidR="00C206D6">
              <w:t>aktivitātes</w:t>
            </w:r>
            <w:r w:rsidR="00A11FD0">
              <w:t>/darbības</w:t>
            </w:r>
            <w:r w:rsidR="004529F6">
              <w:t xml:space="preserve"> </w:t>
            </w:r>
            <w:r w:rsidR="00C206D6">
              <w:t xml:space="preserve">atbilst pētniecības organizācijas </w:t>
            </w:r>
            <w:r w:rsidR="005920FC">
              <w:t xml:space="preserve">nesaimnieciskajai </w:t>
            </w:r>
            <w:r w:rsidR="00C206D6">
              <w:t xml:space="preserve">pamatdarbībai </w:t>
            </w:r>
            <w:r w:rsidR="004529F6">
              <w:t xml:space="preserve">- </w:t>
            </w:r>
            <w:r w:rsidR="00C206D6">
              <w:t>pētniecība un zināšanu un tehnoloģiju pārnese</w:t>
            </w:r>
            <w:r w:rsidR="00796E79">
              <w:t>;</w:t>
            </w:r>
          </w:p>
          <w:p w:rsidR="00740297" w:rsidRDefault="00B55AEB" w:rsidP="00113557">
            <w:pPr>
              <w:spacing w:before="6" w:after="6"/>
              <w:ind w:left="113" w:right="113"/>
              <w:jc w:val="both"/>
            </w:pPr>
            <w:r>
              <w:t>4.</w:t>
            </w:r>
            <w:r w:rsidR="00702535">
              <w:t>3.</w:t>
            </w:r>
            <w:r w:rsidR="00796E79">
              <w:t xml:space="preserve"> nodrošina, ka </w:t>
            </w:r>
            <w:r w:rsidR="00196155" w:rsidRPr="00DD31B7">
              <w:t>pētniecības rezultātā iegūto zināšanu un tehnoloģiju pārnes</w:t>
            </w:r>
            <w:r w:rsidR="00796E79">
              <w:t>es darbībām nav saimniecisks raksturs</w:t>
            </w:r>
            <w:r w:rsidR="00740297">
              <w:t>:</w:t>
            </w:r>
          </w:p>
          <w:p w:rsidR="006D234A" w:rsidRPr="0062580B" w:rsidRDefault="00740297" w:rsidP="00113557">
            <w:pPr>
              <w:spacing w:before="6" w:after="6"/>
              <w:ind w:left="113" w:right="113"/>
              <w:jc w:val="both"/>
            </w:pPr>
            <w:r w:rsidRPr="0062580B">
              <w:t xml:space="preserve">– līgumu slēgšana ar </w:t>
            </w:r>
            <w:proofErr w:type="spellStart"/>
            <w:r w:rsidRPr="0062580B">
              <w:t>trešām</w:t>
            </w:r>
            <w:proofErr w:type="spellEnd"/>
            <w:r w:rsidRPr="0062580B">
              <w:t xml:space="preserve"> pusēm </w:t>
            </w:r>
            <w:r w:rsidR="00F012EE" w:rsidRPr="0062580B">
              <w:t xml:space="preserve">(licenciātu) , kas noteikts </w:t>
            </w:r>
            <w:r w:rsidRPr="0062580B">
              <w:t>atklātā konkursā (</w:t>
            </w:r>
            <w:r w:rsidR="004B3172" w:rsidRPr="0062580B">
              <w:t>N</w:t>
            </w:r>
            <w:r w:rsidRPr="0062580B">
              <w:t>ostādņu 25.zemsvītras</w:t>
            </w:r>
            <w:r w:rsidR="006D234A" w:rsidRPr="0062580B">
              <w:t xml:space="preserve"> piezīme);</w:t>
            </w:r>
          </w:p>
          <w:p w:rsidR="004D76D1" w:rsidRPr="0062580B" w:rsidRDefault="0052493D" w:rsidP="00152DEF">
            <w:pPr>
              <w:spacing w:before="6" w:after="6"/>
              <w:ind w:left="113" w:right="113"/>
              <w:jc w:val="both"/>
            </w:pPr>
            <w:r w:rsidRPr="0062580B">
              <w:t>–</w:t>
            </w:r>
            <w:r w:rsidR="00797925" w:rsidRPr="0062580B">
              <w:t xml:space="preserve">nosakot objektīvi </w:t>
            </w:r>
            <w:r w:rsidR="00152DEF" w:rsidRPr="0062580B">
              <w:t xml:space="preserve">intelektuālā īpašuma tiesību </w:t>
            </w:r>
            <w:r w:rsidR="00797925" w:rsidRPr="0062580B">
              <w:t>tirgus cenu, pētniecības organizācija kā pārdevējs veic pārrunas, lai iegūtu maksimālu labumu tajā brīdī, kad tiek noslēgts līgums</w:t>
            </w:r>
            <w:r w:rsidR="00152DEF" w:rsidRPr="0062580B">
              <w:t xml:space="preserve"> (</w:t>
            </w:r>
            <w:r w:rsidR="00013670" w:rsidRPr="0062580B">
              <w:t>N</w:t>
            </w:r>
            <w:r w:rsidR="00152DEF" w:rsidRPr="0062580B">
              <w:t>ostādņu 29.zemsvītras piezīme)</w:t>
            </w:r>
            <w:r w:rsidR="00797925" w:rsidRPr="0062580B">
              <w:t xml:space="preserve">. </w:t>
            </w:r>
            <w:r w:rsidR="004B3172" w:rsidRPr="0062580B">
              <w:t xml:space="preserve">Lai pamatotu, ka pētniecības organizācija </w:t>
            </w:r>
            <w:r w:rsidR="002C680F" w:rsidRPr="0062580B">
              <w:t xml:space="preserve">no intelektuālā īpašuma tiesībām </w:t>
            </w:r>
            <w:r w:rsidR="004B3172" w:rsidRPr="0062580B">
              <w:t>gūst maksimāli labumu, p</w:t>
            </w:r>
            <w:r w:rsidRPr="0062580B">
              <w:t>ētniecības organizācija</w:t>
            </w:r>
            <w:r w:rsidR="008136CF" w:rsidRPr="0062580B">
              <w:t xml:space="preserve"> </w:t>
            </w:r>
            <w:r w:rsidR="00013670" w:rsidRPr="0062580B">
              <w:t>d</w:t>
            </w:r>
            <w:r w:rsidR="004D76D1" w:rsidRPr="0062580B">
              <w:t>okumentē intelektuālā īpašuma izsol</w:t>
            </w:r>
            <w:r w:rsidR="008136CF" w:rsidRPr="0062580B">
              <w:t>i</w:t>
            </w:r>
            <w:r w:rsidR="00013670" w:rsidRPr="0062580B">
              <w:t>, kas iever</w:t>
            </w:r>
            <w:r w:rsidR="008136CF" w:rsidRPr="0062580B">
              <w:t xml:space="preserve"> šādus dokumentus</w:t>
            </w:r>
            <w:r w:rsidR="00013670" w:rsidRPr="0062580B">
              <w:t>:</w:t>
            </w:r>
          </w:p>
          <w:p w:rsidR="004D76D1" w:rsidRPr="0062580B" w:rsidRDefault="004D76D1" w:rsidP="00141BCF">
            <w:pPr>
              <w:numPr>
                <w:ilvl w:val="0"/>
                <w:numId w:val="16"/>
              </w:numPr>
              <w:spacing w:before="6" w:after="6"/>
              <w:ind w:right="113"/>
              <w:jc w:val="both"/>
            </w:pPr>
            <w:r w:rsidRPr="0062580B">
              <w:t>licenciāra cenu piedāvājumi un noteikumi</w:t>
            </w:r>
            <w:r w:rsidR="008136CF" w:rsidRPr="0062580B">
              <w:t>;</w:t>
            </w:r>
          </w:p>
          <w:p w:rsidR="004D76D1" w:rsidRPr="0062580B" w:rsidRDefault="004D76D1" w:rsidP="00141BCF">
            <w:pPr>
              <w:numPr>
                <w:ilvl w:val="0"/>
                <w:numId w:val="16"/>
              </w:numPr>
              <w:spacing w:before="6" w:after="6"/>
              <w:ind w:right="113"/>
              <w:jc w:val="both"/>
            </w:pPr>
            <w:r w:rsidRPr="0062580B">
              <w:t>licenciāta priekšlikumi</w:t>
            </w:r>
            <w:r w:rsidR="008136CF" w:rsidRPr="0062580B">
              <w:t>;</w:t>
            </w:r>
          </w:p>
          <w:p w:rsidR="004D76D1" w:rsidRPr="0062580B" w:rsidRDefault="004D76D1" w:rsidP="00141BCF">
            <w:pPr>
              <w:numPr>
                <w:ilvl w:val="0"/>
                <w:numId w:val="16"/>
              </w:numPr>
              <w:spacing w:before="6" w:after="6"/>
              <w:ind w:right="113"/>
              <w:jc w:val="both"/>
            </w:pPr>
            <w:r w:rsidRPr="0062580B">
              <w:t>sapulču protokoli</w:t>
            </w:r>
            <w:r w:rsidR="008136CF" w:rsidRPr="0062580B">
              <w:t>;</w:t>
            </w:r>
          </w:p>
          <w:p w:rsidR="00141BCF" w:rsidRPr="0062580B" w:rsidRDefault="004D76D1" w:rsidP="00141BCF">
            <w:pPr>
              <w:numPr>
                <w:ilvl w:val="0"/>
                <w:numId w:val="16"/>
              </w:numPr>
              <w:spacing w:before="6" w:after="6"/>
              <w:ind w:right="113"/>
              <w:jc w:val="both"/>
            </w:pPr>
            <w:r w:rsidRPr="0062580B">
              <w:t>lēmumu pieņemšanas dokumenti</w:t>
            </w:r>
            <w:r w:rsidR="00141BCF" w:rsidRPr="0062580B">
              <w:t>;</w:t>
            </w:r>
          </w:p>
          <w:p w:rsidR="00AD1C6B" w:rsidRPr="0062580B" w:rsidRDefault="00141BCF" w:rsidP="00141BCF">
            <w:pPr>
              <w:numPr>
                <w:ilvl w:val="0"/>
                <w:numId w:val="16"/>
              </w:numPr>
              <w:spacing w:before="6" w:after="6"/>
              <w:ind w:right="113"/>
              <w:jc w:val="both"/>
            </w:pPr>
            <w:r w:rsidRPr="0062580B">
              <w:t>informācija par analogiem intelektuālā īpašuma licences līgumiem</w:t>
            </w:r>
            <w:r w:rsidR="002C680F" w:rsidRPr="0062580B">
              <w:t xml:space="preserve">, tai skaitā </w:t>
            </w:r>
            <w:r w:rsidR="006F71C9" w:rsidRPr="0062580B">
              <w:t xml:space="preserve">tirgus </w:t>
            </w:r>
            <w:r w:rsidR="002C680F" w:rsidRPr="0062580B">
              <w:t>cena</w:t>
            </w:r>
            <w:r w:rsidR="006F71C9" w:rsidRPr="0062580B">
              <w:t>s noteikšanas principi</w:t>
            </w:r>
            <w:r w:rsidR="008136CF" w:rsidRPr="0062580B">
              <w:t xml:space="preserve"> u.c.</w:t>
            </w:r>
            <w:r w:rsidR="00796E79" w:rsidRPr="0062580B">
              <w:t xml:space="preserve"> </w:t>
            </w:r>
            <w:r w:rsidR="00196155" w:rsidRPr="0062580B">
              <w:t xml:space="preserve"> </w:t>
            </w:r>
          </w:p>
          <w:p w:rsidR="000F4E67" w:rsidRPr="00464EA5" w:rsidRDefault="00A86418" w:rsidP="00415DA8">
            <w:pPr>
              <w:spacing w:before="6" w:after="6"/>
              <w:ind w:left="113" w:right="113"/>
              <w:jc w:val="both"/>
            </w:pPr>
            <w:r>
              <w:t xml:space="preserve">Ņemot vērā iepriekš minēto, ierosinām harmonizēt ES un nacionālās tiesību </w:t>
            </w:r>
            <w:r w:rsidR="00D06AD5">
              <w:t xml:space="preserve">normas, </w:t>
            </w:r>
            <w:r>
              <w:t xml:space="preserve">nosakot, ka </w:t>
            </w:r>
            <w:r w:rsidR="00E274F2">
              <w:t xml:space="preserve">2.1.1.1.aktivitātes ietvaros </w:t>
            </w:r>
            <w:r w:rsidR="00EA3620">
              <w:t>atbalstu sniedz</w:t>
            </w:r>
            <w:r w:rsidR="00902481">
              <w:t xml:space="preserve"> </w:t>
            </w:r>
            <w:r w:rsidR="00E274F2">
              <w:t>ne tikai ar saimniecisku darbību saistīt</w:t>
            </w:r>
            <w:r w:rsidR="00902481">
              <w:t>iem</w:t>
            </w:r>
            <w:r w:rsidR="00E274F2">
              <w:t xml:space="preserve"> projekt</w:t>
            </w:r>
            <w:r w:rsidR="00902481">
              <w:t>iem</w:t>
            </w:r>
            <w:r w:rsidR="000E053C">
              <w:t xml:space="preserve">, </w:t>
            </w:r>
            <w:r w:rsidR="00A07783">
              <w:t>bet arī ar saimniecisku darbību nesaistīt</w:t>
            </w:r>
            <w:r w:rsidR="00902481">
              <w:t>iem</w:t>
            </w:r>
            <w:r w:rsidR="00A07783">
              <w:t xml:space="preserve"> projekt</w:t>
            </w:r>
            <w:r w:rsidR="00902481">
              <w:t>iem</w:t>
            </w:r>
            <w:r w:rsidR="0091744E">
              <w:t xml:space="preserve">, </w:t>
            </w:r>
            <w:r w:rsidR="009C7461">
              <w:t xml:space="preserve">ja </w:t>
            </w:r>
            <w:r w:rsidR="0091744E">
              <w:t>rezultātiem ir augsts komercializācijas potenciāls</w:t>
            </w:r>
            <w:r w:rsidR="00B1290D">
              <w:t>, ko raksturo pētniecības organizācijas noslēgto intelektuālā īp</w:t>
            </w:r>
            <w:r w:rsidR="00415DA8">
              <w:t>aš</w:t>
            </w:r>
            <w:r w:rsidR="00B1290D">
              <w:t>uma licences līgumu skaits</w:t>
            </w:r>
            <w:r w:rsidR="0091744E">
              <w:t>.</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lastRenderedPageBreak/>
              <w:t>3.</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Saistītie politikas ietekmes novērtējumi un pētījumi</w:t>
            </w:r>
          </w:p>
        </w:tc>
        <w:tc>
          <w:tcPr>
            <w:tcW w:w="3431" w:type="pct"/>
            <w:tcBorders>
              <w:top w:val="outset" w:sz="6" w:space="0" w:color="000000"/>
              <w:left w:val="outset" w:sz="6" w:space="0" w:color="000000"/>
              <w:bottom w:val="outset" w:sz="6" w:space="0" w:color="000000"/>
              <w:right w:val="outset" w:sz="6" w:space="0" w:color="000000"/>
            </w:tcBorders>
            <w:hideMark/>
          </w:tcPr>
          <w:p w:rsidR="007A6DB9" w:rsidRPr="00464EA5" w:rsidRDefault="00E2280B" w:rsidP="008660A6">
            <w:pPr>
              <w:spacing w:before="6" w:after="6"/>
              <w:ind w:left="113" w:right="113"/>
            </w:pPr>
            <w:r w:rsidRPr="00464EA5">
              <w:t>Noteikumu projekts šo jomu neskar</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4.</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Tiesiskā regulējuma mērķis un būtība</w:t>
            </w:r>
          </w:p>
        </w:tc>
        <w:tc>
          <w:tcPr>
            <w:tcW w:w="3431" w:type="pct"/>
            <w:tcBorders>
              <w:top w:val="outset" w:sz="6" w:space="0" w:color="000000"/>
              <w:left w:val="outset" w:sz="6" w:space="0" w:color="000000"/>
              <w:bottom w:val="outset" w:sz="6" w:space="0" w:color="000000"/>
              <w:right w:val="outset" w:sz="6" w:space="0" w:color="000000"/>
            </w:tcBorders>
            <w:hideMark/>
          </w:tcPr>
          <w:p w:rsidR="000C009A" w:rsidRPr="00106D58" w:rsidRDefault="00491965" w:rsidP="00106D58">
            <w:pPr>
              <w:pStyle w:val="BodyText"/>
              <w:spacing w:before="6" w:after="6"/>
              <w:ind w:left="113" w:right="113"/>
              <w:jc w:val="both"/>
              <w:outlineLvl w:val="0"/>
            </w:pPr>
            <w:r>
              <w:t>Noteikumu projekts</w:t>
            </w:r>
            <w:r w:rsidR="000C009A" w:rsidRPr="00106D58">
              <w:t>:</w:t>
            </w:r>
          </w:p>
          <w:p w:rsidR="00A37BE8" w:rsidRDefault="000C009A" w:rsidP="00932121">
            <w:pPr>
              <w:spacing w:before="6" w:after="6"/>
              <w:ind w:left="113" w:right="113"/>
              <w:jc w:val="both"/>
            </w:pPr>
            <w:r w:rsidRPr="0016594B">
              <w:t>1</w:t>
            </w:r>
            <w:r w:rsidR="00706782" w:rsidRPr="0016594B">
              <w:t>.</w:t>
            </w:r>
            <w:r w:rsidRPr="0016594B">
              <w:t> </w:t>
            </w:r>
            <w:r w:rsidR="000A2C82" w:rsidRPr="0016594B">
              <w:t xml:space="preserve">paredz </w:t>
            </w:r>
            <w:r w:rsidR="0014578C" w:rsidRPr="0016594B">
              <w:t xml:space="preserve">precizēt </w:t>
            </w:r>
            <w:r w:rsidR="008779B5" w:rsidRPr="0016594B">
              <w:t>2.1.1.1.aktivitātei pieejamā</w:t>
            </w:r>
            <w:r w:rsidR="0014578C" w:rsidRPr="0016594B">
              <w:t xml:space="preserve"> finansējuma apmēru</w:t>
            </w:r>
            <w:r w:rsidR="00A37BE8">
              <w:t>:</w:t>
            </w:r>
          </w:p>
          <w:p w:rsidR="00A37BE8" w:rsidRPr="00D87B60" w:rsidRDefault="00A37BE8" w:rsidP="00932121">
            <w:pPr>
              <w:spacing w:before="6" w:after="6"/>
              <w:ind w:left="113" w:right="113"/>
              <w:jc w:val="both"/>
            </w:pPr>
            <w:r>
              <w:t>– </w:t>
            </w:r>
            <w:r w:rsidR="00AD6A88" w:rsidRPr="0016594B">
              <w:t>pārdalot</w:t>
            </w:r>
            <w:r w:rsidR="0014578C" w:rsidRPr="0016594B">
              <w:t xml:space="preserve"> </w:t>
            </w:r>
            <w:proofErr w:type="spellStart"/>
            <w:r w:rsidR="00F938F2" w:rsidRPr="0016594B">
              <w:t>virssaistību</w:t>
            </w:r>
            <w:proofErr w:type="spellEnd"/>
            <w:r w:rsidR="00F938F2" w:rsidRPr="0016594B">
              <w:t xml:space="preserve"> finansējumu</w:t>
            </w:r>
            <w:r>
              <w:t>,</w:t>
            </w:r>
            <w:r w:rsidR="0014578C" w:rsidRPr="0016594B">
              <w:t xml:space="preserve"> </w:t>
            </w:r>
            <w:r w:rsidR="00EB1B1B" w:rsidRPr="00D87B60">
              <w:t xml:space="preserve">kā rezultātā </w:t>
            </w:r>
            <w:proofErr w:type="spellStart"/>
            <w:r w:rsidR="00EB1B1B" w:rsidRPr="00D87B60">
              <w:t>virssaistību</w:t>
            </w:r>
            <w:proofErr w:type="spellEnd"/>
            <w:r w:rsidR="00EB1B1B" w:rsidRPr="00D87B60">
              <w:t xml:space="preserve"> finansējuma apmērs samazinās līdz 5 418 latiem</w:t>
            </w:r>
            <w:r w:rsidRPr="00D87B60">
              <w:t>;</w:t>
            </w:r>
            <w:r w:rsidR="00EB1B1B" w:rsidRPr="00D87B60">
              <w:t xml:space="preserve"> </w:t>
            </w:r>
            <w:r w:rsidR="0014578C" w:rsidRPr="00D87B60">
              <w:t xml:space="preserve">un </w:t>
            </w:r>
          </w:p>
          <w:p w:rsidR="0014578C" w:rsidRPr="00D87B60" w:rsidRDefault="00A37BE8" w:rsidP="00932121">
            <w:pPr>
              <w:spacing w:before="6" w:after="6"/>
              <w:ind w:left="113" w:right="113"/>
              <w:jc w:val="both"/>
            </w:pPr>
            <w:r w:rsidRPr="00D87B60">
              <w:t>– </w:t>
            </w:r>
            <w:r w:rsidR="00D10215" w:rsidRPr="00D87B60">
              <w:t xml:space="preserve">palielinot </w:t>
            </w:r>
            <w:r w:rsidR="0014578C" w:rsidRPr="00D87B60">
              <w:t>pieejam</w:t>
            </w:r>
            <w:r w:rsidR="00D10215" w:rsidRPr="00D87B60">
              <w:t>o</w:t>
            </w:r>
            <w:r w:rsidR="0014578C" w:rsidRPr="00D87B60">
              <w:t xml:space="preserve"> </w:t>
            </w:r>
            <w:r w:rsidR="00965888" w:rsidRPr="00D87B60">
              <w:t>ERAF</w:t>
            </w:r>
            <w:r w:rsidR="0014578C" w:rsidRPr="00D87B60">
              <w:t xml:space="preserve"> finansējuma apmēru</w:t>
            </w:r>
            <w:r w:rsidR="00EC153E" w:rsidRPr="00D87B60">
              <w:t xml:space="preserve"> </w:t>
            </w:r>
            <w:r w:rsidR="00932121" w:rsidRPr="00D87B60">
              <w:t xml:space="preserve">no </w:t>
            </w:r>
            <w:r w:rsidR="00F53430" w:rsidRPr="00D87B60">
              <w:t>2 931 113 latiem uz 18 702 693 latiem</w:t>
            </w:r>
            <w:r w:rsidR="00284880" w:rsidRPr="00D87B60">
              <w:t xml:space="preserve">. </w:t>
            </w:r>
          </w:p>
          <w:p w:rsidR="000A4DE7" w:rsidRDefault="000A4DE7" w:rsidP="00A143BD">
            <w:pPr>
              <w:pStyle w:val="BodyText"/>
              <w:spacing w:before="6" w:after="6"/>
              <w:ind w:left="113" w:right="113"/>
              <w:jc w:val="both"/>
              <w:outlineLvl w:val="0"/>
            </w:pPr>
            <w:r>
              <w:t>2</w:t>
            </w:r>
            <w:r w:rsidR="00706782">
              <w:t>.</w:t>
            </w:r>
            <w:r>
              <w:t> </w:t>
            </w:r>
            <w:r w:rsidRPr="00106D58">
              <w:t xml:space="preserve">nosaka kārtību, kādā īsteno 2.1.1.1.aktivitātes </w:t>
            </w:r>
            <w:r>
              <w:t>trešo</w:t>
            </w:r>
            <w:r w:rsidRPr="00106D58">
              <w:t xml:space="preserve"> projektu iesniegumu atlases kārtu</w:t>
            </w:r>
            <w:r w:rsidR="00491965">
              <w:t>;</w:t>
            </w:r>
          </w:p>
          <w:p w:rsidR="003D45CD" w:rsidRDefault="000E1828" w:rsidP="00106D58">
            <w:pPr>
              <w:pStyle w:val="BodyText"/>
              <w:spacing w:before="6" w:after="6"/>
              <w:ind w:left="113" w:right="113"/>
              <w:jc w:val="both"/>
              <w:outlineLvl w:val="0"/>
            </w:pPr>
            <w:r>
              <w:t>3</w:t>
            </w:r>
            <w:r w:rsidR="00C735B3">
              <w:t>.</w:t>
            </w:r>
            <w:r w:rsidR="000A2C82">
              <w:t> </w:t>
            </w:r>
            <w:r w:rsidR="001D0E0A">
              <w:t>paredz labvēlīgākus nosacījumus</w:t>
            </w:r>
            <w:r w:rsidR="003D45CD">
              <w:t>:</w:t>
            </w:r>
          </w:p>
          <w:p w:rsidR="005B7A8C" w:rsidRDefault="003D45CD" w:rsidP="00106D58">
            <w:pPr>
              <w:pStyle w:val="BodyText"/>
              <w:spacing w:before="6" w:after="6"/>
              <w:ind w:left="113" w:right="113"/>
              <w:jc w:val="both"/>
              <w:outlineLvl w:val="0"/>
            </w:pPr>
            <w:r>
              <w:t>3.1. </w:t>
            </w:r>
            <w:r w:rsidR="001D0E0A">
              <w:t>pētniecības organizācij</w:t>
            </w:r>
            <w:r w:rsidR="00D52973">
              <w:t>ām</w:t>
            </w:r>
            <w:r w:rsidR="002D428D">
              <w:t>,</w:t>
            </w:r>
            <w:r w:rsidR="001D0E0A">
              <w:t xml:space="preserve"> </w:t>
            </w:r>
            <w:r w:rsidR="000A2C82">
              <w:t>nosak</w:t>
            </w:r>
            <w:r w:rsidR="001D0E0A">
              <w:t>ot</w:t>
            </w:r>
            <w:r w:rsidR="000A2C82">
              <w:t>, ka pētniecības organizācija 2.1.1.1.</w:t>
            </w:r>
            <w:r w:rsidR="002D428D">
              <w:t>aktivitātes</w:t>
            </w:r>
            <w:r w:rsidR="000A2C82">
              <w:t xml:space="preserve"> trešās kārtas ietvaros var </w:t>
            </w:r>
            <w:r w:rsidR="000A2C82">
              <w:lastRenderedPageBreak/>
              <w:t>īstenot ar saimniecisku darbību nesaistītu projektu, ja:</w:t>
            </w:r>
          </w:p>
          <w:p w:rsidR="000A2C82" w:rsidRDefault="000A2C82" w:rsidP="00106D58">
            <w:pPr>
              <w:pStyle w:val="BodyText"/>
              <w:spacing w:before="6" w:after="6"/>
              <w:ind w:left="113" w:right="113"/>
              <w:jc w:val="both"/>
              <w:outlineLvl w:val="0"/>
            </w:pPr>
            <w:r>
              <w:t>– </w:t>
            </w:r>
            <w:r w:rsidR="00AB3D55" w:rsidRPr="00CF2238">
              <w:t>pētniecības organizācija projektu īsteno individuāli</w:t>
            </w:r>
            <w:r w:rsidR="00AB3D55">
              <w:t>;</w:t>
            </w:r>
          </w:p>
          <w:p w:rsidR="00AB3D55" w:rsidRDefault="00AB3D55" w:rsidP="00106D58">
            <w:pPr>
              <w:pStyle w:val="BodyText"/>
              <w:spacing w:before="6" w:after="6"/>
              <w:ind w:left="113" w:right="113"/>
              <w:jc w:val="both"/>
              <w:outlineLvl w:val="0"/>
            </w:pPr>
            <w:r>
              <w:t xml:space="preserve">– projekta ietvaros veiktās darbības atbilst pētniecības organizācijas </w:t>
            </w:r>
            <w:r w:rsidR="00B2563A" w:rsidRPr="0062580B">
              <w:t>ne</w:t>
            </w:r>
            <w:r w:rsidR="0062580B" w:rsidRPr="0062580B">
              <w:t>-</w:t>
            </w:r>
            <w:r w:rsidR="00B2563A" w:rsidRPr="0062580B">
              <w:t>saimnieciskajai</w:t>
            </w:r>
            <w:r w:rsidR="00B2563A">
              <w:t xml:space="preserve"> </w:t>
            </w:r>
            <w:r>
              <w:t>pamatdarbībai, kas ietver pētniecību un pētniecības rezultātu izplatīšanu (nodošanu) zināšanu un tehnoloģiju pārneses veidā;</w:t>
            </w:r>
          </w:p>
          <w:p w:rsidR="00AC5808" w:rsidRDefault="00AB3D55" w:rsidP="00106D58">
            <w:pPr>
              <w:pStyle w:val="BodyText"/>
              <w:spacing w:before="6" w:after="6"/>
              <w:ind w:left="113" w:right="113"/>
              <w:jc w:val="both"/>
              <w:outlineLvl w:val="0"/>
            </w:pPr>
            <w:r>
              <w:t>– </w:t>
            </w:r>
            <w:r w:rsidR="000A4DE7">
              <w:t xml:space="preserve">pētniecības organizācija </w:t>
            </w:r>
            <w:r w:rsidR="000A4DE7" w:rsidRPr="00CF2238">
              <w:t>nodrošina, ka zināšanu un tehnoloģiju pārneses darbībām nepiemīt saimniecisks raksturs</w:t>
            </w:r>
            <w:r w:rsidR="00AC5808">
              <w:t>;</w:t>
            </w:r>
          </w:p>
          <w:p w:rsidR="00AB3D55" w:rsidRDefault="00AC5808" w:rsidP="00106D58">
            <w:pPr>
              <w:pStyle w:val="BodyText"/>
              <w:spacing w:before="6" w:after="6"/>
              <w:ind w:left="113" w:right="113"/>
              <w:jc w:val="both"/>
              <w:outlineLvl w:val="0"/>
            </w:pPr>
            <w:r>
              <w:t>– </w:t>
            </w:r>
            <w:r w:rsidR="009F1B82">
              <w:t xml:space="preserve">pētniecības organizācija </w:t>
            </w:r>
            <w:r w:rsidR="009F1B82" w:rsidRPr="00315A41">
              <w:t>veic finanšu analīzi</w:t>
            </w:r>
            <w:r w:rsidR="009F1B82">
              <w:t xml:space="preserve"> un nosaka</w:t>
            </w:r>
            <w:r w:rsidR="009F1B82" w:rsidRPr="00315A41">
              <w:t xml:space="preserve"> </w:t>
            </w:r>
            <w:r w:rsidR="009F1B82" w:rsidRPr="009232A1">
              <w:t>finansējuma deficīta apjo</w:t>
            </w:r>
            <w:r w:rsidR="009F1B82" w:rsidRPr="00CF2238">
              <w:t>mu, kas attiecināms finansēšanai no ERAF</w:t>
            </w:r>
            <w:r w:rsidR="003D45CD">
              <w:t>;</w:t>
            </w:r>
          </w:p>
          <w:p w:rsidR="003D45CD" w:rsidRDefault="003D45CD" w:rsidP="00106D58">
            <w:pPr>
              <w:pStyle w:val="BodyText"/>
              <w:spacing w:before="6" w:after="6"/>
              <w:ind w:left="113" w:right="113"/>
              <w:jc w:val="both"/>
              <w:outlineLvl w:val="0"/>
            </w:pPr>
            <w:r>
              <w:t xml:space="preserve">3.2. komersantiem, </w:t>
            </w:r>
            <w:r w:rsidR="00E15A68">
              <w:t xml:space="preserve">paaugstinot ERAF pieejamību, ko nodrošina </w:t>
            </w:r>
            <w:r w:rsidR="007F384D">
              <w:t>projekta minimālā ERAF apmēra samazināšana un pieļaujamā ERAF apmēra aprēķina nosacījumu maiņa</w:t>
            </w:r>
            <w:r w:rsidR="00607DF6">
              <w:t>;</w:t>
            </w:r>
            <w:r w:rsidR="00E624C2">
              <w:t xml:space="preserve"> </w:t>
            </w:r>
            <w:r>
              <w:t xml:space="preserve"> </w:t>
            </w:r>
          </w:p>
          <w:p w:rsidR="00BF6103" w:rsidRDefault="00BF6103" w:rsidP="00106D58">
            <w:pPr>
              <w:pStyle w:val="BodyText"/>
              <w:spacing w:before="6" w:after="6"/>
              <w:ind w:left="113" w:right="113"/>
              <w:jc w:val="both"/>
              <w:outlineLvl w:val="0"/>
            </w:pPr>
            <w:r>
              <w:t>4</w:t>
            </w:r>
            <w:r w:rsidR="003022F9">
              <w:t>.</w:t>
            </w:r>
            <w:r>
              <w:t xml:space="preserve"> nosaka kārtību, kādā īsteno ar saimniecisku darbību </w:t>
            </w:r>
            <w:r w:rsidR="00706782">
              <w:t xml:space="preserve">saistītu un ar saimniecisku darbību </w:t>
            </w:r>
            <w:r>
              <w:t>nesaistītu projektu, paredzot, ka</w:t>
            </w:r>
            <w:r w:rsidR="004F414D">
              <w:t xml:space="preserve"> nesaimnieciskā projekta gadījumā ERAF atbalsta intensitāte ERAF </w:t>
            </w:r>
            <w:r w:rsidR="004F414D" w:rsidRPr="00AA32AF">
              <w:t>n</w:t>
            </w:r>
            <w:r w:rsidR="004F414D">
              <w:t xml:space="preserve"> = 92,5 % (analogi kā 2.1.1.1.aktivitātes 1.kārtā);</w:t>
            </w:r>
          </w:p>
          <w:p w:rsidR="00C735B3" w:rsidRDefault="00C735B3" w:rsidP="00106D58">
            <w:pPr>
              <w:pStyle w:val="BodyText"/>
              <w:spacing w:before="6" w:after="6"/>
              <w:ind w:left="113" w:right="113"/>
              <w:jc w:val="both"/>
              <w:outlineLvl w:val="0"/>
            </w:pPr>
            <w:r>
              <w:t>5</w:t>
            </w:r>
            <w:r w:rsidR="003022F9">
              <w:t>.</w:t>
            </w:r>
            <w:r>
              <w:t xml:space="preserve"> nosaka kārtību, kādā </w:t>
            </w:r>
            <w:r w:rsidR="009F1B82">
              <w:t xml:space="preserve">nesaimnieciskā projekta gadījumā </w:t>
            </w:r>
            <w:r>
              <w:t>aprēķina</w:t>
            </w:r>
            <w:r w:rsidR="009F1B82" w:rsidRPr="009232A1">
              <w:t xml:space="preserve"> finansējuma deficīta apjo</w:t>
            </w:r>
            <w:r w:rsidR="009F1B82" w:rsidRPr="00CF2238">
              <w:t>mu, kas attiecināms finansēšanai no ERAF</w:t>
            </w:r>
            <w:r w:rsidR="009F1B82">
              <w:t>;</w:t>
            </w:r>
            <w:r>
              <w:t xml:space="preserve"> </w:t>
            </w:r>
          </w:p>
          <w:p w:rsidR="004F414D" w:rsidRDefault="009F1B82" w:rsidP="00106D58">
            <w:pPr>
              <w:pStyle w:val="BodyText"/>
              <w:spacing w:before="6" w:after="6"/>
              <w:ind w:left="113" w:right="113"/>
              <w:jc w:val="both"/>
              <w:outlineLvl w:val="0"/>
            </w:pPr>
            <w:r>
              <w:t>6</w:t>
            </w:r>
            <w:r w:rsidR="003022F9">
              <w:t>.</w:t>
            </w:r>
            <w:r w:rsidR="005A4F01">
              <w:t> </w:t>
            </w:r>
            <w:r w:rsidR="00A143BD">
              <w:t xml:space="preserve">paredz </w:t>
            </w:r>
            <w:r w:rsidR="00CA4EF9">
              <w:t>paplašināt</w:t>
            </w:r>
            <w:r w:rsidR="00CA2230">
              <w:t xml:space="preserve"> noteikumu Nr.14 2.punkt</w:t>
            </w:r>
            <w:r w:rsidR="00CA4EF9">
              <w:t>ā iekļauto terminu klāstu</w:t>
            </w:r>
            <w:r w:rsidR="00F00DE5">
              <w:t>;</w:t>
            </w:r>
          </w:p>
          <w:p w:rsidR="00D55855" w:rsidRDefault="00723CEA" w:rsidP="00106D58">
            <w:pPr>
              <w:pStyle w:val="BodyText"/>
              <w:spacing w:before="6" w:after="6"/>
              <w:ind w:left="113" w:right="113"/>
              <w:jc w:val="both"/>
              <w:outlineLvl w:val="0"/>
            </w:pPr>
            <w:r>
              <w:t>7</w:t>
            </w:r>
            <w:r w:rsidR="003022F9">
              <w:t>.</w:t>
            </w:r>
            <w:r w:rsidR="00784421">
              <w:t xml:space="preserve"> paredz precizēt </w:t>
            </w:r>
            <w:r>
              <w:t xml:space="preserve">trešās kārtas </w:t>
            </w:r>
            <w:r w:rsidR="0086510F">
              <w:t xml:space="preserve">projekta ieviešanas </w:t>
            </w:r>
            <w:r w:rsidR="007931CF">
              <w:t xml:space="preserve">progresa </w:t>
            </w:r>
            <w:r w:rsidR="007E657B">
              <w:t xml:space="preserve">rādītāju </w:t>
            </w:r>
            <w:r w:rsidR="007931CF">
              <w:t xml:space="preserve"> </w:t>
            </w:r>
            <w:r w:rsidR="00E548C8">
              <w:t>kontroles periodu no 12 mēnešiem uz 6 mēnešiem</w:t>
            </w:r>
            <w:r w:rsidR="00D55855">
              <w:t>;</w:t>
            </w:r>
          </w:p>
          <w:p w:rsidR="0016594B" w:rsidRDefault="00D55855" w:rsidP="00106D58">
            <w:pPr>
              <w:pStyle w:val="BodyText"/>
              <w:spacing w:before="6" w:after="6"/>
              <w:ind w:left="113" w:right="113"/>
              <w:jc w:val="both"/>
              <w:outlineLvl w:val="0"/>
            </w:pPr>
            <w:r>
              <w:t>8</w:t>
            </w:r>
            <w:r w:rsidR="003022F9">
              <w:t>.</w:t>
            </w:r>
            <w:r w:rsidR="005A4F01">
              <w:t> </w:t>
            </w:r>
            <w:r w:rsidR="00B97DA4">
              <w:t>ietver 2.1.1.1.aktivitātes trešās kārtas projektu iesniegumu veidlapu</w:t>
            </w:r>
            <w:r w:rsidR="0016594B">
              <w:t>;</w:t>
            </w:r>
          </w:p>
          <w:p w:rsidR="00CC5C5D" w:rsidRPr="00912320" w:rsidRDefault="0016594B" w:rsidP="00106D58">
            <w:pPr>
              <w:pStyle w:val="BodyText"/>
              <w:spacing w:before="6" w:after="6"/>
              <w:ind w:left="113" w:right="113"/>
              <w:jc w:val="both"/>
              <w:outlineLvl w:val="0"/>
            </w:pPr>
            <w:r w:rsidRPr="00912320">
              <w:t>9. </w:t>
            </w:r>
            <w:r w:rsidR="00D7755A" w:rsidRPr="00912320">
              <w:t>lai nodrošinātu MK N 14 15.2.apakšpunktā iekļauto normu skaidrību un uztveramību</w:t>
            </w:r>
            <w:r w:rsidR="001761DE" w:rsidRPr="00912320">
              <w:t xml:space="preserve">, </w:t>
            </w:r>
            <w:r w:rsidR="00CC5C5D" w:rsidRPr="00912320">
              <w:t>nosaka</w:t>
            </w:r>
            <w:r w:rsidRPr="00912320">
              <w:t xml:space="preserve"> </w:t>
            </w:r>
            <w:r w:rsidR="007B64D1" w:rsidRPr="00912320">
              <w:t xml:space="preserve">kādu daļu </w:t>
            </w:r>
            <w:r w:rsidR="003A476A" w:rsidRPr="00912320">
              <w:t xml:space="preserve">(procentos) </w:t>
            </w:r>
            <w:r w:rsidR="007B64D1" w:rsidRPr="00912320">
              <w:t>no komersanta interesē</w:t>
            </w:r>
            <w:r w:rsidR="00672D93" w:rsidRPr="00912320">
              <w:t>s</w:t>
            </w:r>
            <w:r w:rsidR="007B64D1" w:rsidRPr="00912320">
              <w:t xml:space="preserve"> īstenota projekta </w:t>
            </w:r>
            <w:r w:rsidR="00672D93" w:rsidRPr="00912320">
              <w:t xml:space="preserve">var veidot </w:t>
            </w:r>
            <w:r w:rsidR="000E54E4" w:rsidRPr="00912320">
              <w:t>konkursa kārtībā noteiktās zinātniskās institūcijas īstenot</w:t>
            </w:r>
            <w:r w:rsidR="003A476A" w:rsidRPr="00912320">
              <w:t>ais</w:t>
            </w:r>
            <w:r w:rsidR="00B04BFB" w:rsidRPr="00912320">
              <w:t xml:space="preserve"> </w:t>
            </w:r>
            <w:r w:rsidR="003A476A" w:rsidRPr="00912320">
              <w:t xml:space="preserve">līgumpētījums. </w:t>
            </w:r>
            <w:proofErr w:type="spellStart"/>
            <w:r w:rsidR="00C574CE" w:rsidRPr="00912320">
              <w:t>Līgumpētījuma</w:t>
            </w:r>
            <w:proofErr w:type="spellEnd"/>
            <w:r w:rsidR="00C574CE" w:rsidRPr="00912320">
              <w:t xml:space="preserve"> izmaksas sadalījumā pa atbalstāmajām darbībām un pētniecības kategorijām detalizē</w:t>
            </w:r>
            <w:r w:rsidR="00BF2F65" w:rsidRPr="00912320">
              <w:t>ti norāda</w:t>
            </w:r>
            <w:r w:rsidR="00C574CE" w:rsidRPr="00912320">
              <w:t xml:space="preserve"> projekta iesnieguma </w:t>
            </w:r>
            <w:r w:rsidR="007154AE" w:rsidRPr="00912320">
              <w:t xml:space="preserve">7.4.1.sadaļā un </w:t>
            </w:r>
            <w:r w:rsidR="00AA32AF" w:rsidRPr="00912320">
              <w:t>1.pielikuma C daļas I. un II. sadaļā</w:t>
            </w:r>
            <w:r w:rsidR="00CC5C5D" w:rsidRPr="00912320">
              <w:t>;</w:t>
            </w:r>
          </w:p>
          <w:p w:rsidR="00CD1598" w:rsidRPr="00D87B60" w:rsidRDefault="00CC5C5D" w:rsidP="00106D58">
            <w:pPr>
              <w:pStyle w:val="BodyText"/>
              <w:spacing w:before="6" w:after="6"/>
              <w:ind w:left="113" w:right="113"/>
              <w:jc w:val="both"/>
              <w:outlineLvl w:val="0"/>
            </w:pPr>
            <w:r w:rsidRPr="00D87B60">
              <w:t xml:space="preserve">10. precizē atlīdzības </w:t>
            </w:r>
            <w:proofErr w:type="spellStart"/>
            <w:r w:rsidRPr="00D87B60">
              <w:t>attiecināmības</w:t>
            </w:r>
            <w:proofErr w:type="spellEnd"/>
            <w:r w:rsidRPr="00D87B60">
              <w:t xml:space="preserve"> nosacījumus</w:t>
            </w:r>
            <w:r w:rsidR="00723CEA" w:rsidRPr="00D87B60">
              <w:t>.</w:t>
            </w:r>
          </w:p>
          <w:p w:rsidR="002F2549" w:rsidRDefault="00A25CE6" w:rsidP="00A25CE6">
            <w:pPr>
              <w:pStyle w:val="BodyText"/>
              <w:spacing w:before="6" w:after="6"/>
              <w:ind w:left="113" w:right="113"/>
              <w:jc w:val="both"/>
              <w:outlineLvl w:val="0"/>
            </w:pPr>
            <w:r>
              <w:t xml:space="preserve">2.1.1.1.aktivitātes </w:t>
            </w:r>
            <w:r w:rsidR="00B32C2E">
              <w:t>trešās</w:t>
            </w:r>
            <w:r>
              <w:t xml:space="preserve"> </w:t>
            </w:r>
            <w:r w:rsidR="00B32C2E">
              <w:t xml:space="preserve">projektu iesniegumu atlases </w:t>
            </w:r>
            <w:r>
              <w:t>kārt</w:t>
            </w:r>
            <w:r w:rsidR="00B32C2E">
              <w:t>ā</w:t>
            </w:r>
            <w:r>
              <w:t xml:space="preserve"> </w:t>
            </w:r>
            <w:r w:rsidR="00B32C2E">
              <w:t>pilnībā</w:t>
            </w:r>
            <w:r w:rsidR="000176AB">
              <w:t xml:space="preserve"> </w:t>
            </w:r>
            <w:r w:rsidR="00D55855">
              <w:t>piemēro</w:t>
            </w:r>
            <w:r w:rsidR="00B32C2E">
              <w:t>jami</w:t>
            </w:r>
            <w:r w:rsidR="00D55855">
              <w:t xml:space="preserve"> </w:t>
            </w:r>
            <w:r w:rsidR="00B32C2E">
              <w:t xml:space="preserve">2.1.1.1.aktivitātes </w:t>
            </w:r>
            <w:r w:rsidR="00D55855" w:rsidRPr="00464EA5">
              <w:t>otrās atlases kārtas projektu iesniegumu vērtēšanas kritērij</w:t>
            </w:r>
            <w:r w:rsidR="00B32C2E">
              <w:t>i (attiecībā 1:1)</w:t>
            </w:r>
            <w:r w:rsidR="00D55855">
              <w:t>, kas</w:t>
            </w:r>
            <w:r w:rsidR="00D55855" w:rsidRPr="00464EA5">
              <w:t xml:space="preserve"> ir apstiprināti </w:t>
            </w:r>
            <w:r w:rsidR="00D55855" w:rsidRPr="00964EC6">
              <w:t>Eiropas Savienības struktūrfondu un Kohēzijas fonda Uzraudzības komitejas</w:t>
            </w:r>
            <w:r w:rsidR="00D55855" w:rsidRPr="00D42238">
              <w:t xml:space="preserve"> </w:t>
            </w:r>
            <w:r w:rsidR="00D55855" w:rsidRPr="00452E78">
              <w:t>2012.gada 12.oktobra rakstiskās procedūras laikā (UK 09.11.2012.lēmums Nr. L - 2012/14)</w:t>
            </w:r>
            <w:r w:rsidR="00D55855" w:rsidRPr="00464EA5">
              <w:t>.</w:t>
            </w:r>
          </w:p>
          <w:p w:rsidR="004D76D1" w:rsidRPr="007B445F" w:rsidRDefault="004D76D1" w:rsidP="004D76D1">
            <w:pPr>
              <w:pStyle w:val="BodyText"/>
              <w:spacing w:before="6" w:after="6"/>
              <w:ind w:left="113" w:right="113"/>
              <w:jc w:val="both"/>
              <w:outlineLvl w:val="0"/>
            </w:pPr>
            <w:r w:rsidRPr="007B445F">
              <w:t>Ar saimniecisku darbību nesaistīta projekta atbilstība noteikumu nosacījumiem tiks vērtēt</w:t>
            </w:r>
            <w:r w:rsidR="00EF3C7E" w:rsidRPr="007B445F">
              <w:t>a</w:t>
            </w:r>
            <w:r w:rsidR="00C54949" w:rsidRPr="007B445F">
              <w:t xml:space="preserve"> atbilstoši </w:t>
            </w:r>
            <w:r w:rsidR="00501590" w:rsidRPr="007B445F">
              <w:t xml:space="preserve">noteikumu </w:t>
            </w:r>
            <w:r w:rsidR="007B4BFA" w:rsidRPr="007B445F">
              <w:t xml:space="preserve">Nr.14 </w:t>
            </w:r>
            <w:r w:rsidR="00501590" w:rsidRPr="007B445F">
              <w:t>6.pielikumā noteikt</w:t>
            </w:r>
            <w:r w:rsidR="00C54949" w:rsidRPr="007B445F">
              <w:t>ajiem</w:t>
            </w:r>
            <w:r w:rsidR="00501590" w:rsidRPr="007B445F">
              <w:t xml:space="preserve"> administratīv</w:t>
            </w:r>
            <w:r w:rsidR="00C54949" w:rsidRPr="007B445F">
              <w:t>ajiem</w:t>
            </w:r>
            <w:r w:rsidR="00501590" w:rsidRPr="007B445F">
              <w:t>, atbilstības</w:t>
            </w:r>
            <w:r w:rsidR="00EF3C7E" w:rsidRPr="007B445F">
              <w:t xml:space="preserve"> </w:t>
            </w:r>
            <w:r w:rsidR="00501590" w:rsidRPr="007B445F">
              <w:t xml:space="preserve">un kvalitātes </w:t>
            </w:r>
            <w:r w:rsidR="00EF3C7E" w:rsidRPr="007B445F">
              <w:t>kritērij</w:t>
            </w:r>
            <w:r w:rsidR="00C54949" w:rsidRPr="007B445F">
              <w:t>iem</w:t>
            </w:r>
            <w:r w:rsidR="00BF6803" w:rsidRPr="007B445F">
              <w:t xml:space="preserve">, </w:t>
            </w:r>
            <w:r w:rsidR="00C54949" w:rsidRPr="007B445F">
              <w:t>kā arī ņemot vērā specifiskos</w:t>
            </w:r>
            <w:r w:rsidR="00BF6803" w:rsidRPr="007B445F">
              <w:t xml:space="preserve"> noteikumu nosacījumu</w:t>
            </w:r>
            <w:r w:rsidR="00C54949" w:rsidRPr="007B445F">
              <w:t>s, tai skaitā</w:t>
            </w:r>
            <w:r w:rsidR="00290588" w:rsidRPr="007B445F">
              <w:t>:</w:t>
            </w:r>
          </w:p>
          <w:p w:rsidR="00290588" w:rsidRPr="007B445F" w:rsidRDefault="00186070" w:rsidP="008864C3">
            <w:pPr>
              <w:pStyle w:val="BodyText"/>
              <w:spacing w:before="6" w:after="6"/>
              <w:ind w:left="113" w:right="113"/>
              <w:jc w:val="both"/>
              <w:outlineLvl w:val="0"/>
            </w:pPr>
            <w:r w:rsidRPr="007B445F">
              <w:t>1. projekta iesniedzēja atbilstība – 2.15.</w:t>
            </w:r>
            <w:r w:rsidRPr="00AA32AF">
              <w:t>1</w:t>
            </w:r>
            <w:r w:rsidRPr="007B445F">
              <w:t xml:space="preserve">apakšpunkts; </w:t>
            </w:r>
            <w:r w:rsidRPr="007B445F">
              <w:lastRenderedPageBreak/>
              <w:t>2</w:t>
            </w:r>
            <w:r w:rsidR="00290588" w:rsidRPr="007B445F">
              <w:t>. </w:t>
            </w:r>
            <w:r w:rsidR="00EF3C7E" w:rsidRPr="007B445F">
              <w:t xml:space="preserve">darbību atbilstība – </w:t>
            </w:r>
            <w:r w:rsidR="00290588" w:rsidRPr="007B445F">
              <w:t xml:space="preserve">noteikumu </w:t>
            </w:r>
            <w:r w:rsidR="008864C3" w:rsidRPr="007B445F">
              <w:t>2.1.</w:t>
            </w:r>
            <w:r w:rsidR="008864C3" w:rsidRPr="00AA32AF">
              <w:t>1</w:t>
            </w:r>
            <w:r w:rsidR="00745041" w:rsidRPr="007B445F">
              <w:t>;</w:t>
            </w:r>
            <w:r w:rsidR="006D13D0" w:rsidRPr="00AA32AF">
              <w:t xml:space="preserve"> </w:t>
            </w:r>
            <w:r w:rsidR="006D13D0" w:rsidRPr="007B445F">
              <w:t>2.16.</w:t>
            </w:r>
            <w:r w:rsidR="006D13D0" w:rsidRPr="00AA32AF">
              <w:t xml:space="preserve">1 </w:t>
            </w:r>
            <w:r w:rsidR="008864C3" w:rsidRPr="007B445F">
              <w:t>apakšpunkts;15.</w:t>
            </w:r>
            <w:r w:rsidR="008864C3" w:rsidRPr="00AA32AF">
              <w:t>1</w:t>
            </w:r>
            <w:r w:rsidR="008864C3" w:rsidRPr="007B445F">
              <w:t>punkts</w:t>
            </w:r>
            <w:r w:rsidRPr="007B445F">
              <w:t>;</w:t>
            </w:r>
          </w:p>
          <w:p w:rsidR="00186070" w:rsidRPr="007B445F" w:rsidRDefault="00186070" w:rsidP="003805B2">
            <w:pPr>
              <w:pStyle w:val="BodyText"/>
              <w:spacing w:before="6" w:after="6"/>
              <w:ind w:left="113" w:right="113"/>
              <w:jc w:val="both"/>
              <w:outlineLvl w:val="0"/>
            </w:pPr>
            <w:r w:rsidRPr="007B445F">
              <w:t>3.</w:t>
            </w:r>
            <w:r w:rsidR="00DF778F" w:rsidRPr="007B445F">
              <w:t> </w:t>
            </w:r>
            <w:r w:rsidR="000660CC" w:rsidRPr="007B445F">
              <w:t>ERAF intensitāte/apmērs</w:t>
            </w:r>
            <w:r w:rsidRPr="007B445F">
              <w:t xml:space="preserve"> </w:t>
            </w:r>
            <w:r w:rsidR="000660CC" w:rsidRPr="007B445F">
              <w:t>– </w:t>
            </w:r>
            <w:r w:rsidR="003805B2" w:rsidRPr="007B445F">
              <w:t>20.</w:t>
            </w:r>
            <w:r w:rsidR="003805B2" w:rsidRPr="00AA32AF">
              <w:t>1</w:t>
            </w:r>
            <w:r w:rsidR="003805B2" w:rsidRPr="007B445F">
              <w:t>punkts, 22.3.apakšpunkts</w:t>
            </w:r>
            <w:r w:rsidR="00DF778F" w:rsidRPr="007B445F">
              <w:t>;</w:t>
            </w:r>
          </w:p>
          <w:p w:rsidR="00DF778F" w:rsidRPr="007B445F" w:rsidRDefault="00DF778F" w:rsidP="00DE042D">
            <w:pPr>
              <w:pStyle w:val="BodyText"/>
              <w:spacing w:before="6" w:after="6"/>
              <w:ind w:left="113" w:right="113"/>
              <w:jc w:val="both"/>
              <w:outlineLvl w:val="0"/>
            </w:pPr>
            <w:r w:rsidRPr="007B445F">
              <w:t xml:space="preserve">4. izmaksu </w:t>
            </w:r>
            <w:proofErr w:type="spellStart"/>
            <w:r w:rsidRPr="007B445F">
              <w:t>attiecināmība</w:t>
            </w:r>
            <w:proofErr w:type="spellEnd"/>
            <w:r w:rsidRPr="007B445F">
              <w:t xml:space="preserve"> – </w:t>
            </w:r>
            <w:r w:rsidR="00DE042D" w:rsidRPr="007B445F">
              <w:t>33.</w:t>
            </w:r>
            <w:r w:rsidR="00DE042D" w:rsidRPr="00AA32AF">
              <w:t>1</w:t>
            </w:r>
            <w:r w:rsidR="00DE042D" w:rsidRPr="007B445F">
              <w:t>punkts</w:t>
            </w:r>
            <w:r w:rsidR="00B1009A" w:rsidRPr="007B445F">
              <w:t>;</w:t>
            </w:r>
          </w:p>
          <w:p w:rsidR="00B1009A" w:rsidRPr="003D23DF" w:rsidRDefault="00B1009A" w:rsidP="008A209D">
            <w:pPr>
              <w:pStyle w:val="BodyText"/>
              <w:spacing w:before="6" w:after="6"/>
              <w:ind w:left="113" w:right="113"/>
              <w:jc w:val="both"/>
              <w:outlineLvl w:val="0"/>
            </w:pPr>
            <w:r w:rsidRPr="007B445F">
              <w:t>5. kvalitātes kritērij</w:t>
            </w:r>
            <w:r w:rsidR="006128C6" w:rsidRPr="007B445F">
              <w:t xml:space="preserve">i – </w:t>
            </w:r>
            <w:r w:rsidR="006F71C9" w:rsidRPr="007B445F">
              <w:t xml:space="preserve">noteikumu Nr.14 </w:t>
            </w:r>
            <w:r w:rsidR="00FB3290" w:rsidRPr="007B445F">
              <w:t xml:space="preserve">6.pielikuma </w:t>
            </w:r>
            <w:r w:rsidR="00B179BC" w:rsidRPr="007B445F">
              <w:t>1.,</w:t>
            </w:r>
            <w:r w:rsidR="00C71387" w:rsidRPr="007B445F">
              <w:t xml:space="preserve"> </w:t>
            </w:r>
            <w:r w:rsidR="00B179BC" w:rsidRPr="007B445F">
              <w:t>2., 3., 4.,</w:t>
            </w:r>
            <w:r w:rsidR="00C71387" w:rsidRPr="007B445F">
              <w:t xml:space="preserve"> </w:t>
            </w:r>
            <w:r w:rsidR="00B179BC" w:rsidRPr="007B445F">
              <w:t>5.,</w:t>
            </w:r>
            <w:r w:rsidR="00C71387" w:rsidRPr="007B445F">
              <w:t xml:space="preserve"> </w:t>
            </w:r>
            <w:r w:rsidR="00B179BC" w:rsidRPr="007B445F">
              <w:t xml:space="preserve">6., </w:t>
            </w:r>
            <w:r w:rsidR="00C71387" w:rsidRPr="007B445F">
              <w:t>11., 12., 13.</w:t>
            </w:r>
            <w:r w:rsidR="00FB3290" w:rsidRPr="007B445F">
              <w:t>p</w:t>
            </w:r>
            <w:r w:rsidR="00C71387" w:rsidRPr="007B445F">
              <w:t>unktā</w:t>
            </w:r>
            <w:r w:rsidR="00FB3290" w:rsidRPr="007B445F">
              <w:t>,</w:t>
            </w:r>
            <w:r w:rsidR="00C71387" w:rsidRPr="007B445F">
              <w:t xml:space="preserve"> </w:t>
            </w:r>
            <w:r w:rsidR="00B179BC" w:rsidRPr="007B445F">
              <w:t>7.2.,</w:t>
            </w:r>
            <w:r w:rsidR="00C71387" w:rsidRPr="007B445F">
              <w:t xml:space="preserve"> </w:t>
            </w:r>
            <w:r w:rsidR="00B179BC" w:rsidRPr="007B445F">
              <w:t>8.2., 9.2.</w:t>
            </w:r>
            <w:r w:rsidR="00015CF2" w:rsidRPr="007B445F">
              <w:t>, 10.2.</w:t>
            </w:r>
            <w:r w:rsidR="00FB3290" w:rsidRPr="007B445F">
              <w:t xml:space="preserve"> un</w:t>
            </w:r>
            <w:r w:rsidR="00B179BC" w:rsidRPr="007B445F">
              <w:t xml:space="preserve"> </w:t>
            </w:r>
            <w:r w:rsidR="00C71387" w:rsidRPr="007B445F">
              <w:t>10.</w:t>
            </w:r>
            <w:r w:rsidR="008A209D">
              <w:t>3</w:t>
            </w:r>
            <w:r w:rsidR="00C71387" w:rsidRPr="007B445F">
              <w:t>.</w:t>
            </w:r>
            <w:r w:rsidR="00015CF2" w:rsidRPr="007B445F">
              <w:t>apakšpunktā noteiktie kritēriji.</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lastRenderedPageBreak/>
              <w:t>5.</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35101">
              <w:t>Projekta izstrādē iesaistītās institūcijas</w:t>
            </w:r>
          </w:p>
        </w:tc>
        <w:tc>
          <w:tcPr>
            <w:tcW w:w="3431" w:type="pct"/>
            <w:tcBorders>
              <w:top w:val="outset" w:sz="6" w:space="0" w:color="000000"/>
              <w:left w:val="outset" w:sz="6" w:space="0" w:color="000000"/>
              <w:bottom w:val="outset" w:sz="6" w:space="0" w:color="000000"/>
              <w:right w:val="outset" w:sz="6" w:space="0" w:color="000000"/>
            </w:tcBorders>
            <w:hideMark/>
          </w:tcPr>
          <w:p w:rsidR="007A6DB9" w:rsidRPr="00464EA5" w:rsidRDefault="007338B0" w:rsidP="00013ADE">
            <w:pPr>
              <w:autoSpaceDE w:val="0"/>
              <w:autoSpaceDN w:val="0"/>
              <w:adjustRightInd w:val="0"/>
              <w:spacing w:before="6" w:after="6"/>
              <w:ind w:left="113" w:right="113"/>
              <w:jc w:val="both"/>
            </w:pPr>
            <w:r w:rsidRPr="00464EA5">
              <w:t>Izglītības un zinātnes ministrija</w:t>
            </w:r>
            <w:r w:rsidR="00DF7FAD" w:rsidRPr="00464EA5">
              <w:t xml:space="preserve">, Latvijas Zinātnes padome, </w:t>
            </w:r>
            <w:r w:rsidR="00DA0F30">
              <w:t>Valsts zinātnisko institūtu asociācija</w:t>
            </w:r>
            <w:r w:rsidR="00DF7FAD" w:rsidRPr="00464EA5">
              <w:t xml:space="preserve">, </w:t>
            </w:r>
            <w:r w:rsidR="00013ADE">
              <w:rPr>
                <w:bCs/>
              </w:rPr>
              <w:t>Latvijas Universitāšu asociācija</w:t>
            </w:r>
            <w:r w:rsidR="008660A6" w:rsidRPr="00DA0F30">
              <w:t>.</w:t>
            </w:r>
            <w:r w:rsidR="008660A6">
              <w:t xml:space="preserve"> </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6.</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Iemesli, kādēļ netika nodrošināta sabiedrības līdzdalība</w:t>
            </w:r>
          </w:p>
        </w:tc>
        <w:tc>
          <w:tcPr>
            <w:tcW w:w="3431" w:type="pct"/>
            <w:tcBorders>
              <w:top w:val="outset" w:sz="6" w:space="0" w:color="000000"/>
              <w:left w:val="outset" w:sz="6" w:space="0" w:color="000000"/>
              <w:bottom w:val="outset" w:sz="6" w:space="0" w:color="000000"/>
              <w:right w:val="outset" w:sz="6" w:space="0" w:color="000000"/>
            </w:tcBorders>
            <w:hideMark/>
          </w:tcPr>
          <w:p w:rsidR="00FE35D4" w:rsidRPr="00464EA5" w:rsidRDefault="00C01DAE" w:rsidP="007F59CE">
            <w:pPr>
              <w:spacing w:before="6" w:after="6"/>
              <w:ind w:left="113" w:right="113"/>
            </w:pPr>
            <w:r w:rsidRPr="00464EA5">
              <w:t>Noteikumu projekts neierobežo sabiedrības pārstāvju tiesības.</w:t>
            </w:r>
          </w:p>
        </w:tc>
      </w:tr>
      <w:tr w:rsidR="007A6DB9" w:rsidRPr="00464EA5" w:rsidTr="00211C60">
        <w:tc>
          <w:tcPr>
            <w:tcW w:w="259"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7.</w:t>
            </w:r>
          </w:p>
        </w:tc>
        <w:tc>
          <w:tcPr>
            <w:tcW w:w="1310" w:type="pct"/>
            <w:tcBorders>
              <w:top w:val="outset" w:sz="6" w:space="0" w:color="000000"/>
              <w:left w:val="outset" w:sz="6" w:space="0" w:color="000000"/>
              <w:bottom w:val="outset" w:sz="6" w:space="0" w:color="000000"/>
              <w:right w:val="outset" w:sz="6" w:space="0" w:color="000000"/>
            </w:tcBorders>
            <w:hideMark/>
          </w:tcPr>
          <w:p w:rsidR="007A6DB9" w:rsidRPr="00464EA5" w:rsidRDefault="007A6DB9" w:rsidP="007F59CE">
            <w:pPr>
              <w:spacing w:before="6" w:after="6"/>
              <w:ind w:left="113" w:right="113"/>
            </w:pPr>
            <w:r w:rsidRPr="00464EA5">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EE6FC1" w:rsidRPr="0014424A" w:rsidRDefault="00EE6FC1" w:rsidP="0014424A">
            <w:pPr>
              <w:spacing w:before="6" w:after="6"/>
              <w:ind w:left="113" w:right="113"/>
              <w:jc w:val="both"/>
              <w:rPr>
                <w:b/>
              </w:rPr>
            </w:pPr>
            <w:r w:rsidRPr="003D23DF">
              <w:t>Gadījumā, ja 2.1.1.1.aktivitātes ietvaros tiks lauzti līgumi vai vienošanās par projektu īstenošanu vai esošo projektu ietvaros tiks konstatētas neatbilstības, finansējums par lauzto līgumu un/vai vienošanās par projektu īstenošanu un konstatēto neatbilstību apjomu netiks novirzīts papildu darbību finansēšanai esošo projektu ietvaros</w:t>
            </w:r>
            <w:r w:rsidR="0014424A" w:rsidRPr="003D23DF">
              <w:t>.</w:t>
            </w:r>
          </w:p>
        </w:tc>
      </w:tr>
    </w:tbl>
    <w:p w:rsidR="002F3E81" w:rsidRPr="00464EA5" w:rsidRDefault="007A6DB9" w:rsidP="0014630D">
      <w:r w:rsidRPr="00464EA5">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37"/>
        <w:gridCol w:w="2591"/>
        <w:gridCol w:w="6103"/>
      </w:tblGrid>
      <w:tr w:rsidR="002F3E81" w:rsidRPr="00464EA5" w:rsidTr="003D5644">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2F3E81" w:rsidRPr="00464EA5" w:rsidRDefault="002F3E81" w:rsidP="0014630D">
            <w:pPr>
              <w:jc w:val="center"/>
              <w:rPr>
                <w:b/>
                <w:bCs/>
              </w:rPr>
            </w:pPr>
            <w:r w:rsidRPr="00464EA5">
              <w:rPr>
                <w:b/>
                <w:bCs/>
              </w:rPr>
              <w:t>II. Tiesību akta projekta ietekme uz sabiedrību</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1.</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Sabiedrības mērķgrupa</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Default="0065127C" w:rsidP="0014630D">
            <w:pPr>
              <w:pStyle w:val="naisf"/>
              <w:spacing w:before="0" w:after="0"/>
              <w:ind w:firstLine="0"/>
            </w:pPr>
            <w:r w:rsidRPr="00B07848">
              <w:t xml:space="preserve">Komersanti un </w:t>
            </w:r>
            <w:r w:rsidR="00435101" w:rsidRPr="00B07848">
              <w:t>Zinātnisko institūciju reģistrā reģistrētas</w:t>
            </w:r>
            <w:r w:rsidR="00435101" w:rsidRPr="00E81E6C">
              <w:rPr>
                <w:b/>
              </w:rPr>
              <w:t xml:space="preserve"> </w:t>
            </w:r>
            <w:r w:rsidR="00DF7FAD" w:rsidRPr="00464EA5">
              <w:t>zinātniskās institūcijas</w:t>
            </w:r>
            <w:r>
              <w:t>,</w:t>
            </w:r>
            <w:r w:rsidR="00DF7FAD" w:rsidRPr="00464EA5">
              <w:t xml:space="preserve"> zinātnē nodarbinātie darbinieki.</w:t>
            </w:r>
          </w:p>
          <w:p w:rsidR="00811564" w:rsidRPr="00E81E6C" w:rsidRDefault="00A60877" w:rsidP="00C05FEB">
            <w:pPr>
              <w:pStyle w:val="naisf"/>
              <w:spacing w:before="0" w:after="0"/>
              <w:ind w:firstLine="0"/>
              <w:rPr>
                <w:b/>
              </w:rPr>
            </w:pPr>
            <w:r w:rsidRPr="003C7A69">
              <w:t>Mērķa grupa</w:t>
            </w:r>
            <w:r w:rsidR="003C7A69" w:rsidRPr="003C7A69">
              <w:t>s aptuvens</w:t>
            </w:r>
            <w:r w:rsidRPr="003C7A69">
              <w:t xml:space="preserve"> </w:t>
            </w:r>
            <w:r w:rsidR="003C7A69" w:rsidRPr="003C7A69">
              <w:t xml:space="preserve">īpatsvars ir 0,66% no </w:t>
            </w:r>
            <w:r w:rsidRPr="003C7A69">
              <w:t xml:space="preserve">kopējiem ekonomiski aktīviem iedzīvotājiem </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2.</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Citas sabiedrības grupas (bez mērķgrupas), kuras tiesiskais regulējums arī ietekmē vai varētu ietekmēt</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464EA5" w:rsidRDefault="00F7576E" w:rsidP="0014630D">
            <w:pPr>
              <w:jc w:val="both"/>
            </w:pPr>
            <w:r w:rsidRPr="00464EA5">
              <w:t>Noteikumu projekts šo jomu neskar</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3.</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Tiesiskā regulējuma finansiālā ietekme</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464EA5" w:rsidRDefault="00DF7FAD" w:rsidP="00833DFD">
            <w:pPr>
              <w:jc w:val="both"/>
            </w:pPr>
            <w:r w:rsidRPr="00464EA5">
              <w:rPr>
                <w:rFonts w:eastAsia="Calibri"/>
                <w:color w:val="000000"/>
              </w:rPr>
              <w:t xml:space="preserve">Noteikumu projektam ir pozitīva </w:t>
            </w:r>
            <w:r w:rsidRPr="00464EA5">
              <w:t>ietekme uz projekta iesniedzēju</w:t>
            </w:r>
            <w:r w:rsidR="00926976">
              <w:t xml:space="preserve"> </w:t>
            </w:r>
            <w:r w:rsidR="00936B47">
              <w:t xml:space="preserve">un sadarbības partneri </w:t>
            </w:r>
            <w:r w:rsidR="00926976">
              <w:t xml:space="preserve">(komersantu un </w:t>
            </w:r>
            <w:r w:rsidR="00833DFD">
              <w:t>zinātnisko institūciju</w:t>
            </w:r>
            <w:r w:rsidR="00926976">
              <w:t>)</w:t>
            </w:r>
            <w:r w:rsidRPr="00464EA5">
              <w:t xml:space="preserve">, jo tiek nodrošināta iespēja saņemt </w:t>
            </w:r>
            <w:r w:rsidR="00926976">
              <w:t>ERAF</w:t>
            </w:r>
            <w:r w:rsidRPr="00464EA5">
              <w:t xml:space="preserve"> atbalstu pētniecības īstenošanai</w:t>
            </w:r>
            <w:r w:rsidR="00936B47">
              <w:t xml:space="preserve"> un rūpnieciskā īpašuma tiesību nostiprināšanai</w:t>
            </w:r>
            <w:r w:rsidRPr="00464EA5">
              <w:t xml:space="preserve">, lai sekmētu jaunu produktu </w:t>
            </w:r>
            <w:r w:rsidR="00926976">
              <w:t>un</w:t>
            </w:r>
            <w:r w:rsidR="00926976" w:rsidRPr="00464EA5">
              <w:t xml:space="preserve"> </w:t>
            </w:r>
            <w:r w:rsidRPr="00464EA5">
              <w:t>tehnoloģiju izstrādi</w:t>
            </w:r>
            <w:r w:rsidR="00936B47">
              <w:t xml:space="preserve"> un ieviešanu ražošanā vai pakalpojumu sniegšanā</w:t>
            </w:r>
            <w:r w:rsidRPr="00464EA5">
              <w:t xml:space="preserve">, kas tiešā veidā veicina Latvijas tautsaimniecības attīstību, vienlaikus sekmējot pētniecības intelektuālā potenciāla attīstību.  </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4.</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Tiesiskā regulējuma nefinansiālā ietekme</w:t>
            </w:r>
          </w:p>
        </w:tc>
        <w:tc>
          <w:tcPr>
            <w:tcW w:w="3342" w:type="pct"/>
            <w:tcBorders>
              <w:top w:val="outset" w:sz="6" w:space="0" w:color="000000"/>
              <w:left w:val="outset" w:sz="6" w:space="0" w:color="000000"/>
              <w:bottom w:val="outset" w:sz="6" w:space="0" w:color="000000"/>
              <w:right w:val="outset" w:sz="6" w:space="0" w:color="000000"/>
            </w:tcBorders>
            <w:hideMark/>
          </w:tcPr>
          <w:p w:rsidR="00FC349F" w:rsidRPr="00464EA5" w:rsidRDefault="003D5644" w:rsidP="0014630D">
            <w:pPr>
              <w:tabs>
                <w:tab w:val="left" w:pos="1080"/>
              </w:tabs>
              <w:jc w:val="both"/>
            </w:pPr>
            <w:r w:rsidRPr="00464EA5">
              <w:t>Noteikumu projekts šo jomu neskar</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5.</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Administratīvās procedūras raksturojums</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464EA5" w:rsidRDefault="00A11252" w:rsidP="0014630D">
            <w:r w:rsidRPr="00464EA5">
              <w:t>Noteikumu projekts šo jomu neskar</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6.</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Administratīvo izmaksu monetārs novērtējums</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464EA5" w:rsidRDefault="00A11252" w:rsidP="0014630D">
            <w:r w:rsidRPr="00464EA5">
              <w:t>Noteikumu projekts šo jomu neskar</w:t>
            </w:r>
          </w:p>
        </w:tc>
      </w:tr>
      <w:tr w:rsidR="002F3E81" w:rsidRPr="00464EA5" w:rsidTr="003D5644">
        <w:tc>
          <w:tcPr>
            <w:tcW w:w="23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7.</w:t>
            </w:r>
          </w:p>
        </w:tc>
        <w:tc>
          <w:tcPr>
            <w:tcW w:w="1419" w:type="pct"/>
            <w:tcBorders>
              <w:top w:val="outset" w:sz="6" w:space="0" w:color="000000"/>
              <w:left w:val="outset" w:sz="6" w:space="0" w:color="000000"/>
              <w:bottom w:val="outset" w:sz="6" w:space="0" w:color="000000"/>
              <w:right w:val="outset" w:sz="6" w:space="0" w:color="000000"/>
            </w:tcBorders>
            <w:hideMark/>
          </w:tcPr>
          <w:p w:rsidR="002F3E81" w:rsidRPr="00464EA5" w:rsidRDefault="002F3E81" w:rsidP="0014630D">
            <w:r w:rsidRPr="00464EA5">
              <w:t>Cita informācija</w:t>
            </w:r>
          </w:p>
        </w:tc>
        <w:tc>
          <w:tcPr>
            <w:tcW w:w="3342" w:type="pct"/>
            <w:tcBorders>
              <w:top w:val="outset" w:sz="6" w:space="0" w:color="000000"/>
              <w:left w:val="outset" w:sz="6" w:space="0" w:color="000000"/>
              <w:bottom w:val="outset" w:sz="6" w:space="0" w:color="000000"/>
              <w:right w:val="outset" w:sz="6" w:space="0" w:color="000000"/>
            </w:tcBorders>
            <w:hideMark/>
          </w:tcPr>
          <w:p w:rsidR="002F3E81" w:rsidRPr="00464EA5" w:rsidRDefault="008C3705" w:rsidP="0014630D">
            <w:r w:rsidRPr="00464EA5">
              <w:t>Nav</w:t>
            </w:r>
          </w:p>
        </w:tc>
      </w:tr>
    </w:tbl>
    <w:p w:rsidR="008B61BB" w:rsidRPr="00464EA5" w:rsidRDefault="008B61BB" w:rsidP="0014630D">
      <w:pPr>
        <w:jc w:val="both"/>
        <w:rPr>
          <w:b/>
        </w:rPr>
      </w:pPr>
    </w:p>
    <w:tbl>
      <w:tblPr>
        <w:tblW w:w="504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691"/>
        <w:gridCol w:w="1416"/>
        <w:gridCol w:w="1280"/>
        <w:gridCol w:w="1549"/>
        <w:gridCol w:w="1285"/>
        <w:gridCol w:w="1059"/>
        <w:gridCol w:w="75"/>
      </w:tblGrid>
      <w:tr w:rsidR="003D5644" w:rsidRPr="00464EA5" w:rsidTr="003D5644">
        <w:trPr>
          <w:trHeight w:val="432"/>
        </w:trPr>
        <w:tc>
          <w:tcPr>
            <w:tcW w:w="5000" w:type="pct"/>
            <w:gridSpan w:val="7"/>
            <w:vAlign w:val="center"/>
          </w:tcPr>
          <w:p w:rsidR="003D5644" w:rsidRPr="00464EA5" w:rsidRDefault="003D5644" w:rsidP="0014630D">
            <w:pPr>
              <w:jc w:val="center"/>
              <w:rPr>
                <w:b/>
              </w:rPr>
            </w:pPr>
            <w:r w:rsidRPr="00464EA5">
              <w:rPr>
                <w:b/>
              </w:rPr>
              <w:br w:type="page"/>
              <w:t>III. Tiesību akta projekta ietekme uz valsts budžetu un pašvaldību budžetiem</w:t>
            </w: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vMerge w:val="restart"/>
            <w:vAlign w:val="center"/>
          </w:tcPr>
          <w:p w:rsidR="003D5644" w:rsidRPr="00464EA5" w:rsidRDefault="003D5644" w:rsidP="0014630D">
            <w:pPr>
              <w:pStyle w:val="naisf"/>
              <w:spacing w:before="0" w:after="0"/>
              <w:ind w:firstLine="0"/>
              <w:jc w:val="center"/>
              <w:rPr>
                <w:b/>
              </w:rPr>
            </w:pPr>
            <w:r w:rsidRPr="00464EA5">
              <w:rPr>
                <w:b/>
              </w:rPr>
              <w:t>Rādītāji</w:t>
            </w:r>
          </w:p>
        </w:tc>
        <w:tc>
          <w:tcPr>
            <w:tcW w:w="1441" w:type="pct"/>
            <w:gridSpan w:val="2"/>
            <w:vMerge w:val="restart"/>
            <w:vAlign w:val="center"/>
          </w:tcPr>
          <w:p w:rsidR="003D5644" w:rsidRPr="00464EA5" w:rsidRDefault="003D5644" w:rsidP="0014630D">
            <w:pPr>
              <w:pStyle w:val="naisf"/>
              <w:spacing w:before="0" w:after="0"/>
              <w:ind w:firstLine="0"/>
              <w:jc w:val="center"/>
              <w:rPr>
                <w:b/>
              </w:rPr>
            </w:pPr>
            <w:r w:rsidRPr="00464EA5">
              <w:rPr>
                <w:b/>
              </w:rPr>
              <w:t>2012.</w:t>
            </w:r>
          </w:p>
        </w:tc>
        <w:tc>
          <w:tcPr>
            <w:tcW w:w="2081" w:type="pct"/>
            <w:gridSpan w:val="3"/>
            <w:vAlign w:val="center"/>
          </w:tcPr>
          <w:p w:rsidR="003D5644" w:rsidRPr="00464EA5" w:rsidRDefault="003D5644" w:rsidP="0014630D">
            <w:pPr>
              <w:pStyle w:val="naisf"/>
              <w:spacing w:before="0" w:after="0"/>
              <w:ind w:firstLine="0"/>
              <w:jc w:val="center"/>
              <w:rPr>
                <w:b/>
                <w:i/>
              </w:rPr>
            </w:pPr>
            <w:r w:rsidRPr="00464EA5">
              <w:t>Turpmākie trīs gadi (tūkst</w:t>
            </w:r>
            <w:smartTag w:uri="schemas-tilde-lv/tildestengine" w:element="currency2">
              <w:smartTagPr>
                <w:attr w:name="currency_id" w:val="48"/>
                <w:attr w:name="currency_key" w:val="LVL"/>
                <w:attr w:name="currency_value" w:val="."/>
                <w:attr w:name="currency_text" w:val="latu"/>
              </w:smartTagPr>
              <w:r w:rsidRPr="00464EA5">
                <w:t>. latu</w:t>
              </w:r>
            </w:smartTag>
            <w:r w:rsidRPr="00464EA5">
              <w:t>)</w:t>
            </w: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vMerge/>
            <w:vAlign w:val="center"/>
          </w:tcPr>
          <w:p w:rsidR="003D5644" w:rsidRPr="00464EA5" w:rsidRDefault="003D5644" w:rsidP="0014630D">
            <w:pPr>
              <w:pStyle w:val="naisf"/>
              <w:spacing w:before="0" w:after="0"/>
              <w:ind w:firstLine="0"/>
              <w:jc w:val="center"/>
              <w:rPr>
                <w:b/>
                <w:i/>
              </w:rPr>
            </w:pPr>
          </w:p>
        </w:tc>
        <w:tc>
          <w:tcPr>
            <w:tcW w:w="1441" w:type="pct"/>
            <w:gridSpan w:val="2"/>
            <w:vMerge/>
            <w:vAlign w:val="center"/>
          </w:tcPr>
          <w:p w:rsidR="003D5644" w:rsidRPr="00464EA5" w:rsidRDefault="003D5644" w:rsidP="0014630D">
            <w:pPr>
              <w:pStyle w:val="naisf"/>
              <w:spacing w:before="0" w:after="0"/>
              <w:ind w:firstLine="0"/>
              <w:jc w:val="center"/>
              <w:rPr>
                <w:b/>
                <w:i/>
              </w:rPr>
            </w:pPr>
          </w:p>
        </w:tc>
        <w:tc>
          <w:tcPr>
            <w:tcW w:w="828" w:type="pct"/>
            <w:vAlign w:val="center"/>
          </w:tcPr>
          <w:p w:rsidR="003D5644" w:rsidRPr="00464EA5" w:rsidRDefault="003D5644" w:rsidP="0014630D">
            <w:pPr>
              <w:pStyle w:val="naisf"/>
              <w:spacing w:before="0" w:after="0"/>
              <w:ind w:firstLine="0"/>
              <w:jc w:val="center"/>
              <w:rPr>
                <w:b/>
                <w:i/>
              </w:rPr>
            </w:pPr>
            <w:r w:rsidRPr="00464EA5">
              <w:rPr>
                <w:b/>
                <w:bCs/>
              </w:rPr>
              <w:t>2013.</w:t>
            </w:r>
          </w:p>
        </w:tc>
        <w:tc>
          <w:tcPr>
            <w:tcW w:w="687" w:type="pct"/>
            <w:vAlign w:val="center"/>
          </w:tcPr>
          <w:p w:rsidR="003D5644" w:rsidRPr="00464EA5" w:rsidRDefault="003D5644" w:rsidP="0014630D">
            <w:pPr>
              <w:pStyle w:val="naisf"/>
              <w:spacing w:before="0" w:after="0"/>
              <w:ind w:firstLine="0"/>
              <w:jc w:val="center"/>
              <w:rPr>
                <w:b/>
                <w:i/>
              </w:rPr>
            </w:pPr>
            <w:r w:rsidRPr="00464EA5">
              <w:rPr>
                <w:b/>
                <w:bCs/>
              </w:rPr>
              <w:t>2014.</w:t>
            </w:r>
          </w:p>
        </w:tc>
        <w:tc>
          <w:tcPr>
            <w:tcW w:w="566" w:type="pct"/>
            <w:vAlign w:val="center"/>
          </w:tcPr>
          <w:p w:rsidR="003D5644" w:rsidRPr="00464EA5" w:rsidRDefault="003D5644" w:rsidP="0014630D">
            <w:pPr>
              <w:pStyle w:val="naisf"/>
              <w:spacing w:before="0" w:after="0"/>
              <w:ind w:firstLine="0"/>
              <w:jc w:val="center"/>
              <w:rPr>
                <w:b/>
                <w:i/>
              </w:rPr>
            </w:pPr>
            <w:r w:rsidRPr="00464EA5">
              <w:rPr>
                <w:b/>
                <w:bCs/>
              </w:rPr>
              <w:t>2015.</w:t>
            </w: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vMerge/>
            <w:vAlign w:val="center"/>
          </w:tcPr>
          <w:p w:rsidR="003D5644" w:rsidRPr="00464EA5" w:rsidRDefault="003D5644" w:rsidP="0014630D">
            <w:pPr>
              <w:pStyle w:val="naisf"/>
              <w:spacing w:before="0" w:after="0"/>
              <w:ind w:firstLine="0"/>
              <w:jc w:val="center"/>
              <w:rPr>
                <w:b/>
                <w:i/>
              </w:rPr>
            </w:pPr>
          </w:p>
        </w:tc>
        <w:tc>
          <w:tcPr>
            <w:tcW w:w="757" w:type="pct"/>
            <w:vAlign w:val="center"/>
          </w:tcPr>
          <w:p w:rsidR="003D5644" w:rsidRPr="00464EA5" w:rsidRDefault="003D5644" w:rsidP="0014630D">
            <w:pPr>
              <w:pStyle w:val="naisf"/>
              <w:spacing w:before="0" w:after="0"/>
              <w:ind w:firstLine="0"/>
              <w:jc w:val="center"/>
              <w:rPr>
                <w:b/>
                <w:i/>
              </w:rPr>
            </w:pPr>
            <w:r w:rsidRPr="00464EA5">
              <w:t>Saskaņā ar valsts budžetu kārtējam gadam</w:t>
            </w:r>
          </w:p>
        </w:tc>
        <w:tc>
          <w:tcPr>
            <w:tcW w:w="684" w:type="pct"/>
            <w:vAlign w:val="center"/>
          </w:tcPr>
          <w:p w:rsidR="003D5644" w:rsidRPr="00464EA5" w:rsidRDefault="003D5644" w:rsidP="0014630D">
            <w:pPr>
              <w:pStyle w:val="naisf"/>
              <w:spacing w:before="0" w:after="0"/>
              <w:ind w:firstLine="0"/>
              <w:jc w:val="center"/>
              <w:rPr>
                <w:b/>
                <w:i/>
              </w:rPr>
            </w:pPr>
            <w:r w:rsidRPr="00464EA5">
              <w:t>Izmaiņas kārtējā gadā, salīdzinot ar budžetu kārtējam gadam</w:t>
            </w:r>
          </w:p>
        </w:tc>
        <w:tc>
          <w:tcPr>
            <w:tcW w:w="828" w:type="pct"/>
            <w:vAlign w:val="center"/>
          </w:tcPr>
          <w:p w:rsidR="003D5644" w:rsidRPr="00464EA5" w:rsidRDefault="003D5644" w:rsidP="0014630D">
            <w:pPr>
              <w:pStyle w:val="naisf"/>
              <w:spacing w:before="0" w:after="0"/>
              <w:ind w:firstLine="0"/>
              <w:jc w:val="center"/>
              <w:rPr>
                <w:b/>
                <w:i/>
              </w:rPr>
            </w:pPr>
            <w:r w:rsidRPr="00464EA5">
              <w:t>Izmaiņas, salīdzinot ar kārtējo (n) gadu</w:t>
            </w:r>
          </w:p>
        </w:tc>
        <w:tc>
          <w:tcPr>
            <w:tcW w:w="687" w:type="pct"/>
            <w:vAlign w:val="center"/>
          </w:tcPr>
          <w:p w:rsidR="003D5644" w:rsidRPr="00464EA5" w:rsidRDefault="003D5644" w:rsidP="0014630D">
            <w:pPr>
              <w:pStyle w:val="naisf"/>
              <w:spacing w:before="0" w:after="0"/>
              <w:ind w:firstLine="0"/>
              <w:jc w:val="center"/>
              <w:rPr>
                <w:b/>
                <w:i/>
              </w:rPr>
            </w:pPr>
            <w:r w:rsidRPr="00464EA5">
              <w:t>Izmaiņas, salīdzinot ar kārtējo (n) gadu</w:t>
            </w:r>
          </w:p>
        </w:tc>
        <w:tc>
          <w:tcPr>
            <w:tcW w:w="566" w:type="pct"/>
            <w:vAlign w:val="center"/>
          </w:tcPr>
          <w:p w:rsidR="003D5644" w:rsidRPr="00464EA5" w:rsidRDefault="003D5644" w:rsidP="0014630D">
            <w:pPr>
              <w:pStyle w:val="naisf"/>
              <w:spacing w:before="0" w:after="0"/>
              <w:ind w:firstLine="0"/>
              <w:jc w:val="center"/>
              <w:rPr>
                <w:b/>
                <w:i/>
              </w:rPr>
            </w:pPr>
            <w:r w:rsidRPr="00464EA5">
              <w:t>Izmaiņas, salīdzinot ar kārtējo (n) gadu</w:t>
            </w:r>
          </w:p>
        </w:tc>
      </w:tr>
      <w:tr w:rsidR="003D5644"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vAlign w:val="center"/>
          </w:tcPr>
          <w:p w:rsidR="003D5644" w:rsidRPr="00464EA5" w:rsidRDefault="003D5644" w:rsidP="0014630D">
            <w:pPr>
              <w:pStyle w:val="naisf"/>
              <w:spacing w:before="0" w:after="0"/>
              <w:ind w:firstLine="0"/>
              <w:jc w:val="center"/>
              <w:rPr>
                <w:bCs/>
              </w:rPr>
            </w:pPr>
            <w:r w:rsidRPr="00464EA5">
              <w:rPr>
                <w:bCs/>
              </w:rPr>
              <w:t>1</w:t>
            </w:r>
          </w:p>
        </w:tc>
        <w:tc>
          <w:tcPr>
            <w:tcW w:w="757" w:type="pct"/>
            <w:vAlign w:val="center"/>
          </w:tcPr>
          <w:p w:rsidR="003D5644" w:rsidRPr="00464EA5" w:rsidRDefault="003D5644" w:rsidP="0014630D">
            <w:pPr>
              <w:pStyle w:val="naisf"/>
              <w:spacing w:before="0" w:after="0"/>
              <w:ind w:firstLine="0"/>
              <w:jc w:val="center"/>
              <w:rPr>
                <w:bCs/>
              </w:rPr>
            </w:pPr>
            <w:r w:rsidRPr="00464EA5">
              <w:rPr>
                <w:bCs/>
              </w:rPr>
              <w:t>2</w:t>
            </w:r>
          </w:p>
        </w:tc>
        <w:tc>
          <w:tcPr>
            <w:tcW w:w="684" w:type="pct"/>
            <w:vAlign w:val="center"/>
          </w:tcPr>
          <w:p w:rsidR="003D5644" w:rsidRPr="00464EA5" w:rsidRDefault="003D5644" w:rsidP="0014630D">
            <w:pPr>
              <w:pStyle w:val="naisf"/>
              <w:spacing w:before="0" w:after="0"/>
              <w:ind w:firstLine="0"/>
              <w:jc w:val="center"/>
              <w:rPr>
                <w:bCs/>
              </w:rPr>
            </w:pPr>
            <w:r w:rsidRPr="00464EA5">
              <w:rPr>
                <w:bCs/>
              </w:rPr>
              <w:t>3</w:t>
            </w:r>
          </w:p>
        </w:tc>
        <w:tc>
          <w:tcPr>
            <w:tcW w:w="828" w:type="pct"/>
            <w:vAlign w:val="center"/>
          </w:tcPr>
          <w:p w:rsidR="003D5644" w:rsidRPr="00464EA5" w:rsidRDefault="003D5644" w:rsidP="0014630D">
            <w:pPr>
              <w:pStyle w:val="naisf"/>
              <w:spacing w:before="0" w:after="0"/>
              <w:ind w:firstLine="0"/>
              <w:jc w:val="center"/>
              <w:rPr>
                <w:bCs/>
              </w:rPr>
            </w:pPr>
            <w:r w:rsidRPr="00464EA5">
              <w:rPr>
                <w:bCs/>
              </w:rPr>
              <w:t>4</w:t>
            </w:r>
          </w:p>
        </w:tc>
        <w:tc>
          <w:tcPr>
            <w:tcW w:w="687" w:type="pct"/>
            <w:vAlign w:val="center"/>
          </w:tcPr>
          <w:p w:rsidR="003D5644" w:rsidRPr="00464EA5" w:rsidRDefault="003D5644" w:rsidP="0014630D">
            <w:pPr>
              <w:pStyle w:val="naisf"/>
              <w:spacing w:before="0" w:after="0"/>
              <w:ind w:firstLine="0"/>
              <w:jc w:val="center"/>
              <w:rPr>
                <w:bCs/>
              </w:rPr>
            </w:pPr>
            <w:r w:rsidRPr="00464EA5">
              <w:rPr>
                <w:bCs/>
              </w:rPr>
              <w:t>5</w:t>
            </w:r>
          </w:p>
        </w:tc>
        <w:tc>
          <w:tcPr>
            <w:tcW w:w="566" w:type="pct"/>
            <w:vAlign w:val="center"/>
          </w:tcPr>
          <w:p w:rsidR="003D5644" w:rsidRPr="00464EA5" w:rsidRDefault="003D5644" w:rsidP="0014630D">
            <w:pPr>
              <w:pStyle w:val="naisf"/>
              <w:spacing w:before="0" w:after="0"/>
              <w:ind w:firstLine="0"/>
              <w:jc w:val="center"/>
              <w:rPr>
                <w:bCs/>
              </w:rPr>
            </w:pPr>
            <w:r w:rsidRPr="00464EA5">
              <w:rPr>
                <w:bCs/>
              </w:rPr>
              <w:t>6</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pStyle w:val="naisf"/>
              <w:spacing w:before="0" w:after="0"/>
              <w:ind w:firstLine="0"/>
              <w:rPr>
                <w:i/>
              </w:rPr>
            </w:pPr>
            <w:r w:rsidRPr="00464EA5">
              <w:t>1. Budžeta ieņēmumi:</w:t>
            </w:r>
          </w:p>
        </w:tc>
        <w:tc>
          <w:tcPr>
            <w:tcW w:w="757" w:type="pct"/>
            <w:vAlign w:val="center"/>
          </w:tcPr>
          <w:p w:rsidR="00FD632E" w:rsidRPr="00464EA5" w:rsidRDefault="00FD632E" w:rsidP="0014630D">
            <w:pPr>
              <w:pStyle w:val="naisf"/>
              <w:spacing w:before="0" w:after="0"/>
              <w:ind w:firstLine="0"/>
              <w:jc w:val="center"/>
              <w:rPr>
                <w:b/>
              </w:rPr>
            </w:pPr>
            <w:r w:rsidRPr="00464EA5">
              <w:rPr>
                <w:b/>
              </w:rPr>
              <w:t>0</w:t>
            </w:r>
          </w:p>
        </w:tc>
        <w:tc>
          <w:tcPr>
            <w:tcW w:w="684" w:type="pct"/>
            <w:vAlign w:val="center"/>
          </w:tcPr>
          <w:p w:rsidR="00FD632E" w:rsidRPr="00464EA5" w:rsidRDefault="00FD632E" w:rsidP="0014630D">
            <w:pPr>
              <w:pStyle w:val="naisf"/>
              <w:spacing w:before="0" w:after="0"/>
              <w:ind w:firstLine="0"/>
              <w:jc w:val="center"/>
              <w:rPr>
                <w:b/>
              </w:rPr>
            </w:pPr>
            <w:r w:rsidRPr="00464EA5">
              <w:rPr>
                <w:b/>
              </w:rPr>
              <w:t>0</w:t>
            </w:r>
          </w:p>
        </w:tc>
        <w:tc>
          <w:tcPr>
            <w:tcW w:w="828" w:type="pct"/>
            <w:vAlign w:val="center"/>
          </w:tcPr>
          <w:p w:rsidR="00FD632E" w:rsidRPr="00464EA5" w:rsidRDefault="00FD632E" w:rsidP="0014630D">
            <w:pPr>
              <w:pStyle w:val="naisf"/>
              <w:spacing w:before="0" w:after="0"/>
              <w:ind w:firstLine="0"/>
              <w:jc w:val="center"/>
              <w:rPr>
                <w:b/>
              </w:rPr>
            </w:pPr>
            <w:r w:rsidRPr="00464EA5">
              <w:rPr>
                <w:b/>
              </w:rPr>
              <w:t>0</w:t>
            </w:r>
          </w:p>
        </w:tc>
        <w:tc>
          <w:tcPr>
            <w:tcW w:w="687" w:type="pct"/>
            <w:vAlign w:val="center"/>
          </w:tcPr>
          <w:p w:rsidR="00FD632E" w:rsidRPr="00464EA5" w:rsidRDefault="00FD632E" w:rsidP="0014630D">
            <w:pPr>
              <w:pStyle w:val="naisf"/>
              <w:spacing w:before="0" w:after="0"/>
              <w:ind w:firstLine="0"/>
              <w:jc w:val="center"/>
              <w:rPr>
                <w:b/>
              </w:rPr>
            </w:pPr>
            <w:r w:rsidRPr="00464EA5">
              <w:rPr>
                <w:b/>
              </w:rPr>
              <w:t>0</w:t>
            </w:r>
          </w:p>
        </w:tc>
        <w:tc>
          <w:tcPr>
            <w:tcW w:w="566" w:type="pct"/>
            <w:vAlign w:val="center"/>
          </w:tcPr>
          <w:p w:rsidR="00FD632E" w:rsidRPr="00464EA5" w:rsidRDefault="00FD632E" w:rsidP="0014630D">
            <w:pPr>
              <w:pStyle w:val="naisf"/>
              <w:spacing w:before="0" w:after="0"/>
              <w:ind w:firstLine="0"/>
              <w:jc w:val="center"/>
              <w:rPr>
                <w:b/>
              </w:rPr>
            </w:pPr>
            <w:r>
              <w:rPr>
                <w:b/>
              </w:rPr>
              <w:t>0</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pStyle w:val="naisf"/>
              <w:spacing w:before="0" w:after="0"/>
              <w:ind w:firstLine="0"/>
              <w:rPr>
                <w:i/>
              </w:rPr>
            </w:pPr>
            <w:r w:rsidRPr="00464EA5">
              <w:t>1.1. valsts pamatbudžets, tai skaitā ieņēmumi no maksas pakalpojumiem un citi pašu ieņēmumi</w:t>
            </w:r>
          </w:p>
        </w:tc>
        <w:tc>
          <w:tcPr>
            <w:tcW w:w="757" w:type="pct"/>
            <w:vAlign w:val="center"/>
          </w:tcPr>
          <w:p w:rsidR="00FD632E" w:rsidRPr="00464EA5" w:rsidRDefault="00FD632E" w:rsidP="0014630D">
            <w:pPr>
              <w:pStyle w:val="naisf"/>
              <w:spacing w:before="0" w:after="0"/>
              <w:ind w:firstLine="0"/>
              <w:jc w:val="center"/>
            </w:pPr>
            <w:r w:rsidRPr="00464EA5">
              <w:t>0</w:t>
            </w:r>
          </w:p>
        </w:tc>
        <w:tc>
          <w:tcPr>
            <w:tcW w:w="684" w:type="pct"/>
            <w:vAlign w:val="center"/>
          </w:tcPr>
          <w:p w:rsidR="00FD632E" w:rsidRPr="00464EA5" w:rsidRDefault="00FD632E" w:rsidP="0014630D">
            <w:pPr>
              <w:pStyle w:val="naisf"/>
              <w:spacing w:before="0" w:after="0"/>
              <w:ind w:firstLine="0"/>
              <w:jc w:val="center"/>
            </w:pPr>
            <w:r w:rsidRPr="00464EA5">
              <w:t>0</w:t>
            </w:r>
          </w:p>
        </w:tc>
        <w:tc>
          <w:tcPr>
            <w:tcW w:w="828" w:type="pct"/>
            <w:vAlign w:val="center"/>
          </w:tcPr>
          <w:p w:rsidR="00FD632E" w:rsidRPr="00464EA5" w:rsidRDefault="00FD632E" w:rsidP="0014630D">
            <w:pPr>
              <w:pStyle w:val="naisf"/>
              <w:spacing w:before="0" w:after="0"/>
              <w:ind w:firstLine="0"/>
              <w:jc w:val="center"/>
            </w:pPr>
            <w:r w:rsidRPr="00464EA5">
              <w:t>0</w:t>
            </w:r>
          </w:p>
        </w:tc>
        <w:tc>
          <w:tcPr>
            <w:tcW w:w="687" w:type="pct"/>
            <w:vAlign w:val="center"/>
          </w:tcPr>
          <w:p w:rsidR="00FD632E" w:rsidRPr="00464EA5" w:rsidRDefault="00FD632E" w:rsidP="0014630D">
            <w:pPr>
              <w:pStyle w:val="naisf"/>
              <w:spacing w:before="0" w:after="0"/>
              <w:ind w:firstLine="0"/>
              <w:jc w:val="center"/>
            </w:pPr>
            <w:r w:rsidRPr="00464EA5">
              <w:t>0</w:t>
            </w:r>
          </w:p>
        </w:tc>
        <w:tc>
          <w:tcPr>
            <w:tcW w:w="566" w:type="pct"/>
            <w:vAlign w:val="center"/>
          </w:tcPr>
          <w:p w:rsidR="00FD632E" w:rsidRPr="00464EA5" w:rsidRDefault="00FD632E" w:rsidP="0014630D">
            <w:pPr>
              <w:pStyle w:val="naisf"/>
              <w:spacing w:before="0" w:after="0"/>
              <w:ind w:firstLine="0"/>
              <w:jc w:val="center"/>
            </w:pPr>
            <w:r w:rsidRPr="00464EA5">
              <w:t>0</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pStyle w:val="naisf"/>
              <w:spacing w:before="0" w:after="0"/>
              <w:ind w:firstLine="0"/>
              <w:rPr>
                <w:i/>
              </w:rPr>
            </w:pPr>
            <w:r w:rsidRPr="00464EA5">
              <w:t>1.2. valsts speciālais budžets</w:t>
            </w:r>
          </w:p>
        </w:tc>
        <w:tc>
          <w:tcPr>
            <w:tcW w:w="757" w:type="pct"/>
            <w:vAlign w:val="center"/>
          </w:tcPr>
          <w:p w:rsidR="00FD632E" w:rsidRPr="00464EA5" w:rsidRDefault="00FD632E" w:rsidP="0014630D">
            <w:pPr>
              <w:pStyle w:val="naisf"/>
              <w:spacing w:before="0" w:after="0"/>
              <w:ind w:firstLine="0"/>
              <w:jc w:val="center"/>
            </w:pPr>
            <w:r w:rsidRPr="00464EA5">
              <w:t>0</w:t>
            </w:r>
          </w:p>
        </w:tc>
        <w:tc>
          <w:tcPr>
            <w:tcW w:w="684" w:type="pct"/>
            <w:vAlign w:val="center"/>
          </w:tcPr>
          <w:p w:rsidR="00FD632E" w:rsidRPr="00464EA5" w:rsidRDefault="00FD632E" w:rsidP="0014630D">
            <w:pPr>
              <w:pStyle w:val="naisf"/>
              <w:spacing w:before="0" w:after="0"/>
              <w:ind w:firstLine="0"/>
              <w:jc w:val="center"/>
            </w:pPr>
            <w:r w:rsidRPr="00464EA5">
              <w:t>0</w:t>
            </w:r>
          </w:p>
        </w:tc>
        <w:tc>
          <w:tcPr>
            <w:tcW w:w="828" w:type="pct"/>
            <w:vAlign w:val="center"/>
          </w:tcPr>
          <w:p w:rsidR="00FD632E" w:rsidRPr="00464EA5" w:rsidRDefault="00FD632E" w:rsidP="0014630D">
            <w:pPr>
              <w:pStyle w:val="naisf"/>
              <w:spacing w:before="0" w:after="0"/>
              <w:ind w:firstLine="0"/>
              <w:jc w:val="center"/>
            </w:pPr>
            <w:r w:rsidRPr="00464EA5">
              <w:t>0</w:t>
            </w:r>
          </w:p>
        </w:tc>
        <w:tc>
          <w:tcPr>
            <w:tcW w:w="687" w:type="pct"/>
            <w:vAlign w:val="center"/>
          </w:tcPr>
          <w:p w:rsidR="00FD632E" w:rsidRPr="00464EA5" w:rsidRDefault="00FD632E" w:rsidP="0014630D">
            <w:pPr>
              <w:pStyle w:val="naisf"/>
              <w:spacing w:before="0" w:after="0"/>
              <w:ind w:firstLine="0"/>
              <w:jc w:val="center"/>
            </w:pPr>
            <w:r w:rsidRPr="00464EA5">
              <w:t>0</w:t>
            </w:r>
          </w:p>
        </w:tc>
        <w:tc>
          <w:tcPr>
            <w:tcW w:w="566" w:type="pct"/>
            <w:vAlign w:val="center"/>
          </w:tcPr>
          <w:p w:rsidR="00FD632E" w:rsidRPr="00464EA5" w:rsidRDefault="00FD632E" w:rsidP="0014630D">
            <w:pPr>
              <w:pStyle w:val="naisf"/>
              <w:spacing w:before="0" w:after="0"/>
              <w:ind w:firstLine="0"/>
              <w:jc w:val="center"/>
            </w:pPr>
            <w:r w:rsidRPr="00464EA5">
              <w:t>0</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pStyle w:val="naisf"/>
              <w:spacing w:before="0" w:after="0"/>
              <w:ind w:firstLine="0"/>
              <w:rPr>
                <w:i/>
              </w:rPr>
            </w:pPr>
            <w:r w:rsidRPr="00464EA5">
              <w:t>1.3. pašvaldību budžets</w:t>
            </w:r>
          </w:p>
        </w:tc>
        <w:tc>
          <w:tcPr>
            <w:tcW w:w="757" w:type="pct"/>
            <w:vAlign w:val="center"/>
          </w:tcPr>
          <w:p w:rsidR="00FD632E" w:rsidRPr="00464EA5" w:rsidRDefault="00FD632E" w:rsidP="0014630D">
            <w:pPr>
              <w:pStyle w:val="naisf"/>
              <w:spacing w:before="0" w:after="0"/>
              <w:ind w:firstLine="0"/>
              <w:jc w:val="center"/>
            </w:pPr>
            <w:r w:rsidRPr="00464EA5">
              <w:t>0</w:t>
            </w:r>
          </w:p>
        </w:tc>
        <w:tc>
          <w:tcPr>
            <w:tcW w:w="684" w:type="pct"/>
            <w:vAlign w:val="center"/>
          </w:tcPr>
          <w:p w:rsidR="00FD632E" w:rsidRPr="00464EA5" w:rsidRDefault="00FD632E" w:rsidP="0014630D">
            <w:pPr>
              <w:pStyle w:val="naisf"/>
              <w:spacing w:before="0" w:after="0"/>
              <w:ind w:firstLine="0"/>
              <w:jc w:val="center"/>
            </w:pPr>
            <w:r w:rsidRPr="00464EA5">
              <w:t>0</w:t>
            </w:r>
          </w:p>
        </w:tc>
        <w:tc>
          <w:tcPr>
            <w:tcW w:w="828" w:type="pct"/>
            <w:vAlign w:val="center"/>
          </w:tcPr>
          <w:p w:rsidR="00FD632E" w:rsidRPr="00464EA5" w:rsidRDefault="00FD632E" w:rsidP="0014630D">
            <w:pPr>
              <w:pStyle w:val="naisf"/>
              <w:spacing w:before="0" w:after="0"/>
              <w:ind w:firstLine="0"/>
              <w:jc w:val="center"/>
            </w:pPr>
            <w:r w:rsidRPr="00464EA5">
              <w:t>0</w:t>
            </w:r>
          </w:p>
        </w:tc>
        <w:tc>
          <w:tcPr>
            <w:tcW w:w="687" w:type="pct"/>
            <w:vAlign w:val="center"/>
          </w:tcPr>
          <w:p w:rsidR="00FD632E" w:rsidRPr="00464EA5" w:rsidRDefault="00FD632E" w:rsidP="0014630D">
            <w:pPr>
              <w:pStyle w:val="naisf"/>
              <w:spacing w:before="0" w:after="0"/>
              <w:ind w:firstLine="0"/>
              <w:jc w:val="center"/>
            </w:pPr>
            <w:r w:rsidRPr="00464EA5">
              <w:t>0</w:t>
            </w:r>
          </w:p>
        </w:tc>
        <w:tc>
          <w:tcPr>
            <w:tcW w:w="566" w:type="pct"/>
            <w:vAlign w:val="center"/>
          </w:tcPr>
          <w:p w:rsidR="00FD632E" w:rsidRPr="00464EA5" w:rsidRDefault="00FD632E" w:rsidP="0014630D">
            <w:pPr>
              <w:pStyle w:val="naisf"/>
              <w:spacing w:before="0" w:after="0"/>
              <w:ind w:firstLine="0"/>
              <w:jc w:val="center"/>
            </w:pPr>
            <w:r w:rsidRPr="00464EA5">
              <w:t>0</w:t>
            </w:r>
          </w:p>
        </w:tc>
      </w:tr>
      <w:tr w:rsidR="00790753" w:rsidRPr="00A36C4F" w:rsidTr="009E0E67">
        <w:tblPrEx>
          <w:jc w:val="center"/>
          <w:tblCellMar>
            <w:top w:w="0" w:type="dxa"/>
            <w:left w:w="108" w:type="dxa"/>
            <w:bottom w:w="0" w:type="dxa"/>
            <w:right w:w="108" w:type="dxa"/>
          </w:tblCellMar>
          <w:tblLook w:val="01E0"/>
        </w:tblPrEx>
        <w:trPr>
          <w:gridAfter w:val="1"/>
          <w:wAfter w:w="40" w:type="pct"/>
          <w:jc w:val="center"/>
        </w:trPr>
        <w:tc>
          <w:tcPr>
            <w:tcW w:w="1438" w:type="pct"/>
          </w:tcPr>
          <w:p w:rsidR="00790753" w:rsidRPr="00A36C4F" w:rsidRDefault="00790753" w:rsidP="0014630D">
            <w:pPr>
              <w:jc w:val="both"/>
            </w:pPr>
            <w:r w:rsidRPr="00A36C4F">
              <w:t>2. Budžeta izdevumi:</w:t>
            </w:r>
          </w:p>
        </w:tc>
        <w:tc>
          <w:tcPr>
            <w:tcW w:w="757" w:type="pct"/>
            <w:vAlign w:val="center"/>
          </w:tcPr>
          <w:p w:rsidR="00790753" w:rsidRPr="00A36C4F" w:rsidRDefault="00790753" w:rsidP="0014630D">
            <w:pPr>
              <w:pStyle w:val="naisf"/>
              <w:spacing w:before="0" w:after="0"/>
              <w:ind w:firstLine="0"/>
              <w:jc w:val="center"/>
              <w:rPr>
                <w:b/>
              </w:rPr>
            </w:pPr>
            <w:r w:rsidRPr="00A36C4F">
              <w:rPr>
                <w:b/>
              </w:rPr>
              <w:t>0</w:t>
            </w:r>
          </w:p>
        </w:tc>
        <w:tc>
          <w:tcPr>
            <w:tcW w:w="684" w:type="pct"/>
            <w:vAlign w:val="center"/>
          </w:tcPr>
          <w:p w:rsidR="00790753" w:rsidRPr="00A36C4F" w:rsidRDefault="00790753" w:rsidP="0014630D">
            <w:pPr>
              <w:pStyle w:val="naisf"/>
              <w:spacing w:before="0" w:after="0"/>
              <w:ind w:firstLine="0"/>
              <w:jc w:val="center"/>
              <w:rPr>
                <w:b/>
              </w:rPr>
            </w:pPr>
            <w:r w:rsidRPr="00A36C4F">
              <w:rPr>
                <w:b/>
              </w:rPr>
              <w:t>0</w:t>
            </w:r>
          </w:p>
        </w:tc>
        <w:tc>
          <w:tcPr>
            <w:tcW w:w="828" w:type="pct"/>
          </w:tcPr>
          <w:p w:rsidR="00790753" w:rsidRDefault="00790753" w:rsidP="00790753">
            <w:pPr>
              <w:jc w:val="center"/>
            </w:pPr>
            <w:r w:rsidRPr="00A778BE">
              <w:rPr>
                <w:b/>
              </w:rPr>
              <w:t>0</w:t>
            </w:r>
          </w:p>
        </w:tc>
        <w:tc>
          <w:tcPr>
            <w:tcW w:w="687" w:type="pct"/>
          </w:tcPr>
          <w:p w:rsidR="00790753" w:rsidRDefault="00790753" w:rsidP="00790753">
            <w:pPr>
              <w:jc w:val="center"/>
            </w:pPr>
            <w:r w:rsidRPr="00A778BE">
              <w:rPr>
                <w:b/>
              </w:rPr>
              <w:t>0</w:t>
            </w:r>
          </w:p>
        </w:tc>
        <w:tc>
          <w:tcPr>
            <w:tcW w:w="566" w:type="pct"/>
          </w:tcPr>
          <w:p w:rsidR="00790753" w:rsidRDefault="00790753" w:rsidP="00790753">
            <w:pPr>
              <w:jc w:val="center"/>
            </w:pPr>
            <w:r w:rsidRPr="00A778BE">
              <w:rPr>
                <w:b/>
              </w:rPr>
              <w:t>0</w:t>
            </w:r>
          </w:p>
        </w:tc>
      </w:tr>
      <w:tr w:rsidR="00790753"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790753" w:rsidRPr="00A36C4F" w:rsidRDefault="00790753" w:rsidP="0014630D">
            <w:pPr>
              <w:jc w:val="both"/>
            </w:pPr>
            <w:r w:rsidRPr="00A36C4F">
              <w:t>2.1. valsts pamatbudžets</w:t>
            </w:r>
          </w:p>
        </w:tc>
        <w:tc>
          <w:tcPr>
            <w:tcW w:w="757" w:type="pct"/>
            <w:vAlign w:val="center"/>
          </w:tcPr>
          <w:p w:rsidR="00790753" w:rsidRPr="00A36C4F" w:rsidRDefault="00790753" w:rsidP="0014630D">
            <w:pPr>
              <w:pStyle w:val="naisf"/>
              <w:spacing w:before="0" w:after="0"/>
              <w:ind w:firstLine="0"/>
              <w:jc w:val="center"/>
            </w:pPr>
            <w:r w:rsidRPr="00A36C4F">
              <w:t>0</w:t>
            </w:r>
          </w:p>
        </w:tc>
        <w:tc>
          <w:tcPr>
            <w:tcW w:w="684" w:type="pct"/>
            <w:vAlign w:val="center"/>
          </w:tcPr>
          <w:p w:rsidR="00790753" w:rsidRPr="00A36C4F" w:rsidRDefault="00790753" w:rsidP="0014630D">
            <w:pPr>
              <w:pStyle w:val="naisf"/>
              <w:spacing w:before="0" w:after="0"/>
              <w:ind w:firstLine="0"/>
              <w:jc w:val="center"/>
            </w:pPr>
            <w:r w:rsidRPr="00A36C4F">
              <w:t>0</w:t>
            </w:r>
          </w:p>
        </w:tc>
        <w:tc>
          <w:tcPr>
            <w:tcW w:w="828" w:type="pct"/>
            <w:vAlign w:val="center"/>
          </w:tcPr>
          <w:p w:rsidR="00790753" w:rsidRPr="00A36C4F" w:rsidRDefault="00790753" w:rsidP="009E0E67">
            <w:pPr>
              <w:pStyle w:val="naisf"/>
              <w:spacing w:before="0" w:after="0"/>
              <w:ind w:firstLine="0"/>
              <w:jc w:val="center"/>
            </w:pPr>
            <w:r w:rsidRPr="00A36C4F">
              <w:t>0</w:t>
            </w:r>
          </w:p>
        </w:tc>
        <w:tc>
          <w:tcPr>
            <w:tcW w:w="687" w:type="pct"/>
            <w:vAlign w:val="center"/>
          </w:tcPr>
          <w:p w:rsidR="00790753" w:rsidRPr="00A36C4F" w:rsidRDefault="00790753" w:rsidP="009E0E67">
            <w:pPr>
              <w:pStyle w:val="naisf"/>
              <w:spacing w:before="0" w:after="0"/>
              <w:ind w:firstLine="0"/>
              <w:jc w:val="center"/>
            </w:pPr>
            <w:r w:rsidRPr="00A36C4F">
              <w:t>0</w:t>
            </w:r>
          </w:p>
        </w:tc>
        <w:tc>
          <w:tcPr>
            <w:tcW w:w="566" w:type="pct"/>
            <w:vAlign w:val="center"/>
          </w:tcPr>
          <w:p w:rsidR="00790753" w:rsidRPr="00A36C4F" w:rsidRDefault="00790753" w:rsidP="009E0E67">
            <w:pPr>
              <w:pStyle w:val="naisf"/>
              <w:spacing w:before="0" w:after="0"/>
              <w:ind w:firstLine="0"/>
              <w:jc w:val="center"/>
            </w:pPr>
            <w:r w:rsidRPr="00A36C4F">
              <w:t>0</w:t>
            </w:r>
          </w:p>
        </w:tc>
      </w:tr>
      <w:tr w:rsidR="00FD632E"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A36C4F" w:rsidRDefault="00FD632E" w:rsidP="0014630D">
            <w:pPr>
              <w:jc w:val="both"/>
            </w:pPr>
            <w:r w:rsidRPr="00A36C4F">
              <w:t>2.2. valsts speciālais budžets</w:t>
            </w:r>
          </w:p>
        </w:tc>
        <w:tc>
          <w:tcPr>
            <w:tcW w:w="757" w:type="pct"/>
            <w:vAlign w:val="center"/>
          </w:tcPr>
          <w:p w:rsidR="00FD632E" w:rsidRPr="00A36C4F" w:rsidRDefault="00FD632E" w:rsidP="0014630D">
            <w:pPr>
              <w:pStyle w:val="naisf"/>
              <w:spacing w:before="0" w:after="0"/>
              <w:ind w:firstLine="0"/>
              <w:jc w:val="center"/>
            </w:pPr>
            <w:r w:rsidRPr="00A36C4F">
              <w:t>0</w:t>
            </w:r>
          </w:p>
        </w:tc>
        <w:tc>
          <w:tcPr>
            <w:tcW w:w="684" w:type="pct"/>
            <w:vAlign w:val="center"/>
          </w:tcPr>
          <w:p w:rsidR="00FD632E" w:rsidRPr="00A36C4F" w:rsidRDefault="00FD632E" w:rsidP="0014630D">
            <w:pPr>
              <w:pStyle w:val="naisf"/>
              <w:spacing w:before="0" w:after="0"/>
              <w:ind w:firstLine="0"/>
              <w:jc w:val="center"/>
            </w:pPr>
            <w:r w:rsidRPr="00A36C4F">
              <w:t>0</w:t>
            </w:r>
          </w:p>
        </w:tc>
        <w:tc>
          <w:tcPr>
            <w:tcW w:w="828" w:type="pct"/>
            <w:vAlign w:val="center"/>
          </w:tcPr>
          <w:p w:rsidR="00FD632E" w:rsidRPr="00A36C4F" w:rsidRDefault="00FD632E" w:rsidP="0014630D">
            <w:pPr>
              <w:pStyle w:val="naisf"/>
              <w:spacing w:before="0" w:after="0"/>
              <w:ind w:firstLine="0"/>
              <w:jc w:val="center"/>
            </w:pPr>
            <w:r w:rsidRPr="00A36C4F">
              <w:t>0</w:t>
            </w:r>
          </w:p>
        </w:tc>
        <w:tc>
          <w:tcPr>
            <w:tcW w:w="687" w:type="pct"/>
            <w:vAlign w:val="center"/>
          </w:tcPr>
          <w:p w:rsidR="00FD632E" w:rsidRPr="00A36C4F" w:rsidRDefault="00FD632E" w:rsidP="0014630D">
            <w:pPr>
              <w:pStyle w:val="naisf"/>
              <w:spacing w:before="0" w:after="0"/>
              <w:ind w:firstLine="0"/>
              <w:jc w:val="center"/>
            </w:pPr>
            <w:r w:rsidRPr="00A36C4F">
              <w:t>0</w:t>
            </w:r>
          </w:p>
        </w:tc>
        <w:tc>
          <w:tcPr>
            <w:tcW w:w="566" w:type="pct"/>
            <w:vAlign w:val="center"/>
          </w:tcPr>
          <w:p w:rsidR="00FD632E" w:rsidRPr="00A36C4F" w:rsidRDefault="00FD632E" w:rsidP="0014630D">
            <w:pPr>
              <w:pStyle w:val="naisf"/>
              <w:spacing w:before="0" w:after="0"/>
              <w:ind w:firstLine="0"/>
              <w:jc w:val="center"/>
            </w:pPr>
            <w:r w:rsidRPr="00A36C4F">
              <w:t>0</w:t>
            </w:r>
          </w:p>
        </w:tc>
      </w:tr>
      <w:tr w:rsidR="00FD632E"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A36C4F" w:rsidRDefault="00FD632E" w:rsidP="0014630D">
            <w:pPr>
              <w:jc w:val="both"/>
            </w:pPr>
            <w:r w:rsidRPr="00A36C4F">
              <w:t xml:space="preserve">2.3. pašvaldību budžets </w:t>
            </w:r>
          </w:p>
        </w:tc>
        <w:tc>
          <w:tcPr>
            <w:tcW w:w="757" w:type="pct"/>
            <w:vAlign w:val="center"/>
          </w:tcPr>
          <w:p w:rsidR="00FD632E" w:rsidRPr="00A36C4F" w:rsidRDefault="00FD632E" w:rsidP="0014630D">
            <w:pPr>
              <w:pStyle w:val="naisf"/>
              <w:spacing w:before="0" w:after="0"/>
              <w:ind w:firstLine="0"/>
              <w:jc w:val="center"/>
            </w:pPr>
            <w:r w:rsidRPr="00A36C4F">
              <w:t>0</w:t>
            </w:r>
          </w:p>
        </w:tc>
        <w:tc>
          <w:tcPr>
            <w:tcW w:w="684" w:type="pct"/>
            <w:vAlign w:val="center"/>
          </w:tcPr>
          <w:p w:rsidR="00FD632E" w:rsidRPr="00A36C4F" w:rsidRDefault="00FD632E" w:rsidP="0014630D">
            <w:pPr>
              <w:pStyle w:val="naisf"/>
              <w:spacing w:before="0" w:after="0"/>
              <w:ind w:firstLine="0"/>
              <w:jc w:val="center"/>
            </w:pPr>
            <w:r w:rsidRPr="00A36C4F">
              <w:t>0</w:t>
            </w:r>
          </w:p>
        </w:tc>
        <w:tc>
          <w:tcPr>
            <w:tcW w:w="828" w:type="pct"/>
            <w:vAlign w:val="center"/>
          </w:tcPr>
          <w:p w:rsidR="00FD632E" w:rsidRPr="00A36C4F" w:rsidRDefault="00FD632E" w:rsidP="0014630D">
            <w:pPr>
              <w:pStyle w:val="naisf"/>
              <w:spacing w:before="0" w:after="0"/>
              <w:ind w:firstLine="0"/>
              <w:jc w:val="center"/>
            </w:pPr>
            <w:r w:rsidRPr="00A36C4F">
              <w:t>0</w:t>
            </w:r>
          </w:p>
        </w:tc>
        <w:tc>
          <w:tcPr>
            <w:tcW w:w="687" w:type="pct"/>
            <w:vAlign w:val="center"/>
          </w:tcPr>
          <w:p w:rsidR="00FD632E" w:rsidRPr="00A36C4F" w:rsidRDefault="00FD632E" w:rsidP="0014630D">
            <w:pPr>
              <w:pStyle w:val="naisf"/>
              <w:spacing w:before="0" w:after="0"/>
              <w:ind w:firstLine="0"/>
              <w:jc w:val="center"/>
            </w:pPr>
            <w:r w:rsidRPr="00A36C4F">
              <w:t>0</w:t>
            </w:r>
          </w:p>
        </w:tc>
        <w:tc>
          <w:tcPr>
            <w:tcW w:w="566" w:type="pct"/>
            <w:vAlign w:val="center"/>
          </w:tcPr>
          <w:p w:rsidR="00FD632E" w:rsidRPr="00A36C4F" w:rsidRDefault="00FD632E" w:rsidP="0014630D">
            <w:pPr>
              <w:pStyle w:val="naisf"/>
              <w:spacing w:before="0" w:after="0"/>
              <w:ind w:firstLine="0"/>
              <w:jc w:val="center"/>
            </w:pPr>
            <w:r w:rsidRPr="00A36C4F">
              <w:t>0</w:t>
            </w:r>
          </w:p>
        </w:tc>
      </w:tr>
      <w:tr w:rsidR="00790753" w:rsidRPr="00A36C4F" w:rsidTr="009E0E67">
        <w:tblPrEx>
          <w:jc w:val="center"/>
          <w:tblCellMar>
            <w:top w:w="0" w:type="dxa"/>
            <w:left w:w="108" w:type="dxa"/>
            <w:bottom w:w="0" w:type="dxa"/>
            <w:right w:w="108" w:type="dxa"/>
          </w:tblCellMar>
          <w:tblLook w:val="01E0"/>
        </w:tblPrEx>
        <w:trPr>
          <w:gridAfter w:val="1"/>
          <w:wAfter w:w="40" w:type="pct"/>
          <w:jc w:val="center"/>
        </w:trPr>
        <w:tc>
          <w:tcPr>
            <w:tcW w:w="1438" w:type="pct"/>
          </w:tcPr>
          <w:p w:rsidR="00790753" w:rsidRPr="00A36C4F" w:rsidRDefault="00790753" w:rsidP="0014630D">
            <w:pPr>
              <w:jc w:val="both"/>
            </w:pPr>
            <w:r w:rsidRPr="00A36C4F">
              <w:t>3. Finansiālā ietekme:</w:t>
            </w:r>
          </w:p>
        </w:tc>
        <w:tc>
          <w:tcPr>
            <w:tcW w:w="757" w:type="pct"/>
            <w:shd w:val="clear" w:color="auto" w:fill="auto"/>
            <w:vAlign w:val="center"/>
          </w:tcPr>
          <w:p w:rsidR="00790753" w:rsidRPr="00A36C4F" w:rsidRDefault="00790753" w:rsidP="0014630D">
            <w:pPr>
              <w:pStyle w:val="naisf"/>
              <w:spacing w:before="0" w:after="0"/>
              <w:ind w:firstLine="0"/>
              <w:jc w:val="center"/>
            </w:pPr>
            <w:r w:rsidRPr="00A36C4F">
              <w:t>0</w:t>
            </w:r>
          </w:p>
        </w:tc>
        <w:tc>
          <w:tcPr>
            <w:tcW w:w="684" w:type="pct"/>
            <w:vAlign w:val="center"/>
          </w:tcPr>
          <w:p w:rsidR="00790753" w:rsidRPr="00A36C4F" w:rsidRDefault="00790753" w:rsidP="0014630D">
            <w:pPr>
              <w:pStyle w:val="naisf"/>
              <w:spacing w:before="0" w:after="0"/>
              <w:ind w:firstLine="0"/>
              <w:jc w:val="center"/>
            </w:pPr>
            <w:r w:rsidRPr="00A36C4F">
              <w:t>0</w:t>
            </w:r>
          </w:p>
        </w:tc>
        <w:tc>
          <w:tcPr>
            <w:tcW w:w="828" w:type="pct"/>
          </w:tcPr>
          <w:p w:rsidR="00790753" w:rsidRDefault="00790753" w:rsidP="00790753">
            <w:pPr>
              <w:jc w:val="center"/>
            </w:pPr>
            <w:r>
              <w:rPr>
                <w:b/>
              </w:rPr>
              <w:t>0</w:t>
            </w:r>
          </w:p>
        </w:tc>
        <w:tc>
          <w:tcPr>
            <w:tcW w:w="687" w:type="pct"/>
          </w:tcPr>
          <w:p w:rsidR="00790753" w:rsidRDefault="00790753" w:rsidP="00790753">
            <w:pPr>
              <w:jc w:val="center"/>
            </w:pPr>
            <w:r w:rsidRPr="003C3F2B">
              <w:rPr>
                <w:b/>
              </w:rPr>
              <w:t>0</w:t>
            </w:r>
          </w:p>
        </w:tc>
        <w:tc>
          <w:tcPr>
            <w:tcW w:w="566" w:type="pct"/>
          </w:tcPr>
          <w:p w:rsidR="00790753" w:rsidRDefault="00790753" w:rsidP="00790753">
            <w:pPr>
              <w:jc w:val="center"/>
            </w:pPr>
            <w:r w:rsidRPr="003C3F2B">
              <w:rPr>
                <w:b/>
              </w:rPr>
              <w:t>0</w:t>
            </w:r>
          </w:p>
        </w:tc>
      </w:tr>
      <w:tr w:rsidR="00790753"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790753" w:rsidRPr="00A36C4F" w:rsidRDefault="00790753" w:rsidP="0014630D">
            <w:pPr>
              <w:jc w:val="both"/>
            </w:pPr>
            <w:r w:rsidRPr="00A36C4F">
              <w:t>3.1. valsts pamatbudžets</w:t>
            </w:r>
          </w:p>
        </w:tc>
        <w:tc>
          <w:tcPr>
            <w:tcW w:w="757" w:type="pct"/>
            <w:shd w:val="clear" w:color="auto" w:fill="auto"/>
            <w:vAlign w:val="center"/>
          </w:tcPr>
          <w:p w:rsidR="00790753" w:rsidRPr="00A36C4F" w:rsidRDefault="00790753" w:rsidP="0014630D">
            <w:pPr>
              <w:pStyle w:val="naisf"/>
              <w:spacing w:before="0" w:after="0"/>
              <w:ind w:firstLine="0"/>
              <w:jc w:val="center"/>
            </w:pPr>
            <w:r w:rsidRPr="00A36C4F">
              <w:t>0</w:t>
            </w:r>
          </w:p>
        </w:tc>
        <w:tc>
          <w:tcPr>
            <w:tcW w:w="684" w:type="pct"/>
            <w:vAlign w:val="center"/>
          </w:tcPr>
          <w:p w:rsidR="00790753" w:rsidRPr="00A36C4F" w:rsidRDefault="00790753" w:rsidP="0014630D">
            <w:pPr>
              <w:pStyle w:val="naisf"/>
              <w:spacing w:before="0" w:after="0"/>
              <w:ind w:firstLine="0"/>
              <w:jc w:val="center"/>
            </w:pPr>
            <w:r w:rsidRPr="00A36C4F">
              <w:t>0</w:t>
            </w:r>
          </w:p>
        </w:tc>
        <w:tc>
          <w:tcPr>
            <w:tcW w:w="828" w:type="pct"/>
            <w:vAlign w:val="center"/>
          </w:tcPr>
          <w:p w:rsidR="00790753" w:rsidRPr="00A36C4F" w:rsidRDefault="00790753" w:rsidP="009E0E67">
            <w:pPr>
              <w:pStyle w:val="naisf"/>
              <w:spacing w:before="0" w:after="0"/>
              <w:ind w:firstLine="0"/>
              <w:jc w:val="center"/>
            </w:pPr>
            <w:r w:rsidRPr="00A36C4F">
              <w:t>0</w:t>
            </w:r>
          </w:p>
        </w:tc>
        <w:tc>
          <w:tcPr>
            <w:tcW w:w="687" w:type="pct"/>
            <w:vAlign w:val="center"/>
          </w:tcPr>
          <w:p w:rsidR="00790753" w:rsidRPr="00A36C4F" w:rsidRDefault="00790753" w:rsidP="009E0E67">
            <w:pPr>
              <w:pStyle w:val="naisf"/>
              <w:spacing w:before="0" w:after="0"/>
              <w:ind w:firstLine="0"/>
              <w:jc w:val="center"/>
            </w:pPr>
            <w:r w:rsidRPr="00A36C4F">
              <w:t>0</w:t>
            </w:r>
          </w:p>
        </w:tc>
        <w:tc>
          <w:tcPr>
            <w:tcW w:w="566" w:type="pct"/>
            <w:vAlign w:val="center"/>
          </w:tcPr>
          <w:p w:rsidR="00790753" w:rsidRPr="00A36C4F" w:rsidRDefault="00790753" w:rsidP="009E0E67">
            <w:pPr>
              <w:pStyle w:val="naisf"/>
              <w:spacing w:before="0" w:after="0"/>
              <w:ind w:firstLine="0"/>
              <w:jc w:val="center"/>
            </w:pPr>
            <w:r w:rsidRPr="00A36C4F">
              <w:t>0</w:t>
            </w:r>
          </w:p>
        </w:tc>
      </w:tr>
      <w:tr w:rsidR="00FD632E"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A36C4F" w:rsidRDefault="00FD632E" w:rsidP="0014630D">
            <w:pPr>
              <w:jc w:val="both"/>
            </w:pPr>
            <w:r w:rsidRPr="00A36C4F">
              <w:t>3.2. speciālais budžets</w:t>
            </w:r>
          </w:p>
        </w:tc>
        <w:tc>
          <w:tcPr>
            <w:tcW w:w="757" w:type="pct"/>
            <w:shd w:val="clear" w:color="auto" w:fill="auto"/>
            <w:vAlign w:val="center"/>
          </w:tcPr>
          <w:p w:rsidR="00FD632E" w:rsidRPr="00A36C4F" w:rsidRDefault="00FD632E" w:rsidP="0014630D">
            <w:pPr>
              <w:pStyle w:val="naisf"/>
              <w:spacing w:before="0" w:after="0"/>
              <w:ind w:firstLine="0"/>
              <w:jc w:val="center"/>
            </w:pPr>
            <w:r w:rsidRPr="00A36C4F">
              <w:t>0</w:t>
            </w:r>
          </w:p>
        </w:tc>
        <w:tc>
          <w:tcPr>
            <w:tcW w:w="684" w:type="pct"/>
            <w:vAlign w:val="center"/>
          </w:tcPr>
          <w:p w:rsidR="00FD632E" w:rsidRPr="00A36C4F" w:rsidRDefault="00FD632E" w:rsidP="0014630D">
            <w:pPr>
              <w:pStyle w:val="naisf"/>
              <w:spacing w:before="0" w:after="0"/>
              <w:ind w:firstLine="0"/>
              <w:jc w:val="center"/>
            </w:pPr>
            <w:r w:rsidRPr="00A36C4F">
              <w:t>0</w:t>
            </w:r>
          </w:p>
        </w:tc>
        <w:tc>
          <w:tcPr>
            <w:tcW w:w="828" w:type="pct"/>
            <w:vAlign w:val="center"/>
          </w:tcPr>
          <w:p w:rsidR="00FD632E" w:rsidRPr="00A36C4F" w:rsidRDefault="00FD632E" w:rsidP="0014630D">
            <w:pPr>
              <w:pStyle w:val="naisf"/>
              <w:spacing w:before="0" w:after="0"/>
              <w:ind w:firstLine="0"/>
              <w:jc w:val="center"/>
            </w:pPr>
            <w:r w:rsidRPr="00A36C4F">
              <w:t>0</w:t>
            </w:r>
          </w:p>
        </w:tc>
        <w:tc>
          <w:tcPr>
            <w:tcW w:w="687" w:type="pct"/>
            <w:vAlign w:val="center"/>
          </w:tcPr>
          <w:p w:rsidR="00FD632E" w:rsidRPr="00A36C4F" w:rsidRDefault="00FD632E" w:rsidP="0014630D">
            <w:pPr>
              <w:pStyle w:val="naisf"/>
              <w:spacing w:before="0" w:after="0"/>
              <w:ind w:firstLine="0"/>
              <w:jc w:val="center"/>
            </w:pPr>
            <w:r w:rsidRPr="00A36C4F">
              <w:t>0</w:t>
            </w:r>
          </w:p>
        </w:tc>
        <w:tc>
          <w:tcPr>
            <w:tcW w:w="566" w:type="pct"/>
            <w:vAlign w:val="center"/>
          </w:tcPr>
          <w:p w:rsidR="00FD632E" w:rsidRPr="00A36C4F" w:rsidRDefault="00FD632E" w:rsidP="0014630D">
            <w:pPr>
              <w:pStyle w:val="naisf"/>
              <w:spacing w:before="0" w:after="0"/>
              <w:ind w:firstLine="0"/>
              <w:jc w:val="center"/>
            </w:pPr>
            <w:r w:rsidRPr="00A36C4F">
              <w:t>0</w:t>
            </w:r>
          </w:p>
        </w:tc>
      </w:tr>
      <w:tr w:rsidR="00FD632E" w:rsidRPr="00A36C4F" w:rsidTr="0014630D">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A36C4F" w:rsidRDefault="00FD632E" w:rsidP="0014630D">
            <w:pPr>
              <w:jc w:val="both"/>
            </w:pPr>
            <w:r w:rsidRPr="00A36C4F">
              <w:t xml:space="preserve">3.3. pašvaldību budžets </w:t>
            </w:r>
          </w:p>
        </w:tc>
        <w:tc>
          <w:tcPr>
            <w:tcW w:w="757" w:type="pct"/>
            <w:shd w:val="clear" w:color="auto" w:fill="auto"/>
            <w:vAlign w:val="center"/>
          </w:tcPr>
          <w:p w:rsidR="00FD632E" w:rsidRPr="00A36C4F" w:rsidRDefault="00FD632E" w:rsidP="0014630D">
            <w:pPr>
              <w:pStyle w:val="naisf"/>
              <w:spacing w:before="0" w:after="0"/>
              <w:ind w:firstLine="0"/>
              <w:jc w:val="center"/>
            </w:pPr>
            <w:r w:rsidRPr="00A36C4F">
              <w:t>0</w:t>
            </w:r>
          </w:p>
        </w:tc>
        <w:tc>
          <w:tcPr>
            <w:tcW w:w="684" w:type="pct"/>
            <w:vAlign w:val="center"/>
          </w:tcPr>
          <w:p w:rsidR="00FD632E" w:rsidRPr="00A36C4F" w:rsidRDefault="00FD632E" w:rsidP="0014630D">
            <w:pPr>
              <w:pStyle w:val="naisf"/>
              <w:spacing w:before="0" w:after="0"/>
              <w:ind w:firstLine="0"/>
              <w:jc w:val="center"/>
            </w:pPr>
            <w:r w:rsidRPr="00A36C4F">
              <w:t>0</w:t>
            </w:r>
          </w:p>
        </w:tc>
        <w:tc>
          <w:tcPr>
            <w:tcW w:w="828" w:type="pct"/>
            <w:vAlign w:val="center"/>
          </w:tcPr>
          <w:p w:rsidR="00FD632E" w:rsidRPr="00A36C4F" w:rsidRDefault="00FD632E" w:rsidP="0014630D">
            <w:pPr>
              <w:pStyle w:val="naisf"/>
              <w:spacing w:before="0" w:after="0"/>
              <w:ind w:firstLine="0"/>
              <w:jc w:val="center"/>
            </w:pPr>
            <w:r w:rsidRPr="00A36C4F">
              <w:t>0</w:t>
            </w:r>
          </w:p>
        </w:tc>
        <w:tc>
          <w:tcPr>
            <w:tcW w:w="687" w:type="pct"/>
            <w:vAlign w:val="center"/>
          </w:tcPr>
          <w:p w:rsidR="00FD632E" w:rsidRPr="00A36C4F" w:rsidRDefault="00FD632E" w:rsidP="0014630D">
            <w:pPr>
              <w:pStyle w:val="naisf"/>
              <w:spacing w:before="0" w:after="0"/>
              <w:ind w:firstLine="0"/>
              <w:jc w:val="center"/>
            </w:pPr>
            <w:r w:rsidRPr="00A36C4F">
              <w:t>0</w:t>
            </w:r>
          </w:p>
        </w:tc>
        <w:tc>
          <w:tcPr>
            <w:tcW w:w="566" w:type="pct"/>
            <w:vAlign w:val="center"/>
          </w:tcPr>
          <w:p w:rsidR="00FD632E" w:rsidRPr="00A36C4F" w:rsidRDefault="00FD632E" w:rsidP="0014630D">
            <w:pPr>
              <w:pStyle w:val="naisf"/>
              <w:spacing w:before="0" w:after="0"/>
              <w:ind w:firstLine="0"/>
              <w:jc w:val="center"/>
            </w:pPr>
            <w:r w:rsidRPr="00A36C4F">
              <w:t>0</w:t>
            </w:r>
          </w:p>
        </w:tc>
      </w:tr>
      <w:tr w:rsidR="00790753" w:rsidRPr="00A36C4F" w:rsidTr="009E0E67">
        <w:tblPrEx>
          <w:jc w:val="center"/>
          <w:tblCellMar>
            <w:top w:w="0" w:type="dxa"/>
            <w:left w:w="108" w:type="dxa"/>
            <w:bottom w:w="0" w:type="dxa"/>
            <w:right w:w="108" w:type="dxa"/>
          </w:tblCellMar>
          <w:tblLook w:val="01E0"/>
        </w:tblPrEx>
        <w:trPr>
          <w:gridAfter w:val="1"/>
          <w:wAfter w:w="40" w:type="pct"/>
          <w:jc w:val="center"/>
        </w:trPr>
        <w:tc>
          <w:tcPr>
            <w:tcW w:w="1438" w:type="pct"/>
            <w:vMerge w:val="restart"/>
          </w:tcPr>
          <w:p w:rsidR="00790753" w:rsidRPr="00A36C4F" w:rsidRDefault="00790753" w:rsidP="000A4159">
            <w:pPr>
              <w:jc w:val="both"/>
            </w:pPr>
            <w:r w:rsidRPr="00A36C4F">
              <w:t>4. Finanšu līdzekļi papildu izdevumu finansēšanai (kompensējošu izdevumu samazinājumu norāda ar "+" zīmi)</w:t>
            </w:r>
          </w:p>
        </w:tc>
        <w:tc>
          <w:tcPr>
            <w:tcW w:w="757" w:type="pct"/>
            <w:vMerge w:val="restart"/>
            <w:vAlign w:val="center"/>
          </w:tcPr>
          <w:p w:rsidR="00790753" w:rsidRPr="00A36C4F" w:rsidRDefault="00790753" w:rsidP="004F1604">
            <w:pPr>
              <w:pStyle w:val="naisf"/>
              <w:spacing w:before="0" w:after="0"/>
              <w:ind w:firstLine="0"/>
              <w:jc w:val="center"/>
            </w:pPr>
            <w:r w:rsidRPr="00A36C4F">
              <w:t>X</w:t>
            </w:r>
          </w:p>
        </w:tc>
        <w:tc>
          <w:tcPr>
            <w:tcW w:w="684" w:type="pct"/>
            <w:vAlign w:val="center"/>
          </w:tcPr>
          <w:p w:rsidR="00790753" w:rsidRPr="00A36C4F" w:rsidRDefault="00790753" w:rsidP="0014630D">
            <w:pPr>
              <w:pStyle w:val="naisf"/>
              <w:spacing w:before="0" w:after="0"/>
              <w:ind w:firstLine="0"/>
              <w:jc w:val="center"/>
            </w:pPr>
            <w:r w:rsidRPr="00A36C4F">
              <w:t>0</w:t>
            </w:r>
          </w:p>
        </w:tc>
        <w:tc>
          <w:tcPr>
            <w:tcW w:w="828" w:type="pct"/>
          </w:tcPr>
          <w:p w:rsidR="00790753" w:rsidRDefault="00790753" w:rsidP="009E0E67">
            <w:pPr>
              <w:jc w:val="center"/>
            </w:pPr>
            <w:r>
              <w:rPr>
                <w:b/>
              </w:rPr>
              <w:t>0</w:t>
            </w:r>
          </w:p>
        </w:tc>
        <w:tc>
          <w:tcPr>
            <w:tcW w:w="687" w:type="pct"/>
          </w:tcPr>
          <w:p w:rsidR="00790753" w:rsidRDefault="00790753" w:rsidP="009E0E67">
            <w:pPr>
              <w:jc w:val="center"/>
            </w:pPr>
            <w:r w:rsidRPr="003C3F2B">
              <w:rPr>
                <w:b/>
              </w:rPr>
              <w:t>0</w:t>
            </w:r>
          </w:p>
        </w:tc>
        <w:tc>
          <w:tcPr>
            <w:tcW w:w="566" w:type="pct"/>
          </w:tcPr>
          <w:p w:rsidR="00790753" w:rsidRDefault="00790753" w:rsidP="009E0E67">
            <w:pPr>
              <w:jc w:val="center"/>
            </w:pPr>
            <w:r w:rsidRPr="003C3F2B">
              <w:rPr>
                <w:b/>
              </w:rPr>
              <w:t>0</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vMerge/>
          </w:tcPr>
          <w:p w:rsidR="00FD632E" w:rsidRPr="00464EA5" w:rsidRDefault="00FD632E" w:rsidP="0014630D">
            <w:pPr>
              <w:jc w:val="both"/>
            </w:pPr>
          </w:p>
        </w:tc>
        <w:tc>
          <w:tcPr>
            <w:tcW w:w="757" w:type="pct"/>
            <w:vMerge/>
            <w:vAlign w:val="center"/>
          </w:tcPr>
          <w:p w:rsidR="00FD632E" w:rsidRPr="00464EA5" w:rsidRDefault="00FD632E" w:rsidP="0014630D">
            <w:pPr>
              <w:pStyle w:val="naisf"/>
              <w:spacing w:before="0" w:after="0"/>
              <w:ind w:firstLine="0"/>
              <w:jc w:val="center"/>
            </w:pPr>
          </w:p>
        </w:tc>
        <w:tc>
          <w:tcPr>
            <w:tcW w:w="684" w:type="pct"/>
            <w:vAlign w:val="center"/>
          </w:tcPr>
          <w:p w:rsidR="00FD632E" w:rsidRPr="00464EA5" w:rsidRDefault="00FD632E" w:rsidP="0014630D">
            <w:pPr>
              <w:pStyle w:val="naisf"/>
              <w:spacing w:before="0" w:after="0"/>
              <w:ind w:firstLine="0"/>
              <w:jc w:val="center"/>
            </w:pPr>
            <w:r w:rsidRPr="00464EA5">
              <w:t>0</w:t>
            </w:r>
          </w:p>
        </w:tc>
        <w:tc>
          <w:tcPr>
            <w:tcW w:w="828" w:type="pct"/>
            <w:vAlign w:val="center"/>
          </w:tcPr>
          <w:p w:rsidR="00FD632E" w:rsidRPr="00464EA5" w:rsidRDefault="00FD632E" w:rsidP="0014630D">
            <w:pPr>
              <w:pStyle w:val="naisf"/>
              <w:spacing w:before="0" w:after="0"/>
              <w:ind w:firstLine="0"/>
              <w:jc w:val="center"/>
            </w:pPr>
            <w:r w:rsidRPr="00464EA5">
              <w:t>0</w:t>
            </w:r>
          </w:p>
        </w:tc>
        <w:tc>
          <w:tcPr>
            <w:tcW w:w="687" w:type="pct"/>
            <w:vAlign w:val="center"/>
          </w:tcPr>
          <w:p w:rsidR="00FD632E" w:rsidRPr="00464EA5" w:rsidRDefault="00FD632E" w:rsidP="0014630D">
            <w:pPr>
              <w:pStyle w:val="naisf"/>
              <w:spacing w:before="0" w:after="0"/>
              <w:ind w:firstLine="0"/>
              <w:jc w:val="center"/>
            </w:pPr>
            <w:r w:rsidRPr="00464EA5">
              <w:t>0</w:t>
            </w:r>
          </w:p>
        </w:tc>
        <w:tc>
          <w:tcPr>
            <w:tcW w:w="566" w:type="pct"/>
            <w:vAlign w:val="center"/>
          </w:tcPr>
          <w:p w:rsidR="00FD632E" w:rsidRPr="00464EA5" w:rsidRDefault="00FD632E" w:rsidP="0014630D">
            <w:pPr>
              <w:pStyle w:val="naisf"/>
              <w:spacing w:before="0" w:after="0"/>
              <w:ind w:firstLine="0"/>
              <w:jc w:val="center"/>
            </w:pPr>
            <w:r w:rsidRPr="00464EA5">
              <w:t>0</w:t>
            </w:r>
          </w:p>
        </w:tc>
      </w:tr>
      <w:tr w:rsidR="00FD632E" w:rsidRPr="00464EA5" w:rsidTr="0014630D">
        <w:tblPrEx>
          <w:jc w:val="center"/>
          <w:tblCellMar>
            <w:top w:w="0" w:type="dxa"/>
            <w:left w:w="108" w:type="dxa"/>
            <w:bottom w:w="0" w:type="dxa"/>
            <w:right w:w="108" w:type="dxa"/>
          </w:tblCellMar>
          <w:tblLook w:val="01E0"/>
        </w:tblPrEx>
        <w:trPr>
          <w:gridAfter w:val="1"/>
          <w:wAfter w:w="40" w:type="pct"/>
          <w:jc w:val="center"/>
        </w:trPr>
        <w:tc>
          <w:tcPr>
            <w:tcW w:w="1438" w:type="pct"/>
            <w:vMerge/>
          </w:tcPr>
          <w:p w:rsidR="00FD632E" w:rsidRPr="00464EA5" w:rsidRDefault="00FD632E" w:rsidP="0014630D">
            <w:pPr>
              <w:jc w:val="both"/>
            </w:pPr>
          </w:p>
        </w:tc>
        <w:tc>
          <w:tcPr>
            <w:tcW w:w="757" w:type="pct"/>
            <w:vMerge/>
            <w:vAlign w:val="center"/>
          </w:tcPr>
          <w:p w:rsidR="00FD632E" w:rsidRPr="00464EA5" w:rsidRDefault="00FD632E" w:rsidP="0014630D">
            <w:pPr>
              <w:pStyle w:val="naisf"/>
              <w:spacing w:before="0" w:after="0"/>
              <w:ind w:firstLine="0"/>
              <w:jc w:val="center"/>
            </w:pPr>
          </w:p>
        </w:tc>
        <w:tc>
          <w:tcPr>
            <w:tcW w:w="684" w:type="pct"/>
            <w:vAlign w:val="center"/>
          </w:tcPr>
          <w:p w:rsidR="00FD632E" w:rsidRPr="00464EA5" w:rsidRDefault="00FD632E" w:rsidP="0014630D">
            <w:pPr>
              <w:pStyle w:val="naisf"/>
              <w:spacing w:before="0" w:after="0"/>
              <w:ind w:firstLine="0"/>
              <w:jc w:val="center"/>
            </w:pPr>
            <w:r w:rsidRPr="00464EA5">
              <w:t>0</w:t>
            </w:r>
          </w:p>
        </w:tc>
        <w:tc>
          <w:tcPr>
            <w:tcW w:w="828" w:type="pct"/>
            <w:vAlign w:val="center"/>
          </w:tcPr>
          <w:p w:rsidR="00FD632E" w:rsidRPr="00464EA5" w:rsidRDefault="00FD632E" w:rsidP="0014630D">
            <w:pPr>
              <w:pStyle w:val="naisf"/>
              <w:spacing w:before="0" w:after="0"/>
              <w:ind w:firstLine="0"/>
              <w:jc w:val="center"/>
            </w:pPr>
            <w:r w:rsidRPr="00464EA5">
              <w:t>0</w:t>
            </w:r>
          </w:p>
        </w:tc>
        <w:tc>
          <w:tcPr>
            <w:tcW w:w="687" w:type="pct"/>
            <w:vAlign w:val="center"/>
          </w:tcPr>
          <w:p w:rsidR="00FD632E" w:rsidRPr="00464EA5" w:rsidRDefault="00FD632E" w:rsidP="0014630D">
            <w:pPr>
              <w:pStyle w:val="naisf"/>
              <w:spacing w:before="0" w:after="0"/>
              <w:ind w:firstLine="0"/>
              <w:jc w:val="center"/>
            </w:pPr>
            <w:r w:rsidRPr="00464EA5">
              <w:t>0</w:t>
            </w:r>
          </w:p>
        </w:tc>
        <w:tc>
          <w:tcPr>
            <w:tcW w:w="566" w:type="pct"/>
            <w:vAlign w:val="center"/>
          </w:tcPr>
          <w:p w:rsidR="00FD632E" w:rsidRPr="00464EA5" w:rsidRDefault="00FD632E" w:rsidP="0014630D">
            <w:pPr>
              <w:pStyle w:val="naisf"/>
              <w:spacing w:before="0" w:after="0"/>
              <w:ind w:firstLine="0"/>
              <w:jc w:val="center"/>
            </w:pPr>
            <w:r w:rsidRPr="00464EA5">
              <w:t>0</w:t>
            </w:r>
          </w:p>
        </w:tc>
      </w:tr>
      <w:tr w:rsidR="00FD632E" w:rsidRPr="00464EA5" w:rsidTr="00FD632E">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jc w:val="both"/>
            </w:pPr>
            <w:r w:rsidRPr="00464EA5">
              <w:t>5. Precizēta finansiālā ietekme:</w:t>
            </w:r>
          </w:p>
        </w:tc>
        <w:tc>
          <w:tcPr>
            <w:tcW w:w="757" w:type="pct"/>
            <w:vMerge w:val="restart"/>
            <w:vAlign w:val="center"/>
          </w:tcPr>
          <w:p w:rsidR="00FD632E" w:rsidRPr="00464EA5" w:rsidRDefault="00FD632E" w:rsidP="004F1604">
            <w:pPr>
              <w:pStyle w:val="naisf"/>
              <w:spacing w:before="0" w:after="0"/>
              <w:ind w:firstLine="0"/>
              <w:jc w:val="center"/>
            </w:pPr>
            <w:r w:rsidRPr="00464EA5">
              <w:t>X</w:t>
            </w:r>
          </w:p>
        </w:tc>
        <w:tc>
          <w:tcPr>
            <w:tcW w:w="684" w:type="pct"/>
            <w:vAlign w:val="center"/>
          </w:tcPr>
          <w:p w:rsidR="00FD632E" w:rsidRPr="00464EA5" w:rsidRDefault="00FD632E" w:rsidP="00FD632E">
            <w:pPr>
              <w:pStyle w:val="naisf"/>
              <w:spacing w:before="0" w:after="0"/>
              <w:ind w:firstLine="0"/>
              <w:jc w:val="center"/>
            </w:pPr>
            <w:r w:rsidRPr="00464EA5">
              <w:t>0</w:t>
            </w:r>
          </w:p>
        </w:tc>
        <w:tc>
          <w:tcPr>
            <w:tcW w:w="828" w:type="pct"/>
            <w:vAlign w:val="center"/>
          </w:tcPr>
          <w:p w:rsidR="00FD632E" w:rsidRPr="00464EA5" w:rsidRDefault="00FD632E" w:rsidP="00FD632E">
            <w:pPr>
              <w:pStyle w:val="naisf"/>
              <w:spacing w:before="0" w:after="0"/>
              <w:ind w:firstLine="0"/>
              <w:jc w:val="center"/>
            </w:pPr>
            <w:r w:rsidRPr="00464EA5">
              <w:t>0</w:t>
            </w:r>
          </w:p>
        </w:tc>
        <w:tc>
          <w:tcPr>
            <w:tcW w:w="687" w:type="pct"/>
            <w:vAlign w:val="center"/>
          </w:tcPr>
          <w:p w:rsidR="00FD632E" w:rsidRPr="00464EA5" w:rsidRDefault="00FD632E" w:rsidP="00FD632E">
            <w:pPr>
              <w:pStyle w:val="naisf"/>
              <w:spacing w:before="0" w:after="0"/>
              <w:ind w:firstLine="0"/>
              <w:jc w:val="center"/>
            </w:pPr>
            <w:r w:rsidRPr="00464EA5">
              <w:t>0</w:t>
            </w:r>
          </w:p>
        </w:tc>
        <w:tc>
          <w:tcPr>
            <w:tcW w:w="566" w:type="pct"/>
            <w:vAlign w:val="center"/>
          </w:tcPr>
          <w:p w:rsidR="00FD632E" w:rsidRPr="00464EA5" w:rsidRDefault="00FD632E" w:rsidP="00FD632E">
            <w:pPr>
              <w:pStyle w:val="naisf"/>
              <w:spacing w:before="0" w:after="0"/>
              <w:ind w:firstLine="0"/>
              <w:jc w:val="center"/>
            </w:pPr>
            <w:r w:rsidRPr="00464EA5">
              <w:t>0</w:t>
            </w:r>
          </w:p>
        </w:tc>
      </w:tr>
      <w:tr w:rsidR="00FD632E" w:rsidRPr="00464EA5" w:rsidTr="00FD632E">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jc w:val="both"/>
            </w:pPr>
            <w:r w:rsidRPr="00464EA5">
              <w:t>5.1. valsts pamatbudžets</w:t>
            </w:r>
          </w:p>
        </w:tc>
        <w:tc>
          <w:tcPr>
            <w:tcW w:w="757" w:type="pct"/>
            <w:vMerge/>
            <w:vAlign w:val="center"/>
          </w:tcPr>
          <w:p w:rsidR="00FD632E" w:rsidRPr="00464EA5" w:rsidRDefault="00FD632E" w:rsidP="0014630D">
            <w:pPr>
              <w:pStyle w:val="naisf"/>
              <w:spacing w:before="0" w:after="0"/>
              <w:ind w:firstLine="0"/>
              <w:jc w:val="center"/>
              <w:rPr>
                <w:i/>
              </w:rPr>
            </w:pPr>
          </w:p>
        </w:tc>
        <w:tc>
          <w:tcPr>
            <w:tcW w:w="684" w:type="pct"/>
            <w:vAlign w:val="center"/>
          </w:tcPr>
          <w:p w:rsidR="00FD632E" w:rsidRPr="00464EA5" w:rsidRDefault="00FD632E" w:rsidP="00FD632E">
            <w:pPr>
              <w:pStyle w:val="naisf"/>
              <w:spacing w:before="0" w:after="0"/>
              <w:ind w:firstLine="0"/>
              <w:jc w:val="center"/>
            </w:pPr>
            <w:r w:rsidRPr="00464EA5">
              <w:t>0</w:t>
            </w:r>
          </w:p>
        </w:tc>
        <w:tc>
          <w:tcPr>
            <w:tcW w:w="828" w:type="pct"/>
            <w:vAlign w:val="center"/>
          </w:tcPr>
          <w:p w:rsidR="00FD632E" w:rsidRPr="00464EA5" w:rsidRDefault="00FD632E" w:rsidP="00FD632E">
            <w:pPr>
              <w:pStyle w:val="naisf"/>
              <w:spacing w:before="0" w:after="0"/>
              <w:ind w:firstLine="0"/>
              <w:jc w:val="center"/>
            </w:pPr>
            <w:r w:rsidRPr="00464EA5">
              <w:t>0</w:t>
            </w:r>
          </w:p>
        </w:tc>
        <w:tc>
          <w:tcPr>
            <w:tcW w:w="687" w:type="pct"/>
            <w:vAlign w:val="center"/>
          </w:tcPr>
          <w:p w:rsidR="00FD632E" w:rsidRPr="00464EA5" w:rsidRDefault="00FD632E" w:rsidP="00FD632E">
            <w:pPr>
              <w:pStyle w:val="naisf"/>
              <w:spacing w:before="0" w:after="0"/>
              <w:ind w:firstLine="0"/>
              <w:jc w:val="center"/>
            </w:pPr>
            <w:r w:rsidRPr="00464EA5">
              <w:t>0</w:t>
            </w:r>
          </w:p>
        </w:tc>
        <w:tc>
          <w:tcPr>
            <w:tcW w:w="566" w:type="pct"/>
            <w:vAlign w:val="center"/>
          </w:tcPr>
          <w:p w:rsidR="00FD632E" w:rsidRPr="00464EA5" w:rsidRDefault="00FD632E" w:rsidP="00FD632E">
            <w:pPr>
              <w:pStyle w:val="naisf"/>
              <w:spacing w:before="0" w:after="0"/>
              <w:ind w:firstLine="0"/>
              <w:jc w:val="center"/>
            </w:pPr>
            <w:r w:rsidRPr="00464EA5">
              <w:t>0</w:t>
            </w:r>
          </w:p>
        </w:tc>
      </w:tr>
      <w:tr w:rsidR="00FD632E" w:rsidRPr="00464EA5" w:rsidTr="00FD632E">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jc w:val="both"/>
            </w:pPr>
            <w:r w:rsidRPr="00464EA5">
              <w:t>5.2. speciālais budžets</w:t>
            </w:r>
          </w:p>
        </w:tc>
        <w:tc>
          <w:tcPr>
            <w:tcW w:w="757" w:type="pct"/>
            <w:vMerge/>
            <w:vAlign w:val="center"/>
          </w:tcPr>
          <w:p w:rsidR="00FD632E" w:rsidRPr="00464EA5" w:rsidRDefault="00FD632E" w:rsidP="0014630D">
            <w:pPr>
              <w:pStyle w:val="naisf"/>
              <w:spacing w:before="0" w:after="0"/>
              <w:ind w:firstLine="0"/>
              <w:jc w:val="center"/>
              <w:rPr>
                <w:i/>
              </w:rPr>
            </w:pPr>
          </w:p>
        </w:tc>
        <w:tc>
          <w:tcPr>
            <w:tcW w:w="684" w:type="pct"/>
            <w:vAlign w:val="center"/>
          </w:tcPr>
          <w:p w:rsidR="00FD632E" w:rsidRPr="00464EA5" w:rsidRDefault="00FD632E" w:rsidP="00FD632E">
            <w:pPr>
              <w:pStyle w:val="naisf"/>
              <w:spacing w:before="0" w:after="0"/>
              <w:ind w:firstLine="0"/>
              <w:jc w:val="center"/>
              <w:rPr>
                <w:b/>
              </w:rPr>
            </w:pPr>
            <w:r w:rsidRPr="00464EA5">
              <w:t>0</w:t>
            </w:r>
          </w:p>
        </w:tc>
        <w:tc>
          <w:tcPr>
            <w:tcW w:w="828" w:type="pct"/>
            <w:vAlign w:val="center"/>
          </w:tcPr>
          <w:p w:rsidR="00FD632E" w:rsidRPr="00464EA5" w:rsidRDefault="00FD632E" w:rsidP="00FD632E">
            <w:pPr>
              <w:pStyle w:val="naisf"/>
              <w:spacing w:before="0" w:after="0"/>
              <w:ind w:firstLine="0"/>
              <w:jc w:val="center"/>
              <w:rPr>
                <w:b/>
              </w:rPr>
            </w:pPr>
            <w:r w:rsidRPr="00464EA5">
              <w:t>0</w:t>
            </w:r>
          </w:p>
        </w:tc>
        <w:tc>
          <w:tcPr>
            <w:tcW w:w="687" w:type="pct"/>
            <w:vAlign w:val="center"/>
          </w:tcPr>
          <w:p w:rsidR="00FD632E" w:rsidRPr="00464EA5" w:rsidRDefault="00FD632E" w:rsidP="00FD632E">
            <w:pPr>
              <w:pStyle w:val="naisf"/>
              <w:spacing w:before="0" w:after="0"/>
              <w:ind w:firstLine="0"/>
              <w:jc w:val="center"/>
              <w:rPr>
                <w:b/>
              </w:rPr>
            </w:pPr>
            <w:r w:rsidRPr="00464EA5">
              <w:t>0</w:t>
            </w:r>
          </w:p>
        </w:tc>
        <w:tc>
          <w:tcPr>
            <w:tcW w:w="566" w:type="pct"/>
            <w:vAlign w:val="center"/>
          </w:tcPr>
          <w:p w:rsidR="00FD632E" w:rsidRPr="00464EA5" w:rsidRDefault="00FD632E" w:rsidP="00FD632E">
            <w:pPr>
              <w:pStyle w:val="naisf"/>
              <w:spacing w:before="0" w:after="0"/>
              <w:ind w:firstLine="0"/>
              <w:jc w:val="center"/>
              <w:rPr>
                <w:b/>
              </w:rPr>
            </w:pPr>
            <w:r w:rsidRPr="00464EA5">
              <w:t>0</w:t>
            </w:r>
          </w:p>
        </w:tc>
      </w:tr>
      <w:tr w:rsidR="00FD632E" w:rsidRPr="00464EA5" w:rsidTr="00FD632E">
        <w:tblPrEx>
          <w:jc w:val="center"/>
          <w:tblCellMar>
            <w:top w:w="0" w:type="dxa"/>
            <w:left w:w="108" w:type="dxa"/>
            <w:bottom w:w="0" w:type="dxa"/>
            <w:right w:w="108" w:type="dxa"/>
          </w:tblCellMar>
          <w:tblLook w:val="01E0"/>
        </w:tblPrEx>
        <w:trPr>
          <w:gridAfter w:val="1"/>
          <w:wAfter w:w="40" w:type="pct"/>
          <w:jc w:val="center"/>
        </w:trPr>
        <w:tc>
          <w:tcPr>
            <w:tcW w:w="1438" w:type="pct"/>
          </w:tcPr>
          <w:p w:rsidR="00FD632E" w:rsidRPr="00464EA5" w:rsidRDefault="00FD632E" w:rsidP="0014630D">
            <w:pPr>
              <w:jc w:val="both"/>
            </w:pPr>
            <w:r w:rsidRPr="00464EA5">
              <w:t xml:space="preserve">5.3. pašvaldību budžets </w:t>
            </w:r>
          </w:p>
        </w:tc>
        <w:tc>
          <w:tcPr>
            <w:tcW w:w="757" w:type="pct"/>
            <w:vMerge/>
            <w:vAlign w:val="center"/>
          </w:tcPr>
          <w:p w:rsidR="00FD632E" w:rsidRPr="00464EA5" w:rsidRDefault="00FD632E" w:rsidP="0014630D">
            <w:pPr>
              <w:pStyle w:val="naisf"/>
              <w:spacing w:before="0" w:after="0"/>
              <w:ind w:firstLine="0"/>
              <w:jc w:val="center"/>
              <w:rPr>
                <w:i/>
              </w:rPr>
            </w:pPr>
          </w:p>
        </w:tc>
        <w:tc>
          <w:tcPr>
            <w:tcW w:w="684" w:type="pct"/>
            <w:vAlign w:val="center"/>
          </w:tcPr>
          <w:p w:rsidR="00FD632E" w:rsidRPr="00464EA5" w:rsidRDefault="00FD632E" w:rsidP="00FD632E">
            <w:pPr>
              <w:pStyle w:val="naisf"/>
              <w:spacing w:before="0" w:after="0"/>
              <w:ind w:firstLine="0"/>
              <w:jc w:val="center"/>
              <w:rPr>
                <w:b/>
              </w:rPr>
            </w:pPr>
            <w:r w:rsidRPr="00464EA5">
              <w:t>0</w:t>
            </w:r>
          </w:p>
        </w:tc>
        <w:tc>
          <w:tcPr>
            <w:tcW w:w="828" w:type="pct"/>
            <w:vAlign w:val="center"/>
          </w:tcPr>
          <w:p w:rsidR="00FD632E" w:rsidRPr="00464EA5" w:rsidRDefault="00FD632E" w:rsidP="00FD632E">
            <w:pPr>
              <w:pStyle w:val="naisf"/>
              <w:spacing w:before="0" w:after="0"/>
              <w:ind w:firstLine="0"/>
              <w:jc w:val="center"/>
              <w:rPr>
                <w:b/>
              </w:rPr>
            </w:pPr>
            <w:r w:rsidRPr="00464EA5">
              <w:t>0</w:t>
            </w:r>
          </w:p>
        </w:tc>
        <w:tc>
          <w:tcPr>
            <w:tcW w:w="687" w:type="pct"/>
            <w:vAlign w:val="center"/>
          </w:tcPr>
          <w:p w:rsidR="00FD632E" w:rsidRPr="00464EA5" w:rsidRDefault="00FD632E" w:rsidP="00FD632E">
            <w:pPr>
              <w:pStyle w:val="naisf"/>
              <w:spacing w:before="0" w:after="0"/>
              <w:ind w:firstLine="0"/>
              <w:jc w:val="center"/>
              <w:rPr>
                <w:b/>
              </w:rPr>
            </w:pPr>
            <w:r w:rsidRPr="00464EA5">
              <w:t>0</w:t>
            </w:r>
          </w:p>
        </w:tc>
        <w:tc>
          <w:tcPr>
            <w:tcW w:w="566" w:type="pct"/>
            <w:vAlign w:val="center"/>
          </w:tcPr>
          <w:p w:rsidR="00FD632E" w:rsidRPr="00464EA5" w:rsidRDefault="00FD632E" w:rsidP="00FD632E">
            <w:pPr>
              <w:pStyle w:val="naisf"/>
              <w:spacing w:before="0" w:after="0"/>
              <w:ind w:firstLine="0"/>
              <w:jc w:val="center"/>
              <w:rPr>
                <w:b/>
              </w:rPr>
            </w:pPr>
            <w:r w:rsidRPr="00464EA5">
              <w:t>0</w:t>
            </w: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tcPr>
          <w:p w:rsidR="003D5644" w:rsidRPr="00464EA5" w:rsidRDefault="003D5644" w:rsidP="0014630D">
            <w:pPr>
              <w:jc w:val="both"/>
            </w:pPr>
            <w:r w:rsidRPr="00464EA5">
              <w:t>6. Detalizēts ieņēmumu un izdevu</w:t>
            </w:r>
            <w:r w:rsidRPr="00464EA5">
              <w:softHyphen/>
              <w:t>mu aprēķins (ja nepieciešams, detalizētu ieņēmumu un izdevumu aprēķinu var pievienot anotācijas pielikumā):</w:t>
            </w:r>
          </w:p>
        </w:tc>
        <w:tc>
          <w:tcPr>
            <w:tcW w:w="3522" w:type="pct"/>
            <w:gridSpan w:val="5"/>
            <w:vMerge w:val="restart"/>
            <w:vAlign w:val="center"/>
          </w:tcPr>
          <w:p w:rsidR="00185195" w:rsidRPr="00271A78" w:rsidRDefault="00407100" w:rsidP="000433B8">
            <w:pPr>
              <w:spacing w:before="6" w:after="6"/>
              <w:ind w:left="113" w:right="113"/>
              <w:jc w:val="both"/>
            </w:pPr>
            <w:r>
              <w:t>2.1.1.1.aktivitātes</w:t>
            </w:r>
            <w:r w:rsidR="007B1B3D" w:rsidRPr="00464EA5">
              <w:t xml:space="preserve"> otrajai </w:t>
            </w:r>
            <w:r w:rsidR="006901D3">
              <w:t xml:space="preserve">un trešajai </w:t>
            </w:r>
            <w:r w:rsidR="007B1B3D" w:rsidRPr="00464EA5">
              <w:t xml:space="preserve">projektu iesniegumu atlases kārtai </w:t>
            </w:r>
            <w:r w:rsidR="00015C1E" w:rsidRPr="00464EA5">
              <w:t>pieejam</w:t>
            </w:r>
            <w:r w:rsidR="00015C1E">
              <w:t>o</w:t>
            </w:r>
            <w:r w:rsidR="00015C1E" w:rsidRPr="00464EA5">
              <w:t xml:space="preserve"> </w:t>
            </w:r>
            <w:r w:rsidR="00015C1E">
              <w:t>finansējumu</w:t>
            </w:r>
            <w:r w:rsidR="00015C1E" w:rsidRPr="00464EA5">
              <w:t xml:space="preserve"> </w:t>
            </w:r>
            <w:r w:rsidR="00EA7E4D" w:rsidRPr="00464EA5">
              <w:t>veido</w:t>
            </w:r>
            <w:r w:rsidR="00335DC9">
              <w:t xml:space="preserve"> </w:t>
            </w:r>
            <w:proofErr w:type="spellStart"/>
            <w:r w:rsidR="00185195">
              <w:t>virssaistību</w:t>
            </w:r>
            <w:proofErr w:type="spellEnd"/>
            <w:r w:rsidR="00185195">
              <w:t xml:space="preserve"> </w:t>
            </w:r>
            <w:r w:rsidR="00185195" w:rsidRPr="00271A78">
              <w:t xml:space="preserve">finansējums 5 418 latu apmērā un </w:t>
            </w:r>
            <w:r w:rsidRPr="00271A78">
              <w:t xml:space="preserve">ERAF </w:t>
            </w:r>
            <w:r w:rsidR="00B915A4" w:rsidRPr="00271A78">
              <w:t>finansējum</w:t>
            </w:r>
            <w:r w:rsidR="006901D3" w:rsidRPr="00271A78">
              <w:t>s</w:t>
            </w:r>
            <w:r w:rsidR="00B915A4" w:rsidRPr="00271A78">
              <w:t xml:space="preserve"> </w:t>
            </w:r>
            <w:r w:rsidR="00932121" w:rsidRPr="00271A78">
              <w:t>18 702 693 latu apmērā.</w:t>
            </w:r>
            <w:r w:rsidR="000433B8" w:rsidRPr="00271A78">
              <w:t xml:space="preserve"> </w:t>
            </w:r>
          </w:p>
          <w:p w:rsidR="000433B8" w:rsidRPr="00271A78" w:rsidRDefault="000433B8" w:rsidP="000433B8">
            <w:pPr>
              <w:spacing w:before="6" w:after="6"/>
              <w:ind w:left="113" w:right="113"/>
              <w:jc w:val="both"/>
            </w:pPr>
            <w:r w:rsidRPr="00271A78">
              <w:t xml:space="preserve">Minētā ERAF finansējuma apmērs </w:t>
            </w:r>
            <w:r w:rsidR="00A932C5" w:rsidRPr="00271A78">
              <w:t>(ERAF</w:t>
            </w:r>
            <w:r w:rsidR="00A932C5" w:rsidRPr="00271A78">
              <w:rPr>
                <w:vertAlign w:val="subscript"/>
              </w:rPr>
              <w:t>2111_2k+3k</w:t>
            </w:r>
            <w:r w:rsidR="00A932C5" w:rsidRPr="00271A78">
              <w:t xml:space="preserve">) </w:t>
            </w:r>
            <w:r w:rsidRPr="00271A78">
              <w:t>aprēķināts:</w:t>
            </w:r>
          </w:p>
          <w:p w:rsidR="000433B8" w:rsidRPr="00271A78" w:rsidRDefault="000433B8" w:rsidP="000433B8">
            <w:pPr>
              <w:spacing w:before="6" w:after="6"/>
              <w:ind w:left="113" w:right="113"/>
              <w:jc w:val="both"/>
            </w:pPr>
            <w:r w:rsidRPr="00271A78">
              <w:t xml:space="preserve">1) ņemot vērā MK N 14 noteikto otrajai kārtai pieejamo ERAF </w:t>
            </w:r>
            <w:r w:rsidRPr="00271A78">
              <w:lastRenderedPageBreak/>
              <w:t xml:space="preserve">finansējumu </w:t>
            </w:r>
            <w:r w:rsidR="001E53D2" w:rsidRPr="00271A78">
              <w:t>(ERAF</w:t>
            </w:r>
            <w:r w:rsidR="001E53D2" w:rsidRPr="00271A78">
              <w:rPr>
                <w:vertAlign w:val="subscript"/>
              </w:rPr>
              <w:t>2111_2k</w:t>
            </w:r>
            <w:r w:rsidR="001E53D2" w:rsidRPr="00271A78">
              <w:t>)</w:t>
            </w:r>
            <w:r w:rsidR="00A932C5" w:rsidRPr="00271A78">
              <w:t xml:space="preserve"> </w:t>
            </w:r>
            <w:r w:rsidRPr="00271A78">
              <w:t>2 931 113 latu apmērā;</w:t>
            </w:r>
          </w:p>
          <w:p w:rsidR="000433B8" w:rsidRPr="00271A78" w:rsidRDefault="000433B8" w:rsidP="000433B8">
            <w:pPr>
              <w:spacing w:before="6" w:after="6"/>
              <w:ind w:left="113" w:right="113"/>
              <w:jc w:val="both"/>
            </w:pPr>
            <w:r w:rsidRPr="00271A78">
              <w:t xml:space="preserve">2) ņemot vērā no 2.1.1.3.1.aktivitātes otrās kārtas pārdalāmo ERAF finansējumu </w:t>
            </w:r>
            <w:r w:rsidR="001E53D2" w:rsidRPr="00271A78">
              <w:t>(ERAF</w:t>
            </w:r>
            <w:r w:rsidR="001E53D2" w:rsidRPr="00271A78">
              <w:rPr>
                <w:vertAlign w:val="subscript"/>
              </w:rPr>
              <w:t>21131_2k</w:t>
            </w:r>
            <w:r w:rsidR="001E53D2" w:rsidRPr="00271A78">
              <w:t xml:space="preserve">) </w:t>
            </w:r>
            <w:r w:rsidRPr="00271A78">
              <w:t>15</w:t>
            </w:r>
            <w:r w:rsidR="00F5243D" w:rsidRPr="00271A78">
              <w:t> </w:t>
            </w:r>
            <w:r w:rsidRPr="00271A78">
              <w:t>879</w:t>
            </w:r>
            <w:r w:rsidR="00F5243D" w:rsidRPr="00271A78">
              <w:t> </w:t>
            </w:r>
            <w:r w:rsidRPr="00271A78">
              <w:t xml:space="preserve">791 latu apmērā (nodrošinot atbilstību ar MK 08.05.13. prot. Nr.26.§, </w:t>
            </w:r>
            <w:proofErr w:type="spellStart"/>
            <w:r w:rsidRPr="00271A78">
              <w:t>izlēdzot</w:t>
            </w:r>
            <w:proofErr w:type="spellEnd"/>
            <w:r w:rsidRPr="00271A78">
              <w:t xml:space="preserve"> lauzto līgumu ERAF);</w:t>
            </w:r>
          </w:p>
          <w:p w:rsidR="001E53D2" w:rsidRPr="00271A78" w:rsidRDefault="001E53D2" w:rsidP="000433B8">
            <w:pPr>
              <w:spacing w:before="6" w:after="6"/>
              <w:ind w:left="113" w:right="113"/>
              <w:jc w:val="both"/>
            </w:pPr>
            <w:r w:rsidRPr="00271A78">
              <w:t>3</w:t>
            </w:r>
            <w:r w:rsidR="000433B8" w:rsidRPr="00271A78">
              <w:t xml:space="preserve">) veicot </w:t>
            </w:r>
            <w:r w:rsidRPr="00271A78">
              <w:t>papildu korekciju (ERAF</w:t>
            </w:r>
            <w:r w:rsidRPr="00271A78">
              <w:rPr>
                <w:vertAlign w:val="subscript"/>
              </w:rPr>
              <w:t>kor_1k_2k</w:t>
            </w:r>
            <w:r w:rsidRPr="00271A78">
              <w:t>)108 211 latu apmērā</w:t>
            </w:r>
            <w:r w:rsidR="000433B8" w:rsidRPr="00271A78">
              <w:t>, lai nodrošinātu atbilstību ar DPP noteikto 2.1.1.1.aktivitātei pieejamo kopējo ERAF finansējumu un novērstu ERAF sadalījuma neatbilstības starp 2.1.1.1.aktivitātes pirmo un otro kārtu</w:t>
            </w:r>
            <w:r w:rsidRPr="00271A78">
              <w:t>;</w:t>
            </w:r>
          </w:p>
          <w:p w:rsidR="00A932C5" w:rsidRPr="00271A78" w:rsidRDefault="001E53D2" w:rsidP="000433B8">
            <w:pPr>
              <w:spacing w:before="6" w:after="6"/>
              <w:ind w:left="113" w:right="113"/>
              <w:jc w:val="both"/>
            </w:pPr>
            <w:r w:rsidRPr="00271A78">
              <w:t xml:space="preserve">4) </w:t>
            </w:r>
            <w:r w:rsidR="00A932C5" w:rsidRPr="00271A78">
              <w:t xml:space="preserve">izmantojot formulu: </w:t>
            </w:r>
          </w:p>
          <w:p w:rsidR="008D5E3C" w:rsidRPr="00271A78" w:rsidRDefault="00A932C5" w:rsidP="00185195">
            <w:pPr>
              <w:spacing w:before="6" w:after="6"/>
              <w:ind w:left="113" w:right="113"/>
              <w:jc w:val="both"/>
            </w:pPr>
            <w:r w:rsidRPr="00271A78">
              <w:t>ERAF</w:t>
            </w:r>
            <w:r w:rsidRPr="00271A78">
              <w:rPr>
                <w:vertAlign w:val="subscript"/>
              </w:rPr>
              <w:t xml:space="preserve">2111_2k+3k </w:t>
            </w:r>
            <w:r w:rsidRPr="00271A78">
              <w:t>= ERAF</w:t>
            </w:r>
            <w:r w:rsidRPr="00271A78">
              <w:rPr>
                <w:vertAlign w:val="subscript"/>
              </w:rPr>
              <w:t>2111_2kv</w:t>
            </w:r>
            <w:r w:rsidRPr="00271A78">
              <w:t xml:space="preserve"> + ERAF</w:t>
            </w:r>
            <w:r w:rsidRPr="00271A78">
              <w:rPr>
                <w:vertAlign w:val="subscript"/>
              </w:rPr>
              <w:t>21131_2k</w:t>
            </w:r>
            <w:r w:rsidRPr="00271A78">
              <w:t xml:space="preserve"> – ERAF</w:t>
            </w:r>
            <w:r w:rsidRPr="00271A78">
              <w:rPr>
                <w:vertAlign w:val="subscript"/>
              </w:rPr>
              <w:t>kor_1k_2k</w:t>
            </w:r>
            <w:r w:rsidRPr="00271A78">
              <w:t xml:space="preserve"> = </w:t>
            </w:r>
            <w:r w:rsidR="00F5243D" w:rsidRPr="00271A78">
              <w:t>2 931 113 + 15 879 791 – 108 211 = 18 702 693</w:t>
            </w:r>
            <w:r w:rsidR="000433B8" w:rsidRPr="00271A78">
              <w:t xml:space="preserve">. </w:t>
            </w:r>
          </w:p>
          <w:p w:rsidR="008D5E3C" w:rsidRPr="00271A78" w:rsidRDefault="008D5E3C" w:rsidP="00185195">
            <w:pPr>
              <w:spacing w:before="6" w:after="6"/>
              <w:ind w:left="113" w:right="113"/>
              <w:jc w:val="both"/>
            </w:pPr>
            <w:r w:rsidRPr="00271A78">
              <w:t xml:space="preserve">Pieejamais </w:t>
            </w:r>
            <w:proofErr w:type="spellStart"/>
            <w:r w:rsidRPr="00271A78">
              <w:t>virssaistību</w:t>
            </w:r>
            <w:proofErr w:type="spellEnd"/>
            <w:r w:rsidRPr="00271A78">
              <w:t xml:space="preserve"> apmērs aprēķināts, ņemot vērā šādas pārdales:</w:t>
            </w:r>
          </w:p>
          <w:tbl>
            <w:tblPr>
              <w:tblW w:w="6112" w:type="dxa"/>
              <w:tblLayout w:type="fixed"/>
              <w:tblLook w:val="04A0"/>
            </w:tblPr>
            <w:tblGrid>
              <w:gridCol w:w="3856"/>
              <w:gridCol w:w="2256"/>
            </w:tblGrid>
            <w:tr w:rsidR="008D5E3C" w:rsidRPr="00271A78" w:rsidTr="008D5E3C">
              <w:trPr>
                <w:trHeight w:val="288"/>
              </w:trPr>
              <w:tc>
                <w:tcPr>
                  <w:tcW w:w="3856" w:type="dxa"/>
                  <w:tcBorders>
                    <w:top w:val="nil"/>
                    <w:left w:val="nil"/>
                    <w:bottom w:val="single" w:sz="4" w:space="0" w:color="auto"/>
                    <w:right w:val="nil"/>
                  </w:tcBorders>
                  <w:shd w:val="clear" w:color="auto" w:fill="auto"/>
                  <w:noWrap/>
                  <w:vAlign w:val="bottom"/>
                  <w:hideMark/>
                </w:tcPr>
                <w:p w:rsidR="008D5E3C" w:rsidRPr="00271A78" w:rsidRDefault="008D5E3C" w:rsidP="008D5E3C">
                  <w:pPr>
                    <w:rPr>
                      <w:color w:val="000000"/>
                    </w:rPr>
                  </w:pPr>
                  <w:r w:rsidRPr="00271A78">
                    <w:rPr>
                      <w:color w:val="000000"/>
                    </w:rPr>
                    <w:t xml:space="preserve">2.1.1.1. 2.k. </w:t>
                  </w:r>
                  <w:proofErr w:type="spellStart"/>
                  <w:r w:rsidRPr="00271A78">
                    <w:rPr>
                      <w:color w:val="000000"/>
                    </w:rPr>
                    <w:t>virssaistības</w:t>
                  </w:r>
                  <w:proofErr w:type="spellEnd"/>
                </w:p>
              </w:tc>
              <w:tc>
                <w:tcPr>
                  <w:tcW w:w="2256" w:type="dxa"/>
                  <w:tcBorders>
                    <w:top w:val="nil"/>
                    <w:left w:val="nil"/>
                    <w:bottom w:val="single" w:sz="4" w:space="0" w:color="auto"/>
                    <w:right w:val="nil"/>
                  </w:tcBorders>
                  <w:shd w:val="clear" w:color="auto" w:fill="auto"/>
                  <w:noWrap/>
                  <w:vAlign w:val="bottom"/>
                  <w:hideMark/>
                </w:tcPr>
                <w:p w:rsidR="008D5E3C" w:rsidRPr="00271A78" w:rsidRDefault="008D5E3C" w:rsidP="008D5E3C">
                  <w:pPr>
                    <w:jc w:val="right"/>
                    <w:rPr>
                      <w:color w:val="000000"/>
                    </w:rPr>
                  </w:pPr>
                  <w:r w:rsidRPr="00271A78">
                    <w:rPr>
                      <w:color w:val="000000"/>
                    </w:rPr>
                    <w:t>14 221 838</w:t>
                  </w:r>
                </w:p>
              </w:tc>
            </w:tr>
            <w:tr w:rsidR="008D5E3C" w:rsidRPr="00271A78" w:rsidTr="008D5E3C">
              <w:trPr>
                <w:trHeight w:val="288"/>
              </w:trPr>
              <w:tc>
                <w:tcPr>
                  <w:tcW w:w="3856" w:type="dxa"/>
                  <w:tcBorders>
                    <w:top w:val="single" w:sz="4" w:space="0" w:color="auto"/>
                    <w:left w:val="nil"/>
                    <w:bottom w:val="nil"/>
                    <w:right w:val="nil"/>
                  </w:tcBorders>
                  <w:shd w:val="clear" w:color="auto" w:fill="auto"/>
                  <w:noWrap/>
                  <w:vAlign w:val="bottom"/>
                  <w:hideMark/>
                </w:tcPr>
                <w:p w:rsidR="008D5E3C" w:rsidRPr="00271A78" w:rsidRDefault="008D5E3C" w:rsidP="008D5E3C">
                  <w:pPr>
                    <w:rPr>
                      <w:color w:val="000000"/>
                    </w:rPr>
                  </w:pPr>
                  <w:r w:rsidRPr="00271A78">
                    <w:rPr>
                      <w:color w:val="000000"/>
                    </w:rPr>
                    <w:t>Uz 1.2.1.1.4. pārdalāmais finansējums</w:t>
                  </w:r>
                </w:p>
              </w:tc>
              <w:tc>
                <w:tcPr>
                  <w:tcW w:w="2256" w:type="dxa"/>
                  <w:tcBorders>
                    <w:top w:val="single" w:sz="4" w:space="0" w:color="auto"/>
                    <w:left w:val="nil"/>
                    <w:bottom w:val="nil"/>
                    <w:right w:val="nil"/>
                  </w:tcBorders>
                  <w:shd w:val="clear" w:color="auto" w:fill="auto"/>
                  <w:noWrap/>
                  <w:vAlign w:val="bottom"/>
                  <w:hideMark/>
                </w:tcPr>
                <w:p w:rsidR="008D5E3C" w:rsidRPr="00271A78" w:rsidRDefault="00271A78" w:rsidP="008D5E3C">
                  <w:pPr>
                    <w:jc w:val="right"/>
                    <w:rPr>
                      <w:color w:val="000000"/>
                    </w:rPr>
                  </w:pPr>
                  <w:r>
                    <w:rPr>
                      <w:color w:val="000000"/>
                    </w:rPr>
                    <w:t>-</w:t>
                  </w:r>
                  <w:r w:rsidR="008D5E3C" w:rsidRPr="00271A78">
                    <w:rPr>
                      <w:color w:val="000000"/>
                    </w:rPr>
                    <w:t>709 725</w:t>
                  </w:r>
                </w:p>
              </w:tc>
            </w:tr>
            <w:tr w:rsidR="008D5E3C" w:rsidRPr="00271A78" w:rsidTr="008D5E3C">
              <w:trPr>
                <w:trHeight w:val="288"/>
              </w:trPr>
              <w:tc>
                <w:tcPr>
                  <w:tcW w:w="3856" w:type="dxa"/>
                  <w:tcBorders>
                    <w:top w:val="nil"/>
                    <w:left w:val="nil"/>
                    <w:bottom w:val="nil"/>
                    <w:right w:val="nil"/>
                  </w:tcBorders>
                  <w:shd w:val="clear" w:color="auto" w:fill="auto"/>
                  <w:noWrap/>
                  <w:vAlign w:val="bottom"/>
                  <w:hideMark/>
                </w:tcPr>
                <w:p w:rsidR="008D5E3C" w:rsidRPr="00271A78" w:rsidRDefault="008D5E3C" w:rsidP="008D5E3C">
                  <w:pPr>
                    <w:rPr>
                      <w:color w:val="000000"/>
                    </w:rPr>
                  </w:pPr>
                  <w:r w:rsidRPr="00271A78">
                    <w:rPr>
                      <w:color w:val="000000"/>
                    </w:rPr>
                    <w:t>Uz 1.1.1.2. pārdalāmais finansējums</w:t>
                  </w:r>
                </w:p>
              </w:tc>
              <w:tc>
                <w:tcPr>
                  <w:tcW w:w="2256" w:type="dxa"/>
                  <w:tcBorders>
                    <w:top w:val="nil"/>
                    <w:left w:val="nil"/>
                    <w:bottom w:val="nil"/>
                    <w:right w:val="nil"/>
                  </w:tcBorders>
                  <w:shd w:val="clear" w:color="auto" w:fill="auto"/>
                  <w:noWrap/>
                  <w:vAlign w:val="bottom"/>
                  <w:hideMark/>
                </w:tcPr>
                <w:p w:rsidR="008D5E3C" w:rsidRPr="00271A78" w:rsidRDefault="00271A78" w:rsidP="008D5E3C">
                  <w:pPr>
                    <w:jc w:val="right"/>
                    <w:rPr>
                      <w:color w:val="000000"/>
                    </w:rPr>
                  </w:pPr>
                  <w:r>
                    <w:rPr>
                      <w:color w:val="000000"/>
                    </w:rPr>
                    <w:t>-</w:t>
                  </w:r>
                  <w:r w:rsidR="008D5E3C" w:rsidRPr="00271A78">
                    <w:rPr>
                      <w:color w:val="000000"/>
                    </w:rPr>
                    <w:t>6 290 275</w:t>
                  </w:r>
                </w:p>
              </w:tc>
            </w:tr>
            <w:tr w:rsidR="008D5E3C" w:rsidRPr="00271A78" w:rsidTr="008D5E3C">
              <w:trPr>
                <w:trHeight w:val="288"/>
              </w:trPr>
              <w:tc>
                <w:tcPr>
                  <w:tcW w:w="3856" w:type="dxa"/>
                  <w:tcBorders>
                    <w:top w:val="nil"/>
                    <w:left w:val="nil"/>
                    <w:right w:val="nil"/>
                  </w:tcBorders>
                  <w:shd w:val="clear" w:color="auto" w:fill="auto"/>
                  <w:noWrap/>
                  <w:vAlign w:val="bottom"/>
                  <w:hideMark/>
                </w:tcPr>
                <w:p w:rsidR="008D5E3C" w:rsidRPr="00271A78" w:rsidRDefault="008D5E3C" w:rsidP="008D5E3C">
                  <w:pPr>
                    <w:rPr>
                      <w:color w:val="000000"/>
                    </w:rPr>
                  </w:pPr>
                  <w:r w:rsidRPr="00271A78">
                    <w:rPr>
                      <w:color w:val="000000"/>
                    </w:rPr>
                    <w:t xml:space="preserve">uz LM </w:t>
                  </w:r>
                  <w:proofErr w:type="spellStart"/>
                  <w:r w:rsidRPr="00271A78">
                    <w:rPr>
                      <w:color w:val="000000"/>
                    </w:rPr>
                    <w:t>pārziņā</w:t>
                  </w:r>
                  <w:proofErr w:type="spellEnd"/>
                  <w:r w:rsidRPr="00271A78">
                    <w:rPr>
                      <w:color w:val="000000"/>
                    </w:rPr>
                    <w:t xml:space="preserve"> esošo aktivitāti pārdalāmais finansējums</w:t>
                  </w:r>
                </w:p>
              </w:tc>
              <w:tc>
                <w:tcPr>
                  <w:tcW w:w="2256" w:type="dxa"/>
                  <w:tcBorders>
                    <w:top w:val="nil"/>
                    <w:left w:val="nil"/>
                    <w:right w:val="nil"/>
                  </w:tcBorders>
                  <w:shd w:val="clear" w:color="auto" w:fill="auto"/>
                  <w:noWrap/>
                  <w:vAlign w:val="bottom"/>
                  <w:hideMark/>
                </w:tcPr>
                <w:p w:rsidR="008D5E3C" w:rsidRPr="00271A78" w:rsidRDefault="00271A78" w:rsidP="008D5E3C">
                  <w:pPr>
                    <w:jc w:val="right"/>
                    <w:rPr>
                      <w:color w:val="000000"/>
                    </w:rPr>
                  </w:pPr>
                  <w:r>
                    <w:rPr>
                      <w:color w:val="000000"/>
                    </w:rPr>
                    <w:t>-</w:t>
                  </w:r>
                  <w:r w:rsidR="008D5E3C" w:rsidRPr="00271A78">
                    <w:rPr>
                      <w:color w:val="000000"/>
                    </w:rPr>
                    <w:t>4 582 162</w:t>
                  </w:r>
                </w:p>
              </w:tc>
            </w:tr>
            <w:tr w:rsidR="008D5E3C" w:rsidRPr="00271A78" w:rsidTr="008D5E3C">
              <w:trPr>
                <w:trHeight w:val="540"/>
              </w:trPr>
              <w:tc>
                <w:tcPr>
                  <w:tcW w:w="3856" w:type="dxa"/>
                  <w:tcBorders>
                    <w:top w:val="nil"/>
                    <w:left w:val="nil"/>
                    <w:bottom w:val="single" w:sz="4" w:space="0" w:color="auto"/>
                    <w:right w:val="nil"/>
                  </w:tcBorders>
                  <w:shd w:val="clear" w:color="auto" w:fill="auto"/>
                  <w:vAlign w:val="bottom"/>
                  <w:hideMark/>
                </w:tcPr>
                <w:p w:rsidR="008D5E3C" w:rsidRPr="00271A78" w:rsidRDefault="008D5E3C" w:rsidP="008D5E3C">
                  <w:pPr>
                    <w:rPr>
                      <w:color w:val="000000"/>
                    </w:rPr>
                  </w:pPr>
                  <w:r w:rsidRPr="00271A78">
                    <w:rPr>
                      <w:color w:val="000000"/>
                    </w:rPr>
                    <w:t>rezerve saistībā ar sociālekonomisko risku mazināšanu AS „Liepājas Metalurgs”</w:t>
                  </w:r>
                </w:p>
              </w:tc>
              <w:tc>
                <w:tcPr>
                  <w:tcW w:w="2256" w:type="dxa"/>
                  <w:tcBorders>
                    <w:top w:val="nil"/>
                    <w:left w:val="nil"/>
                    <w:bottom w:val="single" w:sz="4" w:space="0" w:color="auto"/>
                    <w:right w:val="nil"/>
                  </w:tcBorders>
                  <w:shd w:val="clear" w:color="auto" w:fill="auto"/>
                  <w:noWrap/>
                  <w:vAlign w:val="bottom"/>
                  <w:hideMark/>
                </w:tcPr>
                <w:p w:rsidR="008D5E3C" w:rsidRPr="00271A78" w:rsidRDefault="00271A78" w:rsidP="008D5E3C">
                  <w:pPr>
                    <w:jc w:val="right"/>
                    <w:rPr>
                      <w:color w:val="000000"/>
                    </w:rPr>
                  </w:pPr>
                  <w:r>
                    <w:rPr>
                      <w:color w:val="000000"/>
                    </w:rPr>
                    <w:t>-</w:t>
                  </w:r>
                  <w:r w:rsidR="008D5E3C" w:rsidRPr="00271A78">
                    <w:rPr>
                      <w:color w:val="000000"/>
                    </w:rPr>
                    <w:t>2 634 258</w:t>
                  </w:r>
                </w:p>
              </w:tc>
            </w:tr>
            <w:tr w:rsidR="008D5E3C" w:rsidRPr="00271A78" w:rsidTr="008D5E3C">
              <w:trPr>
                <w:trHeight w:val="288"/>
              </w:trPr>
              <w:tc>
                <w:tcPr>
                  <w:tcW w:w="3856" w:type="dxa"/>
                  <w:tcBorders>
                    <w:top w:val="single" w:sz="4" w:space="0" w:color="auto"/>
                    <w:left w:val="nil"/>
                    <w:bottom w:val="nil"/>
                    <w:right w:val="nil"/>
                  </w:tcBorders>
                  <w:shd w:val="clear" w:color="auto" w:fill="auto"/>
                  <w:noWrap/>
                  <w:vAlign w:val="bottom"/>
                  <w:hideMark/>
                </w:tcPr>
                <w:p w:rsidR="008D5E3C" w:rsidRPr="00271A78" w:rsidRDefault="008D5E3C" w:rsidP="008D5E3C">
                  <w:pPr>
                    <w:rPr>
                      <w:color w:val="000000"/>
                    </w:rPr>
                  </w:pPr>
                  <w:proofErr w:type="spellStart"/>
                  <w:r w:rsidRPr="00271A78">
                    <w:rPr>
                      <w:color w:val="000000"/>
                    </w:rPr>
                    <w:t>Virssaistību</w:t>
                  </w:r>
                  <w:proofErr w:type="spellEnd"/>
                  <w:r w:rsidRPr="00271A78">
                    <w:rPr>
                      <w:color w:val="000000"/>
                    </w:rPr>
                    <w:t xml:space="preserve"> atlikums: 2111_2k+3k</w:t>
                  </w:r>
                </w:p>
              </w:tc>
              <w:tc>
                <w:tcPr>
                  <w:tcW w:w="2256" w:type="dxa"/>
                  <w:tcBorders>
                    <w:top w:val="single" w:sz="4" w:space="0" w:color="auto"/>
                    <w:left w:val="nil"/>
                    <w:bottom w:val="nil"/>
                    <w:right w:val="nil"/>
                  </w:tcBorders>
                  <w:shd w:val="clear" w:color="auto" w:fill="auto"/>
                  <w:noWrap/>
                  <w:vAlign w:val="bottom"/>
                  <w:hideMark/>
                </w:tcPr>
                <w:p w:rsidR="008D5E3C" w:rsidRPr="00271A78" w:rsidRDefault="008D5E3C" w:rsidP="008D5E3C">
                  <w:pPr>
                    <w:jc w:val="right"/>
                    <w:rPr>
                      <w:color w:val="000000"/>
                    </w:rPr>
                  </w:pPr>
                  <w:r w:rsidRPr="00271A78">
                    <w:rPr>
                      <w:color w:val="000000"/>
                    </w:rPr>
                    <w:t>5 418</w:t>
                  </w:r>
                </w:p>
              </w:tc>
            </w:tr>
          </w:tbl>
          <w:p w:rsidR="00035AA1" w:rsidRPr="00271A78" w:rsidRDefault="000433B8" w:rsidP="00185195">
            <w:pPr>
              <w:spacing w:before="6" w:after="6"/>
              <w:ind w:left="113" w:right="113"/>
              <w:jc w:val="both"/>
            </w:pPr>
            <w:r w:rsidRPr="00271A78">
              <w:t xml:space="preserve"> </w:t>
            </w:r>
          </w:p>
          <w:p w:rsidR="003642FC" w:rsidRPr="00464EA5" w:rsidRDefault="003642FC" w:rsidP="00975A15">
            <w:pPr>
              <w:autoSpaceDE w:val="0"/>
              <w:autoSpaceDN w:val="0"/>
              <w:adjustRightInd w:val="0"/>
              <w:spacing w:after="120"/>
              <w:jc w:val="both"/>
            </w:pPr>
            <w:r w:rsidRPr="00975A15">
              <w:t>Nepieciešamais finansējums maksājumu veikšanai finansējuma saņēmējiem tiks pieprasīts normatīvajos aktos noteiktajā kārtībā no budžeta programmas 80.00.00 „Nesadalītais finansējums Eiropas Savienības politiku instrumentu un pārējās ārvalstu finanšu palīdzības līdzfinansēto projektu un pasākumu īstenošanai”, un pēc attiecīgas pārdales maksājumi finansējuma sa</w:t>
            </w:r>
            <w:r w:rsidR="005C333A">
              <w:t>ņ</w:t>
            </w:r>
            <w:r w:rsidRPr="00975A15">
              <w:t xml:space="preserve">ēmējiem tiks veikti no Izglītības un zinātnes ministrijas budžeta apakšprogrammas </w:t>
            </w:r>
            <w:r w:rsidR="00975A15" w:rsidRPr="00975A15">
              <w:t>budžeta programma 62.00.00 „Eiropas Re</w:t>
            </w:r>
            <w:r w:rsidR="005C333A">
              <w:t>ģ</w:t>
            </w:r>
            <w:r w:rsidR="00975A15" w:rsidRPr="00975A15">
              <w:t>ion</w:t>
            </w:r>
            <w:r w:rsidR="005C333A">
              <w:t>ā</w:t>
            </w:r>
            <w:r w:rsidR="00975A15" w:rsidRPr="00975A15">
              <w:t>l</w:t>
            </w:r>
            <w:r w:rsidR="005C333A">
              <w:t>ā</w:t>
            </w:r>
            <w:r w:rsidR="00975A15" w:rsidRPr="00975A15">
              <w:t>s att</w:t>
            </w:r>
            <w:r w:rsidR="005C333A">
              <w:t>ī</w:t>
            </w:r>
            <w:r w:rsidR="00975A15" w:rsidRPr="00975A15">
              <w:t>st</w:t>
            </w:r>
            <w:r w:rsidR="005C333A">
              <w:t>ī</w:t>
            </w:r>
            <w:r w:rsidR="00975A15" w:rsidRPr="00975A15">
              <w:t>bas fonda (ERAF) projektu un pas</w:t>
            </w:r>
            <w:r w:rsidR="005C333A">
              <w:t>ā</w:t>
            </w:r>
            <w:r w:rsidR="00975A15" w:rsidRPr="00975A15">
              <w:t xml:space="preserve">kumu </w:t>
            </w:r>
            <w:r w:rsidR="005C333A">
              <w:t>ī</w:t>
            </w:r>
            <w:r w:rsidR="00975A15" w:rsidRPr="00975A15">
              <w:t>stenošana”</w:t>
            </w:r>
            <w:r w:rsidR="00975A15">
              <w:t xml:space="preserve"> </w:t>
            </w:r>
            <w:r w:rsidR="00975A15" w:rsidRPr="00975A15">
              <w:t>vai</w:t>
            </w:r>
            <w:r w:rsidR="00975A15">
              <w:t xml:space="preserve"> </w:t>
            </w:r>
            <w:r w:rsidR="00975A15" w:rsidRPr="00975A15">
              <w:t>budžeta apakšprogramma 62.07.00 „Atmaksas un avansi pašvald</w:t>
            </w:r>
            <w:r w:rsidR="005C333A">
              <w:t>ī</w:t>
            </w:r>
            <w:r w:rsidR="00975A15" w:rsidRPr="00975A15">
              <w:t>b</w:t>
            </w:r>
            <w:r w:rsidR="005C333A">
              <w:t>ā</w:t>
            </w:r>
            <w:r w:rsidR="00975A15" w:rsidRPr="00975A15">
              <w:t>m vai citiem strukt</w:t>
            </w:r>
            <w:r w:rsidR="005C333A">
              <w:t>ū</w:t>
            </w:r>
            <w:r w:rsidR="00975A15" w:rsidRPr="00975A15">
              <w:t>rfondu finans</w:t>
            </w:r>
            <w:r w:rsidR="005C333A">
              <w:t>ē</w:t>
            </w:r>
            <w:r w:rsidR="00975A15" w:rsidRPr="00975A15">
              <w:t>juma sa</w:t>
            </w:r>
            <w:r w:rsidR="005C333A">
              <w:t>ņē</w:t>
            </w:r>
            <w:r w:rsidR="00975A15" w:rsidRPr="00975A15">
              <w:t>m</w:t>
            </w:r>
            <w:r w:rsidR="005C333A">
              <w:t>ē</w:t>
            </w:r>
            <w:r w:rsidR="00975A15" w:rsidRPr="00975A15">
              <w:t>jiem par Eiropas Re</w:t>
            </w:r>
            <w:r w:rsidR="005C333A">
              <w:t>ģionālās</w:t>
            </w:r>
            <w:r w:rsidR="00975A15" w:rsidRPr="00975A15">
              <w:t xml:space="preserve"> </w:t>
            </w:r>
            <w:r w:rsidR="005C333A">
              <w:t>attīstības</w:t>
            </w:r>
            <w:r w:rsidR="00975A15" w:rsidRPr="00975A15">
              <w:t xml:space="preserve"> fonda (ERAF) projektu </w:t>
            </w:r>
            <w:r w:rsidR="00F0266F">
              <w:t>ī</w:t>
            </w:r>
            <w:r w:rsidR="00975A15" w:rsidRPr="00975A15">
              <w:t>stenošanu (2007-2013)”</w:t>
            </w:r>
            <w:r w:rsidRPr="00975A15">
              <w:t>.</w:t>
            </w:r>
          </w:p>
          <w:p w:rsidR="003D5644" w:rsidRPr="00464EA5" w:rsidRDefault="009F34EC" w:rsidP="00DF51FB">
            <w:pPr>
              <w:ind w:left="-42"/>
              <w:jc w:val="both"/>
            </w:pPr>
            <w:r w:rsidRPr="00464EA5">
              <w:t xml:space="preserve">Aktivitātes otrās </w:t>
            </w:r>
            <w:r w:rsidR="00DB0758">
              <w:t xml:space="preserve">un trešās </w:t>
            </w:r>
            <w:r w:rsidRPr="00464EA5">
              <w:t xml:space="preserve">atlases kārtas projektu īstenošanas maksimālais gala termiņš ir 2015.gada 31.augusts. Līgumus par projektu īstenošanu plānots noslēgt </w:t>
            </w:r>
            <w:r w:rsidR="00DB0758" w:rsidRPr="00464EA5">
              <w:t>201</w:t>
            </w:r>
            <w:r w:rsidR="00DB0758">
              <w:t>4</w:t>
            </w:r>
            <w:r w:rsidRPr="00464EA5">
              <w:t xml:space="preserve">.gadā par visu </w:t>
            </w:r>
            <w:r w:rsidR="00E557A5">
              <w:t>ERAF</w:t>
            </w:r>
            <w:r w:rsidRPr="00464EA5">
              <w:t xml:space="preserve"> apjomu.</w:t>
            </w: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tcPr>
          <w:p w:rsidR="003D5644" w:rsidRPr="00464EA5" w:rsidRDefault="003D5644" w:rsidP="0014630D">
            <w:pPr>
              <w:jc w:val="both"/>
            </w:pPr>
            <w:r w:rsidRPr="00464EA5">
              <w:t xml:space="preserve">6.1. detalizēts ieņēmumu </w:t>
            </w:r>
            <w:r w:rsidRPr="00464EA5">
              <w:lastRenderedPageBreak/>
              <w:t>aprēķins</w:t>
            </w:r>
          </w:p>
        </w:tc>
        <w:tc>
          <w:tcPr>
            <w:tcW w:w="3522" w:type="pct"/>
            <w:gridSpan w:val="5"/>
            <w:vMerge/>
          </w:tcPr>
          <w:p w:rsidR="003D5644" w:rsidRPr="00464EA5" w:rsidRDefault="003D5644" w:rsidP="0014630D">
            <w:pPr>
              <w:pStyle w:val="naisf"/>
              <w:spacing w:before="0" w:after="0"/>
              <w:ind w:firstLine="0"/>
              <w:rPr>
                <w:b/>
                <w:i/>
              </w:rPr>
            </w:pPr>
          </w:p>
        </w:tc>
      </w:tr>
      <w:tr w:rsidR="003D5644" w:rsidRPr="00464EA5" w:rsidTr="00EA7E4D">
        <w:tblPrEx>
          <w:jc w:val="center"/>
          <w:tblCellMar>
            <w:top w:w="0" w:type="dxa"/>
            <w:left w:w="108" w:type="dxa"/>
            <w:bottom w:w="0" w:type="dxa"/>
            <w:right w:w="108" w:type="dxa"/>
          </w:tblCellMar>
          <w:tblLook w:val="01E0"/>
        </w:tblPrEx>
        <w:trPr>
          <w:gridAfter w:val="1"/>
          <w:wAfter w:w="40" w:type="pct"/>
          <w:trHeight w:val="943"/>
          <w:jc w:val="center"/>
        </w:trPr>
        <w:tc>
          <w:tcPr>
            <w:tcW w:w="1438" w:type="pct"/>
          </w:tcPr>
          <w:p w:rsidR="003D5644" w:rsidRPr="00464EA5" w:rsidRDefault="003D5644" w:rsidP="0014630D">
            <w:pPr>
              <w:jc w:val="both"/>
            </w:pPr>
            <w:r w:rsidRPr="00464EA5">
              <w:lastRenderedPageBreak/>
              <w:t>6.2. detalizēts izdevumu aprēķins</w:t>
            </w:r>
          </w:p>
        </w:tc>
        <w:tc>
          <w:tcPr>
            <w:tcW w:w="3522" w:type="pct"/>
            <w:gridSpan w:val="5"/>
            <w:vMerge/>
          </w:tcPr>
          <w:p w:rsidR="003D5644" w:rsidRPr="00464EA5" w:rsidRDefault="003D5644" w:rsidP="0014630D">
            <w:pPr>
              <w:pStyle w:val="naisf"/>
              <w:spacing w:before="0" w:after="0"/>
              <w:ind w:firstLine="0"/>
              <w:rPr>
                <w:b/>
                <w:i/>
              </w:rPr>
            </w:pPr>
          </w:p>
        </w:tc>
      </w:tr>
      <w:tr w:rsidR="003D5644" w:rsidRPr="00464EA5" w:rsidTr="003D5644">
        <w:tblPrEx>
          <w:jc w:val="center"/>
          <w:tblCellMar>
            <w:top w:w="0" w:type="dxa"/>
            <w:left w:w="108" w:type="dxa"/>
            <w:bottom w:w="0" w:type="dxa"/>
            <w:right w:w="108" w:type="dxa"/>
          </w:tblCellMar>
          <w:tblLook w:val="01E0"/>
        </w:tblPrEx>
        <w:trPr>
          <w:gridAfter w:val="1"/>
          <w:wAfter w:w="40" w:type="pct"/>
          <w:jc w:val="center"/>
        </w:trPr>
        <w:tc>
          <w:tcPr>
            <w:tcW w:w="1438" w:type="pct"/>
          </w:tcPr>
          <w:p w:rsidR="003D5644" w:rsidRPr="00464EA5" w:rsidRDefault="003D5644" w:rsidP="0014630D">
            <w:pPr>
              <w:jc w:val="both"/>
            </w:pPr>
            <w:r w:rsidRPr="00464EA5">
              <w:t>7. Cita informācija</w:t>
            </w:r>
          </w:p>
        </w:tc>
        <w:tc>
          <w:tcPr>
            <w:tcW w:w="3522" w:type="pct"/>
            <w:gridSpan w:val="5"/>
          </w:tcPr>
          <w:p w:rsidR="003D5644" w:rsidRPr="00464EA5" w:rsidRDefault="00E557A5" w:rsidP="003022F9">
            <w:pPr>
              <w:pStyle w:val="naisf"/>
              <w:tabs>
                <w:tab w:val="left" w:pos="4644"/>
              </w:tabs>
              <w:spacing w:before="0" w:after="0"/>
              <w:ind w:firstLine="0"/>
            </w:pPr>
            <w:r>
              <w:t>Nav</w:t>
            </w:r>
            <w:r w:rsidR="00790753">
              <w:t xml:space="preserve"> </w:t>
            </w:r>
          </w:p>
        </w:tc>
      </w:tr>
    </w:tbl>
    <w:p w:rsidR="003D5644" w:rsidRPr="00464EA5" w:rsidRDefault="003D5644" w:rsidP="0014630D">
      <w:pPr>
        <w:jc w:val="both"/>
        <w:rPr>
          <w:b/>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0"/>
        <w:gridCol w:w="2595"/>
        <w:gridCol w:w="6266"/>
      </w:tblGrid>
      <w:tr w:rsidR="001A5D33" w:rsidRPr="00464EA5" w:rsidTr="00BF2E8F">
        <w:tc>
          <w:tcPr>
            <w:tcW w:w="0" w:type="auto"/>
            <w:gridSpan w:val="3"/>
            <w:tcBorders>
              <w:top w:val="single" w:sz="6" w:space="0" w:color="auto"/>
              <w:left w:val="single" w:sz="6" w:space="0" w:color="auto"/>
              <w:bottom w:val="outset" w:sz="6" w:space="0" w:color="000000"/>
              <w:right w:val="single" w:sz="6" w:space="0" w:color="auto"/>
            </w:tcBorders>
            <w:hideMark/>
          </w:tcPr>
          <w:p w:rsidR="001A5D33" w:rsidRPr="00464EA5" w:rsidRDefault="001A5D33" w:rsidP="0014630D">
            <w:pPr>
              <w:jc w:val="center"/>
              <w:rPr>
                <w:b/>
                <w:bCs/>
              </w:rPr>
            </w:pPr>
            <w:r w:rsidRPr="00464EA5">
              <w:t> </w:t>
            </w:r>
            <w:r w:rsidRPr="00464EA5">
              <w:rPr>
                <w:b/>
                <w:bCs/>
              </w:rPr>
              <w:t>IV. Tiesību akta projekta ietekme uz spēkā esošo tiesību normu sistēmu</w:t>
            </w:r>
          </w:p>
        </w:tc>
      </w:tr>
      <w:tr w:rsidR="001A5D33" w:rsidRPr="00464EA5" w:rsidTr="00BF2E8F">
        <w:tc>
          <w:tcPr>
            <w:tcW w:w="0" w:type="auto"/>
            <w:tcBorders>
              <w:top w:val="outset" w:sz="6" w:space="0" w:color="000000"/>
              <w:left w:val="outset" w:sz="6" w:space="0" w:color="000000"/>
              <w:bottom w:val="outset" w:sz="6" w:space="0" w:color="000000"/>
              <w:right w:val="outset" w:sz="6" w:space="0" w:color="000000"/>
            </w:tcBorders>
            <w:hideMark/>
          </w:tcPr>
          <w:p w:rsidR="001A5D33" w:rsidRPr="00464EA5" w:rsidRDefault="001A5D33" w:rsidP="0014630D">
            <w:r w:rsidRPr="00464EA5">
              <w:t>1.</w:t>
            </w:r>
          </w:p>
        </w:tc>
        <w:tc>
          <w:tcPr>
            <w:tcW w:w="1421" w:type="pct"/>
            <w:tcBorders>
              <w:top w:val="outset" w:sz="6" w:space="0" w:color="000000"/>
              <w:left w:val="outset" w:sz="6" w:space="0" w:color="000000"/>
              <w:bottom w:val="outset" w:sz="6" w:space="0" w:color="000000"/>
              <w:right w:val="outset" w:sz="6" w:space="0" w:color="000000"/>
            </w:tcBorders>
            <w:hideMark/>
          </w:tcPr>
          <w:p w:rsidR="001A5D33" w:rsidRPr="00464EA5" w:rsidRDefault="001A5D33" w:rsidP="0014630D">
            <w:pPr>
              <w:rPr>
                <w:lang w:val="en-AU" w:eastAsia="en-US"/>
              </w:rPr>
            </w:pPr>
            <w:proofErr w:type="spellStart"/>
            <w:r w:rsidRPr="00464EA5">
              <w:rPr>
                <w:lang w:val="en-AU" w:eastAsia="en-US"/>
              </w:rPr>
              <w:t>Nepieciešamie</w:t>
            </w:r>
            <w:proofErr w:type="spellEnd"/>
            <w:r w:rsidRPr="00464EA5">
              <w:rPr>
                <w:lang w:val="en-AU" w:eastAsia="en-US"/>
              </w:rPr>
              <w:t xml:space="preserve"> </w:t>
            </w:r>
            <w:proofErr w:type="spellStart"/>
            <w:r w:rsidRPr="00464EA5">
              <w:rPr>
                <w:lang w:val="en-AU" w:eastAsia="en-US"/>
              </w:rPr>
              <w:t>saistītie</w:t>
            </w:r>
            <w:proofErr w:type="spellEnd"/>
            <w:r w:rsidRPr="00464EA5">
              <w:rPr>
                <w:lang w:val="en-AU" w:eastAsia="en-US"/>
              </w:rPr>
              <w:t xml:space="preserve"> </w:t>
            </w:r>
            <w:proofErr w:type="spellStart"/>
            <w:r w:rsidRPr="00464EA5">
              <w:rPr>
                <w:lang w:val="en-AU" w:eastAsia="en-US"/>
              </w:rPr>
              <w:t>tiesību</w:t>
            </w:r>
            <w:proofErr w:type="spellEnd"/>
            <w:r w:rsidRPr="00464EA5">
              <w:rPr>
                <w:lang w:val="en-AU" w:eastAsia="en-US"/>
              </w:rPr>
              <w:t xml:space="preserve"> </w:t>
            </w:r>
            <w:proofErr w:type="spellStart"/>
            <w:r w:rsidRPr="00464EA5">
              <w:rPr>
                <w:lang w:val="en-AU" w:eastAsia="en-US"/>
              </w:rPr>
              <w:t>aktu</w:t>
            </w:r>
            <w:proofErr w:type="spellEnd"/>
            <w:r w:rsidRPr="00464EA5">
              <w:rPr>
                <w:lang w:val="en-AU" w:eastAsia="en-US"/>
              </w:rPr>
              <w:t xml:space="preserve"> </w:t>
            </w:r>
            <w:proofErr w:type="spellStart"/>
            <w:r w:rsidRPr="00464EA5">
              <w:rPr>
                <w:lang w:val="en-AU" w:eastAsia="en-US"/>
              </w:rPr>
              <w:t>projekti</w:t>
            </w:r>
            <w:proofErr w:type="spellEnd"/>
          </w:p>
        </w:tc>
        <w:tc>
          <w:tcPr>
            <w:tcW w:w="3431" w:type="pct"/>
            <w:tcBorders>
              <w:top w:val="outset" w:sz="6" w:space="0" w:color="000000"/>
              <w:left w:val="outset" w:sz="6" w:space="0" w:color="000000"/>
              <w:bottom w:val="outset" w:sz="6" w:space="0" w:color="000000"/>
              <w:right w:val="outset" w:sz="6" w:space="0" w:color="000000"/>
            </w:tcBorders>
            <w:hideMark/>
          </w:tcPr>
          <w:p w:rsidR="006A3777" w:rsidRDefault="00373CD5" w:rsidP="00AD6E88">
            <w:pPr>
              <w:jc w:val="both"/>
              <w:rPr>
                <w:bCs/>
                <w:color w:val="000000"/>
              </w:rPr>
            </w:pPr>
            <w:r w:rsidRPr="00DB72A9">
              <w:t xml:space="preserve">Izglītības un zinātnes ministrija </w:t>
            </w:r>
            <w:r w:rsidRPr="00DB72A9">
              <w:rPr>
                <w:bCs/>
                <w:color w:val="000000"/>
              </w:rPr>
              <w:t>ir izstrādājusi un vienlaikus virza apstiprināšanai šādu tiesību aktu projektu</w:t>
            </w:r>
            <w:r w:rsidR="00027271">
              <w:rPr>
                <w:bCs/>
                <w:color w:val="000000"/>
              </w:rPr>
              <w:t xml:space="preserve"> grozījumus:</w:t>
            </w:r>
          </w:p>
          <w:p w:rsidR="00446733" w:rsidRDefault="006A3777" w:rsidP="00AD6E88">
            <w:pPr>
              <w:jc w:val="both"/>
              <w:rPr>
                <w:bCs/>
              </w:rPr>
            </w:pPr>
            <w:r>
              <w:rPr>
                <w:bCs/>
                <w:color w:val="000000"/>
              </w:rPr>
              <w:lastRenderedPageBreak/>
              <w:t xml:space="preserve">– darbības programmas </w:t>
            </w:r>
            <w:r w:rsidR="00446733" w:rsidRPr="00446733">
              <w:rPr>
                <w:bCs/>
              </w:rPr>
              <w:t>"Uzņēmējdarbība un inovācijas"</w:t>
            </w:r>
            <w:r w:rsidR="00446733">
              <w:rPr>
                <w:bCs/>
              </w:rPr>
              <w:t xml:space="preserve"> </w:t>
            </w:r>
            <w:r w:rsidR="00027271">
              <w:rPr>
                <w:bCs/>
              </w:rPr>
              <w:t>papildinājums</w:t>
            </w:r>
            <w:r w:rsidR="00446733">
              <w:rPr>
                <w:bCs/>
              </w:rPr>
              <w:t>;</w:t>
            </w:r>
          </w:p>
          <w:p w:rsidR="00596BC0" w:rsidRPr="00027271" w:rsidRDefault="00557D00" w:rsidP="00AD6E88">
            <w:pPr>
              <w:jc w:val="both"/>
              <w:rPr>
                <w:bCs/>
                <w:color w:val="000000"/>
              </w:rPr>
            </w:pPr>
            <w:r>
              <w:rPr>
                <w:bCs/>
                <w:color w:val="000000"/>
              </w:rPr>
              <w:t>- </w:t>
            </w:r>
            <w:r w:rsidR="00596BC0">
              <w:rPr>
                <w:bCs/>
                <w:color w:val="000000"/>
              </w:rPr>
              <w:t xml:space="preserve">darbības programmas </w:t>
            </w:r>
            <w:r w:rsidR="00596BC0" w:rsidRPr="00027271">
              <w:rPr>
                <w:bCs/>
                <w:color w:val="000000"/>
              </w:rPr>
              <w:t xml:space="preserve">"Cilvēkresursi un nodarbinātība" </w:t>
            </w:r>
            <w:r w:rsidR="00027271" w:rsidRPr="00027271">
              <w:rPr>
                <w:bCs/>
                <w:color w:val="000000"/>
              </w:rPr>
              <w:t>papildinājum</w:t>
            </w:r>
            <w:r w:rsidR="00027271">
              <w:rPr>
                <w:bCs/>
                <w:color w:val="000000"/>
              </w:rPr>
              <w:t>s</w:t>
            </w:r>
            <w:r w:rsidR="00596BC0" w:rsidRPr="00027271">
              <w:rPr>
                <w:bCs/>
                <w:color w:val="000000"/>
              </w:rPr>
              <w:t>;</w:t>
            </w:r>
          </w:p>
          <w:p w:rsidR="00596BC0" w:rsidRDefault="00446733" w:rsidP="00596BC0">
            <w:pPr>
              <w:autoSpaceDE w:val="0"/>
              <w:autoSpaceDN w:val="0"/>
              <w:adjustRightInd w:val="0"/>
              <w:jc w:val="both"/>
            </w:pPr>
            <w:r w:rsidRPr="00027271">
              <w:rPr>
                <w:bCs/>
                <w:color w:val="000000"/>
              </w:rPr>
              <w:t>– </w:t>
            </w:r>
            <w:r w:rsidR="00EF7B7C" w:rsidRPr="00027271">
              <w:rPr>
                <w:bCs/>
                <w:color w:val="000000"/>
              </w:rPr>
              <w:t>MK 2012.gada 9.oktobr</w:t>
            </w:r>
            <w:r w:rsidR="00596BC0" w:rsidRPr="00027271">
              <w:rPr>
                <w:bCs/>
                <w:color w:val="000000"/>
              </w:rPr>
              <w:t xml:space="preserve">a </w:t>
            </w:r>
            <w:r w:rsidR="00027271" w:rsidRPr="00027271">
              <w:rPr>
                <w:bCs/>
                <w:color w:val="000000"/>
              </w:rPr>
              <w:t>noteikum</w:t>
            </w:r>
            <w:r w:rsidR="00027271">
              <w:rPr>
                <w:bCs/>
                <w:color w:val="000000"/>
              </w:rPr>
              <w:t>i</w:t>
            </w:r>
            <w:r w:rsidR="00027271" w:rsidRPr="00027271">
              <w:rPr>
                <w:bCs/>
                <w:color w:val="000000"/>
              </w:rPr>
              <w:t xml:space="preserve"> </w:t>
            </w:r>
            <w:r w:rsidR="00596BC0" w:rsidRPr="00027271">
              <w:rPr>
                <w:bCs/>
                <w:color w:val="000000"/>
              </w:rPr>
              <w:t xml:space="preserve">Nr.704 „ </w:t>
            </w:r>
            <w:r w:rsidR="00EF7B7C" w:rsidRPr="00027271">
              <w:rPr>
                <w:bCs/>
                <w:color w:val="000000"/>
              </w:rPr>
              <w:t>Noteikumi par darbības programmas "Cilvēkresursi un nodarbinātība" papildinājuma 1.1.1.2.aktivitātes "Cilvēkresursu piesaiste zinātnei" otro projektu iesniegumu atlases</w:t>
            </w:r>
            <w:r w:rsidR="00EF7B7C" w:rsidRPr="00EF7B7C">
              <w:t xml:space="preserve"> kārtu</w:t>
            </w:r>
            <w:r w:rsidR="00596BC0">
              <w:t>”</w:t>
            </w:r>
            <w:r w:rsidR="00954686">
              <w:t xml:space="preserve"> (turpmāk –MK N 704</w:t>
            </w:r>
            <w:r w:rsidR="002D087C">
              <w:t>)</w:t>
            </w:r>
            <w:r w:rsidR="00596BC0">
              <w:t>;</w:t>
            </w:r>
          </w:p>
          <w:p w:rsidR="00113397" w:rsidRDefault="00557D00" w:rsidP="002D087C">
            <w:pPr>
              <w:autoSpaceDE w:val="0"/>
              <w:autoSpaceDN w:val="0"/>
              <w:adjustRightInd w:val="0"/>
              <w:jc w:val="both"/>
            </w:pPr>
            <w:r>
              <w:rPr>
                <w:bCs/>
                <w:color w:val="000000"/>
              </w:rPr>
              <w:t>– </w:t>
            </w:r>
            <w:r w:rsidR="00890B01" w:rsidRPr="00890B01">
              <w:rPr>
                <w:bCs/>
                <w:color w:val="000000"/>
              </w:rPr>
              <w:t xml:space="preserve">MK 2011.gada 5.aprīļa </w:t>
            </w:r>
            <w:r w:rsidR="00C16BD4" w:rsidRPr="00890B01">
              <w:rPr>
                <w:bCs/>
                <w:color w:val="000000"/>
              </w:rPr>
              <w:t>noteikum</w:t>
            </w:r>
            <w:r w:rsidR="00C16BD4">
              <w:rPr>
                <w:bCs/>
                <w:color w:val="000000"/>
              </w:rPr>
              <w:t>i</w:t>
            </w:r>
            <w:r w:rsidR="00C16BD4" w:rsidRPr="00890B01">
              <w:rPr>
                <w:bCs/>
                <w:color w:val="000000"/>
              </w:rPr>
              <w:t xml:space="preserve"> </w:t>
            </w:r>
            <w:r w:rsidR="00890B01" w:rsidRPr="00890B01">
              <w:rPr>
                <w:bCs/>
                <w:color w:val="000000"/>
              </w:rPr>
              <w:t>Nr.266 „Noteikumi par darbības programmas "Uzņēmējdarbība un inovācijas" papildinājuma 2.1.1.3.1.apakšaktivitātes "Zinātnes infrastruktūras attīstība" otro projektu iesniegumu atlases kārtu”</w:t>
            </w:r>
            <w:r w:rsidR="00954686">
              <w:t xml:space="preserve"> (turpmāk –MK N </w:t>
            </w:r>
            <w:r w:rsidR="002C0DFB">
              <w:t>266</w:t>
            </w:r>
            <w:r w:rsidR="00954686">
              <w:t>)</w:t>
            </w:r>
            <w:r w:rsidR="00113397">
              <w:t>;</w:t>
            </w:r>
          </w:p>
          <w:p w:rsidR="00AD6E88" w:rsidRPr="00DD6166" w:rsidRDefault="00113397" w:rsidP="00113397">
            <w:pPr>
              <w:autoSpaceDE w:val="0"/>
              <w:autoSpaceDN w:val="0"/>
              <w:adjustRightInd w:val="0"/>
              <w:jc w:val="both"/>
            </w:pPr>
            <w:r w:rsidRPr="00DD6166">
              <w:t>– </w:t>
            </w:r>
            <w:r w:rsidRPr="00DD6166">
              <w:rPr>
                <w:szCs w:val="28"/>
              </w:rPr>
              <w:t>MK 2008.gada 21.jūlija noteikumi Nr.578</w:t>
            </w:r>
            <w:r w:rsidRPr="00DD6166">
              <w:rPr>
                <w:szCs w:val="28"/>
              </w:rPr>
              <w:br/>
              <w:t xml:space="preserve">„Noteikumi par darbības programmas “Cilvēkresursi un nodarbinātība” papildinājuma 1.2.1.1.4.apakšaktivitāti “Sākotnējās profesionālās izglītības pievilcības veicināšana”” </w:t>
            </w:r>
            <w:r w:rsidRPr="00DD6166">
              <w:t>(turpmāk – MK N 578)</w:t>
            </w:r>
            <w:r w:rsidR="00890B01" w:rsidRPr="00DD6166">
              <w:rPr>
                <w:bCs/>
                <w:color w:val="000000"/>
              </w:rPr>
              <w:t>.</w:t>
            </w:r>
            <w:r w:rsidR="00C16BD4" w:rsidRPr="00DD6166">
              <w:rPr>
                <w:bCs/>
                <w:color w:val="000000"/>
              </w:rPr>
              <w:t xml:space="preserve"> </w:t>
            </w:r>
          </w:p>
        </w:tc>
      </w:tr>
      <w:tr w:rsidR="001A5D33" w:rsidRPr="00464EA5" w:rsidTr="00BF2E8F">
        <w:tc>
          <w:tcPr>
            <w:tcW w:w="0" w:type="auto"/>
            <w:tcBorders>
              <w:top w:val="outset" w:sz="6" w:space="0" w:color="000000"/>
              <w:left w:val="outset" w:sz="6" w:space="0" w:color="000000"/>
              <w:bottom w:val="outset" w:sz="6" w:space="0" w:color="000000"/>
              <w:right w:val="outset" w:sz="6" w:space="0" w:color="000000"/>
            </w:tcBorders>
            <w:hideMark/>
          </w:tcPr>
          <w:p w:rsidR="001A5D33" w:rsidRPr="00464EA5" w:rsidRDefault="001A5D33" w:rsidP="0014630D">
            <w:r w:rsidRPr="00464EA5">
              <w:lastRenderedPageBreak/>
              <w:t>2.</w:t>
            </w:r>
          </w:p>
        </w:tc>
        <w:tc>
          <w:tcPr>
            <w:tcW w:w="1421" w:type="pct"/>
            <w:tcBorders>
              <w:top w:val="outset" w:sz="6" w:space="0" w:color="000000"/>
              <w:left w:val="outset" w:sz="6" w:space="0" w:color="000000"/>
              <w:bottom w:val="outset" w:sz="6" w:space="0" w:color="000000"/>
              <w:right w:val="outset" w:sz="6" w:space="0" w:color="000000"/>
            </w:tcBorders>
            <w:hideMark/>
          </w:tcPr>
          <w:p w:rsidR="001A5D33" w:rsidRPr="00464EA5" w:rsidRDefault="001A5D33" w:rsidP="0014630D">
            <w:r w:rsidRPr="00464EA5">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D360F0" w:rsidRDefault="000A4159" w:rsidP="00954686">
            <w:pPr>
              <w:jc w:val="both"/>
              <w:rPr>
                <w:szCs w:val="28"/>
              </w:rPr>
            </w:pPr>
            <w:r w:rsidRPr="00DB72A9">
              <w:rPr>
                <w:szCs w:val="28"/>
              </w:rPr>
              <w:t xml:space="preserve">Noteikumu projekts virzāms apstiprināšanai Ministru kabineta sēdē vienlaikus </w:t>
            </w:r>
            <w:r w:rsidR="008966BA">
              <w:rPr>
                <w:szCs w:val="28"/>
              </w:rPr>
              <w:t>ar</w:t>
            </w:r>
            <w:r w:rsidRPr="00DB72A9">
              <w:rPr>
                <w:szCs w:val="28"/>
              </w:rPr>
              <w:t xml:space="preserve"> grozījumiem</w:t>
            </w:r>
            <w:r w:rsidR="00D360F0">
              <w:rPr>
                <w:szCs w:val="28"/>
              </w:rPr>
              <w:t>:</w:t>
            </w:r>
          </w:p>
          <w:p w:rsidR="00954686" w:rsidRDefault="00D360F0" w:rsidP="00954686">
            <w:pPr>
              <w:jc w:val="both"/>
              <w:rPr>
                <w:bCs/>
              </w:rPr>
            </w:pPr>
            <w:r>
              <w:rPr>
                <w:szCs w:val="28"/>
              </w:rPr>
              <w:t>–</w:t>
            </w:r>
            <w:r w:rsidR="00954686">
              <w:rPr>
                <w:bCs/>
                <w:color w:val="000000"/>
              </w:rPr>
              <w:t xml:space="preserve"> darbības programmas </w:t>
            </w:r>
            <w:r w:rsidR="00954686" w:rsidRPr="00446733">
              <w:rPr>
                <w:bCs/>
              </w:rPr>
              <w:t>"Uzņēmējdarbība un inovācijas"</w:t>
            </w:r>
            <w:r w:rsidR="00954686">
              <w:rPr>
                <w:bCs/>
              </w:rPr>
              <w:t xml:space="preserve"> papildinājumā, </w:t>
            </w:r>
            <w:r w:rsidR="00954686">
              <w:rPr>
                <w:bCs/>
                <w:color w:val="000000"/>
              </w:rPr>
              <w:t>darbības p</w:t>
            </w:r>
            <w:r w:rsidR="00FC321C">
              <w:rPr>
                <w:bCs/>
                <w:color w:val="000000"/>
              </w:rPr>
              <w:t>r</w:t>
            </w:r>
            <w:r w:rsidR="00954686">
              <w:rPr>
                <w:bCs/>
                <w:color w:val="000000"/>
              </w:rPr>
              <w:t xml:space="preserve">ogrammas </w:t>
            </w:r>
            <w:r w:rsidR="00954686" w:rsidRPr="00EF7B7C">
              <w:t>"Cilvēkresursi un</w:t>
            </w:r>
            <w:r w:rsidR="00954686">
              <w:t xml:space="preserve"> </w:t>
            </w:r>
            <w:r w:rsidR="00954686" w:rsidRPr="00EF7B7C">
              <w:t>nodarbinātība"</w:t>
            </w:r>
            <w:r w:rsidR="00954686">
              <w:rPr>
                <w:bCs/>
              </w:rPr>
              <w:t xml:space="preserve"> papildinājumā;</w:t>
            </w:r>
          </w:p>
          <w:p w:rsidR="001A5D33" w:rsidRPr="00DB72A9" w:rsidRDefault="00D360F0" w:rsidP="00113397">
            <w:pPr>
              <w:jc w:val="both"/>
            </w:pPr>
            <w:r>
              <w:rPr>
                <w:szCs w:val="28"/>
              </w:rPr>
              <w:softHyphen/>
              <w:t> </w:t>
            </w:r>
            <w:r w:rsidR="00946D26">
              <w:rPr>
                <w:szCs w:val="28"/>
              </w:rPr>
              <w:t xml:space="preserve">MK </w:t>
            </w:r>
            <w:r w:rsidR="002C0DFB">
              <w:t>N</w:t>
            </w:r>
            <w:r w:rsidR="008966BA" w:rsidRPr="00DB72A9">
              <w:t>.</w:t>
            </w:r>
            <w:r w:rsidR="00946D26">
              <w:t>266</w:t>
            </w:r>
            <w:r w:rsidR="00954686">
              <w:t xml:space="preserve">, MK </w:t>
            </w:r>
            <w:r w:rsidR="002C0DFB">
              <w:t xml:space="preserve">N </w:t>
            </w:r>
            <w:r w:rsidR="00954686">
              <w:t>704</w:t>
            </w:r>
            <w:r w:rsidR="00113397" w:rsidRPr="00DD6166">
              <w:t>, MK N 578.</w:t>
            </w:r>
          </w:p>
        </w:tc>
      </w:tr>
    </w:tbl>
    <w:p w:rsidR="005F1F3C" w:rsidRPr="00464EA5" w:rsidRDefault="005F1F3C" w:rsidP="0014630D">
      <w:pPr>
        <w:jc w:val="both"/>
        <w:rPr>
          <w:b/>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47"/>
        <w:gridCol w:w="1779"/>
        <w:gridCol w:w="6995"/>
      </w:tblGrid>
      <w:tr w:rsidR="005F1F3C" w:rsidRPr="00464EA5" w:rsidTr="00F10230">
        <w:trPr>
          <w:tblCellSpacing w:w="15" w:type="dxa"/>
        </w:trPr>
        <w:tc>
          <w:tcPr>
            <w:tcW w:w="0" w:type="auto"/>
            <w:gridSpan w:val="3"/>
            <w:shd w:val="clear" w:color="auto" w:fill="auto"/>
            <w:hideMark/>
          </w:tcPr>
          <w:p w:rsidR="005F1F3C" w:rsidRPr="00464EA5" w:rsidRDefault="005F1F3C" w:rsidP="0014630D">
            <w:pPr>
              <w:jc w:val="center"/>
              <w:rPr>
                <w:b/>
                <w:bCs/>
              </w:rPr>
            </w:pPr>
            <w:r w:rsidRPr="00464EA5">
              <w:rPr>
                <w:b/>
                <w:bCs/>
              </w:rPr>
              <w:t>V. Tiesību akta projekta atbilstība Latvijas Republikas starptautiskajām saistībām</w:t>
            </w:r>
          </w:p>
        </w:tc>
      </w:tr>
      <w:tr w:rsidR="005F1F3C" w:rsidRPr="00464EA5" w:rsidTr="00F10230">
        <w:trPr>
          <w:tblCellSpacing w:w="15" w:type="dxa"/>
        </w:trPr>
        <w:tc>
          <w:tcPr>
            <w:tcW w:w="0" w:type="auto"/>
            <w:shd w:val="clear" w:color="auto" w:fill="auto"/>
            <w:hideMark/>
          </w:tcPr>
          <w:p w:rsidR="005F1F3C" w:rsidRPr="00464EA5" w:rsidRDefault="005F1F3C" w:rsidP="0014630D">
            <w:r w:rsidRPr="00464EA5">
              <w:t>1.</w:t>
            </w:r>
          </w:p>
        </w:tc>
        <w:tc>
          <w:tcPr>
            <w:tcW w:w="961" w:type="pct"/>
            <w:shd w:val="clear" w:color="auto" w:fill="auto"/>
            <w:hideMark/>
          </w:tcPr>
          <w:p w:rsidR="005F1F3C" w:rsidRPr="00985A81" w:rsidRDefault="005F1F3C" w:rsidP="0014630D">
            <w:pPr>
              <w:jc w:val="both"/>
            </w:pPr>
            <w:r w:rsidRPr="00985A81">
              <w:t>Saistības pret Eiropas Savienību</w:t>
            </w:r>
          </w:p>
        </w:tc>
        <w:tc>
          <w:tcPr>
            <w:tcW w:w="3818" w:type="pct"/>
            <w:shd w:val="clear" w:color="auto" w:fill="auto"/>
            <w:hideMark/>
          </w:tcPr>
          <w:p w:rsidR="005F1F3C" w:rsidRPr="00985A81" w:rsidRDefault="005F1F3C" w:rsidP="0014630D">
            <w:pPr>
              <w:jc w:val="both"/>
            </w:pPr>
            <w:r w:rsidRPr="00985A81">
              <w:t>Ar noteikumu projektu tiks ieviestas šāda Eiropas Savienības tiesību akta prasības:</w:t>
            </w:r>
          </w:p>
          <w:p w:rsidR="009A0F74" w:rsidRDefault="009A0F74" w:rsidP="009A0F74">
            <w:pPr>
              <w:jc w:val="both"/>
              <w:rPr>
                <w:rStyle w:val="Strong"/>
                <w:bCs w:val="0"/>
              </w:rPr>
            </w:pPr>
            <w:r w:rsidRPr="00985A81">
              <w:rPr>
                <w:rStyle w:val="Strong"/>
                <w:b w:val="0"/>
              </w:rPr>
              <w:t>– Padomes Regula Nr.1083/2006, ar ko paredz vispārīgus noteikumus par Eiropas Reģionālās attīstības fondu, Eiropas Sociālo fondu un Kohēzijas fondu un atceļ Regulu (EK) Nr.1260/1999 (</w:t>
            </w:r>
            <w:r w:rsidRPr="00985A81">
              <w:rPr>
                <w:rStyle w:val="Strong"/>
                <w:b w:val="0"/>
                <w:bCs w:val="0"/>
              </w:rPr>
              <w:t>publicēta Eiropas Savienības Oficiālajā Vēstnesī 2006.gada 31.jūlijā, Nr. L 210/25)</w:t>
            </w:r>
            <w:r>
              <w:rPr>
                <w:rStyle w:val="Strong"/>
                <w:b w:val="0"/>
                <w:bCs w:val="0"/>
              </w:rPr>
              <w:t xml:space="preserve"> (turpmāk – </w:t>
            </w:r>
            <w:r w:rsidRPr="00C5043C">
              <w:rPr>
                <w:iCs/>
              </w:rPr>
              <w:t>Regula Nr.1083/2006)</w:t>
            </w:r>
            <w:r w:rsidRPr="00C5043C">
              <w:rPr>
                <w:rStyle w:val="Strong"/>
                <w:bCs w:val="0"/>
              </w:rPr>
              <w:t>;</w:t>
            </w:r>
          </w:p>
          <w:p w:rsidR="009A0F74" w:rsidRPr="0006670D" w:rsidRDefault="009A0F74" w:rsidP="009A0F74">
            <w:pPr>
              <w:jc w:val="both"/>
              <w:rPr>
                <w:rStyle w:val="Strong"/>
                <w:b w:val="0"/>
              </w:rPr>
            </w:pPr>
            <w:r w:rsidRPr="0006670D">
              <w:rPr>
                <w:rStyle w:val="Strong"/>
                <w:b w:val="0"/>
              </w:rPr>
              <w:t>– Eiropas Parlamenta un Padomes Regula (EK) Nr.1080/2006 par Eiropas Reģionālās attīstības fondu un Regulas (EK) Nr.1783/1999 atcelšanu</w:t>
            </w:r>
            <w:r>
              <w:rPr>
                <w:rStyle w:val="Strong"/>
                <w:b w:val="0"/>
              </w:rPr>
              <w:t xml:space="preserve"> </w:t>
            </w:r>
            <w:r w:rsidRPr="00985A81">
              <w:rPr>
                <w:rStyle w:val="Strong"/>
                <w:b w:val="0"/>
              </w:rPr>
              <w:t>(</w:t>
            </w:r>
            <w:r w:rsidRPr="00985A81">
              <w:rPr>
                <w:rStyle w:val="Strong"/>
                <w:b w:val="0"/>
                <w:bCs w:val="0"/>
              </w:rPr>
              <w:t>publicēta Eiropas Savienības Oficiālajā Vēstnesī 2006.gada 31.jūlijā, Nr. L 210)</w:t>
            </w:r>
            <w:r>
              <w:rPr>
                <w:rStyle w:val="Strong"/>
                <w:b w:val="0"/>
                <w:bCs w:val="0"/>
              </w:rPr>
              <w:t xml:space="preserve"> (turpmāk – </w:t>
            </w:r>
            <w:r w:rsidRPr="00C5043C">
              <w:rPr>
                <w:iCs/>
              </w:rPr>
              <w:t>Regula Nr.108</w:t>
            </w:r>
            <w:r>
              <w:rPr>
                <w:iCs/>
              </w:rPr>
              <w:t>0</w:t>
            </w:r>
            <w:r w:rsidRPr="00C5043C">
              <w:rPr>
                <w:iCs/>
              </w:rPr>
              <w:t>/2006)</w:t>
            </w:r>
            <w:r w:rsidRPr="0006670D">
              <w:rPr>
                <w:rStyle w:val="Strong"/>
                <w:b w:val="0"/>
              </w:rPr>
              <w:t xml:space="preserve">; </w:t>
            </w:r>
          </w:p>
          <w:p w:rsidR="005F1F3C" w:rsidRPr="00985A81" w:rsidRDefault="009A0F74" w:rsidP="009E0E67">
            <w:pPr>
              <w:jc w:val="both"/>
            </w:pPr>
            <w:r>
              <w:rPr>
                <w:rStyle w:val="Strong"/>
                <w:b w:val="0"/>
              </w:rPr>
              <w:t>– </w:t>
            </w:r>
            <w:r w:rsidRPr="00B85103">
              <w:rPr>
                <w:rStyle w:val="Strong"/>
                <w:b w:val="0"/>
              </w:rPr>
              <w:t>Komisijas 2006.gada 8.decembra Regulas (EK) Nr.</w:t>
            </w:r>
            <w:hyperlink r:id="rId8" w:tgtFrame="_blank" w:tooltip="REGULA" w:history="1">
              <w:r w:rsidRPr="00B85103">
                <w:rPr>
                  <w:rStyle w:val="Strong"/>
                  <w:b w:val="0"/>
                </w:rPr>
                <w:t>1828/2006</w:t>
              </w:r>
            </w:hyperlink>
            <w:r w:rsidRPr="00B85103">
              <w:rPr>
                <w:rStyle w:val="Strong"/>
                <w:b w:val="0"/>
              </w:rPr>
              <w:t>, kas paredz noteikumus par to, kā īstenot Padomes Regulu (EK) Nr. 1083/2006, ar ko paredz vispārīgus noteikumus par Eiropas Reģionālās attīstības fondu, Eiropas Sociālo fondu un Kohēzijas fondu, un Eiropas Parlamenta un Padomes Regulu (EK) Nr. 1080/2006 par Eiropas Reģionālās attīstības fondu (publicētas Eiropas Savienības Oficiālajā Vēstnesī 2006.gada 27.decembrī, Nr. L 371)</w:t>
            </w:r>
            <w:r>
              <w:rPr>
                <w:rStyle w:val="Strong"/>
                <w:b w:val="0"/>
              </w:rPr>
              <w:t xml:space="preserve"> (turpmāk – </w:t>
            </w:r>
            <w:r w:rsidR="0093724F">
              <w:rPr>
                <w:rStyle w:val="Strong"/>
                <w:b w:val="0"/>
              </w:rPr>
              <w:t>R</w:t>
            </w:r>
            <w:r>
              <w:rPr>
                <w:rStyle w:val="Strong"/>
                <w:b w:val="0"/>
              </w:rPr>
              <w:t xml:space="preserve">egula </w:t>
            </w:r>
            <w:r w:rsidR="0093724F">
              <w:rPr>
                <w:rStyle w:val="Strong"/>
                <w:b w:val="0"/>
              </w:rPr>
              <w:t>Nr.1828/2006)</w:t>
            </w:r>
            <w:r w:rsidRPr="00B85103">
              <w:rPr>
                <w:rStyle w:val="Strong"/>
              </w:rPr>
              <w:t>.</w:t>
            </w:r>
            <w:r>
              <w:rPr>
                <w:rStyle w:val="Strong"/>
                <w:b w:val="0"/>
                <w:bCs w:val="0"/>
              </w:rPr>
              <w:t>n</w:t>
            </w:r>
          </w:p>
        </w:tc>
      </w:tr>
      <w:tr w:rsidR="005F1F3C" w:rsidRPr="00464EA5" w:rsidTr="00F10230">
        <w:trPr>
          <w:tblCellSpacing w:w="15" w:type="dxa"/>
        </w:trPr>
        <w:tc>
          <w:tcPr>
            <w:tcW w:w="0" w:type="auto"/>
            <w:shd w:val="clear" w:color="auto" w:fill="auto"/>
            <w:hideMark/>
          </w:tcPr>
          <w:p w:rsidR="005F1F3C" w:rsidRPr="00464EA5" w:rsidRDefault="005F1F3C" w:rsidP="0014630D">
            <w:r w:rsidRPr="00464EA5">
              <w:t>2.</w:t>
            </w:r>
          </w:p>
        </w:tc>
        <w:tc>
          <w:tcPr>
            <w:tcW w:w="961" w:type="pct"/>
            <w:shd w:val="clear" w:color="auto" w:fill="auto"/>
            <w:hideMark/>
          </w:tcPr>
          <w:p w:rsidR="005F1F3C" w:rsidRPr="00464EA5" w:rsidRDefault="005F1F3C" w:rsidP="0014630D">
            <w:pPr>
              <w:jc w:val="both"/>
            </w:pPr>
            <w:r w:rsidRPr="00464EA5">
              <w:t xml:space="preserve">Citas </w:t>
            </w:r>
            <w:r w:rsidRPr="00464EA5">
              <w:lastRenderedPageBreak/>
              <w:t>starptautiskās saistības</w:t>
            </w:r>
          </w:p>
        </w:tc>
        <w:tc>
          <w:tcPr>
            <w:tcW w:w="3818" w:type="pct"/>
            <w:shd w:val="clear" w:color="auto" w:fill="auto"/>
            <w:hideMark/>
          </w:tcPr>
          <w:p w:rsidR="005F1F3C" w:rsidRPr="00464EA5" w:rsidRDefault="00C33500" w:rsidP="0014630D">
            <w:pPr>
              <w:jc w:val="both"/>
            </w:pPr>
            <w:r w:rsidRPr="00464EA5">
              <w:lastRenderedPageBreak/>
              <w:t>Noteikumu projekts šo jomu neskar</w:t>
            </w:r>
          </w:p>
        </w:tc>
      </w:tr>
      <w:tr w:rsidR="005F1F3C" w:rsidRPr="00464EA5" w:rsidTr="00F10230">
        <w:trPr>
          <w:tblCellSpacing w:w="15" w:type="dxa"/>
        </w:trPr>
        <w:tc>
          <w:tcPr>
            <w:tcW w:w="0" w:type="auto"/>
            <w:shd w:val="clear" w:color="auto" w:fill="auto"/>
            <w:hideMark/>
          </w:tcPr>
          <w:p w:rsidR="005F1F3C" w:rsidRPr="00464EA5" w:rsidRDefault="005F1F3C" w:rsidP="0014630D">
            <w:r w:rsidRPr="00464EA5">
              <w:lastRenderedPageBreak/>
              <w:t>3.</w:t>
            </w:r>
          </w:p>
        </w:tc>
        <w:tc>
          <w:tcPr>
            <w:tcW w:w="961" w:type="pct"/>
            <w:shd w:val="clear" w:color="auto" w:fill="auto"/>
            <w:hideMark/>
          </w:tcPr>
          <w:p w:rsidR="005F1F3C" w:rsidRPr="00464EA5" w:rsidRDefault="005F1F3C" w:rsidP="0014630D">
            <w:pPr>
              <w:jc w:val="both"/>
            </w:pPr>
            <w:r w:rsidRPr="00464EA5">
              <w:t>Cita informācija</w:t>
            </w:r>
          </w:p>
        </w:tc>
        <w:tc>
          <w:tcPr>
            <w:tcW w:w="3818" w:type="pct"/>
            <w:shd w:val="clear" w:color="auto" w:fill="auto"/>
            <w:hideMark/>
          </w:tcPr>
          <w:p w:rsidR="005F1F3C" w:rsidRPr="00425269" w:rsidRDefault="009E0E67" w:rsidP="0098382B">
            <w:pPr>
              <w:jc w:val="both"/>
              <w:rPr>
                <w:b/>
              </w:rPr>
            </w:pPr>
            <w:r w:rsidRPr="00425269">
              <w:rPr>
                <w:rStyle w:val="Strong"/>
                <w:b w:val="0"/>
              </w:rPr>
              <w:t>Ar noteikumu projektu tiks ieviestas arī Kopienas nostādņu par valsts atbalstu pētniecībai, attīstībai un inovācijai (publicētas Eiropas Savienības Oficiālajā Vēstnesī 2006.gada 30.d</w:t>
            </w:r>
            <w:r w:rsidR="00CF0FF1" w:rsidRPr="00425269">
              <w:rPr>
                <w:rStyle w:val="Strong"/>
                <w:b w:val="0"/>
              </w:rPr>
              <w:t>ecembrī, Nr. C 323/1)</w:t>
            </w:r>
            <w:r w:rsidR="009C54A3" w:rsidRPr="00425269">
              <w:rPr>
                <w:rStyle w:val="Strong"/>
                <w:b w:val="0"/>
              </w:rPr>
              <w:t xml:space="preserve"> nosacījumi, tai skaitā</w:t>
            </w:r>
            <w:r w:rsidR="00CF0FF1" w:rsidRPr="00425269">
              <w:rPr>
                <w:rStyle w:val="Strong"/>
                <w:b w:val="0"/>
              </w:rPr>
              <w:t xml:space="preserve"> </w:t>
            </w:r>
            <w:r w:rsidR="00102837" w:rsidRPr="00425269">
              <w:rPr>
                <w:rStyle w:val="Strong"/>
                <w:b w:val="0"/>
              </w:rPr>
              <w:t xml:space="preserve">3.1.sadaļas ievaddaļas, </w:t>
            </w:r>
            <w:r w:rsidR="009C54A3" w:rsidRPr="00425269">
              <w:rPr>
                <w:rStyle w:val="Strong"/>
                <w:b w:val="0"/>
              </w:rPr>
              <w:t xml:space="preserve">28. un 29.zemsvītras piezīmju, </w:t>
            </w:r>
            <w:r w:rsidR="00102837" w:rsidRPr="00425269">
              <w:rPr>
                <w:rStyle w:val="Strong"/>
                <w:b w:val="0"/>
              </w:rPr>
              <w:t>3.2.1.</w:t>
            </w:r>
            <w:r w:rsidR="009C54A3" w:rsidRPr="00425269">
              <w:rPr>
                <w:rStyle w:val="Strong"/>
                <w:b w:val="0"/>
              </w:rPr>
              <w:t xml:space="preserve"> un</w:t>
            </w:r>
            <w:r w:rsidR="00102837" w:rsidRPr="00425269">
              <w:rPr>
                <w:rStyle w:val="Strong"/>
                <w:b w:val="0"/>
              </w:rPr>
              <w:t xml:space="preserve"> 3.2.2.</w:t>
            </w:r>
            <w:r w:rsidR="009C54A3" w:rsidRPr="00425269">
              <w:rPr>
                <w:rStyle w:val="Strong"/>
                <w:b w:val="0"/>
              </w:rPr>
              <w:t xml:space="preserve">sadaļas </w:t>
            </w:r>
            <w:r w:rsidR="0057682E" w:rsidRPr="00425269">
              <w:rPr>
                <w:rStyle w:val="Strong"/>
                <w:b w:val="0"/>
              </w:rPr>
              <w:t xml:space="preserve">nosacījumi </w:t>
            </w:r>
          </w:p>
        </w:tc>
      </w:tr>
    </w:tbl>
    <w:p w:rsidR="005F1F3C" w:rsidRPr="00464EA5" w:rsidRDefault="005F1F3C" w:rsidP="0014630D">
      <w:r w:rsidRPr="00464EA5">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16"/>
        <w:gridCol w:w="341"/>
        <w:gridCol w:w="2570"/>
        <w:gridCol w:w="1967"/>
        <w:gridCol w:w="3127"/>
      </w:tblGrid>
      <w:tr w:rsidR="005F1F3C" w:rsidRPr="00464EA5" w:rsidTr="003661CB">
        <w:trPr>
          <w:tblCellSpacing w:w="15" w:type="dxa"/>
        </w:trPr>
        <w:tc>
          <w:tcPr>
            <w:tcW w:w="4967"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center"/>
              <w:rPr>
                <w:b/>
                <w:bCs/>
              </w:rPr>
            </w:pPr>
            <w:r w:rsidRPr="00464EA5">
              <w:rPr>
                <w:b/>
                <w:bCs/>
              </w:rPr>
              <w:t>1.tabula</w:t>
            </w:r>
            <w:r w:rsidRPr="00464EA5">
              <w:rPr>
                <w:b/>
                <w:bCs/>
              </w:rPr>
              <w:br/>
              <w:t>Tiesību akta projekta atbilstība ES tiesību aktiem</w:t>
            </w:r>
          </w:p>
        </w:tc>
      </w:tr>
      <w:tr w:rsidR="005F1F3C" w:rsidRPr="00464EA5" w:rsidTr="007C75E7">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both"/>
            </w:pPr>
            <w:r w:rsidRPr="00464EA5">
              <w:t>Attiecīgā ES tiesību akta datums, numurs un nosaukums</w:t>
            </w:r>
          </w:p>
        </w:tc>
        <w:tc>
          <w:tcPr>
            <w:tcW w:w="4316"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985A81" w:rsidRDefault="00985A81" w:rsidP="00985A81">
            <w:pPr>
              <w:jc w:val="both"/>
              <w:rPr>
                <w:rStyle w:val="Strong"/>
                <w:bCs w:val="0"/>
              </w:rPr>
            </w:pPr>
            <w:r w:rsidRPr="00985A81">
              <w:rPr>
                <w:rStyle w:val="Strong"/>
                <w:b w:val="0"/>
              </w:rPr>
              <w:t>– </w:t>
            </w:r>
            <w:r w:rsidR="00C5043C" w:rsidRPr="00C5043C">
              <w:rPr>
                <w:iCs/>
              </w:rPr>
              <w:t>Regula Nr.1083/2006</w:t>
            </w:r>
            <w:r w:rsidRPr="00C5043C">
              <w:rPr>
                <w:rStyle w:val="Strong"/>
                <w:bCs w:val="0"/>
              </w:rPr>
              <w:t>;</w:t>
            </w:r>
          </w:p>
          <w:p w:rsidR="00796717" w:rsidRPr="0006670D" w:rsidRDefault="00796717" w:rsidP="00985A81">
            <w:pPr>
              <w:jc w:val="both"/>
              <w:rPr>
                <w:rStyle w:val="Strong"/>
                <w:b w:val="0"/>
              </w:rPr>
            </w:pPr>
            <w:r w:rsidRPr="0006670D">
              <w:rPr>
                <w:rStyle w:val="Strong"/>
                <w:b w:val="0"/>
              </w:rPr>
              <w:t>– </w:t>
            </w:r>
            <w:r w:rsidR="00CA293F" w:rsidRPr="00C5043C">
              <w:rPr>
                <w:iCs/>
              </w:rPr>
              <w:t>Regula Nr.108</w:t>
            </w:r>
            <w:r w:rsidR="00CA293F">
              <w:rPr>
                <w:iCs/>
              </w:rPr>
              <w:t>0</w:t>
            </w:r>
            <w:r w:rsidR="00CA293F" w:rsidRPr="00C5043C">
              <w:rPr>
                <w:iCs/>
              </w:rPr>
              <w:t>/2006</w:t>
            </w:r>
            <w:r w:rsidR="0006670D" w:rsidRPr="0006670D">
              <w:rPr>
                <w:rStyle w:val="Strong"/>
                <w:b w:val="0"/>
              </w:rPr>
              <w:t xml:space="preserve">; </w:t>
            </w:r>
          </w:p>
          <w:p w:rsidR="0051621B" w:rsidRPr="00C5043C" w:rsidRDefault="00B85103" w:rsidP="00EC6F93">
            <w:pPr>
              <w:jc w:val="both"/>
              <w:rPr>
                <w:bCs/>
              </w:rPr>
            </w:pPr>
            <w:r>
              <w:rPr>
                <w:rStyle w:val="Strong"/>
                <w:b w:val="0"/>
              </w:rPr>
              <w:t>– </w:t>
            </w:r>
            <w:r w:rsidR="00257926" w:rsidRPr="00B85103">
              <w:rPr>
                <w:rStyle w:val="Strong"/>
                <w:b w:val="0"/>
              </w:rPr>
              <w:t>Regula Nr.</w:t>
            </w:r>
            <w:hyperlink r:id="rId9" w:tgtFrame="_blank" w:tooltip="REGULA" w:history="1">
              <w:r w:rsidR="00257926" w:rsidRPr="00B85103">
                <w:rPr>
                  <w:rStyle w:val="Strong"/>
                  <w:b w:val="0"/>
                </w:rPr>
                <w:t>1828/2006</w:t>
              </w:r>
            </w:hyperlink>
            <w:r w:rsidR="00257926" w:rsidRPr="00B85103">
              <w:rPr>
                <w:rStyle w:val="Strong"/>
              </w:rPr>
              <w:t>.</w:t>
            </w:r>
          </w:p>
        </w:tc>
      </w:tr>
      <w:tr w:rsidR="00064642" w:rsidRPr="00464EA5" w:rsidTr="00064642">
        <w:trPr>
          <w:tblCellSpacing w:w="15" w:type="dxa"/>
        </w:trPr>
        <w:tc>
          <w:tcPr>
            <w:tcW w:w="78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center"/>
            </w:pPr>
            <w:r w:rsidRPr="00464EA5">
              <w:t>A</w:t>
            </w:r>
          </w:p>
        </w:tc>
        <w:tc>
          <w:tcPr>
            <w:tcW w:w="1398"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center"/>
            </w:pPr>
            <w:r w:rsidRPr="00464EA5">
              <w:t>B</w:t>
            </w:r>
          </w:p>
        </w:tc>
        <w:tc>
          <w:tcPr>
            <w:tcW w:w="106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center"/>
            </w:pPr>
            <w:r w:rsidRPr="00464EA5">
              <w:t>C</w:t>
            </w:r>
          </w:p>
        </w:tc>
        <w:tc>
          <w:tcPr>
            <w:tcW w:w="167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F1F3C" w:rsidRPr="00464EA5" w:rsidRDefault="005F1F3C" w:rsidP="0014630D">
            <w:pPr>
              <w:jc w:val="center"/>
            </w:pPr>
            <w:r w:rsidRPr="00464EA5">
              <w:t>D</w:t>
            </w:r>
          </w:p>
        </w:tc>
      </w:tr>
      <w:tr w:rsidR="00064642" w:rsidRPr="00464EA5" w:rsidTr="00064642">
        <w:trPr>
          <w:tblCellSpacing w:w="15" w:type="dxa"/>
        </w:trPr>
        <w:tc>
          <w:tcPr>
            <w:tcW w:w="785" w:type="pct"/>
            <w:gridSpan w:val="2"/>
            <w:tcBorders>
              <w:top w:val="outset" w:sz="6" w:space="0" w:color="auto"/>
              <w:left w:val="outset" w:sz="6" w:space="0" w:color="auto"/>
              <w:bottom w:val="outset" w:sz="6" w:space="0" w:color="auto"/>
              <w:right w:val="outset" w:sz="6" w:space="0" w:color="auto"/>
            </w:tcBorders>
            <w:shd w:val="clear" w:color="auto" w:fill="auto"/>
            <w:hideMark/>
          </w:tcPr>
          <w:p w:rsidR="005F1F3C" w:rsidRPr="00464EA5" w:rsidRDefault="005F1F3C" w:rsidP="0014630D">
            <w:pPr>
              <w:pStyle w:val="naiskr"/>
              <w:spacing w:before="0" w:after="0"/>
            </w:pPr>
            <w:r w:rsidRPr="00464EA5">
              <w:t xml:space="preserve">Attiecīgā ES tiesību akta panta numurs (uzskaitot katru tiesību akta </w:t>
            </w:r>
            <w:r w:rsidRPr="00464EA5">
              <w:br/>
              <w:t>vienību – pantu, daļu, punktu, apakšpunktu)</w:t>
            </w:r>
          </w:p>
        </w:tc>
        <w:tc>
          <w:tcPr>
            <w:tcW w:w="1398" w:type="pct"/>
            <w:tcBorders>
              <w:top w:val="outset" w:sz="6" w:space="0" w:color="auto"/>
              <w:left w:val="outset" w:sz="6" w:space="0" w:color="auto"/>
              <w:bottom w:val="outset" w:sz="6" w:space="0" w:color="auto"/>
              <w:right w:val="outset" w:sz="6" w:space="0" w:color="auto"/>
            </w:tcBorders>
            <w:shd w:val="clear" w:color="auto" w:fill="auto"/>
            <w:hideMark/>
          </w:tcPr>
          <w:p w:rsidR="005F1F3C" w:rsidRPr="00464EA5" w:rsidRDefault="005F1F3C" w:rsidP="0014630D">
            <w:pPr>
              <w:pStyle w:val="naiskr"/>
              <w:spacing w:before="0" w:after="0"/>
            </w:pPr>
            <w:r w:rsidRPr="00464EA5">
              <w:t>Projekta vienība, kas pārņem vai ievieš katru šīs tabulas A ailē minēto ES tiesību akta vienību</w:t>
            </w:r>
          </w:p>
        </w:tc>
        <w:tc>
          <w:tcPr>
            <w:tcW w:w="1066" w:type="pct"/>
            <w:tcBorders>
              <w:top w:val="outset" w:sz="6" w:space="0" w:color="auto"/>
              <w:left w:val="outset" w:sz="6" w:space="0" w:color="auto"/>
              <w:bottom w:val="outset" w:sz="6" w:space="0" w:color="auto"/>
              <w:right w:val="outset" w:sz="6" w:space="0" w:color="auto"/>
            </w:tcBorders>
            <w:shd w:val="clear" w:color="auto" w:fill="auto"/>
            <w:hideMark/>
          </w:tcPr>
          <w:p w:rsidR="005F1F3C" w:rsidRPr="00464EA5" w:rsidRDefault="005F1F3C" w:rsidP="0014630D">
            <w:pPr>
              <w:pStyle w:val="naiskr"/>
              <w:spacing w:before="0" w:after="0"/>
            </w:pPr>
            <w:r w:rsidRPr="00464EA5">
              <w:t>Informācija par to, vai šīs tabulas A ailē minētās ES tiesību akta vienības tiek pārņemtas vai ieviestas pilnībā vai daļēji.</w:t>
            </w:r>
          </w:p>
          <w:p w:rsidR="005F1F3C" w:rsidRPr="00464EA5" w:rsidRDefault="005F1F3C" w:rsidP="0014630D">
            <w:pPr>
              <w:pStyle w:val="naiskr"/>
              <w:spacing w:before="0" w:after="0"/>
            </w:pPr>
            <w:r w:rsidRPr="00464EA5">
              <w:t>Ja attiecīgā ES tiesību akta vienība tiek pārņemta vai ieviesta daļēji, – sniedz attiecīgu skaidrojumu, kā arī precīzi norāda, kad un kādā veidā ES tiesību akta vienība tiks pārņemta vai ieviesta pilnībā.</w:t>
            </w:r>
          </w:p>
          <w:p w:rsidR="005F1F3C" w:rsidRPr="00464EA5" w:rsidRDefault="005F1F3C" w:rsidP="0014630D">
            <w:pPr>
              <w:pStyle w:val="naiskr"/>
              <w:spacing w:before="0" w:after="0"/>
            </w:pPr>
          </w:p>
          <w:p w:rsidR="005F1F3C" w:rsidRPr="00464EA5" w:rsidRDefault="005F1F3C" w:rsidP="0014630D">
            <w:pPr>
              <w:pStyle w:val="naiskr"/>
              <w:spacing w:before="0" w:after="0"/>
            </w:pPr>
            <w:r w:rsidRPr="00464EA5">
              <w:t>Norāda institūciju, kas ir atbildīga par šo saistību izpildi pilnībā</w:t>
            </w:r>
          </w:p>
        </w:tc>
        <w:tc>
          <w:tcPr>
            <w:tcW w:w="1670" w:type="pct"/>
            <w:tcBorders>
              <w:top w:val="outset" w:sz="6" w:space="0" w:color="auto"/>
              <w:left w:val="outset" w:sz="6" w:space="0" w:color="auto"/>
              <w:bottom w:val="outset" w:sz="6" w:space="0" w:color="auto"/>
              <w:right w:val="outset" w:sz="6" w:space="0" w:color="auto"/>
            </w:tcBorders>
            <w:shd w:val="clear" w:color="auto" w:fill="auto"/>
            <w:hideMark/>
          </w:tcPr>
          <w:p w:rsidR="005F1F3C" w:rsidRPr="00464EA5" w:rsidRDefault="005F1F3C" w:rsidP="0014630D">
            <w:pPr>
              <w:pStyle w:val="naiskr"/>
              <w:spacing w:before="0" w:after="0"/>
            </w:pPr>
            <w:r w:rsidRPr="00464EA5">
              <w:t>Informācija par to, vai šīs tabulas B ailē minētās projekta vienības paredz stingrākas prasības nekā šīs tabulas A ailē minētās ES tiesību akta vienības.</w:t>
            </w:r>
          </w:p>
          <w:p w:rsidR="005F1F3C" w:rsidRPr="00464EA5" w:rsidRDefault="005F1F3C" w:rsidP="0014630D">
            <w:pPr>
              <w:pStyle w:val="naiskr"/>
              <w:spacing w:before="0" w:after="0"/>
            </w:pPr>
          </w:p>
          <w:p w:rsidR="005F1F3C" w:rsidRPr="00464EA5" w:rsidRDefault="005F1F3C" w:rsidP="0014630D">
            <w:pPr>
              <w:pStyle w:val="naiskr"/>
              <w:spacing w:before="0" w:after="0"/>
            </w:pPr>
            <w:r w:rsidRPr="00464EA5">
              <w:t xml:space="preserve">Ja projekts satur stingrākas prasības nekā attiecīgais ES tiesību </w:t>
            </w:r>
            <w:smartTag w:uri="schemas-tilde-lv/tildestengine" w:element="veidnes">
              <w:smartTagPr>
                <w:attr w:name="id" w:val="-1"/>
                <w:attr w:name="baseform" w:val="akts"/>
                <w:attr w:name="text" w:val="akts"/>
              </w:smartTagPr>
              <w:r w:rsidRPr="00464EA5">
                <w:t>akts</w:t>
              </w:r>
            </w:smartTag>
            <w:r w:rsidRPr="00464EA5">
              <w:t>, – norāda pamatojumu un samērīgumu.</w:t>
            </w:r>
          </w:p>
          <w:p w:rsidR="005F1F3C" w:rsidRPr="00464EA5" w:rsidRDefault="005F1F3C" w:rsidP="0014630D">
            <w:pPr>
              <w:pStyle w:val="naiskr"/>
              <w:spacing w:before="0" w:after="0"/>
            </w:pPr>
          </w:p>
          <w:p w:rsidR="005F1F3C" w:rsidRPr="00464EA5" w:rsidRDefault="005F1F3C" w:rsidP="0014630D">
            <w:pPr>
              <w:pStyle w:val="naiskr"/>
              <w:spacing w:before="0" w:after="0"/>
            </w:pPr>
            <w:r w:rsidRPr="00464EA5">
              <w:t>Norāda iespējamās alternatīvas (t.sk. alternatīvas, kas neparedz tiesiskā regulējuma izstrādi) – kādos gadījumos būtu iespējams izvairīties no stingrāku prasību noteikšanas, nekā paredzēts attiecīgajos ES tiesību aktos</w:t>
            </w:r>
          </w:p>
        </w:tc>
      </w:tr>
      <w:tr w:rsidR="00064642" w:rsidRPr="00464EA5" w:rsidTr="00064642">
        <w:trPr>
          <w:tblCellSpacing w:w="15" w:type="dxa"/>
        </w:trPr>
        <w:tc>
          <w:tcPr>
            <w:tcW w:w="785" w:type="pct"/>
            <w:gridSpan w:val="2"/>
            <w:tcBorders>
              <w:top w:val="outset" w:sz="6" w:space="0" w:color="auto"/>
              <w:left w:val="outset" w:sz="6" w:space="0" w:color="auto"/>
              <w:bottom w:val="outset" w:sz="6" w:space="0" w:color="auto"/>
              <w:right w:val="outset" w:sz="6" w:space="0" w:color="auto"/>
            </w:tcBorders>
            <w:shd w:val="clear" w:color="auto" w:fill="auto"/>
            <w:hideMark/>
          </w:tcPr>
          <w:p w:rsidR="00AA5B95" w:rsidRPr="00AA5B95" w:rsidRDefault="00AA5B95" w:rsidP="00F538F0">
            <w:pPr>
              <w:pStyle w:val="naisf"/>
              <w:spacing w:before="0" w:after="0"/>
              <w:ind w:firstLine="0"/>
            </w:pPr>
            <w:r w:rsidRPr="00AA5B95">
              <w:t>Regulas Nr.1083/2006 55.pants</w:t>
            </w:r>
          </w:p>
        </w:tc>
        <w:tc>
          <w:tcPr>
            <w:tcW w:w="1398" w:type="pct"/>
            <w:tcBorders>
              <w:top w:val="outset" w:sz="6" w:space="0" w:color="auto"/>
              <w:left w:val="outset" w:sz="6" w:space="0" w:color="auto"/>
              <w:bottom w:val="outset" w:sz="6" w:space="0" w:color="auto"/>
              <w:right w:val="outset" w:sz="6" w:space="0" w:color="auto"/>
            </w:tcBorders>
            <w:shd w:val="clear" w:color="auto" w:fill="auto"/>
            <w:hideMark/>
          </w:tcPr>
          <w:p w:rsidR="00AA5B95" w:rsidRPr="00AA5B95" w:rsidRDefault="00AA5B95" w:rsidP="00E207C8">
            <w:pPr>
              <w:pStyle w:val="naisf"/>
              <w:spacing w:before="0" w:after="0"/>
              <w:ind w:firstLine="0"/>
            </w:pPr>
            <w:r w:rsidRPr="00AA5B95">
              <w:t>Noteikumu projekta 1</w:t>
            </w:r>
            <w:r w:rsidR="00E207C8">
              <w:t>4</w:t>
            </w:r>
            <w:r w:rsidRPr="00AA5B95">
              <w:t xml:space="preserve">.punkts (noteikumu </w:t>
            </w:r>
            <w:r w:rsidR="00B210EA">
              <w:t>N</w:t>
            </w:r>
            <w:r w:rsidRPr="00AA5B95">
              <w:t>r.14 15.</w:t>
            </w:r>
            <w:r w:rsidRPr="00AA5B95">
              <w:rPr>
                <w:vertAlign w:val="superscript"/>
              </w:rPr>
              <w:t>1</w:t>
            </w:r>
            <w:r w:rsidRPr="00AA5B95">
              <w:t>4</w:t>
            </w:r>
            <w:r w:rsidR="00B210EA">
              <w:t>.</w:t>
            </w:r>
            <w:r w:rsidRPr="00AA5B95">
              <w:t xml:space="preserve">apakšpunkts) </w:t>
            </w:r>
          </w:p>
        </w:tc>
        <w:tc>
          <w:tcPr>
            <w:tcW w:w="1066" w:type="pct"/>
            <w:tcBorders>
              <w:top w:val="outset" w:sz="6" w:space="0" w:color="auto"/>
              <w:left w:val="outset" w:sz="6" w:space="0" w:color="auto"/>
              <w:right w:val="outset" w:sz="6" w:space="0" w:color="auto"/>
            </w:tcBorders>
            <w:shd w:val="clear" w:color="auto" w:fill="auto"/>
            <w:vAlign w:val="center"/>
            <w:hideMark/>
          </w:tcPr>
          <w:p w:rsidR="00AA5B95" w:rsidRPr="00A7135D" w:rsidRDefault="00AA5B95" w:rsidP="006E5BFA">
            <w:pPr>
              <w:pStyle w:val="naiskr"/>
              <w:jc w:val="center"/>
            </w:pPr>
            <w:r w:rsidRPr="00553228">
              <w:t>ieviestas pilnībā</w:t>
            </w:r>
          </w:p>
        </w:tc>
        <w:tc>
          <w:tcPr>
            <w:tcW w:w="1670" w:type="pct"/>
            <w:tcBorders>
              <w:top w:val="outset" w:sz="6" w:space="0" w:color="auto"/>
              <w:left w:val="outset" w:sz="6" w:space="0" w:color="auto"/>
              <w:right w:val="outset" w:sz="6" w:space="0" w:color="auto"/>
            </w:tcBorders>
            <w:shd w:val="clear" w:color="auto" w:fill="auto"/>
            <w:vAlign w:val="center"/>
            <w:hideMark/>
          </w:tcPr>
          <w:p w:rsidR="00AA5B95" w:rsidRPr="00425269" w:rsidRDefault="00AA5B95" w:rsidP="006A4694">
            <w:pPr>
              <w:pStyle w:val="naiskr"/>
              <w:spacing w:before="0" w:after="0"/>
              <w:jc w:val="both"/>
            </w:pPr>
            <w:r w:rsidRPr="00553228">
              <w:t>neparedz stingrākas prasības</w:t>
            </w:r>
          </w:p>
        </w:tc>
      </w:tr>
      <w:tr w:rsidR="00064642" w:rsidRPr="00464EA5" w:rsidTr="00064642">
        <w:trPr>
          <w:tblCellSpacing w:w="15" w:type="dxa"/>
        </w:trPr>
        <w:tc>
          <w:tcPr>
            <w:tcW w:w="785" w:type="pct"/>
            <w:gridSpan w:val="2"/>
            <w:tcBorders>
              <w:top w:val="outset" w:sz="6" w:space="0" w:color="auto"/>
              <w:left w:val="outset" w:sz="6" w:space="0" w:color="auto"/>
              <w:bottom w:val="outset" w:sz="6" w:space="0" w:color="auto"/>
              <w:right w:val="outset" w:sz="6" w:space="0" w:color="auto"/>
            </w:tcBorders>
            <w:shd w:val="clear" w:color="auto" w:fill="auto"/>
            <w:hideMark/>
          </w:tcPr>
          <w:p w:rsidR="00AA5B95" w:rsidRPr="00AA5B95" w:rsidRDefault="00AA5B95" w:rsidP="00F11142">
            <w:pPr>
              <w:pStyle w:val="naisf"/>
              <w:spacing w:before="0" w:after="0"/>
              <w:ind w:firstLine="0"/>
            </w:pPr>
            <w:r w:rsidRPr="00AA5B95">
              <w:lastRenderedPageBreak/>
              <w:t>Regulas Nr.1080/2006 7.pants</w:t>
            </w:r>
          </w:p>
        </w:tc>
        <w:tc>
          <w:tcPr>
            <w:tcW w:w="1398" w:type="pct"/>
            <w:tcBorders>
              <w:top w:val="outset" w:sz="6" w:space="0" w:color="auto"/>
              <w:left w:val="outset" w:sz="6" w:space="0" w:color="auto"/>
              <w:bottom w:val="outset" w:sz="6" w:space="0" w:color="auto"/>
              <w:right w:val="outset" w:sz="6" w:space="0" w:color="auto"/>
            </w:tcBorders>
            <w:shd w:val="clear" w:color="auto" w:fill="auto"/>
            <w:hideMark/>
          </w:tcPr>
          <w:p w:rsidR="00AA5B95" w:rsidRPr="00AA5B95" w:rsidRDefault="00AA5B95" w:rsidP="00B466F9">
            <w:pPr>
              <w:pStyle w:val="naisf"/>
              <w:spacing w:before="0" w:after="0"/>
              <w:ind w:firstLine="0"/>
            </w:pPr>
            <w:r w:rsidRPr="00AA5B95">
              <w:t xml:space="preserve">Noteikumu projekta </w:t>
            </w:r>
            <w:r w:rsidR="00E207C8">
              <w:t>21</w:t>
            </w:r>
            <w:r w:rsidRPr="00AA5B95">
              <w:t xml:space="preserve">., </w:t>
            </w:r>
            <w:r w:rsidR="007D4BF3">
              <w:t>2</w:t>
            </w:r>
            <w:r w:rsidR="00E207C8">
              <w:t>4</w:t>
            </w:r>
            <w:r w:rsidR="00B466F9">
              <w:t>.</w:t>
            </w:r>
            <w:r w:rsidRPr="00AA5B95">
              <w:t>p</w:t>
            </w:r>
            <w:r w:rsidR="00C637CD">
              <w:t>unkts (noteikumu N</w:t>
            </w:r>
            <w:r w:rsidRPr="00AA5B95">
              <w:t>r.14 25.7.apakšpunkts 33.</w:t>
            </w:r>
            <w:r w:rsidRPr="00AA5B95">
              <w:rPr>
                <w:vertAlign w:val="superscript"/>
              </w:rPr>
              <w:t>1</w:t>
            </w:r>
            <w:r w:rsidRPr="00AA5B95">
              <w:t>punkts)</w:t>
            </w:r>
          </w:p>
        </w:tc>
        <w:tc>
          <w:tcPr>
            <w:tcW w:w="1066" w:type="pct"/>
            <w:tcBorders>
              <w:top w:val="outset" w:sz="6" w:space="0" w:color="auto"/>
              <w:left w:val="outset" w:sz="6" w:space="0" w:color="auto"/>
              <w:right w:val="outset" w:sz="6" w:space="0" w:color="auto"/>
            </w:tcBorders>
            <w:shd w:val="clear" w:color="auto" w:fill="auto"/>
            <w:vAlign w:val="center"/>
            <w:hideMark/>
          </w:tcPr>
          <w:p w:rsidR="00AA5B95" w:rsidRPr="00A7135D" w:rsidRDefault="00AA5B95" w:rsidP="006E5BFA">
            <w:pPr>
              <w:pStyle w:val="naiskr"/>
              <w:jc w:val="center"/>
            </w:pPr>
            <w:r w:rsidRPr="00553228">
              <w:t>ieviestas pilnībā</w:t>
            </w:r>
          </w:p>
        </w:tc>
        <w:tc>
          <w:tcPr>
            <w:tcW w:w="1670" w:type="pct"/>
            <w:tcBorders>
              <w:top w:val="outset" w:sz="6" w:space="0" w:color="auto"/>
              <w:left w:val="outset" w:sz="6" w:space="0" w:color="auto"/>
              <w:right w:val="outset" w:sz="6" w:space="0" w:color="auto"/>
            </w:tcBorders>
            <w:shd w:val="clear" w:color="auto" w:fill="auto"/>
            <w:vAlign w:val="center"/>
            <w:hideMark/>
          </w:tcPr>
          <w:p w:rsidR="00AA5B95" w:rsidRPr="00425269" w:rsidRDefault="00AA5B95" w:rsidP="006A4694">
            <w:pPr>
              <w:pStyle w:val="naiskr"/>
              <w:spacing w:before="0" w:after="0"/>
              <w:jc w:val="both"/>
            </w:pPr>
            <w:r w:rsidRPr="00553228">
              <w:t>neparedz stingrākas prasības</w:t>
            </w:r>
          </w:p>
        </w:tc>
      </w:tr>
      <w:tr w:rsidR="00064642" w:rsidRPr="00464EA5" w:rsidTr="00064642">
        <w:trPr>
          <w:tblCellSpacing w:w="15" w:type="dxa"/>
        </w:trPr>
        <w:tc>
          <w:tcPr>
            <w:tcW w:w="785" w:type="pct"/>
            <w:gridSpan w:val="2"/>
            <w:tcBorders>
              <w:top w:val="outset" w:sz="6" w:space="0" w:color="auto"/>
              <w:left w:val="outset" w:sz="6" w:space="0" w:color="auto"/>
              <w:bottom w:val="outset" w:sz="6" w:space="0" w:color="auto"/>
              <w:right w:val="outset" w:sz="6" w:space="0" w:color="auto"/>
            </w:tcBorders>
            <w:shd w:val="clear" w:color="auto" w:fill="auto"/>
            <w:hideMark/>
          </w:tcPr>
          <w:p w:rsidR="00AA5B95" w:rsidRPr="00AA5B95" w:rsidRDefault="00AA5B95" w:rsidP="00AA5B95">
            <w:pPr>
              <w:pStyle w:val="naisf"/>
              <w:spacing w:before="0" w:after="0"/>
              <w:ind w:firstLine="0"/>
            </w:pPr>
            <w:r w:rsidRPr="00AA5B95">
              <w:t>Regulas Nr.</w:t>
            </w:r>
            <w:hyperlink r:id="rId10" w:tgtFrame="_blank" w:tooltip="REGULA" w:history="1">
              <w:r w:rsidRPr="00AA5B95">
                <w:rPr>
                  <w:color w:val="0000FF"/>
                  <w:u w:val="single"/>
                </w:rPr>
                <w:t>1828/2006</w:t>
              </w:r>
            </w:hyperlink>
            <w:r w:rsidRPr="00AA5B95">
              <w:t xml:space="preserve"> XXI. pielikuma E.1.2.sadaļa</w:t>
            </w:r>
          </w:p>
        </w:tc>
        <w:tc>
          <w:tcPr>
            <w:tcW w:w="1398" w:type="pct"/>
            <w:tcBorders>
              <w:top w:val="outset" w:sz="6" w:space="0" w:color="auto"/>
              <w:left w:val="outset" w:sz="6" w:space="0" w:color="auto"/>
              <w:bottom w:val="outset" w:sz="6" w:space="0" w:color="auto"/>
              <w:right w:val="outset" w:sz="6" w:space="0" w:color="auto"/>
            </w:tcBorders>
            <w:shd w:val="clear" w:color="auto" w:fill="auto"/>
            <w:hideMark/>
          </w:tcPr>
          <w:p w:rsidR="00AA5B95" w:rsidRPr="00AA5B95" w:rsidRDefault="00AA5B95" w:rsidP="00BD7212">
            <w:pPr>
              <w:pStyle w:val="naisf"/>
              <w:spacing w:before="0" w:after="0"/>
              <w:ind w:firstLine="0"/>
            </w:pPr>
            <w:r w:rsidRPr="00AA5B95">
              <w:t>Noteikumu projekta 1.pielikuma (noteikumu Nr. 14 1.</w:t>
            </w:r>
            <w:r w:rsidRPr="00AA5B95">
              <w:rPr>
                <w:vertAlign w:val="superscript"/>
              </w:rPr>
              <w:t>1</w:t>
            </w:r>
            <w:r w:rsidRPr="00AA5B95">
              <w:t>pielikums) 7.3.</w:t>
            </w:r>
            <w:r w:rsidRPr="00AA5B95">
              <w:rPr>
                <w:vertAlign w:val="superscript"/>
              </w:rPr>
              <w:t>1</w:t>
            </w:r>
            <w:r w:rsidRPr="00AA5B95">
              <w:t>.apakšpunkts)</w:t>
            </w:r>
          </w:p>
        </w:tc>
        <w:tc>
          <w:tcPr>
            <w:tcW w:w="1066" w:type="pct"/>
            <w:tcBorders>
              <w:top w:val="outset" w:sz="6" w:space="0" w:color="auto"/>
              <w:left w:val="outset" w:sz="6" w:space="0" w:color="auto"/>
              <w:right w:val="outset" w:sz="6" w:space="0" w:color="auto"/>
            </w:tcBorders>
            <w:shd w:val="clear" w:color="auto" w:fill="auto"/>
            <w:hideMark/>
          </w:tcPr>
          <w:p w:rsidR="00AA5B95" w:rsidRPr="00A7135D" w:rsidRDefault="00AA5B95" w:rsidP="006E5BFA">
            <w:pPr>
              <w:pStyle w:val="naiskr"/>
              <w:jc w:val="center"/>
            </w:pPr>
          </w:p>
        </w:tc>
        <w:tc>
          <w:tcPr>
            <w:tcW w:w="1670" w:type="pct"/>
            <w:tcBorders>
              <w:top w:val="outset" w:sz="6" w:space="0" w:color="auto"/>
              <w:left w:val="outset" w:sz="6" w:space="0" w:color="auto"/>
              <w:right w:val="outset" w:sz="6" w:space="0" w:color="auto"/>
            </w:tcBorders>
            <w:shd w:val="clear" w:color="auto" w:fill="auto"/>
            <w:vAlign w:val="center"/>
            <w:hideMark/>
          </w:tcPr>
          <w:p w:rsidR="00AA5B95" w:rsidRPr="00425269" w:rsidRDefault="00AA5B95" w:rsidP="006A4694">
            <w:pPr>
              <w:pStyle w:val="naiskr"/>
              <w:spacing w:before="0" w:after="0"/>
              <w:jc w:val="both"/>
            </w:pPr>
          </w:p>
        </w:tc>
      </w:tr>
      <w:tr w:rsidR="00064642" w:rsidRPr="00464EA5" w:rsidTr="00415DA8">
        <w:trPr>
          <w:tblCellSpacing w:w="15" w:type="dxa"/>
        </w:trPr>
        <w:tc>
          <w:tcPr>
            <w:tcW w:w="80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A5B95" w:rsidRPr="00464EA5" w:rsidRDefault="00AA5B95" w:rsidP="0014630D">
            <w:pPr>
              <w:jc w:val="both"/>
            </w:pPr>
            <w:r w:rsidRPr="00464EA5">
              <w:t>Kā ir izmantota ES tiesību aktā paredzētā rīcības brīvība dalībvalstij pārņemt vai ieviest noteiktas ES tiesību akta normas.</w:t>
            </w:r>
          </w:p>
        </w:tc>
        <w:tc>
          <w:tcPr>
            <w:tcW w:w="4143" w:type="pct"/>
            <w:gridSpan w:val="3"/>
            <w:tcBorders>
              <w:top w:val="outset" w:sz="6" w:space="0" w:color="auto"/>
              <w:left w:val="outset" w:sz="6" w:space="0" w:color="auto"/>
              <w:bottom w:val="outset" w:sz="6" w:space="0" w:color="auto"/>
              <w:right w:val="outset" w:sz="6" w:space="0" w:color="auto"/>
            </w:tcBorders>
            <w:shd w:val="clear" w:color="auto" w:fill="auto"/>
            <w:hideMark/>
          </w:tcPr>
          <w:p w:rsidR="00AA5B95" w:rsidRPr="002B05E1" w:rsidRDefault="00AA5B95" w:rsidP="00BC403B">
            <w:pPr>
              <w:pStyle w:val="naiskr"/>
              <w:rPr>
                <w:iCs/>
              </w:rPr>
            </w:pPr>
            <w:r w:rsidRPr="002B05E1">
              <w:rPr>
                <w:iCs/>
              </w:rPr>
              <w:t xml:space="preserve">Lai sniegtu valsts atbalstu pētniecībai, attīstībai un inovācijām, kā arī piešķirtu ERAF līdzfinansējumu, dalībvalstij ir dalībvalstij ir obligāti jāpiemēro: </w:t>
            </w:r>
          </w:p>
          <w:p w:rsidR="00AA5B95" w:rsidRPr="002B05E1" w:rsidRDefault="00BB3D89" w:rsidP="00765C75">
            <w:pPr>
              <w:pStyle w:val="naiskr"/>
              <w:rPr>
                <w:iCs/>
              </w:rPr>
            </w:pPr>
            <w:r>
              <w:rPr>
                <w:iCs/>
              </w:rPr>
              <w:t>R</w:t>
            </w:r>
            <w:r w:rsidR="00AA5B95" w:rsidRPr="002B05E1">
              <w:rPr>
                <w:iCs/>
              </w:rPr>
              <w:t>egula Nr.800/2008;</w:t>
            </w:r>
          </w:p>
          <w:p w:rsidR="00AA5B95" w:rsidRPr="002B05E1" w:rsidRDefault="00AA5B95" w:rsidP="00BC403B">
            <w:pPr>
              <w:pStyle w:val="naiskr"/>
              <w:rPr>
                <w:iCs/>
              </w:rPr>
            </w:pPr>
            <w:r w:rsidRPr="002B05E1">
              <w:rPr>
                <w:iCs/>
              </w:rPr>
              <w:t>Regula Nr.1083/2006;</w:t>
            </w:r>
          </w:p>
          <w:p w:rsidR="00AA5B95" w:rsidRPr="00CD538E" w:rsidRDefault="00AA5B95" w:rsidP="00DB66CF">
            <w:pPr>
              <w:pStyle w:val="naiskr"/>
              <w:spacing w:before="0" w:after="0"/>
              <w:jc w:val="both"/>
              <w:rPr>
                <w:b/>
              </w:rPr>
            </w:pPr>
            <w:r w:rsidRPr="00CD538E">
              <w:rPr>
                <w:rStyle w:val="Strong"/>
                <w:b w:val="0"/>
              </w:rPr>
              <w:t>Regula Nr.1995/2006</w:t>
            </w:r>
            <w:r w:rsidRPr="00CD538E">
              <w:rPr>
                <w:b/>
                <w:iCs/>
              </w:rPr>
              <w:t>.</w:t>
            </w:r>
          </w:p>
        </w:tc>
      </w:tr>
      <w:tr w:rsidR="00064642" w:rsidRPr="00464EA5" w:rsidTr="00415DA8">
        <w:trPr>
          <w:tblCellSpacing w:w="15" w:type="dxa"/>
        </w:trPr>
        <w:tc>
          <w:tcPr>
            <w:tcW w:w="80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AA5B95" w:rsidRPr="00464EA5" w:rsidRDefault="00AA5B95" w:rsidP="0014630D">
            <w:pPr>
              <w:jc w:val="both"/>
            </w:pPr>
            <w:r w:rsidRPr="00464EA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43" w:type="pct"/>
            <w:gridSpan w:val="3"/>
            <w:tcBorders>
              <w:top w:val="outset" w:sz="6" w:space="0" w:color="auto"/>
              <w:left w:val="outset" w:sz="6" w:space="0" w:color="auto"/>
              <w:bottom w:val="outset" w:sz="6" w:space="0" w:color="auto"/>
              <w:right w:val="outset" w:sz="6" w:space="0" w:color="auto"/>
            </w:tcBorders>
            <w:shd w:val="clear" w:color="auto" w:fill="auto"/>
            <w:hideMark/>
          </w:tcPr>
          <w:p w:rsidR="00AA5B95" w:rsidRDefault="00AA5B95" w:rsidP="00BF22B2">
            <w:pPr>
              <w:jc w:val="both"/>
              <w:rPr>
                <w:iCs/>
              </w:rPr>
            </w:pPr>
            <w:r w:rsidRPr="002B05E1">
              <w:rPr>
                <w:iCs/>
              </w:rPr>
              <w:t xml:space="preserve">Paziņojumu Eiropas Komisijai (turpmāk – EK) nav nepieciešams sniegt, jo Noteikumu projekts saskaņā ar Komisijas Regulas Nr.800/2008 3.pantu ir atbrīvots no iepriekšējas paziņošanas EK. </w:t>
            </w:r>
          </w:p>
          <w:p w:rsidR="00415DA8" w:rsidRPr="004430DC" w:rsidRDefault="00415DA8" w:rsidP="00BB3D89">
            <w:pPr>
              <w:jc w:val="both"/>
            </w:pPr>
            <w:r w:rsidRPr="004430DC">
              <w:rPr>
                <w:iCs/>
              </w:rPr>
              <w:t xml:space="preserve">Saskaņā ar Komisijas Regulas Nr.800/2008 9.pantu 20 darba dienu laikā pēc Ministru kabineta noteikumu spēkā stāšanās </w:t>
            </w:r>
            <w:r w:rsidR="00BB3D89" w:rsidRPr="004430DC">
              <w:rPr>
                <w:iCs/>
              </w:rPr>
              <w:t>Eiropas Komisijai</w:t>
            </w:r>
            <w:r w:rsidRPr="004430DC">
              <w:rPr>
                <w:iCs/>
              </w:rPr>
              <w:t xml:space="preserve"> ir jānosūta kopsavilkuma informācija par atbalsta pasākumu.</w:t>
            </w:r>
          </w:p>
        </w:tc>
      </w:tr>
      <w:tr w:rsidR="00064642" w:rsidRPr="00464EA5" w:rsidTr="00415DA8">
        <w:trPr>
          <w:tblCellSpacing w:w="15" w:type="dxa"/>
        </w:trPr>
        <w:tc>
          <w:tcPr>
            <w:tcW w:w="808" w:type="pct"/>
            <w:gridSpan w:val="2"/>
            <w:tcBorders>
              <w:top w:val="outset" w:sz="6" w:space="0" w:color="auto"/>
              <w:left w:val="outset" w:sz="6" w:space="0" w:color="auto"/>
              <w:bottom w:val="outset" w:sz="6" w:space="0" w:color="auto"/>
              <w:right w:val="outset" w:sz="6" w:space="0" w:color="auto"/>
            </w:tcBorders>
            <w:shd w:val="clear" w:color="auto" w:fill="auto"/>
            <w:hideMark/>
          </w:tcPr>
          <w:p w:rsidR="00AA5B95" w:rsidRPr="00464EA5" w:rsidRDefault="00AA5B95" w:rsidP="0014630D">
            <w:pPr>
              <w:jc w:val="both"/>
            </w:pPr>
            <w:r w:rsidRPr="00464EA5">
              <w:t>Cita informācija</w:t>
            </w:r>
          </w:p>
        </w:tc>
        <w:tc>
          <w:tcPr>
            <w:tcW w:w="4143" w:type="pct"/>
            <w:gridSpan w:val="3"/>
            <w:tcBorders>
              <w:top w:val="outset" w:sz="6" w:space="0" w:color="auto"/>
              <w:left w:val="outset" w:sz="6" w:space="0" w:color="auto"/>
              <w:bottom w:val="outset" w:sz="6" w:space="0" w:color="auto"/>
              <w:right w:val="outset" w:sz="6" w:space="0" w:color="auto"/>
            </w:tcBorders>
            <w:shd w:val="clear" w:color="auto" w:fill="auto"/>
            <w:hideMark/>
          </w:tcPr>
          <w:p w:rsidR="00AA5B95" w:rsidRPr="00FC321C" w:rsidRDefault="00415DA8" w:rsidP="002067AE">
            <w:pPr>
              <w:jc w:val="both"/>
              <w:rPr>
                <w:b/>
              </w:rPr>
            </w:pPr>
            <w:r w:rsidRPr="00FC321C">
              <w:rPr>
                <w:rStyle w:val="Strong"/>
                <w:b w:val="0"/>
              </w:rPr>
              <w:t xml:space="preserve">Ar noteikumu projektu tiks ieviestas arī Kopienas nostādņu par valsts atbalstu pētniecībai, attīstībai un inovācijai (publicētas Eiropas Savienības Oficiālajā Vēstnesī 2006.gada 30.decembrī, Nr. C 323/1) nosacījumi, tai skaitā </w:t>
            </w:r>
            <w:r w:rsidR="004D7354" w:rsidRPr="00FC321C">
              <w:rPr>
                <w:rStyle w:val="Strong"/>
                <w:b w:val="0"/>
              </w:rPr>
              <w:t xml:space="preserve">25., </w:t>
            </w:r>
            <w:r w:rsidRPr="00FC321C">
              <w:rPr>
                <w:rStyle w:val="Strong"/>
                <w:b w:val="0"/>
              </w:rPr>
              <w:t xml:space="preserve">28. un 29.zemsvītras piezīmju, </w:t>
            </w:r>
            <w:r w:rsidR="002067AE" w:rsidRPr="00FC321C">
              <w:rPr>
                <w:rStyle w:val="Strong"/>
                <w:b w:val="0"/>
              </w:rPr>
              <w:t xml:space="preserve">3.1.1., </w:t>
            </w:r>
            <w:r w:rsidRPr="00FC321C">
              <w:rPr>
                <w:rStyle w:val="Strong"/>
                <w:b w:val="0"/>
              </w:rPr>
              <w:t>3.2.1. un 3.2.2.sadaļas nosacījumi</w:t>
            </w:r>
          </w:p>
        </w:tc>
      </w:tr>
    </w:tbl>
    <w:p w:rsidR="005F1F3C" w:rsidRPr="00464EA5" w:rsidRDefault="005F1F3C" w:rsidP="0014630D"/>
    <w:p w:rsidR="00B3199D" w:rsidRDefault="005F1F3C">
      <w:r w:rsidRPr="00464EA5">
        <w:t>Anotācijas V sadaļas 2.tabula – nav attiecināms</w:t>
      </w:r>
    </w:p>
    <w:p w:rsidR="00536D7C" w:rsidRPr="00464EA5" w:rsidRDefault="00536D7C" w:rsidP="0014630D"/>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8"/>
        <w:gridCol w:w="1554"/>
        <w:gridCol w:w="7009"/>
      </w:tblGrid>
      <w:tr w:rsidR="005F1F3C" w:rsidRPr="00464EA5" w:rsidTr="003661C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center"/>
              <w:rPr>
                <w:b/>
                <w:bCs/>
              </w:rPr>
            </w:pPr>
            <w:r w:rsidRPr="00464EA5">
              <w:rPr>
                <w:b/>
                <w:bCs/>
              </w:rPr>
              <w:t>VI. Sabiedrības līdzdalība un šīs līdzdalības rezultāti</w:t>
            </w:r>
          </w:p>
        </w:tc>
      </w:tr>
      <w:tr w:rsidR="005F1F3C" w:rsidRPr="00464EA5" w:rsidTr="003661CB">
        <w:trPr>
          <w:trHeight w:val="1519"/>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1.</w:t>
            </w:r>
          </w:p>
        </w:tc>
        <w:tc>
          <w:tcPr>
            <w:tcW w:w="831" w:type="pct"/>
            <w:tcBorders>
              <w:top w:val="outset" w:sz="6" w:space="0" w:color="auto"/>
              <w:left w:val="outset" w:sz="6" w:space="0" w:color="auto"/>
              <w:bottom w:val="outset" w:sz="6" w:space="0" w:color="auto"/>
              <w:right w:val="outset" w:sz="6" w:space="0" w:color="auto"/>
            </w:tcBorders>
            <w:hideMark/>
          </w:tcPr>
          <w:p w:rsidR="005F1F3C" w:rsidRPr="00DA6582" w:rsidRDefault="005F1F3C" w:rsidP="0014630D">
            <w:pPr>
              <w:jc w:val="both"/>
            </w:pPr>
            <w:r w:rsidRPr="00DA6582">
              <w:t>Sabiedrības informēšana par projekta izstrādes uzsākšanu</w:t>
            </w:r>
          </w:p>
        </w:tc>
        <w:tc>
          <w:tcPr>
            <w:tcW w:w="3769"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 xml:space="preserve">Informācija par Eiropas Savienības struktūrfondu aktivitāšu īstenošanu 2007.-2013.gadam pieejama Izglītības un zinātnes ministrijas tīmekļa vietnē </w:t>
            </w:r>
            <w:hyperlink r:id="rId11" w:history="1">
              <w:r w:rsidRPr="00464EA5">
                <w:rPr>
                  <w:rStyle w:val="Hyperlink"/>
                </w:rPr>
                <w:t>http://esfondi.izm.gov.lv</w:t>
              </w:r>
            </w:hyperlink>
            <w:r w:rsidRPr="00464EA5">
              <w:t xml:space="preserve">. </w:t>
            </w:r>
          </w:p>
          <w:p w:rsidR="005F1F3C" w:rsidRPr="00464EA5" w:rsidRDefault="005F1F3C" w:rsidP="0014630D">
            <w:pPr>
              <w:jc w:val="both"/>
            </w:pPr>
          </w:p>
        </w:tc>
      </w:tr>
      <w:tr w:rsidR="005F1F3C" w:rsidRPr="00464EA5" w:rsidTr="003661CB">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2.</w:t>
            </w:r>
          </w:p>
        </w:tc>
        <w:tc>
          <w:tcPr>
            <w:tcW w:w="831"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Sabiedrības līdzdalība projekta izstrādē</w:t>
            </w:r>
          </w:p>
        </w:tc>
        <w:tc>
          <w:tcPr>
            <w:tcW w:w="3769" w:type="pct"/>
            <w:tcBorders>
              <w:top w:val="outset" w:sz="6" w:space="0" w:color="auto"/>
              <w:left w:val="outset" w:sz="6" w:space="0" w:color="auto"/>
              <w:bottom w:val="outset" w:sz="6" w:space="0" w:color="auto"/>
              <w:right w:val="outset" w:sz="6" w:space="0" w:color="auto"/>
            </w:tcBorders>
            <w:hideMark/>
          </w:tcPr>
          <w:p w:rsidR="005F1F3C" w:rsidRPr="00464EA5" w:rsidRDefault="00C33500" w:rsidP="00811564">
            <w:pPr>
              <w:jc w:val="both"/>
              <w:rPr>
                <w:iCs/>
              </w:rPr>
            </w:pPr>
            <w:r w:rsidRPr="00464EA5">
              <w:t>Noteikumu projekts šo jomu neskar</w:t>
            </w:r>
          </w:p>
        </w:tc>
      </w:tr>
      <w:tr w:rsidR="005F1F3C" w:rsidRPr="00464EA5" w:rsidTr="003661CB">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3.</w:t>
            </w:r>
          </w:p>
        </w:tc>
        <w:tc>
          <w:tcPr>
            <w:tcW w:w="831"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Sabiedrības līdzdalības rezultāti</w:t>
            </w:r>
          </w:p>
        </w:tc>
        <w:tc>
          <w:tcPr>
            <w:tcW w:w="3769" w:type="pct"/>
            <w:tcBorders>
              <w:top w:val="outset" w:sz="6" w:space="0" w:color="auto"/>
              <w:left w:val="outset" w:sz="6" w:space="0" w:color="auto"/>
              <w:bottom w:val="outset" w:sz="6" w:space="0" w:color="auto"/>
              <w:right w:val="outset" w:sz="6" w:space="0" w:color="auto"/>
            </w:tcBorders>
            <w:hideMark/>
          </w:tcPr>
          <w:p w:rsidR="005F1F3C" w:rsidRPr="00464EA5" w:rsidRDefault="00434835" w:rsidP="00B313DA">
            <w:pPr>
              <w:jc w:val="both"/>
            </w:pPr>
            <w:r w:rsidRPr="004F4468">
              <w:t xml:space="preserve">Tiesību akta projekts nosūtīts nozaru asociācijām </w:t>
            </w:r>
            <w:r w:rsidR="00B313DA">
              <w:t>viedokļa</w:t>
            </w:r>
            <w:r w:rsidRPr="004F4468">
              <w:t xml:space="preserve"> sniegšanai</w:t>
            </w:r>
            <w:r w:rsidR="00D12589">
              <w:t>.</w:t>
            </w:r>
            <w:r w:rsidRPr="004F4468">
              <w:t xml:space="preserve"> </w:t>
            </w:r>
          </w:p>
        </w:tc>
      </w:tr>
      <w:tr w:rsidR="005F1F3C" w:rsidRPr="00464EA5" w:rsidTr="003661CB">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4.</w:t>
            </w:r>
          </w:p>
        </w:tc>
        <w:tc>
          <w:tcPr>
            <w:tcW w:w="831"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Saeimas un ekspertu līdzdalība</w:t>
            </w:r>
          </w:p>
        </w:tc>
        <w:tc>
          <w:tcPr>
            <w:tcW w:w="3769" w:type="pct"/>
            <w:tcBorders>
              <w:top w:val="outset" w:sz="6" w:space="0" w:color="auto"/>
              <w:left w:val="outset" w:sz="6" w:space="0" w:color="auto"/>
              <w:bottom w:val="outset" w:sz="6" w:space="0" w:color="auto"/>
              <w:right w:val="outset" w:sz="6" w:space="0" w:color="auto"/>
            </w:tcBorders>
            <w:hideMark/>
          </w:tcPr>
          <w:p w:rsidR="005F1F3C" w:rsidRPr="00464EA5" w:rsidRDefault="00C33500" w:rsidP="0014630D">
            <w:pPr>
              <w:jc w:val="both"/>
            </w:pPr>
            <w:r w:rsidRPr="00464EA5">
              <w:t>Noteikumu projekts šo jomu neskar</w:t>
            </w:r>
          </w:p>
        </w:tc>
      </w:tr>
      <w:tr w:rsidR="005F1F3C" w:rsidRPr="00464EA5" w:rsidTr="003661CB">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5.</w:t>
            </w:r>
          </w:p>
        </w:tc>
        <w:tc>
          <w:tcPr>
            <w:tcW w:w="831"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Cita informācija</w:t>
            </w:r>
          </w:p>
        </w:tc>
        <w:tc>
          <w:tcPr>
            <w:tcW w:w="3769" w:type="pct"/>
            <w:tcBorders>
              <w:top w:val="outset" w:sz="6" w:space="0" w:color="auto"/>
              <w:left w:val="outset" w:sz="6" w:space="0" w:color="auto"/>
              <w:bottom w:val="outset" w:sz="6" w:space="0" w:color="auto"/>
              <w:right w:val="outset" w:sz="6" w:space="0" w:color="auto"/>
            </w:tcBorders>
            <w:hideMark/>
          </w:tcPr>
          <w:p w:rsidR="005F1F3C" w:rsidRPr="00464EA5" w:rsidRDefault="005F1F3C" w:rsidP="0014630D">
            <w:pPr>
              <w:jc w:val="both"/>
            </w:pPr>
            <w:r w:rsidRPr="00464EA5">
              <w:t>Nav</w:t>
            </w:r>
          </w:p>
        </w:tc>
      </w:tr>
    </w:tbl>
    <w:p w:rsidR="005F1F3C" w:rsidRDefault="005F1F3C" w:rsidP="0014630D"/>
    <w:p w:rsidR="00B3199D" w:rsidRPr="00464EA5" w:rsidRDefault="00B3199D" w:rsidP="0014630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3431"/>
        <w:gridCol w:w="5274"/>
      </w:tblGrid>
      <w:tr w:rsidR="00100200" w:rsidRPr="00464EA5" w:rsidTr="00536D7C">
        <w:tc>
          <w:tcPr>
            <w:tcW w:w="5000" w:type="pct"/>
            <w:gridSpan w:val="3"/>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pPr>
              <w:jc w:val="center"/>
              <w:rPr>
                <w:b/>
                <w:bCs/>
              </w:rPr>
            </w:pPr>
            <w:r w:rsidRPr="00464EA5">
              <w:rPr>
                <w:b/>
                <w:bCs/>
              </w:rPr>
              <w:t>VII. Tiesību akta projekta izpildes nodrošināšana un tās ietekme uz institūcijām</w:t>
            </w:r>
          </w:p>
        </w:tc>
      </w:tr>
      <w:tr w:rsidR="00100200" w:rsidRPr="00464EA5" w:rsidTr="006B6E58">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1.</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Projekta izpildē iesaistītās institūcijas</w:t>
            </w:r>
          </w:p>
        </w:tc>
        <w:tc>
          <w:tcPr>
            <w:tcW w:w="2888" w:type="pct"/>
            <w:tcBorders>
              <w:top w:val="outset" w:sz="6" w:space="0" w:color="000000"/>
              <w:left w:val="outset" w:sz="6" w:space="0" w:color="000000"/>
              <w:bottom w:val="outset" w:sz="6" w:space="0" w:color="000000"/>
              <w:right w:val="outset" w:sz="6" w:space="0" w:color="000000"/>
            </w:tcBorders>
            <w:hideMark/>
          </w:tcPr>
          <w:p w:rsidR="00100200" w:rsidRPr="00464EA5" w:rsidRDefault="00C6442A" w:rsidP="004437AC">
            <w:pPr>
              <w:jc w:val="both"/>
            </w:pPr>
            <w:r w:rsidRPr="00464EA5">
              <w:t xml:space="preserve">Projekta izpildi nodrošinās Izglītības un zinātnes ministrija, Valsts izglītības attīstības aģentūra un projekta iesniedzēji – </w:t>
            </w:r>
            <w:r w:rsidR="004437AC">
              <w:t>komersanti un pētniecības organizācijas</w:t>
            </w:r>
            <w:r w:rsidRPr="00464EA5">
              <w:t>.</w:t>
            </w:r>
          </w:p>
        </w:tc>
      </w:tr>
      <w:tr w:rsidR="00100200" w:rsidRPr="00464EA5" w:rsidTr="006B6E58">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2.</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Projekta izpildes ietekme uz pārvaldes funkcijām</w:t>
            </w:r>
          </w:p>
        </w:tc>
        <w:tc>
          <w:tcPr>
            <w:tcW w:w="2888" w:type="pct"/>
            <w:tcBorders>
              <w:top w:val="outset" w:sz="6" w:space="0" w:color="000000"/>
              <w:left w:val="outset" w:sz="6" w:space="0" w:color="000000"/>
              <w:bottom w:val="outset" w:sz="6" w:space="0" w:color="000000"/>
              <w:right w:val="outset" w:sz="6" w:space="0" w:color="000000"/>
            </w:tcBorders>
            <w:hideMark/>
          </w:tcPr>
          <w:p w:rsidR="00100200" w:rsidRPr="00464EA5" w:rsidRDefault="009D6542" w:rsidP="0014630D">
            <w:pPr>
              <w:jc w:val="both"/>
            </w:pPr>
            <w:r w:rsidRPr="00464EA5">
              <w:t>Projekta izpilde tiks nodrošināta Izglītības un zinātnes ministrijas un Valsts izglītības attīstības aģentūras funkciju ietvaros.</w:t>
            </w:r>
          </w:p>
        </w:tc>
      </w:tr>
      <w:tr w:rsidR="00100200" w:rsidRPr="00464EA5" w:rsidTr="006B6E58">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3.</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Projekta izpildes ietekme uz pārvaldes institucionālo struktūru.</w:t>
            </w:r>
          </w:p>
          <w:p w:rsidR="00100200" w:rsidRPr="00464EA5" w:rsidRDefault="00100200" w:rsidP="0014630D">
            <w:r w:rsidRPr="00464EA5">
              <w:t>Jaunu institūciju izveide</w:t>
            </w:r>
          </w:p>
        </w:tc>
        <w:tc>
          <w:tcPr>
            <w:tcW w:w="2888" w:type="pct"/>
            <w:tcBorders>
              <w:top w:val="outset" w:sz="6" w:space="0" w:color="000000"/>
              <w:left w:val="outset" w:sz="6" w:space="0" w:color="000000"/>
              <w:bottom w:val="outset" w:sz="6" w:space="0" w:color="000000"/>
              <w:right w:val="outset" w:sz="6" w:space="0" w:color="000000"/>
            </w:tcBorders>
            <w:hideMark/>
          </w:tcPr>
          <w:p w:rsidR="00100200" w:rsidRPr="00464EA5" w:rsidRDefault="009D6542" w:rsidP="0014630D">
            <w:pPr>
              <w:jc w:val="both"/>
            </w:pPr>
            <w:r w:rsidRPr="00464EA5">
              <w:t>Netiks radītas jaunas institūcijas, funkcijas tiks izpildītas Izglītības un zinātnes ministrijas un Valsts izglītības attīstības aģentūras funkciju ietvaros.</w:t>
            </w:r>
          </w:p>
        </w:tc>
      </w:tr>
      <w:tr w:rsidR="00100200" w:rsidRPr="00464EA5" w:rsidTr="006B6E58">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4.</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Projekta izpildes ietekme uz pārvaldes institucionālo struktūru.</w:t>
            </w:r>
          </w:p>
          <w:p w:rsidR="00100200" w:rsidRPr="00464EA5" w:rsidRDefault="00100200" w:rsidP="0014630D">
            <w:r w:rsidRPr="00464EA5">
              <w:t>Esošu institūciju likvidācija</w:t>
            </w:r>
          </w:p>
        </w:tc>
        <w:tc>
          <w:tcPr>
            <w:tcW w:w="2888" w:type="pct"/>
            <w:tcBorders>
              <w:top w:val="outset" w:sz="6" w:space="0" w:color="000000"/>
              <w:left w:val="outset" w:sz="6" w:space="0" w:color="000000"/>
              <w:bottom w:val="outset" w:sz="6" w:space="0" w:color="000000"/>
              <w:right w:val="outset" w:sz="6" w:space="0" w:color="000000"/>
            </w:tcBorders>
            <w:hideMark/>
          </w:tcPr>
          <w:p w:rsidR="00100200" w:rsidRPr="00464EA5" w:rsidRDefault="009913D7" w:rsidP="0014630D">
            <w:r w:rsidRPr="00464EA5">
              <w:t>Noteikumu projekts šo jomu neskar</w:t>
            </w:r>
          </w:p>
        </w:tc>
      </w:tr>
    </w:tbl>
    <w:p w:rsidR="006B6E58" w:rsidRDefault="006B6E58" w:rsidP="0014630D">
      <w:pPr>
        <w:sectPr w:rsidR="006B6E58" w:rsidSect="003D564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386" w:gutter="0"/>
          <w:cols w:space="708"/>
          <w:titlePg/>
          <w:docGrid w:linePitch="360"/>
        </w:sect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26"/>
        <w:gridCol w:w="3431"/>
        <w:gridCol w:w="5274"/>
      </w:tblGrid>
      <w:tr w:rsidR="00100200" w:rsidRPr="00464EA5" w:rsidTr="006B6E58">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lastRenderedPageBreak/>
              <w:t>5.</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Projekta izpildes ietekme uz pārvaldes institucionālo struktūru.</w:t>
            </w:r>
            <w:r w:rsidR="00566FFB" w:rsidRPr="00464EA5">
              <w:t xml:space="preserve"> </w:t>
            </w:r>
            <w:r w:rsidRPr="00464EA5">
              <w:t>Esošu institūciju reorganizācija</w:t>
            </w:r>
          </w:p>
        </w:tc>
        <w:tc>
          <w:tcPr>
            <w:tcW w:w="2888" w:type="pct"/>
            <w:tcBorders>
              <w:top w:val="outset" w:sz="6" w:space="0" w:color="000000"/>
              <w:left w:val="outset" w:sz="6" w:space="0" w:color="000000"/>
              <w:bottom w:val="outset" w:sz="6" w:space="0" w:color="000000"/>
              <w:right w:val="outset" w:sz="6" w:space="0" w:color="000000"/>
            </w:tcBorders>
            <w:hideMark/>
          </w:tcPr>
          <w:p w:rsidR="00100200" w:rsidRPr="00464EA5" w:rsidRDefault="009913D7" w:rsidP="0014630D">
            <w:r w:rsidRPr="00464EA5">
              <w:t>Noteikumu projekts šo jomu neskar</w:t>
            </w:r>
          </w:p>
        </w:tc>
      </w:tr>
      <w:tr w:rsidR="00100200" w:rsidRPr="00464EA5" w:rsidTr="0089148F">
        <w:tc>
          <w:tcPr>
            <w:tcW w:w="233"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6.</w:t>
            </w:r>
          </w:p>
        </w:tc>
        <w:tc>
          <w:tcPr>
            <w:tcW w:w="1879"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Cita informācija</w:t>
            </w:r>
          </w:p>
        </w:tc>
        <w:tc>
          <w:tcPr>
            <w:tcW w:w="2888" w:type="pct"/>
            <w:tcBorders>
              <w:top w:val="outset" w:sz="6" w:space="0" w:color="000000"/>
              <w:left w:val="outset" w:sz="6" w:space="0" w:color="000000"/>
              <w:bottom w:val="outset" w:sz="6" w:space="0" w:color="000000"/>
              <w:right w:val="outset" w:sz="6" w:space="0" w:color="000000"/>
            </w:tcBorders>
            <w:hideMark/>
          </w:tcPr>
          <w:p w:rsidR="00100200" w:rsidRPr="00464EA5" w:rsidRDefault="00100200" w:rsidP="0014630D">
            <w:r w:rsidRPr="00464EA5">
              <w:t>Nav</w:t>
            </w:r>
          </w:p>
        </w:tc>
      </w:tr>
    </w:tbl>
    <w:p w:rsidR="007A6DB9" w:rsidRPr="00464EA5" w:rsidRDefault="007A6DB9" w:rsidP="0014630D">
      <w:pPr>
        <w:jc w:val="both"/>
      </w:pPr>
    </w:p>
    <w:p w:rsidR="00C34957" w:rsidRDefault="00C34957" w:rsidP="0014630D">
      <w:pPr>
        <w:jc w:val="both"/>
      </w:pPr>
    </w:p>
    <w:p w:rsidR="00DD6166" w:rsidRPr="00464EA5" w:rsidRDefault="00DD6166" w:rsidP="0014630D">
      <w:pPr>
        <w:jc w:val="both"/>
      </w:pPr>
    </w:p>
    <w:p w:rsidR="00360D28" w:rsidRPr="000257E7" w:rsidRDefault="00360D28" w:rsidP="00DB6D78">
      <w:pPr>
        <w:ind w:left="709"/>
        <w:jc w:val="both"/>
      </w:pPr>
      <w:r w:rsidRPr="000257E7">
        <w:t>Izglītības un zinātnes ministr</w:t>
      </w:r>
      <w:r w:rsidR="00064642">
        <w:t>s</w:t>
      </w:r>
      <w:r w:rsidRPr="000257E7">
        <w:tab/>
      </w:r>
      <w:r w:rsidR="00DD6166" w:rsidRPr="00356DA2">
        <w:rPr>
          <w:rStyle w:val="Strong"/>
          <w:sz w:val="26"/>
          <w:szCs w:val="26"/>
        </w:rPr>
        <w:t>                                                          </w:t>
      </w:r>
      <w:r w:rsidR="00DD6166">
        <w:t xml:space="preserve"> </w:t>
      </w:r>
      <w:proofErr w:type="spellStart"/>
      <w:r w:rsidR="00064642">
        <w:t>Vj</w:t>
      </w:r>
      <w:r w:rsidR="00F2316D">
        <w:t>.</w:t>
      </w:r>
      <w:r w:rsidR="00064642">
        <w:t>Dombrovskis</w:t>
      </w:r>
      <w:proofErr w:type="spellEnd"/>
    </w:p>
    <w:p w:rsidR="003F5248" w:rsidRPr="000257E7" w:rsidRDefault="003F5248" w:rsidP="0014630D">
      <w:pPr>
        <w:jc w:val="both"/>
      </w:pPr>
    </w:p>
    <w:p w:rsidR="00A94662" w:rsidRDefault="00A94662" w:rsidP="0014630D">
      <w:pPr>
        <w:jc w:val="both"/>
      </w:pPr>
    </w:p>
    <w:p w:rsidR="00DD6166" w:rsidRPr="00464EA5" w:rsidRDefault="00DD6166" w:rsidP="0014630D">
      <w:pPr>
        <w:jc w:val="both"/>
      </w:pPr>
    </w:p>
    <w:p w:rsidR="003C3987" w:rsidRPr="00464EA5" w:rsidRDefault="00C17D80" w:rsidP="0060139E">
      <w:pPr>
        <w:jc w:val="both"/>
        <w:rPr>
          <w:bCs/>
        </w:rPr>
      </w:pPr>
      <w:r w:rsidRPr="00464EA5">
        <w:tab/>
      </w:r>
      <w:r w:rsidR="003F5248" w:rsidRPr="00464EA5">
        <w:t>V</w:t>
      </w:r>
      <w:r w:rsidR="00F90F86" w:rsidRPr="00464EA5">
        <w:t>ī</w:t>
      </w:r>
      <w:r w:rsidR="00A94662" w:rsidRPr="00464EA5">
        <w:t>za</w:t>
      </w:r>
      <w:r w:rsidR="00891617" w:rsidRPr="00464EA5">
        <w:t xml:space="preserve">: </w:t>
      </w:r>
      <w:r w:rsidR="003C3987" w:rsidRPr="00464EA5">
        <w:t>Valsts sekretār</w:t>
      </w:r>
      <w:r w:rsidR="0060139E">
        <w:t>e</w:t>
      </w:r>
      <w:r w:rsidR="003C3987" w:rsidRPr="00464EA5">
        <w:tab/>
      </w:r>
      <w:r w:rsidR="00DD6166" w:rsidRPr="00356DA2">
        <w:rPr>
          <w:rStyle w:val="Strong"/>
          <w:sz w:val="26"/>
          <w:szCs w:val="26"/>
        </w:rPr>
        <w:t>                                                                 </w:t>
      </w:r>
      <w:r w:rsidR="00DD6166">
        <w:t xml:space="preserve"> </w:t>
      </w:r>
      <w:r w:rsidR="0060139E">
        <w:t>S.Liepiņa</w:t>
      </w:r>
    </w:p>
    <w:p w:rsidR="00E057B2" w:rsidRPr="00464EA5" w:rsidRDefault="00E057B2" w:rsidP="0014630D">
      <w:pPr>
        <w:autoSpaceDE w:val="0"/>
        <w:autoSpaceDN w:val="0"/>
        <w:adjustRightInd w:val="0"/>
      </w:pPr>
    </w:p>
    <w:p w:rsidR="00E057B2" w:rsidRDefault="00E057B2" w:rsidP="0014630D">
      <w:pPr>
        <w:tabs>
          <w:tab w:val="left" w:pos="720"/>
          <w:tab w:val="center" w:pos="4535"/>
        </w:tabs>
        <w:jc w:val="both"/>
      </w:pPr>
    </w:p>
    <w:p w:rsidR="005B023E" w:rsidRDefault="005B023E" w:rsidP="0014630D">
      <w:pPr>
        <w:tabs>
          <w:tab w:val="left" w:pos="720"/>
          <w:tab w:val="center" w:pos="4535"/>
        </w:tabs>
        <w:jc w:val="both"/>
      </w:pPr>
    </w:p>
    <w:p w:rsidR="00424E05" w:rsidRDefault="00424E05" w:rsidP="0014630D">
      <w:pPr>
        <w:tabs>
          <w:tab w:val="left" w:pos="720"/>
          <w:tab w:val="center" w:pos="4535"/>
        </w:tabs>
        <w:jc w:val="both"/>
      </w:pPr>
    </w:p>
    <w:p w:rsidR="00424E05" w:rsidRDefault="00424E05" w:rsidP="0014630D">
      <w:pPr>
        <w:tabs>
          <w:tab w:val="left" w:pos="720"/>
          <w:tab w:val="center" w:pos="4535"/>
        </w:tabs>
        <w:jc w:val="both"/>
      </w:pPr>
    </w:p>
    <w:p w:rsidR="00DD6166" w:rsidRDefault="00DD6166" w:rsidP="0014630D">
      <w:pPr>
        <w:tabs>
          <w:tab w:val="left" w:pos="720"/>
          <w:tab w:val="center" w:pos="4535"/>
        </w:tabs>
        <w:jc w:val="both"/>
      </w:pPr>
    </w:p>
    <w:p w:rsidR="00DD6166" w:rsidRDefault="00DD6166" w:rsidP="0014630D">
      <w:pPr>
        <w:tabs>
          <w:tab w:val="left" w:pos="720"/>
          <w:tab w:val="center" w:pos="4535"/>
        </w:tabs>
        <w:jc w:val="both"/>
      </w:pPr>
    </w:p>
    <w:p w:rsidR="00DD6166" w:rsidRPr="00464EA5" w:rsidRDefault="00DD6166" w:rsidP="0014630D">
      <w:pPr>
        <w:tabs>
          <w:tab w:val="left" w:pos="720"/>
          <w:tab w:val="center" w:pos="4535"/>
        </w:tabs>
        <w:jc w:val="both"/>
      </w:pPr>
    </w:p>
    <w:p w:rsidR="00F2316D" w:rsidRDefault="008D1508" w:rsidP="00DD1EE8">
      <w:pPr>
        <w:rPr>
          <w:sz w:val="20"/>
          <w:szCs w:val="20"/>
        </w:rPr>
      </w:pPr>
      <w:r>
        <w:rPr>
          <w:sz w:val="20"/>
          <w:szCs w:val="20"/>
        </w:rPr>
        <w:fldChar w:fldCharType="begin"/>
      </w:r>
      <w:r w:rsidR="00F2316D">
        <w:rPr>
          <w:sz w:val="20"/>
          <w:szCs w:val="20"/>
        </w:rPr>
        <w:instrText xml:space="preserve"> DATE  \@ "dd.MM.yyyy H:mm"  \* MERGEFORMAT </w:instrText>
      </w:r>
      <w:r>
        <w:rPr>
          <w:sz w:val="20"/>
          <w:szCs w:val="20"/>
        </w:rPr>
        <w:fldChar w:fldCharType="separate"/>
      </w:r>
      <w:r w:rsidR="00ED1605">
        <w:rPr>
          <w:noProof/>
          <w:sz w:val="20"/>
          <w:szCs w:val="20"/>
        </w:rPr>
        <w:t>18.09.2013 9:30</w:t>
      </w:r>
      <w:r>
        <w:rPr>
          <w:sz w:val="20"/>
          <w:szCs w:val="20"/>
        </w:rPr>
        <w:fldChar w:fldCharType="end"/>
      </w:r>
    </w:p>
    <w:p w:rsidR="00DD1EE8" w:rsidRPr="00464EA5" w:rsidRDefault="008D1508" w:rsidP="00DD1EE8">
      <w:fldSimple w:instr=" NUMWORDS   \* MERGEFORMAT ">
        <w:r w:rsidR="00DD6166" w:rsidRPr="00DD6166">
          <w:rPr>
            <w:noProof/>
            <w:sz w:val="20"/>
            <w:szCs w:val="20"/>
          </w:rPr>
          <w:t>3197</w:t>
        </w:r>
      </w:fldSimple>
    </w:p>
    <w:p w:rsidR="00312384" w:rsidRDefault="00C668AA" w:rsidP="005A0948">
      <w:pPr>
        <w:rPr>
          <w:sz w:val="20"/>
          <w:szCs w:val="20"/>
        </w:rPr>
      </w:pPr>
      <w:proofErr w:type="spellStart"/>
      <w:r w:rsidRPr="00464EA5">
        <w:rPr>
          <w:sz w:val="20"/>
          <w:szCs w:val="20"/>
        </w:rPr>
        <w:t>I</w:t>
      </w:r>
      <w:r w:rsidR="00065C1D" w:rsidRPr="00464EA5">
        <w:rPr>
          <w:sz w:val="20"/>
          <w:szCs w:val="20"/>
        </w:rPr>
        <w:t>.Š</w:t>
      </w:r>
      <w:r w:rsidRPr="00464EA5">
        <w:rPr>
          <w:sz w:val="20"/>
          <w:szCs w:val="20"/>
        </w:rPr>
        <w:t>virksta</w:t>
      </w:r>
      <w:proofErr w:type="spellEnd"/>
    </w:p>
    <w:p w:rsidR="00E96317" w:rsidRPr="00D050B0" w:rsidRDefault="005A0948" w:rsidP="005A0948">
      <w:r>
        <w:rPr>
          <w:sz w:val="20"/>
          <w:szCs w:val="20"/>
        </w:rPr>
        <w:t xml:space="preserve"> </w:t>
      </w:r>
      <w:r w:rsidR="00065C1D" w:rsidRPr="00464EA5">
        <w:rPr>
          <w:sz w:val="20"/>
          <w:szCs w:val="20"/>
        </w:rPr>
        <w:t>67047</w:t>
      </w:r>
      <w:r w:rsidR="00C668AA" w:rsidRPr="00464EA5">
        <w:rPr>
          <w:sz w:val="20"/>
          <w:szCs w:val="20"/>
        </w:rPr>
        <w:t>882</w:t>
      </w:r>
      <w:r w:rsidR="00065C1D" w:rsidRPr="00464EA5">
        <w:rPr>
          <w:sz w:val="20"/>
          <w:szCs w:val="20"/>
        </w:rPr>
        <w:t xml:space="preserve">, </w:t>
      </w:r>
      <w:r w:rsidR="00C668AA" w:rsidRPr="00464EA5">
        <w:rPr>
          <w:sz w:val="20"/>
          <w:szCs w:val="20"/>
        </w:rPr>
        <w:t>inta.svirksta@izm.gov.lv</w:t>
      </w:r>
    </w:p>
    <w:sectPr w:rsidR="00E96317" w:rsidRPr="00D050B0" w:rsidSect="003D5644">
      <w:pgSz w:w="11906" w:h="16838"/>
      <w:pgMar w:top="1134" w:right="1134" w:bottom="1134" w:left="1701" w:header="709" w:footer="3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405" w:rsidRDefault="009E3405">
      <w:r>
        <w:separator/>
      </w:r>
    </w:p>
  </w:endnote>
  <w:endnote w:type="continuationSeparator" w:id="0">
    <w:p w:rsidR="009E3405" w:rsidRDefault="009E3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20">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1B" w:rsidRDefault="007068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AF" w:rsidRPr="003C3987" w:rsidRDefault="008D1508" w:rsidP="003C3987">
    <w:pPr>
      <w:jc w:val="both"/>
      <w:rPr>
        <w:sz w:val="20"/>
        <w:szCs w:val="20"/>
      </w:rPr>
    </w:pPr>
    <w:fldSimple w:instr=" FILENAME   \* MERGEFORMAT ">
      <w:r w:rsidR="00ED1605" w:rsidRPr="00ED1605">
        <w:rPr>
          <w:noProof/>
          <w:sz w:val="20"/>
          <w:szCs w:val="20"/>
        </w:rPr>
        <w:t>IZMAnot_2111_180913</w:t>
      </w:r>
    </w:fldSimple>
    <w:r w:rsidR="00AA32AF" w:rsidRPr="003C3987">
      <w:rPr>
        <w:sz w:val="20"/>
        <w:szCs w:val="20"/>
      </w:rPr>
      <w:t xml:space="preserve">; </w:t>
    </w:r>
    <w:r w:rsidR="00AA32AF">
      <w:rPr>
        <w:sz w:val="20"/>
        <w:szCs w:val="20"/>
      </w:rPr>
      <w:t xml:space="preserve">Ministru kabineta noteikumu „Grozījumi Ministru kabineta 2013.gada 3.janvāra noteikumos Nr.14 "Noteikumi par darbības programmas "Uzņēmējdarbība un inovācijas" papildinājuma 2.1.1.1.aktivitātes "Atbalsts zinātnei un pētniecībai" otro projektu iesniegumu atlases kārtu” </w:t>
    </w:r>
    <w:r w:rsidR="00AA32AF" w:rsidRPr="00F85634">
      <w:rPr>
        <w:sz w:val="22"/>
        <w:szCs w:val="22"/>
      </w:rPr>
      <w:t>projekta sākotnējās ietekmes novērtējuma ziņojums</w:t>
    </w:r>
  </w:p>
  <w:p w:rsidR="00AA32AF" w:rsidRPr="003C3987" w:rsidRDefault="00AA32AF" w:rsidP="003C398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AF" w:rsidRPr="0048436B" w:rsidRDefault="008D1508" w:rsidP="0048436B">
    <w:pPr>
      <w:jc w:val="both"/>
      <w:rPr>
        <w:bCs/>
        <w:sz w:val="20"/>
        <w:szCs w:val="20"/>
      </w:rPr>
    </w:pPr>
    <w:fldSimple w:instr=" FILENAME   \* MERGEFORMAT ">
      <w:r w:rsidR="00ED1605" w:rsidRPr="00ED1605">
        <w:rPr>
          <w:noProof/>
          <w:sz w:val="20"/>
          <w:szCs w:val="20"/>
        </w:rPr>
        <w:t>IZMAnot_2111_180913</w:t>
      </w:r>
    </w:fldSimple>
    <w:r w:rsidR="00AA32AF" w:rsidRPr="003C3987">
      <w:rPr>
        <w:sz w:val="20"/>
        <w:szCs w:val="20"/>
      </w:rPr>
      <w:t xml:space="preserve">; </w:t>
    </w:r>
    <w:bookmarkStart w:id="10" w:name="OLE_LINK11"/>
    <w:bookmarkStart w:id="11" w:name="OLE_LINK12"/>
    <w:r w:rsidR="00AA32AF">
      <w:rPr>
        <w:sz w:val="20"/>
        <w:szCs w:val="20"/>
      </w:rPr>
      <w:t xml:space="preserve">Ministru kabineta noteikumu „Grozījumi Ministru kabineta 2013.gada 3.janvāra noteikumos Nr.14 "Noteikumi par darbības programmas "Uzņēmējdarbība un inovācijas" papildinājuma 2.1.1.1.aktivitātes "Atbalsts zinātnei un pētniecībai" otro projektu iesniegumu atlases kārtu” </w:t>
    </w:r>
    <w:r w:rsidR="00AA32AF" w:rsidRPr="00F85634">
      <w:rPr>
        <w:sz w:val="22"/>
        <w:szCs w:val="22"/>
      </w:rPr>
      <w:t>projekta sākotnējās ietekmes novērtējuma ziņojums</w:t>
    </w:r>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405" w:rsidRDefault="009E3405">
      <w:r>
        <w:separator/>
      </w:r>
    </w:p>
  </w:footnote>
  <w:footnote w:type="continuationSeparator" w:id="0">
    <w:p w:rsidR="009E3405" w:rsidRDefault="009E3405">
      <w:r>
        <w:continuationSeparator/>
      </w:r>
    </w:p>
  </w:footnote>
  <w:footnote w:id="1">
    <w:p w:rsidR="00AA32AF" w:rsidRDefault="00AA32AF" w:rsidP="00196155">
      <w:pPr>
        <w:pStyle w:val="FootnoteText"/>
      </w:pPr>
      <w:r>
        <w:rPr>
          <w:rStyle w:val="FootnoteReference"/>
        </w:rPr>
        <w:footnoteRef/>
      </w:r>
      <w:r>
        <w:t xml:space="preserve">Normas iekļautas šādos nacionālajos normatīvajos aktos:  </w:t>
      </w:r>
      <w:r w:rsidRPr="00765289">
        <w:t>07.07.2009. MK noteikumi Nr.752 "Noteikumi par darbības programmas "Uzņēmējdarbība un inovācijas" papildinājuma 2.1.1.1.aktivitāti "Atbalsts zinātnei un pētniecībai""; 09.10.2012. MK noteikumi Nr.704 "Noteikumi par darbības programmas "Cilvēkresursi un nodarbinātība" papildinājuma 1.1.1.2.aktivitātes "Cilvēkresursu piesaiste zinātnei" otro projektu iesniegumu atlases kārtu"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1B" w:rsidRDefault="007068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AF" w:rsidRDefault="008D1508">
    <w:pPr>
      <w:pStyle w:val="Header"/>
      <w:jc w:val="center"/>
    </w:pPr>
    <w:fldSimple w:instr=" PAGE   \* MERGEFORMAT ">
      <w:r w:rsidR="0070681B">
        <w:rPr>
          <w:noProof/>
        </w:rPr>
        <w:t>12</w:t>
      </w:r>
    </w:fldSimple>
  </w:p>
  <w:p w:rsidR="00AA32AF" w:rsidRDefault="00AA32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2513"/>
      <w:docPartObj>
        <w:docPartGallery w:val="Page Numbers (Top of Page)"/>
        <w:docPartUnique/>
      </w:docPartObj>
    </w:sdtPr>
    <w:sdtContent>
      <w:p w:rsidR="0070681B" w:rsidRDefault="0070681B">
        <w:pPr>
          <w:pStyle w:val="Header"/>
          <w:jc w:val="center"/>
        </w:pPr>
        <w:r>
          <w:fldChar w:fldCharType="begin"/>
        </w:r>
        <w:r>
          <w:instrText xml:space="preserve"> PAGE   \* MERGEFORMAT </w:instrText>
        </w:r>
        <w:r>
          <w:fldChar w:fldCharType="separate"/>
        </w:r>
        <w:r>
          <w:rPr>
            <w:noProof/>
          </w:rPr>
          <w:t>13</w:t>
        </w:r>
        <w:r>
          <w:fldChar w:fldCharType="end"/>
        </w:r>
      </w:p>
    </w:sdtContent>
  </w:sdt>
  <w:p w:rsidR="0070681B" w:rsidRDefault="007068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F1F"/>
    <w:multiLevelType w:val="hybridMultilevel"/>
    <w:tmpl w:val="3196CE96"/>
    <w:lvl w:ilvl="0" w:tplc="D0F84846">
      <w:start w:val="1"/>
      <w:numFmt w:val="bullet"/>
      <w:lvlText w:val="–"/>
      <w:lvlJc w:val="left"/>
      <w:pPr>
        <w:ind w:left="473" w:hanging="360"/>
      </w:pPr>
      <w:rPr>
        <w:rFonts w:ascii="Times New Roman" w:eastAsia="Times New Roman" w:hAnsi="Times New Roman" w:cs="Times New Roman" w:hint="default"/>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
    <w:nsid w:val="18290C9F"/>
    <w:multiLevelType w:val="hybridMultilevel"/>
    <w:tmpl w:val="16644E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141908"/>
    <w:multiLevelType w:val="hybridMultilevel"/>
    <w:tmpl w:val="7FE60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E24C57"/>
    <w:multiLevelType w:val="hybridMultilevel"/>
    <w:tmpl w:val="D73CAAD6"/>
    <w:lvl w:ilvl="0" w:tplc="BFE8D5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6C2613F"/>
    <w:multiLevelType w:val="hybridMultilevel"/>
    <w:tmpl w:val="5D8413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1826961"/>
    <w:multiLevelType w:val="hybridMultilevel"/>
    <w:tmpl w:val="3AA2B4E2"/>
    <w:lvl w:ilvl="0" w:tplc="D6BC95B2">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41F80096"/>
    <w:multiLevelType w:val="hybridMultilevel"/>
    <w:tmpl w:val="1A8A8C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4DC6851"/>
    <w:multiLevelType w:val="multilevel"/>
    <w:tmpl w:val="996087F2"/>
    <w:lvl w:ilvl="0">
      <w:start w:val="1"/>
      <w:numFmt w:val="decimal"/>
      <w:lvlText w:val="%1."/>
      <w:lvlJc w:val="left"/>
      <w:pPr>
        <w:tabs>
          <w:tab w:val="num" w:pos="993"/>
        </w:tabs>
        <w:ind w:left="993" w:firstLine="0"/>
      </w:pPr>
      <w:rPr>
        <w:rFonts w:hint="default"/>
      </w:rPr>
    </w:lvl>
    <w:lvl w:ilvl="1">
      <w:start w:val="1"/>
      <w:numFmt w:val="decimal"/>
      <w:lvlText w:val="%1.%2."/>
      <w:lvlJc w:val="left"/>
      <w:pPr>
        <w:ind w:left="11907" w:hanging="1134"/>
      </w:pPr>
      <w:rPr>
        <w:rFonts w:hint="default"/>
      </w:rPr>
    </w:lvl>
    <w:lvl w:ilvl="2">
      <w:start w:val="1"/>
      <w:numFmt w:val="decimal"/>
      <w:lvlText w:val="%1.%2.%3."/>
      <w:lvlJc w:val="left"/>
      <w:pPr>
        <w:ind w:left="6096" w:firstLine="0"/>
      </w:pPr>
      <w:rPr>
        <w:rFonts w:hint="default"/>
      </w:rPr>
    </w:lvl>
    <w:lvl w:ilvl="3">
      <w:start w:val="1"/>
      <w:numFmt w:val="decimal"/>
      <w:lvlText w:val="%1.%2.%3.%4."/>
      <w:lvlJc w:val="left"/>
      <w:pPr>
        <w:ind w:left="284" w:hanging="57"/>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9">
    <w:nsid w:val="4AD45AF7"/>
    <w:multiLevelType w:val="multilevel"/>
    <w:tmpl w:val="E266E9A0"/>
    <w:lvl w:ilvl="0">
      <w:start w:val="3"/>
      <w:numFmt w:val="decimal"/>
      <w:lvlText w:val="%1."/>
      <w:lvlJc w:val="left"/>
      <w:pPr>
        <w:ind w:left="1778"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FB63124"/>
    <w:multiLevelType w:val="hybridMultilevel"/>
    <w:tmpl w:val="E9062B6E"/>
    <w:lvl w:ilvl="0" w:tplc="328210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61702D5"/>
    <w:multiLevelType w:val="hybridMultilevel"/>
    <w:tmpl w:val="A3BCEA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A046302"/>
    <w:multiLevelType w:val="hybridMultilevel"/>
    <w:tmpl w:val="2EE80A64"/>
    <w:lvl w:ilvl="0" w:tplc="04260019">
      <w:start w:val="1"/>
      <w:numFmt w:val="lowerLetter"/>
      <w:lvlText w:val="%1."/>
      <w:lvlJc w:val="left"/>
      <w:pPr>
        <w:tabs>
          <w:tab w:val="num" w:pos="720"/>
        </w:tabs>
        <w:ind w:left="720" w:hanging="360"/>
      </w:pPr>
      <w:rPr>
        <w:rFonts w:hint="default"/>
      </w:rPr>
    </w:lvl>
    <w:lvl w:ilvl="1" w:tplc="95E85760">
      <w:start w:val="1"/>
      <w:numFmt w:val="bullet"/>
      <w:lvlText w:val=""/>
      <w:lvlJc w:val="left"/>
      <w:pPr>
        <w:tabs>
          <w:tab w:val="num" w:pos="1440"/>
        </w:tabs>
        <w:ind w:left="1440" w:hanging="360"/>
      </w:pPr>
      <w:rPr>
        <w:rFonts w:ascii="Wingdings" w:hAnsi="Wingdings" w:hint="default"/>
      </w:rPr>
    </w:lvl>
    <w:lvl w:ilvl="2" w:tplc="580674DA">
      <w:start w:val="1"/>
      <w:numFmt w:val="bullet"/>
      <w:lvlText w:val=""/>
      <w:lvlJc w:val="left"/>
      <w:pPr>
        <w:tabs>
          <w:tab w:val="num" w:pos="2160"/>
        </w:tabs>
        <w:ind w:left="2160" w:hanging="360"/>
      </w:pPr>
      <w:rPr>
        <w:rFonts w:ascii="Wingdings" w:hAnsi="Wingdings" w:hint="default"/>
      </w:rPr>
    </w:lvl>
    <w:lvl w:ilvl="3" w:tplc="61346F42">
      <w:start w:val="1251"/>
      <w:numFmt w:val="bullet"/>
      <w:lvlText w:val=""/>
      <w:lvlJc w:val="left"/>
      <w:pPr>
        <w:tabs>
          <w:tab w:val="num" w:pos="2880"/>
        </w:tabs>
        <w:ind w:left="2880" w:hanging="360"/>
      </w:pPr>
      <w:rPr>
        <w:rFonts w:ascii="Wingdings" w:hAnsi="Wingdings" w:hint="default"/>
      </w:rPr>
    </w:lvl>
    <w:lvl w:ilvl="4" w:tplc="C4F6B1AA">
      <w:start w:val="1"/>
      <w:numFmt w:val="bullet"/>
      <w:lvlText w:val=""/>
      <w:lvlJc w:val="left"/>
      <w:pPr>
        <w:tabs>
          <w:tab w:val="num" w:pos="3600"/>
        </w:tabs>
        <w:ind w:left="3600" w:hanging="360"/>
      </w:pPr>
      <w:rPr>
        <w:rFonts w:ascii="Wingdings" w:hAnsi="Wingdings" w:hint="default"/>
      </w:rPr>
    </w:lvl>
    <w:lvl w:ilvl="5" w:tplc="70200D0E" w:tentative="1">
      <w:start w:val="1"/>
      <w:numFmt w:val="bullet"/>
      <w:lvlText w:val=""/>
      <w:lvlJc w:val="left"/>
      <w:pPr>
        <w:tabs>
          <w:tab w:val="num" w:pos="4320"/>
        </w:tabs>
        <w:ind w:left="4320" w:hanging="360"/>
      </w:pPr>
      <w:rPr>
        <w:rFonts w:ascii="Wingdings" w:hAnsi="Wingdings" w:hint="default"/>
      </w:rPr>
    </w:lvl>
    <w:lvl w:ilvl="6" w:tplc="52DE652C" w:tentative="1">
      <w:start w:val="1"/>
      <w:numFmt w:val="bullet"/>
      <w:lvlText w:val=""/>
      <w:lvlJc w:val="left"/>
      <w:pPr>
        <w:tabs>
          <w:tab w:val="num" w:pos="5040"/>
        </w:tabs>
        <w:ind w:left="5040" w:hanging="360"/>
      </w:pPr>
      <w:rPr>
        <w:rFonts w:ascii="Wingdings" w:hAnsi="Wingdings" w:hint="default"/>
      </w:rPr>
    </w:lvl>
    <w:lvl w:ilvl="7" w:tplc="ACACB864" w:tentative="1">
      <w:start w:val="1"/>
      <w:numFmt w:val="bullet"/>
      <w:lvlText w:val=""/>
      <w:lvlJc w:val="left"/>
      <w:pPr>
        <w:tabs>
          <w:tab w:val="num" w:pos="5760"/>
        </w:tabs>
        <w:ind w:left="5760" w:hanging="360"/>
      </w:pPr>
      <w:rPr>
        <w:rFonts w:ascii="Wingdings" w:hAnsi="Wingdings" w:hint="default"/>
      </w:rPr>
    </w:lvl>
    <w:lvl w:ilvl="8" w:tplc="69EC0FFA" w:tentative="1">
      <w:start w:val="1"/>
      <w:numFmt w:val="bullet"/>
      <w:lvlText w:val=""/>
      <w:lvlJc w:val="left"/>
      <w:pPr>
        <w:tabs>
          <w:tab w:val="num" w:pos="6480"/>
        </w:tabs>
        <w:ind w:left="6480" w:hanging="360"/>
      </w:pPr>
      <w:rPr>
        <w:rFonts w:ascii="Wingdings" w:hAnsi="Wingdings" w:hint="default"/>
      </w:rPr>
    </w:lvl>
  </w:abstractNum>
  <w:abstractNum w:abstractNumId="13">
    <w:nsid w:val="6DEB300C"/>
    <w:multiLevelType w:val="hybridMultilevel"/>
    <w:tmpl w:val="D8327AA8"/>
    <w:lvl w:ilvl="0" w:tplc="26888FBC">
      <w:start w:val="1"/>
      <w:numFmt w:val="bullet"/>
      <w:lvlText w:val=""/>
      <w:lvlJc w:val="left"/>
      <w:pPr>
        <w:tabs>
          <w:tab w:val="num" w:pos="720"/>
        </w:tabs>
        <w:ind w:left="720" w:hanging="360"/>
      </w:pPr>
      <w:rPr>
        <w:rFonts w:ascii="Wingdings" w:hAnsi="Wingdings" w:hint="default"/>
      </w:rPr>
    </w:lvl>
    <w:lvl w:ilvl="1" w:tplc="95E85760">
      <w:start w:val="1"/>
      <w:numFmt w:val="bullet"/>
      <w:lvlText w:val=""/>
      <w:lvlJc w:val="left"/>
      <w:pPr>
        <w:tabs>
          <w:tab w:val="num" w:pos="1440"/>
        </w:tabs>
        <w:ind w:left="1440" w:hanging="360"/>
      </w:pPr>
      <w:rPr>
        <w:rFonts w:ascii="Wingdings" w:hAnsi="Wingdings" w:hint="default"/>
      </w:rPr>
    </w:lvl>
    <w:lvl w:ilvl="2" w:tplc="580674DA">
      <w:start w:val="1"/>
      <w:numFmt w:val="bullet"/>
      <w:lvlText w:val=""/>
      <w:lvlJc w:val="left"/>
      <w:pPr>
        <w:tabs>
          <w:tab w:val="num" w:pos="2160"/>
        </w:tabs>
        <w:ind w:left="2160" w:hanging="360"/>
      </w:pPr>
      <w:rPr>
        <w:rFonts w:ascii="Wingdings" w:hAnsi="Wingdings" w:hint="default"/>
      </w:rPr>
    </w:lvl>
    <w:lvl w:ilvl="3" w:tplc="61346F42">
      <w:start w:val="1251"/>
      <w:numFmt w:val="bullet"/>
      <w:lvlText w:val=""/>
      <w:lvlJc w:val="left"/>
      <w:pPr>
        <w:tabs>
          <w:tab w:val="num" w:pos="2880"/>
        </w:tabs>
        <w:ind w:left="2880" w:hanging="360"/>
      </w:pPr>
      <w:rPr>
        <w:rFonts w:ascii="Wingdings" w:hAnsi="Wingdings" w:hint="default"/>
      </w:rPr>
    </w:lvl>
    <w:lvl w:ilvl="4" w:tplc="C4F6B1AA">
      <w:start w:val="1"/>
      <w:numFmt w:val="bullet"/>
      <w:lvlText w:val=""/>
      <w:lvlJc w:val="left"/>
      <w:pPr>
        <w:tabs>
          <w:tab w:val="num" w:pos="3600"/>
        </w:tabs>
        <w:ind w:left="3600" w:hanging="360"/>
      </w:pPr>
      <w:rPr>
        <w:rFonts w:ascii="Wingdings" w:hAnsi="Wingdings" w:hint="default"/>
      </w:rPr>
    </w:lvl>
    <w:lvl w:ilvl="5" w:tplc="70200D0E" w:tentative="1">
      <w:start w:val="1"/>
      <w:numFmt w:val="bullet"/>
      <w:lvlText w:val=""/>
      <w:lvlJc w:val="left"/>
      <w:pPr>
        <w:tabs>
          <w:tab w:val="num" w:pos="4320"/>
        </w:tabs>
        <w:ind w:left="4320" w:hanging="360"/>
      </w:pPr>
      <w:rPr>
        <w:rFonts w:ascii="Wingdings" w:hAnsi="Wingdings" w:hint="default"/>
      </w:rPr>
    </w:lvl>
    <w:lvl w:ilvl="6" w:tplc="52DE652C" w:tentative="1">
      <w:start w:val="1"/>
      <w:numFmt w:val="bullet"/>
      <w:lvlText w:val=""/>
      <w:lvlJc w:val="left"/>
      <w:pPr>
        <w:tabs>
          <w:tab w:val="num" w:pos="5040"/>
        </w:tabs>
        <w:ind w:left="5040" w:hanging="360"/>
      </w:pPr>
      <w:rPr>
        <w:rFonts w:ascii="Wingdings" w:hAnsi="Wingdings" w:hint="default"/>
      </w:rPr>
    </w:lvl>
    <w:lvl w:ilvl="7" w:tplc="ACACB864" w:tentative="1">
      <w:start w:val="1"/>
      <w:numFmt w:val="bullet"/>
      <w:lvlText w:val=""/>
      <w:lvlJc w:val="left"/>
      <w:pPr>
        <w:tabs>
          <w:tab w:val="num" w:pos="5760"/>
        </w:tabs>
        <w:ind w:left="5760" w:hanging="360"/>
      </w:pPr>
      <w:rPr>
        <w:rFonts w:ascii="Wingdings" w:hAnsi="Wingdings" w:hint="default"/>
      </w:rPr>
    </w:lvl>
    <w:lvl w:ilvl="8" w:tplc="69EC0FFA" w:tentative="1">
      <w:start w:val="1"/>
      <w:numFmt w:val="bullet"/>
      <w:lvlText w:val=""/>
      <w:lvlJc w:val="left"/>
      <w:pPr>
        <w:tabs>
          <w:tab w:val="num" w:pos="6480"/>
        </w:tabs>
        <w:ind w:left="6480" w:hanging="360"/>
      </w:pPr>
      <w:rPr>
        <w:rFonts w:ascii="Wingdings" w:hAnsi="Wingdings" w:hint="default"/>
      </w:rPr>
    </w:lvl>
  </w:abstractNum>
  <w:abstractNum w:abstractNumId="14">
    <w:nsid w:val="75D1124A"/>
    <w:multiLevelType w:val="hybridMultilevel"/>
    <w:tmpl w:val="AB64C2A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9657214"/>
    <w:multiLevelType w:val="hybridMultilevel"/>
    <w:tmpl w:val="5B2C16F0"/>
    <w:lvl w:ilvl="0" w:tplc="129E875C">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num w:numId="1">
    <w:abstractNumId w:val="7"/>
  </w:num>
  <w:num w:numId="2">
    <w:abstractNumId w:val="2"/>
  </w:num>
  <w:num w:numId="3">
    <w:abstractNumId w:val="4"/>
  </w:num>
  <w:num w:numId="4">
    <w:abstractNumId w:val="11"/>
  </w:num>
  <w:num w:numId="5">
    <w:abstractNumId w:val="10"/>
  </w:num>
  <w:num w:numId="6">
    <w:abstractNumId w:val="1"/>
  </w:num>
  <w:num w:numId="7">
    <w:abstractNumId w:val="6"/>
  </w:num>
  <w:num w:numId="8">
    <w:abstractNumId w:val="8"/>
  </w:num>
  <w:num w:numId="9">
    <w:abstractNumId w:val="5"/>
  </w:num>
  <w:num w:numId="10">
    <w:abstractNumId w:val="0"/>
  </w:num>
  <w:num w:numId="11">
    <w:abstractNumId w:val="15"/>
  </w:num>
  <w:num w:numId="12">
    <w:abstractNumId w:val="14"/>
  </w:num>
  <w:num w:numId="13">
    <w:abstractNumId w:val="9"/>
  </w:num>
  <w:num w:numId="14">
    <w:abstractNumId w:val="3"/>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457F5"/>
    <w:rsid w:val="00000EE1"/>
    <w:rsid w:val="00003412"/>
    <w:rsid w:val="000034B0"/>
    <w:rsid w:val="000070F1"/>
    <w:rsid w:val="00007F5F"/>
    <w:rsid w:val="00010472"/>
    <w:rsid w:val="00010616"/>
    <w:rsid w:val="00010A8D"/>
    <w:rsid w:val="00010FE0"/>
    <w:rsid w:val="00013670"/>
    <w:rsid w:val="00013ADE"/>
    <w:rsid w:val="0001452A"/>
    <w:rsid w:val="00015C1E"/>
    <w:rsid w:val="00015CF2"/>
    <w:rsid w:val="00017336"/>
    <w:rsid w:val="000176AB"/>
    <w:rsid w:val="00020193"/>
    <w:rsid w:val="000202C8"/>
    <w:rsid w:val="000238FB"/>
    <w:rsid w:val="0002405B"/>
    <w:rsid w:val="000257E7"/>
    <w:rsid w:val="00027271"/>
    <w:rsid w:val="00031C26"/>
    <w:rsid w:val="00035AA1"/>
    <w:rsid w:val="00042F7C"/>
    <w:rsid w:val="000433B8"/>
    <w:rsid w:val="00045556"/>
    <w:rsid w:val="0004682B"/>
    <w:rsid w:val="00047E96"/>
    <w:rsid w:val="00047F64"/>
    <w:rsid w:val="00055EB6"/>
    <w:rsid w:val="0006219F"/>
    <w:rsid w:val="00064642"/>
    <w:rsid w:val="00065C1D"/>
    <w:rsid w:val="000660CC"/>
    <w:rsid w:val="0006670D"/>
    <w:rsid w:val="0006697A"/>
    <w:rsid w:val="00070BBE"/>
    <w:rsid w:val="00072B5B"/>
    <w:rsid w:val="00076025"/>
    <w:rsid w:val="000771C0"/>
    <w:rsid w:val="00080993"/>
    <w:rsid w:val="00082AD7"/>
    <w:rsid w:val="00083236"/>
    <w:rsid w:val="00083E0B"/>
    <w:rsid w:val="000876FA"/>
    <w:rsid w:val="000879F2"/>
    <w:rsid w:val="00092622"/>
    <w:rsid w:val="0009346B"/>
    <w:rsid w:val="00093EA7"/>
    <w:rsid w:val="00094976"/>
    <w:rsid w:val="00095383"/>
    <w:rsid w:val="00097526"/>
    <w:rsid w:val="000979BE"/>
    <w:rsid w:val="00097D6F"/>
    <w:rsid w:val="000A2C82"/>
    <w:rsid w:val="000A4159"/>
    <w:rsid w:val="000A4DE7"/>
    <w:rsid w:val="000B0043"/>
    <w:rsid w:val="000B0CEE"/>
    <w:rsid w:val="000B15C9"/>
    <w:rsid w:val="000B5522"/>
    <w:rsid w:val="000B6B67"/>
    <w:rsid w:val="000B73BD"/>
    <w:rsid w:val="000C009A"/>
    <w:rsid w:val="000C1095"/>
    <w:rsid w:val="000C33F3"/>
    <w:rsid w:val="000C3C05"/>
    <w:rsid w:val="000C71B7"/>
    <w:rsid w:val="000C7E48"/>
    <w:rsid w:val="000D0B64"/>
    <w:rsid w:val="000D0DE2"/>
    <w:rsid w:val="000D225E"/>
    <w:rsid w:val="000D2FE7"/>
    <w:rsid w:val="000E053C"/>
    <w:rsid w:val="000E1828"/>
    <w:rsid w:val="000E1DBC"/>
    <w:rsid w:val="000E54E4"/>
    <w:rsid w:val="000E5B40"/>
    <w:rsid w:val="000E6166"/>
    <w:rsid w:val="000E73E3"/>
    <w:rsid w:val="000F0829"/>
    <w:rsid w:val="000F4E67"/>
    <w:rsid w:val="000F564C"/>
    <w:rsid w:val="000F6AD5"/>
    <w:rsid w:val="000F6CF4"/>
    <w:rsid w:val="000F6EE2"/>
    <w:rsid w:val="00100001"/>
    <w:rsid w:val="00100200"/>
    <w:rsid w:val="00101630"/>
    <w:rsid w:val="00102837"/>
    <w:rsid w:val="00105F76"/>
    <w:rsid w:val="00106D58"/>
    <w:rsid w:val="00110A2F"/>
    <w:rsid w:val="00111201"/>
    <w:rsid w:val="00113397"/>
    <w:rsid w:val="00113557"/>
    <w:rsid w:val="0011720E"/>
    <w:rsid w:val="001172BA"/>
    <w:rsid w:val="00117D47"/>
    <w:rsid w:val="00126445"/>
    <w:rsid w:val="00130797"/>
    <w:rsid w:val="00133F26"/>
    <w:rsid w:val="001360F2"/>
    <w:rsid w:val="00137965"/>
    <w:rsid w:val="00141BCF"/>
    <w:rsid w:val="0014424A"/>
    <w:rsid w:val="0014578C"/>
    <w:rsid w:val="001457F5"/>
    <w:rsid w:val="0014630D"/>
    <w:rsid w:val="00146A76"/>
    <w:rsid w:val="00146C05"/>
    <w:rsid w:val="001477B1"/>
    <w:rsid w:val="001509A7"/>
    <w:rsid w:val="00150CEB"/>
    <w:rsid w:val="00152DEF"/>
    <w:rsid w:val="001553AF"/>
    <w:rsid w:val="001560B0"/>
    <w:rsid w:val="00163FB4"/>
    <w:rsid w:val="001646BB"/>
    <w:rsid w:val="00164946"/>
    <w:rsid w:val="00164C2C"/>
    <w:rsid w:val="00165079"/>
    <w:rsid w:val="001652E4"/>
    <w:rsid w:val="0016594B"/>
    <w:rsid w:val="001672E7"/>
    <w:rsid w:val="00167B5C"/>
    <w:rsid w:val="00167EE4"/>
    <w:rsid w:val="0017066A"/>
    <w:rsid w:val="001706AE"/>
    <w:rsid w:val="001713A5"/>
    <w:rsid w:val="00171635"/>
    <w:rsid w:val="0017281F"/>
    <w:rsid w:val="00172EF6"/>
    <w:rsid w:val="001761DE"/>
    <w:rsid w:val="00180956"/>
    <w:rsid w:val="001810F9"/>
    <w:rsid w:val="00181757"/>
    <w:rsid w:val="00185195"/>
    <w:rsid w:val="00185220"/>
    <w:rsid w:val="001857F9"/>
    <w:rsid w:val="00186070"/>
    <w:rsid w:val="00191511"/>
    <w:rsid w:val="001947AD"/>
    <w:rsid w:val="00196155"/>
    <w:rsid w:val="00197892"/>
    <w:rsid w:val="001979A9"/>
    <w:rsid w:val="001A10E3"/>
    <w:rsid w:val="001A5357"/>
    <w:rsid w:val="001A5D33"/>
    <w:rsid w:val="001A685A"/>
    <w:rsid w:val="001A68DD"/>
    <w:rsid w:val="001A6D09"/>
    <w:rsid w:val="001A7A17"/>
    <w:rsid w:val="001B1822"/>
    <w:rsid w:val="001B2883"/>
    <w:rsid w:val="001B32B1"/>
    <w:rsid w:val="001B6CF0"/>
    <w:rsid w:val="001C158A"/>
    <w:rsid w:val="001C492A"/>
    <w:rsid w:val="001C5207"/>
    <w:rsid w:val="001C5789"/>
    <w:rsid w:val="001C74FD"/>
    <w:rsid w:val="001C75FB"/>
    <w:rsid w:val="001C7F37"/>
    <w:rsid w:val="001D0E0A"/>
    <w:rsid w:val="001D15C5"/>
    <w:rsid w:val="001D1A28"/>
    <w:rsid w:val="001D21E8"/>
    <w:rsid w:val="001D3DF8"/>
    <w:rsid w:val="001D48F7"/>
    <w:rsid w:val="001D5748"/>
    <w:rsid w:val="001D72BC"/>
    <w:rsid w:val="001E086F"/>
    <w:rsid w:val="001E5143"/>
    <w:rsid w:val="001E53D2"/>
    <w:rsid w:val="001E5A04"/>
    <w:rsid w:val="001E786A"/>
    <w:rsid w:val="001E78DD"/>
    <w:rsid w:val="001F1FC6"/>
    <w:rsid w:val="001F216B"/>
    <w:rsid w:val="001F3F40"/>
    <w:rsid w:val="001F5F79"/>
    <w:rsid w:val="001F6339"/>
    <w:rsid w:val="001F65B5"/>
    <w:rsid w:val="001F6F35"/>
    <w:rsid w:val="001F73E4"/>
    <w:rsid w:val="001F74FE"/>
    <w:rsid w:val="001F773C"/>
    <w:rsid w:val="001F7F25"/>
    <w:rsid w:val="00202B8B"/>
    <w:rsid w:val="00202D1D"/>
    <w:rsid w:val="002067AE"/>
    <w:rsid w:val="00206A44"/>
    <w:rsid w:val="00211C60"/>
    <w:rsid w:val="00211D7C"/>
    <w:rsid w:val="00213B76"/>
    <w:rsid w:val="002151A3"/>
    <w:rsid w:val="00215E9E"/>
    <w:rsid w:val="002164EB"/>
    <w:rsid w:val="002202D2"/>
    <w:rsid w:val="002206C9"/>
    <w:rsid w:val="00221FF9"/>
    <w:rsid w:val="00222A3D"/>
    <w:rsid w:val="002321B9"/>
    <w:rsid w:val="00235878"/>
    <w:rsid w:val="00236F54"/>
    <w:rsid w:val="00240A95"/>
    <w:rsid w:val="00242C64"/>
    <w:rsid w:val="00244489"/>
    <w:rsid w:val="00245A2D"/>
    <w:rsid w:val="002503EB"/>
    <w:rsid w:val="00250B20"/>
    <w:rsid w:val="00252724"/>
    <w:rsid w:val="00253102"/>
    <w:rsid w:val="0025461E"/>
    <w:rsid w:val="00255F8A"/>
    <w:rsid w:val="00257926"/>
    <w:rsid w:val="0026004F"/>
    <w:rsid w:val="002602E8"/>
    <w:rsid w:val="00261E2F"/>
    <w:rsid w:val="002625FA"/>
    <w:rsid w:val="00262912"/>
    <w:rsid w:val="00265882"/>
    <w:rsid w:val="002664F5"/>
    <w:rsid w:val="00267F47"/>
    <w:rsid w:val="00271A78"/>
    <w:rsid w:val="00271F30"/>
    <w:rsid w:val="00272D6C"/>
    <w:rsid w:val="00274F5B"/>
    <w:rsid w:val="002751F2"/>
    <w:rsid w:val="00276AD3"/>
    <w:rsid w:val="00277F22"/>
    <w:rsid w:val="0028098D"/>
    <w:rsid w:val="002838D3"/>
    <w:rsid w:val="00284208"/>
    <w:rsid w:val="00284880"/>
    <w:rsid w:val="0028624E"/>
    <w:rsid w:val="00287C0F"/>
    <w:rsid w:val="00290588"/>
    <w:rsid w:val="002913C3"/>
    <w:rsid w:val="00296B3D"/>
    <w:rsid w:val="00296FAF"/>
    <w:rsid w:val="002A528C"/>
    <w:rsid w:val="002A69F3"/>
    <w:rsid w:val="002B05E1"/>
    <w:rsid w:val="002B0AB2"/>
    <w:rsid w:val="002B12FD"/>
    <w:rsid w:val="002B3099"/>
    <w:rsid w:val="002B48BD"/>
    <w:rsid w:val="002B60B1"/>
    <w:rsid w:val="002B688D"/>
    <w:rsid w:val="002B72B5"/>
    <w:rsid w:val="002C0DFB"/>
    <w:rsid w:val="002C22BC"/>
    <w:rsid w:val="002C23DC"/>
    <w:rsid w:val="002C242D"/>
    <w:rsid w:val="002C2B2E"/>
    <w:rsid w:val="002C5F62"/>
    <w:rsid w:val="002C680F"/>
    <w:rsid w:val="002C76D3"/>
    <w:rsid w:val="002D087C"/>
    <w:rsid w:val="002D0B35"/>
    <w:rsid w:val="002D1671"/>
    <w:rsid w:val="002D1A1F"/>
    <w:rsid w:val="002D2C70"/>
    <w:rsid w:val="002D31F6"/>
    <w:rsid w:val="002D428D"/>
    <w:rsid w:val="002D4E41"/>
    <w:rsid w:val="002E00C7"/>
    <w:rsid w:val="002E10C6"/>
    <w:rsid w:val="002E1A31"/>
    <w:rsid w:val="002E1CCD"/>
    <w:rsid w:val="002E208C"/>
    <w:rsid w:val="002E27AB"/>
    <w:rsid w:val="002E2D20"/>
    <w:rsid w:val="002E3863"/>
    <w:rsid w:val="002E3C64"/>
    <w:rsid w:val="002E75B0"/>
    <w:rsid w:val="002F0D45"/>
    <w:rsid w:val="002F0FF9"/>
    <w:rsid w:val="002F2549"/>
    <w:rsid w:val="002F3E81"/>
    <w:rsid w:val="002F3FC7"/>
    <w:rsid w:val="002F48D3"/>
    <w:rsid w:val="003022F9"/>
    <w:rsid w:val="003037C4"/>
    <w:rsid w:val="00304F03"/>
    <w:rsid w:val="00310886"/>
    <w:rsid w:val="00312384"/>
    <w:rsid w:val="00312877"/>
    <w:rsid w:val="00314D9E"/>
    <w:rsid w:val="003209B4"/>
    <w:rsid w:val="00321020"/>
    <w:rsid w:val="0032231A"/>
    <w:rsid w:val="003227BA"/>
    <w:rsid w:val="0032324F"/>
    <w:rsid w:val="00324897"/>
    <w:rsid w:val="003250ED"/>
    <w:rsid w:val="00327D4C"/>
    <w:rsid w:val="00333EE0"/>
    <w:rsid w:val="003349AD"/>
    <w:rsid w:val="00335DC9"/>
    <w:rsid w:val="00340C70"/>
    <w:rsid w:val="00340C74"/>
    <w:rsid w:val="00341A84"/>
    <w:rsid w:val="00341FE3"/>
    <w:rsid w:val="0034445D"/>
    <w:rsid w:val="00345A49"/>
    <w:rsid w:val="00346B60"/>
    <w:rsid w:val="00352F05"/>
    <w:rsid w:val="003558E0"/>
    <w:rsid w:val="003571D6"/>
    <w:rsid w:val="00360D28"/>
    <w:rsid w:val="003642FC"/>
    <w:rsid w:val="00364313"/>
    <w:rsid w:val="003661CB"/>
    <w:rsid w:val="00372CDD"/>
    <w:rsid w:val="00373CD5"/>
    <w:rsid w:val="00373F9B"/>
    <w:rsid w:val="00374315"/>
    <w:rsid w:val="0037491B"/>
    <w:rsid w:val="00376247"/>
    <w:rsid w:val="0037749C"/>
    <w:rsid w:val="00377DFD"/>
    <w:rsid w:val="003805B2"/>
    <w:rsid w:val="00380F6A"/>
    <w:rsid w:val="00381AB8"/>
    <w:rsid w:val="00381E1C"/>
    <w:rsid w:val="0038388A"/>
    <w:rsid w:val="00383FC4"/>
    <w:rsid w:val="00384894"/>
    <w:rsid w:val="00384F2C"/>
    <w:rsid w:val="003869B6"/>
    <w:rsid w:val="00386FAA"/>
    <w:rsid w:val="003900A2"/>
    <w:rsid w:val="00395D35"/>
    <w:rsid w:val="00397D91"/>
    <w:rsid w:val="003A0F33"/>
    <w:rsid w:val="003A0F8F"/>
    <w:rsid w:val="003A28B6"/>
    <w:rsid w:val="003A2B22"/>
    <w:rsid w:val="003A2F00"/>
    <w:rsid w:val="003A37CB"/>
    <w:rsid w:val="003A4357"/>
    <w:rsid w:val="003A476A"/>
    <w:rsid w:val="003A7FA7"/>
    <w:rsid w:val="003B174F"/>
    <w:rsid w:val="003B3EB2"/>
    <w:rsid w:val="003B4F02"/>
    <w:rsid w:val="003B6FCC"/>
    <w:rsid w:val="003C0428"/>
    <w:rsid w:val="003C3987"/>
    <w:rsid w:val="003C63F4"/>
    <w:rsid w:val="003C6DC5"/>
    <w:rsid w:val="003C7A69"/>
    <w:rsid w:val="003D16F4"/>
    <w:rsid w:val="003D199F"/>
    <w:rsid w:val="003D23DF"/>
    <w:rsid w:val="003D3455"/>
    <w:rsid w:val="003D45CD"/>
    <w:rsid w:val="003D5644"/>
    <w:rsid w:val="003D63BE"/>
    <w:rsid w:val="003D6F17"/>
    <w:rsid w:val="003E0DB8"/>
    <w:rsid w:val="003E3F47"/>
    <w:rsid w:val="003E51A5"/>
    <w:rsid w:val="003F3AB9"/>
    <w:rsid w:val="003F5178"/>
    <w:rsid w:val="003F5248"/>
    <w:rsid w:val="003F5FB9"/>
    <w:rsid w:val="003F65C6"/>
    <w:rsid w:val="003F732D"/>
    <w:rsid w:val="00400AA2"/>
    <w:rsid w:val="004036DD"/>
    <w:rsid w:val="00404413"/>
    <w:rsid w:val="00404BE4"/>
    <w:rsid w:val="00407100"/>
    <w:rsid w:val="00410B1D"/>
    <w:rsid w:val="00411E18"/>
    <w:rsid w:val="00412CA1"/>
    <w:rsid w:val="00415DA8"/>
    <w:rsid w:val="0041793D"/>
    <w:rsid w:val="0042116B"/>
    <w:rsid w:val="0042441E"/>
    <w:rsid w:val="00424E05"/>
    <w:rsid w:val="00424F56"/>
    <w:rsid w:val="00425269"/>
    <w:rsid w:val="004261C4"/>
    <w:rsid w:val="0043226B"/>
    <w:rsid w:val="00432FAC"/>
    <w:rsid w:val="00434835"/>
    <w:rsid w:val="00435101"/>
    <w:rsid w:val="00435E83"/>
    <w:rsid w:val="004360DC"/>
    <w:rsid w:val="004430DC"/>
    <w:rsid w:val="00443275"/>
    <w:rsid w:val="004434F2"/>
    <w:rsid w:val="004437AC"/>
    <w:rsid w:val="00444EDC"/>
    <w:rsid w:val="00445EA0"/>
    <w:rsid w:val="00446733"/>
    <w:rsid w:val="004476C0"/>
    <w:rsid w:val="00447D1B"/>
    <w:rsid w:val="0045178B"/>
    <w:rsid w:val="004529F6"/>
    <w:rsid w:val="00452E78"/>
    <w:rsid w:val="0045313C"/>
    <w:rsid w:val="00454444"/>
    <w:rsid w:val="00454DF9"/>
    <w:rsid w:val="004607AB"/>
    <w:rsid w:val="00462BA3"/>
    <w:rsid w:val="00464EA5"/>
    <w:rsid w:val="0047079F"/>
    <w:rsid w:val="004719C5"/>
    <w:rsid w:val="00472D0B"/>
    <w:rsid w:val="00474D83"/>
    <w:rsid w:val="00476667"/>
    <w:rsid w:val="00482381"/>
    <w:rsid w:val="0048436B"/>
    <w:rsid w:val="0048559A"/>
    <w:rsid w:val="0048693E"/>
    <w:rsid w:val="00486947"/>
    <w:rsid w:val="00487182"/>
    <w:rsid w:val="00490CA5"/>
    <w:rsid w:val="00491965"/>
    <w:rsid w:val="0049463A"/>
    <w:rsid w:val="00494FF7"/>
    <w:rsid w:val="004A1646"/>
    <w:rsid w:val="004A29E6"/>
    <w:rsid w:val="004A6F6B"/>
    <w:rsid w:val="004B1014"/>
    <w:rsid w:val="004B2408"/>
    <w:rsid w:val="004B3172"/>
    <w:rsid w:val="004B33B5"/>
    <w:rsid w:val="004B34C2"/>
    <w:rsid w:val="004B3697"/>
    <w:rsid w:val="004B791E"/>
    <w:rsid w:val="004C0F31"/>
    <w:rsid w:val="004C290D"/>
    <w:rsid w:val="004C35E9"/>
    <w:rsid w:val="004C3D45"/>
    <w:rsid w:val="004C41E9"/>
    <w:rsid w:val="004D56E8"/>
    <w:rsid w:val="004D6E59"/>
    <w:rsid w:val="004D7354"/>
    <w:rsid w:val="004D76D1"/>
    <w:rsid w:val="004E05B1"/>
    <w:rsid w:val="004E20FB"/>
    <w:rsid w:val="004E2712"/>
    <w:rsid w:val="004E294B"/>
    <w:rsid w:val="004E66DD"/>
    <w:rsid w:val="004E68C3"/>
    <w:rsid w:val="004E7104"/>
    <w:rsid w:val="004E77B3"/>
    <w:rsid w:val="004E78C1"/>
    <w:rsid w:val="004F1604"/>
    <w:rsid w:val="004F2E71"/>
    <w:rsid w:val="004F328F"/>
    <w:rsid w:val="004F414D"/>
    <w:rsid w:val="004F4E9E"/>
    <w:rsid w:val="00500F48"/>
    <w:rsid w:val="00501590"/>
    <w:rsid w:val="00502384"/>
    <w:rsid w:val="00502B2B"/>
    <w:rsid w:val="00505A1D"/>
    <w:rsid w:val="00511809"/>
    <w:rsid w:val="00512165"/>
    <w:rsid w:val="00512180"/>
    <w:rsid w:val="005129ED"/>
    <w:rsid w:val="00512D5B"/>
    <w:rsid w:val="00515E45"/>
    <w:rsid w:val="0051621B"/>
    <w:rsid w:val="005224FC"/>
    <w:rsid w:val="005234EF"/>
    <w:rsid w:val="0052493D"/>
    <w:rsid w:val="00526E69"/>
    <w:rsid w:val="0052781A"/>
    <w:rsid w:val="005300C0"/>
    <w:rsid w:val="005308A4"/>
    <w:rsid w:val="00530F91"/>
    <w:rsid w:val="005353FF"/>
    <w:rsid w:val="00536D7C"/>
    <w:rsid w:val="005374DE"/>
    <w:rsid w:val="00541000"/>
    <w:rsid w:val="00545CA2"/>
    <w:rsid w:val="005506CE"/>
    <w:rsid w:val="00551C32"/>
    <w:rsid w:val="0055265E"/>
    <w:rsid w:val="00553228"/>
    <w:rsid w:val="00557378"/>
    <w:rsid w:val="00557D00"/>
    <w:rsid w:val="00560A27"/>
    <w:rsid w:val="005668FB"/>
    <w:rsid w:val="00566BE8"/>
    <w:rsid w:val="00566FFB"/>
    <w:rsid w:val="00573843"/>
    <w:rsid w:val="00573B4B"/>
    <w:rsid w:val="00573B70"/>
    <w:rsid w:val="00573DE9"/>
    <w:rsid w:val="0057440C"/>
    <w:rsid w:val="005754DF"/>
    <w:rsid w:val="00575B37"/>
    <w:rsid w:val="0057682E"/>
    <w:rsid w:val="005805AE"/>
    <w:rsid w:val="00580B84"/>
    <w:rsid w:val="00581109"/>
    <w:rsid w:val="0058304E"/>
    <w:rsid w:val="005832DA"/>
    <w:rsid w:val="005841C0"/>
    <w:rsid w:val="005920FC"/>
    <w:rsid w:val="00593020"/>
    <w:rsid w:val="00596BC0"/>
    <w:rsid w:val="005A036F"/>
    <w:rsid w:val="005A0948"/>
    <w:rsid w:val="005A0B4F"/>
    <w:rsid w:val="005A0D5D"/>
    <w:rsid w:val="005A1BF9"/>
    <w:rsid w:val="005A2F49"/>
    <w:rsid w:val="005A4636"/>
    <w:rsid w:val="005A467F"/>
    <w:rsid w:val="005A4F01"/>
    <w:rsid w:val="005A5343"/>
    <w:rsid w:val="005B023E"/>
    <w:rsid w:val="005B0E6D"/>
    <w:rsid w:val="005B1F1E"/>
    <w:rsid w:val="005B3504"/>
    <w:rsid w:val="005B4127"/>
    <w:rsid w:val="005B7A8C"/>
    <w:rsid w:val="005C0001"/>
    <w:rsid w:val="005C2490"/>
    <w:rsid w:val="005C29B3"/>
    <w:rsid w:val="005C333A"/>
    <w:rsid w:val="005C3DA3"/>
    <w:rsid w:val="005C434B"/>
    <w:rsid w:val="005C43BF"/>
    <w:rsid w:val="005C4B80"/>
    <w:rsid w:val="005C62B5"/>
    <w:rsid w:val="005C7288"/>
    <w:rsid w:val="005D0907"/>
    <w:rsid w:val="005D0B00"/>
    <w:rsid w:val="005D1658"/>
    <w:rsid w:val="005D2038"/>
    <w:rsid w:val="005D7A1C"/>
    <w:rsid w:val="005E1E72"/>
    <w:rsid w:val="005E23B2"/>
    <w:rsid w:val="005E2D79"/>
    <w:rsid w:val="005E4E37"/>
    <w:rsid w:val="005E61AE"/>
    <w:rsid w:val="005F1F3C"/>
    <w:rsid w:val="005F6136"/>
    <w:rsid w:val="005F633A"/>
    <w:rsid w:val="0060139E"/>
    <w:rsid w:val="00602725"/>
    <w:rsid w:val="00604088"/>
    <w:rsid w:val="0060425F"/>
    <w:rsid w:val="006047E6"/>
    <w:rsid w:val="00604F23"/>
    <w:rsid w:val="00607DF6"/>
    <w:rsid w:val="00611758"/>
    <w:rsid w:val="006128C6"/>
    <w:rsid w:val="00615A8D"/>
    <w:rsid w:val="006160DE"/>
    <w:rsid w:val="00617C6B"/>
    <w:rsid w:val="006213B4"/>
    <w:rsid w:val="00622024"/>
    <w:rsid w:val="00625090"/>
    <w:rsid w:val="0062580B"/>
    <w:rsid w:val="00625984"/>
    <w:rsid w:val="00631BFE"/>
    <w:rsid w:val="00633CCB"/>
    <w:rsid w:val="00634EC5"/>
    <w:rsid w:val="00635553"/>
    <w:rsid w:val="00637FD2"/>
    <w:rsid w:val="00643A74"/>
    <w:rsid w:val="0065045D"/>
    <w:rsid w:val="0065127C"/>
    <w:rsid w:val="006513D5"/>
    <w:rsid w:val="00653712"/>
    <w:rsid w:val="00654F5C"/>
    <w:rsid w:val="00656384"/>
    <w:rsid w:val="0066144F"/>
    <w:rsid w:val="00663245"/>
    <w:rsid w:val="00663AF0"/>
    <w:rsid w:val="00664310"/>
    <w:rsid w:val="006658E3"/>
    <w:rsid w:val="006710A6"/>
    <w:rsid w:val="006713EB"/>
    <w:rsid w:val="00672D93"/>
    <w:rsid w:val="006735B9"/>
    <w:rsid w:val="00674514"/>
    <w:rsid w:val="00676D22"/>
    <w:rsid w:val="00680204"/>
    <w:rsid w:val="006804A7"/>
    <w:rsid w:val="006821C9"/>
    <w:rsid w:val="00682402"/>
    <w:rsid w:val="00685292"/>
    <w:rsid w:val="00686F3E"/>
    <w:rsid w:val="006901D3"/>
    <w:rsid w:val="00692A22"/>
    <w:rsid w:val="006936E9"/>
    <w:rsid w:val="006952FA"/>
    <w:rsid w:val="006957B7"/>
    <w:rsid w:val="00695C67"/>
    <w:rsid w:val="0069600B"/>
    <w:rsid w:val="0069620D"/>
    <w:rsid w:val="00697BD9"/>
    <w:rsid w:val="006A013A"/>
    <w:rsid w:val="006A0A9F"/>
    <w:rsid w:val="006A16E3"/>
    <w:rsid w:val="006A3777"/>
    <w:rsid w:val="006A45E6"/>
    <w:rsid w:val="006A4694"/>
    <w:rsid w:val="006A7A08"/>
    <w:rsid w:val="006B0FF3"/>
    <w:rsid w:val="006B6E58"/>
    <w:rsid w:val="006B7E81"/>
    <w:rsid w:val="006C3531"/>
    <w:rsid w:val="006C3B97"/>
    <w:rsid w:val="006D0A17"/>
    <w:rsid w:val="006D1125"/>
    <w:rsid w:val="006D13D0"/>
    <w:rsid w:val="006D234A"/>
    <w:rsid w:val="006D6167"/>
    <w:rsid w:val="006D7604"/>
    <w:rsid w:val="006D7B92"/>
    <w:rsid w:val="006E0CD7"/>
    <w:rsid w:val="006E5BFA"/>
    <w:rsid w:val="006E5EE8"/>
    <w:rsid w:val="006E7204"/>
    <w:rsid w:val="006E796A"/>
    <w:rsid w:val="006F0407"/>
    <w:rsid w:val="006F41DA"/>
    <w:rsid w:val="006F71C9"/>
    <w:rsid w:val="00702294"/>
    <w:rsid w:val="00702535"/>
    <w:rsid w:val="0070254E"/>
    <w:rsid w:val="00703181"/>
    <w:rsid w:val="007043CB"/>
    <w:rsid w:val="0070465C"/>
    <w:rsid w:val="00704A36"/>
    <w:rsid w:val="007065EE"/>
    <w:rsid w:val="00706782"/>
    <w:rsid w:val="0070681B"/>
    <w:rsid w:val="00711E6D"/>
    <w:rsid w:val="00712131"/>
    <w:rsid w:val="00714688"/>
    <w:rsid w:val="007154AE"/>
    <w:rsid w:val="00716B6D"/>
    <w:rsid w:val="0071707B"/>
    <w:rsid w:val="0071761A"/>
    <w:rsid w:val="00722857"/>
    <w:rsid w:val="00722E39"/>
    <w:rsid w:val="00723CEA"/>
    <w:rsid w:val="007242AA"/>
    <w:rsid w:val="00724F8A"/>
    <w:rsid w:val="0072515C"/>
    <w:rsid w:val="00727D95"/>
    <w:rsid w:val="00730A70"/>
    <w:rsid w:val="00733352"/>
    <w:rsid w:val="007338B0"/>
    <w:rsid w:val="00734431"/>
    <w:rsid w:val="0073675F"/>
    <w:rsid w:val="007379EE"/>
    <w:rsid w:val="00740297"/>
    <w:rsid w:val="00740688"/>
    <w:rsid w:val="00741C04"/>
    <w:rsid w:val="00741C13"/>
    <w:rsid w:val="00741DDA"/>
    <w:rsid w:val="00742DD2"/>
    <w:rsid w:val="00745041"/>
    <w:rsid w:val="00746DB0"/>
    <w:rsid w:val="00747253"/>
    <w:rsid w:val="007507AB"/>
    <w:rsid w:val="00750AC6"/>
    <w:rsid w:val="00750D85"/>
    <w:rsid w:val="00755001"/>
    <w:rsid w:val="0075613E"/>
    <w:rsid w:val="00756EBD"/>
    <w:rsid w:val="00760213"/>
    <w:rsid w:val="007608C0"/>
    <w:rsid w:val="00760F4D"/>
    <w:rsid w:val="00761CFE"/>
    <w:rsid w:val="00763CFC"/>
    <w:rsid w:val="00765C75"/>
    <w:rsid w:val="007720F7"/>
    <w:rsid w:val="00774A66"/>
    <w:rsid w:val="007754FB"/>
    <w:rsid w:val="007757BB"/>
    <w:rsid w:val="00777246"/>
    <w:rsid w:val="007800EF"/>
    <w:rsid w:val="0078399D"/>
    <w:rsid w:val="007841B8"/>
    <w:rsid w:val="00784421"/>
    <w:rsid w:val="00785219"/>
    <w:rsid w:val="007905BF"/>
    <w:rsid w:val="00790753"/>
    <w:rsid w:val="0079140C"/>
    <w:rsid w:val="007931CF"/>
    <w:rsid w:val="007963FF"/>
    <w:rsid w:val="00796717"/>
    <w:rsid w:val="00796E79"/>
    <w:rsid w:val="00796F7E"/>
    <w:rsid w:val="00797925"/>
    <w:rsid w:val="00797B02"/>
    <w:rsid w:val="007A0290"/>
    <w:rsid w:val="007A6DB9"/>
    <w:rsid w:val="007B0CB7"/>
    <w:rsid w:val="007B1108"/>
    <w:rsid w:val="007B1B3D"/>
    <w:rsid w:val="007B2A0D"/>
    <w:rsid w:val="007B445F"/>
    <w:rsid w:val="007B4BFA"/>
    <w:rsid w:val="007B64D1"/>
    <w:rsid w:val="007B7A02"/>
    <w:rsid w:val="007C0399"/>
    <w:rsid w:val="007C25F2"/>
    <w:rsid w:val="007C2877"/>
    <w:rsid w:val="007C53C2"/>
    <w:rsid w:val="007C5CDB"/>
    <w:rsid w:val="007C75E7"/>
    <w:rsid w:val="007D06C7"/>
    <w:rsid w:val="007D245F"/>
    <w:rsid w:val="007D4BF3"/>
    <w:rsid w:val="007D53CD"/>
    <w:rsid w:val="007D5EB9"/>
    <w:rsid w:val="007E03E3"/>
    <w:rsid w:val="007E04D8"/>
    <w:rsid w:val="007E0658"/>
    <w:rsid w:val="007E4B76"/>
    <w:rsid w:val="007E6371"/>
    <w:rsid w:val="007E657B"/>
    <w:rsid w:val="007E73A9"/>
    <w:rsid w:val="007E7DBD"/>
    <w:rsid w:val="007F0DEB"/>
    <w:rsid w:val="007F250E"/>
    <w:rsid w:val="007F3372"/>
    <w:rsid w:val="007F3390"/>
    <w:rsid w:val="007F384D"/>
    <w:rsid w:val="007F59CE"/>
    <w:rsid w:val="007F72D2"/>
    <w:rsid w:val="00802629"/>
    <w:rsid w:val="00802AAC"/>
    <w:rsid w:val="008036FC"/>
    <w:rsid w:val="00804A6D"/>
    <w:rsid w:val="008059A8"/>
    <w:rsid w:val="008064CD"/>
    <w:rsid w:val="008075D9"/>
    <w:rsid w:val="0080778B"/>
    <w:rsid w:val="00807DBC"/>
    <w:rsid w:val="00811564"/>
    <w:rsid w:val="008132DA"/>
    <w:rsid w:val="0081361A"/>
    <w:rsid w:val="008136CF"/>
    <w:rsid w:val="008167B2"/>
    <w:rsid w:val="00824590"/>
    <w:rsid w:val="00825979"/>
    <w:rsid w:val="00830B2D"/>
    <w:rsid w:val="00832E2B"/>
    <w:rsid w:val="00833DFD"/>
    <w:rsid w:val="00836D99"/>
    <w:rsid w:val="00837714"/>
    <w:rsid w:val="00837E3B"/>
    <w:rsid w:val="00837E77"/>
    <w:rsid w:val="00837E7D"/>
    <w:rsid w:val="0084207A"/>
    <w:rsid w:val="00844DF0"/>
    <w:rsid w:val="00846ACC"/>
    <w:rsid w:val="00846B39"/>
    <w:rsid w:val="00852609"/>
    <w:rsid w:val="00853209"/>
    <w:rsid w:val="00853A7B"/>
    <w:rsid w:val="00853F6C"/>
    <w:rsid w:val="00860E3D"/>
    <w:rsid w:val="0086323B"/>
    <w:rsid w:val="008638F1"/>
    <w:rsid w:val="00864357"/>
    <w:rsid w:val="00864939"/>
    <w:rsid w:val="0086510F"/>
    <w:rsid w:val="00865444"/>
    <w:rsid w:val="008660A6"/>
    <w:rsid w:val="00866DB1"/>
    <w:rsid w:val="008670F1"/>
    <w:rsid w:val="00871A92"/>
    <w:rsid w:val="00873932"/>
    <w:rsid w:val="00877960"/>
    <w:rsid w:val="008779B5"/>
    <w:rsid w:val="0088113E"/>
    <w:rsid w:val="00882246"/>
    <w:rsid w:val="008864C3"/>
    <w:rsid w:val="00886875"/>
    <w:rsid w:val="00890B01"/>
    <w:rsid w:val="0089148F"/>
    <w:rsid w:val="00891617"/>
    <w:rsid w:val="008916B7"/>
    <w:rsid w:val="0089431F"/>
    <w:rsid w:val="00896013"/>
    <w:rsid w:val="008966BA"/>
    <w:rsid w:val="008A0144"/>
    <w:rsid w:val="008A089F"/>
    <w:rsid w:val="008A209D"/>
    <w:rsid w:val="008A2577"/>
    <w:rsid w:val="008A3B72"/>
    <w:rsid w:val="008A51B7"/>
    <w:rsid w:val="008A7ACF"/>
    <w:rsid w:val="008A7CBC"/>
    <w:rsid w:val="008B4C24"/>
    <w:rsid w:val="008B61BB"/>
    <w:rsid w:val="008B6A9F"/>
    <w:rsid w:val="008B776E"/>
    <w:rsid w:val="008C0CB2"/>
    <w:rsid w:val="008C140F"/>
    <w:rsid w:val="008C1706"/>
    <w:rsid w:val="008C2895"/>
    <w:rsid w:val="008C31E5"/>
    <w:rsid w:val="008C3705"/>
    <w:rsid w:val="008C3A3B"/>
    <w:rsid w:val="008C6BAF"/>
    <w:rsid w:val="008D1508"/>
    <w:rsid w:val="008D5E3C"/>
    <w:rsid w:val="008D64D3"/>
    <w:rsid w:val="008D6517"/>
    <w:rsid w:val="008D6866"/>
    <w:rsid w:val="008D73D9"/>
    <w:rsid w:val="008D7918"/>
    <w:rsid w:val="008E1AEB"/>
    <w:rsid w:val="008E5064"/>
    <w:rsid w:val="008E62E7"/>
    <w:rsid w:val="008E66AD"/>
    <w:rsid w:val="008E7370"/>
    <w:rsid w:val="008F1075"/>
    <w:rsid w:val="008F3107"/>
    <w:rsid w:val="008F5BE4"/>
    <w:rsid w:val="008F60C0"/>
    <w:rsid w:val="00902481"/>
    <w:rsid w:val="0090256D"/>
    <w:rsid w:val="00907590"/>
    <w:rsid w:val="00911F92"/>
    <w:rsid w:val="009122B1"/>
    <w:rsid w:val="00912320"/>
    <w:rsid w:val="0091744E"/>
    <w:rsid w:val="00920DA6"/>
    <w:rsid w:val="00922EBD"/>
    <w:rsid w:val="00923A03"/>
    <w:rsid w:val="00926976"/>
    <w:rsid w:val="00930201"/>
    <w:rsid w:val="00930EE9"/>
    <w:rsid w:val="00931BEC"/>
    <w:rsid w:val="00932121"/>
    <w:rsid w:val="00935CA9"/>
    <w:rsid w:val="00935F13"/>
    <w:rsid w:val="00936309"/>
    <w:rsid w:val="00936B47"/>
    <w:rsid w:val="0093724F"/>
    <w:rsid w:val="009372F1"/>
    <w:rsid w:val="00945A94"/>
    <w:rsid w:val="00946244"/>
    <w:rsid w:val="009467AE"/>
    <w:rsid w:val="00946C5B"/>
    <w:rsid w:val="00946D26"/>
    <w:rsid w:val="0094777F"/>
    <w:rsid w:val="009515AF"/>
    <w:rsid w:val="00952CF2"/>
    <w:rsid w:val="0095300B"/>
    <w:rsid w:val="009540EC"/>
    <w:rsid w:val="00954686"/>
    <w:rsid w:val="00954925"/>
    <w:rsid w:val="00955177"/>
    <w:rsid w:val="0095557D"/>
    <w:rsid w:val="00955A05"/>
    <w:rsid w:val="00955CAE"/>
    <w:rsid w:val="00960507"/>
    <w:rsid w:val="00960678"/>
    <w:rsid w:val="00962CB4"/>
    <w:rsid w:val="00964EC6"/>
    <w:rsid w:val="0096530D"/>
    <w:rsid w:val="00965888"/>
    <w:rsid w:val="00966F2C"/>
    <w:rsid w:val="00967F11"/>
    <w:rsid w:val="00970D0E"/>
    <w:rsid w:val="009745FD"/>
    <w:rsid w:val="00974799"/>
    <w:rsid w:val="00974B78"/>
    <w:rsid w:val="00975259"/>
    <w:rsid w:val="00975815"/>
    <w:rsid w:val="00975A15"/>
    <w:rsid w:val="00977785"/>
    <w:rsid w:val="0098144C"/>
    <w:rsid w:val="00981757"/>
    <w:rsid w:val="0098382B"/>
    <w:rsid w:val="00983863"/>
    <w:rsid w:val="009838B7"/>
    <w:rsid w:val="00985630"/>
    <w:rsid w:val="00985A81"/>
    <w:rsid w:val="00985CA5"/>
    <w:rsid w:val="00987F67"/>
    <w:rsid w:val="009913D7"/>
    <w:rsid w:val="00991909"/>
    <w:rsid w:val="00995884"/>
    <w:rsid w:val="00996139"/>
    <w:rsid w:val="00996A1A"/>
    <w:rsid w:val="0099761D"/>
    <w:rsid w:val="009A09B0"/>
    <w:rsid w:val="009A0F74"/>
    <w:rsid w:val="009A12AE"/>
    <w:rsid w:val="009A64EA"/>
    <w:rsid w:val="009B014D"/>
    <w:rsid w:val="009B0FC6"/>
    <w:rsid w:val="009B15CC"/>
    <w:rsid w:val="009B31BA"/>
    <w:rsid w:val="009B3AF7"/>
    <w:rsid w:val="009B43DD"/>
    <w:rsid w:val="009B648D"/>
    <w:rsid w:val="009C15AE"/>
    <w:rsid w:val="009C390C"/>
    <w:rsid w:val="009C41EE"/>
    <w:rsid w:val="009C54A3"/>
    <w:rsid w:val="009C7461"/>
    <w:rsid w:val="009D1CB6"/>
    <w:rsid w:val="009D21CA"/>
    <w:rsid w:val="009D26ED"/>
    <w:rsid w:val="009D5175"/>
    <w:rsid w:val="009D5AAD"/>
    <w:rsid w:val="009D6333"/>
    <w:rsid w:val="009D6542"/>
    <w:rsid w:val="009D6570"/>
    <w:rsid w:val="009E0AB9"/>
    <w:rsid w:val="009E0E67"/>
    <w:rsid w:val="009E1A6B"/>
    <w:rsid w:val="009E3405"/>
    <w:rsid w:val="009E3FE2"/>
    <w:rsid w:val="009E50B0"/>
    <w:rsid w:val="009F0D3C"/>
    <w:rsid w:val="009F1B82"/>
    <w:rsid w:val="009F327A"/>
    <w:rsid w:val="009F34EC"/>
    <w:rsid w:val="009F4C56"/>
    <w:rsid w:val="009F57CC"/>
    <w:rsid w:val="00A01331"/>
    <w:rsid w:val="00A0169E"/>
    <w:rsid w:val="00A01F75"/>
    <w:rsid w:val="00A07783"/>
    <w:rsid w:val="00A109DE"/>
    <w:rsid w:val="00A11252"/>
    <w:rsid w:val="00A11FD0"/>
    <w:rsid w:val="00A13B44"/>
    <w:rsid w:val="00A143BD"/>
    <w:rsid w:val="00A149A8"/>
    <w:rsid w:val="00A15049"/>
    <w:rsid w:val="00A16861"/>
    <w:rsid w:val="00A17F35"/>
    <w:rsid w:val="00A20614"/>
    <w:rsid w:val="00A20782"/>
    <w:rsid w:val="00A23440"/>
    <w:rsid w:val="00A2348F"/>
    <w:rsid w:val="00A238F4"/>
    <w:rsid w:val="00A25CE6"/>
    <w:rsid w:val="00A317D1"/>
    <w:rsid w:val="00A342AD"/>
    <w:rsid w:val="00A36C4F"/>
    <w:rsid w:val="00A37BE8"/>
    <w:rsid w:val="00A41080"/>
    <w:rsid w:val="00A41F53"/>
    <w:rsid w:val="00A42336"/>
    <w:rsid w:val="00A42C50"/>
    <w:rsid w:val="00A42F8F"/>
    <w:rsid w:val="00A433EB"/>
    <w:rsid w:val="00A446EB"/>
    <w:rsid w:val="00A461C2"/>
    <w:rsid w:val="00A471A0"/>
    <w:rsid w:val="00A50E2B"/>
    <w:rsid w:val="00A50F8C"/>
    <w:rsid w:val="00A5170B"/>
    <w:rsid w:val="00A52BB3"/>
    <w:rsid w:val="00A53DBD"/>
    <w:rsid w:val="00A5496A"/>
    <w:rsid w:val="00A54A50"/>
    <w:rsid w:val="00A54E2B"/>
    <w:rsid w:val="00A55752"/>
    <w:rsid w:val="00A57454"/>
    <w:rsid w:val="00A57DF8"/>
    <w:rsid w:val="00A60877"/>
    <w:rsid w:val="00A615F8"/>
    <w:rsid w:val="00A62687"/>
    <w:rsid w:val="00A6299C"/>
    <w:rsid w:val="00A630C8"/>
    <w:rsid w:val="00A70196"/>
    <w:rsid w:val="00A7135D"/>
    <w:rsid w:val="00A71778"/>
    <w:rsid w:val="00A72874"/>
    <w:rsid w:val="00A72ED6"/>
    <w:rsid w:val="00A74A69"/>
    <w:rsid w:val="00A77BA1"/>
    <w:rsid w:val="00A77C41"/>
    <w:rsid w:val="00A83842"/>
    <w:rsid w:val="00A84E71"/>
    <w:rsid w:val="00A862F3"/>
    <w:rsid w:val="00A86418"/>
    <w:rsid w:val="00A86570"/>
    <w:rsid w:val="00A9177D"/>
    <w:rsid w:val="00A91DC6"/>
    <w:rsid w:val="00A932C5"/>
    <w:rsid w:val="00A93D61"/>
    <w:rsid w:val="00A94662"/>
    <w:rsid w:val="00A95603"/>
    <w:rsid w:val="00A96719"/>
    <w:rsid w:val="00AA03AE"/>
    <w:rsid w:val="00AA0B69"/>
    <w:rsid w:val="00AA2FBA"/>
    <w:rsid w:val="00AA32AF"/>
    <w:rsid w:val="00AA4C6B"/>
    <w:rsid w:val="00AA5B95"/>
    <w:rsid w:val="00AA6C45"/>
    <w:rsid w:val="00AB2974"/>
    <w:rsid w:val="00AB3D55"/>
    <w:rsid w:val="00AB67C8"/>
    <w:rsid w:val="00AB70CC"/>
    <w:rsid w:val="00AB7A65"/>
    <w:rsid w:val="00AC1B96"/>
    <w:rsid w:val="00AC1EBC"/>
    <w:rsid w:val="00AC5808"/>
    <w:rsid w:val="00AD1390"/>
    <w:rsid w:val="00AD1C6B"/>
    <w:rsid w:val="00AD3772"/>
    <w:rsid w:val="00AD6A88"/>
    <w:rsid w:val="00AD6E88"/>
    <w:rsid w:val="00AD7723"/>
    <w:rsid w:val="00AD7B46"/>
    <w:rsid w:val="00AE23BF"/>
    <w:rsid w:val="00AE2B4C"/>
    <w:rsid w:val="00AE320D"/>
    <w:rsid w:val="00AE5FE2"/>
    <w:rsid w:val="00AE6AF9"/>
    <w:rsid w:val="00AE73A0"/>
    <w:rsid w:val="00AE7477"/>
    <w:rsid w:val="00AE7DB6"/>
    <w:rsid w:val="00AF0C65"/>
    <w:rsid w:val="00AF269C"/>
    <w:rsid w:val="00AF3E81"/>
    <w:rsid w:val="00AF4416"/>
    <w:rsid w:val="00AF5A36"/>
    <w:rsid w:val="00AF706E"/>
    <w:rsid w:val="00AF753A"/>
    <w:rsid w:val="00B03F78"/>
    <w:rsid w:val="00B04BFB"/>
    <w:rsid w:val="00B07848"/>
    <w:rsid w:val="00B078FD"/>
    <w:rsid w:val="00B1009A"/>
    <w:rsid w:val="00B1290D"/>
    <w:rsid w:val="00B145D1"/>
    <w:rsid w:val="00B14E3C"/>
    <w:rsid w:val="00B15883"/>
    <w:rsid w:val="00B1721F"/>
    <w:rsid w:val="00B17908"/>
    <w:rsid w:val="00B179BC"/>
    <w:rsid w:val="00B20F78"/>
    <w:rsid w:val="00B210EA"/>
    <w:rsid w:val="00B21DFF"/>
    <w:rsid w:val="00B22753"/>
    <w:rsid w:val="00B2563A"/>
    <w:rsid w:val="00B2565F"/>
    <w:rsid w:val="00B26843"/>
    <w:rsid w:val="00B26BF5"/>
    <w:rsid w:val="00B26D30"/>
    <w:rsid w:val="00B277B4"/>
    <w:rsid w:val="00B313DA"/>
    <w:rsid w:val="00B3199D"/>
    <w:rsid w:val="00B32334"/>
    <w:rsid w:val="00B32C2E"/>
    <w:rsid w:val="00B33669"/>
    <w:rsid w:val="00B34174"/>
    <w:rsid w:val="00B35355"/>
    <w:rsid w:val="00B36743"/>
    <w:rsid w:val="00B36D77"/>
    <w:rsid w:val="00B414C0"/>
    <w:rsid w:val="00B421E1"/>
    <w:rsid w:val="00B43BB0"/>
    <w:rsid w:val="00B4461C"/>
    <w:rsid w:val="00B466F9"/>
    <w:rsid w:val="00B5006C"/>
    <w:rsid w:val="00B50D33"/>
    <w:rsid w:val="00B52C6E"/>
    <w:rsid w:val="00B55AEB"/>
    <w:rsid w:val="00B5693C"/>
    <w:rsid w:val="00B5787A"/>
    <w:rsid w:val="00B617AA"/>
    <w:rsid w:val="00B6233A"/>
    <w:rsid w:val="00B62C10"/>
    <w:rsid w:val="00B634A0"/>
    <w:rsid w:val="00B638DA"/>
    <w:rsid w:val="00B6418F"/>
    <w:rsid w:val="00B70B98"/>
    <w:rsid w:val="00B74831"/>
    <w:rsid w:val="00B76C66"/>
    <w:rsid w:val="00B76F89"/>
    <w:rsid w:val="00B81CF1"/>
    <w:rsid w:val="00B828CA"/>
    <w:rsid w:val="00B83FC7"/>
    <w:rsid w:val="00B841E0"/>
    <w:rsid w:val="00B84E06"/>
    <w:rsid w:val="00B84E7A"/>
    <w:rsid w:val="00B85103"/>
    <w:rsid w:val="00B860B4"/>
    <w:rsid w:val="00B90A28"/>
    <w:rsid w:val="00B915A4"/>
    <w:rsid w:val="00B939F7"/>
    <w:rsid w:val="00B97DA4"/>
    <w:rsid w:val="00BA105F"/>
    <w:rsid w:val="00BA33AF"/>
    <w:rsid w:val="00BA416D"/>
    <w:rsid w:val="00BA440E"/>
    <w:rsid w:val="00BB2E2D"/>
    <w:rsid w:val="00BB3D89"/>
    <w:rsid w:val="00BB4D0E"/>
    <w:rsid w:val="00BB6909"/>
    <w:rsid w:val="00BC03FF"/>
    <w:rsid w:val="00BC403B"/>
    <w:rsid w:val="00BC44D7"/>
    <w:rsid w:val="00BC53D1"/>
    <w:rsid w:val="00BC5FBA"/>
    <w:rsid w:val="00BD351F"/>
    <w:rsid w:val="00BD66BB"/>
    <w:rsid w:val="00BD7212"/>
    <w:rsid w:val="00BD79F4"/>
    <w:rsid w:val="00BE57D9"/>
    <w:rsid w:val="00BE7213"/>
    <w:rsid w:val="00BE7E59"/>
    <w:rsid w:val="00BF0580"/>
    <w:rsid w:val="00BF14EF"/>
    <w:rsid w:val="00BF22B2"/>
    <w:rsid w:val="00BF2E8F"/>
    <w:rsid w:val="00BF2F65"/>
    <w:rsid w:val="00BF4F2B"/>
    <w:rsid w:val="00BF6103"/>
    <w:rsid w:val="00BF6803"/>
    <w:rsid w:val="00C011F0"/>
    <w:rsid w:val="00C01DAE"/>
    <w:rsid w:val="00C01E21"/>
    <w:rsid w:val="00C047A6"/>
    <w:rsid w:val="00C05FEB"/>
    <w:rsid w:val="00C060A4"/>
    <w:rsid w:val="00C0738E"/>
    <w:rsid w:val="00C1090A"/>
    <w:rsid w:val="00C117B5"/>
    <w:rsid w:val="00C121CA"/>
    <w:rsid w:val="00C13E29"/>
    <w:rsid w:val="00C14ACC"/>
    <w:rsid w:val="00C1606D"/>
    <w:rsid w:val="00C16BD4"/>
    <w:rsid w:val="00C173E5"/>
    <w:rsid w:val="00C17969"/>
    <w:rsid w:val="00C17D80"/>
    <w:rsid w:val="00C206D6"/>
    <w:rsid w:val="00C22197"/>
    <w:rsid w:val="00C25F00"/>
    <w:rsid w:val="00C26A81"/>
    <w:rsid w:val="00C26A99"/>
    <w:rsid w:val="00C32234"/>
    <w:rsid w:val="00C330D2"/>
    <w:rsid w:val="00C33500"/>
    <w:rsid w:val="00C34957"/>
    <w:rsid w:val="00C35E0C"/>
    <w:rsid w:val="00C374DB"/>
    <w:rsid w:val="00C40AC4"/>
    <w:rsid w:val="00C412F0"/>
    <w:rsid w:val="00C472A1"/>
    <w:rsid w:val="00C47A1A"/>
    <w:rsid w:val="00C5043C"/>
    <w:rsid w:val="00C50906"/>
    <w:rsid w:val="00C518F2"/>
    <w:rsid w:val="00C53A29"/>
    <w:rsid w:val="00C53B9D"/>
    <w:rsid w:val="00C54949"/>
    <w:rsid w:val="00C57243"/>
    <w:rsid w:val="00C574CE"/>
    <w:rsid w:val="00C57519"/>
    <w:rsid w:val="00C631B5"/>
    <w:rsid w:val="00C637CD"/>
    <w:rsid w:val="00C6442A"/>
    <w:rsid w:val="00C65133"/>
    <w:rsid w:val="00C668AA"/>
    <w:rsid w:val="00C71387"/>
    <w:rsid w:val="00C73479"/>
    <w:rsid w:val="00C735B3"/>
    <w:rsid w:val="00C73EEC"/>
    <w:rsid w:val="00C810A3"/>
    <w:rsid w:val="00C827CC"/>
    <w:rsid w:val="00C8726E"/>
    <w:rsid w:val="00C97970"/>
    <w:rsid w:val="00CA038C"/>
    <w:rsid w:val="00CA07C6"/>
    <w:rsid w:val="00CA2230"/>
    <w:rsid w:val="00CA293F"/>
    <w:rsid w:val="00CA4EF9"/>
    <w:rsid w:val="00CB189A"/>
    <w:rsid w:val="00CB2510"/>
    <w:rsid w:val="00CB4CD2"/>
    <w:rsid w:val="00CC06ED"/>
    <w:rsid w:val="00CC2902"/>
    <w:rsid w:val="00CC3272"/>
    <w:rsid w:val="00CC3496"/>
    <w:rsid w:val="00CC3744"/>
    <w:rsid w:val="00CC498E"/>
    <w:rsid w:val="00CC5219"/>
    <w:rsid w:val="00CC5C5D"/>
    <w:rsid w:val="00CC61DA"/>
    <w:rsid w:val="00CC7AAE"/>
    <w:rsid w:val="00CD0944"/>
    <w:rsid w:val="00CD1598"/>
    <w:rsid w:val="00CD265C"/>
    <w:rsid w:val="00CD38D1"/>
    <w:rsid w:val="00CD40E9"/>
    <w:rsid w:val="00CD424F"/>
    <w:rsid w:val="00CD538E"/>
    <w:rsid w:val="00CD6FB6"/>
    <w:rsid w:val="00CD78EA"/>
    <w:rsid w:val="00CE0716"/>
    <w:rsid w:val="00CE2105"/>
    <w:rsid w:val="00CE250B"/>
    <w:rsid w:val="00CE299F"/>
    <w:rsid w:val="00CE2A1E"/>
    <w:rsid w:val="00CE338A"/>
    <w:rsid w:val="00CE3FF8"/>
    <w:rsid w:val="00CE4675"/>
    <w:rsid w:val="00CE68F4"/>
    <w:rsid w:val="00CE79A2"/>
    <w:rsid w:val="00CF0FF1"/>
    <w:rsid w:val="00D028C4"/>
    <w:rsid w:val="00D04401"/>
    <w:rsid w:val="00D050B0"/>
    <w:rsid w:val="00D064C0"/>
    <w:rsid w:val="00D06AD5"/>
    <w:rsid w:val="00D10215"/>
    <w:rsid w:val="00D12589"/>
    <w:rsid w:val="00D127B3"/>
    <w:rsid w:val="00D14BF6"/>
    <w:rsid w:val="00D15E36"/>
    <w:rsid w:val="00D21726"/>
    <w:rsid w:val="00D23263"/>
    <w:rsid w:val="00D24346"/>
    <w:rsid w:val="00D248DD"/>
    <w:rsid w:val="00D26377"/>
    <w:rsid w:val="00D360F0"/>
    <w:rsid w:val="00D408D5"/>
    <w:rsid w:val="00D41459"/>
    <w:rsid w:val="00D4195D"/>
    <w:rsid w:val="00D41EA6"/>
    <w:rsid w:val="00D42238"/>
    <w:rsid w:val="00D4469D"/>
    <w:rsid w:val="00D4551A"/>
    <w:rsid w:val="00D47D1E"/>
    <w:rsid w:val="00D50E27"/>
    <w:rsid w:val="00D51FC4"/>
    <w:rsid w:val="00D52973"/>
    <w:rsid w:val="00D551EA"/>
    <w:rsid w:val="00D55855"/>
    <w:rsid w:val="00D55E05"/>
    <w:rsid w:val="00D57AC8"/>
    <w:rsid w:val="00D6195B"/>
    <w:rsid w:val="00D64527"/>
    <w:rsid w:val="00D64E41"/>
    <w:rsid w:val="00D66034"/>
    <w:rsid w:val="00D661D2"/>
    <w:rsid w:val="00D704A7"/>
    <w:rsid w:val="00D72E81"/>
    <w:rsid w:val="00D76B1F"/>
    <w:rsid w:val="00D7755A"/>
    <w:rsid w:val="00D80042"/>
    <w:rsid w:val="00D84303"/>
    <w:rsid w:val="00D851AE"/>
    <w:rsid w:val="00D85AD0"/>
    <w:rsid w:val="00D86AAB"/>
    <w:rsid w:val="00D87339"/>
    <w:rsid w:val="00D87B60"/>
    <w:rsid w:val="00D9098C"/>
    <w:rsid w:val="00D94E9D"/>
    <w:rsid w:val="00D977C5"/>
    <w:rsid w:val="00DA0F30"/>
    <w:rsid w:val="00DA3648"/>
    <w:rsid w:val="00DA6582"/>
    <w:rsid w:val="00DB0758"/>
    <w:rsid w:val="00DB35A5"/>
    <w:rsid w:val="00DB51F8"/>
    <w:rsid w:val="00DB55CD"/>
    <w:rsid w:val="00DB66CF"/>
    <w:rsid w:val="00DB68A9"/>
    <w:rsid w:val="00DB6D78"/>
    <w:rsid w:val="00DB72A9"/>
    <w:rsid w:val="00DC1810"/>
    <w:rsid w:val="00DC27BF"/>
    <w:rsid w:val="00DC4624"/>
    <w:rsid w:val="00DC674F"/>
    <w:rsid w:val="00DD0A61"/>
    <w:rsid w:val="00DD19C8"/>
    <w:rsid w:val="00DD1AAB"/>
    <w:rsid w:val="00DD1EE8"/>
    <w:rsid w:val="00DD28C2"/>
    <w:rsid w:val="00DD6166"/>
    <w:rsid w:val="00DD61D1"/>
    <w:rsid w:val="00DE042D"/>
    <w:rsid w:val="00DE07B6"/>
    <w:rsid w:val="00DE1F2A"/>
    <w:rsid w:val="00DE2A9B"/>
    <w:rsid w:val="00DE7D0E"/>
    <w:rsid w:val="00DE7EF6"/>
    <w:rsid w:val="00DF51FB"/>
    <w:rsid w:val="00DF778F"/>
    <w:rsid w:val="00DF7FAD"/>
    <w:rsid w:val="00E01EFF"/>
    <w:rsid w:val="00E03C3C"/>
    <w:rsid w:val="00E04ED3"/>
    <w:rsid w:val="00E0568E"/>
    <w:rsid w:val="00E057B2"/>
    <w:rsid w:val="00E05AF6"/>
    <w:rsid w:val="00E07CB6"/>
    <w:rsid w:val="00E11F9D"/>
    <w:rsid w:val="00E134B3"/>
    <w:rsid w:val="00E1470C"/>
    <w:rsid w:val="00E15A68"/>
    <w:rsid w:val="00E178BC"/>
    <w:rsid w:val="00E207C8"/>
    <w:rsid w:val="00E2280B"/>
    <w:rsid w:val="00E244B4"/>
    <w:rsid w:val="00E24DAB"/>
    <w:rsid w:val="00E25154"/>
    <w:rsid w:val="00E25B1F"/>
    <w:rsid w:val="00E274F2"/>
    <w:rsid w:val="00E301D2"/>
    <w:rsid w:val="00E3072A"/>
    <w:rsid w:val="00E330AE"/>
    <w:rsid w:val="00E34876"/>
    <w:rsid w:val="00E3655C"/>
    <w:rsid w:val="00E42113"/>
    <w:rsid w:val="00E4382D"/>
    <w:rsid w:val="00E44561"/>
    <w:rsid w:val="00E44E48"/>
    <w:rsid w:val="00E46AF3"/>
    <w:rsid w:val="00E46DC1"/>
    <w:rsid w:val="00E50438"/>
    <w:rsid w:val="00E50B2A"/>
    <w:rsid w:val="00E50C8F"/>
    <w:rsid w:val="00E50F4E"/>
    <w:rsid w:val="00E53140"/>
    <w:rsid w:val="00E548C8"/>
    <w:rsid w:val="00E54B37"/>
    <w:rsid w:val="00E552CB"/>
    <w:rsid w:val="00E557A5"/>
    <w:rsid w:val="00E55B89"/>
    <w:rsid w:val="00E572B3"/>
    <w:rsid w:val="00E60C0E"/>
    <w:rsid w:val="00E624C2"/>
    <w:rsid w:val="00E64939"/>
    <w:rsid w:val="00E6555E"/>
    <w:rsid w:val="00E70522"/>
    <w:rsid w:val="00E726A8"/>
    <w:rsid w:val="00E7279E"/>
    <w:rsid w:val="00E729B9"/>
    <w:rsid w:val="00E755B9"/>
    <w:rsid w:val="00E7590C"/>
    <w:rsid w:val="00E76667"/>
    <w:rsid w:val="00E80C92"/>
    <w:rsid w:val="00E81E6C"/>
    <w:rsid w:val="00E842BF"/>
    <w:rsid w:val="00E91E74"/>
    <w:rsid w:val="00E92340"/>
    <w:rsid w:val="00E94B65"/>
    <w:rsid w:val="00E96317"/>
    <w:rsid w:val="00EA1C92"/>
    <w:rsid w:val="00EA21ED"/>
    <w:rsid w:val="00EA28D2"/>
    <w:rsid w:val="00EA3620"/>
    <w:rsid w:val="00EA61EF"/>
    <w:rsid w:val="00EA7E4D"/>
    <w:rsid w:val="00EB117F"/>
    <w:rsid w:val="00EB1B1B"/>
    <w:rsid w:val="00EB3F1F"/>
    <w:rsid w:val="00EB4E42"/>
    <w:rsid w:val="00EB6365"/>
    <w:rsid w:val="00EB72D1"/>
    <w:rsid w:val="00EC153E"/>
    <w:rsid w:val="00EC3715"/>
    <w:rsid w:val="00EC4E0F"/>
    <w:rsid w:val="00EC59EF"/>
    <w:rsid w:val="00EC6F93"/>
    <w:rsid w:val="00EC7681"/>
    <w:rsid w:val="00ED1605"/>
    <w:rsid w:val="00ED17F8"/>
    <w:rsid w:val="00ED2821"/>
    <w:rsid w:val="00EE061B"/>
    <w:rsid w:val="00EE073D"/>
    <w:rsid w:val="00EE09A1"/>
    <w:rsid w:val="00EE0B7F"/>
    <w:rsid w:val="00EE1677"/>
    <w:rsid w:val="00EE590A"/>
    <w:rsid w:val="00EE5A4C"/>
    <w:rsid w:val="00EE5DF0"/>
    <w:rsid w:val="00EE6FC1"/>
    <w:rsid w:val="00EF3C7E"/>
    <w:rsid w:val="00EF4303"/>
    <w:rsid w:val="00EF54E5"/>
    <w:rsid w:val="00EF5BD4"/>
    <w:rsid w:val="00EF7B7C"/>
    <w:rsid w:val="00F00DE5"/>
    <w:rsid w:val="00F012EE"/>
    <w:rsid w:val="00F01AC9"/>
    <w:rsid w:val="00F0266F"/>
    <w:rsid w:val="00F04257"/>
    <w:rsid w:val="00F05CF9"/>
    <w:rsid w:val="00F10230"/>
    <w:rsid w:val="00F11142"/>
    <w:rsid w:val="00F1718A"/>
    <w:rsid w:val="00F178D0"/>
    <w:rsid w:val="00F213C6"/>
    <w:rsid w:val="00F227FC"/>
    <w:rsid w:val="00F2316D"/>
    <w:rsid w:val="00F23D95"/>
    <w:rsid w:val="00F23DFE"/>
    <w:rsid w:val="00F240C6"/>
    <w:rsid w:val="00F24E58"/>
    <w:rsid w:val="00F3214A"/>
    <w:rsid w:val="00F33CEE"/>
    <w:rsid w:val="00F42D3D"/>
    <w:rsid w:val="00F4546D"/>
    <w:rsid w:val="00F47756"/>
    <w:rsid w:val="00F51C40"/>
    <w:rsid w:val="00F51E28"/>
    <w:rsid w:val="00F5243D"/>
    <w:rsid w:val="00F53430"/>
    <w:rsid w:val="00F538F0"/>
    <w:rsid w:val="00F53E63"/>
    <w:rsid w:val="00F60F6F"/>
    <w:rsid w:val="00F62FD7"/>
    <w:rsid w:val="00F63892"/>
    <w:rsid w:val="00F648E4"/>
    <w:rsid w:val="00F649E3"/>
    <w:rsid w:val="00F65A56"/>
    <w:rsid w:val="00F664A5"/>
    <w:rsid w:val="00F70317"/>
    <w:rsid w:val="00F72604"/>
    <w:rsid w:val="00F72C95"/>
    <w:rsid w:val="00F737E4"/>
    <w:rsid w:val="00F7576E"/>
    <w:rsid w:val="00F75837"/>
    <w:rsid w:val="00F758A0"/>
    <w:rsid w:val="00F7627D"/>
    <w:rsid w:val="00F76FF0"/>
    <w:rsid w:val="00F77EF2"/>
    <w:rsid w:val="00F85634"/>
    <w:rsid w:val="00F90F86"/>
    <w:rsid w:val="00F91D85"/>
    <w:rsid w:val="00F938F2"/>
    <w:rsid w:val="00FA3738"/>
    <w:rsid w:val="00FA6183"/>
    <w:rsid w:val="00FA663A"/>
    <w:rsid w:val="00FA702F"/>
    <w:rsid w:val="00FB11C6"/>
    <w:rsid w:val="00FB3290"/>
    <w:rsid w:val="00FB4B51"/>
    <w:rsid w:val="00FB738F"/>
    <w:rsid w:val="00FC321C"/>
    <w:rsid w:val="00FC349F"/>
    <w:rsid w:val="00FC482E"/>
    <w:rsid w:val="00FC4F2D"/>
    <w:rsid w:val="00FC54CA"/>
    <w:rsid w:val="00FD1EC3"/>
    <w:rsid w:val="00FD2558"/>
    <w:rsid w:val="00FD38C8"/>
    <w:rsid w:val="00FD632E"/>
    <w:rsid w:val="00FD6719"/>
    <w:rsid w:val="00FD7188"/>
    <w:rsid w:val="00FE0D5C"/>
    <w:rsid w:val="00FE35D4"/>
    <w:rsid w:val="00FE4F1C"/>
    <w:rsid w:val="00FE63B4"/>
    <w:rsid w:val="00FE6BC5"/>
    <w:rsid w:val="00FF1CA7"/>
    <w:rsid w:val="00FF2764"/>
    <w:rsid w:val="00FF55D6"/>
    <w:rsid w:val="00FF75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0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6317"/>
    <w:pPr>
      <w:widowControl w:val="0"/>
      <w:tabs>
        <w:tab w:val="center" w:pos="4153"/>
        <w:tab w:val="right" w:pos="8306"/>
      </w:tabs>
      <w:adjustRightInd w:val="0"/>
      <w:spacing w:line="360" w:lineRule="atLeast"/>
      <w:jc w:val="both"/>
      <w:textAlignment w:val="baseline"/>
    </w:pPr>
  </w:style>
  <w:style w:type="character" w:styleId="Hyperlink">
    <w:name w:val="Hyperlink"/>
    <w:basedOn w:val="DefaultParagraphFont"/>
    <w:uiPriority w:val="99"/>
    <w:rsid w:val="00444EDC"/>
    <w:rPr>
      <w:color w:val="0000FF"/>
      <w:u w:val="single"/>
    </w:rPr>
  </w:style>
  <w:style w:type="paragraph" w:styleId="Footer">
    <w:name w:val="footer"/>
    <w:basedOn w:val="Normal"/>
    <w:rsid w:val="005224FC"/>
    <w:pPr>
      <w:tabs>
        <w:tab w:val="center" w:pos="4153"/>
        <w:tab w:val="right" w:pos="8306"/>
      </w:tabs>
    </w:pPr>
  </w:style>
  <w:style w:type="paragraph" w:styleId="BalloonText">
    <w:name w:val="Balloon Text"/>
    <w:basedOn w:val="Normal"/>
    <w:link w:val="BalloonTextChar"/>
    <w:uiPriority w:val="99"/>
    <w:semiHidden/>
    <w:rsid w:val="00130797"/>
    <w:rPr>
      <w:rFonts w:ascii="Tahoma" w:hAnsi="Tahoma" w:cs="Tahoma"/>
      <w:sz w:val="16"/>
      <w:szCs w:val="16"/>
    </w:rPr>
  </w:style>
  <w:style w:type="character" w:customStyle="1" w:styleId="HeaderChar">
    <w:name w:val="Header Char"/>
    <w:basedOn w:val="DefaultParagraphFont"/>
    <w:link w:val="Header"/>
    <w:uiPriority w:val="99"/>
    <w:rsid w:val="00E726A8"/>
    <w:rPr>
      <w:sz w:val="24"/>
      <w:szCs w:val="24"/>
    </w:rPr>
  </w:style>
  <w:style w:type="paragraph" w:styleId="NormalWeb">
    <w:name w:val="Normal (Web)"/>
    <w:basedOn w:val="Normal"/>
    <w:rsid w:val="00AE6AF9"/>
    <w:pPr>
      <w:spacing w:before="100" w:beforeAutospacing="1" w:after="100" w:afterAutospacing="1"/>
    </w:pPr>
    <w:rPr>
      <w:lang w:val="en-GB" w:eastAsia="en-US"/>
    </w:rPr>
  </w:style>
  <w:style w:type="paragraph" w:styleId="BodyText">
    <w:name w:val="Body Text"/>
    <w:basedOn w:val="Normal"/>
    <w:link w:val="BodyTextChar"/>
    <w:rsid w:val="004B2408"/>
    <w:pPr>
      <w:spacing w:after="120"/>
    </w:pPr>
  </w:style>
  <w:style w:type="character" w:customStyle="1" w:styleId="BodyTextChar">
    <w:name w:val="Body Text Char"/>
    <w:basedOn w:val="DefaultParagraphFont"/>
    <w:link w:val="BodyText"/>
    <w:rsid w:val="004B2408"/>
    <w:rPr>
      <w:sz w:val="24"/>
      <w:szCs w:val="24"/>
    </w:rPr>
  </w:style>
  <w:style w:type="paragraph" w:customStyle="1" w:styleId="naisf">
    <w:name w:val="naisf"/>
    <w:basedOn w:val="Normal"/>
    <w:rsid w:val="001D1A28"/>
    <w:pPr>
      <w:spacing w:before="75" w:after="75"/>
      <w:ind w:firstLine="375"/>
      <w:jc w:val="both"/>
    </w:pPr>
  </w:style>
  <w:style w:type="character" w:customStyle="1" w:styleId="BalloonTextChar">
    <w:name w:val="Balloon Text Char"/>
    <w:basedOn w:val="DefaultParagraphFont"/>
    <w:link w:val="BalloonText"/>
    <w:uiPriority w:val="99"/>
    <w:semiHidden/>
    <w:rsid w:val="00384894"/>
    <w:rPr>
      <w:rFonts w:ascii="Tahoma" w:hAnsi="Tahoma" w:cs="Tahoma"/>
      <w:sz w:val="16"/>
      <w:szCs w:val="16"/>
    </w:rPr>
  </w:style>
  <w:style w:type="paragraph" w:styleId="ListParagraph">
    <w:name w:val="List Paragraph"/>
    <w:basedOn w:val="Normal"/>
    <w:uiPriority w:val="34"/>
    <w:qFormat/>
    <w:rsid w:val="001A5D33"/>
    <w:pPr>
      <w:widowControl w:val="0"/>
      <w:spacing w:before="60" w:after="60" w:line="360" w:lineRule="auto"/>
      <w:ind w:left="720" w:firstLine="720"/>
      <w:contextualSpacing/>
      <w:jc w:val="both"/>
    </w:pPr>
    <w:rPr>
      <w:sz w:val="26"/>
      <w:szCs w:val="20"/>
      <w:lang w:val="en-AU" w:eastAsia="en-US"/>
    </w:rPr>
  </w:style>
  <w:style w:type="character" w:styleId="CommentReference">
    <w:name w:val="annotation reference"/>
    <w:basedOn w:val="DefaultParagraphFont"/>
    <w:rsid w:val="002C2B2E"/>
    <w:rPr>
      <w:sz w:val="16"/>
      <w:szCs w:val="16"/>
    </w:rPr>
  </w:style>
  <w:style w:type="paragraph" w:styleId="CommentText">
    <w:name w:val="annotation text"/>
    <w:basedOn w:val="Normal"/>
    <w:link w:val="CommentTextChar"/>
    <w:rsid w:val="002C2B2E"/>
    <w:rPr>
      <w:sz w:val="20"/>
      <w:szCs w:val="20"/>
    </w:rPr>
  </w:style>
  <w:style w:type="character" w:customStyle="1" w:styleId="CommentTextChar">
    <w:name w:val="Comment Text Char"/>
    <w:basedOn w:val="DefaultParagraphFont"/>
    <w:link w:val="CommentText"/>
    <w:rsid w:val="002C2B2E"/>
  </w:style>
  <w:style w:type="paragraph" w:styleId="CommentSubject">
    <w:name w:val="annotation subject"/>
    <w:basedOn w:val="CommentText"/>
    <w:next w:val="CommentText"/>
    <w:link w:val="CommentSubjectChar"/>
    <w:rsid w:val="002C2B2E"/>
    <w:rPr>
      <w:b/>
      <w:bCs/>
    </w:rPr>
  </w:style>
  <w:style w:type="character" w:customStyle="1" w:styleId="CommentSubjectChar">
    <w:name w:val="Comment Subject Char"/>
    <w:basedOn w:val="CommentTextChar"/>
    <w:link w:val="CommentSubject"/>
    <w:rsid w:val="002C2B2E"/>
    <w:rPr>
      <w:b/>
      <w:bCs/>
    </w:rPr>
  </w:style>
  <w:style w:type="character" w:customStyle="1" w:styleId="EE-paragrCharCharChar1">
    <w:name w:val="EE-paragr Char Char Char1"/>
    <w:basedOn w:val="DefaultParagraphFont"/>
    <w:link w:val="EE-paragrCharChar"/>
    <w:locked/>
    <w:rsid w:val="00E301D2"/>
    <w:rPr>
      <w:bCs/>
      <w:sz w:val="28"/>
      <w:szCs w:val="28"/>
    </w:rPr>
  </w:style>
  <w:style w:type="paragraph" w:customStyle="1" w:styleId="EE-paragrCharChar">
    <w:name w:val="EE-paragr Char Char"/>
    <w:basedOn w:val="Normal"/>
    <w:link w:val="EE-paragrCharCharChar1"/>
    <w:autoRedefine/>
    <w:rsid w:val="00E301D2"/>
    <w:pPr>
      <w:ind w:firstLine="720"/>
      <w:jc w:val="both"/>
    </w:pPr>
    <w:rPr>
      <w:bCs/>
      <w:sz w:val="28"/>
      <w:szCs w:val="28"/>
    </w:rPr>
  </w:style>
  <w:style w:type="character" w:styleId="PageNumber">
    <w:name w:val="page number"/>
    <w:basedOn w:val="DefaultParagraphFont"/>
    <w:rsid w:val="00E301D2"/>
  </w:style>
  <w:style w:type="paragraph" w:customStyle="1" w:styleId="naiskr">
    <w:name w:val="naiskr"/>
    <w:basedOn w:val="Normal"/>
    <w:rsid w:val="005F1F3C"/>
    <w:pPr>
      <w:spacing w:before="75" w:after="75"/>
    </w:pPr>
  </w:style>
  <w:style w:type="paragraph" w:customStyle="1" w:styleId="Default">
    <w:name w:val="Default"/>
    <w:rsid w:val="005B0E6D"/>
    <w:pPr>
      <w:autoSpaceDE w:val="0"/>
      <w:autoSpaceDN w:val="0"/>
      <w:adjustRightInd w:val="0"/>
    </w:pPr>
    <w:rPr>
      <w:color w:val="000000"/>
      <w:sz w:val="24"/>
      <w:szCs w:val="24"/>
    </w:rPr>
  </w:style>
  <w:style w:type="character" w:styleId="Strong">
    <w:name w:val="Strong"/>
    <w:basedOn w:val="DefaultParagraphFont"/>
    <w:uiPriority w:val="22"/>
    <w:qFormat/>
    <w:rsid w:val="005B3504"/>
    <w:rPr>
      <w:b/>
      <w:bCs/>
    </w:rPr>
  </w:style>
  <w:style w:type="character" w:styleId="Emphasis">
    <w:name w:val="Emphasis"/>
    <w:basedOn w:val="DefaultParagraphFont"/>
    <w:uiPriority w:val="20"/>
    <w:qFormat/>
    <w:rsid w:val="00964EC6"/>
    <w:rPr>
      <w:b/>
      <w:bCs/>
      <w:i w:val="0"/>
      <w:iCs w:val="0"/>
    </w:rPr>
  </w:style>
  <w:style w:type="character" w:customStyle="1" w:styleId="st">
    <w:name w:val="st"/>
    <w:basedOn w:val="DefaultParagraphFont"/>
    <w:rsid w:val="00964EC6"/>
  </w:style>
  <w:style w:type="character" w:customStyle="1" w:styleId="EE-paragrChar">
    <w:name w:val="EE-paragr Char"/>
    <w:basedOn w:val="DefaultParagraphFont"/>
    <w:link w:val="EE-paragr"/>
    <w:locked/>
    <w:rsid w:val="006A4694"/>
    <w:rPr>
      <w:sz w:val="28"/>
      <w:szCs w:val="28"/>
      <w:lang w:eastAsia="en-US"/>
    </w:rPr>
  </w:style>
  <w:style w:type="paragraph" w:customStyle="1" w:styleId="EE-paragr">
    <w:name w:val="EE-paragr"/>
    <w:basedOn w:val="Normal"/>
    <w:link w:val="EE-paragrChar"/>
    <w:autoRedefine/>
    <w:rsid w:val="006A4694"/>
    <w:pPr>
      <w:tabs>
        <w:tab w:val="left" w:pos="720"/>
      </w:tabs>
      <w:jc w:val="both"/>
    </w:pPr>
    <w:rPr>
      <w:sz w:val="28"/>
      <w:szCs w:val="28"/>
      <w:lang w:eastAsia="en-US"/>
    </w:rPr>
  </w:style>
  <w:style w:type="paragraph" w:customStyle="1" w:styleId="a">
    <w:name w:val="a"/>
    <w:basedOn w:val="Normal"/>
    <w:rsid w:val="00A461C2"/>
    <w:pPr>
      <w:spacing w:before="75" w:after="75"/>
    </w:pPr>
    <w:rPr>
      <w:rFonts w:eastAsiaTheme="minorEastAsia"/>
      <w:color w:val="306060"/>
    </w:rPr>
  </w:style>
  <w:style w:type="paragraph" w:customStyle="1" w:styleId="StyleEE-numbering12pt">
    <w:name w:val="Style EE-numbering + 12 pt"/>
    <w:basedOn w:val="Normal"/>
    <w:autoRedefine/>
    <w:rsid w:val="00196155"/>
    <w:pPr>
      <w:tabs>
        <w:tab w:val="left" w:pos="1"/>
      </w:tabs>
      <w:ind w:left="1" w:hanging="1"/>
      <w:jc w:val="both"/>
    </w:pPr>
    <w:rPr>
      <w:noProof/>
      <w:color w:val="000000"/>
      <w:sz w:val="28"/>
      <w:szCs w:val="28"/>
    </w:rPr>
  </w:style>
  <w:style w:type="paragraph" w:styleId="FootnoteText">
    <w:name w:val="footnote text"/>
    <w:basedOn w:val="Normal"/>
    <w:link w:val="FootnoteTextChar"/>
    <w:rsid w:val="00196155"/>
    <w:rPr>
      <w:sz w:val="20"/>
      <w:szCs w:val="20"/>
    </w:rPr>
  </w:style>
  <w:style w:type="character" w:customStyle="1" w:styleId="FootnoteTextChar">
    <w:name w:val="Footnote Text Char"/>
    <w:basedOn w:val="DefaultParagraphFont"/>
    <w:link w:val="FootnoteText"/>
    <w:rsid w:val="00196155"/>
  </w:style>
  <w:style w:type="character" w:styleId="FootnoteReference">
    <w:name w:val="footnote reference"/>
    <w:basedOn w:val="DefaultParagraphFont"/>
    <w:rsid w:val="00196155"/>
    <w:rPr>
      <w:vertAlign w:val="superscript"/>
    </w:rPr>
  </w:style>
</w:styles>
</file>

<file path=word/webSettings.xml><?xml version="1.0" encoding="utf-8"?>
<w:webSettings xmlns:r="http://schemas.openxmlformats.org/officeDocument/2006/relationships" xmlns:w="http://schemas.openxmlformats.org/wordprocessingml/2006/main">
  <w:divs>
    <w:div w:id="142502525">
      <w:bodyDiv w:val="1"/>
      <w:marLeft w:val="0"/>
      <w:marRight w:val="0"/>
      <w:marTop w:val="0"/>
      <w:marBottom w:val="0"/>
      <w:divBdr>
        <w:top w:val="none" w:sz="0" w:space="0" w:color="auto"/>
        <w:left w:val="none" w:sz="0" w:space="0" w:color="auto"/>
        <w:bottom w:val="none" w:sz="0" w:space="0" w:color="auto"/>
        <w:right w:val="none" w:sz="0" w:space="0" w:color="auto"/>
      </w:divBdr>
    </w:div>
    <w:div w:id="197933799">
      <w:bodyDiv w:val="1"/>
      <w:marLeft w:val="0"/>
      <w:marRight w:val="0"/>
      <w:marTop w:val="0"/>
      <w:marBottom w:val="0"/>
      <w:divBdr>
        <w:top w:val="none" w:sz="0" w:space="0" w:color="auto"/>
        <w:left w:val="none" w:sz="0" w:space="0" w:color="auto"/>
        <w:bottom w:val="none" w:sz="0" w:space="0" w:color="auto"/>
        <w:right w:val="none" w:sz="0" w:space="0" w:color="auto"/>
      </w:divBdr>
    </w:div>
    <w:div w:id="262618219">
      <w:bodyDiv w:val="1"/>
      <w:marLeft w:val="0"/>
      <w:marRight w:val="0"/>
      <w:marTop w:val="0"/>
      <w:marBottom w:val="0"/>
      <w:divBdr>
        <w:top w:val="none" w:sz="0" w:space="0" w:color="auto"/>
        <w:left w:val="none" w:sz="0" w:space="0" w:color="auto"/>
        <w:bottom w:val="none" w:sz="0" w:space="0" w:color="auto"/>
        <w:right w:val="none" w:sz="0" w:space="0" w:color="auto"/>
      </w:divBdr>
    </w:div>
    <w:div w:id="325519421">
      <w:bodyDiv w:val="1"/>
      <w:marLeft w:val="0"/>
      <w:marRight w:val="0"/>
      <w:marTop w:val="0"/>
      <w:marBottom w:val="0"/>
      <w:divBdr>
        <w:top w:val="none" w:sz="0" w:space="0" w:color="auto"/>
        <w:left w:val="none" w:sz="0" w:space="0" w:color="auto"/>
        <w:bottom w:val="none" w:sz="0" w:space="0" w:color="auto"/>
        <w:right w:val="none" w:sz="0" w:space="0" w:color="auto"/>
      </w:divBdr>
    </w:div>
    <w:div w:id="685907951">
      <w:bodyDiv w:val="1"/>
      <w:marLeft w:val="0"/>
      <w:marRight w:val="0"/>
      <w:marTop w:val="0"/>
      <w:marBottom w:val="0"/>
      <w:divBdr>
        <w:top w:val="none" w:sz="0" w:space="0" w:color="auto"/>
        <w:left w:val="none" w:sz="0" w:space="0" w:color="auto"/>
        <w:bottom w:val="none" w:sz="0" w:space="0" w:color="auto"/>
        <w:right w:val="none" w:sz="0" w:space="0" w:color="auto"/>
      </w:divBdr>
    </w:div>
    <w:div w:id="792596034">
      <w:bodyDiv w:val="1"/>
      <w:marLeft w:val="0"/>
      <w:marRight w:val="0"/>
      <w:marTop w:val="0"/>
      <w:marBottom w:val="0"/>
      <w:divBdr>
        <w:top w:val="none" w:sz="0" w:space="0" w:color="auto"/>
        <w:left w:val="none" w:sz="0" w:space="0" w:color="auto"/>
        <w:bottom w:val="none" w:sz="0" w:space="0" w:color="auto"/>
        <w:right w:val="none" w:sz="0" w:space="0" w:color="auto"/>
      </w:divBdr>
    </w:div>
    <w:div w:id="818956146">
      <w:bodyDiv w:val="1"/>
      <w:marLeft w:val="45"/>
      <w:marRight w:val="45"/>
      <w:marTop w:val="90"/>
      <w:marBottom w:val="90"/>
      <w:divBdr>
        <w:top w:val="none" w:sz="0" w:space="0" w:color="auto"/>
        <w:left w:val="none" w:sz="0" w:space="0" w:color="auto"/>
        <w:bottom w:val="none" w:sz="0" w:space="0" w:color="auto"/>
        <w:right w:val="none" w:sz="0" w:space="0" w:color="auto"/>
      </w:divBdr>
      <w:divsChild>
        <w:div w:id="323511034">
          <w:marLeft w:val="0"/>
          <w:marRight w:val="0"/>
          <w:marTop w:val="240"/>
          <w:marBottom w:val="0"/>
          <w:divBdr>
            <w:top w:val="none" w:sz="0" w:space="0" w:color="auto"/>
            <w:left w:val="none" w:sz="0" w:space="0" w:color="auto"/>
            <w:bottom w:val="none" w:sz="0" w:space="0" w:color="auto"/>
            <w:right w:val="none" w:sz="0" w:space="0" w:color="auto"/>
          </w:divBdr>
        </w:div>
      </w:divsChild>
    </w:div>
    <w:div w:id="829951363">
      <w:bodyDiv w:val="1"/>
      <w:marLeft w:val="0"/>
      <w:marRight w:val="0"/>
      <w:marTop w:val="0"/>
      <w:marBottom w:val="0"/>
      <w:divBdr>
        <w:top w:val="none" w:sz="0" w:space="0" w:color="auto"/>
        <w:left w:val="none" w:sz="0" w:space="0" w:color="auto"/>
        <w:bottom w:val="none" w:sz="0" w:space="0" w:color="auto"/>
        <w:right w:val="none" w:sz="0" w:space="0" w:color="auto"/>
      </w:divBdr>
      <w:divsChild>
        <w:div w:id="578635479">
          <w:marLeft w:val="0"/>
          <w:marRight w:val="0"/>
          <w:marTop w:val="0"/>
          <w:marBottom w:val="0"/>
          <w:divBdr>
            <w:top w:val="none" w:sz="0" w:space="0" w:color="auto"/>
            <w:left w:val="none" w:sz="0" w:space="0" w:color="auto"/>
            <w:bottom w:val="none" w:sz="0" w:space="0" w:color="auto"/>
            <w:right w:val="none" w:sz="0" w:space="0" w:color="auto"/>
          </w:divBdr>
          <w:divsChild>
            <w:div w:id="1242787902">
              <w:marLeft w:val="0"/>
              <w:marRight w:val="0"/>
              <w:marTop w:val="0"/>
              <w:marBottom w:val="0"/>
              <w:divBdr>
                <w:top w:val="none" w:sz="0" w:space="0" w:color="auto"/>
                <w:left w:val="none" w:sz="0" w:space="0" w:color="auto"/>
                <w:bottom w:val="none" w:sz="0" w:space="0" w:color="auto"/>
                <w:right w:val="none" w:sz="0" w:space="0" w:color="auto"/>
              </w:divBdr>
              <w:divsChild>
                <w:div w:id="1713773235">
                  <w:marLeft w:val="0"/>
                  <w:marRight w:val="0"/>
                  <w:marTop w:val="0"/>
                  <w:marBottom w:val="0"/>
                  <w:divBdr>
                    <w:top w:val="none" w:sz="0" w:space="0" w:color="auto"/>
                    <w:left w:val="none" w:sz="0" w:space="0" w:color="auto"/>
                    <w:bottom w:val="none" w:sz="0" w:space="0" w:color="auto"/>
                    <w:right w:val="none" w:sz="0" w:space="0" w:color="auto"/>
                  </w:divBdr>
                  <w:divsChild>
                    <w:div w:id="506332673">
                      <w:marLeft w:val="0"/>
                      <w:marRight w:val="0"/>
                      <w:marTop w:val="0"/>
                      <w:marBottom w:val="0"/>
                      <w:divBdr>
                        <w:top w:val="none" w:sz="0" w:space="0" w:color="auto"/>
                        <w:left w:val="none" w:sz="0" w:space="0" w:color="auto"/>
                        <w:bottom w:val="none" w:sz="0" w:space="0" w:color="auto"/>
                        <w:right w:val="none" w:sz="0" w:space="0" w:color="auto"/>
                      </w:divBdr>
                      <w:divsChild>
                        <w:div w:id="524253343">
                          <w:marLeft w:val="0"/>
                          <w:marRight w:val="0"/>
                          <w:marTop w:val="0"/>
                          <w:marBottom w:val="0"/>
                          <w:divBdr>
                            <w:top w:val="none" w:sz="0" w:space="0" w:color="auto"/>
                            <w:left w:val="none" w:sz="0" w:space="0" w:color="auto"/>
                            <w:bottom w:val="none" w:sz="0" w:space="0" w:color="auto"/>
                            <w:right w:val="none" w:sz="0" w:space="0" w:color="auto"/>
                          </w:divBdr>
                          <w:divsChild>
                            <w:div w:id="2061247045">
                              <w:marLeft w:val="0"/>
                              <w:marRight w:val="0"/>
                              <w:marTop w:val="480"/>
                              <w:marBottom w:val="240"/>
                              <w:divBdr>
                                <w:top w:val="none" w:sz="0" w:space="0" w:color="auto"/>
                                <w:left w:val="none" w:sz="0" w:space="0" w:color="auto"/>
                                <w:bottom w:val="none" w:sz="0" w:space="0" w:color="auto"/>
                                <w:right w:val="none" w:sz="0" w:space="0" w:color="auto"/>
                              </w:divBdr>
                            </w:div>
                            <w:div w:id="103076407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121295">
      <w:bodyDiv w:val="1"/>
      <w:marLeft w:val="0"/>
      <w:marRight w:val="0"/>
      <w:marTop w:val="0"/>
      <w:marBottom w:val="0"/>
      <w:divBdr>
        <w:top w:val="none" w:sz="0" w:space="0" w:color="auto"/>
        <w:left w:val="none" w:sz="0" w:space="0" w:color="auto"/>
        <w:bottom w:val="none" w:sz="0" w:space="0" w:color="auto"/>
        <w:right w:val="none" w:sz="0" w:space="0" w:color="auto"/>
      </w:divBdr>
    </w:div>
    <w:div w:id="1345549228">
      <w:bodyDiv w:val="1"/>
      <w:marLeft w:val="0"/>
      <w:marRight w:val="0"/>
      <w:marTop w:val="0"/>
      <w:marBottom w:val="0"/>
      <w:divBdr>
        <w:top w:val="none" w:sz="0" w:space="0" w:color="auto"/>
        <w:left w:val="none" w:sz="0" w:space="0" w:color="auto"/>
        <w:bottom w:val="none" w:sz="0" w:space="0" w:color="auto"/>
        <w:right w:val="none" w:sz="0" w:space="0" w:color="auto"/>
      </w:divBdr>
    </w:div>
    <w:div w:id="1427264096">
      <w:bodyDiv w:val="1"/>
      <w:marLeft w:val="0"/>
      <w:marRight w:val="0"/>
      <w:marTop w:val="0"/>
      <w:marBottom w:val="0"/>
      <w:divBdr>
        <w:top w:val="none" w:sz="0" w:space="0" w:color="auto"/>
        <w:left w:val="none" w:sz="0" w:space="0" w:color="auto"/>
        <w:bottom w:val="none" w:sz="0" w:space="0" w:color="auto"/>
        <w:right w:val="none" w:sz="0" w:space="0" w:color="auto"/>
      </w:divBdr>
    </w:div>
    <w:div w:id="1902790320">
      <w:bodyDiv w:val="1"/>
      <w:marLeft w:val="0"/>
      <w:marRight w:val="0"/>
      <w:marTop w:val="0"/>
      <w:marBottom w:val="0"/>
      <w:divBdr>
        <w:top w:val="none" w:sz="0" w:space="0" w:color="auto"/>
        <w:left w:val="none" w:sz="0" w:space="0" w:color="auto"/>
        <w:bottom w:val="none" w:sz="0" w:space="0" w:color="auto"/>
        <w:right w:val="none" w:sz="0" w:space="0" w:color="auto"/>
      </w:divBdr>
      <w:divsChild>
        <w:div w:id="327683715">
          <w:marLeft w:val="2160"/>
          <w:marRight w:val="0"/>
          <w:marTop w:val="60"/>
          <w:marBottom w:val="60"/>
          <w:divBdr>
            <w:top w:val="none" w:sz="0" w:space="0" w:color="auto"/>
            <w:left w:val="none" w:sz="0" w:space="0" w:color="auto"/>
            <w:bottom w:val="none" w:sz="0" w:space="0" w:color="auto"/>
            <w:right w:val="none" w:sz="0" w:space="0" w:color="auto"/>
          </w:divBdr>
        </w:div>
        <w:div w:id="790173379">
          <w:marLeft w:val="288"/>
          <w:marRight w:val="0"/>
          <w:marTop w:val="120"/>
          <w:marBottom w:val="120"/>
          <w:divBdr>
            <w:top w:val="none" w:sz="0" w:space="0" w:color="auto"/>
            <w:left w:val="none" w:sz="0" w:space="0" w:color="auto"/>
            <w:bottom w:val="none" w:sz="0" w:space="0" w:color="auto"/>
            <w:right w:val="none" w:sz="0" w:space="0" w:color="auto"/>
          </w:divBdr>
        </w:div>
        <w:div w:id="1104419565">
          <w:marLeft w:val="2160"/>
          <w:marRight w:val="0"/>
          <w:marTop w:val="60"/>
          <w:marBottom w:val="60"/>
          <w:divBdr>
            <w:top w:val="none" w:sz="0" w:space="0" w:color="auto"/>
            <w:left w:val="none" w:sz="0" w:space="0" w:color="auto"/>
            <w:bottom w:val="none" w:sz="0" w:space="0" w:color="auto"/>
            <w:right w:val="none" w:sz="0" w:space="0" w:color="auto"/>
          </w:divBdr>
        </w:div>
        <w:div w:id="1246114155">
          <w:marLeft w:val="2160"/>
          <w:marRight w:val="0"/>
          <w:marTop w:val="60"/>
          <w:marBottom w:val="60"/>
          <w:divBdr>
            <w:top w:val="none" w:sz="0" w:space="0" w:color="auto"/>
            <w:left w:val="none" w:sz="0" w:space="0" w:color="auto"/>
            <w:bottom w:val="none" w:sz="0" w:space="0" w:color="auto"/>
            <w:right w:val="none" w:sz="0" w:space="0" w:color="auto"/>
          </w:divBdr>
        </w:div>
        <w:div w:id="1430588085">
          <w:marLeft w:val="2160"/>
          <w:marRight w:val="0"/>
          <w:marTop w:val="60"/>
          <w:marBottom w:val="60"/>
          <w:divBdr>
            <w:top w:val="none" w:sz="0" w:space="0" w:color="auto"/>
            <w:left w:val="none" w:sz="0" w:space="0" w:color="auto"/>
            <w:bottom w:val="none" w:sz="0" w:space="0" w:color="auto"/>
            <w:right w:val="none" w:sz="0" w:space="0" w:color="auto"/>
          </w:divBdr>
        </w:div>
      </w:divsChild>
    </w:div>
    <w:div w:id="21214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6R1828:LV: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fondi.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xUriServ/LexUriServ.do?uri=CELEX:32006R1828:LV: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CELEX:32006R1828:LV: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727A-15CD-4691-AAAE-C8DD5DEC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3230</Words>
  <Characters>23713</Characters>
  <Application>Microsoft Office Word</Application>
  <DocSecurity>0</DocSecurity>
  <Lines>564</Lines>
  <Paragraphs>244</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2013.gada 3.janvāra noteikumos Nr.14 "Noteikumi par darbības programmas "Uzņēmējdarbība un inovācijas" papildinājuma 2.1.1.1.aktivitātes "Atbalsts zinātnei un pētniecībai" otro projektu iesniegumu a</vt:lpstr>
    </vt:vector>
  </TitlesOfParts>
  <Company>Microsoft Corporation</Company>
  <LinksUpToDate>false</LinksUpToDate>
  <CharactersWithSpaces>26699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2013.gada 3.janvāra noteikumos Nr.14 "Noteikumi par darbības programmas "Uzņēmējdarbība un inovācijas" papildinājuma 2.1.1.1.aktivitātes "Atbalsts zinātnei un pētniecībai" otro projektu iesniegumu a</dc:title>
  <dc:subject>Anotācija</dc:subject>
  <dc:creator>Inta Švirksta</dc:creator>
  <cp:lastModifiedBy>isvirksta</cp:lastModifiedBy>
  <cp:revision>9</cp:revision>
  <cp:lastPrinted>2013-09-18T06:30:00Z</cp:lastPrinted>
  <dcterms:created xsi:type="dcterms:W3CDTF">2013-09-11T13:02:00Z</dcterms:created>
  <dcterms:modified xsi:type="dcterms:W3CDTF">2013-09-18T06:33:00Z</dcterms:modified>
</cp:coreProperties>
</file>