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649" w:rsidRPr="007C0F2C" w:rsidRDefault="00013EB3" w:rsidP="00214094">
      <w:pPr>
        <w:pStyle w:val="naislab"/>
        <w:spacing w:before="0" w:after="0"/>
        <w:jc w:val="center"/>
        <w:outlineLvl w:val="0"/>
        <w:rPr>
          <w:b/>
          <w:sz w:val="28"/>
          <w:szCs w:val="28"/>
        </w:rPr>
      </w:pPr>
      <w:r>
        <w:rPr>
          <w:b/>
          <w:sz w:val="28"/>
          <w:szCs w:val="28"/>
        </w:rPr>
        <w:t xml:space="preserve">Ministru kabineta rīkojuma „Par </w:t>
      </w:r>
      <w:r w:rsidRPr="00565103">
        <w:rPr>
          <w:b/>
          <w:sz w:val="28"/>
          <w:szCs w:val="28"/>
        </w:rPr>
        <w:t>valsts ģimnāzijas statusa piešķiršanu</w:t>
      </w:r>
      <w:r w:rsidR="00C52CFA">
        <w:rPr>
          <w:b/>
          <w:sz w:val="28"/>
          <w:szCs w:val="28"/>
        </w:rPr>
        <w:t xml:space="preserve"> Rīgas pilsētas 2.ģimnāzijai</w:t>
      </w:r>
      <w:r>
        <w:rPr>
          <w:b/>
          <w:sz w:val="28"/>
          <w:szCs w:val="28"/>
        </w:rPr>
        <w:t>”</w:t>
      </w:r>
      <w:r w:rsidRPr="007C0F2C">
        <w:rPr>
          <w:b/>
          <w:sz w:val="28"/>
          <w:szCs w:val="28"/>
        </w:rPr>
        <w:t xml:space="preserve"> </w:t>
      </w:r>
      <w:r w:rsidR="00852042" w:rsidRPr="007C0F2C">
        <w:rPr>
          <w:b/>
          <w:sz w:val="28"/>
          <w:szCs w:val="28"/>
        </w:rPr>
        <w:t>projekta sākotnējā</w:t>
      </w:r>
      <w:r w:rsidR="002D3306" w:rsidRPr="007C0F2C">
        <w:rPr>
          <w:b/>
          <w:sz w:val="28"/>
          <w:szCs w:val="28"/>
        </w:rPr>
        <w:t>s</w:t>
      </w:r>
      <w:r w:rsidR="00852042" w:rsidRPr="007C0F2C">
        <w:rPr>
          <w:b/>
          <w:sz w:val="28"/>
          <w:szCs w:val="28"/>
        </w:rPr>
        <w:t xml:space="preserve"> ietekmes novērtējuma </w:t>
      </w:r>
      <w:smartTag w:uri="schemas-tilde-lv/tildestengine" w:element="veidnes">
        <w:smartTagPr>
          <w:attr w:name="id" w:val="-1"/>
          <w:attr w:name="baseform" w:val="ziņojums"/>
          <w:attr w:name="text" w:val="ziņojums"/>
        </w:smartTagPr>
        <w:r w:rsidR="00852042" w:rsidRPr="007C0F2C">
          <w:rPr>
            <w:b/>
            <w:sz w:val="28"/>
            <w:szCs w:val="28"/>
          </w:rPr>
          <w:t>ziņojums</w:t>
        </w:r>
      </w:smartTag>
      <w:r w:rsidR="00852042" w:rsidRPr="007C0F2C">
        <w:rPr>
          <w:b/>
          <w:sz w:val="28"/>
          <w:szCs w:val="28"/>
        </w:rPr>
        <w:t xml:space="preserve"> (anotācija)</w:t>
      </w:r>
    </w:p>
    <w:tbl>
      <w:tblPr>
        <w:tblpPr w:leftFromText="180" w:rightFromText="180" w:vertAnchor="text" w:horzAnchor="margin" w:tblpXSpec="center"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221"/>
        <w:gridCol w:w="1812"/>
        <w:gridCol w:w="7094"/>
      </w:tblGrid>
      <w:tr w:rsidR="00852042" w:rsidRPr="007C0F2C" w:rsidTr="003374B9">
        <w:tc>
          <w:tcPr>
            <w:tcW w:w="0" w:type="auto"/>
            <w:gridSpan w:val="3"/>
            <w:vAlign w:val="center"/>
          </w:tcPr>
          <w:p w:rsidR="00852042" w:rsidRPr="007C0F2C" w:rsidRDefault="00852042" w:rsidP="006C4607">
            <w:pPr>
              <w:pStyle w:val="naisnod"/>
              <w:spacing w:before="0" w:after="0"/>
            </w:pPr>
            <w:r w:rsidRPr="007C0F2C">
              <w:t>I</w:t>
            </w:r>
            <w:r w:rsidR="000941C5" w:rsidRPr="007C0F2C">
              <w:t>.</w:t>
            </w:r>
            <w:r w:rsidRPr="007C0F2C">
              <w:t xml:space="preserve"> Tiesību akta </w:t>
            </w:r>
            <w:r w:rsidR="002E3FF4" w:rsidRPr="007C0F2C">
              <w:t xml:space="preserve">projekta </w:t>
            </w:r>
            <w:r w:rsidRPr="007C0F2C">
              <w:t>izstrādes nepieciešamība</w:t>
            </w:r>
          </w:p>
        </w:tc>
      </w:tr>
      <w:tr w:rsidR="00262E2B" w:rsidRPr="007C0F2C" w:rsidTr="00063894">
        <w:trPr>
          <w:trHeight w:val="630"/>
        </w:trPr>
        <w:tc>
          <w:tcPr>
            <w:tcW w:w="0" w:type="auto"/>
          </w:tcPr>
          <w:p w:rsidR="00262E2B" w:rsidRPr="007C0F2C" w:rsidRDefault="00262E2B" w:rsidP="006C4607">
            <w:pPr>
              <w:pStyle w:val="naiskr"/>
              <w:spacing w:before="0" w:after="0"/>
              <w:rPr>
                <w:sz w:val="22"/>
                <w:szCs w:val="22"/>
              </w:rPr>
            </w:pPr>
            <w:r w:rsidRPr="007C0F2C">
              <w:rPr>
                <w:sz w:val="22"/>
                <w:szCs w:val="22"/>
              </w:rPr>
              <w:t>1.</w:t>
            </w:r>
          </w:p>
        </w:tc>
        <w:tc>
          <w:tcPr>
            <w:tcW w:w="0" w:type="auto"/>
          </w:tcPr>
          <w:p w:rsidR="00262E2B" w:rsidRPr="007C0F2C" w:rsidRDefault="002D7F54" w:rsidP="006C4607">
            <w:pPr>
              <w:pStyle w:val="naiskr"/>
              <w:spacing w:before="0" w:after="0"/>
              <w:ind w:hanging="10"/>
              <w:rPr>
                <w:sz w:val="22"/>
                <w:szCs w:val="22"/>
              </w:rPr>
            </w:pPr>
            <w:r w:rsidRPr="007C0F2C">
              <w:rPr>
                <w:sz w:val="22"/>
                <w:szCs w:val="22"/>
              </w:rPr>
              <w:t>Pamatojums</w:t>
            </w:r>
          </w:p>
        </w:tc>
        <w:tc>
          <w:tcPr>
            <w:tcW w:w="0" w:type="auto"/>
          </w:tcPr>
          <w:p w:rsidR="00262E2B" w:rsidRPr="00BD07B1" w:rsidRDefault="00CA7F94" w:rsidP="00BD07B1">
            <w:pPr>
              <w:pStyle w:val="NormalWeb"/>
              <w:spacing w:after="120" w:afterAutospacing="0"/>
              <w:jc w:val="both"/>
              <w:rPr>
                <w:color w:val="2A2A2A"/>
              </w:rPr>
            </w:pPr>
            <w:r w:rsidRPr="00CA7F94">
              <w:rPr>
                <w:bCs/>
                <w:sz w:val="22"/>
                <w:szCs w:val="22"/>
              </w:rPr>
              <w:t>Ministru kabineta rīkojuma projekts  „</w:t>
            </w:r>
            <w:r w:rsidRPr="00CA7F94">
              <w:rPr>
                <w:sz w:val="22"/>
                <w:szCs w:val="22"/>
              </w:rPr>
              <w:t>Par valsts ģimnāzijas statusa piešķiršanu</w:t>
            </w:r>
            <w:r w:rsidR="00C52CFA">
              <w:rPr>
                <w:sz w:val="22"/>
                <w:szCs w:val="22"/>
              </w:rPr>
              <w:t xml:space="preserve"> Rīgas pilsētas 2.ģimnāzijai</w:t>
            </w:r>
            <w:r w:rsidRPr="00CA7F94">
              <w:rPr>
                <w:sz w:val="22"/>
                <w:szCs w:val="22"/>
              </w:rPr>
              <w:t xml:space="preserve">” (turpmāk – rīkojuma projekts) </w:t>
            </w:r>
            <w:r w:rsidR="000B7D4E">
              <w:rPr>
                <w:sz w:val="22"/>
                <w:szCs w:val="22"/>
              </w:rPr>
              <w:t xml:space="preserve">izstrādāts </w:t>
            </w:r>
            <w:r w:rsidRPr="00BD07B1">
              <w:rPr>
                <w:sz w:val="22"/>
                <w:szCs w:val="22"/>
              </w:rPr>
              <w:t xml:space="preserve">atbilstoši </w:t>
            </w:r>
            <w:r w:rsidRPr="00BD07B1">
              <w:rPr>
                <w:bCs/>
                <w:kern w:val="36"/>
                <w:sz w:val="22"/>
                <w:szCs w:val="22"/>
              </w:rPr>
              <w:t xml:space="preserve">Deklarācijas par Valda </w:t>
            </w:r>
            <w:proofErr w:type="spellStart"/>
            <w:r w:rsidRPr="00BD07B1">
              <w:rPr>
                <w:bCs/>
                <w:kern w:val="36"/>
                <w:sz w:val="22"/>
                <w:szCs w:val="22"/>
              </w:rPr>
              <w:t>Dombrovska</w:t>
            </w:r>
            <w:proofErr w:type="spellEnd"/>
            <w:r w:rsidRPr="00BD07B1">
              <w:rPr>
                <w:bCs/>
                <w:kern w:val="36"/>
                <w:sz w:val="22"/>
                <w:szCs w:val="22"/>
              </w:rPr>
              <w:t xml:space="preserve"> vadītā Ministru kabineta iecerēto darbību </w:t>
            </w:r>
            <w:r w:rsidR="00BD07B1" w:rsidRPr="00BD07B1">
              <w:rPr>
                <w:color w:val="2A2A2A"/>
                <w:sz w:val="22"/>
                <w:szCs w:val="22"/>
              </w:rPr>
              <w:t>7.1.</w:t>
            </w:r>
            <w:r w:rsidR="00BD07B1">
              <w:rPr>
                <w:color w:val="2A2A2A"/>
                <w:sz w:val="22"/>
                <w:szCs w:val="22"/>
              </w:rPr>
              <w:t>apakšpunktā iekļautajam mērķim</w:t>
            </w:r>
            <w:r w:rsidR="00BD07B1" w:rsidRPr="00BD07B1">
              <w:rPr>
                <w:color w:val="2A2A2A"/>
                <w:sz w:val="22"/>
                <w:szCs w:val="22"/>
              </w:rPr>
              <w:t xml:space="preserve"> </w:t>
            </w:r>
            <w:r w:rsidR="00BD07B1">
              <w:rPr>
                <w:color w:val="2A2A2A"/>
                <w:sz w:val="22"/>
                <w:szCs w:val="22"/>
              </w:rPr>
              <w:t>sekmēt</w:t>
            </w:r>
            <w:r w:rsidR="00BD07B1" w:rsidRPr="00BD07B1">
              <w:rPr>
                <w:color w:val="2A2A2A"/>
                <w:sz w:val="22"/>
                <w:szCs w:val="22"/>
              </w:rPr>
              <w:t xml:space="preserve"> kvalitatīvu, pieejamu un resursu efektīvu vis</w:t>
            </w:r>
            <w:r w:rsidR="00BD07B1">
              <w:rPr>
                <w:color w:val="2A2A2A"/>
                <w:sz w:val="22"/>
                <w:szCs w:val="22"/>
              </w:rPr>
              <w:t>u pakāpju izglītības un zinātnes</w:t>
            </w:r>
            <w:r w:rsidR="00BD07B1" w:rsidRPr="00BD07B1">
              <w:rPr>
                <w:color w:val="2A2A2A"/>
                <w:sz w:val="22"/>
                <w:szCs w:val="22"/>
              </w:rPr>
              <w:t xml:space="preserve"> attīstību valsts </w:t>
            </w:r>
            <w:proofErr w:type="spellStart"/>
            <w:r w:rsidR="00BD07B1" w:rsidRPr="00BD07B1">
              <w:rPr>
                <w:color w:val="2A2A2A"/>
                <w:sz w:val="22"/>
                <w:szCs w:val="22"/>
              </w:rPr>
              <w:t>ilgtspējai</w:t>
            </w:r>
            <w:proofErr w:type="spellEnd"/>
            <w:r w:rsidR="00BD07B1" w:rsidRPr="00BD07B1">
              <w:rPr>
                <w:color w:val="2A2A2A"/>
                <w:sz w:val="22"/>
                <w:szCs w:val="22"/>
              </w:rPr>
              <w:t xml:space="preserve"> un konkurētspējai, nodrošinot intelektuālo un materiālo resursu konsekventu pieaugumu.</w:t>
            </w:r>
            <w:r w:rsidR="00BD07B1">
              <w:rPr>
                <w:color w:val="2A2A2A"/>
                <w:sz w:val="22"/>
                <w:szCs w:val="22"/>
              </w:rPr>
              <w:t xml:space="preserve"> </w:t>
            </w:r>
            <w:r w:rsidRPr="00CA7F94">
              <w:rPr>
                <w:sz w:val="22"/>
                <w:szCs w:val="22"/>
              </w:rPr>
              <w:t>Rīkojuma projekts sagatavots saskaņā ar Vispārējās izglītības likuma 40.panta ceturto daļu un Ministru kabineta 2001.gada 20.marta noteikumu Nr.129 „Ģimnāzijas un valsts ģimnāzijas statusa piešķiršanas un anulēšanas kārtība un kritēriji” 4.punktu.</w:t>
            </w:r>
          </w:p>
        </w:tc>
      </w:tr>
      <w:tr w:rsidR="00262E2B" w:rsidRPr="007C0F2C" w:rsidTr="00063894">
        <w:trPr>
          <w:trHeight w:val="472"/>
        </w:trPr>
        <w:tc>
          <w:tcPr>
            <w:tcW w:w="0" w:type="auto"/>
          </w:tcPr>
          <w:p w:rsidR="00262E2B" w:rsidRPr="007C0F2C" w:rsidRDefault="00262E2B" w:rsidP="006C4607">
            <w:pPr>
              <w:pStyle w:val="naiskr"/>
              <w:spacing w:before="0" w:after="0"/>
              <w:rPr>
                <w:sz w:val="22"/>
                <w:szCs w:val="22"/>
              </w:rPr>
            </w:pPr>
            <w:r w:rsidRPr="007C0F2C">
              <w:rPr>
                <w:sz w:val="22"/>
                <w:szCs w:val="22"/>
              </w:rPr>
              <w:t>2.</w:t>
            </w:r>
          </w:p>
        </w:tc>
        <w:tc>
          <w:tcPr>
            <w:tcW w:w="0" w:type="auto"/>
          </w:tcPr>
          <w:p w:rsidR="00262E2B" w:rsidRPr="007C0F2C" w:rsidRDefault="00262E2B" w:rsidP="006C4607">
            <w:pPr>
              <w:pStyle w:val="naiskr"/>
              <w:tabs>
                <w:tab w:val="left" w:pos="170"/>
              </w:tabs>
              <w:spacing w:before="0" w:after="0"/>
              <w:rPr>
                <w:sz w:val="22"/>
                <w:szCs w:val="22"/>
              </w:rPr>
            </w:pPr>
            <w:r w:rsidRPr="007C0F2C">
              <w:rPr>
                <w:sz w:val="22"/>
                <w:szCs w:val="22"/>
              </w:rPr>
              <w:t>Pašreizējā situācija</w:t>
            </w:r>
            <w:r w:rsidR="001F5CD6" w:rsidRPr="007C0F2C">
              <w:rPr>
                <w:sz w:val="22"/>
                <w:szCs w:val="22"/>
              </w:rPr>
              <w:t xml:space="preserve"> un problēmas</w:t>
            </w:r>
          </w:p>
        </w:tc>
        <w:tc>
          <w:tcPr>
            <w:tcW w:w="0" w:type="auto"/>
          </w:tcPr>
          <w:p w:rsidR="00E23CAE" w:rsidRPr="003374B9" w:rsidRDefault="00E23CAE" w:rsidP="00E23CAE">
            <w:pPr>
              <w:jc w:val="both"/>
              <w:rPr>
                <w:sz w:val="22"/>
                <w:szCs w:val="22"/>
              </w:rPr>
            </w:pPr>
            <w:r w:rsidRPr="003374B9">
              <w:rPr>
                <w:sz w:val="22"/>
                <w:szCs w:val="22"/>
              </w:rPr>
              <w:t>Atbilstoši Ministru kabineta 2001.gada 20.marta noteikumiem Nr.129 „</w:t>
            </w:r>
            <w:r w:rsidRPr="003374B9">
              <w:rPr>
                <w:bCs/>
                <w:sz w:val="22"/>
                <w:szCs w:val="22"/>
              </w:rPr>
              <w:t xml:space="preserve">Ģimnāzijas un valsts ģimnāzijas statusa piešķiršanas un anulēšanas kārtība un kritēriji” (turpmāk – noteikumi) </w:t>
            </w:r>
            <w:r>
              <w:rPr>
                <w:sz w:val="22"/>
                <w:szCs w:val="22"/>
              </w:rPr>
              <w:t>Rīgas pilsētas</w:t>
            </w:r>
            <w:r w:rsidRPr="00CA7F94">
              <w:rPr>
                <w:sz w:val="22"/>
                <w:szCs w:val="22"/>
              </w:rPr>
              <w:t xml:space="preserve"> </w:t>
            </w:r>
            <w:r>
              <w:rPr>
                <w:sz w:val="22"/>
                <w:szCs w:val="22"/>
              </w:rPr>
              <w:t>2.</w:t>
            </w:r>
            <w:r w:rsidRPr="00CA7F94">
              <w:rPr>
                <w:sz w:val="22"/>
                <w:szCs w:val="22"/>
              </w:rPr>
              <w:t>ģimnāzija</w:t>
            </w:r>
            <w:r w:rsidRPr="003374B9">
              <w:rPr>
                <w:sz w:val="22"/>
                <w:szCs w:val="22"/>
              </w:rPr>
              <w:t xml:space="preserve"> (turpmāk</w:t>
            </w:r>
            <w:r>
              <w:rPr>
                <w:sz w:val="22"/>
                <w:szCs w:val="22"/>
              </w:rPr>
              <w:t xml:space="preserve"> arī</w:t>
            </w:r>
            <w:r w:rsidRPr="003374B9">
              <w:rPr>
                <w:sz w:val="22"/>
                <w:szCs w:val="22"/>
              </w:rPr>
              <w:t xml:space="preserve"> – ģimnāzija) p</w:t>
            </w:r>
            <w:r>
              <w:rPr>
                <w:sz w:val="22"/>
                <w:szCs w:val="22"/>
              </w:rPr>
              <w:t>ēc saskaņošanas ar Rīgas Domi</w:t>
            </w:r>
            <w:r w:rsidRPr="003374B9">
              <w:rPr>
                <w:sz w:val="22"/>
                <w:szCs w:val="22"/>
              </w:rPr>
              <w:t xml:space="preserve"> ir iesniegusi Izglītības un zinātnes ministrijā lūgumu piešķirt ģimnāzijai valsts ģimnāzijas statusu.</w:t>
            </w:r>
          </w:p>
          <w:p w:rsidR="003374B9" w:rsidRPr="00533E66" w:rsidRDefault="003374B9" w:rsidP="003374B9">
            <w:pPr>
              <w:pStyle w:val="BodyText"/>
              <w:jc w:val="both"/>
              <w:rPr>
                <w:bCs/>
                <w:sz w:val="22"/>
                <w:szCs w:val="22"/>
              </w:rPr>
            </w:pPr>
            <w:r w:rsidRPr="00533E66">
              <w:rPr>
                <w:bCs/>
                <w:sz w:val="22"/>
                <w:szCs w:val="22"/>
              </w:rPr>
              <w:t xml:space="preserve">   </w:t>
            </w:r>
            <w:r w:rsidR="00C52CFA">
              <w:rPr>
                <w:sz w:val="22"/>
                <w:szCs w:val="22"/>
              </w:rPr>
              <w:t xml:space="preserve">  Rīgas pilsētas 2.ģimnāzija</w:t>
            </w:r>
            <w:r w:rsidR="00C52CFA" w:rsidRPr="00533E66">
              <w:rPr>
                <w:bCs/>
                <w:sz w:val="22"/>
                <w:szCs w:val="22"/>
              </w:rPr>
              <w:t xml:space="preserve"> </w:t>
            </w:r>
            <w:r w:rsidRPr="00533E66">
              <w:rPr>
                <w:bCs/>
                <w:sz w:val="22"/>
                <w:szCs w:val="22"/>
              </w:rPr>
              <w:t xml:space="preserve">atbilst </w:t>
            </w:r>
            <w:r w:rsidRPr="00533E66">
              <w:rPr>
                <w:sz w:val="22"/>
                <w:szCs w:val="22"/>
              </w:rPr>
              <w:t>noteikumu</w:t>
            </w:r>
            <w:r w:rsidRPr="00533E66">
              <w:rPr>
                <w:bCs/>
                <w:sz w:val="22"/>
                <w:szCs w:val="22"/>
              </w:rPr>
              <w:t xml:space="preserve"> 5.punktā noteiktajiem kritērijiem </w:t>
            </w:r>
            <w:r w:rsidRPr="00533E66">
              <w:rPr>
                <w:sz w:val="22"/>
                <w:szCs w:val="22"/>
              </w:rPr>
              <w:t>pretendēšanai uz valsts ģimnāzijas statusu:</w:t>
            </w:r>
          </w:p>
          <w:p w:rsidR="003374B9" w:rsidRPr="00533E66" w:rsidRDefault="003374B9" w:rsidP="003374B9">
            <w:pPr>
              <w:pStyle w:val="BodyText"/>
              <w:jc w:val="both"/>
              <w:rPr>
                <w:sz w:val="22"/>
                <w:szCs w:val="22"/>
              </w:rPr>
            </w:pPr>
            <w:r w:rsidRPr="00533E66">
              <w:rPr>
                <w:sz w:val="22"/>
                <w:szCs w:val="22"/>
              </w:rPr>
              <w:t xml:space="preserve">   </w:t>
            </w:r>
            <w:r w:rsidR="008349EC">
              <w:rPr>
                <w:sz w:val="22"/>
                <w:szCs w:val="22"/>
              </w:rPr>
              <w:t xml:space="preserve">   </w:t>
            </w:r>
            <w:r w:rsidRPr="00533E66">
              <w:rPr>
                <w:sz w:val="22"/>
                <w:szCs w:val="22"/>
              </w:rPr>
              <w:t>1.</w:t>
            </w:r>
            <w:r w:rsidRPr="00533E66">
              <w:rPr>
                <w:bCs/>
                <w:sz w:val="22"/>
                <w:szCs w:val="22"/>
              </w:rPr>
              <w:t xml:space="preserve"> </w:t>
            </w:r>
            <w:r w:rsidR="00C52CFA">
              <w:rPr>
                <w:sz w:val="22"/>
                <w:szCs w:val="22"/>
              </w:rPr>
              <w:t>ģimnāzija</w:t>
            </w:r>
            <w:r w:rsidRPr="00533E66">
              <w:rPr>
                <w:bCs/>
                <w:sz w:val="22"/>
                <w:szCs w:val="22"/>
              </w:rPr>
              <w:t xml:space="preserve"> </w:t>
            </w:r>
            <w:r w:rsidR="00BD07B1" w:rsidRPr="00533E66">
              <w:rPr>
                <w:sz w:val="22"/>
                <w:szCs w:val="22"/>
              </w:rPr>
              <w:t>īsteno četr</w:t>
            </w:r>
            <w:r w:rsidR="00C52CFA">
              <w:rPr>
                <w:sz w:val="22"/>
                <w:szCs w:val="22"/>
              </w:rPr>
              <w:t>u virzienu</w:t>
            </w:r>
            <w:r w:rsidRPr="00533E66">
              <w:rPr>
                <w:sz w:val="22"/>
                <w:szCs w:val="22"/>
              </w:rPr>
              <w:t xml:space="preserve"> vispārējās vidējās izglītības programmas: vispārizglītojošā virziena;  matemātikas, </w:t>
            </w:r>
            <w:proofErr w:type="spellStart"/>
            <w:r w:rsidRPr="00533E66">
              <w:rPr>
                <w:sz w:val="22"/>
                <w:szCs w:val="22"/>
              </w:rPr>
              <w:t>dabaszinību</w:t>
            </w:r>
            <w:proofErr w:type="spellEnd"/>
            <w:r w:rsidRPr="00533E66">
              <w:rPr>
                <w:sz w:val="22"/>
                <w:szCs w:val="22"/>
              </w:rPr>
              <w:t xml:space="preserve"> un tehnikas virziena</w:t>
            </w:r>
            <w:r w:rsidR="00BD07B1" w:rsidRPr="00533E66">
              <w:rPr>
                <w:sz w:val="22"/>
                <w:szCs w:val="22"/>
              </w:rPr>
              <w:t>, humanitārā un sociālā virziena</w:t>
            </w:r>
            <w:r w:rsidRPr="00533E66">
              <w:rPr>
                <w:sz w:val="22"/>
                <w:szCs w:val="22"/>
              </w:rPr>
              <w:t xml:space="preserve"> un</w:t>
            </w:r>
            <w:r w:rsidR="00BD07B1" w:rsidRPr="00533E66">
              <w:rPr>
                <w:sz w:val="22"/>
                <w:szCs w:val="22"/>
              </w:rPr>
              <w:t xml:space="preserve"> profesionāli o</w:t>
            </w:r>
            <w:r w:rsidR="00696704" w:rsidRPr="00533E66">
              <w:rPr>
                <w:sz w:val="22"/>
                <w:szCs w:val="22"/>
              </w:rPr>
              <w:t>rientēta</w:t>
            </w:r>
            <w:r w:rsidRPr="00533E66">
              <w:rPr>
                <w:sz w:val="22"/>
                <w:szCs w:val="22"/>
              </w:rPr>
              <w:t xml:space="preserve"> virziena</w:t>
            </w:r>
            <w:r w:rsidR="00696704" w:rsidRPr="00533E66">
              <w:rPr>
                <w:sz w:val="22"/>
                <w:szCs w:val="22"/>
              </w:rPr>
              <w:t xml:space="preserve"> izglītības programmas</w:t>
            </w:r>
            <w:r w:rsidR="000F54CB" w:rsidRPr="00533E66">
              <w:rPr>
                <w:sz w:val="22"/>
                <w:szCs w:val="22"/>
              </w:rPr>
              <w:t xml:space="preserve">, kā arī </w:t>
            </w:r>
            <w:r w:rsidRPr="00533E66">
              <w:rPr>
                <w:sz w:val="22"/>
                <w:szCs w:val="22"/>
              </w:rPr>
              <w:t>pamatiz</w:t>
            </w:r>
            <w:r w:rsidR="000F54CB" w:rsidRPr="00533E66">
              <w:rPr>
                <w:sz w:val="22"/>
                <w:szCs w:val="22"/>
              </w:rPr>
              <w:t xml:space="preserve">glītības </w:t>
            </w:r>
            <w:r w:rsidR="00C52CFA">
              <w:rPr>
                <w:sz w:val="22"/>
                <w:szCs w:val="22"/>
              </w:rPr>
              <w:t xml:space="preserve">otrā posma (7.-9.klase) </w:t>
            </w:r>
            <w:r w:rsidR="000F54CB" w:rsidRPr="00533E66">
              <w:rPr>
                <w:sz w:val="22"/>
                <w:szCs w:val="22"/>
              </w:rPr>
              <w:t>programmu</w:t>
            </w:r>
            <w:r w:rsidRPr="00533E66">
              <w:rPr>
                <w:sz w:val="22"/>
                <w:szCs w:val="22"/>
              </w:rPr>
              <w:t>;</w:t>
            </w:r>
          </w:p>
          <w:p w:rsidR="003374B9" w:rsidRPr="00533E66" w:rsidRDefault="003374B9" w:rsidP="003374B9">
            <w:pPr>
              <w:pStyle w:val="BodyText"/>
              <w:jc w:val="both"/>
              <w:rPr>
                <w:sz w:val="22"/>
                <w:szCs w:val="22"/>
              </w:rPr>
            </w:pPr>
            <w:r w:rsidRPr="00533E66">
              <w:rPr>
                <w:sz w:val="22"/>
                <w:szCs w:val="22"/>
              </w:rPr>
              <w:t xml:space="preserve">   </w:t>
            </w:r>
            <w:r w:rsidR="008349EC">
              <w:rPr>
                <w:sz w:val="22"/>
                <w:szCs w:val="22"/>
              </w:rPr>
              <w:t xml:space="preserve">   </w:t>
            </w:r>
            <w:r w:rsidRPr="00533E66">
              <w:rPr>
                <w:sz w:val="22"/>
                <w:szCs w:val="22"/>
              </w:rPr>
              <w:t xml:space="preserve">2. 10. līdz 12.klasē </w:t>
            </w:r>
            <w:r w:rsidR="00C52CFA">
              <w:rPr>
                <w:sz w:val="22"/>
                <w:szCs w:val="22"/>
              </w:rPr>
              <w:t xml:space="preserve"> Rīgas pilsētas 2.ģimnāzijā</w:t>
            </w:r>
            <w:r w:rsidR="00C52CFA" w:rsidRPr="00533E66">
              <w:rPr>
                <w:sz w:val="22"/>
                <w:szCs w:val="22"/>
              </w:rPr>
              <w:t xml:space="preserve"> </w:t>
            </w:r>
            <w:r w:rsidR="00C52CFA">
              <w:rPr>
                <w:sz w:val="22"/>
                <w:szCs w:val="22"/>
              </w:rPr>
              <w:t>mācās 557</w:t>
            </w:r>
            <w:r w:rsidR="000B7D4E" w:rsidRPr="00533E66">
              <w:rPr>
                <w:sz w:val="22"/>
                <w:szCs w:val="22"/>
              </w:rPr>
              <w:t xml:space="preserve"> skolēni</w:t>
            </w:r>
            <w:r w:rsidR="00C52CFA">
              <w:rPr>
                <w:sz w:val="22"/>
                <w:szCs w:val="22"/>
              </w:rPr>
              <w:t xml:space="preserve"> (kopā 7.-12.klasēs mācās 844</w:t>
            </w:r>
            <w:r w:rsidRPr="00533E66">
              <w:rPr>
                <w:sz w:val="22"/>
                <w:szCs w:val="22"/>
              </w:rPr>
              <w:t xml:space="preserve"> skolēni);</w:t>
            </w:r>
          </w:p>
          <w:p w:rsidR="003374B9" w:rsidRPr="00533E66" w:rsidRDefault="003374B9" w:rsidP="003374B9">
            <w:pPr>
              <w:pStyle w:val="BodyText"/>
              <w:jc w:val="both"/>
              <w:rPr>
                <w:sz w:val="22"/>
                <w:szCs w:val="22"/>
              </w:rPr>
            </w:pPr>
            <w:r w:rsidRPr="00533E66">
              <w:rPr>
                <w:sz w:val="22"/>
                <w:szCs w:val="22"/>
              </w:rPr>
              <w:t xml:space="preserve">   </w:t>
            </w:r>
            <w:r w:rsidR="008349EC">
              <w:rPr>
                <w:sz w:val="22"/>
                <w:szCs w:val="22"/>
              </w:rPr>
              <w:t xml:space="preserve">   </w:t>
            </w:r>
            <w:r w:rsidRPr="00533E66">
              <w:rPr>
                <w:sz w:val="22"/>
                <w:szCs w:val="22"/>
              </w:rPr>
              <w:t xml:space="preserve">3. mācību sasniegumu novērtējums centralizētajos eksāmenos </w:t>
            </w:r>
            <w:r w:rsidR="00C52CFA">
              <w:rPr>
                <w:sz w:val="22"/>
                <w:szCs w:val="22"/>
              </w:rPr>
              <w:t xml:space="preserve"> Rīgas pilsētas 2.ģimnāzijā</w:t>
            </w:r>
            <w:r w:rsidRPr="00533E66">
              <w:rPr>
                <w:bCs/>
                <w:sz w:val="22"/>
                <w:szCs w:val="22"/>
              </w:rPr>
              <w:t xml:space="preserve"> </w:t>
            </w:r>
            <w:r w:rsidRPr="00533E66">
              <w:rPr>
                <w:sz w:val="22"/>
                <w:szCs w:val="22"/>
              </w:rPr>
              <w:t>nav zemāks par C līme</w:t>
            </w:r>
            <w:r w:rsidR="008349EC">
              <w:rPr>
                <w:sz w:val="22"/>
                <w:szCs w:val="22"/>
              </w:rPr>
              <w:t>ni (atbilst A, B un C līmenim):</w:t>
            </w:r>
          </w:p>
          <w:p w:rsidR="003374B9" w:rsidRPr="00533E66" w:rsidRDefault="000F54CB" w:rsidP="003374B9">
            <w:pPr>
              <w:pStyle w:val="BodyText"/>
              <w:tabs>
                <w:tab w:val="left" w:pos="3140"/>
                <w:tab w:val="left" w:pos="3553"/>
              </w:tabs>
              <w:jc w:val="both"/>
              <w:rPr>
                <w:sz w:val="22"/>
                <w:szCs w:val="22"/>
              </w:rPr>
            </w:pPr>
            <w:r w:rsidRPr="00533E66">
              <w:rPr>
                <w:sz w:val="22"/>
                <w:szCs w:val="22"/>
              </w:rPr>
              <w:t xml:space="preserve">        2008</w:t>
            </w:r>
            <w:r w:rsidR="003374B9" w:rsidRPr="00533E66">
              <w:rPr>
                <w:sz w:val="22"/>
                <w:szCs w:val="22"/>
              </w:rPr>
              <w:t>.</w:t>
            </w:r>
            <w:r w:rsidR="00C52CFA">
              <w:rPr>
                <w:sz w:val="22"/>
                <w:szCs w:val="22"/>
              </w:rPr>
              <w:t>/2009.mācību gadā – 91,1 procenta</w:t>
            </w:r>
            <w:r w:rsidR="003374B9" w:rsidRPr="00533E66">
              <w:rPr>
                <w:sz w:val="22"/>
                <w:szCs w:val="22"/>
              </w:rPr>
              <w:t>m skolēnu;</w:t>
            </w:r>
          </w:p>
          <w:p w:rsidR="003374B9" w:rsidRPr="00533E66" w:rsidRDefault="003374B9" w:rsidP="003374B9">
            <w:pPr>
              <w:pStyle w:val="BodyText"/>
              <w:tabs>
                <w:tab w:val="left" w:pos="3140"/>
                <w:tab w:val="left" w:pos="3553"/>
              </w:tabs>
              <w:rPr>
                <w:sz w:val="22"/>
                <w:szCs w:val="22"/>
              </w:rPr>
            </w:pPr>
            <w:r w:rsidRPr="00533E66">
              <w:rPr>
                <w:sz w:val="22"/>
                <w:szCs w:val="22"/>
              </w:rPr>
              <w:t xml:space="preserve">         </w:t>
            </w:r>
            <w:r w:rsidR="000F54CB" w:rsidRPr="00533E66">
              <w:rPr>
                <w:sz w:val="22"/>
                <w:szCs w:val="22"/>
              </w:rPr>
              <w:t>2009./2010</w:t>
            </w:r>
            <w:r w:rsidR="00696704" w:rsidRPr="00533E66">
              <w:rPr>
                <w:sz w:val="22"/>
                <w:szCs w:val="22"/>
              </w:rPr>
              <w:t>.mācību gadā –</w:t>
            </w:r>
            <w:r w:rsidR="00C52CFA">
              <w:rPr>
                <w:sz w:val="22"/>
                <w:szCs w:val="22"/>
              </w:rPr>
              <w:t xml:space="preserve"> 92,7</w:t>
            </w:r>
            <w:r w:rsidRPr="00533E66">
              <w:rPr>
                <w:sz w:val="22"/>
                <w:szCs w:val="22"/>
              </w:rPr>
              <w:t xml:space="preserve"> procentiem skolēnu;</w:t>
            </w:r>
          </w:p>
          <w:p w:rsidR="00FB7D47" w:rsidRPr="00533E66" w:rsidRDefault="003374B9" w:rsidP="00DE16D9">
            <w:pPr>
              <w:pStyle w:val="BodyText"/>
              <w:jc w:val="both"/>
              <w:rPr>
                <w:sz w:val="22"/>
                <w:szCs w:val="22"/>
              </w:rPr>
            </w:pPr>
            <w:r w:rsidRPr="00533E66">
              <w:rPr>
                <w:sz w:val="22"/>
                <w:szCs w:val="22"/>
              </w:rPr>
              <w:t xml:space="preserve">   </w:t>
            </w:r>
            <w:r w:rsidR="008349EC">
              <w:rPr>
                <w:sz w:val="22"/>
                <w:szCs w:val="22"/>
              </w:rPr>
              <w:t xml:space="preserve">   4. Rīgas pilsētā </w:t>
            </w:r>
            <w:proofErr w:type="spellStart"/>
            <w:r w:rsidR="008349EC">
              <w:rPr>
                <w:sz w:val="22"/>
                <w:szCs w:val="22"/>
              </w:rPr>
              <w:t>tālākizglītības</w:t>
            </w:r>
            <w:proofErr w:type="spellEnd"/>
            <w:r w:rsidR="008349EC">
              <w:rPr>
                <w:sz w:val="22"/>
                <w:szCs w:val="22"/>
              </w:rPr>
              <w:t xml:space="preserve"> un metodiskā darba organizācija ir centralizēta un to veic Rīgas Izglītības un informatīvi metodiskais centrs. </w:t>
            </w:r>
            <w:r w:rsidR="00C52CFA">
              <w:rPr>
                <w:sz w:val="22"/>
                <w:szCs w:val="22"/>
              </w:rPr>
              <w:t xml:space="preserve">Rīgas </w:t>
            </w:r>
            <w:r w:rsidR="00C52CFA" w:rsidRPr="008349EC">
              <w:rPr>
                <w:sz w:val="22"/>
                <w:szCs w:val="22"/>
              </w:rPr>
              <w:t>pilsētas 2.ģimnāzija aktīvi</w:t>
            </w:r>
            <w:r w:rsidRPr="008349EC">
              <w:rPr>
                <w:sz w:val="22"/>
                <w:szCs w:val="22"/>
              </w:rPr>
              <w:t xml:space="preserve"> </w:t>
            </w:r>
            <w:r w:rsidR="008349EC">
              <w:rPr>
                <w:sz w:val="22"/>
                <w:szCs w:val="22"/>
              </w:rPr>
              <w:t>piedalās  Rīgas Izglītības un informatīvi metodiskā centra darbā</w:t>
            </w:r>
            <w:r w:rsidRPr="008349EC">
              <w:rPr>
                <w:sz w:val="22"/>
                <w:szCs w:val="22"/>
              </w:rPr>
              <w:t xml:space="preserve">. </w:t>
            </w:r>
            <w:r w:rsidR="00FB7D47">
              <w:rPr>
                <w:sz w:val="22"/>
                <w:szCs w:val="22"/>
              </w:rPr>
              <w:t xml:space="preserve">Ģimnāzijā tiek rīkoti un atbalstīti daudzveidīgi pasākumi pedagogiem un izglītojamiem Rīgas pilsētas Ziemeļu rajona, Rīgas pilsētas un valsts mērogā. Ģimnāzijas pedagogi gan organizē izglītojoši metodiskus pasākumus citiem pedagogiem, gan paši piedalās pieredzes apmaiņas semināros un pasākumos. Ģimnāzijas pedagogi ir vairāku mācību grāmatu autori vai līdzautori: vēstures skolotāja Vita Krieviņa, Latviešu valodas skolotājas Vija </w:t>
            </w:r>
            <w:proofErr w:type="spellStart"/>
            <w:r w:rsidR="00FB7D47">
              <w:rPr>
                <w:sz w:val="22"/>
                <w:szCs w:val="22"/>
              </w:rPr>
              <w:t>Valtere</w:t>
            </w:r>
            <w:proofErr w:type="spellEnd"/>
            <w:r w:rsidR="00FB7D47">
              <w:rPr>
                <w:sz w:val="22"/>
                <w:szCs w:val="22"/>
              </w:rPr>
              <w:t xml:space="preserve"> un Daina </w:t>
            </w:r>
            <w:proofErr w:type="spellStart"/>
            <w:r w:rsidR="00FB7D47">
              <w:rPr>
                <w:sz w:val="22"/>
                <w:szCs w:val="22"/>
              </w:rPr>
              <w:t>Štokmane</w:t>
            </w:r>
            <w:proofErr w:type="spellEnd"/>
            <w:r w:rsidR="00FB7D47">
              <w:rPr>
                <w:sz w:val="22"/>
                <w:szCs w:val="22"/>
              </w:rPr>
              <w:t xml:space="preserve">, matemātikas skolotāji Daina </w:t>
            </w:r>
            <w:proofErr w:type="spellStart"/>
            <w:r w:rsidR="00FB7D47">
              <w:rPr>
                <w:sz w:val="22"/>
                <w:szCs w:val="22"/>
              </w:rPr>
              <w:t>Briņķe</w:t>
            </w:r>
            <w:proofErr w:type="spellEnd"/>
            <w:r w:rsidR="00FB7D47">
              <w:rPr>
                <w:sz w:val="22"/>
                <w:szCs w:val="22"/>
              </w:rPr>
              <w:t xml:space="preserve"> un Armands </w:t>
            </w:r>
            <w:proofErr w:type="spellStart"/>
            <w:r w:rsidR="00FB7D47">
              <w:rPr>
                <w:sz w:val="22"/>
                <w:szCs w:val="22"/>
              </w:rPr>
              <w:t>Gruzinskis</w:t>
            </w:r>
            <w:proofErr w:type="spellEnd"/>
            <w:r w:rsidR="00FB7D47">
              <w:rPr>
                <w:sz w:val="22"/>
                <w:szCs w:val="22"/>
              </w:rPr>
              <w:t>.</w:t>
            </w:r>
          </w:p>
          <w:p w:rsidR="003374B9" w:rsidRPr="00533E66" w:rsidRDefault="00533E66" w:rsidP="00696704">
            <w:pPr>
              <w:pStyle w:val="BodyText"/>
              <w:jc w:val="both"/>
              <w:rPr>
                <w:sz w:val="22"/>
                <w:szCs w:val="22"/>
              </w:rPr>
            </w:pPr>
            <w:r>
              <w:rPr>
                <w:sz w:val="22"/>
                <w:szCs w:val="22"/>
              </w:rPr>
              <w:t xml:space="preserve">   </w:t>
            </w:r>
            <w:r w:rsidR="003374B9" w:rsidRPr="00533E66">
              <w:rPr>
                <w:sz w:val="22"/>
                <w:szCs w:val="22"/>
              </w:rPr>
              <w:t xml:space="preserve">    </w:t>
            </w:r>
            <w:r w:rsidR="00D577A2">
              <w:rPr>
                <w:sz w:val="22"/>
                <w:szCs w:val="22"/>
              </w:rPr>
              <w:t>Pašlaik Latvijā ir 25</w:t>
            </w:r>
            <w:r w:rsidR="003374B9" w:rsidRPr="00533E66">
              <w:rPr>
                <w:sz w:val="22"/>
                <w:szCs w:val="22"/>
              </w:rPr>
              <w:t xml:space="preserve"> valsts ģimnāzija</w:t>
            </w:r>
            <w:r w:rsidR="00696704" w:rsidRPr="00533E66">
              <w:rPr>
                <w:sz w:val="22"/>
                <w:szCs w:val="22"/>
              </w:rPr>
              <w:t xml:space="preserve">s. </w:t>
            </w:r>
            <w:r w:rsidR="003374B9" w:rsidRPr="00533E66">
              <w:rPr>
                <w:sz w:val="22"/>
                <w:szCs w:val="22"/>
              </w:rPr>
              <w:t>Skolēnu starptautiskās novērtēšanas programmas (</w:t>
            </w:r>
            <w:r w:rsidR="003374B9" w:rsidRPr="00533E66">
              <w:rPr>
                <w:i/>
                <w:sz w:val="22"/>
                <w:szCs w:val="22"/>
              </w:rPr>
              <w:t xml:space="preserve">PISA – </w:t>
            </w:r>
            <w:proofErr w:type="spellStart"/>
            <w:r w:rsidR="003374B9" w:rsidRPr="00533E66">
              <w:rPr>
                <w:i/>
                <w:sz w:val="22"/>
                <w:szCs w:val="22"/>
              </w:rPr>
              <w:t>Programme</w:t>
            </w:r>
            <w:proofErr w:type="spellEnd"/>
            <w:r w:rsidR="003374B9" w:rsidRPr="00533E66">
              <w:rPr>
                <w:i/>
                <w:sz w:val="22"/>
                <w:szCs w:val="22"/>
              </w:rPr>
              <w:t xml:space="preserve"> </w:t>
            </w:r>
            <w:proofErr w:type="spellStart"/>
            <w:r w:rsidR="003374B9" w:rsidRPr="00533E66">
              <w:rPr>
                <w:i/>
                <w:sz w:val="22"/>
                <w:szCs w:val="22"/>
              </w:rPr>
              <w:t>for</w:t>
            </w:r>
            <w:proofErr w:type="spellEnd"/>
            <w:r w:rsidR="003374B9" w:rsidRPr="00533E66">
              <w:rPr>
                <w:i/>
                <w:sz w:val="22"/>
                <w:szCs w:val="22"/>
              </w:rPr>
              <w:t xml:space="preserve"> </w:t>
            </w:r>
            <w:proofErr w:type="spellStart"/>
            <w:r w:rsidR="003374B9" w:rsidRPr="00533E66">
              <w:rPr>
                <w:i/>
                <w:sz w:val="22"/>
                <w:szCs w:val="22"/>
              </w:rPr>
              <w:t>International</w:t>
            </w:r>
            <w:proofErr w:type="spellEnd"/>
            <w:r w:rsidR="003374B9" w:rsidRPr="00533E66">
              <w:rPr>
                <w:i/>
                <w:sz w:val="22"/>
                <w:szCs w:val="22"/>
              </w:rPr>
              <w:t xml:space="preserve"> Student </w:t>
            </w:r>
            <w:proofErr w:type="spellStart"/>
            <w:r w:rsidR="003374B9" w:rsidRPr="00533E66">
              <w:rPr>
                <w:i/>
                <w:sz w:val="22"/>
                <w:szCs w:val="22"/>
              </w:rPr>
              <w:t>Assessment</w:t>
            </w:r>
            <w:proofErr w:type="spellEnd"/>
            <w:r w:rsidR="003374B9" w:rsidRPr="00533E66">
              <w:rPr>
                <w:sz w:val="22"/>
                <w:szCs w:val="22"/>
              </w:rPr>
              <w:t>) rezultāti liecina, ka skolēni, kuri šajā pētījumā sasniedz augstāko vērtējuma līmeni, ietekmē to, cik attiecīgajā valstī būs augstākās klases speciālistu nākotnē.</w:t>
            </w:r>
            <w:r w:rsidR="00696704" w:rsidRPr="00533E66">
              <w:rPr>
                <w:sz w:val="22"/>
                <w:szCs w:val="22"/>
              </w:rPr>
              <w:t xml:space="preserve"> </w:t>
            </w:r>
            <w:r w:rsidR="00FB7D47">
              <w:rPr>
                <w:sz w:val="22"/>
                <w:szCs w:val="22"/>
              </w:rPr>
              <w:t>Diemžēl Latvijā šādu skolēnu ir ļoti maz un ievērojami mazāk kā</w:t>
            </w:r>
            <w:r w:rsidR="00D577A2">
              <w:rPr>
                <w:sz w:val="22"/>
                <w:szCs w:val="22"/>
              </w:rPr>
              <w:t>, piemēram,</w:t>
            </w:r>
            <w:r w:rsidR="00FB7D47">
              <w:rPr>
                <w:sz w:val="22"/>
                <w:szCs w:val="22"/>
              </w:rPr>
              <w:t xml:space="preserve"> Igaunijā vai Somijā. </w:t>
            </w:r>
            <w:r w:rsidR="00696704" w:rsidRPr="00533E66">
              <w:rPr>
                <w:sz w:val="22"/>
                <w:szCs w:val="22"/>
              </w:rPr>
              <w:t>Īpaši m</w:t>
            </w:r>
            <w:r w:rsidR="003374B9" w:rsidRPr="00533E66">
              <w:rPr>
                <w:sz w:val="22"/>
                <w:szCs w:val="22"/>
              </w:rPr>
              <w:t>ate</w:t>
            </w:r>
            <w:r w:rsidR="00696704" w:rsidRPr="00533E66">
              <w:rPr>
                <w:sz w:val="22"/>
                <w:szCs w:val="22"/>
              </w:rPr>
              <w:t xml:space="preserve">mātiskā un dabaszinātniskā </w:t>
            </w:r>
            <w:r w:rsidR="003374B9" w:rsidRPr="00533E66">
              <w:rPr>
                <w:sz w:val="22"/>
                <w:szCs w:val="22"/>
              </w:rPr>
              <w:t xml:space="preserve">izglītība mūsdienās ir kļuvusi ļoti nozīmīga nopietnai modernās sabiedrības ekoloģisko, medicīnisko, ekonomisko un citu problēmu izpratnei. </w:t>
            </w:r>
            <w:r w:rsidR="00696704" w:rsidRPr="00533E66">
              <w:rPr>
                <w:sz w:val="22"/>
                <w:szCs w:val="22"/>
              </w:rPr>
              <w:t>Spējīgāko skolēnu sasniegumiem</w:t>
            </w:r>
            <w:r w:rsidR="003374B9" w:rsidRPr="00533E66">
              <w:rPr>
                <w:sz w:val="22"/>
                <w:szCs w:val="22"/>
              </w:rPr>
              <w:t xml:space="preserve">, iespējams, ir būtiska ietekme uz to lomu, kādu attiecīgā valsts ieņems nākotnes vadošajās tehnoloģijās un vispār uz valsts konkurētspēju pasaulē. </w:t>
            </w:r>
          </w:p>
          <w:p w:rsidR="00262E2B" w:rsidRPr="00533E66" w:rsidRDefault="003374B9" w:rsidP="00CE55F6">
            <w:pPr>
              <w:pStyle w:val="naiskr"/>
              <w:spacing w:before="0" w:after="0"/>
              <w:jc w:val="both"/>
              <w:rPr>
                <w:sz w:val="22"/>
                <w:szCs w:val="22"/>
              </w:rPr>
            </w:pPr>
            <w:r w:rsidRPr="00533E66">
              <w:rPr>
                <w:sz w:val="22"/>
                <w:szCs w:val="22"/>
              </w:rPr>
              <w:lastRenderedPageBreak/>
              <w:t xml:space="preserve">   </w:t>
            </w:r>
            <w:r w:rsidR="00920052" w:rsidRPr="00533E66">
              <w:rPr>
                <w:sz w:val="22"/>
                <w:szCs w:val="22"/>
              </w:rPr>
              <w:t xml:space="preserve"> </w:t>
            </w:r>
            <w:r w:rsidRPr="00533E66">
              <w:rPr>
                <w:sz w:val="22"/>
                <w:szCs w:val="22"/>
              </w:rPr>
              <w:t xml:space="preserve">Šo skolēnu grupu Latvijā palīdz palielināt valsts ģimnāziju tīkls. Valsts ģimnāzijās </w:t>
            </w:r>
            <w:r w:rsidR="00D577A2">
              <w:rPr>
                <w:sz w:val="22"/>
                <w:szCs w:val="22"/>
              </w:rPr>
              <w:t>2010./2011.mācību gadā mācās 16,7% no 10.-12.klašu skolēniem</w:t>
            </w:r>
            <w:r w:rsidRPr="00533E66">
              <w:rPr>
                <w:sz w:val="22"/>
                <w:szCs w:val="22"/>
              </w:rPr>
              <w:t xml:space="preserve"> un tās ir viens no būtiskiem valsts pasākumiem talantīgo un spējīgo skolēnu atbalstam.</w:t>
            </w:r>
            <w:r w:rsidR="00920052" w:rsidRPr="00533E66">
              <w:rPr>
                <w:sz w:val="22"/>
                <w:szCs w:val="22"/>
              </w:rPr>
              <w:t xml:space="preserve"> </w:t>
            </w:r>
          </w:p>
        </w:tc>
      </w:tr>
      <w:tr w:rsidR="00262E2B" w:rsidRPr="007C0F2C" w:rsidTr="00063894">
        <w:trPr>
          <w:trHeight w:val="819"/>
        </w:trPr>
        <w:tc>
          <w:tcPr>
            <w:tcW w:w="0" w:type="auto"/>
          </w:tcPr>
          <w:p w:rsidR="00262E2B" w:rsidRPr="007C0F2C" w:rsidRDefault="00262E2B" w:rsidP="006C4607">
            <w:pPr>
              <w:pStyle w:val="naiskr"/>
              <w:spacing w:before="0" w:after="0"/>
              <w:rPr>
                <w:sz w:val="22"/>
                <w:szCs w:val="22"/>
              </w:rPr>
            </w:pPr>
            <w:r w:rsidRPr="007C0F2C">
              <w:rPr>
                <w:sz w:val="22"/>
                <w:szCs w:val="22"/>
              </w:rPr>
              <w:lastRenderedPageBreak/>
              <w:t>3.</w:t>
            </w:r>
          </w:p>
        </w:tc>
        <w:tc>
          <w:tcPr>
            <w:tcW w:w="0" w:type="auto"/>
          </w:tcPr>
          <w:p w:rsidR="00262E2B" w:rsidRPr="007C0F2C" w:rsidRDefault="00420870" w:rsidP="006C4607">
            <w:pPr>
              <w:pStyle w:val="naiskr"/>
              <w:spacing w:before="0" w:after="0"/>
              <w:rPr>
                <w:sz w:val="22"/>
                <w:szCs w:val="22"/>
              </w:rPr>
            </w:pPr>
            <w:r w:rsidRPr="007C0F2C">
              <w:rPr>
                <w:sz w:val="22"/>
                <w:szCs w:val="22"/>
              </w:rPr>
              <w:t>S</w:t>
            </w:r>
            <w:r w:rsidR="000B69CF" w:rsidRPr="007C0F2C">
              <w:rPr>
                <w:sz w:val="22"/>
                <w:szCs w:val="22"/>
              </w:rPr>
              <w:t xml:space="preserve">aistītie </w:t>
            </w:r>
            <w:r w:rsidR="001A6AE4" w:rsidRPr="007C0F2C">
              <w:rPr>
                <w:sz w:val="22"/>
                <w:szCs w:val="22"/>
              </w:rPr>
              <w:t>politikas ietekmes novērtējumi</w:t>
            </w:r>
            <w:r w:rsidR="00CB0247" w:rsidRPr="007C0F2C">
              <w:rPr>
                <w:sz w:val="22"/>
                <w:szCs w:val="22"/>
              </w:rPr>
              <w:t xml:space="preserve"> un</w:t>
            </w:r>
            <w:r w:rsidR="001A6AE4" w:rsidRPr="007C0F2C">
              <w:rPr>
                <w:sz w:val="22"/>
                <w:szCs w:val="22"/>
              </w:rPr>
              <w:t xml:space="preserve"> </w:t>
            </w:r>
            <w:r w:rsidR="000B69CF" w:rsidRPr="007C0F2C">
              <w:rPr>
                <w:sz w:val="22"/>
                <w:szCs w:val="22"/>
              </w:rPr>
              <w:t>pētījumi</w:t>
            </w:r>
          </w:p>
        </w:tc>
        <w:tc>
          <w:tcPr>
            <w:tcW w:w="0" w:type="auto"/>
          </w:tcPr>
          <w:p w:rsidR="00D20FF4" w:rsidRPr="007C0F2C" w:rsidRDefault="00EF6A5D" w:rsidP="006C4607">
            <w:pPr>
              <w:pStyle w:val="FootnoteText"/>
              <w:rPr>
                <w:sz w:val="22"/>
                <w:szCs w:val="22"/>
              </w:rPr>
            </w:pPr>
            <w:r>
              <w:rPr>
                <w:sz w:val="22"/>
                <w:szCs w:val="22"/>
              </w:rPr>
              <w:t>Projekts šo jomu neskar</w:t>
            </w:r>
          </w:p>
        </w:tc>
      </w:tr>
      <w:tr w:rsidR="00262E2B" w:rsidRPr="007C0F2C" w:rsidTr="00063894">
        <w:trPr>
          <w:trHeight w:val="384"/>
        </w:trPr>
        <w:tc>
          <w:tcPr>
            <w:tcW w:w="0" w:type="auto"/>
          </w:tcPr>
          <w:p w:rsidR="00262E2B" w:rsidRPr="007C0F2C" w:rsidRDefault="00262E2B" w:rsidP="006C4607">
            <w:pPr>
              <w:pStyle w:val="naiskr"/>
              <w:spacing w:before="0" w:after="0"/>
              <w:rPr>
                <w:sz w:val="22"/>
                <w:szCs w:val="22"/>
              </w:rPr>
            </w:pPr>
            <w:r w:rsidRPr="007C0F2C">
              <w:rPr>
                <w:sz w:val="22"/>
                <w:szCs w:val="22"/>
              </w:rPr>
              <w:t>4.</w:t>
            </w:r>
          </w:p>
        </w:tc>
        <w:tc>
          <w:tcPr>
            <w:tcW w:w="0" w:type="auto"/>
          </w:tcPr>
          <w:p w:rsidR="00262E2B" w:rsidRPr="007C0F2C" w:rsidRDefault="000C790C" w:rsidP="006C4607">
            <w:pPr>
              <w:pStyle w:val="naiskr"/>
              <w:spacing w:before="0" w:after="0"/>
              <w:rPr>
                <w:sz w:val="22"/>
                <w:szCs w:val="22"/>
              </w:rPr>
            </w:pPr>
            <w:r w:rsidRPr="007C0F2C">
              <w:rPr>
                <w:sz w:val="22"/>
                <w:szCs w:val="22"/>
              </w:rPr>
              <w:t>Tiesiskā r</w:t>
            </w:r>
            <w:r w:rsidR="00400032" w:rsidRPr="007C0F2C">
              <w:rPr>
                <w:sz w:val="22"/>
                <w:szCs w:val="22"/>
              </w:rPr>
              <w:t xml:space="preserve">egulējuma </w:t>
            </w:r>
            <w:r w:rsidR="00262E2B" w:rsidRPr="007C0F2C">
              <w:rPr>
                <w:sz w:val="22"/>
                <w:szCs w:val="22"/>
              </w:rPr>
              <w:t>mērķis un būtība</w:t>
            </w:r>
          </w:p>
        </w:tc>
        <w:tc>
          <w:tcPr>
            <w:tcW w:w="0" w:type="auto"/>
          </w:tcPr>
          <w:p w:rsidR="00262E2B" w:rsidRPr="007C0F2C" w:rsidRDefault="00165A00" w:rsidP="006C4607">
            <w:pPr>
              <w:pStyle w:val="naiskr"/>
              <w:spacing w:before="0" w:after="0"/>
              <w:rPr>
                <w:sz w:val="22"/>
                <w:szCs w:val="22"/>
              </w:rPr>
            </w:pPr>
            <w:r>
              <w:rPr>
                <w:iCs/>
                <w:sz w:val="22"/>
                <w:szCs w:val="22"/>
              </w:rPr>
              <w:t>Piešķirt valsts ģimnāzijas sta</w:t>
            </w:r>
            <w:r w:rsidR="00CE55F6">
              <w:rPr>
                <w:iCs/>
                <w:sz w:val="22"/>
                <w:szCs w:val="22"/>
              </w:rPr>
              <w:t xml:space="preserve">tusu </w:t>
            </w:r>
            <w:r w:rsidR="00FB7D47">
              <w:rPr>
                <w:sz w:val="22"/>
                <w:szCs w:val="22"/>
              </w:rPr>
              <w:t xml:space="preserve"> Rīgas </w:t>
            </w:r>
            <w:r w:rsidR="00FB7D47" w:rsidRPr="008349EC">
              <w:rPr>
                <w:sz w:val="22"/>
                <w:szCs w:val="22"/>
              </w:rPr>
              <w:t>pilsētas 2.ģimnāzija</w:t>
            </w:r>
            <w:r w:rsidR="00FB7D47">
              <w:rPr>
                <w:sz w:val="22"/>
                <w:szCs w:val="22"/>
              </w:rPr>
              <w:t>i.</w:t>
            </w:r>
          </w:p>
        </w:tc>
      </w:tr>
      <w:tr w:rsidR="00262E2B" w:rsidRPr="007C0F2C" w:rsidTr="00063894">
        <w:trPr>
          <w:trHeight w:val="476"/>
        </w:trPr>
        <w:tc>
          <w:tcPr>
            <w:tcW w:w="0" w:type="auto"/>
          </w:tcPr>
          <w:p w:rsidR="00262E2B" w:rsidRPr="007C0F2C" w:rsidRDefault="00262E2B" w:rsidP="006C4607">
            <w:pPr>
              <w:pStyle w:val="naiskr"/>
              <w:spacing w:before="0" w:after="0"/>
              <w:rPr>
                <w:sz w:val="22"/>
                <w:szCs w:val="22"/>
              </w:rPr>
            </w:pPr>
            <w:r w:rsidRPr="007C0F2C">
              <w:rPr>
                <w:sz w:val="22"/>
                <w:szCs w:val="22"/>
              </w:rPr>
              <w:t>5.</w:t>
            </w:r>
          </w:p>
        </w:tc>
        <w:tc>
          <w:tcPr>
            <w:tcW w:w="0" w:type="auto"/>
          </w:tcPr>
          <w:p w:rsidR="00262E2B" w:rsidRPr="007C0F2C" w:rsidRDefault="001A4066" w:rsidP="006C4607">
            <w:pPr>
              <w:pStyle w:val="naiskr"/>
              <w:spacing w:before="0" w:after="0"/>
              <w:rPr>
                <w:sz w:val="22"/>
                <w:szCs w:val="22"/>
              </w:rPr>
            </w:pPr>
            <w:r w:rsidRPr="007C0F2C">
              <w:rPr>
                <w:sz w:val="22"/>
                <w:szCs w:val="22"/>
              </w:rPr>
              <w:t>Projekta i</w:t>
            </w:r>
            <w:r w:rsidR="00262E2B" w:rsidRPr="007C0F2C">
              <w:rPr>
                <w:sz w:val="22"/>
                <w:szCs w:val="22"/>
              </w:rPr>
              <w:t>zstrād</w:t>
            </w:r>
            <w:r w:rsidR="00420870" w:rsidRPr="007C0F2C">
              <w:rPr>
                <w:sz w:val="22"/>
                <w:szCs w:val="22"/>
              </w:rPr>
              <w:t xml:space="preserve">ē </w:t>
            </w:r>
            <w:r w:rsidR="00262E2B" w:rsidRPr="007C0F2C">
              <w:rPr>
                <w:sz w:val="22"/>
                <w:szCs w:val="22"/>
              </w:rPr>
              <w:t>iesaistītās institūcijas</w:t>
            </w:r>
          </w:p>
        </w:tc>
        <w:tc>
          <w:tcPr>
            <w:tcW w:w="0" w:type="auto"/>
          </w:tcPr>
          <w:p w:rsidR="00262E2B" w:rsidRPr="007C0F2C" w:rsidRDefault="00EF6A5D" w:rsidP="006C4607">
            <w:pPr>
              <w:pStyle w:val="naiskr"/>
              <w:spacing w:before="0" w:after="0"/>
              <w:rPr>
                <w:sz w:val="22"/>
                <w:szCs w:val="22"/>
              </w:rPr>
            </w:pPr>
            <w:r>
              <w:rPr>
                <w:sz w:val="22"/>
                <w:szCs w:val="22"/>
              </w:rPr>
              <w:t>Projekts šo jomu neskar</w:t>
            </w:r>
          </w:p>
        </w:tc>
      </w:tr>
      <w:tr w:rsidR="00262E2B" w:rsidRPr="007C0F2C" w:rsidTr="00063894">
        <w:trPr>
          <w:trHeight w:val="762"/>
        </w:trPr>
        <w:tc>
          <w:tcPr>
            <w:tcW w:w="0" w:type="auto"/>
          </w:tcPr>
          <w:p w:rsidR="00262E2B" w:rsidRPr="007C0F2C" w:rsidRDefault="00262E2B" w:rsidP="006C4607">
            <w:pPr>
              <w:pStyle w:val="naiskr"/>
              <w:spacing w:before="0" w:after="0"/>
              <w:rPr>
                <w:sz w:val="22"/>
                <w:szCs w:val="22"/>
              </w:rPr>
            </w:pPr>
            <w:r w:rsidRPr="007C0F2C">
              <w:rPr>
                <w:sz w:val="22"/>
                <w:szCs w:val="22"/>
              </w:rPr>
              <w:t>6.</w:t>
            </w:r>
          </w:p>
        </w:tc>
        <w:tc>
          <w:tcPr>
            <w:tcW w:w="0" w:type="auto"/>
          </w:tcPr>
          <w:p w:rsidR="00262E2B" w:rsidRPr="007C0F2C" w:rsidRDefault="00BB7C94" w:rsidP="006C4607">
            <w:pPr>
              <w:pStyle w:val="naiskr"/>
              <w:spacing w:before="0" w:after="0"/>
              <w:rPr>
                <w:i/>
                <w:sz w:val="22"/>
                <w:szCs w:val="22"/>
                <w:highlight w:val="yellow"/>
              </w:rPr>
            </w:pPr>
            <w:r w:rsidRPr="007C0F2C">
              <w:rPr>
                <w:sz w:val="22"/>
                <w:szCs w:val="22"/>
              </w:rPr>
              <w:t xml:space="preserve">Iemesli, kādēļ netika nodrošināta </w:t>
            </w:r>
            <w:r w:rsidR="00262E2B" w:rsidRPr="007C0F2C">
              <w:rPr>
                <w:sz w:val="22"/>
                <w:szCs w:val="22"/>
              </w:rPr>
              <w:t xml:space="preserve">sabiedrības </w:t>
            </w:r>
            <w:r w:rsidRPr="007C0F2C">
              <w:rPr>
                <w:sz w:val="22"/>
                <w:szCs w:val="22"/>
              </w:rPr>
              <w:t>līdzdalība</w:t>
            </w:r>
          </w:p>
        </w:tc>
        <w:tc>
          <w:tcPr>
            <w:tcW w:w="0" w:type="auto"/>
          </w:tcPr>
          <w:p w:rsidR="00D20FF4" w:rsidRPr="007C0F2C" w:rsidRDefault="00EF6A5D" w:rsidP="006C4607">
            <w:pPr>
              <w:pStyle w:val="FootnoteText"/>
            </w:pPr>
            <w:r>
              <w:rPr>
                <w:sz w:val="22"/>
                <w:szCs w:val="22"/>
              </w:rPr>
              <w:t>Projekts šo jomu neskar</w:t>
            </w:r>
          </w:p>
        </w:tc>
      </w:tr>
      <w:tr w:rsidR="00262E2B" w:rsidRPr="007C0F2C" w:rsidTr="00063894">
        <w:tc>
          <w:tcPr>
            <w:tcW w:w="0" w:type="auto"/>
          </w:tcPr>
          <w:p w:rsidR="00262E2B" w:rsidRPr="007C0F2C" w:rsidRDefault="00262E2B" w:rsidP="006C4607">
            <w:pPr>
              <w:pStyle w:val="naiskr"/>
              <w:spacing w:before="0" w:after="0"/>
              <w:rPr>
                <w:sz w:val="22"/>
                <w:szCs w:val="22"/>
              </w:rPr>
            </w:pPr>
            <w:r w:rsidRPr="007C0F2C">
              <w:rPr>
                <w:sz w:val="22"/>
                <w:szCs w:val="22"/>
              </w:rPr>
              <w:t>7.</w:t>
            </w:r>
          </w:p>
        </w:tc>
        <w:tc>
          <w:tcPr>
            <w:tcW w:w="0" w:type="auto"/>
          </w:tcPr>
          <w:p w:rsidR="00262E2B" w:rsidRPr="007C0F2C" w:rsidRDefault="00262E2B" w:rsidP="006C4607">
            <w:pPr>
              <w:pStyle w:val="naiskr"/>
              <w:spacing w:before="0" w:after="0"/>
              <w:rPr>
                <w:sz w:val="22"/>
                <w:szCs w:val="22"/>
              </w:rPr>
            </w:pPr>
            <w:r w:rsidRPr="007C0F2C">
              <w:rPr>
                <w:sz w:val="22"/>
                <w:szCs w:val="22"/>
              </w:rPr>
              <w:t>Cita informācija</w:t>
            </w:r>
          </w:p>
        </w:tc>
        <w:tc>
          <w:tcPr>
            <w:tcW w:w="0" w:type="auto"/>
          </w:tcPr>
          <w:p w:rsidR="00262E2B" w:rsidRPr="007C0F2C" w:rsidRDefault="00262E2B" w:rsidP="006C4607">
            <w:pPr>
              <w:pStyle w:val="naiskr"/>
              <w:spacing w:before="0" w:after="0"/>
              <w:rPr>
                <w:sz w:val="22"/>
                <w:szCs w:val="22"/>
              </w:rPr>
            </w:pPr>
            <w:r w:rsidRPr="007C0F2C">
              <w:rPr>
                <w:sz w:val="22"/>
                <w:szCs w:val="22"/>
              </w:rPr>
              <w:t>Nav</w:t>
            </w:r>
          </w:p>
        </w:tc>
      </w:tr>
    </w:tbl>
    <w:p w:rsidR="00852042" w:rsidRPr="007C0F2C" w:rsidRDefault="00852042" w:rsidP="006C4607">
      <w:pPr>
        <w:pStyle w:val="naisf"/>
        <w:spacing w:before="0" w:after="0"/>
      </w:pPr>
    </w:p>
    <w:tbl>
      <w:tblPr>
        <w:tblpPr w:leftFromText="180" w:rightFromText="180" w:vertAnchor="text" w:horzAnchor="margin" w:tblpXSpec="center"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221"/>
        <w:gridCol w:w="3060"/>
        <w:gridCol w:w="5846"/>
      </w:tblGrid>
      <w:tr w:rsidR="0062298A" w:rsidRPr="007C0F2C" w:rsidTr="00DC7B5F">
        <w:tc>
          <w:tcPr>
            <w:tcW w:w="0" w:type="auto"/>
            <w:gridSpan w:val="3"/>
            <w:vAlign w:val="center"/>
          </w:tcPr>
          <w:p w:rsidR="0062298A" w:rsidRPr="007C0F2C" w:rsidRDefault="0062298A" w:rsidP="006C4607">
            <w:pPr>
              <w:pStyle w:val="naisnod"/>
              <w:spacing w:before="0" w:after="0"/>
            </w:pPr>
            <w:r w:rsidRPr="007C0F2C">
              <w:t>II</w:t>
            </w:r>
            <w:r w:rsidR="000941C5" w:rsidRPr="007C0F2C">
              <w:t>.</w:t>
            </w:r>
            <w:r w:rsidRPr="007C0F2C">
              <w:t xml:space="preserve"> Tiesību akta projekta ietekme uz sabiedrību</w:t>
            </w:r>
          </w:p>
        </w:tc>
      </w:tr>
      <w:tr w:rsidR="00DC7B5F" w:rsidRPr="007C0F2C" w:rsidTr="00DC7B5F">
        <w:trPr>
          <w:trHeight w:val="467"/>
        </w:trPr>
        <w:tc>
          <w:tcPr>
            <w:tcW w:w="0" w:type="auto"/>
          </w:tcPr>
          <w:p w:rsidR="0062298A" w:rsidRPr="007C0F2C" w:rsidRDefault="0062298A" w:rsidP="006C4607">
            <w:pPr>
              <w:pStyle w:val="naiskr"/>
              <w:spacing w:before="0" w:after="0"/>
              <w:rPr>
                <w:sz w:val="22"/>
                <w:szCs w:val="22"/>
              </w:rPr>
            </w:pPr>
            <w:r w:rsidRPr="007C0F2C">
              <w:rPr>
                <w:sz w:val="22"/>
                <w:szCs w:val="22"/>
              </w:rPr>
              <w:t>1.</w:t>
            </w:r>
          </w:p>
        </w:tc>
        <w:tc>
          <w:tcPr>
            <w:tcW w:w="0" w:type="auto"/>
          </w:tcPr>
          <w:p w:rsidR="0062298A" w:rsidRPr="007C0F2C" w:rsidRDefault="00C27A08" w:rsidP="006C4607">
            <w:pPr>
              <w:pStyle w:val="naiskr"/>
              <w:spacing w:before="0" w:after="0"/>
              <w:rPr>
                <w:sz w:val="22"/>
                <w:szCs w:val="22"/>
              </w:rPr>
            </w:pPr>
            <w:r w:rsidRPr="007C0F2C">
              <w:rPr>
                <w:sz w:val="22"/>
                <w:szCs w:val="22"/>
              </w:rPr>
              <w:t>Sabiedrības mērķgrupa</w:t>
            </w:r>
          </w:p>
        </w:tc>
        <w:tc>
          <w:tcPr>
            <w:tcW w:w="0" w:type="auto"/>
          </w:tcPr>
          <w:p w:rsidR="0062298A" w:rsidRPr="007C0F2C" w:rsidRDefault="009E12D7" w:rsidP="008F4F7F">
            <w:pPr>
              <w:pStyle w:val="naiskr"/>
              <w:spacing w:before="0" w:after="0"/>
              <w:ind w:hanging="57"/>
              <w:rPr>
                <w:sz w:val="22"/>
                <w:szCs w:val="22"/>
              </w:rPr>
            </w:pPr>
            <w:r w:rsidRPr="007C0F2C">
              <w:rPr>
                <w:iCs/>
                <w:sz w:val="22"/>
                <w:szCs w:val="22"/>
              </w:rPr>
              <w:t> </w:t>
            </w:r>
            <w:r w:rsidR="00FB7D47">
              <w:rPr>
                <w:sz w:val="22"/>
                <w:szCs w:val="22"/>
              </w:rPr>
              <w:t xml:space="preserve"> Rīgas </w:t>
            </w:r>
            <w:r w:rsidR="00FB7D47" w:rsidRPr="008349EC">
              <w:rPr>
                <w:sz w:val="22"/>
                <w:szCs w:val="22"/>
              </w:rPr>
              <w:t>pilsētas 2.ģimnāzija</w:t>
            </w:r>
            <w:r w:rsidR="00FB7D47">
              <w:rPr>
                <w:sz w:val="22"/>
                <w:szCs w:val="22"/>
              </w:rPr>
              <w:t>s</w:t>
            </w:r>
            <w:r w:rsidR="00FB7D47" w:rsidRPr="008349EC">
              <w:rPr>
                <w:sz w:val="22"/>
                <w:szCs w:val="22"/>
              </w:rPr>
              <w:t xml:space="preserve"> </w:t>
            </w:r>
            <w:r w:rsidR="00FB7D47">
              <w:rPr>
                <w:iCs/>
                <w:sz w:val="22"/>
                <w:szCs w:val="22"/>
              </w:rPr>
              <w:t>844</w:t>
            </w:r>
            <w:r w:rsidR="000B7D4E">
              <w:rPr>
                <w:iCs/>
                <w:sz w:val="22"/>
                <w:szCs w:val="22"/>
              </w:rPr>
              <w:t xml:space="preserve"> </w:t>
            </w:r>
            <w:r w:rsidR="00DC7B5F">
              <w:rPr>
                <w:iCs/>
                <w:sz w:val="22"/>
                <w:szCs w:val="22"/>
              </w:rPr>
              <w:t>izglītojamie</w:t>
            </w:r>
            <w:r w:rsidR="00111D8F">
              <w:rPr>
                <w:iCs/>
                <w:sz w:val="22"/>
                <w:szCs w:val="22"/>
              </w:rPr>
              <w:t xml:space="preserve"> </w:t>
            </w:r>
            <w:r w:rsidR="00920052">
              <w:rPr>
                <w:iCs/>
                <w:sz w:val="22"/>
                <w:szCs w:val="22"/>
              </w:rPr>
              <w:t xml:space="preserve">un </w:t>
            </w:r>
            <w:r w:rsidR="00FB7D47">
              <w:rPr>
                <w:iCs/>
                <w:sz w:val="22"/>
                <w:szCs w:val="22"/>
              </w:rPr>
              <w:t>82</w:t>
            </w:r>
            <w:r w:rsidR="008F4F7F">
              <w:rPr>
                <w:iCs/>
                <w:sz w:val="22"/>
                <w:szCs w:val="22"/>
              </w:rPr>
              <w:t xml:space="preserve"> </w:t>
            </w:r>
            <w:r w:rsidR="00920052">
              <w:rPr>
                <w:iCs/>
                <w:sz w:val="22"/>
                <w:szCs w:val="22"/>
              </w:rPr>
              <w:t>pedagogi</w:t>
            </w:r>
            <w:r w:rsidR="00111D8F">
              <w:rPr>
                <w:iCs/>
                <w:sz w:val="22"/>
                <w:szCs w:val="22"/>
              </w:rPr>
              <w:t>.</w:t>
            </w:r>
          </w:p>
        </w:tc>
      </w:tr>
      <w:tr w:rsidR="00DC7B5F" w:rsidRPr="007C0F2C" w:rsidTr="00DC7B5F">
        <w:trPr>
          <w:trHeight w:val="523"/>
        </w:trPr>
        <w:tc>
          <w:tcPr>
            <w:tcW w:w="0" w:type="auto"/>
          </w:tcPr>
          <w:p w:rsidR="0062298A" w:rsidRPr="007C0F2C" w:rsidRDefault="0062298A" w:rsidP="006C4607">
            <w:pPr>
              <w:pStyle w:val="naiskr"/>
              <w:spacing w:before="0" w:after="0"/>
              <w:rPr>
                <w:sz w:val="22"/>
                <w:szCs w:val="22"/>
              </w:rPr>
            </w:pPr>
            <w:r w:rsidRPr="007C0F2C">
              <w:rPr>
                <w:sz w:val="22"/>
                <w:szCs w:val="22"/>
              </w:rPr>
              <w:t>2.</w:t>
            </w:r>
          </w:p>
        </w:tc>
        <w:tc>
          <w:tcPr>
            <w:tcW w:w="0" w:type="auto"/>
          </w:tcPr>
          <w:p w:rsidR="00C1133D" w:rsidRPr="007C0F2C" w:rsidRDefault="00C27A08" w:rsidP="006C4607">
            <w:pPr>
              <w:pStyle w:val="naiskr"/>
              <w:spacing w:before="0" w:after="0"/>
              <w:rPr>
                <w:sz w:val="22"/>
                <w:szCs w:val="22"/>
              </w:rPr>
            </w:pPr>
            <w:r w:rsidRPr="007C0F2C">
              <w:rPr>
                <w:sz w:val="22"/>
                <w:szCs w:val="22"/>
              </w:rPr>
              <w:t>Citas sabiedrības grupas (bez mērķgrupas), kuras tiesiskais regulējums arī ietekmē vai varētu ietekmēt</w:t>
            </w:r>
          </w:p>
        </w:tc>
        <w:tc>
          <w:tcPr>
            <w:tcW w:w="0" w:type="auto"/>
          </w:tcPr>
          <w:p w:rsidR="0062298A" w:rsidRPr="007C0F2C" w:rsidRDefault="00EF6A5D" w:rsidP="006C4607">
            <w:pPr>
              <w:pStyle w:val="naiskr"/>
              <w:spacing w:before="0" w:after="0"/>
              <w:rPr>
                <w:sz w:val="22"/>
                <w:szCs w:val="22"/>
              </w:rPr>
            </w:pPr>
            <w:r>
              <w:rPr>
                <w:sz w:val="22"/>
                <w:szCs w:val="22"/>
              </w:rPr>
              <w:t>Ģimnāzijā katru mācību gadu tiek uzņemti 90 izglītojamie 7.klasēs pamatizglītības otrā posma izglītības programmas apguvei un 180 izglītojamie 10.klasēs vispārējās vidējās izglītības programmu apguvei.</w:t>
            </w:r>
          </w:p>
        </w:tc>
      </w:tr>
      <w:tr w:rsidR="00DC7B5F" w:rsidRPr="007C0F2C" w:rsidTr="00DC7B5F">
        <w:trPr>
          <w:trHeight w:val="517"/>
        </w:trPr>
        <w:tc>
          <w:tcPr>
            <w:tcW w:w="0" w:type="auto"/>
          </w:tcPr>
          <w:p w:rsidR="0062298A" w:rsidRPr="007C0F2C" w:rsidRDefault="0062298A" w:rsidP="006C4607">
            <w:pPr>
              <w:pStyle w:val="naiskr"/>
              <w:spacing w:before="0" w:after="0"/>
              <w:rPr>
                <w:sz w:val="22"/>
                <w:szCs w:val="22"/>
              </w:rPr>
            </w:pPr>
            <w:r w:rsidRPr="007C0F2C">
              <w:rPr>
                <w:sz w:val="22"/>
                <w:szCs w:val="22"/>
              </w:rPr>
              <w:t>3.</w:t>
            </w:r>
          </w:p>
        </w:tc>
        <w:tc>
          <w:tcPr>
            <w:tcW w:w="0" w:type="auto"/>
          </w:tcPr>
          <w:p w:rsidR="00C1133D" w:rsidRPr="007C0F2C" w:rsidRDefault="000C790C" w:rsidP="006C4607">
            <w:pPr>
              <w:pStyle w:val="naiskr"/>
              <w:spacing w:before="0" w:after="0"/>
              <w:rPr>
                <w:sz w:val="22"/>
                <w:szCs w:val="22"/>
              </w:rPr>
            </w:pPr>
            <w:r w:rsidRPr="007C0F2C">
              <w:rPr>
                <w:sz w:val="22"/>
                <w:szCs w:val="22"/>
              </w:rPr>
              <w:t>Tiesiskā r</w:t>
            </w:r>
            <w:r w:rsidR="003D21FF" w:rsidRPr="007C0F2C">
              <w:rPr>
                <w:sz w:val="22"/>
                <w:szCs w:val="22"/>
              </w:rPr>
              <w:t>egulējuma</w:t>
            </w:r>
            <w:r w:rsidR="00C27A08" w:rsidRPr="007C0F2C">
              <w:rPr>
                <w:sz w:val="22"/>
                <w:szCs w:val="22"/>
              </w:rPr>
              <w:t xml:space="preserve"> finansiālā ietekme</w:t>
            </w:r>
          </w:p>
        </w:tc>
        <w:tc>
          <w:tcPr>
            <w:tcW w:w="0" w:type="auto"/>
          </w:tcPr>
          <w:p w:rsidR="0062298A" w:rsidRPr="00574A23" w:rsidRDefault="00DC7B5F" w:rsidP="008A31F1">
            <w:pPr>
              <w:rPr>
                <w:color w:val="000000"/>
                <w:sz w:val="22"/>
                <w:szCs w:val="22"/>
              </w:rPr>
            </w:pPr>
            <w:r>
              <w:rPr>
                <w:sz w:val="22"/>
                <w:szCs w:val="22"/>
              </w:rPr>
              <w:t>Pedagogiem valsts ģimnāzijā</w:t>
            </w:r>
            <w:r w:rsidR="00574A23" w:rsidRPr="00574A23">
              <w:rPr>
                <w:sz w:val="22"/>
                <w:szCs w:val="22"/>
              </w:rPr>
              <w:t xml:space="preserve"> no</w:t>
            </w:r>
            <w:r>
              <w:rPr>
                <w:sz w:val="22"/>
                <w:szCs w:val="22"/>
              </w:rPr>
              <w:t>saka piemaksu līdz 10%</w:t>
            </w:r>
            <w:r w:rsidR="00574A23" w:rsidRPr="00574A23">
              <w:rPr>
                <w:sz w:val="22"/>
                <w:szCs w:val="22"/>
              </w:rPr>
              <w:t xml:space="preserve"> no mēneša darba algas</w:t>
            </w:r>
            <w:r w:rsidR="00574A23">
              <w:rPr>
                <w:color w:val="000000"/>
                <w:sz w:val="22"/>
                <w:szCs w:val="22"/>
              </w:rPr>
              <w:t xml:space="preserve">. Valsts budžetā papildus finansējums nav nepieciešams, bet ap </w:t>
            </w:r>
            <w:r w:rsidR="00D577A2">
              <w:rPr>
                <w:sz w:val="22"/>
                <w:szCs w:val="22"/>
              </w:rPr>
              <w:t>43,9 tūkst.</w:t>
            </w:r>
            <w:r w:rsidR="00574A23" w:rsidRPr="00973AC4">
              <w:rPr>
                <w:sz w:val="22"/>
                <w:szCs w:val="22"/>
              </w:rPr>
              <w:t xml:space="preserve"> Ls</w:t>
            </w:r>
            <w:r w:rsidR="00574A23">
              <w:rPr>
                <w:color w:val="000000"/>
                <w:sz w:val="22"/>
                <w:szCs w:val="22"/>
              </w:rPr>
              <w:t xml:space="preserve"> </w:t>
            </w:r>
            <w:r>
              <w:rPr>
                <w:color w:val="000000"/>
                <w:sz w:val="22"/>
                <w:szCs w:val="22"/>
              </w:rPr>
              <w:t xml:space="preserve">gadā </w:t>
            </w:r>
            <w:r w:rsidR="00FB7D47">
              <w:rPr>
                <w:color w:val="000000"/>
                <w:sz w:val="22"/>
                <w:szCs w:val="22"/>
              </w:rPr>
              <w:t>Rīgai</w:t>
            </w:r>
            <w:r w:rsidR="00574A23">
              <w:rPr>
                <w:color w:val="000000"/>
                <w:sz w:val="22"/>
                <w:szCs w:val="22"/>
              </w:rPr>
              <w:t xml:space="preserve"> t</w:t>
            </w:r>
            <w:r w:rsidR="000B7D4E">
              <w:rPr>
                <w:color w:val="000000"/>
                <w:sz w:val="22"/>
                <w:szCs w:val="22"/>
              </w:rPr>
              <w:t>i</w:t>
            </w:r>
            <w:r w:rsidR="00574A23">
              <w:rPr>
                <w:color w:val="000000"/>
                <w:sz w:val="22"/>
                <w:szCs w:val="22"/>
              </w:rPr>
              <w:t>k</w:t>
            </w:r>
            <w:r w:rsidR="000B7D4E">
              <w:rPr>
                <w:color w:val="000000"/>
                <w:sz w:val="22"/>
                <w:szCs w:val="22"/>
              </w:rPr>
              <w:t>s</w:t>
            </w:r>
            <w:r w:rsidR="00574A23">
              <w:rPr>
                <w:color w:val="000000"/>
                <w:sz w:val="22"/>
                <w:szCs w:val="22"/>
              </w:rPr>
              <w:t xml:space="preserve"> iedalīti no valsts budžeta mērķdotācijas pedagogu darba samaksai.</w:t>
            </w:r>
          </w:p>
        </w:tc>
      </w:tr>
      <w:tr w:rsidR="00DC7B5F" w:rsidRPr="007C0F2C" w:rsidTr="00DC7B5F">
        <w:trPr>
          <w:trHeight w:val="517"/>
        </w:trPr>
        <w:tc>
          <w:tcPr>
            <w:tcW w:w="0" w:type="auto"/>
          </w:tcPr>
          <w:p w:rsidR="00C27A08" w:rsidRPr="007C0F2C" w:rsidRDefault="00C27A08" w:rsidP="006C4607">
            <w:pPr>
              <w:pStyle w:val="naiskr"/>
              <w:spacing w:before="0" w:after="0"/>
              <w:rPr>
                <w:sz w:val="22"/>
                <w:szCs w:val="22"/>
              </w:rPr>
            </w:pPr>
            <w:r w:rsidRPr="007C0F2C">
              <w:rPr>
                <w:sz w:val="22"/>
                <w:szCs w:val="22"/>
              </w:rPr>
              <w:t>4.</w:t>
            </w:r>
          </w:p>
        </w:tc>
        <w:tc>
          <w:tcPr>
            <w:tcW w:w="0" w:type="auto"/>
          </w:tcPr>
          <w:p w:rsidR="00C27A08" w:rsidRPr="007C0F2C" w:rsidRDefault="00C27A08" w:rsidP="006C4607">
            <w:pPr>
              <w:pStyle w:val="naiskr"/>
              <w:spacing w:before="0" w:after="0"/>
              <w:rPr>
                <w:sz w:val="22"/>
                <w:szCs w:val="22"/>
              </w:rPr>
            </w:pPr>
            <w:r w:rsidRPr="007C0F2C">
              <w:rPr>
                <w:sz w:val="22"/>
                <w:szCs w:val="22"/>
              </w:rPr>
              <w:t>Tiesiskā regulējuma nefinansiālā ietekme</w:t>
            </w:r>
          </w:p>
        </w:tc>
        <w:tc>
          <w:tcPr>
            <w:tcW w:w="0" w:type="auto"/>
          </w:tcPr>
          <w:p w:rsidR="00C27A08" w:rsidRPr="00574A23" w:rsidRDefault="000E1FA7" w:rsidP="008F4F7F">
            <w:pPr>
              <w:pStyle w:val="naiskr"/>
              <w:spacing w:before="0" w:after="0"/>
              <w:rPr>
                <w:sz w:val="22"/>
                <w:szCs w:val="22"/>
              </w:rPr>
            </w:pPr>
            <w:r>
              <w:rPr>
                <w:sz w:val="22"/>
                <w:szCs w:val="22"/>
              </w:rPr>
              <w:t xml:space="preserve">Rīgas </w:t>
            </w:r>
            <w:r w:rsidRPr="008349EC">
              <w:rPr>
                <w:sz w:val="22"/>
                <w:szCs w:val="22"/>
              </w:rPr>
              <w:t>pilsētas 2.ģimnāzija</w:t>
            </w:r>
            <w:r>
              <w:rPr>
                <w:sz w:val="22"/>
                <w:szCs w:val="22"/>
              </w:rPr>
              <w:t>s</w:t>
            </w:r>
            <w:r w:rsidRPr="008349EC">
              <w:rPr>
                <w:sz w:val="22"/>
                <w:szCs w:val="22"/>
              </w:rPr>
              <w:t xml:space="preserve"> </w:t>
            </w:r>
            <w:r w:rsidR="008A7BC6">
              <w:rPr>
                <w:iCs/>
                <w:sz w:val="22"/>
                <w:szCs w:val="22"/>
              </w:rPr>
              <w:t>10.</w:t>
            </w:r>
            <w:r>
              <w:rPr>
                <w:iCs/>
                <w:sz w:val="22"/>
                <w:szCs w:val="22"/>
              </w:rPr>
              <w:t>-</w:t>
            </w:r>
            <w:r w:rsidR="008A7BC6">
              <w:rPr>
                <w:iCs/>
                <w:sz w:val="22"/>
                <w:szCs w:val="22"/>
              </w:rPr>
              <w:t xml:space="preserve">12.klases </w:t>
            </w:r>
            <w:r w:rsidR="00111D8F" w:rsidRPr="00574A23">
              <w:rPr>
                <w:iCs/>
                <w:sz w:val="22"/>
                <w:szCs w:val="22"/>
              </w:rPr>
              <w:t>skolēni</w:t>
            </w:r>
            <w:r w:rsidR="00574A23">
              <w:rPr>
                <w:iCs/>
                <w:sz w:val="22"/>
                <w:szCs w:val="22"/>
              </w:rPr>
              <w:t>em</w:t>
            </w:r>
            <w:r w:rsidR="00111D8F" w:rsidRPr="00574A23">
              <w:rPr>
                <w:iCs/>
                <w:sz w:val="22"/>
                <w:szCs w:val="22"/>
              </w:rPr>
              <w:t xml:space="preserve"> </w:t>
            </w:r>
            <w:r w:rsidR="00574A23">
              <w:rPr>
                <w:sz w:val="22"/>
                <w:szCs w:val="22"/>
              </w:rPr>
              <w:t>ne mazāk kā 75%</w:t>
            </w:r>
            <w:r w:rsidR="00574A23" w:rsidRPr="00574A23">
              <w:rPr>
                <w:sz w:val="22"/>
                <w:szCs w:val="22"/>
              </w:rPr>
              <w:t xml:space="preserve"> mācību sasniegumu novērtēju</w:t>
            </w:r>
            <w:r w:rsidR="00574A23">
              <w:rPr>
                <w:sz w:val="22"/>
                <w:szCs w:val="22"/>
              </w:rPr>
              <w:t>miem centralizētajos eksāmenos jābūt ne</w:t>
            </w:r>
            <w:r w:rsidR="00574A23" w:rsidRPr="00574A23">
              <w:rPr>
                <w:sz w:val="22"/>
                <w:szCs w:val="22"/>
              </w:rPr>
              <w:t xml:space="preserve"> </w:t>
            </w:r>
            <w:r w:rsidR="00574A23">
              <w:rPr>
                <w:sz w:val="22"/>
                <w:szCs w:val="22"/>
              </w:rPr>
              <w:t>zemākiem</w:t>
            </w:r>
            <w:r w:rsidR="00574A23" w:rsidRPr="00574A23">
              <w:rPr>
                <w:sz w:val="22"/>
                <w:szCs w:val="22"/>
              </w:rPr>
              <w:t xml:space="preserve"> par C līmeni</w:t>
            </w:r>
            <w:r w:rsidR="00574A23">
              <w:rPr>
                <w:sz w:val="22"/>
                <w:szCs w:val="22"/>
              </w:rPr>
              <w:t>.</w:t>
            </w:r>
            <w:r w:rsidR="00574A23" w:rsidRPr="00574A23">
              <w:rPr>
                <w:iCs/>
                <w:sz w:val="22"/>
                <w:szCs w:val="22"/>
              </w:rPr>
              <w:t xml:space="preserve"> </w:t>
            </w:r>
            <w:r w:rsidR="00574A23">
              <w:rPr>
                <w:iCs/>
                <w:sz w:val="22"/>
                <w:szCs w:val="22"/>
              </w:rPr>
              <w:t>P</w:t>
            </w:r>
            <w:r w:rsidR="00111D8F" w:rsidRPr="00574A23">
              <w:rPr>
                <w:iCs/>
                <w:sz w:val="22"/>
                <w:szCs w:val="22"/>
              </w:rPr>
              <w:t>edagogi</w:t>
            </w:r>
            <w:r w:rsidR="00574A23">
              <w:rPr>
                <w:iCs/>
                <w:sz w:val="22"/>
                <w:szCs w:val="22"/>
              </w:rPr>
              <w:t xml:space="preserve">em </w:t>
            </w:r>
            <w:r w:rsidR="008F4F7F">
              <w:rPr>
                <w:iCs/>
                <w:sz w:val="22"/>
                <w:szCs w:val="22"/>
              </w:rPr>
              <w:t xml:space="preserve">jāturpina </w:t>
            </w:r>
            <w:r w:rsidR="00574A23">
              <w:rPr>
                <w:iCs/>
                <w:sz w:val="22"/>
                <w:szCs w:val="22"/>
              </w:rPr>
              <w:t>nodro</w:t>
            </w:r>
            <w:r w:rsidR="008F4F7F">
              <w:rPr>
                <w:iCs/>
                <w:sz w:val="22"/>
                <w:szCs w:val="22"/>
              </w:rPr>
              <w:t>šināt augst</w:t>
            </w:r>
            <w:r w:rsidR="0045517C">
              <w:rPr>
                <w:iCs/>
                <w:sz w:val="22"/>
                <w:szCs w:val="22"/>
              </w:rPr>
              <w:t>a</w:t>
            </w:r>
            <w:r w:rsidR="00574A23">
              <w:rPr>
                <w:iCs/>
                <w:sz w:val="22"/>
                <w:szCs w:val="22"/>
              </w:rPr>
              <w:t xml:space="preserve"> pedagoģiskā darba kvalitāte un prasību līmenis</w:t>
            </w:r>
            <w:r w:rsidR="00111D8F" w:rsidRPr="00574A23">
              <w:rPr>
                <w:iCs/>
                <w:sz w:val="22"/>
                <w:szCs w:val="22"/>
              </w:rPr>
              <w:t>.</w:t>
            </w:r>
          </w:p>
        </w:tc>
      </w:tr>
      <w:tr w:rsidR="00DC7B5F" w:rsidRPr="007C0F2C" w:rsidTr="00DC7B5F">
        <w:trPr>
          <w:trHeight w:val="531"/>
        </w:trPr>
        <w:tc>
          <w:tcPr>
            <w:tcW w:w="0" w:type="auto"/>
          </w:tcPr>
          <w:p w:rsidR="0062298A" w:rsidRPr="007C0F2C" w:rsidRDefault="00C27A08" w:rsidP="006C4607">
            <w:pPr>
              <w:pStyle w:val="naiskr"/>
              <w:spacing w:before="0" w:after="0"/>
              <w:rPr>
                <w:sz w:val="22"/>
                <w:szCs w:val="22"/>
              </w:rPr>
            </w:pPr>
            <w:r w:rsidRPr="007C0F2C">
              <w:rPr>
                <w:sz w:val="22"/>
                <w:szCs w:val="22"/>
              </w:rPr>
              <w:t>5</w:t>
            </w:r>
            <w:r w:rsidR="0062298A" w:rsidRPr="007C0F2C">
              <w:rPr>
                <w:sz w:val="22"/>
                <w:szCs w:val="22"/>
              </w:rPr>
              <w:t>.</w:t>
            </w:r>
          </w:p>
        </w:tc>
        <w:tc>
          <w:tcPr>
            <w:tcW w:w="0" w:type="auto"/>
          </w:tcPr>
          <w:p w:rsidR="00C1133D" w:rsidRPr="007C0F2C" w:rsidRDefault="00C1133D" w:rsidP="006C4607">
            <w:pPr>
              <w:pStyle w:val="naiskr"/>
              <w:spacing w:before="0" w:after="0"/>
              <w:rPr>
                <w:sz w:val="22"/>
                <w:szCs w:val="22"/>
              </w:rPr>
            </w:pPr>
            <w:r w:rsidRPr="007C0F2C">
              <w:rPr>
                <w:sz w:val="22"/>
                <w:szCs w:val="22"/>
              </w:rPr>
              <w:t>Administratīv</w:t>
            </w:r>
            <w:r w:rsidR="00C27A08" w:rsidRPr="007C0F2C">
              <w:rPr>
                <w:sz w:val="22"/>
                <w:szCs w:val="22"/>
              </w:rPr>
              <w:t>ās</w:t>
            </w:r>
            <w:r w:rsidRPr="007C0F2C">
              <w:rPr>
                <w:sz w:val="22"/>
                <w:szCs w:val="22"/>
              </w:rPr>
              <w:t xml:space="preserve"> procedūr</w:t>
            </w:r>
            <w:r w:rsidR="00965897" w:rsidRPr="007C0F2C">
              <w:rPr>
                <w:sz w:val="22"/>
                <w:szCs w:val="22"/>
              </w:rPr>
              <w:t>a</w:t>
            </w:r>
            <w:r w:rsidRPr="007C0F2C">
              <w:rPr>
                <w:sz w:val="22"/>
                <w:szCs w:val="22"/>
              </w:rPr>
              <w:t xml:space="preserve">s </w:t>
            </w:r>
            <w:r w:rsidR="00C27A08" w:rsidRPr="007C0F2C">
              <w:rPr>
                <w:sz w:val="22"/>
                <w:szCs w:val="22"/>
              </w:rPr>
              <w:t>raksturojums</w:t>
            </w:r>
          </w:p>
        </w:tc>
        <w:tc>
          <w:tcPr>
            <w:tcW w:w="0" w:type="auto"/>
          </w:tcPr>
          <w:p w:rsidR="0062298A" w:rsidRPr="007C0F2C" w:rsidRDefault="00EF6A5D" w:rsidP="006C4607">
            <w:pPr>
              <w:pStyle w:val="naiskr"/>
              <w:spacing w:before="0" w:after="0"/>
              <w:rPr>
                <w:sz w:val="22"/>
                <w:szCs w:val="22"/>
              </w:rPr>
            </w:pPr>
            <w:r>
              <w:rPr>
                <w:sz w:val="22"/>
                <w:szCs w:val="22"/>
              </w:rPr>
              <w:t>Projekts šo jomu neskar</w:t>
            </w:r>
          </w:p>
        </w:tc>
      </w:tr>
      <w:tr w:rsidR="00DC7B5F" w:rsidRPr="007C0F2C" w:rsidTr="00DC7B5F">
        <w:trPr>
          <w:trHeight w:val="357"/>
        </w:trPr>
        <w:tc>
          <w:tcPr>
            <w:tcW w:w="0" w:type="auto"/>
          </w:tcPr>
          <w:p w:rsidR="0062298A" w:rsidRPr="007C0F2C" w:rsidRDefault="00C27A08" w:rsidP="006C4607">
            <w:pPr>
              <w:pStyle w:val="naiskr"/>
              <w:spacing w:before="0" w:after="0"/>
              <w:rPr>
                <w:sz w:val="22"/>
                <w:szCs w:val="22"/>
              </w:rPr>
            </w:pPr>
            <w:r w:rsidRPr="007C0F2C">
              <w:rPr>
                <w:sz w:val="22"/>
                <w:szCs w:val="22"/>
              </w:rPr>
              <w:t>6</w:t>
            </w:r>
            <w:r w:rsidR="0062298A" w:rsidRPr="007C0F2C">
              <w:rPr>
                <w:sz w:val="22"/>
                <w:szCs w:val="22"/>
              </w:rPr>
              <w:t>.</w:t>
            </w:r>
          </w:p>
        </w:tc>
        <w:tc>
          <w:tcPr>
            <w:tcW w:w="0" w:type="auto"/>
          </w:tcPr>
          <w:p w:rsidR="00AE5066" w:rsidRPr="007C0F2C" w:rsidRDefault="00C27A08" w:rsidP="006C4607">
            <w:pPr>
              <w:pStyle w:val="naiskr"/>
              <w:spacing w:before="0" w:after="0"/>
              <w:rPr>
                <w:sz w:val="22"/>
                <w:szCs w:val="22"/>
              </w:rPr>
            </w:pPr>
            <w:r w:rsidRPr="007C0F2C">
              <w:rPr>
                <w:sz w:val="22"/>
                <w:szCs w:val="22"/>
              </w:rPr>
              <w:t xml:space="preserve">Administratīvo izmaksu </w:t>
            </w:r>
            <w:r w:rsidR="00502374" w:rsidRPr="007C0F2C">
              <w:rPr>
                <w:sz w:val="22"/>
                <w:szCs w:val="22"/>
              </w:rPr>
              <w:t xml:space="preserve">monetārs </w:t>
            </w:r>
            <w:r w:rsidRPr="007C0F2C">
              <w:rPr>
                <w:sz w:val="22"/>
                <w:szCs w:val="22"/>
              </w:rPr>
              <w:t>novērtējums</w:t>
            </w:r>
          </w:p>
        </w:tc>
        <w:tc>
          <w:tcPr>
            <w:tcW w:w="0" w:type="auto"/>
          </w:tcPr>
          <w:p w:rsidR="0062298A" w:rsidRPr="007C0F2C" w:rsidRDefault="00EF6A5D" w:rsidP="006C4607">
            <w:pPr>
              <w:pStyle w:val="naiskr"/>
              <w:spacing w:before="0" w:after="0"/>
              <w:rPr>
                <w:sz w:val="22"/>
                <w:szCs w:val="22"/>
              </w:rPr>
            </w:pPr>
            <w:r>
              <w:rPr>
                <w:sz w:val="22"/>
                <w:szCs w:val="22"/>
              </w:rPr>
              <w:t>Projekts šo jomu neskar</w:t>
            </w:r>
          </w:p>
        </w:tc>
      </w:tr>
      <w:tr w:rsidR="00DC7B5F" w:rsidRPr="007C0F2C" w:rsidTr="00DC7B5F">
        <w:tc>
          <w:tcPr>
            <w:tcW w:w="0" w:type="auto"/>
          </w:tcPr>
          <w:p w:rsidR="0062298A" w:rsidRPr="007C0F2C" w:rsidRDefault="00C27A08" w:rsidP="006C4607">
            <w:pPr>
              <w:pStyle w:val="naiskr"/>
              <w:spacing w:before="0" w:after="0"/>
              <w:rPr>
                <w:sz w:val="22"/>
                <w:szCs w:val="22"/>
              </w:rPr>
            </w:pPr>
            <w:r w:rsidRPr="007C0F2C">
              <w:rPr>
                <w:sz w:val="22"/>
                <w:szCs w:val="22"/>
              </w:rPr>
              <w:t>7</w:t>
            </w:r>
            <w:r w:rsidR="0062298A" w:rsidRPr="007C0F2C">
              <w:rPr>
                <w:sz w:val="22"/>
                <w:szCs w:val="22"/>
              </w:rPr>
              <w:t>.</w:t>
            </w:r>
          </w:p>
        </w:tc>
        <w:tc>
          <w:tcPr>
            <w:tcW w:w="0" w:type="auto"/>
          </w:tcPr>
          <w:p w:rsidR="0062298A" w:rsidRPr="007C0F2C" w:rsidRDefault="009E12D7" w:rsidP="006C4607">
            <w:pPr>
              <w:pStyle w:val="naiskr"/>
              <w:spacing w:before="0" w:after="0"/>
              <w:rPr>
                <w:sz w:val="22"/>
                <w:szCs w:val="22"/>
              </w:rPr>
            </w:pPr>
            <w:r w:rsidRPr="007C0F2C">
              <w:rPr>
                <w:sz w:val="22"/>
                <w:szCs w:val="22"/>
              </w:rPr>
              <w:t>Cita informācija</w:t>
            </w:r>
          </w:p>
        </w:tc>
        <w:tc>
          <w:tcPr>
            <w:tcW w:w="0" w:type="auto"/>
          </w:tcPr>
          <w:p w:rsidR="0062298A" w:rsidRPr="007C0F2C" w:rsidRDefault="0062298A" w:rsidP="006C4607">
            <w:pPr>
              <w:pStyle w:val="naiskr"/>
              <w:spacing w:before="0" w:after="0"/>
              <w:rPr>
                <w:sz w:val="22"/>
                <w:szCs w:val="22"/>
              </w:rPr>
            </w:pPr>
            <w:r w:rsidRPr="007C0F2C">
              <w:rPr>
                <w:sz w:val="22"/>
                <w:szCs w:val="22"/>
              </w:rPr>
              <w:t>Nav</w:t>
            </w:r>
          </w:p>
        </w:tc>
      </w:tr>
    </w:tbl>
    <w:p w:rsidR="008C5649" w:rsidRDefault="008C5649" w:rsidP="006C4607">
      <w:pPr>
        <w:pStyle w:val="naisf"/>
        <w:spacing w:before="0" w:after="0"/>
      </w:pPr>
    </w:p>
    <w:p w:rsidR="009A1D5B" w:rsidRDefault="009A1D5B" w:rsidP="006C4607">
      <w:pPr>
        <w:pStyle w:val="naisf"/>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1094"/>
        <w:gridCol w:w="1274"/>
        <w:gridCol w:w="1244"/>
        <w:gridCol w:w="1244"/>
        <w:gridCol w:w="1204"/>
      </w:tblGrid>
      <w:tr w:rsidR="00EA2D06" w:rsidRPr="00B9606B" w:rsidTr="00063894">
        <w:trPr>
          <w:trHeight w:val="652"/>
        </w:trPr>
        <w:tc>
          <w:tcPr>
            <w:tcW w:w="5000" w:type="pct"/>
            <w:gridSpan w:val="6"/>
            <w:vAlign w:val="center"/>
            <w:hideMark/>
          </w:tcPr>
          <w:p w:rsidR="00EA2D06" w:rsidRPr="00B9606B" w:rsidRDefault="00EA2D06" w:rsidP="00063894">
            <w:pPr>
              <w:jc w:val="center"/>
              <w:rPr>
                <w:b/>
                <w:bCs/>
                <w:sz w:val="22"/>
                <w:szCs w:val="22"/>
              </w:rPr>
            </w:pPr>
            <w:r w:rsidRPr="00B9606B">
              <w:rPr>
                <w:b/>
                <w:bCs/>
                <w:sz w:val="22"/>
                <w:szCs w:val="22"/>
              </w:rPr>
              <w:t>III. Tiesību akta projekta ietekme uz valsts budžetu un pašvaldību budžetiem</w:t>
            </w:r>
          </w:p>
        </w:tc>
      </w:tr>
      <w:tr w:rsidR="00EA2D06" w:rsidRPr="00B9606B" w:rsidTr="009A1D5B">
        <w:tc>
          <w:tcPr>
            <w:tcW w:w="1737" w:type="pct"/>
            <w:vMerge w:val="restart"/>
            <w:hideMark/>
          </w:tcPr>
          <w:p w:rsidR="00EA2D06" w:rsidRPr="00B9606B" w:rsidRDefault="00EA2D06" w:rsidP="00063894">
            <w:pPr>
              <w:jc w:val="center"/>
              <w:rPr>
                <w:sz w:val="22"/>
                <w:szCs w:val="22"/>
              </w:rPr>
            </w:pPr>
            <w:r w:rsidRPr="00B9606B">
              <w:rPr>
                <w:sz w:val="22"/>
                <w:szCs w:val="22"/>
              </w:rPr>
              <w:t> </w:t>
            </w:r>
            <w:r w:rsidRPr="00B9606B">
              <w:rPr>
                <w:b/>
                <w:bCs/>
                <w:sz w:val="22"/>
                <w:szCs w:val="22"/>
              </w:rPr>
              <w:t>Rādītāji</w:t>
            </w:r>
          </w:p>
        </w:tc>
        <w:tc>
          <w:tcPr>
            <w:tcW w:w="1275" w:type="pct"/>
            <w:gridSpan w:val="2"/>
            <w:vMerge w:val="restart"/>
            <w:hideMark/>
          </w:tcPr>
          <w:p w:rsidR="00EA2D06" w:rsidRPr="00B9606B" w:rsidRDefault="00EA2D06" w:rsidP="00063894">
            <w:pPr>
              <w:jc w:val="center"/>
              <w:rPr>
                <w:sz w:val="22"/>
                <w:szCs w:val="22"/>
              </w:rPr>
            </w:pPr>
            <w:r w:rsidRPr="00B9606B">
              <w:rPr>
                <w:sz w:val="22"/>
                <w:szCs w:val="22"/>
              </w:rPr>
              <w:t> </w:t>
            </w:r>
            <w:r w:rsidR="00CE55F6">
              <w:rPr>
                <w:b/>
                <w:bCs/>
                <w:sz w:val="22"/>
                <w:szCs w:val="22"/>
              </w:rPr>
              <w:t>2011</w:t>
            </w:r>
            <w:r w:rsidRPr="00B9606B">
              <w:rPr>
                <w:b/>
                <w:bCs/>
                <w:sz w:val="22"/>
                <w:szCs w:val="22"/>
              </w:rPr>
              <w:t>.gads</w:t>
            </w:r>
          </w:p>
        </w:tc>
        <w:tc>
          <w:tcPr>
            <w:tcW w:w="1988" w:type="pct"/>
            <w:gridSpan w:val="3"/>
            <w:hideMark/>
          </w:tcPr>
          <w:p w:rsidR="00EA2D06" w:rsidRPr="00B9606B" w:rsidRDefault="00EA2D06" w:rsidP="00063894">
            <w:pPr>
              <w:jc w:val="center"/>
              <w:rPr>
                <w:sz w:val="22"/>
                <w:szCs w:val="22"/>
              </w:rPr>
            </w:pPr>
            <w:r w:rsidRPr="00B9606B">
              <w:rPr>
                <w:sz w:val="22"/>
                <w:szCs w:val="22"/>
              </w:rPr>
              <w:t> Turpmākie trīs gadi (tūkst. latu)</w:t>
            </w:r>
          </w:p>
        </w:tc>
      </w:tr>
      <w:tr w:rsidR="00EA2D06" w:rsidRPr="00B9606B" w:rsidTr="009A1D5B">
        <w:tc>
          <w:tcPr>
            <w:tcW w:w="1737" w:type="pct"/>
            <w:vMerge/>
            <w:hideMark/>
          </w:tcPr>
          <w:p w:rsidR="00EA2D06" w:rsidRPr="00B9606B" w:rsidRDefault="00EA2D06" w:rsidP="00063894">
            <w:pPr>
              <w:rPr>
                <w:sz w:val="22"/>
                <w:szCs w:val="22"/>
              </w:rPr>
            </w:pPr>
          </w:p>
        </w:tc>
        <w:tc>
          <w:tcPr>
            <w:tcW w:w="1275" w:type="pct"/>
            <w:gridSpan w:val="2"/>
            <w:vMerge/>
            <w:hideMark/>
          </w:tcPr>
          <w:p w:rsidR="00EA2D06" w:rsidRPr="00B9606B" w:rsidRDefault="00EA2D06" w:rsidP="00063894">
            <w:pPr>
              <w:rPr>
                <w:sz w:val="22"/>
                <w:szCs w:val="22"/>
              </w:rPr>
            </w:pPr>
          </w:p>
        </w:tc>
        <w:tc>
          <w:tcPr>
            <w:tcW w:w="670" w:type="pct"/>
            <w:hideMark/>
          </w:tcPr>
          <w:p w:rsidR="00EA2D06" w:rsidRPr="00B9606B" w:rsidRDefault="00CE55F6" w:rsidP="00063894">
            <w:pPr>
              <w:jc w:val="center"/>
              <w:rPr>
                <w:b/>
                <w:bCs/>
                <w:sz w:val="22"/>
                <w:szCs w:val="22"/>
              </w:rPr>
            </w:pPr>
            <w:r>
              <w:rPr>
                <w:b/>
                <w:bCs/>
                <w:sz w:val="22"/>
                <w:szCs w:val="22"/>
              </w:rPr>
              <w:t> 2012</w:t>
            </w:r>
            <w:r w:rsidR="00EA2D06" w:rsidRPr="00B9606B">
              <w:rPr>
                <w:b/>
                <w:bCs/>
                <w:sz w:val="22"/>
                <w:szCs w:val="22"/>
              </w:rPr>
              <w:t>.</w:t>
            </w:r>
          </w:p>
        </w:tc>
        <w:tc>
          <w:tcPr>
            <w:tcW w:w="670" w:type="pct"/>
            <w:hideMark/>
          </w:tcPr>
          <w:p w:rsidR="00EA2D06" w:rsidRPr="00B9606B" w:rsidRDefault="00CE55F6" w:rsidP="00063894">
            <w:pPr>
              <w:jc w:val="center"/>
              <w:rPr>
                <w:b/>
                <w:bCs/>
                <w:sz w:val="22"/>
                <w:szCs w:val="22"/>
              </w:rPr>
            </w:pPr>
            <w:r>
              <w:rPr>
                <w:b/>
                <w:bCs/>
                <w:sz w:val="22"/>
                <w:szCs w:val="22"/>
              </w:rPr>
              <w:t> 2013</w:t>
            </w:r>
            <w:r w:rsidR="00EA2D06" w:rsidRPr="00B9606B">
              <w:rPr>
                <w:b/>
                <w:bCs/>
                <w:sz w:val="22"/>
                <w:szCs w:val="22"/>
              </w:rPr>
              <w:t>.</w:t>
            </w:r>
          </w:p>
        </w:tc>
        <w:tc>
          <w:tcPr>
            <w:tcW w:w="648" w:type="pct"/>
            <w:hideMark/>
          </w:tcPr>
          <w:p w:rsidR="00EA2D06" w:rsidRPr="00B9606B" w:rsidRDefault="00CE55F6" w:rsidP="00063894">
            <w:pPr>
              <w:jc w:val="center"/>
              <w:rPr>
                <w:b/>
                <w:bCs/>
                <w:sz w:val="22"/>
                <w:szCs w:val="22"/>
              </w:rPr>
            </w:pPr>
            <w:r>
              <w:rPr>
                <w:b/>
                <w:bCs/>
                <w:sz w:val="22"/>
                <w:szCs w:val="22"/>
              </w:rPr>
              <w:t> 2014</w:t>
            </w:r>
            <w:r w:rsidR="00EA2D06" w:rsidRPr="00B9606B">
              <w:rPr>
                <w:b/>
                <w:bCs/>
                <w:sz w:val="22"/>
                <w:szCs w:val="22"/>
              </w:rPr>
              <w:t>.</w:t>
            </w:r>
          </w:p>
        </w:tc>
      </w:tr>
      <w:tr w:rsidR="00EA2D06" w:rsidRPr="00B9606B" w:rsidTr="009A1D5B">
        <w:tc>
          <w:tcPr>
            <w:tcW w:w="1737" w:type="pct"/>
            <w:vMerge/>
            <w:hideMark/>
          </w:tcPr>
          <w:p w:rsidR="00EA2D06" w:rsidRPr="00B9606B" w:rsidRDefault="00EA2D06" w:rsidP="00063894">
            <w:pPr>
              <w:rPr>
                <w:sz w:val="22"/>
                <w:szCs w:val="22"/>
              </w:rPr>
            </w:pPr>
          </w:p>
        </w:tc>
        <w:tc>
          <w:tcPr>
            <w:tcW w:w="589" w:type="pct"/>
            <w:hideMark/>
          </w:tcPr>
          <w:p w:rsidR="00EA2D06" w:rsidRPr="00B9606B" w:rsidRDefault="00EA2D06" w:rsidP="00063894">
            <w:pPr>
              <w:jc w:val="center"/>
              <w:rPr>
                <w:sz w:val="22"/>
                <w:szCs w:val="22"/>
              </w:rPr>
            </w:pPr>
            <w:r w:rsidRPr="00B9606B">
              <w:rPr>
                <w:sz w:val="22"/>
                <w:szCs w:val="22"/>
              </w:rPr>
              <w:t xml:space="preserve"> Saskaņā ar valsts budžetu </w:t>
            </w:r>
            <w:r w:rsidRPr="00B9606B">
              <w:rPr>
                <w:sz w:val="22"/>
                <w:szCs w:val="22"/>
              </w:rPr>
              <w:lastRenderedPageBreak/>
              <w:t>kārtējam gadam</w:t>
            </w:r>
          </w:p>
        </w:tc>
        <w:tc>
          <w:tcPr>
            <w:tcW w:w="686" w:type="pct"/>
            <w:hideMark/>
          </w:tcPr>
          <w:p w:rsidR="00EA2D06" w:rsidRPr="00B9606B" w:rsidRDefault="00EA2D06" w:rsidP="00063894">
            <w:pPr>
              <w:jc w:val="center"/>
              <w:rPr>
                <w:sz w:val="22"/>
                <w:szCs w:val="22"/>
              </w:rPr>
            </w:pPr>
            <w:r w:rsidRPr="00B9606B">
              <w:rPr>
                <w:sz w:val="22"/>
                <w:szCs w:val="22"/>
              </w:rPr>
              <w:lastRenderedPageBreak/>
              <w:t xml:space="preserve"> Izmaiņas kārtējā gadā, </w:t>
            </w:r>
            <w:r w:rsidRPr="00B9606B">
              <w:rPr>
                <w:sz w:val="22"/>
                <w:szCs w:val="22"/>
              </w:rPr>
              <w:lastRenderedPageBreak/>
              <w:t>salīdzinot ar budžetu kārtējam gadam</w:t>
            </w:r>
          </w:p>
        </w:tc>
        <w:tc>
          <w:tcPr>
            <w:tcW w:w="670" w:type="pct"/>
            <w:hideMark/>
          </w:tcPr>
          <w:p w:rsidR="00EA2D06" w:rsidRPr="00B9606B" w:rsidRDefault="00EA2D06" w:rsidP="00063894">
            <w:pPr>
              <w:jc w:val="center"/>
              <w:rPr>
                <w:sz w:val="22"/>
                <w:szCs w:val="22"/>
              </w:rPr>
            </w:pPr>
            <w:r w:rsidRPr="00B9606B">
              <w:rPr>
                <w:sz w:val="22"/>
                <w:szCs w:val="22"/>
              </w:rPr>
              <w:lastRenderedPageBreak/>
              <w:t> Iz</w:t>
            </w:r>
            <w:r w:rsidR="009A1D5B">
              <w:rPr>
                <w:sz w:val="22"/>
                <w:szCs w:val="22"/>
              </w:rPr>
              <w:t>mai</w:t>
            </w:r>
            <w:r w:rsidR="00CE55F6">
              <w:rPr>
                <w:sz w:val="22"/>
                <w:szCs w:val="22"/>
              </w:rPr>
              <w:t xml:space="preserve">ņas, salīdzinot ar kārtējo </w:t>
            </w:r>
            <w:r w:rsidR="00CE55F6">
              <w:rPr>
                <w:sz w:val="22"/>
                <w:szCs w:val="22"/>
              </w:rPr>
              <w:lastRenderedPageBreak/>
              <w:t>(2011</w:t>
            </w:r>
            <w:r w:rsidRPr="00B9606B">
              <w:rPr>
                <w:sz w:val="22"/>
                <w:szCs w:val="22"/>
              </w:rPr>
              <w:t>) gadu</w:t>
            </w:r>
          </w:p>
        </w:tc>
        <w:tc>
          <w:tcPr>
            <w:tcW w:w="670" w:type="pct"/>
            <w:hideMark/>
          </w:tcPr>
          <w:p w:rsidR="00EA2D06" w:rsidRPr="00B9606B" w:rsidRDefault="00EA2D06" w:rsidP="00063894">
            <w:pPr>
              <w:jc w:val="center"/>
              <w:rPr>
                <w:sz w:val="22"/>
                <w:szCs w:val="22"/>
              </w:rPr>
            </w:pPr>
            <w:r w:rsidRPr="00B9606B">
              <w:rPr>
                <w:sz w:val="22"/>
                <w:szCs w:val="22"/>
              </w:rPr>
              <w:lastRenderedPageBreak/>
              <w:t> Iz</w:t>
            </w:r>
            <w:r w:rsidR="009A1D5B">
              <w:rPr>
                <w:sz w:val="22"/>
                <w:szCs w:val="22"/>
              </w:rPr>
              <w:t>mai</w:t>
            </w:r>
            <w:r w:rsidR="00CE55F6">
              <w:rPr>
                <w:sz w:val="22"/>
                <w:szCs w:val="22"/>
              </w:rPr>
              <w:t xml:space="preserve">ņas, salīdzinot ar kārtējo </w:t>
            </w:r>
            <w:r w:rsidR="00CE55F6">
              <w:rPr>
                <w:sz w:val="22"/>
                <w:szCs w:val="22"/>
              </w:rPr>
              <w:lastRenderedPageBreak/>
              <w:t>(2011</w:t>
            </w:r>
            <w:r w:rsidRPr="00B9606B">
              <w:rPr>
                <w:sz w:val="22"/>
                <w:szCs w:val="22"/>
              </w:rPr>
              <w:t>) gadu</w:t>
            </w:r>
          </w:p>
        </w:tc>
        <w:tc>
          <w:tcPr>
            <w:tcW w:w="648" w:type="pct"/>
            <w:hideMark/>
          </w:tcPr>
          <w:p w:rsidR="00EA2D06" w:rsidRPr="00B9606B" w:rsidRDefault="00EA2D06" w:rsidP="00063894">
            <w:pPr>
              <w:jc w:val="center"/>
              <w:rPr>
                <w:sz w:val="22"/>
                <w:szCs w:val="22"/>
              </w:rPr>
            </w:pPr>
            <w:r w:rsidRPr="00B9606B">
              <w:rPr>
                <w:sz w:val="22"/>
                <w:szCs w:val="22"/>
              </w:rPr>
              <w:lastRenderedPageBreak/>
              <w:t> Iz</w:t>
            </w:r>
            <w:r w:rsidR="009A1D5B">
              <w:rPr>
                <w:sz w:val="22"/>
                <w:szCs w:val="22"/>
              </w:rPr>
              <w:t>mai</w:t>
            </w:r>
            <w:r w:rsidR="00CE55F6">
              <w:rPr>
                <w:sz w:val="22"/>
                <w:szCs w:val="22"/>
              </w:rPr>
              <w:t xml:space="preserve">ņas, salīdzinot ar kārtējo </w:t>
            </w:r>
            <w:r w:rsidR="00CE55F6">
              <w:rPr>
                <w:sz w:val="22"/>
                <w:szCs w:val="22"/>
              </w:rPr>
              <w:lastRenderedPageBreak/>
              <w:t>(2011</w:t>
            </w:r>
            <w:r w:rsidRPr="00B9606B">
              <w:rPr>
                <w:sz w:val="22"/>
                <w:szCs w:val="22"/>
              </w:rPr>
              <w:t>) gadu</w:t>
            </w:r>
          </w:p>
        </w:tc>
      </w:tr>
      <w:tr w:rsidR="00EA2D06" w:rsidRPr="00B9606B" w:rsidTr="009A1D5B">
        <w:tc>
          <w:tcPr>
            <w:tcW w:w="1737" w:type="pct"/>
            <w:hideMark/>
          </w:tcPr>
          <w:p w:rsidR="00EA2D06" w:rsidRPr="00B9606B" w:rsidRDefault="00EA2D06" w:rsidP="00063894">
            <w:pPr>
              <w:jc w:val="center"/>
              <w:rPr>
                <w:sz w:val="22"/>
                <w:szCs w:val="22"/>
              </w:rPr>
            </w:pPr>
            <w:r w:rsidRPr="00B9606B">
              <w:rPr>
                <w:sz w:val="22"/>
                <w:szCs w:val="22"/>
              </w:rPr>
              <w:lastRenderedPageBreak/>
              <w:t> 1</w:t>
            </w:r>
          </w:p>
        </w:tc>
        <w:tc>
          <w:tcPr>
            <w:tcW w:w="589" w:type="pct"/>
            <w:hideMark/>
          </w:tcPr>
          <w:p w:rsidR="00EA2D06" w:rsidRPr="00B9606B" w:rsidRDefault="00EA2D06" w:rsidP="00063894">
            <w:pPr>
              <w:jc w:val="center"/>
              <w:rPr>
                <w:sz w:val="22"/>
                <w:szCs w:val="22"/>
              </w:rPr>
            </w:pPr>
            <w:r w:rsidRPr="00B9606B">
              <w:rPr>
                <w:sz w:val="22"/>
                <w:szCs w:val="22"/>
              </w:rPr>
              <w:t> 2</w:t>
            </w:r>
          </w:p>
        </w:tc>
        <w:tc>
          <w:tcPr>
            <w:tcW w:w="686" w:type="pct"/>
            <w:hideMark/>
          </w:tcPr>
          <w:p w:rsidR="00EA2D06" w:rsidRPr="00B9606B" w:rsidRDefault="00EA2D06" w:rsidP="00063894">
            <w:pPr>
              <w:jc w:val="center"/>
              <w:rPr>
                <w:sz w:val="22"/>
                <w:szCs w:val="22"/>
              </w:rPr>
            </w:pPr>
            <w:r w:rsidRPr="00B9606B">
              <w:rPr>
                <w:sz w:val="22"/>
                <w:szCs w:val="22"/>
              </w:rPr>
              <w:t> 3</w:t>
            </w:r>
          </w:p>
        </w:tc>
        <w:tc>
          <w:tcPr>
            <w:tcW w:w="670" w:type="pct"/>
            <w:hideMark/>
          </w:tcPr>
          <w:p w:rsidR="00EA2D06" w:rsidRPr="00B9606B" w:rsidRDefault="00EA2D06" w:rsidP="00063894">
            <w:pPr>
              <w:jc w:val="center"/>
              <w:rPr>
                <w:sz w:val="22"/>
                <w:szCs w:val="22"/>
              </w:rPr>
            </w:pPr>
            <w:r w:rsidRPr="00B9606B">
              <w:rPr>
                <w:sz w:val="22"/>
                <w:szCs w:val="22"/>
              </w:rPr>
              <w:t> 4</w:t>
            </w:r>
          </w:p>
        </w:tc>
        <w:tc>
          <w:tcPr>
            <w:tcW w:w="670" w:type="pct"/>
            <w:hideMark/>
          </w:tcPr>
          <w:p w:rsidR="00EA2D06" w:rsidRPr="00B9606B" w:rsidRDefault="00EA2D06" w:rsidP="00063894">
            <w:pPr>
              <w:jc w:val="center"/>
              <w:rPr>
                <w:sz w:val="22"/>
                <w:szCs w:val="22"/>
              </w:rPr>
            </w:pPr>
            <w:r w:rsidRPr="00B9606B">
              <w:rPr>
                <w:sz w:val="22"/>
                <w:szCs w:val="22"/>
              </w:rPr>
              <w:t> 5</w:t>
            </w:r>
          </w:p>
        </w:tc>
        <w:tc>
          <w:tcPr>
            <w:tcW w:w="648" w:type="pct"/>
            <w:hideMark/>
          </w:tcPr>
          <w:p w:rsidR="00EA2D06" w:rsidRPr="00B9606B" w:rsidRDefault="00EA2D06" w:rsidP="00063894">
            <w:pPr>
              <w:jc w:val="center"/>
              <w:rPr>
                <w:sz w:val="22"/>
                <w:szCs w:val="22"/>
              </w:rPr>
            </w:pPr>
            <w:r w:rsidRPr="00B9606B">
              <w:rPr>
                <w:sz w:val="22"/>
                <w:szCs w:val="22"/>
              </w:rPr>
              <w:t> 6</w:t>
            </w:r>
          </w:p>
        </w:tc>
      </w:tr>
      <w:tr w:rsidR="00EF6A5D" w:rsidRPr="00B9606B" w:rsidTr="009A1D5B">
        <w:tc>
          <w:tcPr>
            <w:tcW w:w="1737" w:type="pct"/>
            <w:hideMark/>
          </w:tcPr>
          <w:p w:rsidR="00EF6A5D" w:rsidRPr="009A1D5B" w:rsidRDefault="00EF6A5D" w:rsidP="00063894">
            <w:pPr>
              <w:rPr>
                <w:b/>
                <w:sz w:val="22"/>
                <w:szCs w:val="22"/>
              </w:rPr>
            </w:pPr>
            <w:r w:rsidRPr="009A1D5B">
              <w:rPr>
                <w:b/>
                <w:sz w:val="22"/>
                <w:szCs w:val="22"/>
              </w:rPr>
              <w:t> 1. Budžeta ieņēmumi:</w:t>
            </w:r>
          </w:p>
        </w:tc>
        <w:tc>
          <w:tcPr>
            <w:tcW w:w="589" w:type="pct"/>
            <w:hideMark/>
          </w:tcPr>
          <w:p w:rsidR="00EF6A5D" w:rsidRPr="00B9606B" w:rsidRDefault="00EF6A5D" w:rsidP="00EC447B">
            <w:pPr>
              <w:ind w:firstLine="250"/>
              <w:jc w:val="right"/>
              <w:rPr>
                <w:sz w:val="22"/>
                <w:szCs w:val="22"/>
              </w:rPr>
            </w:pPr>
            <w:r w:rsidRPr="00B9606B">
              <w:rPr>
                <w:sz w:val="22"/>
                <w:szCs w:val="22"/>
              </w:rPr>
              <w:t>  </w:t>
            </w:r>
            <w:r>
              <w:rPr>
                <w:sz w:val="22"/>
                <w:szCs w:val="22"/>
              </w:rPr>
              <w:t>146,4</w:t>
            </w:r>
          </w:p>
        </w:tc>
        <w:tc>
          <w:tcPr>
            <w:tcW w:w="686" w:type="pct"/>
            <w:hideMark/>
          </w:tcPr>
          <w:p w:rsidR="00EF6A5D" w:rsidRPr="00B9606B" w:rsidRDefault="00EF6A5D" w:rsidP="00EC447B">
            <w:pPr>
              <w:ind w:firstLine="250"/>
              <w:jc w:val="right"/>
              <w:rPr>
                <w:sz w:val="22"/>
                <w:szCs w:val="22"/>
              </w:rPr>
            </w:pPr>
            <w:r>
              <w:rPr>
                <w:sz w:val="22"/>
                <w:szCs w:val="22"/>
              </w:rPr>
              <w:t>0</w:t>
            </w:r>
          </w:p>
        </w:tc>
        <w:tc>
          <w:tcPr>
            <w:tcW w:w="670" w:type="pct"/>
            <w:hideMark/>
          </w:tcPr>
          <w:p w:rsidR="00EF6A5D" w:rsidRPr="00B9606B" w:rsidRDefault="00EF6A5D" w:rsidP="00EC447B">
            <w:pPr>
              <w:ind w:firstLine="250"/>
              <w:jc w:val="right"/>
              <w:rPr>
                <w:sz w:val="22"/>
                <w:szCs w:val="22"/>
              </w:rPr>
            </w:pPr>
            <w:r>
              <w:rPr>
                <w:sz w:val="22"/>
                <w:szCs w:val="22"/>
              </w:rPr>
              <w:t>0</w:t>
            </w:r>
          </w:p>
        </w:tc>
        <w:tc>
          <w:tcPr>
            <w:tcW w:w="670" w:type="pct"/>
            <w:hideMark/>
          </w:tcPr>
          <w:p w:rsidR="00EF6A5D" w:rsidRPr="00B9606B" w:rsidRDefault="00EF6A5D" w:rsidP="00EC447B">
            <w:pPr>
              <w:ind w:firstLine="250"/>
              <w:jc w:val="right"/>
              <w:rPr>
                <w:sz w:val="22"/>
                <w:szCs w:val="22"/>
              </w:rPr>
            </w:pPr>
            <w:r>
              <w:rPr>
                <w:sz w:val="22"/>
                <w:szCs w:val="22"/>
              </w:rPr>
              <w:t>0</w:t>
            </w:r>
          </w:p>
        </w:tc>
        <w:tc>
          <w:tcPr>
            <w:tcW w:w="648" w:type="pct"/>
            <w:hideMark/>
          </w:tcPr>
          <w:p w:rsidR="00EF6A5D" w:rsidRPr="00B9606B" w:rsidRDefault="00EF6A5D" w:rsidP="00EC447B">
            <w:pPr>
              <w:ind w:firstLine="250"/>
              <w:jc w:val="right"/>
              <w:rPr>
                <w:sz w:val="22"/>
                <w:szCs w:val="22"/>
              </w:rPr>
            </w:pPr>
            <w:r>
              <w:rPr>
                <w:sz w:val="22"/>
                <w:szCs w:val="22"/>
              </w:rPr>
              <w:t>0</w:t>
            </w:r>
          </w:p>
        </w:tc>
      </w:tr>
      <w:tr w:rsidR="00EF6A5D" w:rsidRPr="00B9606B" w:rsidTr="009A1D5B">
        <w:tc>
          <w:tcPr>
            <w:tcW w:w="1737" w:type="pct"/>
            <w:hideMark/>
          </w:tcPr>
          <w:p w:rsidR="00EF6A5D" w:rsidRPr="00B9606B" w:rsidRDefault="00EF6A5D" w:rsidP="00063894">
            <w:pPr>
              <w:rPr>
                <w:sz w:val="22"/>
                <w:szCs w:val="22"/>
              </w:rPr>
            </w:pPr>
            <w:r w:rsidRPr="00B9606B">
              <w:rPr>
                <w:sz w:val="22"/>
                <w:szCs w:val="22"/>
              </w:rPr>
              <w:t> 1.1. valsts pamatbudžets, tai sk</w:t>
            </w:r>
            <w:r>
              <w:rPr>
                <w:sz w:val="22"/>
                <w:szCs w:val="22"/>
              </w:rPr>
              <w:t>aitā ieņēmumi no maksas pakalpo</w:t>
            </w:r>
            <w:r w:rsidRPr="00B9606B">
              <w:rPr>
                <w:sz w:val="22"/>
                <w:szCs w:val="22"/>
              </w:rPr>
              <w:t>jumiem un citi pašu ieņēmumi</w:t>
            </w:r>
          </w:p>
        </w:tc>
        <w:tc>
          <w:tcPr>
            <w:tcW w:w="589" w:type="pct"/>
            <w:hideMark/>
          </w:tcPr>
          <w:p w:rsidR="00EF6A5D" w:rsidRPr="00B9606B" w:rsidRDefault="00EF6A5D" w:rsidP="00063894">
            <w:pPr>
              <w:ind w:firstLine="250"/>
              <w:jc w:val="right"/>
              <w:rPr>
                <w:sz w:val="22"/>
                <w:szCs w:val="22"/>
              </w:rPr>
            </w:pPr>
            <w:r w:rsidRPr="00B9606B">
              <w:rPr>
                <w:sz w:val="22"/>
                <w:szCs w:val="22"/>
              </w:rPr>
              <w:t>  </w:t>
            </w:r>
            <w:r>
              <w:rPr>
                <w:sz w:val="22"/>
                <w:szCs w:val="22"/>
              </w:rPr>
              <w:t>146,4</w:t>
            </w:r>
          </w:p>
        </w:tc>
        <w:tc>
          <w:tcPr>
            <w:tcW w:w="686" w:type="pct"/>
            <w:hideMark/>
          </w:tcPr>
          <w:p w:rsidR="00EF6A5D" w:rsidRPr="00B9606B" w:rsidRDefault="00EF6A5D" w:rsidP="00063894">
            <w:pPr>
              <w:ind w:firstLine="250"/>
              <w:jc w:val="right"/>
              <w:rPr>
                <w:sz w:val="22"/>
                <w:szCs w:val="22"/>
              </w:rPr>
            </w:pPr>
            <w:r>
              <w:rPr>
                <w:sz w:val="22"/>
                <w:szCs w:val="22"/>
              </w:rPr>
              <w:t>0</w:t>
            </w:r>
          </w:p>
        </w:tc>
        <w:tc>
          <w:tcPr>
            <w:tcW w:w="670" w:type="pct"/>
            <w:hideMark/>
          </w:tcPr>
          <w:p w:rsidR="00EF6A5D" w:rsidRPr="00B9606B" w:rsidRDefault="00EF6A5D" w:rsidP="00063894">
            <w:pPr>
              <w:ind w:firstLine="250"/>
              <w:jc w:val="right"/>
              <w:rPr>
                <w:sz w:val="22"/>
                <w:szCs w:val="22"/>
              </w:rPr>
            </w:pPr>
            <w:r>
              <w:rPr>
                <w:sz w:val="22"/>
                <w:szCs w:val="22"/>
              </w:rPr>
              <w:t>0</w:t>
            </w:r>
          </w:p>
        </w:tc>
        <w:tc>
          <w:tcPr>
            <w:tcW w:w="670" w:type="pct"/>
            <w:hideMark/>
          </w:tcPr>
          <w:p w:rsidR="00EF6A5D" w:rsidRPr="00B9606B" w:rsidRDefault="00EF6A5D" w:rsidP="00063894">
            <w:pPr>
              <w:ind w:firstLine="250"/>
              <w:jc w:val="right"/>
              <w:rPr>
                <w:sz w:val="22"/>
                <w:szCs w:val="22"/>
              </w:rPr>
            </w:pPr>
            <w:r>
              <w:rPr>
                <w:sz w:val="22"/>
                <w:szCs w:val="22"/>
              </w:rPr>
              <w:t>0</w:t>
            </w:r>
          </w:p>
        </w:tc>
        <w:tc>
          <w:tcPr>
            <w:tcW w:w="648" w:type="pct"/>
            <w:hideMark/>
          </w:tcPr>
          <w:p w:rsidR="00EF6A5D" w:rsidRPr="00B9606B" w:rsidRDefault="00EF6A5D" w:rsidP="00063894">
            <w:pPr>
              <w:ind w:firstLine="250"/>
              <w:jc w:val="right"/>
              <w:rPr>
                <w:sz w:val="22"/>
                <w:szCs w:val="22"/>
              </w:rPr>
            </w:pPr>
            <w:r>
              <w:rPr>
                <w:sz w:val="22"/>
                <w:szCs w:val="22"/>
              </w:rPr>
              <w:t>0</w:t>
            </w:r>
          </w:p>
        </w:tc>
      </w:tr>
      <w:tr w:rsidR="00EF6A5D" w:rsidRPr="00B9606B" w:rsidTr="009A1D5B">
        <w:tc>
          <w:tcPr>
            <w:tcW w:w="1737" w:type="pct"/>
            <w:hideMark/>
          </w:tcPr>
          <w:p w:rsidR="00EF6A5D" w:rsidRPr="00B9606B" w:rsidRDefault="00EF6A5D" w:rsidP="00063894">
            <w:pPr>
              <w:rPr>
                <w:sz w:val="22"/>
                <w:szCs w:val="22"/>
              </w:rPr>
            </w:pPr>
            <w:r w:rsidRPr="00B9606B">
              <w:rPr>
                <w:sz w:val="22"/>
                <w:szCs w:val="22"/>
              </w:rPr>
              <w:t> 1.2. valsts speciālais budžets</w:t>
            </w:r>
          </w:p>
        </w:tc>
        <w:tc>
          <w:tcPr>
            <w:tcW w:w="589" w:type="pct"/>
            <w:hideMark/>
          </w:tcPr>
          <w:p w:rsidR="00EF6A5D" w:rsidRPr="00B9606B" w:rsidRDefault="00EF6A5D" w:rsidP="00063894">
            <w:pPr>
              <w:ind w:firstLine="250"/>
              <w:jc w:val="right"/>
              <w:rPr>
                <w:sz w:val="22"/>
                <w:szCs w:val="22"/>
              </w:rPr>
            </w:pPr>
            <w:r w:rsidRPr="00B9606B">
              <w:rPr>
                <w:sz w:val="22"/>
                <w:szCs w:val="22"/>
              </w:rPr>
              <w:t>  </w:t>
            </w:r>
            <w:r>
              <w:rPr>
                <w:sz w:val="22"/>
                <w:szCs w:val="22"/>
              </w:rPr>
              <w:t>0</w:t>
            </w:r>
          </w:p>
        </w:tc>
        <w:tc>
          <w:tcPr>
            <w:tcW w:w="686" w:type="pct"/>
            <w:hideMark/>
          </w:tcPr>
          <w:p w:rsidR="00EF6A5D" w:rsidRPr="00B9606B" w:rsidRDefault="00EF6A5D" w:rsidP="00063894">
            <w:pPr>
              <w:ind w:firstLine="250"/>
              <w:jc w:val="right"/>
              <w:rPr>
                <w:sz w:val="22"/>
                <w:szCs w:val="22"/>
              </w:rPr>
            </w:pPr>
            <w:r>
              <w:rPr>
                <w:sz w:val="22"/>
                <w:szCs w:val="22"/>
              </w:rPr>
              <w:t>0</w:t>
            </w:r>
          </w:p>
        </w:tc>
        <w:tc>
          <w:tcPr>
            <w:tcW w:w="670" w:type="pct"/>
            <w:hideMark/>
          </w:tcPr>
          <w:p w:rsidR="00EF6A5D" w:rsidRPr="00B9606B" w:rsidRDefault="00EF6A5D" w:rsidP="00063894">
            <w:pPr>
              <w:ind w:firstLine="250"/>
              <w:jc w:val="right"/>
              <w:rPr>
                <w:sz w:val="22"/>
                <w:szCs w:val="22"/>
              </w:rPr>
            </w:pPr>
            <w:r>
              <w:rPr>
                <w:sz w:val="22"/>
                <w:szCs w:val="22"/>
              </w:rPr>
              <w:t>0</w:t>
            </w:r>
          </w:p>
        </w:tc>
        <w:tc>
          <w:tcPr>
            <w:tcW w:w="670" w:type="pct"/>
            <w:hideMark/>
          </w:tcPr>
          <w:p w:rsidR="00EF6A5D" w:rsidRPr="00B9606B" w:rsidRDefault="00EF6A5D" w:rsidP="00063894">
            <w:pPr>
              <w:ind w:firstLine="250"/>
              <w:jc w:val="right"/>
              <w:rPr>
                <w:sz w:val="22"/>
                <w:szCs w:val="22"/>
              </w:rPr>
            </w:pPr>
            <w:r>
              <w:rPr>
                <w:sz w:val="22"/>
                <w:szCs w:val="22"/>
              </w:rPr>
              <w:t>0</w:t>
            </w:r>
          </w:p>
        </w:tc>
        <w:tc>
          <w:tcPr>
            <w:tcW w:w="648" w:type="pct"/>
            <w:hideMark/>
          </w:tcPr>
          <w:p w:rsidR="00EF6A5D" w:rsidRPr="00B9606B" w:rsidRDefault="00EF6A5D" w:rsidP="00063894">
            <w:pPr>
              <w:ind w:firstLine="250"/>
              <w:jc w:val="right"/>
              <w:rPr>
                <w:sz w:val="22"/>
                <w:szCs w:val="22"/>
              </w:rPr>
            </w:pPr>
            <w:r>
              <w:rPr>
                <w:sz w:val="22"/>
                <w:szCs w:val="22"/>
              </w:rPr>
              <w:t>0</w:t>
            </w:r>
          </w:p>
        </w:tc>
      </w:tr>
      <w:tr w:rsidR="00EF6A5D" w:rsidRPr="00B9606B" w:rsidTr="009A1D5B">
        <w:tc>
          <w:tcPr>
            <w:tcW w:w="1737" w:type="pct"/>
            <w:hideMark/>
          </w:tcPr>
          <w:p w:rsidR="00EF6A5D" w:rsidRPr="00B9606B" w:rsidRDefault="00EF6A5D" w:rsidP="00063894">
            <w:pPr>
              <w:rPr>
                <w:sz w:val="22"/>
                <w:szCs w:val="22"/>
              </w:rPr>
            </w:pPr>
            <w:r w:rsidRPr="00B9606B">
              <w:rPr>
                <w:sz w:val="22"/>
                <w:szCs w:val="22"/>
              </w:rPr>
              <w:t> 1.3. pašvaldību budžets</w:t>
            </w:r>
          </w:p>
        </w:tc>
        <w:tc>
          <w:tcPr>
            <w:tcW w:w="589" w:type="pct"/>
            <w:hideMark/>
          </w:tcPr>
          <w:p w:rsidR="00EF6A5D" w:rsidRPr="00B9606B" w:rsidRDefault="00EF6A5D" w:rsidP="00EC447B">
            <w:pPr>
              <w:ind w:firstLine="250"/>
              <w:jc w:val="right"/>
              <w:rPr>
                <w:sz w:val="22"/>
                <w:szCs w:val="22"/>
              </w:rPr>
            </w:pPr>
            <w:r w:rsidRPr="00B9606B">
              <w:rPr>
                <w:sz w:val="22"/>
                <w:szCs w:val="22"/>
              </w:rPr>
              <w:t>  </w:t>
            </w:r>
            <w:r>
              <w:rPr>
                <w:sz w:val="22"/>
                <w:szCs w:val="22"/>
              </w:rPr>
              <w:t>0</w:t>
            </w:r>
          </w:p>
        </w:tc>
        <w:tc>
          <w:tcPr>
            <w:tcW w:w="686" w:type="pct"/>
            <w:hideMark/>
          </w:tcPr>
          <w:p w:rsidR="00EF6A5D" w:rsidRPr="00B9606B" w:rsidRDefault="00EF6A5D" w:rsidP="00EC447B">
            <w:pPr>
              <w:ind w:firstLine="250"/>
              <w:jc w:val="right"/>
              <w:rPr>
                <w:sz w:val="22"/>
                <w:szCs w:val="22"/>
              </w:rPr>
            </w:pPr>
            <w:r>
              <w:rPr>
                <w:sz w:val="22"/>
                <w:szCs w:val="22"/>
              </w:rPr>
              <w:t>0</w:t>
            </w:r>
          </w:p>
        </w:tc>
        <w:tc>
          <w:tcPr>
            <w:tcW w:w="670" w:type="pct"/>
            <w:hideMark/>
          </w:tcPr>
          <w:p w:rsidR="00EF6A5D" w:rsidRPr="00B9606B" w:rsidRDefault="00EF6A5D" w:rsidP="00EC447B">
            <w:pPr>
              <w:ind w:firstLine="250"/>
              <w:jc w:val="right"/>
              <w:rPr>
                <w:sz w:val="22"/>
                <w:szCs w:val="22"/>
              </w:rPr>
            </w:pPr>
            <w:r>
              <w:rPr>
                <w:sz w:val="22"/>
                <w:szCs w:val="22"/>
              </w:rPr>
              <w:t>0</w:t>
            </w:r>
          </w:p>
        </w:tc>
        <w:tc>
          <w:tcPr>
            <w:tcW w:w="670" w:type="pct"/>
            <w:hideMark/>
          </w:tcPr>
          <w:p w:rsidR="00EF6A5D" w:rsidRPr="00B9606B" w:rsidRDefault="00EF6A5D" w:rsidP="00EC447B">
            <w:pPr>
              <w:ind w:firstLine="250"/>
              <w:jc w:val="right"/>
              <w:rPr>
                <w:sz w:val="22"/>
                <w:szCs w:val="22"/>
              </w:rPr>
            </w:pPr>
            <w:r>
              <w:rPr>
                <w:sz w:val="22"/>
                <w:szCs w:val="22"/>
              </w:rPr>
              <w:t>0</w:t>
            </w:r>
          </w:p>
        </w:tc>
        <w:tc>
          <w:tcPr>
            <w:tcW w:w="648" w:type="pct"/>
            <w:hideMark/>
          </w:tcPr>
          <w:p w:rsidR="00EF6A5D" w:rsidRPr="00B9606B" w:rsidRDefault="00EF6A5D" w:rsidP="00EC447B">
            <w:pPr>
              <w:ind w:firstLine="250"/>
              <w:jc w:val="right"/>
              <w:rPr>
                <w:sz w:val="22"/>
                <w:szCs w:val="22"/>
              </w:rPr>
            </w:pPr>
            <w:r>
              <w:rPr>
                <w:sz w:val="22"/>
                <w:szCs w:val="22"/>
              </w:rPr>
              <w:t>0</w:t>
            </w:r>
          </w:p>
        </w:tc>
      </w:tr>
      <w:tr w:rsidR="00EF6A5D" w:rsidRPr="00B9606B" w:rsidTr="009A1D5B">
        <w:tc>
          <w:tcPr>
            <w:tcW w:w="1737" w:type="pct"/>
            <w:hideMark/>
          </w:tcPr>
          <w:p w:rsidR="00EF6A5D" w:rsidRPr="009A1D5B" w:rsidRDefault="00EF6A5D" w:rsidP="00063894">
            <w:pPr>
              <w:rPr>
                <w:b/>
                <w:sz w:val="22"/>
                <w:szCs w:val="22"/>
              </w:rPr>
            </w:pPr>
            <w:r w:rsidRPr="009A1D5B">
              <w:rPr>
                <w:b/>
                <w:sz w:val="22"/>
                <w:szCs w:val="22"/>
              </w:rPr>
              <w:t> 2. Budžeta izdevumi:</w:t>
            </w:r>
          </w:p>
        </w:tc>
        <w:tc>
          <w:tcPr>
            <w:tcW w:w="589" w:type="pct"/>
            <w:hideMark/>
          </w:tcPr>
          <w:p w:rsidR="00EF6A5D" w:rsidRPr="00B9606B" w:rsidRDefault="00EF6A5D" w:rsidP="00EC447B">
            <w:pPr>
              <w:ind w:firstLine="250"/>
              <w:jc w:val="right"/>
              <w:rPr>
                <w:sz w:val="22"/>
                <w:szCs w:val="22"/>
              </w:rPr>
            </w:pPr>
            <w:r>
              <w:rPr>
                <w:sz w:val="22"/>
                <w:szCs w:val="22"/>
              </w:rPr>
              <w:t>146,4</w:t>
            </w:r>
          </w:p>
        </w:tc>
        <w:tc>
          <w:tcPr>
            <w:tcW w:w="686" w:type="pct"/>
            <w:hideMark/>
          </w:tcPr>
          <w:p w:rsidR="00EF6A5D" w:rsidRPr="00B9606B" w:rsidRDefault="00EF6A5D" w:rsidP="00EC447B">
            <w:pPr>
              <w:ind w:firstLine="250"/>
              <w:jc w:val="right"/>
              <w:rPr>
                <w:sz w:val="22"/>
                <w:szCs w:val="22"/>
              </w:rPr>
            </w:pPr>
            <w:r>
              <w:rPr>
                <w:sz w:val="22"/>
                <w:szCs w:val="22"/>
              </w:rPr>
              <w:t>14,6</w:t>
            </w:r>
          </w:p>
        </w:tc>
        <w:tc>
          <w:tcPr>
            <w:tcW w:w="670" w:type="pct"/>
            <w:hideMark/>
          </w:tcPr>
          <w:p w:rsidR="00EF6A5D" w:rsidRPr="00B9606B" w:rsidRDefault="00EF6A5D" w:rsidP="00EC447B">
            <w:pPr>
              <w:ind w:firstLine="250"/>
              <w:jc w:val="right"/>
              <w:rPr>
                <w:sz w:val="22"/>
                <w:szCs w:val="22"/>
              </w:rPr>
            </w:pPr>
            <w:r>
              <w:rPr>
                <w:sz w:val="22"/>
                <w:szCs w:val="22"/>
              </w:rPr>
              <w:t>43,9</w:t>
            </w:r>
          </w:p>
        </w:tc>
        <w:tc>
          <w:tcPr>
            <w:tcW w:w="670" w:type="pct"/>
            <w:hideMark/>
          </w:tcPr>
          <w:p w:rsidR="00EF6A5D" w:rsidRPr="00B9606B" w:rsidRDefault="00EF6A5D" w:rsidP="00EC447B">
            <w:pPr>
              <w:ind w:firstLine="250"/>
              <w:jc w:val="right"/>
              <w:rPr>
                <w:sz w:val="22"/>
                <w:szCs w:val="22"/>
              </w:rPr>
            </w:pPr>
            <w:r>
              <w:rPr>
                <w:sz w:val="22"/>
                <w:szCs w:val="22"/>
              </w:rPr>
              <w:t>43,9</w:t>
            </w:r>
          </w:p>
        </w:tc>
        <w:tc>
          <w:tcPr>
            <w:tcW w:w="648" w:type="pct"/>
            <w:hideMark/>
          </w:tcPr>
          <w:p w:rsidR="00EF6A5D" w:rsidRPr="00B9606B" w:rsidRDefault="00EF6A5D" w:rsidP="00EC447B">
            <w:pPr>
              <w:ind w:firstLine="250"/>
              <w:jc w:val="right"/>
              <w:rPr>
                <w:sz w:val="22"/>
                <w:szCs w:val="22"/>
              </w:rPr>
            </w:pPr>
            <w:r>
              <w:rPr>
                <w:sz w:val="22"/>
                <w:szCs w:val="22"/>
              </w:rPr>
              <w:t>43,9</w:t>
            </w:r>
          </w:p>
        </w:tc>
      </w:tr>
      <w:tr w:rsidR="00EF6A5D" w:rsidRPr="00B9606B" w:rsidTr="009A1D5B">
        <w:tc>
          <w:tcPr>
            <w:tcW w:w="1737" w:type="pct"/>
            <w:hideMark/>
          </w:tcPr>
          <w:p w:rsidR="00EF6A5D" w:rsidRPr="00B9606B" w:rsidRDefault="00EF6A5D" w:rsidP="00063894">
            <w:pPr>
              <w:rPr>
                <w:sz w:val="22"/>
                <w:szCs w:val="22"/>
              </w:rPr>
            </w:pPr>
            <w:r w:rsidRPr="00B9606B">
              <w:rPr>
                <w:sz w:val="22"/>
                <w:szCs w:val="22"/>
              </w:rPr>
              <w:t> 2.1. valsts pamatbudžets</w:t>
            </w:r>
          </w:p>
        </w:tc>
        <w:tc>
          <w:tcPr>
            <w:tcW w:w="589" w:type="pct"/>
            <w:hideMark/>
          </w:tcPr>
          <w:p w:rsidR="00EF6A5D" w:rsidRPr="00B9606B" w:rsidRDefault="00EF6A5D" w:rsidP="00063894">
            <w:pPr>
              <w:ind w:firstLine="250"/>
              <w:jc w:val="right"/>
              <w:rPr>
                <w:sz w:val="22"/>
                <w:szCs w:val="22"/>
              </w:rPr>
            </w:pPr>
            <w:r>
              <w:rPr>
                <w:sz w:val="22"/>
                <w:szCs w:val="22"/>
              </w:rPr>
              <w:t>146,4</w:t>
            </w:r>
          </w:p>
        </w:tc>
        <w:tc>
          <w:tcPr>
            <w:tcW w:w="686" w:type="pct"/>
            <w:hideMark/>
          </w:tcPr>
          <w:p w:rsidR="00EF6A5D" w:rsidRPr="00B9606B" w:rsidRDefault="00EF6A5D" w:rsidP="00063894">
            <w:pPr>
              <w:ind w:firstLine="250"/>
              <w:jc w:val="right"/>
              <w:rPr>
                <w:sz w:val="22"/>
                <w:szCs w:val="22"/>
              </w:rPr>
            </w:pPr>
            <w:r>
              <w:rPr>
                <w:sz w:val="22"/>
                <w:szCs w:val="22"/>
              </w:rPr>
              <w:t>14,6</w:t>
            </w:r>
          </w:p>
        </w:tc>
        <w:tc>
          <w:tcPr>
            <w:tcW w:w="670" w:type="pct"/>
            <w:hideMark/>
          </w:tcPr>
          <w:p w:rsidR="00EF6A5D" w:rsidRPr="00B9606B" w:rsidRDefault="00EF6A5D" w:rsidP="00063894">
            <w:pPr>
              <w:ind w:firstLine="250"/>
              <w:jc w:val="right"/>
              <w:rPr>
                <w:sz w:val="22"/>
                <w:szCs w:val="22"/>
              </w:rPr>
            </w:pPr>
            <w:r>
              <w:rPr>
                <w:sz w:val="22"/>
                <w:szCs w:val="22"/>
              </w:rPr>
              <w:t>43,9</w:t>
            </w:r>
          </w:p>
        </w:tc>
        <w:tc>
          <w:tcPr>
            <w:tcW w:w="670" w:type="pct"/>
            <w:hideMark/>
          </w:tcPr>
          <w:p w:rsidR="00EF6A5D" w:rsidRPr="00B9606B" w:rsidRDefault="00EF6A5D" w:rsidP="00063894">
            <w:pPr>
              <w:ind w:firstLine="250"/>
              <w:jc w:val="right"/>
              <w:rPr>
                <w:sz w:val="22"/>
                <w:szCs w:val="22"/>
              </w:rPr>
            </w:pPr>
            <w:r>
              <w:rPr>
                <w:sz w:val="22"/>
                <w:szCs w:val="22"/>
              </w:rPr>
              <w:t>43,9</w:t>
            </w:r>
          </w:p>
        </w:tc>
        <w:tc>
          <w:tcPr>
            <w:tcW w:w="648" w:type="pct"/>
            <w:hideMark/>
          </w:tcPr>
          <w:p w:rsidR="00EF6A5D" w:rsidRPr="00B9606B" w:rsidRDefault="00EF6A5D" w:rsidP="00063894">
            <w:pPr>
              <w:ind w:firstLine="250"/>
              <w:jc w:val="right"/>
              <w:rPr>
                <w:sz w:val="22"/>
                <w:szCs w:val="22"/>
              </w:rPr>
            </w:pPr>
            <w:r>
              <w:rPr>
                <w:sz w:val="22"/>
                <w:szCs w:val="22"/>
              </w:rPr>
              <w:t>43,9</w:t>
            </w:r>
          </w:p>
        </w:tc>
      </w:tr>
      <w:tr w:rsidR="00EF6A5D" w:rsidRPr="00B9606B" w:rsidTr="009A1D5B">
        <w:tc>
          <w:tcPr>
            <w:tcW w:w="1737" w:type="pct"/>
            <w:hideMark/>
          </w:tcPr>
          <w:p w:rsidR="00EF6A5D" w:rsidRPr="00B9606B" w:rsidRDefault="00EF6A5D" w:rsidP="00063894">
            <w:pPr>
              <w:rPr>
                <w:sz w:val="22"/>
                <w:szCs w:val="22"/>
              </w:rPr>
            </w:pPr>
            <w:r w:rsidRPr="00B9606B">
              <w:rPr>
                <w:sz w:val="22"/>
                <w:szCs w:val="22"/>
              </w:rPr>
              <w:t> 2.2. valsts speciālais budžets</w:t>
            </w:r>
          </w:p>
        </w:tc>
        <w:tc>
          <w:tcPr>
            <w:tcW w:w="589" w:type="pct"/>
            <w:hideMark/>
          </w:tcPr>
          <w:p w:rsidR="00EF6A5D" w:rsidRPr="00B9606B" w:rsidRDefault="00EF6A5D" w:rsidP="00063894">
            <w:pPr>
              <w:ind w:firstLine="250"/>
              <w:jc w:val="right"/>
              <w:rPr>
                <w:sz w:val="22"/>
                <w:szCs w:val="22"/>
              </w:rPr>
            </w:pPr>
            <w:r w:rsidRPr="00B9606B">
              <w:rPr>
                <w:sz w:val="22"/>
                <w:szCs w:val="22"/>
              </w:rPr>
              <w:t>  </w:t>
            </w:r>
            <w:r>
              <w:rPr>
                <w:sz w:val="22"/>
                <w:szCs w:val="22"/>
              </w:rPr>
              <w:t>0</w:t>
            </w:r>
          </w:p>
        </w:tc>
        <w:tc>
          <w:tcPr>
            <w:tcW w:w="686" w:type="pct"/>
            <w:hideMark/>
          </w:tcPr>
          <w:p w:rsidR="00EF6A5D" w:rsidRPr="00B9606B" w:rsidRDefault="00EF6A5D" w:rsidP="00063894">
            <w:pPr>
              <w:ind w:firstLine="250"/>
              <w:jc w:val="right"/>
              <w:rPr>
                <w:sz w:val="22"/>
                <w:szCs w:val="22"/>
              </w:rPr>
            </w:pPr>
            <w:r>
              <w:rPr>
                <w:sz w:val="22"/>
                <w:szCs w:val="22"/>
              </w:rPr>
              <w:t>0</w:t>
            </w:r>
          </w:p>
        </w:tc>
        <w:tc>
          <w:tcPr>
            <w:tcW w:w="670" w:type="pct"/>
            <w:hideMark/>
          </w:tcPr>
          <w:p w:rsidR="00EF6A5D" w:rsidRPr="00B9606B" w:rsidRDefault="00EF6A5D" w:rsidP="00063894">
            <w:pPr>
              <w:ind w:firstLine="250"/>
              <w:jc w:val="right"/>
              <w:rPr>
                <w:sz w:val="22"/>
                <w:szCs w:val="22"/>
              </w:rPr>
            </w:pPr>
            <w:r>
              <w:rPr>
                <w:sz w:val="22"/>
                <w:szCs w:val="22"/>
              </w:rPr>
              <w:t>0</w:t>
            </w:r>
          </w:p>
        </w:tc>
        <w:tc>
          <w:tcPr>
            <w:tcW w:w="670" w:type="pct"/>
            <w:hideMark/>
          </w:tcPr>
          <w:p w:rsidR="00EF6A5D" w:rsidRPr="00B9606B" w:rsidRDefault="00EF6A5D" w:rsidP="00063894">
            <w:pPr>
              <w:ind w:firstLine="250"/>
              <w:jc w:val="right"/>
              <w:rPr>
                <w:sz w:val="22"/>
                <w:szCs w:val="22"/>
              </w:rPr>
            </w:pPr>
            <w:r>
              <w:rPr>
                <w:sz w:val="22"/>
                <w:szCs w:val="22"/>
              </w:rPr>
              <w:t>0</w:t>
            </w:r>
          </w:p>
        </w:tc>
        <w:tc>
          <w:tcPr>
            <w:tcW w:w="648" w:type="pct"/>
            <w:hideMark/>
          </w:tcPr>
          <w:p w:rsidR="00EF6A5D" w:rsidRPr="00B9606B" w:rsidRDefault="00EF6A5D" w:rsidP="00063894">
            <w:pPr>
              <w:ind w:firstLine="250"/>
              <w:jc w:val="right"/>
              <w:rPr>
                <w:sz w:val="22"/>
                <w:szCs w:val="22"/>
              </w:rPr>
            </w:pPr>
            <w:r>
              <w:rPr>
                <w:sz w:val="22"/>
                <w:szCs w:val="22"/>
              </w:rPr>
              <w:t>0</w:t>
            </w:r>
          </w:p>
        </w:tc>
      </w:tr>
      <w:tr w:rsidR="00EF6A5D" w:rsidRPr="00B9606B" w:rsidTr="009A1D5B">
        <w:tc>
          <w:tcPr>
            <w:tcW w:w="1737" w:type="pct"/>
            <w:hideMark/>
          </w:tcPr>
          <w:p w:rsidR="00EF6A5D" w:rsidRPr="00B9606B" w:rsidRDefault="00EF6A5D" w:rsidP="00063894">
            <w:pPr>
              <w:rPr>
                <w:sz w:val="22"/>
                <w:szCs w:val="22"/>
              </w:rPr>
            </w:pPr>
            <w:r w:rsidRPr="00B9606B">
              <w:rPr>
                <w:sz w:val="22"/>
                <w:szCs w:val="22"/>
              </w:rPr>
              <w:t> 2.3. pašvaldību budžets</w:t>
            </w:r>
          </w:p>
        </w:tc>
        <w:tc>
          <w:tcPr>
            <w:tcW w:w="589" w:type="pct"/>
            <w:hideMark/>
          </w:tcPr>
          <w:p w:rsidR="00EF6A5D" w:rsidRPr="00B9606B" w:rsidRDefault="00EF6A5D" w:rsidP="00EC447B">
            <w:pPr>
              <w:ind w:firstLine="250"/>
              <w:jc w:val="right"/>
              <w:rPr>
                <w:sz w:val="22"/>
                <w:szCs w:val="22"/>
              </w:rPr>
            </w:pPr>
            <w:r w:rsidRPr="00B9606B">
              <w:rPr>
                <w:sz w:val="22"/>
                <w:szCs w:val="22"/>
              </w:rPr>
              <w:t>  </w:t>
            </w:r>
            <w:r>
              <w:rPr>
                <w:sz w:val="22"/>
                <w:szCs w:val="22"/>
              </w:rPr>
              <w:t>0</w:t>
            </w:r>
          </w:p>
        </w:tc>
        <w:tc>
          <w:tcPr>
            <w:tcW w:w="686" w:type="pct"/>
            <w:hideMark/>
          </w:tcPr>
          <w:p w:rsidR="00EF6A5D" w:rsidRPr="00B9606B" w:rsidRDefault="00EF6A5D" w:rsidP="00EC447B">
            <w:pPr>
              <w:ind w:firstLine="250"/>
              <w:jc w:val="right"/>
              <w:rPr>
                <w:sz w:val="22"/>
                <w:szCs w:val="22"/>
              </w:rPr>
            </w:pPr>
            <w:r>
              <w:rPr>
                <w:sz w:val="22"/>
                <w:szCs w:val="22"/>
              </w:rPr>
              <w:t>0</w:t>
            </w:r>
          </w:p>
        </w:tc>
        <w:tc>
          <w:tcPr>
            <w:tcW w:w="670" w:type="pct"/>
            <w:hideMark/>
          </w:tcPr>
          <w:p w:rsidR="00EF6A5D" w:rsidRPr="00B9606B" w:rsidRDefault="00EF6A5D" w:rsidP="00EC447B">
            <w:pPr>
              <w:ind w:firstLine="250"/>
              <w:jc w:val="right"/>
              <w:rPr>
                <w:sz w:val="22"/>
                <w:szCs w:val="22"/>
              </w:rPr>
            </w:pPr>
            <w:r>
              <w:rPr>
                <w:sz w:val="22"/>
                <w:szCs w:val="22"/>
              </w:rPr>
              <w:t>0</w:t>
            </w:r>
          </w:p>
        </w:tc>
        <w:tc>
          <w:tcPr>
            <w:tcW w:w="670" w:type="pct"/>
            <w:hideMark/>
          </w:tcPr>
          <w:p w:rsidR="00EF6A5D" w:rsidRPr="00B9606B" w:rsidRDefault="00EF6A5D" w:rsidP="00EC447B">
            <w:pPr>
              <w:ind w:firstLine="250"/>
              <w:jc w:val="right"/>
              <w:rPr>
                <w:sz w:val="22"/>
                <w:szCs w:val="22"/>
              </w:rPr>
            </w:pPr>
            <w:r>
              <w:rPr>
                <w:sz w:val="22"/>
                <w:szCs w:val="22"/>
              </w:rPr>
              <w:t>0</w:t>
            </w:r>
          </w:p>
        </w:tc>
        <w:tc>
          <w:tcPr>
            <w:tcW w:w="648" w:type="pct"/>
            <w:hideMark/>
          </w:tcPr>
          <w:p w:rsidR="00EF6A5D" w:rsidRPr="00B9606B" w:rsidRDefault="00EF6A5D" w:rsidP="00EC447B">
            <w:pPr>
              <w:ind w:firstLine="250"/>
              <w:jc w:val="right"/>
              <w:rPr>
                <w:sz w:val="22"/>
                <w:szCs w:val="22"/>
              </w:rPr>
            </w:pPr>
            <w:r>
              <w:rPr>
                <w:sz w:val="22"/>
                <w:szCs w:val="22"/>
              </w:rPr>
              <w:t>0</w:t>
            </w:r>
          </w:p>
        </w:tc>
      </w:tr>
      <w:tr w:rsidR="00EF6A5D" w:rsidRPr="00B9606B" w:rsidTr="009A1D5B">
        <w:tc>
          <w:tcPr>
            <w:tcW w:w="1737" w:type="pct"/>
            <w:hideMark/>
          </w:tcPr>
          <w:p w:rsidR="00EF6A5D" w:rsidRPr="009A1D5B" w:rsidRDefault="00EF6A5D" w:rsidP="00063894">
            <w:pPr>
              <w:rPr>
                <w:b/>
                <w:sz w:val="22"/>
                <w:szCs w:val="22"/>
              </w:rPr>
            </w:pPr>
            <w:r w:rsidRPr="00B9606B">
              <w:rPr>
                <w:sz w:val="22"/>
                <w:szCs w:val="22"/>
              </w:rPr>
              <w:t> </w:t>
            </w:r>
            <w:r w:rsidRPr="009A1D5B">
              <w:rPr>
                <w:b/>
                <w:sz w:val="22"/>
                <w:szCs w:val="22"/>
              </w:rPr>
              <w:t>3. Finansiālā ietekme:</w:t>
            </w:r>
          </w:p>
        </w:tc>
        <w:tc>
          <w:tcPr>
            <w:tcW w:w="589" w:type="pct"/>
            <w:hideMark/>
          </w:tcPr>
          <w:p w:rsidR="00EF6A5D" w:rsidRPr="00B9606B" w:rsidRDefault="00EF6A5D" w:rsidP="00EC447B">
            <w:pPr>
              <w:ind w:firstLine="250"/>
              <w:jc w:val="right"/>
              <w:rPr>
                <w:sz w:val="22"/>
                <w:szCs w:val="22"/>
              </w:rPr>
            </w:pPr>
            <w:r>
              <w:rPr>
                <w:sz w:val="22"/>
                <w:szCs w:val="22"/>
              </w:rPr>
              <w:t>0</w:t>
            </w:r>
          </w:p>
        </w:tc>
        <w:tc>
          <w:tcPr>
            <w:tcW w:w="686" w:type="pct"/>
            <w:hideMark/>
          </w:tcPr>
          <w:p w:rsidR="00EF6A5D" w:rsidRPr="00B9606B" w:rsidRDefault="00EF6A5D" w:rsidP="00EC447B">
            <w:pPr>
              <w:ind w:firstLine="250"/>
              <w:jc w:val="right"/>
              <w:rPr>
                <w:sz w:val="22"/>
                <w:szCs w:val="22"/>
              </w:rPr>
            </w:pPr>
            <w:r>
              <w:rPr>
                <w:sz w:val="22"/>
                <w:szCs w:val="22"/>
              </w:rPr>
              <w:t>-14,6</w:t>
            </w:r>
          </w:p>
        </w:tc>
        <w:tc>
          <w:tcPr>
            <w:tcW w:w="670" w:type="pct"/>
            <w:hideMark/>
          </w:tcPr>
          <w:p w:rsidR="00EF6A5D" w:rsidRPr="00B9606B" w:rsidRDefault="00EF6A5D" w:rsidP="00EC447B">
            <w:pPr>
              <w:ind w:firstLine="250"/>
              <w:jc w:val="right"/>
              <w:rPr>
                <w:sz w:val="22"/>
                <w:szCs w:val="22"/>
              </w:rPr>
            </w:pPr>
            <w:r>
              <w:rPr>
                <w:sz w:val="22"/>
                <w:szCs w:val="22"/>
              </w:rPr>
              <w:t>-43,9</w:t>
            </w:r>
          </w:p>
        </w:tc>
        <w:tc>
          <w:tcPr>
            <w:tcW w:w="670" w:type="pct"/>
            <w:hideMark/>
          </w:tcPr>
          <w:p w:rsidR="00EF6A5D" w:rsidRPr="00B9606B" w:rsidRDefault="00EF6A5D" w:rsidP="00EC447B">
            <w:pPr>
              <w:ind w:firstLine="250"/>
              <w:jc w:val="right"/>
              <w:rPr>
                <w:sz w:val="22"/>
                <w:szCs w:val="22"/>
              </w:rPr>
            </w:pPr>
            <w:r>
              <w:rPr>
                <w:sz w:val="22"/>
                <w:szCs w:val="22"/>
              </w:rPr>
              <w:t>-43,9</w:t>
            </w:r>
          </w:p>
        </w:tc>
        <w:tc>
          <w:tcPr>
            <w:tcW w:w="648" w:type="pct"/>
            <w:hideMark/>
          </w:tcPr>
          <w:p w:rsidR="00EF6A5D" w:rsidRPr="00B9606B" w:rsidRDefault="00EF6A5D" w:rsidP="00EC447B">
            <w:pPr>
              <w:ind w:firstLine="250"/>
              <w:jc w:val="right"/>
              <w:rPr>
                <w:sz w:val="22"/>
                <w:szCs w:val="22"/>
              </w:rPr>
            </w:pPr>
            <w:r>
              <w:rPr>
                <w:sz w:val="22"/>
                <w:szCs w:val="22"/>
              </w:rPr>
              <w:t>-43,9</w:t>
            </w:r>
          </w:p>
        </w:tc>
      </w:tr>
      <w:tr w:rsidR="00EF6A5D" w:rsidRPr="00B9606B" w:rsidTr="009A1D5B">
        <w:tc>
          <w:tcPr>
            <w:tcW w:w="1737" w:type="pct"/>
            <w:hideMark/>
          </w:tcPr>
          <w:p w:rsidR="00EF6A5D" w:rsidRPr="00B9606B" w:rsidRDefault="00EF6A5D" w:rsidP="00063894">
            <w:pPr>
              <w:rPr>
                <w:sz w:val="22"/>
                <w:szCs w:val="22"/>
              </w:rPr>
            </w:pPr>
            <w:r w:rsidRPr="00B9606B">
              <w:rPr>
                <w:sz w:val="22"/>
                <w:szCs w:val="22"/>
              </w:rPr>
              <w:t> 3.1. valsts pamatbudžets</w:t>
            </w:r>
          </w:p>
        </w:tc>
        <w:tc>
          <w:tcPr>
            <w:tcW w:w="589" w:type="pct"/>
            <w:hideMark/>
          </w:tcPr>
          <w:p w:rsidR="00EF6A5D" w:rsidRPr="00B9606B" w:rsidRDefault="00EF6A5D" w:rsidP="00063894">
            <w:pPr>
              <w:ind w:firstLine="250"/>
              <w:jc w:val="right"/>
              <w:rPr>
                <w:sz w:val="22"/>
                <w:szCs w:val="22"/>
              </w:rPr>
            </w:pPr>
            <w:r>
              <w:rPr>
                <w:sz w:val="22"/>
                <w:szCs w:val="22"/>
              </w:rPr>
              <w:t>0</w:t>
            </w:r>
          </w:p>
        </w:tc>
        <w:tc>
          <w:tcPr>
            <w:tcW w:w="686" w:type="pct"/>
            <w:hideMark/>
          </w:tcPr>
          <w:p w:rsidR="00EF6A5D" w:rsidRPr="00B9606B" w:rsidRDefault="00EF6A5D" w:rsidP="00063894">
            <w:pPr>
              <w:ind w:firstLine="250"/>
              <w:jc w:val="right"/>
              <w:rPr>
                <w:sz w:val="22"/>
                <w:szCs w:val="22"/>
              </w:rPr>
            </w:pPr>
            <w:r>
              <w:rPr>
                <w:sz w:val="22"/>
                <w:szCs w:val="22"/>
              </w:rPr>
              <w:t>-14,6</w:t>
            </w:r>
          </w:p>
        </w:tc>
        <w:tc>
          <w:tcPr>
            <w:tcW w:w="670" w:type="pct"/>
            <w:hideMark/>
          </w:tcPr>
          <w:p w:rsidR="00EF6A5D" w:rsidRPr="00B9606B" w:rsidRDefault="00EF6A5D" w:rsidP="00063894">
            <w:pPr>
              <w:ind w:firstLine="250"/>
              <w:jc w:val="right"/>
              <w:rPr>
                <w:sz w:val="22"/>
                <w:szCs w:val="22"/>
              </w:rPr>
            </w:pPr>
            <w:r>
              <w:rPr>
                <w:sz w:val="22"/>
                <w:szCs w:val="22"/>
              </w:rPr>
              <w:t>-43,9</w:t>
            </w:r>
          </w:p>
        </w:tc>
        <w:tc>
          <w:tcPr>
            <w:tcW w:w="670" w:type="pct"/>
            <w:hideMark/>
          </w:tcPr>
          <w:p w:rsidR="00EF6A5D" w:rsidRPr="00B9606B" w:rsidRDefault="00EF6A5D" w:rsidP="00063894">
            <w:pPr>
              <w:ind w:firstLine="250"/>
              <w:jc w:val="right"/>
              <w:rPr>
                <w:sz w:val="22"/>
                <w:szCs w:val="22"/>
              </w:rPr>
            </w:pPr>
            <w:r>
              <w:rPr>
                <w:sz w:val="22"/>
                <w:szCs w:val="22"/>
              </w:rPr>
              <w:t>-43,9</w:t>
            </w:r>
          </w:p>
        </w:tc>
        <w:tc>
          <w:tcPr>
            <w:tcW w:w="648" w:type="pct"/>
            <w:hideMark/>
          </w:tcPr>
          <w:p w:rsidR="00EF6A5D" w:rsidRPr="00B9606B" w:rsidRDefault="00EF6A5D" w:rsidP="00063894">
            <w:pPr>
              <w:ind w:firstLine="250"/>
              <w:jc w:val="right"/>
              <w:rPr>
                <w:sz w:val="22"/>
                <w:szCs w:val="22"/>
              </w:rPr>
            </w:pPr>
            <w:r>
              <w:rPr>
                <w:sz w:val="22"/>
                <w:szCs w:val="22"/>
              </w:rPr>
              <w:t>-43,9</w:t>
            </w:r>
          </w:p>
        </w:tc>
      </w:tr>
      <w:tr w:rsidR="00EF6A5D" w:rsidRPr="00B9606B" w:rsidTr="009A1D5B">
        <w:tc>
          <w:tcPr>
            <w:tcW w:w="1737" w:type="pct"/>
            <w:hideMark/>
          </w:tcPr>
          <w:p w:rsidR="00EF6A5D" w:rsidRPr="00B9606B" w:rsidRDefault="00EF6A5D" w:rsidP="00063894">
            <w:pPr>
              <w:rPr>
                <w:sz w:val="22"/>
                <w:szCs w:val="22"/>
              </w:rPr>
            </w:pPr>
            <w:r w:rsidRPr="00B9606B">
              <w:rPr>
                <w:sz w:val="22"/>
                <w:szCs w:val="22"/>
              </w:rPr>
              <w:t> 3.2. speciālais budžets</w:t>
            </w:r>
          </w:p>
        </w:tc>
        <w:tc>
          <w:tcPr>
            <w:tcW w:w="589" w:type="pct"/>
            <w:hideMark/>
          </w:tcPr>
          <w:p w:rsidR="00EF6A5D" w:rsidRPr="00B9606B" w:rsidRDefault="00EF6A5D" w:rsidP="00063894">
            <w:pPr>
              <w:ind w:firstLine="250"/>
              <w:jc w:val="right"/>
              <w:rPr>
                <w:sz w:val="22"/>
                <w:szCs w:val="22"/>
              </w:rPr>
            </w:pPr>
            <w:r w:rsidRPr="00B9606B">
              <w:rPr>
                <w:sz w:val="22"/>
                <w:szCs w:val="22"/>
              </w:rPr>
              <w:t>  </w:t>
            </w:r>
            <w:r>
              <w:rPr>
                <w:sz w:val="22"/>
                <w:szCs w:val="22"/>
              </w:rPr>
              <w:t>0</w:t>
            </w:r>
          </w:p>
        </w:tc>
        <w:tc>
          <w:tcPr>
            <w:tcW w:w="686" w:type="pct"/>
            <w:hideMark/>
          </w:tcPr>
          <w:p w:rsidR="00EF6A5D" w:rsidRPr="00B9606B" w:rsidRDefault="00EF6A5D" w:rsidP="00063894">
            <w:pPr>
              <w:ind w:firstLine="250"/>
              <w:jc w:val="right"/>
              <w:rPr>
                <w:sz w:val="22"/>
                <w:szCs w:val="22"/>
              </w:rPr>
            </w:pPr>
            <w:r>
              <w:rPr>
                <w:sz w:val="22"/>
                <w:szCs w:val="22"/>
              </w:rPr>
              <w:t>0</w:t>
            </w:r>
          </w:p>
        </w:tc>
        <w:tc>
          <w:tcPr>
            <w:tcW w:w="670" w:type="pct"/>
            <w:hideMark/>
          </w:tcPr>
          <w:p w:rsidR="00EF6A5D" w:rsidRPr="00B9606B" w:rsidRDefault="00EF6A5D" w:rsidP="00063894">
            <w:pPr>
              <w:ind w:firstLine="250"/>
              <w:jc w:val="right"/>
              <w:rPr>
                <w:sz w:val="22"/>
                <w:szCs w:val="22"/>
              </w:rPr>
            </w:pPr>
            <w:r>
              <w:rPr>
                <w:sz w:val="22"/>
                <w:szCs w:val="22"/>
              </w:rPr>
              <w:t>0</w:t>
            </w:r>
          </w:p>
        </w:tc>
        <w:tc>
          <w:tcPr>
            <w:tcW w:w="670" w:type="pct"/>
            <w:hideMark/>
          </w:tcPr>
          <w:p w:rsidR="00EF6A5D" w:rsidRPr="00B9606B" w:rsidRDefault="00EF6A5D" w:rsidP="00063894">
            <w:pPr>
              <w:ind w:firstLine="250"/>
              <w:jc w:val="right"/>
              <w:rPr>
                <w:sz w:val="22"/>
                <w:szCs w:val="22"/>
              </w:rPr>
            </w:pPr>
            <w:r>
              <w:rPr>
                <w:sz w:val="22"/>
                <w:szCs w:val="22"/>
              </w:rPr>
              <w:t>0</w:t>
            </w:r>
          </w:p>
        </w:tc>
        <w:tc>
          <w:tcPr>
            <w:tcW w:w="648" w:type="pct"/>
            <w:hideMark/>
          </w:tcPr>
          <w:p w:rsidR="00EF6A5D" w:rsidRPr="00B9606B" w:rsidRDefault="00EF6A5D" w:rsidP="00063894">
            <w:pPr>
              <w:ind w:firstLine="250"/>
              <w:jc w:val="right"/>
              <w:rPr>
                <w:sz w:val="22"/>
                <w:szCs w:val="22"/>
              </w:rPr>
            </w:pPr>
            <w:r>
              <w:rPr>
                <w:sz w:val="22"/>
                <w:szCs w:val="22"/>
              </w:rPr>
              <w:t>0</w:t>
            </w:r>
          </w:p>
        </w:tc>
      </w:tr>
      <w:tr w:rsidR="00EF6A5D" w:rsidRPr="00B9606B" w:rsidTr="009A1D5B">
        <w:tc>
          <w:tcPr>
            <w:tcW w:w="1737" w:type="pct"/>
            <w:hideMark/>
          </w:tcPr>
          <w:p w:rsidR="00EF6A5D" w:rsidRPr="00B9606B" w:rsidRDefault="00EF6A5D" w:rsidP="00063894">
            <w:pPr>
              <w:rPr>
                <w:sz w:val="22"/>
                <w:szCs w:val="22"/>
              </w:rPr>
            </w:pPr>
            <w:r w:rsidRPr="00B9606B">
              <w:rPr>
                <w:sz w:val="22"/>
                <w:szCs w:val="22"/>
              </w:rPr>
              <w:t> 3.3. pašvaldību budžets</w:t>
            </w:r>
          </w:p>
        </w:tc>
        <w:tc>
          <w:tcPr>
            <w:tcW w:w="589" w:type="pct"/>
            <w:hideMark/>
          </w:tcPr>
          <w:p w:rsidR="00EF6A5D" w:rsidRPr="00B9606B" w:rsidRDefault="00EF6A5D" w:rsidP="00063894">
            <w:pPr>
              <w:ind w:firstLine="250"/>
              <w:jc w:val="right"/>
              <w:rPr>
                <w:sz w:val="22"/>
                <w:szCs w:val="22"/>
              </w:rPr>
            </w:pPr>
            <w:r w:rsidRPr="00B9606B">
              <w:rPr>
                <w:sz w:val="22"/>
                <w:szCs w:val="22"/>
              </w:rPr>
              <w:t>  </w:t>
            </w:r>
            <w:r>
              <w:rPr>
                <w:sz w:val="22"/>
                <w:szCs w:val="22"/>
              </w:rPr>
              <w:t>0</w:t>
            </w:r>
          </w:p>
        </w:tc>
        <w:tc>
          <w:tcPr>
            <w:tcW w:w="686" w:type="pct"/>
            <w:hideMark/>
          </w:tcPr>
          <w:p w:rsidR="00EF6A5D" w:rsidRPr="00B9606B" w:rsidRDefault="00EF6A5D" w:rsidP="00063894">
            <w:pPr>
              <w:ind w:firstLine="250"/>
              <w:jc w:val="right"/>
              <w:rPr>
                <w:sz w:val="22"/>
                <w:szCs w:val="22"/>
              </w:rPr>
            </w:pPr>
            <w:r>
              <w:rPr>
                <w:sz w:val="22"/>
                <w:szCs w:val="22"/>
              </w:rPr>
              <w:t>0</w:t>
            </w:r>
          </w:p>
        </w:tc>
        <w:tc>
          <w:tcPr>
            <w:tcW w:w="670" w:type="pct"/>
            <w:hideMark/>
          </w:tcPr>
          <w:p w:rsidR="00EF6A5D" w:rsidRPr="00B9606B" w:rsidRDefault="00EF6A5D" w:rsidP="00063894">
            <w:pPr>
              <w:ind w:firstLine="250"/>
              <w:jc w:val="right"/>
              <w:rPr>
                <w:sz w:val="22"/>
                <w:szCs w:val="22"/>
              </w:rPr>
            </w:pPr>
            <w:r>
              <w:rPr>
                <w:sz w:val="22"/>
                <w:szCs w:val="22"/>
              </w:rPr>
              <w:t>0</w:t>
            </w:r>
          </w:p>
        </w:tc>
        <w:tc>
          <w:tcPr>
            <w:tcW w:w="670" w:type="pct"/>
            <w:hideMark/>
          </w:tcPr>
          <w:p w:rsidR="00EF6A5D" w:rsidRPr="00B9606B" w:rsidRDefault="00EF6A5D" w:rsidP="00063894">
            <w:pPr>
              <w:ind w:firstLine="250"/>
              <w:jc w:val="right"/>
              <w:rPr>
                <w:sz w:val="22"/>
                <w:szCs w:val="22"/>
              </w:rPr>
            </w:pPr>
            <w:r>
              <w:rPr>
                <w:sz w:val="22"/>
                <w:szCs w:val="22"/>
              </w:rPr>
              <w:t>0</w:t>
            </w:r>
          </w:p>
        </w:tc>
        <w:tc>
          <w:tcPr>
            <w:tcW w:w="648" w:type="pct"/>
            <w:hideMark/>
          </w:tcPr>
          <w:p w:rsidR="00EF6A5D" w:rsidRPr="00B9606B" w:rsidRDefault="00EF6A5D" w:rsidP="00063894">
            <w:pPr>
              <w:ind w:firstLine="250"/>
              <w:jc w:val="right"/>
              <w:rPr>
                <w:sz w:val="22"/>
                <w:szCs w:val="22"/>
              </w:rPr>
            </w:pPr>
            <w:r>
              <w:rPr>
                <w:sz w:val="22"/>
                <w:szCs w:val="22"/>
              </w:rPr>
              <w:t>0</w:t>
            </w:r>
          </w:p>
        </w:tc>
      </w:tr>
      <w:tr w:rsidR="00EF6A5D" w:rsidRPr="00B9606B" w:rsidTr="009A1D5B">
        <w:tc>
          <w:tcPr>
            <w:tcW w:w="1737" w:type="pct"/>
            <w:vMerge w:val="restart"/>
            <w:hideMark/>
          </w:tcPr>
          <w:p w:rsidR="00EF6A5D" w:rsidRPr="00B9606B" w:rsidRDefault="00EF6A5D" w:rsidP="00063894">
            <w:pPr>
              <w:rPr>
                <w:sz w:val="22"/>
                <w:szCs w:val="22"/>
              </w:rPr>
            </w:pPr>
            <w:r w:rsidRPr="00B9606B">
              <w:rPr>
                <w:sz w:val="22"/>
                <w:szCs w:val="22"/>
              </w:rPr>
              <w:t> 4. Finanšu līdzekļi papildu izde</w:t>
            </w:r>
            <w:r w:rsidRPr="00B9606B">
              <w:rPr>
                <w:sz w:val="22"/>
                <w:szCs w:val="22"/>
              </w:rPr>
              <w:softHyphen/>
              <w:t>vumu finansēšanai (kompensējošu izdevumu samazinājumu norāda ar "+" zīmi)</w:t>
            </w:r>
          </w:p>
        </w:tc>
        <w:tc>
          <w:tcPr>
            <w:tcW w:w="589" w:type="pct"/>
            <w:vMerge w:val="restart"/>
            <w:hideMark/>
          </w:tcPr>
          <w:p w:rsidR="00EF6A5D" w:rsidRPr="00B9606B" w:rsidRDefault="00EF6A5D" w:rsidP="00063894">
            <w:pPr>
              <w:jc w:val="right"/>
              <w:rPr>
                <w:sz w:val="22"/>
                <w:szCs w:val="22"/>
              </w:rPr>
            </w:pPr>
            <w:r w:rsidRPr="00B9606B">
              <w:rPr>
                <w:sz w:val="22"/>
                <w:szCs w:val="22"/>
              </w:rPr>
              <w:t> X</w:t>
            </w:r>
          </w:p>
        </w:tc>
        <w:tc>
          <w:tcPr>
            <w:tcW w:w="686" w:type="pct"/>
            <w:hideMark/>
          </w:tcPr>
          <w:p w:rsidR="00EF6A5D" w:rsidRPr="00B9606B" w:rsidRDefault="00EF6A5D" w:rsidP="00063894">
            <w:pPr>
              <w:ind w:firstLine="250"/>
              <w:jc w:val="right"/>
              <w:rPr>
                <w:sz w:val="22"/>
                <w:szCs w:val="22"/>
              </w:rPr>
            </w:pPr>
            <w:r>
              <w:rPr>
                <w:sz w:val="22"/>
                <w:szCs w:val="22"/>
              </w:rPr>
              <w:t>14,6</w:t>
            </w:r>
          </w:p>
        </w:tc>
        <w:tc>
          <w:tcPr>
            <w:tcW w:w="670" w:type="pct"/>
            <w:hideMark/>
          </w:tcPr>
          <w:p w:rsidR="00EF6A5D" w:rsidRPr="00B9606B" w:rsidRDefault="00EF6A5D" w:rsidP="00063894">
            <w:pPr>
              <w:ind w:firstLine="250"/>
              <w:jc w:val="right"/>
              <w:rPr>
                <w:sz w:val="22"/>
                <w:szCs w:val="22"/>
              </w:rPr>
            </w:pPr>
            <w:r>
              <w:rPr>
                <w:sz w:val="22"/>
                <w:szCs w:val="22"/>
              </w:rPr>
              <w:t>43,9</w:t>
            </w:r>
          </w:p>
        </w:tc>
        <w:tc>
          <w:tcPr>
            <w:tcW w:w="670" w:type="pct"/>
            <w:hideMark/>
          </w:tcPr>
          <w:p w:rsidR="00EF6A5D" w:rsidRPr="00B9606B" w:rsidRDefault="00EF6A5D" w:rsidP="00063894">
            <w:pPr>
              <w:ind w:firstLine="250"/>
              <w:jc w:val="right"/>
              <w:rPr>
                <w:sz w:val="22"/>
                <w:szCs w:val="22"/>
              </w:rPr>
            </w:pPr>
            <w:r>
              <w:rPr>
                <w:sz w:val="22"/>
                <w:szCs w:val="22"/>
              </w:rPr>
              <w:t>43,9</w:t>
            </w:r>
          </w:p>
        </w:tc>
        <w:tc>
          <w:tcPr>
            <w:tcW w:w="648" w:type="pct"/>
            <w:hideMark/>
          </w:tcPr>
          <w:p w:rsidR="00EF6A5D" w:rsidRPr="00B9606B" w:rsidRDefault="00EF6A5D" w:rsidP="00063894">
            <w:pPr>
              <w:ind w:firstLine="250"/>
              <w:jc w:val="right"/>
              <w:rPr>
                <w:sz w:val="22"/>
                <w:szCs w:val="22"/>
              </w:rPr>
            </w:pPr>
            <w:r>
              <w:rPr>
                <w:sz w:val="22"/>
                <w:szCs w:val="22"/>
              </w:rPr>
              <w:t>43,9</w:t>
            </w:r>
          </w:p>
        </w:tc>
      </w:tr>
      <w:tr w:rsidR="00EF6A5D" w:rsidRPr="00B9606B" w:rsidTr="009A1D5B">
        <w:tc>
          <w:tcPr>
            <w:tcW w:w="1737" w:type="pct"/>
            <w:vMerge/>
            <w:hideMark/>
          </w:tcPr>
          <w:p w:rsidR="00EF6A5D" w:rsidRPr="00B9606B" w:rsidRDefault="00EF6A5D" w:rsidP="00063894">
            <w:pPr>
              <w:rPr>
                <w:sz w:val="22"/>
                <w:szCs w:val="22"/>
              </w:rPr>
            </w:pPr>
          </w:p>
        </w:tc>
        <w:tc>
          <w:tcPr>
            <w:tcW w:w="589" w:type="pct"/>
            <w:vMerge/>
            <w:hideMark/>
          </w:tcPr>
          <w:p w:rsidR="00EF6A5D" w:rsidRPr="00B9606B" w:rsidRDefault="00EF6A5D" w:rsidP="00063894">
            <w:pPr>
              <w:jc w:val="right"/>
              <w:rPr>
                <w:sz w:val="22"/>
                <w:szCs w:val="22"/>
              </w:rPr>
            </w:pPr>
          </w:p>
        </w:tc>
        <w:tc>
          <w:tcPr>
            <w:tcW w:w="686" w:type="pct"/>
            <w:hideMark/>
          </w:tcPr>
          <w:p w:rsidR="00EF6A5D" w:rsidRPr="00B9606B" w:rsidRDefault="00EF6A5D" w:rsidP="00063894">
            <w:pPr>
              <w:ind w:firstLine="250"/>
              <w:jc w:val="right"/>
              <w:rPr>
                <w:sz w:val="22"/>
                <w:szCs w:val="22"/>
              </w:rPr>
            </w:pPr>
            <w:r>
              <w:rPr>
                <w:sz w:val="22"/>
                <w:szCs w:val="22"/>
              </w:rPr>
              <w:t>0</w:t>
            </w:r>
          </w:p>
        </w:tc>
        <w:tc>
          <w:tcPr>
            <w:tcW w:w="670" w:type="pct"/>
            <w:hideMark/>
          </w:tcPr>
          <w:p w:rsidR="00EF6A5D" w:rsidRPr="00B9606B" w:rsidRDefault="00EF6A5D" w:rsidP="00063894">
            <w:pPr>
              <w:ind w:firstLine="250"/>
              <w:jc w:val="right"/>
              <w:rPr>
                <w:sz w:val="22"/>
                <w:szCs w:val="22"/>
              </w:rPr>
            </w:pPr>
            <w:r>
              <w:rPr>
                <w:sz w:val="22"/>
                <w:szCs w:val="22"/>
              </w:rPr>
              <w:t>0</w:t>
            </w:r>
          </w:p>
        </w:tc>
        <w:tc>
          <w:tcPr>
            <w:tcW w:w="670" w:type="pct"/>
            <w:hideMark/>
          </w:tcPr>
          <w:p w:rsidR="00EF6A5D" w:rsidRPr="00B9606B" w:rsidRDefault="00EF6A5D" w:rsidP="00063894">
            <w:pPr>
              <w:ind w:firstLine="250"/>
              <w:jc w:val="right"/>
              <w:rPr>
                <w:sz w:val="22"/>
                <w:szCs w:val="22"/>
              </w:rPr>
            </w:pPr>
            <w:r>
              <w:rPr>
                <w:sz w:val="22"/>
                <w:szCs w:val="22"/>
              </w:rPr>
              <w:t>0</w:t>
            </w:r>
          </w:p>
        </w:tc>
        <w:tc>
          <w:tcPr>
            <w:tcW w:w="648" w:type="pct"/>
            <w:hideMark/>
          </w:tcPr>
          <w:p w:rsidR="00EF6A5D" w:rsidRPr="00B9606B" w:rsidRDefault="00EF6A5D" w:rsidP="00063894">
            <w:pPr>
              <w:ind w:firstLine="250"/>
              <w:jc w:val="right"/>
              <w:rPr>
                <w:sz w:val="22"/>
                <w:szCs w:val="22"/>
              </w:rPr>
            </w:pPr>
            <w:r>
              <w:rPr>
                <w:sz w:val="22"/>
                <w:szCs w:val="22"/>
              </w:rPr>
              <w:t>0</w:t>
            </w:r>
          </w:p>
        </w:tc>
      </w:tr>
      <w:tr w:rsidR="00EF6A5D" w:rsidRPr="00B9606B" w:rsidTr="009A1D5B">
        <w:tc>
          <w:tcPr>
            <w:tcW w:w="1737" w:type="pct"/>
            <w:vMerge/>
            <w:hideMark/>
          </w:tcPr>
          <w:p w:rsidR="00EF6A5D" w:rsidRPr="00B9606B" w:rsidRDefault="00EF6A5D" w:rsidP="00063894">
            <w:pPr>
              <w:rPr>
                <w:sz w:val="22"/>
                <w:szCs w:val="22"/>
              </w:rPr>
            </w:pPr>
          </w:p>
        </w:tc>
        <w:tc>
          <w:tcPr>
            <w:tcW w:w="589" w:type="pct"/>
            <w:vMerge/>
            <w:hideMark/>
          </w:tcPr>
          <w:p w:rsidR="00EF6A5D" w:rsidRPr="00B9606B" w:rsidRDefault="00EF6A5D" w:rsidP="00063894">
            <w:pPr>
              <w:jc w:val="right"/>
              <w:rPr>
                <w:sz w:val="22"/>
                <w:szCs w:val="22"/>
              </w:rPr>
            </w:pPr>
          </w:p>
        </w:tc>
        <w:tc>
          <w:tcPr>
            <w:tcW w:w="686" w:type="pct"/>
            <w:hideMark/>
          </w:tcPr>
          <w:p w:rsidR="00EF6A5D" w:rsidRPr="00B9606B" w:rsidRDefault="00EF6A5D" w:rsidP="00063894">
            <w:pPr>
              <w:ind w:firstLine="250"/>
              <w:jc w:val="right"/>
              <w:rPr>
                <w:sz w:val="22"/>
                <w:szCs w:val="22"/>
              </w:rPr>
            </w:pPr>
            <w:r>
              <w:rPr>
                <w:sz w:val="22"/>
                <w:szCs w:val="22"/>
              </w:rPr>
              <w:t>0</w:t>
            </w:r>
          </w:p>
        </w:tc>
        <w:tc>
          <w:tcPr>
            <w:tcW w:w="670" w:type="pct"/>
            <w:hideMark/>
          </w:tcPr>
          <w:p w:rsidR="00EF6A5D" w:rsidRPr="00B9606B" w:rsidRDefault="00EF6A5D" w:rsidP="00063894">
            <w:pPr>
              <w:ind w:firstLine="250"/>
              <w:jc w:val="right"/>
              <w:rPr>
                <w:sz w:val="22"/>
                <w:szCs w:val="22"/>
              </w:rPr>
            </w:pPr>
            <w:r>
              <w:rPr>
                <w:sz w:val="22"/>
                <w:szCs w:val="22"/>
              </w:rPr>
              <w:t>0</w:t>
            </w:r>
          </w:p>
        </w:tc>
        <w:tc>
          <w:tcPr>
            <w:tcW w:w="670" w:type="pct"/>
            <w:hideMark/>
          </w:tcPr>
          <w:p w:rsidR="00EF6A5D" w:rsidRPr="00B9606B" w:rsidRDefault="00EF6A5D" w:rsidP="00063894">
            <w:pPr>
              <w:ind w:firstLine="250"/>
              <w:jc w:val="right"/>
              <w:rPr>
                <w:sz w:val="22"/>
                <w:szCs w:val="22"/>
              </w:rPr>
            </w:pPr>
            <w:r>
              <w:rPr>
                <w:sz w:val="22"/>
                <w:szCs w:val="22"/>
              </w:rPr>
              <w:t>0</w:t>
            </w:r>
          </w:p>
        </w:tc>
        <w:tc>
          <w:tcPr>
            <w:tcW w:w="648" w:type="pct"/>
            <w:hideMark/>
          </w:tcPr>
          <w:p w:rsidR="00EF6A5D" w:rsidRPr="00B9606B" w:rsidRDefault="00EF6A5D" w:rsidP="00063894">
            <w:pPr>
              <w:ind w:firstLine="250"/>
              <w:jc w:val="right"/>
              <w:rPr>
                <w:sz w:val="22"/>
                <w:szCs w:val="22"/>
              </w:rPr>
            </w:pPr>
            <w:r>
              <w:rPr>
                <w:sz w:val="22"/>
                <w:szCs w:val="22"/>
              </w:rPr>
              <w:t>0</w:t>
            </w:r>
          </w:p>
        </w:tc>
      </w:tr>
      <w:tr w:rsidR="00EF6A5D" w:rsidRPr="00B9606B" w:rsidTr="009A1D5B">
        <w:tc>
          <w:tcPr>
            <w:tcW w:w="1737" w:type="pct"/>
            <w:hideMark/>
          </w:tcPr>
          <w:p w:rsidR="00EF6A5D" w:rsidRPr="009A1D5B" w:rsidRDefault="00EF6A5D" w:rsidP="00063894">
            <w:pPr>
              <w:rPr>
                <w:b/>
                <w:sz w:val="22"/>
                <w:szCs w:val="22"/>
              </w:rPr>
            </w:pPr>
            <w:r w:rsidRPr="009A1D5B">
              <w:rPr>
                <w:b/>
                <w:sz w:val="22"/>
                <w:szCs w:val="22"/>
              </w:rPr>
              <w:t> 5. Precizēta finansiālā ietekme:</w:t>
            </w:r>
          </w:p>
        </w:tc>
        <w:tc>
          <w:tcPr>
            <w:tcW w:w="589" w:type="pct"/>
            <w:vMerge w:val="restart"/>
            <w:hideMark/>
          </w:tcPr>
          <w:p w:rsidR="00EF6A5D" w:rsidRPr="00B9606B" w:rsidRDefault="00EF6A5D" w:rsidP="00063894">
            <w:pPr>
              <w:jc w:val="right"/>
              <w:rPr>
                <w:sz w:val="22"/>
                <w:szCs w:val="22"/>
              </w:rPr>
            </w:pPr>
            <w:r w:rsidRPr="00B9606B">
              <w:rPr>
                <w:sz w:val="22"/>
                <w:szCs w:val="22"/>
              </w:rPr>
              <w:t> X</w:t>
            </w:r>
          </w:p>
        </w:tc>
        <w:tc>
          <w:tcPr>
            <w:tcW w:w="686" w:type="pct"/>
            <w:hideMark/>
          </w:tcPr>
          <w:p w:rsidR="00EF6A5D" w:rsidRPr="00F708A3" w:rsidRDefault="00EF6A5D" w:rsidP="00063894">
            <w:pPr>
              <w:ind w:firstLine="250"/>
              <w:jc w:val="right"/>
              <w:rPr>
                <w:sz w:val="22"/>
                <w:szCs w:val="22"/>
              </w:rPr>
            </w:pPr>
            <w:r w:rsidRPr="00F708A3">
              <w:rPr>
                <w:sz w:val="22"/>
                <w:szCs w:val="22"/>
              </w:rPr>
              <w:t>0</w:t>
            </w:r>
          </w:p>
        </w:tc>
        <w:tc>
          <w:tcPr>
            <w:tcW w:w="670" w:type="pct"/>
            <w:hideMark/>
          </w:tcPr>
          <w:p w:rsidR="00EF6A5D" w:rsidRPr="00F708A3" w:rsidRDefault="00EF6A5D" w:rsidP="00063894">
            <w:pPr>
              <w:ind w:firstLine="250"/>
              <w:jc w:val="right"/>
              <w:rPr>
                <w:sz w:val="22"/>
                <w:szCs w:val="22"/>
              </w:rPr>
            </w:pPr>
            <w:r w:rsidRPr="00F708A3">
              <w:rPr>
                <w:sz w:val="22"/>
                <w:szCs w:val="22"/>
              </w:rPr>
              <w:t>0</w:t>
            </w:r>
          </w:p>
        </w:tc>
        <w:tc>
          <w:tcPr>
            <w:tcW w:w="670" w:type="pct"/>
            <w:hideMark/>
          </w:tcPr>
          <w:p w:rsidR="00EF6A5D" w:rsidRPr="00F708A3" w:rsidRDefault="00EF6A5D" w:rsidP="00063894">
            <w:pPr>
              <w:ind w:firstLine="250"/>
              <w:jc w:val="right"/>
              <w:rPr>
                <w:sz w:val="22"/>
                <w:szCs w:val="22"/>
              </w:rPr>
            </w:pPr>
            <w:r w:rsidRPr="00F708A3">
              <w:rPr>
                <w:sz w:val="22"/>
                <w:szCs w:val="22"/>
              </w:rPr>
              <w:t>0</w:t>
            </w:r>
          </w:p>
        </w:tc>
        <w:tc>
          <w:tcPr>
            <w:tcW w:w="648" w:type="pct"/>
            <w:hideMark/>
          </w:tcPr>
          <w:p w:rsidR="00EF6A5D" w:rsidRPr="00F708A3" w:rsidRDefault="00EF6A5D" w:rsidP="00063894">
            <w:pPr>
              <w:ind w:firstLine="250"/>
              <w:jc w:val="right"/>
              <w:rPr>
                <w:sz w:val="22"/>
                <w:szCs w:val="22"/>
              </w:rPr>
            </w:pPr>
            <w:r w:rsidRPr="00F708A3">
              <w:rPr>
                <w:sz w:val="22"/>
                <w:szCs w:val="22"/>
              </w:rPr>
              <w:t>0</w:t>
            </w:r>
          </w:p>
        </w:tc>
      </w:tr>
      <w:tr w:rsidR="00EF6A5D" w:rsidRPr="00B9606B" w:rsidTr="009A1D5B">
        <w:tc>
          <w:tcPr>
            <w:tcW w:w="1737" w:type="pct"/>
            <w:hideMark/>
          </w:tcPr>
          <w:p w:rsidR="00EF6A5D" w:rsidRPr="00B9606B" w:rsidRDefault="00EF6A5D" w:rsidP="00063894">
            <w:pPr>
              <w:rPr>
                <w:sz w:val="22"/>
                <w:szCs w:val="22"/>
              </w:rPr>
            </w:pPr>
            <w:r w:rsidRPr="00B9606B">
              <w:rPr>
                <w:sz w:val="22"/>
                <w:szCs w:val="22"/>
              </w:rPr>
              <w:t> 5.1. valsts pamatbudžets</w:t>
            </w:r>
          </w:p>
        </w:tc>
        <w:tc>
          <w:tcPr>
            <w:tcW w:w="589" w:type="pct"/>
            <w:vMerge/>
            <w:hideMark/>
          </w:tcPr>
          <w:p w:rsidR="00EF6A5D" w:rsidRPr="00B9606B" w:rsidRDefault="00EF6A5D" w:rsidP="00063894">
            <w:pPr>
              <w:jc w:val="right"/>
              <w:rPr>
                <w:sz w:val="22"/>
                <w:szCs w:val="22"/>
              </w:rPr>
            </w:pPr>
          </w:p>
        </w:tc>
        <w:tc>
          <w:tcPr>
            <w:tcW w:w="686" w:type="pct"/>
            <w:hideMark/>
          </w:tcPr>
          <w:p w:rsidR="00EF6A5D" w:rsidRPr="00F708A3" w:rsidRDefault="00EF6A5D" w:rsidP="00063894">
            <w:pPr>
              <w:ind w:firstLine="250"/>
              <w:jc w:val="right"/>
              <w:rPr>
                <w:sz w:val="22"/>
                <w:szCs w:val="22"/>
              </w:rPr>
            </w:pPr>
            <w:r w:rsidRPr="00F708A3">
              <w:rPr>
                <w:sz w:val="22"/>
                <w:szCs w:val="22"/>
              </w:rPr>
              <w:t>0</w:t>
            </w:r>
          </w:p>
        </w:tc>
        <w:tc>
          <w:tcPr>
            <w:tcW w:w="670" w:type="pct"/>
            <w:hideMark/>
          </w:tcPr>
          <w:p w:rsidR="00EF6A5D" w:rsidRPr="00F708A3" w:rsidRDefault="00EF6A5D" w:rsidP="00063894">
            <w:pPr>
              <w:ind w:firstLine="250"/>
              <w:jc w:val="right"/>
              <w:rPr>
                <w:sz w:val="22"/>
                <w:szCs w:val="22"/>
              </w:rPr>
            </w:pPr>
            <w:r w:rsidRPr="00F708A3">
              <w:rPr>
                <w:sz w:val="22"/>
                <w:szCs w:val="22"/>
              </w:rPr>
              <w:t>0</w:t>
            </w:r>
          </w:p>
        </w:tc>
        <w:tc>
          <w:tcPr>
            <w:tcW w:w="670" w:type="pct"/>
            <w:hideMark/>
          </w:tcPr>
          <w:p w:rsidR="00EF6A5D" w:rsidRPr="00F708A3" w:rsidRDefault="00EF6A5D" w:rsidP="00063894">
            <w:pPr>
              <w:ind w:firstLine="250"/>
              <w:jc w:val="right"/>
              <w:rPr>
                <w:sz w:val="22"/>
                <w:szCs w:val="22"/>
              </w:rPr>
            </w:pPr>
            <w:r w:rsidRPr="00F708A3">
              <w:rPr>
                <w:sz w:val="22"/>
                <w:szCs w:val="22"/>
              </w:rPr>
              <w:t>0</w:t>
            </w:r>
          </w:p>
        </w:tc>
        <w:tc>
          <w:tcPr>
            <w:tcW w:w="648" w:type="pct"/>
            <w:hideMark/>
          </w:tcPr>
          <w:p w:rsidR="00EF6A5D" w:rsidRPr="00F708A3" w:rsidRDefault="00EF6A5D" w:rsidP="00063894">
            <w:pPr>
              <w:ind w:firstLine="250"/>
              <w:jc w:val="right"/>
              <w:rPr>
                <w:sz w:val="22"/>
                <w:szCs w:val="22"/>
              </w:rPr>
            </w:pPr>
            <w:r w:rsidRPr="00F708A3">
              <w:rPr>
                <w:sz w:val="22"/>
                <w:szCs w:val="22"/>
              </w:rPr>
              <w:t>0</w:t>
            </w:r>
          </w:p>
        </w:tc>
      </w:tr>
      <w:tr w:rsidR="00EF6A5D" w:rsidRPr="00B9606B" w:rsidTr="009A1D5B">
        <w:tc>
          <w:tcPr>
            <w:tcW w:w="1737" w:type="pct"/>
            <w:hideMark/>
          </w:tcPr>
          <w:p w:rsidR="00EF6A5D" w:rsidRPr="00B9606B" w:rsidRDefault="00EF6A5D" w:rsidP="00063894">
            <w:pPr>
              <w:rPr>
                <w:sz w:val="22"/>
                <w:szCs w:val="22"/>
              </w:rPr>
            </w:pPr>
            <w:r w:rsidRPr="00B9606B">
              <w:rPr>
                <w:sz w:val="22"/>
                <w:szCs w:val="22"/>
              </w:rPr>
              <w:t> 5.2. speciālais budžets</w:t>
            </w:r>
          </w:p>
        </w:tc>
        <w:tc>
          <w:tcPr>
            <w:tcW w:w="589" w:type="pct"/>
            <w:vMerge/>
            <w:hideMark/>
          </w:tcPr>
          <w:p w:rsidR="00EF6A5D" w:rsidRPr="00B9606B" w:rsidRDefault="00EF6A5D" w:rsidP="00063894">
            <w:pPr>
              <w:jc w:val="right"/>
              <w:rPr>
                <w:sz w:val="22"/>
                <w:szCs w:val="22"/>
              </w:rPr>
            </w:pPr>
          </w:p>
        </w:tc>
        <w:tc>
          <w:tcPr>
            <w:tcW w:w="686" w:type="pct"/>
            <w:hideMark/>
          </w:tcPr>
          <w:p w:rsidR="00EF6A5D" w:rsidRPr="00B9606B" w:rsidRDefault="00EF6A5D" w:rsidP="00063894">
            <w:pPr>
              <w:ind w:firstLine="250"/>
              <w:jc w:val="right"/>
              <w:rPr>
                <w:sz w:val="22"/>
                <w:szCs w:val="22"/>
              </w:rPr>
            </w:pPr>
            <w:r>
              <w:rPr>
                <w:sz w:val="22"/>
                <w:szCs w:val="22"/>
              </w:rPr>
              <w:t>0</w:t>
            </w:r>
          </w:p>
        </w:tc>
        <w:tc>
          <w:tcPr>
            <w:tcW w:w="670" w:type="pct"/>
            <w:hideMark/>
          </w:tcPr>
          <w:p w:rsidR="00EF6A5D" w:rsidRPr="00B9606B" w:rsidRDefault="00EF6A5D" w:rsidP="00063894">
            <w:pPr>
              <w:ind w:firstLine="250"/>
              <w:jc w:val="right"/>
              <w:rPr>
                <w:sz w:val="22"/>
                <w:szCs w:val="22"/>
              </w:rPr>
            </w:pPr>
            <w:r>
              <w:rPr>
                <w:sz w:val="22"/>
                <w:szCs w:val="22"/>
              </w:rPr>
              <w:t>0</w:t>
            </w:r>
          </w:p>
        </w:tc>
        <w:tc>
          <w:tcPr>
            <w:tcW w:w="670" w:type="pct"/>
            <w:hideMark/>
          </w:tcPr>
          <w:p w:rsidR="00EF6A5D" w:rsidRPr="00B9606B" w:rsidRDefault="00EF6A5D" w:rsidP="00063894">
            <w:pPr>
              <w:ind w:firstLine="250"/>
              <w:jc w:val="right"/>
              <w:rPr>
                <w:sz w:val="22"/>
                <w:szCs w:val="22"/>
              </w:rPr>
            </w:pPr>
            <w:r>
              <w:rPr>
                <w:sz w:val="22"/>
                <w:szCs w:val="22"/>
              </w:rPr>
              <w:t>0</w:t>
            </w:r>
          </w:p>
        </w:tc>
        <w:tc>
          <w:tcPr>
            <w:tcW w:w="648" w:type="pct"/>
            <w:hideMark/>
          </w:tcPr>
          <w:p w:rsidR="00EF6A5D" w:rsidRPr="00B9606B" w:rsidRDefault="00EF6A5D" w:rsidP="00063894">
            <w:pPr>
              <w:ind w:firstLine="250"/>
              <w:jc w:val="right"/>
              <w:rPr>
                <w:sz w:val="22"/>
                <w:szCs w:val="22"/>
              </w:rPr>
            </w:pPr>
            <w:r>
              <w:rPr>
                <w:sz w:val="22"/>
                <w:szCs w:val="22"/>
              </w:rPr>
              <w:t>0</w:t>
            </w:r>
          </w:p>
        </w:tc>
      </w:tr>
      <w:tr w:rsidR="00EF6A5D" w:rsidRPr="00B9606B" w:rsidTr="009A1D5B">
        <w:tc>
          <w:tcPr>
            <w:tcW w:w="1737" w:type="pct"/>
            <w:hideMark/>
          </w:tcPr>
          <w:p w:rsidR="00EF6A5D" w:rsidRPr="00B9606B" w:rsidRDefault="00EF6A5D" w:rsidP="00063894">
            <w:pPr>
              <w:rPr>
                <w:sz w:val="22"/>
                <w:szCs w:val="22"/>
              </w:rPr>
            </w:pPr>
            <w:r w:rsidRPr="00B9606B">
              <w:rPr>
                <w:sz w:val="22"/>
                <w:szCs w:val="22"/>
              </w:rPr>
              <w:t> 5.3. pašvaldību budžets</w:t>
            </w:r>
          </w:p>
        </w:tc>
        <w:tc>
          <w:tcPr>
            <w:tcW w:w="589" w:type="pct"/>
            <w:vMerge/>
            <w:hideMark/>
          </w:tcPr>
          <w:p w:rsidR="00EF6A5D" w:rsidRPr="00B9606B" w:rsidRDefault="00EF6A5D" w:rsidP="00063894">
            <w:pPr>
              <w:jc w:val="right"/>
              <w:rPr>
                <w:sz w:val="22"/>
                <w:szCs w:val="22"/>
              </w:rPr>
            </w:pPr>
          </w:p>
        </w:tc>
        <w:tc>
          <w:tcPr>
            <w:tcW w:w="686" w:type="pct"/>
            <w:hideMark/>
          </w:tcPr>
          <w:p w:rsidR="00EF6A5D" w:rsidRPr="00F708A3" w:rsidRDefault="00EF6A5D" w:rsidP="00063894">
            <w:pPr>
              <w:ind w:firstLine="250"/>
              <w:jc w:val="right"/>
              <w:rPr>
                <w:sz w:val="22"/>
                <w:szCs w:val="22"/>
              </w:rPr>
            </w:pPr>
            <w:r w:rsidRPr="00F708A3">
              <w:rPr>
                <w:sz w:val="22"/>
                <w:szCs w:val="22"/>
              </w:rPr>
              <w:t>0</w:t>
            </w:r>
          </w:p>
        </w:tc>
        <w:tc>
          <w:tcPr>
            <w:tcW w:w="670" w:type="pct"/>
            <w:hideMark/>
          </w:tcPr>
          <w:p w:rsidR="00EF6A5D" w:rsidRPr="00F708A3" w:rsidRDefault="00EF6A5D" w:rsidP="00063894">
            <w:pPr>
              <w:ind w:firstLine="250"/>
              <w:jc w:val="right"/>
              <w:rPr>
                <w:sz w:val="22"/>
                <w:szCs w:val="22"/>
              </w:rPr>
            </w:pPr>
            <w:r w:rsidRPr="00F708A3">
              <w:rPr>
                <w:sz w:val="22"/>
                <w:szCs w:val="22"/>
              </w:rPr>
              <w:t>0</w:t>
            </w:r>
          </w:p>
        </w:tc>
        <w:tc>
          <w:tcPr>
            <w:tcW w:w="670" w:type="pct"/>
            <w:hideMark/>
          </w:tcPr>
          <w:p w:rsidR="00EF6A5D" w:rsidRPr="00F708A3" w:rsidRDefault="00EF6A5D" w:rsidP="00063894">
            <w:pPr>
              <w:ind w:firstLine="250"/>
              <w:jc w:val="right"/>
              <w:rPr>
                <w:sz w:val="22"/>
                <w:szCs w:val="22"/>
              </w:rPr>
            </w:pPr>
            <w:r w:rsidRPr="00F708A3">
              <w:rPr>
                <w:sz w:val="22"/>
                <w:szCs w:val="22"/>
              </w:rPr>
              <w:t>0</w:t>
            </w:r>
          </w:p>
        </w:tc>
        <w:tc>
          <w:tcPr>
            <w:tcW w:w="648" w:type="pct"/>
            <w:hideMark/>
          </w:tcPr>
          <w:p w:rsidR="00EF6A5D" w:rsidRPr="00F708A3" w:rsidRDefault="00EF6A5D" w:rsidP="00063894">
            <w:pPr>
              <w:ind w:firstLine="250"/>
              <w:jc w:val="right"/>
              <w:rPr>
                <w:sz w:val="22"/>
                <w:szCs w:val="22"/>
              </w:rPr>
            </w:pPr>
            <w:r w:rsidRPr="00F708A3">
              <w:rPr>
                <w:sz w:val="22"/>
                <w:szCs w:val="22"/>
              </w:rPr>
              <w:t>0</w:t>
            </w:r>
          </w:p>
        </w:tc>
      </w:tr>
      <w:tr w:rsidR="00EF6A5D" w:rsidRPr="00B9606B" w:rsidTr="009A1D5B">
        <w:tc>
          <w:tcPr>
            <w:tcW w:w="1737" w:type="pct"/>
            <w:hideMark/>
          </w:tcPr>
          <w:p w:rsidR="00EF6A5D" w:rsidRPr="00B9606B" w:rsidRDefault="00EF6A5D" w:rsidP="00063894">
            <w:pPr>
              <w:rPr>
                <w:sz w:val="22"/>
                <w:szCs w:val="22"/>
              </w:rPr>
            </w:pPr>
            <w:r w:rsidRPr="00B9606B">
              <w:rPr>
                <w:sz w:val="22"/>
                <w:szCs w:val="22"/>
              </w:rPr>
              <w:t> 6. Detalizēts ieņēmumu un izdevu</w:t>
            </w:r>
            <w:r w:rsidRPr="00B9606B">
              <w:rPr>
                <w:sz w:val="22"/>
                <w:szCs w:val="22"/>
              </w:rPr>
              <w:softHyphen/>
              <w:t>mu aprēķins</w:t>
            </w:r>
            <w:r>
              <w:rPr>
                <w:sz w:val="22"/>
                <w:szCs w:val="22"/>
              </w:rPr>
              <w:t>:</w:t>
            </w:r>
          </w:p>
        </w:tc>
        <w:tc>
          <w:tcPr>
            <w:tcW w:w="3263" w:type="pct"/>
            <w:gridSpan w:val="5"/>
            <w:vMerge w:val="restart"/>
            <w:hideMark/>
          </w:tcPr>
          <w:p w:rsidR="00EF6A5D" w:rsidRPr="00B9606B" w:rsidRDefault="00EF6A5D" w:rsidP="00063894">
            <w:pPr>
              <w:rPr>
                <w:sz w:val="22"/>
                <w:szCs w:val="22"/>
              </w:rPr>
            </w:pPr>
            <w:r>
              <w:rPr>
                <w:sz w:val="22"/>
                <w:szCs w:val="22"/>
              </w:rPr>
              <w:t>Projekts šo jomu neskar</w:t>
            </w:r>
          </w:p>
        </w:tc>
      </w:tr>
      <w:tr w:rsidR="00EF6A5D" w:rsidRPr="00B9606B" w:rsidTr="009A1D5B">
        <w:tc>
          <w:tcPr>
            <w:tcW w:w="1737" w:type="pct"/>
            <w:hideMark/>
          </w:tcPr>
          <w:p w:rsidR="00EF6A5D" w:rsidRPr="00B9606B" w:rsidRDefault="00EF6A5D" w:rsidP="00063894">
            <w:pPr>
              <w:rPr>
                <w:sz w:val="22"/>
                <w:szCs w:val="22"/>
              </w:rPr>
            </w:pPr>
            <w:r w:rsidRPr="00B9606B">
              <w:rPr>
                <w:sz w:val="22"/>
                <w:szCs w:val="22"/>
              </w:rPr>
              <w:t> 6.1. detalizēts ieņēmumu aprēķins</w:t>
            </w:r>
          </w:p>
        </w:tc>
        <w:tc>
          <w:tcPr>
            <w:tcW w:w="3263" w:type="pct"/>
            <w:gridSpan w:val="5"/>
            <w:vMerge/>
            <w:hideMark/>
          </w:tcPr>
          <w:p w:rsidR="00EF6A5D" w:rsidRPr="00B9606B" w:rsidRDefault="00EF6A5D" w:rsidP="00063894">
            <w:pPr>
              <w:rPr>
                <w:sz w:val="22"/>
                <w:szCs w:val="22"/>
              </w:rPr>
            </w:pPr>
          </w:p>
        </w:tc>
      </w:tr>
      <w:tr w:rsidR="00EF6A5D" w:rsidRPr="00B9606B" w:rsidTr="009A1D5B">
        <w:tc>
          <w:tcPr>
            <w:tcW w:w="1737" w:type="pct"/>
            <w:hideMark/>
          </w:tcPr>
          <w:p w:rsidR="00EF6A5D" w:rsidRPr="00B9606B" w:rsidRDefault="00EF6A5D" w:rsidP="00063894">
            <w:pPr>
              <w:rPr>
                <w:sz w:val="22"/>
                <w:szCs w:val="22"/>
              </w:rPr>
            </w:pPr>
            <w:r w:rsidRPr="00B9606B">
              <w:rPr>
                <w:sz w:val="22"/>
                <w:szCs w:val="22"/>
              </w:rPr>
              <w:t> 6.2. detalizēts izdevumu aprēķins</w:t>
            </w:r>
          </w:p>
        </w:tc>
        <w:tc>
          <w:tcPr>
            <w:tcW w:w="3263" w:type="pct"/>
            <w:gridSpan w:val="5"/>
            <w:vMerge/>
            <w:hideMark/>
          </w:tcPr>
          <w:p w:rsidR="00EF6A5D" w:rsidRPr="00B9606B" w:rsidRDefault="00EF6A5D" w:rsidP="00063894">
            <w:pPr>
              <w:rPr>
                <w:sz w:val="22"/>
                <w:szCs w:val="22"/>
              </w:rPr>
            </w:pPr>
          </w:p>
        </w:tc>
      </w:tr>
      <w:tr w:rsidR="00EF6A5D" w:rsidRPr="00B9606B" w:rsidTr="009A1D5B">
        <w:tc>
          <w:tcPr>
            <w:tcW w:w="1737" w:type="pct"/>
            <w:hideMark/>
          </w:tcPr>
          <w:p w:rsidR="00EF6A5D" w:rsidRPr="00B9606B" w:rsidRDefault="00EF6A5D" w:rsidP="000377E2">
            <w:pPr>
              <w:spacing w:before="50" w:after="50"/>
              <w:rPr>
                <w:sz w:val="22"/>
                <w:szCs w:val="22"/>
              </w:rPr>
            </w:pPr>
            <w:r w:rsidRPr="00B9606B">
              <w:rPr>
                <w:sz w:val="22"/>
                <w:szCs w:val="22"/>
              </w:rPr>
              <w:t> 7. Cita informācija</w:t>
            </w:r>
          </w:p>
        </w:tc>
        <w:tc>
          <w:tcPr>
            <w:tcW w:w="3263" w:type="pct"/>
            <w:gridSpan w:val="5"/>
            <w:hideMark/>
          </w:tcPr>
          <w:p w:rsidR="00EF6A5D" w:rsidRPr="005259D1" w:rsidRDefault="00EF6A5D" w:rsidP="008A31F1">
            <w:pPr>
              <w:jc w:val="both"/>
            </w:pPr>
            <w:r>
              <w:rPr>
                <w:sz w:val="22"/>
                <w:szCs w:val="22"/>
              </w:rPr>
              <w:t>Atbilstoši Ministru kabineta 22.12.2009. noteikumiem Nr.1616 „</w:t>
            </w:r>
            <w:r w:rsidRPr="00EB12CD">
              <w:rPr>
                <w:bCs/>
                <w:sz w:val="22"/>
                <w:szCs w:val="22"/>
              </w:rPr>
              <w:t>Kārtība, kādā aprēķina un sadala valsts budžeta mērķdotāciju pašvaldību un privātajām izglītības iestādēm bērnu no piecu gadu vecuma izglītošanā nodarbināto pirmsskolas izglītības pedagogu darba samaksai un pašvaldību vispārējās pamatizglītības un vispārējās vidējās izglītības iestāžu pedagogu darba samaksai</w:t>
            </w:r>
            <w:r>
              <w:rPr>
                <w:bCs/>
                <w:sz w:val="22"/>
                <w:szCs w:val="22"/>
              </w:rPr>
              <w:t xml:space="preserve">” Izglītības un zinātnes ministrija aprēķina mērķdotāciju pašvaldībām, ievērojot, ka </w:t>
            </w:r>
            <w:r w:rsidRPr="00EB12CD">
              <w:rPr>
                <w:sz w:val="22"/>
                <w:szCs w:val="22"/>
              </w:rPr>
              <w:t>valsts ģimnāziju īstenotajās programmās skolēnu skaitam piemēro koeficientu 1,1</w:t>
            </w:r>
            <w:r>
              <w:rPr>
                <w:sz w:val="22"/>
                <w:szCs w:val="22"/>
              </w:rPr>
              <w:t>. Pašvaldība</w:t>
            </w:r>
            <w:r w:rsidRPr="00EB12CD">
              <w:rPr>
                <w:sz w:val="22"/>
                <w:szCs w:val="22"/>
              </w:rPr>
              <w:t xml:space="preserve"> izstrādā un apstiprina mērķdotācijas sadales kārtību un atbilstoši šai kārtībai sadala mērķdotāciju izglītības iestādēm.</w:t>
            </w:r>
            <w:r>
              <w:t xml:space="preserve"> </w:t>
            </w:r>
            <w:r>
              <w:rPr>
                <w:sz w:val="22"/>
                <w:szCs w:val="22"/>
              </w:rPr>
              <w:t xml:space="preserve">2010./2011.mācību gadā Rīgas </w:t>
            </w:r>
            <w:r w:rsidRPr="008349EC">
              <w:rPr>
                <w:sz w:val="22"/>
                <w:szCs w:val="22"/>
              </w:rPr>
              <w:t>pilsētas 2.ģimnāzija</w:t>
            </w:r>
            <w:r>
              <w:rPr>
                <w:sz w:val="22"/>
                <w:szCs w:val="22"/>
              </w:rPr>
              <w:t>i</w:t>
            </w:r>
            <w:r w:rsidRPr="008349EC">
              <w:rPr>
                <w:sz w:val="22"/>
                <w:szCs w:val="22"/>
              </w:rPr>
              <w:t xml:space="preserve"> </w:t>
            </w:r>
            <w:r>
              <w:rPr>
                <w:sz w:val="22"/>
                <w:szCs w:val="22"/>
              </w:rPr>
              <w:t xml:space="preserve">atbilstoši pedagogu tarifikācijai ir iedalīti 36,6 tūkst. Ls mēnesī. 2011./2012.mācību gada 4 mēnešiem no septembra līdz decembrim tie ir 146,4 tūkst. Ls. </w:t>
            </w:r>
            <w:r w:rsidRPr="00B9606B">
              <w:rPr>
                <w:iCs/>
                <w:sz w:val="22"/>
                <w:szCs w:val="22"/>
              </w:rPr>
              <w:t>Ministru kabineta 2009.gada 28.jūlija noteikumu Nr.836 „Pedagogu darba samaksas noteikumi” 28.punkts nosaka, ka pedagogiem valsts</w:t>
            </w:r>
            <w:r>
              <w:rPr>
                <w:iCs/>
                <w:sz w:val="22"/>
                <w:szCs w:val="22"/>
              </w:rPr>
              <w:t xml:space="preserve"> ģimnāzijās nosaka piemaksu desmit procentu apmērā no mēneša darba algas. Līdz ar to 2011./2012</w:t>
            </w:r>
            <w:r w:rsidRPr="00B9606B">
              <w:rPr>
                <w:iCs/>
                <w:sz w:val="22"/>
                <w:szCs w:val="22"/>
              </w:rPr>
              <w:t xml:space="preserve">.m.g. </w:t>
            </w:r>
            <w:r>
              <w:rPr>
                <w:sz w:val="22"/>
                <w:szCs w:val="22"/>
              </w:rPr>
              <w:t xml:space="preserve">Rīgas </w:t>
            </w:r>
            <w:r w:rsidRPr="008349EC">
              <w:rPr>
                <w:sz w:val="22"/>
                <w:szCs w:val="22"/>
              </w:rPr>
              <w:t>pilsētas 2.ģimnāzija</w:t>
            </w:r>
            <w:r>
              <w:rPr>
                <w:sz w:val="22"/>
                <w:szCs w:val="22"/>
              </w:rPr>
              <w:t>i</w:t>
            </w:r>
            <w:r w:rsidRPr="008349EC">
              <w:rPr>
                <w:sz w:val="22"/>
                <w:szCs w:val="22"/>
              </w:rPr>
              <w:t xml:space="preserve"> </w:t>
            </w:r>
            <w:r>
              <w:rPr>
                <w:iCs/>
                <w:sz w:val="22"/>
                <w:szCs w:val="22"/>
              </w:rPr>
              <w:t xml:space="preserve">papildus būs nepieciešami </w:t>
            </w:r>
            <w:r w:rsidRPr="00B11AC0">
              <w:rPr>
                <w:iCs/>
                <w:sz w:val="22"/>
                <w:szCs w:val="22"/>
              </w:rPr>
              <w:t>14,</w:t>
            </w:r>
            <w:r>
              <w:rPr>
                <w:iCs/>
                <w:sz w:val="22"/>
                <w:szCs w:val="22"/>
              </w:rPr>
              <w:t>6 tūkst. Ls 2011.gada 4 mēnešiem un 43,9 tūkst. Ls gadā nākamajiem gadiem.</w:t>
            </w:r>
          </w:p>
          <w:p w:rsidR="00EF6A5D" w:rsidRPr="00B9606B" w:rsidRDefault="00EF6A5D" w:rsidP="0078581D">
            <w:pPr>
              <w:spacing w:before="50" w:after="50"/>
              <w:rPr>
                <w:sz w:val="22"/>
                <w:szCs w:val="22"/>
              </w:rPr>
            </w:pPr>
            <w:r w:rsidRPr="00102F9E">
              <w:rPr>
                <w:iCs/>
                <w:sz w:val="22"/>
                <w:szCs w:val="22"/>
              </w:rPr>
              <w:lastRenderedPageBreak/>
              <w:t xml:space="preserve">Papildus finansējums no valsts budžeta nav nepieciešams, jo piemaksa tiks segta no 62.resora </w:t>
            </w:r>
            <w:r w:rsidRPr="00F774E0">
              <w:rPr>
                <w:iCs/>
                <w:color w:val="000000"/>
                <w:sz w:val="22"/>
                <w:szCs w:val="22"/>
              </w:rPr>
              <w:t>„</w:t>
            </w:r>
            <w:r w:rsidRPr="00F774E0">
              <w:rPr>
                <w:color w:val="000000"/>
                <w:sz w:val="22"/>
                <w:szCs w:val="22"/>
              </w:rPr>
              <w:t>Mērķdotācijas pašvaldībām</w:t>
            </w:r>
            <w:r w:rsidRPr="00F774E0">
              <w:rPr>
                <w:iCs/>
                <w:color w:val="000000"/>
                <w:sz w:val="22"/>
                <w:szCs w:val="22"/>
              </w:rPr>
              <w:t>”</w:t>
            </w:r>
            <w:r>
              <w:rPr>
                <w:iCs/>
                <w:sz w:val="22"/>
                <w:szCs w:val="22"/>
              </w:rPr>
              <w:t xml:space="preserve"> plānotā finansējuma, kur ietaupījums radies</w:t>
            </w:r>
            <w:r w:rsidRPr="00102F9E">
              <w:rPr>
                <w:iCs/>
                <w:sz w:val="22"/>
                <w:szCs w:val="22"/>
              </w:rPr>
              <w:t xml:space="preserve"> izglītojamo kopējā skaita valstī samazināšanās </w:t>
            </w:r>
            <w:r>
              <w:rPr>
                <w:iCs/>
                <w:sz w:val="22"/>
                <w:szCs w:val="22"/>
              </w:rPr>
              <w:t>dēļ.</w:t>
            </w:r>
          </w:p>
        </w:tc>
      </w:tr>
    </w:tbl>
    <w:p w:rsidR="00EA2D06" w:rsidRDefault="00EA2D06" w:rsidP="006C4607">
      <w:pPr>
        <w:pStyle w:val="naisf"/>
        <w:spacing w:before="0" w:after="0"/>
      </w:pPr>
    </w:p>
    <w:p w:rsidR="00DC7B5F" w:rsidRPr="00E6637F" w:rsidRDefault="00EA2D06" w:rsidP="00DC7B5F">
      <w:pPr>
        <w:spacing w:before="75" w:after="75"/>
        <w:ind w:firstLine="375"/>
        <w:jc w:val="both"/>
      </w:pPr>
      <w:r>
        <w:rPr>
          <w:i/>
          <w:iCs/>
        </w:rPr>
        <w:t>Anotācijas</w:t>
      </w:r>
      <w:r w:rsidR="00DC7B5F" w:rsidRPr="00E6637F">
        <w:rPr>
          <w:i/>
          <w:iCs/>
        </w:rPr>
        <w:t xml:space="preserve"> IV un V sadaļa – nav attiecināms.</w:t>
      </w:r>
    </w:p>
    <w:p w:rsidR="00B56C32" w:rsidRPr="007C0F2C" w:rsidRDefault="00B56C32" w:rsidP="006C4607">
      <w:pPr>
        <w:pStyle w:val="naisf"/>
        <w:spacing w:before="0" w:after="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80"/>
        <w:gridCol w:w="3921"/>
        <w:gridCol w:w="4680"/>
      </w:tblGrid>
      <w:tr w:rsidR="00277929" w:rsidRPr="007C0F2C" w:rsidTr="00013EB3">
        <w:trPr>
          <w:jc w:val="center"/>
        </w:trPr>
        <w:tc>
          <w:tcPr>
            <w:tcW w:w="5000" w:type="pct"/>
            <w:gridSpan w:val="3"/>
          </w:tcPr>
          <w:p w:rsidR="00277929" w:rsidRPr="007C0F2C" w:rsidRDefault="00277929" w:rsidP="007D099D">
            <w:pPr>
              <w:pStyle w:val="naisnod"/>
              <w:spacing w:before="0" w:after="0"/>
              <w:ind w:left="57" w:right="57"/>
            </w:pPr>
            <w:r w:rsidRPr="007C0F2C">
              <w:t>VI</w:t>
            </w:r>
            <w:r w:rsidR="000941C5" w:rsidRPr="007C0F2C">
              <w:t>.</w:t>
            </w:r>
            <w:r w:rsidRPr="007C0F2C">
              <w:t xml:space="preserve"> Sabiedrības līdzdalība un šīs līdzdalības rezultāti</w:t>
            </w:r>
          </w:p>
        </w:tc>
      </w:tr>
      <w:tr w:rsidR="00183CC2" w:rsidRPr="007C0F2C" w:rsidTr="00013EB3">
        <w:trPr>
          <w:trHeight w:val="553"/>
          <w:jc w:val="center"/>
        </w:trPr>
        <w:tc>
          <w:tcPr>
            <w:tcW w:w="264" w:type="pct"/>
          </w:tcPr>
          <w:p w:rsidR="00183CC2" w:rsidRPr="007C0F2C" w:rsidRDefault="00183CC2" w:rsidP="007D099D">
            <w:pPr>
              <w:pStyle w:val="naiskr"/>
              <w:spacing w:before="0" w:after="0"/>
              <w:ind w:left="57" w:right="57"/>
              <w:rPr>
                <w:bCs/>
                <w:sz w:val="22"/>
                <w:szCs w:val="22"/>
              </w:rPr>
            </w:pPr>
            <w:r w:rsidRPr="007C0F2C">
              <w:rPr>
                <w:bCs/>
                <w:sz w:val="22"/>
                <w:szCs w:val="22"/>
              </w:rPr>
              <w:t>1.</w:t>
            </w:r>
          </w:p>
        </w:tc>
        <w:tc>
          <w:tcPr>
            <w:tcW w:w="2159" w:type="pct"/>
          </w:tcPr>
          <w:p w:rsidR="00183CC2" w:rsidRPr="007C0F2C" w:rsidRDefault="00183CC2" w:rsidP="007D099D">
            <w:pPr>
              <w:pStyle w:val="naiskr"/>
              <w:tabs>
                <w:tab w:val="left" w:pos="170"/>
              </w:tabs>
              <w:spacing w:before="0" w:after="0"/>
              <w:ind w:left="57" w:right="57"/>
              <w:rPr>
                <w:sz w:val="22"/>
                <w:szCs w:val="22"/>
              </w:rPr>
            </w:pPr>
            <w:r w:rsidRPr="007C0F2C">
              <w:rPr>
                <w:sz w:val="22"/>
                <w:szCs w:val="22"/>
              </w:rPr>
              <w:t>Sabiedrības informēšana par projekta izstrādes uzsākšanu</w:t>
            </w:r>
          </w:p>
        </w:tc>
        <w:tc>
          <w:tcPr>
            <w:tcW w:w="2577" w:type="pct"/>
          </w:tcPr>
          <w:p w:rsidR="00183CC2" w:rsidRPr="007C0F2C" w:rsidRDefault="000E1FA7" w:rsidP="000269FC">
            <w:pPr>
              <w:pStyle w:val="naiskr"/>
              <w:spacing w:before="0" w:after="0"/>
              <w:ind w:left="57" w:right="57"/>
              <w:jc w:val="both"/>
              <w:rPr>
                <w:sz w:val="22"/>
                <w:szCs w:val="22"/>
              </w:rPr>
            </w:pPr>
            <w:r>
              <w:rPr>
                <w:sz w:val="22"/>
                <w:szCs w:val="22"/>
              </w:rPr>
              <w:t xml:space="preserve">Rīgas </w:t>
            </w:r>
            <w:r w:rsidRPr="008349EC">
              <w:rPr>
                <w:sz w:val="22"/>
                <w:szCs w:val="22"/>
              </w:rPr>
              <w:t>pilsētas 2.ģimnāzija</w:t>
            </w:r>
            <w:r>
              <w:rPr>
                <w:sz w:val="22"/>
                <w:szCs w:val="22"/>
              </w:rPr>
              <w:t>s</w:t>
            </w:r>
            <w:r w:rsidRPr="008349EC">
              <w:rPr>
                <w:sz w:val="22"/>
                <w:szCs w:val="22"/>
              </w:rPr>
              <w:t xml:space="preserve"> </w:t>
            </w:r>
            <w:r w:rsidR="000269FC">
              <w:rPr>
                <w:sz w:val="22"/>
                <w:szCs w:val="22"/>
              </w:rPr>
              <w:t xml:space="preserve">pedagogi informēti </w:t>
            </w:r>
            <w:r w:rsidR="0045517C">
              <w:rPr>
                <w:iCs/>
                <w:sz w:val="22"/>
                <w:szCs w:val="22"/>
              </w:rPr>
              <w:t>par i</w:t>
            </w:r>
            <w:r w:rsidR="00DC7B5F">
              <w:rPr>
                <w:iCs/>
                <w:sz w:val="22"/>
                <w:szCs w:val="22"/>
              </w:rPr>
              <w:t>zglītības iestādes virzību uz valsts ģimnāzijas statusu</w:t>
            </w:r>
            <w:r w:rsidR="000269FC">
              <w:rPr>
                <w:iCs/>
                <w:sz w:val="22"/>
                <w:szCs w:val="22"/>
              </w:rPr>
              <w:t xml:space="preserve"> 2010.gada oktobrī (pedagoģiskās padomes sēdes protokols Nr.7, 19.10.2010.), bet izglītojamie un vecāki informēti 2010.gada 23.oktobra skolas konferencē.</w:t>
            </w:r>
          </w:p>
        </w:tc>
      </w:tr>
      <w:tr w:rsidR="00277929" w:rsidRPr="007C0F2C" w:rsidTr="00013EB3">
        <w:trPr>
          <w:trHeight w:val="339"/>
          <w:jc w:val="center"/>
        </w:trPr>
        <w:tc>
          <w:tcPr>
            <w:tcW w:w="264" w:type="pct"/>
          </w:tcPr>
          <w:p w:rsidR="00277929" w:rsidRPr="007C0F2C" w:rsidRDefault="00183CC2" w:rsidP="007D099D">
            <w:pPr>
              <w:pStyle w:val="naiskr"/>
              <w:spacing w:before="0" w:after="0"/>
              <w:ind w:left="57" w:right="57"/>
              <w:rPr>
                <w:bCs/>
                <w:sz w:val="22"/>
                <w:szCs w:val="22"/>
              </w:rPr>
            </w:pPr>
            <w:r w:rsidRPr="007C0F2C">
              <w:rPr>
                <w:bCs/>
                <w:sz w:val="22"/>
                <w:szCs w:val="22"/>
              </w:rPr>
              <w:t>2</w:t>
            </w:r>
            <w:r w:rsidR="00277929" w:rsidRPr="007C0F2C">
              <w:rPr>
                <w:bCs/>
                <w:sz w:val="22"/>
                <w:szCs w:val="22"/>
              </w:rPr>
              <w:t>.</w:t>
            </w:r>
          </w:p>
        </w:tc>
        <w:tc>
          <w:tcPr>
            <w:tcW w:w="2159" w:type="pct"/>
          </w:tcPr>
          <w:p w:rsidR="00277929" w:rsidRPr="007C0F2C" w:rsidRDefault="00E179CD" w:rsidP="007D099D">
            <w:pPr>
              <w:pStyle w:val="naiskr"/>
              <w:spacing w:before="0" w:after="0"/>
              <w:ind w:left="57" w:right="57"/>
              <w:rPr>
                <w:sz w:val="22"/>
                <w:szCs w:val="22"/>
              </w:rPr>
            </w:pPr>
            <w:r w:rsidRPr="007C0F2C">
              <w:rPr>
                <w:sz w:val="22"/>
                <w:szCs w:val="22"/>
              </w:rPr>
              <w:t>S</w:t>
            </w:r>
            <w:r w:rsidR="00DB073B" w:rsidRPr="007C0F2C">
              <w:rPr>
                <w:sz w:val="22"/>
                <w:szCs w:val="22"/>
              </w:rPr>
              <w:t>abiedrības</w:t>
            </w:r>
            <w:r w:rsidR="00B73166" w:rsidRPr="007C0F2C">
              <w:rPr>
                <w:sz w:val="22"/>
                <w:szCs w:val="22"/>
              </w:rPr>
              <w:t xml:space="preserve"> </w:t>
            </w:r>
            <w:r w:rsidR="00DB073B" w:rsidRPr="007C0F2C">
              <w:rPr>
                <w:sz w:val="22"/>
                <w:szCs w:val="22"/>
              </w:rPr>
              <w:t>līdzdalība</w:t>
            </w:r>
            <w:r w:rsidR="00B73166" w:rsidRPr="007C0F2C">
              <w:rPr>
                <w:sz w:val="22"/>
                <w:szCs w:val="22"/>
              </w:rPr>
              <w:t xml:space="preserve"> </w:t>
            </w:r>
            <w:r w:rsidR="00AB2B1A" w:rsidRPr="007C0F2C">
              <w:rPr>
                <w:sz w:val="22"/>
                <w:szCs w:val="22"/>
              </w:rPr>
              <w:t>projekta izstrādē</w:t>
            </w:r>
            <w:r w:rsidR="00DB073B" w:rsidRPr="007C0F2C">
              <w:rPr>
                <w:sz w:val="22"/>
                <w:szCs w:val="22"/>
              </w:rPr>
              <w:t xml:space="preserve"> </w:t>
            </w:r>
          </w:p>
        </w:tc>
        <w:tc>
          <w:tcPr>
            <w:tcW w:w="2577" w:type="pct"/>
          </w:tcPr>
          <w:p w:rsidR="00277929" w:rsidRPr="007C0F2C" w:rsidRDefault="00D62828" w:rsidP="007D099D">
            <w:pPr>
              <w:pStyle w:val="naiskr"/>
              <w:spacing w:before="0" w:after="0"/>
              <w:ind w:left="57" w:right="57"/>
              <w:jc w:val="both"/>
              <w:rPr>
                <w:sz w:val="22"/>
                <w:szCs w:val="22"/>
              </w:rPr>
            </w:pPr>
            <w:r>
              <w:rPr>
                <w:sz w:val="22"/>
                <w:szCs w:val="22"/>
              </w:rPr>
              <w:t>Projekts apspriests pedagoģiskās padomes sēdē un skolas konferencē.</w:t>
            </w:r>
          </w:p>
        </w:tc>
      </w:tr>
      <w:tr w:rsidR="00277929" w:rsidRPr="007C0F2C" w:rsidTr="00013EB3">
        <w:trPr>
          <w:trHeight w:val="375"/>
          <w:jc w:val="center"/>
        </w:trPr>
        <w:tc>
          <w:tcPr>
            <w:tcW w:w="264" w:type="pct"/>
          </w:tcPr>
          <w:p w:rsidR="00277929" w:rsidRPr="007C0F2C" w:rsidRDefault="00183CC2" w:rsidP="007D099D">
            <w:pPr>
              <w:pStyle w:val="naiskr"/>
              <w:spacing w:before="0" w:after="0"/>
              <w:ind w:left="57" w:right="57"/>
              <w:rPr>
                <w:bCs/>
                <w:sz w:val="22"/>
                <w:szCs w:val="22"/>
              </w:rPr>
            </w:pPr>
            <w:r w:rsidRPr="007C0F2C">
              <w:rPr>
                <w:bCs/>
                <w:sz w:val="22"/>
                <w:szCs w:val="22"/>
              </w:rPr>
              <w:t>3</w:t>
            </w:r>
            <w:r w:rsidR="00277929" w:rsidRPr="007C0F2C">
              <w:rPr>
                <w:bCs/>
                <w:sz w:val="22"/>
                <w:szCs w:val="22"/>
              </w:rPr>
              <w:t>.</w:t>
            </w:r>
          </w:p>
        </w:tc>
        <w:tc>
          <w:tcPr>
            <w:tcW w:w="2159" w:type="pct"/>
          </w:tcPr>
          <w:p w:rsidR="00784422" w:rsidRPr="007C0F2C" w:rsidRDefault="00DB78F0" w:rsidP="007D099D">
            <w:pPr>
              <w:pStyle w:val="naiskr"/>
              <w:spacing w:before="0" w:after="0"/>
              <w:ind w:left="57" w:right="57"/>
              <w:rPr>
                <w:sz w:val="22"/>
                <w:szCs w:val="22"/>
              </w:rPr>
            </w:pPr>
            <w:r w:rsidRPr="007C0F2C">
              <w:rPr>
                <w:sz w:val="22"/>
                <w:szCs w:val="22"/>
              </w:rPr>
              <w:t xml:space="preserve">Sabiedrības līdzdalības rezultāti </w:t>
            </w:r>
          </w:p>
        </w:tc>
        <w:tc>
          <w:tcPr>
            <w:tcW w:w="2577" w:type="pct"/>
          </w:tcPr>
          <w:p w:rsidR="00277929" w:rsidRPr="007C0F2C" w:rsidRDefault="00D62828" w:rsidP="007D099D">
            <w:pPr>
              <w:pStyle w:val="naiskr"/>
              <w:spacing w:before="0" w:after="0"/>
              <w:ind w:left="57" w:right="57"/>
              <w:jc w:val="both"/>
              <w:rPr>
                <w:sz w:val="22"/>
                <w:szCs w:val="22"/>
              </w:rPr>
            </w:pPr>
            <w:r>
              <w:rPr>
                <w:sz w:val="22"/>
                <w:szCs w:val="22"/>
              </w:rPr>
              <w:t xml:space="preserve">Rīgas </w:t>
            </w:r>
            <w:r w:rsidRPr="008349EC">
              <w:rPr>
                <w:sz w:val="22"/>
                <w:szCs w:val="22"/>
              </w:rPr>
              <w:t>pilsētas 2.ģimnāzija</w:t>
            </w:r>
            <w:r>
              <w:rPr>
                <w:sz w:val="22"/>
                <w:szCs w:val="22"/>
              </w:rPr>
              <w:t>s</w:t>
            </w:r>
            <w:r w:rsidRPr="008349EC">
              <w:rPr>
                <w:sz w:val="22"/>
                <w:szCs w:val="22"/>
              </w:rPr>
              <w:t xml:space="preserve"> </w:t>
            </w:r>
            <w:r>
              <w:rPr>
                <w:sz w:val="22"/>
                <w:szCs w:val="22"/>
              </w:rPr>
              <w:t xml:space="preserve">pedagogi, vecāki un izglītojamie atbalsta </w:t>
            </w:r>
            <w:r>
              <w:rPr>
                <w:iCs/>
                <w:sz w:val="22"/>
                <w:szCs w:val="22"/>
              </w:rPr>
              <w:t>ģimnāzijas virzību uz valsts ģimnāzijas statusu.</w:t>
            </w:r>
          </w:p>
        </w:tc>
      </w:tr>
      <w:tr w:rsidR="00DE0B83" w:rsidRPr="007C0F2C" w:rsidTr="00013EB3">
        <w:trPr>
          <w:trHeight w:val="397"/>
          <w:jc w:val="center"/>
        </w:trPr>
        <w:tc>
          <w:tcPr>
            <w:tcW w:w="264" w:type="pct"/>
          </w:tcPr>
          <w:p w:rsidR="00DE0B83" w:rsidRPr="007C0F2C" w:rsidRDefault="00183CC2" w:rsidP="007D099D">
            <w:pPr>
              <w:pStyle w:val="naiskr"/>
              <w:spacing w:before="0" w:after="0"/>
              <w:ind w:left="57" w:right="57"/>
              <w:rPr>
                <w:bCs/>
                <w:sz w:val="22"/>
                <w:szCs w:val="22"/>
              </w:rPr>
            </w:pPr>
            <w:r w:rsidRPr="007C0F2C">
              <w:rPr>
                <w:bCs/>
                <w:sz w:val="22"/>
                <w:szCs w:val="22"/>
              </w:rPr>
              <w:t>4</w:t>
            </w:r>
            <w:r w:rsidR="00DE0B83" w:rsidRPr="007C0F2C">
              <w:rPr>
                <w:bCs/>
                <w:sz w:val="22"/>
                <w:szCs w:val="22"/>
              </w:rPr>
              <w:t>.</w:t>
            </w:r>
          </w:p>
        </w:tc>
        <w:tc>
          <w:tcPr>
            <w:tcW w:w="2159" w:type="pct"/>
          </w:tcPr>
          <w:p w:rsidR="00DE0B83" w:rsidRPr="007C0F2C" w:rsidRDefault="00DE0B83" w:rsidP="007D099D">
            <w:pPr>
              <w:pStyle w:val="naiskr"/>
              <w:spacing w:before="0" w:after="0"/>
              <w:ind w:left="57" w:right="57"/>
              <w:rPr>
                <w:sz w:val="22"/>
                <w:szCs w:val="22"/>
              </w:rPr>
            </w:pPr>
            <w:r w:rsidRPr="007C0F2C">
              <w:rPr>
                <w:sz w:val="22"/>
                <w:szCs w:val="22"/>
              </w:rPr>
              <w:t>Saeimas un ekspertu līdzdalība</w:t>
            </w:r>
          </w:p>
        </w:tc>
        <w:tc>
          <w:tcPr>
            <w:tcW w:w="2577" w:type="pct"/>
          </w:tcPr>
          <w:p w:rsidR="00DE0B83" w:rsidRPr="007C0F2C" w:rsidRDefault="00EF6A5D" w:rsidP="007D099D">
            <w:pPr>
              <w:pStyle w:val="naiskr"/>
              <w:spacing w:before="0" w:after="0"/>
              <w:ind w:left="57" w:right="57"/>
              <w:jc w:val="both"/>
              <w:rPr>
                <w:sz w:val="22"/>
                <w:szCs w:val="22"/>
              </w:rPr>
            </w:pPr>
            <w:r>
              <w:rPr>
                <w:sz w:val="22"/>
                <w:szCs w:val="22"/>
              </w:rPr>
              <w:t>Projekts šo jomu neskar</w:t>
            </w:r>
          </w:p>
        </w:tc>
      </w:tr>
      <w:tr w:rsidR="00277929" w:rsidRPr="007C0F2C" w:rsidTr="00013EB3">
        <w:trPr>
          <w:trHeight w:val="476"/>
          <w:jc w:val="center"/>
        </w:trPr>
        <w:tc>
          <w:tcPr>
            <w:tcW w:w="264" w:type="pct"/>
          </w:tcPr>
          <w:p w:rsidR="00277929" w:rsidRPr="007C0F2C" w:rsidRDefault="00183CC2" w:rsidP="007D099D">
            <w:pPr>
              <w:pStyle w:val="naiskr"/>
              <w:spacing w:before="0" w:after="0"/>
              <w:ind w:left="57" w:right="57"/>
              <w:rPr>
                <w:bCs/>
                <w:sz w:val="22"/>
                <w:szCs w:val="22"/>
              </w:rPr>
            </w:pPr>
            <w:r w:rsidRPr="007C0F2C">
              <w:rPr>
                <w:bCs/>
                <w:sz w:val="22"/>
                <w:szCs w:val="22"/>
              </w:rPr>
              <w:t>5</w:t>
            </w:r>
            <w:r w:rsidR="00277929" w:rsidRPr="007C0F2C">
              <w:rPr>
                <w:bCs/>
                <w:sz w:val="22"/>
                <w:szCs w:val="22"/>
              </w:rPr>
              <w:t>.</w:t>
            </w:r>
          </w:p>
        </w:tc>
        <w:tc>
          <w:tcPr>
            <w:tcW w:w="2159" w:type="pct"/>
          </w:tcPr>
          <w:p w:rsidR="002F78C8" w:rsidRPr="007C0F2C" w:rsidRDefault="006C4607" w:rsidP="007D099D">
            <w:pPr>
              <w:pStyle w:val="naiskr"/>
              <w:spacing w:before="0" w:after="0"/>
              <w:ind w:left="57" w:right="57"/>
              <w:rPr>
                <w:sz w:val="22"/>
                <w:szCs w:val="22"/>
              </w:rPr>
            </w:pPr>
            <w:r w:rsidRPr="007C0F2C">
              <w:rPr>
                <w:sz w:val="22"/>
                <w:szCs w:val="22"/>
              </w:rPr>
              <w:t>Cita informācija</w:t>
            </w:r>
          </w:p>
        </w:tc>
        <w:tc>
          <w:tcPr>
            <w:tcW w:w="2577" w:type="pct"/>
          </w:tcPr>
          <w:p w:rsidR="00845811" w:rsidRPr="007C0F2C" w:rsidRDefault="008A31F1" w:rsidP="007D099D">
            <w:pPr>
              <w:pStyle w:val="naiskr"/>
              <w:spacing w:before="0" w:after="0"/>
              <w:ind w:left="57" w:right="57"/>
              <w:jc w:val="both"/>
              <w:rPr>
                <w:sz w:val="22"/>
                <w:szCs w:val="22"/>
              </w:rPr>
            </w:pPr>
            <w:r>
              <w:rPr>
                <w:sz w:val="22"/>
                <w:szCs w:val="22"/>
              </w:rPr>
              <w:t>Nav</w:t>
            </w:r>
          </w:p>
        </w:tc>
      </w:tr>
    </w:tbl>
    <w:p w:rsidR="0015060C" w:rsidRPr="00533E66" w:rsidRDefault="0015060C" w:rsidP="006C4607">
      <w:pPr>
        <w:pStyle w:val="naisf"/>
        <w:spacing w:before="0" w:after="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80"/>
        <w:gridCol w:w="3925"/>
        <w:gridCol w:w="4722"/>
      </w:tblGrid>
      <w:tr w:rsidR="0023436E" w:rsidRPr="007C0F2C" w:rsidTr="00013EB3">
        <w:tc>
          <w:tcPr>
            <w:tcW w:w="5000" w:type="pct"/>
            <w:gridSpan w:val="3"/>
            <w:tcBorders>
              <w:top w:val="single" w:sz="4" w:space="0" w:color="auto"/>
            </w:tcBorders>
          </w:tcPr>
          <w:p w:rsidR="0023436E" w:rsidRPr="007C0F2C" w:rsidRDefault="0023436E" w:rsidP="007D099D">
            <w:pPr>
              <w:pStyle w:val="naisnod"/>
              <w:spacing w:before="0" w:after="0"/>
              <w:ind w:left="57" w:right="57"/>
            </w:pPr>
            <w:r w:rsidRPr="007C0F2C">
              <w:t>VII</w:t>
            </w:r>
            <w:r w:rsidR="000941C5" w:rsidRPr="007C0F2C">
              <w:t>.</w:t>
            </w:r>
            <w:r w:rsidRPr="007C0F2C">
              <w:t xml:space="preserve"> Tiesību akta projekta izpildes nodrošināšana un tās ietekme uz institūcijām</w:t>
            </w:r>
          </w:p>
        </w:tc>
      </w:tr>
      <w:tr w:rsidR="009C4D0C" w:rsidRPr="007C0F2C" w:rsidTr="009C4D0C">
        <w:trPr>
          <w:trHeight w:val="427"/>
        </w:trPr>
        <w:tc>
          <w:tcPr>
            <w:tcW w:w="263" w:type="pct"/>
          </w:tcPr>
          <w:p w:rsidR="009C4D0C" w:rsidRPr="007C0F2C" w:rsidRDefault="009C4D0C" w:rsidP="007D099D">
            <w:pPr>
              <w:pStyle w:val="naisnod"/>
              <w:spacing w:before="0" w:after="0"/>
              <w:ind w:left="57" w:right="57"/>
              <w:jc w:val="left"/>
              <w:rPr>
                <w:b w:val="0"/>
                <w:sz w:val="22"/>
                <w:szCs w:val="22"/>
              </w:rPr>
            </w:pPr>
            <w:r w:rsidRPr="007C0F2C">
              <w:rPr>
                <w:b w:val="0"/>
                <w:sz w:val="22"/>
                <w:szCs w:val="22"/>
              </w:rPr>
              <w:t>1.</w:t>
            </w:r>
          </w:p>
        </w:tc>
        <w:tc>
          <w:tcPr>
            <w:tcW w:w="2150" w:type="pct"/>
          </w:tcPr>
          <w:p w:rsidR="009C4D0C" w:rsidRPr="007C0F2C" w:rsidRDefault="009C4D0C" w:rsidP="007D099D">
            <w:pPr>
              <w:pStyle w:val="naisf"/>
              <w:spacing w:before="0" w:after="0"/>
              <w:ind w:left="57" w:right="57" w:firstLine="0"/>
              <w:jc w:val="left"/>
              <w:rPr>
                <w:sz w:val="22"/>
                <w:szCs w:val="22"/>
              </w:rPr>
            </w:pPr>
            <w:r w:rsidRPr="007C0F2C">
              <w:rPr>
                <w:sz w:val="22"/>
                <w:szCs w:val="22"/>
              </w:rPr>
              <w:t xml:space="preserve">Projekta izpildē iesaistītās institūcijas </w:t>
            </w:r>
          </w:p>
        </w:tc>
        <w:tc>
          <w:tcPr>
            <w:tcW w:w="2587" w:type="pct"/>
          </w:tcPr>
          <w:p w:rsidR="009C4D0C" w:rsidRPr="00EF6A5D" w:rsidRDefault="00EF6A5D" w:rsidP="00386A4A">
            <w:pPr>
              <w:pStyle w:val="naisnod"/>
              <w:spacing w:before="0" w:after="0"/>
              <w:ind w:left="57" w:right="57"/>
              <w:jc w:val="left"/>
              <w:rPr>
                <w:b w:val="0"/>
                <w:sz w:val="22"/>
                <w:szCs w:val="22"/>
              </w:rPr>
            </w:pPr>
            <w:r w:rsidRPr="00EF6A5D">
              <w:rPr>
                <w:b w:val="0"/>
                <w:sz w:val="22"/>
                <w:szCs w:val="22"/>
              </w:rPr>
              <w:t>Projekts šo jomu neskar</w:t>
            </w:r>
          </w:p>
        </w:tc>
      </w:tr>
      <w:tr w:rsidR="009C4D0C" w:rsidRPr="007C0F2C" w:rsidTr="009C4D0C">
        <w:trPr>
          <w:trHeight w:val="463"/>
        </w:trPr>
        <w:tc>
          <w:tcPr>
            <w:tcW w:w="263" w:type="pct"/>
          </w:tcPr>
          <w:p w:rsidR="009C4D0C" w:rsidRPr="007C0F2C" w:rsidRDefault="009C4D0C" w:rsidP="007D099D">
            <w:pPr>
              <w:pStyle w:val="naisnod"/>
              <w:spacing w:before="0" w:after="0"/>
              <w:ind w:left="57" w:right="57"/>
              <w:jc w:val="left"/>
              <w:rPr>
                <w:b w:val="0"/>
                <w:sz w:val="22"/>
                <w:szCs w:val="22"/>
              </w:rPr>
            </w:pPr>
            <w:r w:rsidRPr="007C0F2C">
              <w:rPr>
                <w:b w:val="0"/>
                <w:sz w:val="22"/>
                <w:szCs w:val="22"/>
              </w:rPr>
              <w:t>2.</w:t>
            </w:r>
          </w:p>
        </w:tc>
        <w:tc>
          <w:tcPr>
            <w:tcW w:w="2150" w:type="pct"/>
          </w:tcPr>
          <w:p w:rsidR="009C4D0C" w:rsidRPr="007C0F2C" w:rsidRDefault="009C4D0C" w:rsidP="007D099D">
            <w:pPr>
              <w:pStyle w:val="naisf"/>
              <w:spacing w:before="0" w:after="0"/>
              <w:ind w:left="57" w:right="57" w:firstLine="0"/>
              <w:jc w:val="left"/>
              <w:rPr>
                <w:sz w:val="22"/>
                <w:szCs w:val="22"/>
              </w:rPr>
            </w:pPr>
            <w:r w:rsidRPr="007C0F2C">
              <w:rPr>
                <w:sz w:val="22"/>
                <w:szCs w:val="22"/>
              </w:rPr>
              <w:t xml:space="preserve">Projekta izpildes ietekme uz pārvaldes funkcijām </w:t>
            </w:r>
          </w:p>
        </w:tc>
        <w:tc>
          <w:tcPr>
            <w:tcW w:w="2587" w:type="pct"/>
          </w:tcPr>
          <w:p w:rsidR="009C4D0C" w:rsidRPr="007C0F2C" w:rsidRDefault="009C4D0C" w:rsidP="00386A4A">
            <w:pPr>
              <w:pStyle w:val="naisnod"/>
              <w:spacing w:before="0" w:after="0"/>
              <w:ind w:left="57" w:right="57"/>
              <w:jc w:val="left"/>
              <w:rPr>
                <w:b w:val="0"/>
                <w:sz w:val="22"/>
                <w:szCs w:val="22"/>
              </w:rPr>
            </w:pPr>
            <w:r>
              <w:rPr>
                <w:b w:val="0"/>
                <w:sz w:val="22"/>
                <w:szCs w:val="22"/>
              </w:rPr>
              <w:t xml:space="preserve">Pārvaldes </w:t>
            </w:r>
            <w:r w:rsidRPr="00B475F3">
              <w:rPr>
                <w:b w:val="0"/>
                <w:sz w:val="22"/>
                <w:szCs w:val="22"/>
              </w:rPr>
              <w:t xml:space="preserve">funkcijas un uzdevumi </w:t>
            </w:r>
            <w:r>
              <w:rPr>
                <w:b w:val="0"/>
                <w:sz w:val="22"/>
                <w:szCs w:val="22"/>
              </w:rPr>
              <w:t>ne</w:t>
            </w:r>
            <w:r w:rsidRPr="00B475F3">
              <w:rPr>
                <w:b w:val="0"/>
                <w:sz w:val="22"/>
                <w:szCs w:val="22"/>
              </w:rPr>
              <w:t>tiek paplašināti</w:t>
            </w:r>
            <w:r>
              <w:rPr>
                <w:b w:val="0"/>
                <w:sz w:val="22"/>
                <w:szCs w:val="22"/>
              </w:rPr>
              <w:t>.</w:t>
            </w:r>
          </w:p>
        </w:tc>
      </w:tr>
      <w:tr w:rsidR="009C4D0C" w:rsidRPr="007C0F2C" w:rsidTr="009C4D0C">
        <w:trPr>
          <w:trHeight w:val="725"/>
        </w:trPr>
        <w:tc>
          <w:tcPr>
            <w:tcW w:w="263" w:type="pct"/>
          </w:tcPr>
          <w:p w:rsidR="009C4D0C" w:rsidRPr="007C0F2C" w:rsidRDefault="009C4D0C" w:rsidP="007D099D">
            <w:pPr>
              <w:pStyle w:val="naisnod"/>
              <w:spacing w:before="0" w:after="0"/>
              <w:ind w:left="57" w:right="57"/>
              <w:jc w:val="left"/>
              <w:rPr>
                <w:b w:val="0"/>
                <w:sz w:val="22"/>
                <w:szCs w:val="22"/>
              </w:rPr>
            </w:pPr>
            <w:r w:rsidRPr="007C0F2C">
              <w:rPr>
                <w:b w:val="0"/>
                <w:sz w:val="22"/>
                <w:szCs w:val="22"/>
              </w:rPr>
              <w:t>3.</w:t>
            </w:r>
          </w:p>
        </w:tc>
        <w:tc>
          <w:tcPr>
            <w:tcW w:w="2150" w:type="pct"/>
          </w:tcPr>
          <w:p w:rsidR="009C4D0C" w:rsidRPr="007C0F2C" w:rsidRDefault="009C4D0C" w:rsidP="007D099D">
            <w:pPr>
              <w:pStyle w:val="naisf"/>
              <w:spacing w:before="0" w:after="0"/>
              <w:ind w:left="57" w:right="57" w:firstLine="0"/>
              <w:jc w:val="left"/>
              <w:rPr>
                <w:sz w:val="22"/>
                <w:szCs w:val="22"/>
              </w:rPr>
            </w:pPr>
            <w:r w:rsidRPr="007C0F2C">
              <w:rPr>
                <w:sz w:val="22"/>
                <w:szCs w:val="22"/>
              </w:rPr>
              <w:t>Projekta izpildes ietekme uz pārvaldes institucionālo struktūru.</w:t>
            </w:r>
          </w:p>
          <w:p w:rsidR="009C4D0C" w:rsidRPr="007C0F2C" w:rsidRDefault="009C4D0C" w:rsidP="007D099D">
            <w:pPr>
              <w:pStyle w:val="naisf"/>
              <w:spacing w:before="0" w:after="0"/>
              <w:ind w:left="57" w:right="57" w:firstLine="0"/>
              <w:jc w:val="left"/>
              <w:rPr>
                <w:sz w:val="22"/>
                <w:szCs w:val="22"/>
              </w:rPr>
            </w:pPr>
            <w:r w:rsidRPr="007C0F2C">
              <w:rPr>
                <w:sz w:val="22"/>
                <w:szCs w:val="22"/>
              </w:rPr>
              <w:t>Jaunu institūciju izveide</w:t>
            </w:r>
          </w:p>
        </w:tc>
        <w:tc>
          <w:tcPr>
            <w:tcW w:w="2587" w:type="pct"/>
          </w:tcPr>
          <w:p w:rsidR="009C4D0C" w:rsidRPr="007C0F2C" w:rsidRDefault="009C4D0C" w:rsidP="00386A4A">
            <w:pPr>
              <w:pStyle w:val="naisnod"/>
              <w:spacing w:before="0" w:after="0"/>
              <w:ind w:left="57" w:right="57"/>
              <w:jc w:val="left"/>
              <w:rPr>
                <w:b w:val="0"/>
                <w:sz w:val="22"/>
                <w:szCs w:val="22"/>
              </w:rPr>
            </w:pPr>
            <w:r>
              <w:rPr>
                <w:b w:val="0"/>
                <w:sz w:val="22"/>
                <w:szCs w:val="22"/>
              </w:rPr>
              <w:t>V</w:t>
            </w:r>
            <w:r w:rsidRPr="00B475F3">
              <w:rPr>
                <w:b w:val="0"/>
                <w:sz w:val="22"/>
                <w:szCs w:val="22"/>
              </w:rPr>
              <w:t>eidot jaunas institūcijas</w:t>
            </w:r>
            <w:r>
              <w:rPr>
                <w:b w:val="0"/>
                <w:sz w:val="22"/>
                <w:szCs w:val="22"/>
              </w:rPr>
              <w:t xml:space="preserve"> nav </w:t>
            </w:r>
            <w:r w:rsidRPr="00B475F3">
              <w:rPr>
                <w:b w:val="0"/>
                <w:sz w:val="22"/>
                <w:szCs w:val="22"/>
              </w:rPr>
              <w:t>nepieciešams</w:t>
            </w:r>
            <w:r>
              <w:rPr>
                <w:b w:val="0"/>
                <w:sz w:val="22"/>
                <w:szCs w:val="22"/>
              </w:rPr>
              <w:t>.</w:t>
            </w:r>
          </w:p>
        </w:tc>
      </w:tr>
      <w:tr w:rsidR="009C4D0C" w:rsidRPr="007C0F2C" w:rsidTr="009C4D0C">
        <w:trPr>
          <w:trHeight w:val="780"/>
        </w:trPr>
        <w:tc>
          <w:tcPr>
            <w:tcW w:w="263" w:type="pct"/>
          </w:tcPr>
          <w:p w:rsidR="009C4D0C" w:rsidRPr="007C0F2C" w:rsidRDefault="009C4D0C" w:rsidP="007D099D">
            <w:pPr>
              <w:pStyle w:val="naisnod"/>
              <w:spacing w:before="0" w:after="0"/>
              <w:ind w:left="57" w:right="57"/>
              <w:jc w:val="left"/>
              <w:rPr>
                <w:b w:val="0"/>
                <w:sz w:val="22"/>
                <w:szCs w:val="22"/>
              </w:rPr>
            </w:pPr>
            <w:r w:rsidRPr="007C0F2C">
              <w:rPr>
                <w:b w:val="0"/>
                <w:sz w:val="22"/>
                <w:szCs w:val="22"/>
              </w:rPr>
              <w:t>4.</w:t>
            </w:r>
          </w:p>
        </w:tc>
        <w:tc>
          <w:tcPr>
            <w:tcW w:w="2150" w:type="pct"/>
          </w:tcPr>
          <w:p w:rsidR="009C4D0C" w:rsidRPr="007C0F2C" w:rsidRDefault="009C4D0C" w:rsidP="007D099D">
            <w:pPr>
              <w:pStyle w:val="naisf"/>
              <w:spacing w:before="0" w:after="0"/>
              <w:ind w:left="57" w:right="57" w:firstLine="0"/>
              <w:jc w:val="left"/>
              <w:rPr>
                <w:sz w:val="22"/>
                <w:szCs w:val="22"/>
              </w:rPr>
            </w:pPr>
            <w:r w:rsidRPr="007C0F2C">
              <w:rPr>
                <w:sz w:val="22"/>
                <w:szCs w:val="22"/>
              </w:rPr>
              <w:t>Projekta izpildes ietekme uz pārvaldes institucionālo struktūru.</w:t>
            </w:r>
          </w:p>
          <w:p w:rsidR="009C4D0C" w:rsidRPr="007C0F2C" w:rsidRDefault="009C4D0C" w:rsidP="007D099D">
            <w:pPr>
              <w:pStyle w:val="naisf"/>
              <w:spacing w:before="0" w:after="0"/>
              <w:ind w:left="57" w:right="57" w:firstLine="0"/>
              <w:jc w:val="left"/>
              <w:rPr>
                <w:sz w:val="22"/>
                <w:szCs w:val="22"/>
              </w:rPr>
            </w:pPr>
            <w:r w:rsidRPr="007C0F2C">
              <w:rPr>
                <w:sz w:val="22"/>
                <w:szCs w:val="22"/>
              </w:rPr>
              <w:t>Esošu institūciju likvidācija</w:t>
            </w:r>
          </w:p>
        </w:tc>
        <w:tc>
          <w:tcPr>
            <w:tcW w:w="2587" w:type="pct"/>
          </w:tcPr>
          <w:p w:rsidR="009C4D0C" w:rsidRPr="007C0F2C" w:rsidRDefault="009C4D0C" w:rsidP="00386A4A">
            <w:pPr>
              <w:pStyle w:val="naisnod"/>
              <w:spacing w:before="0" w:after="0"/>
              <w:ind w:left="57" w:right="57"/>
              <w:jc w:val="left"/>
              <w:rPr>
                <w:b w:val="0"/>
                <w:sz w:val="22"/>
                <w:szCs w:val="22"/>
              </w:rPr>
            </w:pPr>
            <w:r>
              <w:rPr>
                <w:b w:val="0"/>
                <w:sz w:val="22"/>
                <w:szCs w:val="22"/>
              </w:rPr>
              <w:t>Likvidēt esošas institūcijas nav</w:t>
            </w:r>
            <w:r w:rsidRPr="00B475F3">
              <w:rPr>
                <w:b w:val="0"/>
                <w:sz w:val="22"/>
                <w:szCs w:val="22"/>
              </w:rPr>
              <w:t xml:space="preserve"> plānots</w:t>
            </w:r>
            <w:r>
              <w:rPr>
                <w:b w:val="0"/>
                <w:sz w:val="22"/>
                <w:szCs w:val="22"/>
              </w:rPr>
              <w:t>.</w:t>
            </w:r>
          </w:p>
        </w:tc>
      </w:tr>
      <w:tr w:rsidR="009C4D0C" w:rsidRPr="007C0F2C" w:rsidTr="009C4D0C">
        <w:trPr>
          <w:trHeight w:val="703"/>
        </w:trPr>
        <w:tc>
          <w:tcPr>
            <w:tcW w:w="263" w:type="pct"/>
          </w:tcPr>
          <w:p w:rsidR="009C4D0C" w:rsidRPr="007C0F2C" w:rsidRDefault="009C4D0C" w:rsidP="007D099D">
            <w:pPr>
              <w:pStyle w:val="naisnod"/>
              <w:spacing w:before="0" w:after="0"/>
              <w:ind w:left="57" w:right="57"/>
              <w:jc w:val="left"/>
              <w:rPr>
                <w:b w:val="0"/>
                <w:sz w:val="22"/>
                <w:szCs w:val="22"/>
              </w:rPr>
            </w:pPr>
            <w:r w:rsidRPr="007C0F2C">
              <w:rPr>
                <w:b w:val="0"/>
                <w:sz w:val="22"/>
                <w:szCs w:val="22"/>
              </w:rPr>
              <w:t>5.</w:t>
            </w:r>
          </w:p>
        </w:tc>
        <w:tc>
          <w:tcPr>
            <w:tcW w:w="2150" w:type="pct"/>
          </w:tcPr>
          <w:p w:rsidR="009C4D0C" w:rsidRPr="007C0F2C" w:rsidRDefault="009C4D0C" w:rsidP="007D099D">
            <w:pPr>
              <w:pStyle w:val="naisf"/>
              <w:spacing w:before="0" w:after="0"/>
              <w:ind w:left="57" w:right="57" w:firstLine="0"/>
              <w:jc w:val="left"/>
              <w:rPr>
                <w:sz w:val="22"/>
                <w:szCs w:val="22"/>
              </w:rPr>
            </w:pPr>
            <w:r w:rsidRPr="007C0F2C">
              <w:rPr>
                <w:sz w:val="22"/>
                <w:szCs w:val="22"/>
              </w:rPr>
              <w:t>Projekta izpildes ietekme uz pārvaldes institucionālo struktūru.</w:t>
            </w:r>
          </w:p>
          <w:p w:rsidR="009C4D0C" w:rsidRPr="007C0F2C" w:rsidRDefault="009C4D0C" w:rsidP="007D099D">
            <w:pPr>
              <w:pStyle w:val="naisf"/>
              <w:spacing w:before="0" w:after="0"/>
              <w:ind w:left="57" w:right="57" w:firstLine="0"/>
              <w:jc w:val="left"/>
              <w:rPr>
                <w:sz w:val="22"/>
                <w:szCs w:val="22"/>
              </w:rPr>
            </w:pPr>
            <w:r w:rsidRPr="007C0F2C">
              <w:rPr>
                <w:sz w:val="22"/>
                <w:szCs w:val="22"/>
              </w:rPr>
              <w:t>Esošu institūciju reorganizācija</w:t>
            </w:r>
          </w:p>
        </w:tc>
        <w:tc>
          <w:tcPr>
            <w:tcW w:w="2587" w:type="pct"/>
          </w:tcPr>
          <w:p w:rsidR="009C4D0C" w:rsidRPr="007C0F2C" w:rsidRDefault="009C4D0C" w:rsidP="00386A4A">
            <w:pPr>
              <w:pStyle w:val="naisnod"/>
              <w:spacing w:before="0" w:after="0"/>
              <w:ind w:left="57" w:right="57"/>
              <w:jc w:val="left"/>
              <w:rPr>
                <w:b w:val="0"/>
                <w:sz w:val="22"/>
                <w:szCs w:val="22"/>
              </w:rPr>
            </w:pPr>
            <w:r>
              <w:rPr>
                <w:b w:val="0"/>
                <w:sz w:val="22"/>
                <w:szCs w:val="22"/>
              </w:rPr>
              <w:t>E</w:t>
            </w:r>
            <w:r w:rsidRPr="00276681">
              <w:rPr>
                <w:b w:val="0"/>
                <w:sz w:val="22"/>
                <w:szCs w:val="22"/>
              </w:rPr>
              <w:t xml:space="preserve">sošas institūcijas reorganizācija vai esošu institūciju apvienošana </w:t>
            </w:r>
            <w:r>
              <w:rPr>
                <w:b w:val="0"/>
                <w:sz w:val="22"/>
                <w:szCs w:val="22"/>
              </w:rPr>
              <w:t xml:space="preserve">nav </w:t>
            </w:r>
            <w:r w:rsidRPr="00276681">
              <w:rPr>
                <w:b w:val="0"/>
                <w:sz w:val="22"/>
                <w:szCs w:val="22"/>
              </w:rPr>
              <w:t>plānota</w:t>
            </w:r>
            <w:r>
              <w:rPr>
                <w:b w:val="0"/>
                <w:sz w:val="22"/>
                <w:szCs w:val="22"/>
              </w:rPr>
              <w:t>.</w:t>
            </w:r>
          </w:p>
        </w:tc>
      </w:tr>
      <w:tr w:rsidR="009C4D0C" w:rsidRPr="007C0F2C" w:rsidTr="009C4D0C">
        <w:trPr>
          <w:trHeight w:val="309"/>
        </w:trPr>
        <w:tc>
          <w:tcPr>
            <w:tcW w:w="263" w:type="pct"/>
          </w:tcPr>
          <w:p w:rsidR="009C4D0C" w:rsidRPr="007C0F2C" w:rsidRDefault="009C4D0C" w:rsidP="007D099D">
            <w:pPr>
              <w:pStyle w:val="naiskr"/>
              <w:spacing w:before="0" w:after="0"/>
              <w:ind w:left="57" w:right="57"/>
              <w:rPr>
                <w:sz w:val="22"/>
                <w:szCs w:val="22"/>
              </w:rPr>
            </w:pPr>
            <w:r>
              <w:rPr>
                <w:sz w:val="22"/>
                <w:szCs w:val="22"/>
              </w:rPr>
              <w:t>6</w:t>
            </w:r>
            <w:r w:rsidRPr="007C0F2C">
              <w:rPr>
                <w:sz w:val="22"/>
                <w:szCs w:val="22"/>
              </w:rPr>
              <w:t>.</w:t>
            </w:r>
          </w:p>
        </w:tc>
        <w:tc>
          <w:tcPr>
            <w:tcW w:w="2150" w:type="pct"/>
          </w:tcPr>
          <w:p w:rsidR="009C4D0C" w:rsidRPr="007C0F2C" w:rsidRDefault="009C4D0C" w:rsidP="007D099D">
            <w:pPr>
              <w:pStyle w:val="naiskr"/>
              <w:spacing w:before="0" w:after="0"/>
              <w:ind w:left="57" w:right="57"/>
              <w:rPr>
                <w:sz w:val="22"/>
                <w:szCs w:val="22"/>
              </w:rPr>
            </w:pPr>
            <w:r w:rsidRPr="007C0F2C">
              <w:rPr>
                <w:sz w:val="22"/>
                <w:szCs w:val="22"/>
              </w:rPr>
              <w:t>Cita informācija</w:t>
            </w:r>
          </w:p>
        </w:tc>
        <w:tc>
          <w:tcPr>
            <w:tcW w:w="2587" w:type="pct"/>
          </w:tcPr>
          <w:p w:rsidR="009C4D0C" w:rsidRPr="007C0F2C" w:rsidRDefault="009C4D0C" w:rsidP="00386A4A">
            <w:pPr>
              <w:pStyle w:val="naiskr"/>
              <w:spacing w:before="0" w:after="0"/>
              <w:ind w:left="57" w:right="57"/>
              <w:rPr>
                <w:sz w:val="22"/>
                <w:szCs w:val="22"/>
              </w:rPr>
            </w:pPr>
            <w:r w:rsidRPr="007C0F2C">
              <w:rPr>
                <w:sz w:val="22"/>
                <w:szCs w:val="22"/>
              </w:rPr>
              <w:t>Nav</w:t>
            </w:r>
          </w:p>
        </w:tc>
      </w:tr>
    </w:tbl>
    <w:p w:rsidR="00214094" w:rsidRPr="004151D9" w:rsidRDefault="00214094" w:rsidP="006C4607">
      <w:pPr>
        <w:pStyle w:val="naisf"/>
        <w:tabs>
          <w:tab w:val="left" w:pos="5760"/>
        </w:tabs>
        <w:spacing w:before="0" w:after="0"/>
        <w:ind w:firstLine="720"/>
      </w:pPr>
    </w:p>
    <w:p w:rsidR="00013EB3" w:rsidRPr="004151D9" w:rsidRDefault="00013EB3" w:rsidP="00013EB3">
      <w:pPr>
        <w:jc w:val="both"/>
      </w:pPr>
    </w:p>
    <w:p w:rsidR="00013EB3" w:rsidRPr="004151D9" w:rsidRDefault="00013EB3" w:rsidP="00013EB3">
      <w:pPr>
        <w:ind w:firstLine="720"/>
        <w:jc w:val="both"/>
      </w:pPr>
      <w:r w:rsidRPr="004151D9">
        <w:t>Iz</w:t>
      </w:r>
      <w:r w:rsidR="008A31F1" w:rsidRPr="004151D9">
        <w:t>glītības un zinātnes ministrs</w:t>
      </w:r>
      <w:r w:rsidR="008A31F1" w:rsidRPr="004151D9">
        <w:tab/>
      </w:r>
      <w:r w:rsidR="008A31F1" w:rsidRPr="004151D9">
        <w:tab/>
      </w:r>
      <w:r w:rsidR="008A31F1" w:rsidRPr="004151D9">
        <w:tab/>
      </w:r>
      <w:r w:rsidR="008A31F1" w:rsidRPr="004151D9">
        <w:tab/>
      </w:r>
      <w:r w:rsidR="008A31F1" w:rsidRPr="004151D9">
        <w:tab/>
      </w:r>
      <w:r w:rsidR="00047DBB">
        <w:tab/>
      </w:r>
      <w:proofErr w:type="spellStart"/>
      <w:r w:rsidR="008A31F1" w:rsidRPr="004151D9">
        <w:t>R.Broks</w:t>
      </w:r>
      <w:proofErr w:type="spellEnd"/>
    </w:p>
    <w:p w:rsidR="00013EB3" w:rsidRPr="004151D9" w:rsidRDefault="00013EB3" w:rsidP="00013EB3">
      <w:pPr>
        <w:jc w:val="both"/>
      </w:pPr>
    </w:p>
    <w:p w:rsidR="00013EB3" w:rsidRDefault="00013EB3" w:rsidP="00013EB3">
      <w:pPr>
        <w:jc w:val="both"/>
      </w:pPr>
    </w:p>
    <w:p w:rsidR="003538EB" w:rsidRPr="004151D9" w:rsidRDefault="003538EB" w:rsidP="00013EB3">
      <w:pPr>
        <w:jc w:val="both"/>
      </w:pPr>
    </w:p>
    <w:p w:rsidR="00013EB3" w:rsidRPr="004151D9" w:rsidRDefault="00013EB3" w:rsidP="00013EB3">
      <w:pPr>
        <w:ind w:firstLine="720"/>
        <w:jc w:val="both"/>
      </w:pPr>
      <w:r w:rsidRPr="004151D9">
        <w:t>Vizē: Valsts sekretārs</w:t>
      </w:r>
      <w:r w:rsidRPr="004151D9">
        <w:tab/>
      </w:r>
      <w:r w:rsidRPr="004151D9">
        <w:tab/>
      </w:r>
      <w:r w:rsidRPr="004151D9">
        <w:tab/>
      </w:r>
      <w:r w:rsidRPr="004151D9">
        <w:tab/>
      </w:r>
      <w:r w:rsidRPr="004151D9">
        <w:tab/>
      </w:r>
      <w:r w:rsidRPr="004151D9">
        <w:tab/>
      </w:r>
      <w:r w:rsidR="00047DBB">
        <w:tab/>
      </w:r>
      <w:proofErr w:type="spellStart"/>
      <w:r w:rsidRPr="004151D9">
        <w:t>M.Gruškevics</w:t>
      </w:r>
      <w:proofErr w:type="spellEnd"/>
    </w:p>
    <w:p w:rsidR="00D577A2" w:rsidRDefault="00D577A2" w:rsidP="00013EB3">
      <w:pPr>
        <w:pStyle w:val="BodyText"/>
        <w:jc w:val="both"/>
        <w:rPr>
          <w:bCs/>
          <w:sz w:val="24"/>
        </w:rPr>
      </w:pPr>
    </w:p>
    <w:p w:rsidR="00013EB3" w:rsidRPr="00063894" w:rsidRDefault="000E1FA7" w:rsidP="00013EB3">
      <w:pPr>
        <w:pStyle w:val="BodyText"/>
        <w:jc w:val="both"/>
        <w:rPr>
          <w:bCs/>
          <w:sz w:val="22"/>
          <w:szCs w:val="22"/>
        </w:rPr>
      </w:pPr>
      <w:r>
        <w:rPr>
          <w:bCs/>
          <w:sz w:val="24"/>
        </w:rPr>
        <w:tab/>
      </w:r>
      <w:r w:rsidR="00D62828">
        <w:rPr>
          <w:bCs/>
          <w:sz w:val="24"/>
        </w:rPr>
        <w:t>22.03.2011 14:43</w:t>
      </w:r>
    </w:p>
    <w:p w:rsidR="00013EB3" w:rsidRPr="00063894" w:rsidRDefault="00D62828" w:rsidP="00013EB3">
      <w:pPr>
        <w:pStyle w:val="BodyText"/>
        <w:jc w:val="both"/>
        <w:rPr>
          <w:bCs/>
          <w:sz w:val="22"/>
          <w:szCs w:val="22"/>
        </w:rPr>
      </w:pPr>
      <w:r>
        <w:rPr>
          <w:bCs/>
          <w:sz w:val="22"/>
          <w:szCs w:val="22"/>
        </w:rPr>
        <w:tab/>
        <w:t>1285</w:t>
      </w:r>
    </w:p>
    <w:p w:rsidR="00013EB3" w:rsidRPr="00063894" w:rsidRDefault="000E1FA7" w:rsidP="00013EB3">
      <w:pPr>
        <w:pStyle w:val="BodyText"/>
        <w:jc w:val="both"/>
        <w:outlineLvl w:val="0"/>
        <w:rPr>
          <w:bCs/>
          <w:sz w:val="22"/>
          <w:szCs w:val="22"/>
        </w:rPr>
      </w:pPr>
      <w:r>
        <w:rPr>
          <w:bCs/>
          <w:sz w:val="22"/>
          <w:szCs w:val="22"/>
        </w:rPr>
        <w:tab/>
      </w:r>
      <w:proofErr w:type="spellStart"/>
      <w:r w:rsidR="00013EB3" w:rsidRPr="00063894">
        <w:rPr>
          <w:bCs/>
          <w:sz w:val="22"/>
          <w:szCs w:val="22"/>
        </w:rPr>
        <w:t>E.Grīnis</w:t>
      </w:r>
      <w:proofErr w:type="spellEnd"/>
    </w:p>
    <w:p w:rsidR="00013EB3" w:rsidRPr="00063894" w:rsidRDefault="000E1FA7" w:rsidP="00D85924">
      <w:pPr>
        <w:pStyle w:val="BodyText"/>
        <w:jc w:val="both"/>
        <w:rPr>
          <w:sz w:val="22"/>
          <w:szCs w:val="22"/>
        </w:rPr>
      </w:pPr>
      <w:r>
        <w:rPr>
          <w:bCs/>
          <w:sz w:val="22"/>
          <w:szCs w:val="22"/>
        </w:rPr>
        <w:tab/>
      </w:r>
      <w:r w:rsidR="00013EB3" w:rsidRPr="00063894">
        <w:rPr>
          <w:bCs/>
          <w:sz w:val="22"/>
          <w:szCs w:val="22"/>
        </w:rPr>
        <w:t>67047910, edgars.grinis@izm.gov.lv</w:t>
      </w:r>
      <w:r w:rsidR="00013EB3" w:rsidRPr="00063894">
        <w:rPr>
          <w:sz w:val="22"/>
          <w:szCs w:val="22"/>
        </w:rPr>
        <w:t xml:space="preserve"> </w:t>
      </w:r>
    </w:p>
    <w:sectPr w:rsidR="00013EB3" w:rsidRPr="00063894" w:rsidSect="00013EB3">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E3A" w:rsidRDefault="00830E3A">
      <w:r>
        <w:separator/>
      </w:r>
    </w:p>
  </w:endnote>
  <w:endnote w:type="continuationSeparator" w:id="0">
    <w:p w:rsidR="00830E3A" w:rsidRDefault="00830E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Pr="00013EB3" w:rsidRDefault="00002F05" w:rsidP="00013EB3">
    <w:pPr>
      <w:pStyle w:val="Footer"/>
      <w:jc w:val="both"/>
    </w:pPr>
    <w:r>
      <w:t>IZMAnot_22</w:t>
    </w:r>
    <w:r w:rsidR="000E1FA7">
      <w:t>03</w:t>
    </w:r>
    <w:r w:rsidR="008A7BC6">
      <w:t>11</w:t>
    </w:r>
    <w:r w:rsidR="00013EB3">
      <w:t xml:space="preserve">_gimnazija; </w:t>
    </w:r>
    <w:r>
      <w:t>Ministru kabineta</w:t>
    </w:r>
    <w:r w:rsidR="00013EB3">
      <w:t xml:space="preserve"> rīkojuma projekts „Par valsts ģimnāzijas statusa piešķir</w:t>
    </w:r>
    <w:r w:rsidR="008A31F1">
      <w:t xml:space="preserve">šanu </w:t>
    </w:r>
    <w:r w:rsidR="000E1FA7">
      <w:rPr>
        <w:sz w:val="22"/>
        <w:szCs w:val="22"/>
      </w:rPr>
      <w:t xml:space="preserve">Rīgas </w:t>
    </w:r>
    <w:r w:rsidR="000E1FA7" w:rsidRPr="008349EC">
      <w:rPr>
        <w:sz w:val="22"/>
        <w:szCs w:val="22"/>
      </w:rPr>
      <w:t>pilsētas 2.ģimnāzija</w:t>
    </w:r>
    <w:r w:rsidR="000E1FA7">
      <w:rPr>
        <w:sz w:val="22"/>
        <w:szCs w:val="22"/>
      </w:rPr>
      <w:t>i</w:t>
    </w:r>
    <w:r w:rsidR="00013EB3">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Pr="00927BCF" w:rsidRDefault="00002F05" w:rsidP="00927BCF">
    <w:pPr>
      <w:pStyle w:val="Footer"/>
      <w:jc w:val="both"/>
    </w:pPr>
    <w:r>
      <w:t>IZMAnot_22</w:t>
    </w:r>
    <w:r w:rsidR="000E1FA7">
      <w:t>03</w:t>
    </w:r>
    <w:r w:rsidR="008A7BC6">
      <w:t>11</w:t>
    </w:r>
    <w:r w:rsidR="00927BCF">
      <w:t>_gimnazija; M</w:t>
    </w:r>
    <w:r>
      <w:t>inistru kabineta</w:t>
    </w:r>
    <w:r w:rsidR="00927BCF">
      <w:t xml:space="preserve"> rīkojuma projekts „Par valsts ģimnāzijas statusa piešķiršanu </w:t>
    </w:r>
    <w:r w:rsidR="000E1FA7">
      <w:rPr>
        <w:sz w:val="22"/>
        <w:szCs w:val="22"/>
      </w:rPr>
      <w:t xml:space="preserve">Rīgas </w:t>
    </w:r>
    <w:r w:rsidR="000E1FA7" w:rsidRPr="008349EC">
      <w:rPr>
        <w:sz w:val="22"/>
        <w:szCs w:val="22"/>
      </w:rPr>
      <w:t>pilsētas 2.ģimnāzija</w:t>
    </w:r>
    <w:r w:rsidR="000E1FA7">
      <w:rPr>
        <w:sz w:val="22"/>
        <w:szCs w:val="22"/>
      </w:rPr>
      <w:t>i</w:t>
    </w:r>
    <w:r w:rsidR="00927BCF">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E3A" w:rsidRDefault="00830E3A">
      <w:r>
        <w:separator/>
      </w:r>
    </w:p>
  </w:footnote>
  <w:footnote w:type="continuationSeparator" w:id="0">
    <w:p w:rsidR="00830E3A" w:rsidRDefault="00830E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Default="002C75DC" w:rsidP="003C449B">
    <w:pPr>
      <w:pStyle w:val="Header"/>
      <w:framePr w:wrap="around" w:vAnchor="text" w:hAnchor="margin" w:xAlign="center" w:y="1"/>
      <w:rPr>
        <w:rStyle w:val="PageNumber"/>
      </w:rPr>
    </w:pPr>
    <w:r>
      <w:rPr>
        <w:rStyle w:val="PageNumber"/>
      </w:rPr>
      <w:fldChar w:fldCharType="begin"/>
    </w:r>
    <w:r w:rsidR="00DE1C13">
      <w:rPr>
        <w:rStyle w:val="PageNumber"/>
      </w:rPr>
      <w:instrText xml:space="preserve">PAGE  </w:instrText>
    </w:r>
    <w:r>
      <w:rPr>
        <w:rStyle w:val="PageNumber"/>
      </w:rPr>
      <w:fldChar w:fldCharType="end"/>
    </w:r>
  </w:p>
  <w:p w:rsidR="00DE1C13" w:rsidRDefault="00DE1C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Default="002C75DC" w:rsidP="003C449B">
    <w:pPr>
      <w:pStyle w:val="Header"/>
      <w:framePr w:wrap="around" w:vAnchor="text" w:hAnchor="margin" w:xAlign="center" w:y="1"/>
      <w:rPr>
        <w:rStyle w:val="PageNumber"/>
      </w:rPr>
    </w:pPr>
    <w:r>
      <w:rPr>
        <w:rStyle w:val="PageNumber"/>
      </w:rPr>
      <w:fldChar w:fldCharType="begin"/>
    </w:r>
    <w:r w:rsidR="00DE1C13">
      <w:rPr>
        <w:rStyle w:val="PageNumber"/>
      </w:rPr>
      <w:instrText xml:space="preserve">PAGE  </w:instrText>
    </w:r>
    <w:r>
      <w:rPr>
        <w:rStyle w:val="PageNumber"/>
      </w:rPr>
      <w:fldChar w:fldCharType="separate"/>
    </w:r>
    <w:r w:rsidR="003538EB">
      <w:rPr>
        <w:rStyle w:val="PageNumber"/>
        <w:noProof/>
      </w:rPr>
      <w:t>4</w:t>
    </w:r>
    <w:r>
      <w:rPr>
        <w:rStyle w:val="PageNumber"/>
      </w:rPr>
      <w:fldChar w:fldCharType="end"/>
    </w:r>
  </w:p>
  <w:p w:rsidR="00DE1C13" w:rsidRDefault="00DE1C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9">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1"/>
  </w:num>
  <w:num w:numId="3">
    <w:abstractNumId w:val="3"/>
  </w:num>
  <w:num w:numId="4">
    <w:abstractNumId w:val="1"/>
  </w:num>
  <w:num w:numId="5">
    <w:abstractNumId w:val="0"/>
  </w:num>
  <w:num w:numId="6">
    <w:abstractNumId w:val="8"/>
  </w:num>
  <w:num w:numId="7">
    <w:abstractNumId w:val="12"/>
  </w:num>
  <w:num w:numId="8">
    <w:abstractNumId w:val="5"/>
  </w:num>
  <w:num w:numId="9">
    <w:abstractNumId w:val="2"/>
  </w:num>
  <w:num w:numId="10">
    <w:abstractNumId w:val="6"/>
  </w:num>
  <w:num w:numId="11">
    <w:abstractNumId w:val="7"/>
  </w:num>
  <w:num w:numId="12">
    <w:abstractNumId w:val="9"/>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characterSpacingControl w:val="doNotCompress"/>
  <w:footnotePr>
    <w:footnote w:id="-1"/>
    <w:footnote w:id="0"/>
  </w:footnotePr>
  <w:endnotePr>
    <w:endnote w:id="-1"/>
    <w:endnote w:id="0"/>
  </w:endnotePr>
  <w:compat/>
  <w:rsids>
    <w:rsidRoot w:val="008C5649"/>
    <w:rsid w:val="00002F05"/>
    <w:rsid w:val="00011D24"/>
    <w:rsid w:val="00013EB3"/>
    <w:rsid w:val="00013FF4"/>
    <w:rsid w:val="00020FE1"/>
    <w:rsid w:val="00022E13"/>
    <w:rsid w:val="000269FC"/>
    <w:rsid w:val="00032388"/>
    <w:rsid w:val="00035CE2"/>
    <w:rsid w:val="000377E2"/>
    <w:rsid w:val="00047DBB"/>
    <w:rsid w:val="0005553B"/>
    <w:rsid w:val="0005679D"/>
    <w:rsid w:val="000604D2"/>
    <w:rsid w:val="00063894"/>
    <w:rsid w:val="00081E43"/>
    <w:rsid w:val="0009005E"/>
    <w:rsid w:val="000941C5"/>
    <w:rsid w:val="000A6451"/>
    <w:rsid w:val="000B064E"/>
    <w:rsid w:val="000B69CF"/>
    <w:rsid w:val="000B7D4E"/>
    <w:rsid w:val="000C790C"/>
    <w:rsid w:val="000D0EA8"/>
    <w:rsid w:val="000E1FA7"/>
    <w:rsid w:val="000E44D7"/>
    <w:rsid w:val="000F061D"/>
    <w:rsid w:val="000F4794"/>
    <w:rsid w:val="000F54CB"/>
    <w:rsid w:val="00111D8F"/>
    <w:rsid w:val="00123AA8"/>
    <w:rsid w:val="00124F12"/>
    <w:rsid w:val="00144E3A"/>
    <w:rsid w:val="0015060C"/>
    <w:rsid w:val="0016018A"/>
    <w:rsid w:val="00161F0E"/>
    <w:rsid w:val="00165A00"/>
    <w:rsid w:val="00170E2A"/>
    <w:rsid w:val="00177394"/>
    <w:rsid w:val="0018124C"/>
    <w:rsid w:val="00182C18"/>
    <w:rsid w:val="00183CC2"/>
    <w:rsid w:val="001900E4"/>
    <w:rsid w:val="00190F88"/>
    <w:rsid w:val="001A4066"/>
    <w:rsid w:val="001A6AE4"/>
    <w:rsid w:val="001B01FD"/>
    <w:rsid w:val="001B4A71"/>
    <w:rsid w:val="001C0AE6"/>
    <w:rsid w:val="001C2768"/>
    <w:rsid w:val="001D5B54"/>
    <w:rsid w:val="001E1DBF"/>
    <w:rsid w:val="001E4639"/>
    <w:rsid w:val="001E4A7D"/>
    <w:rsid w:val="001F43A8"/>
    <w:rsid w:val="001F5CD6"/>
    <w:rsid w:val="001F7E91"/>
    <w:rsid w:val="0021263D"/>
    <w:rsid w:val="00213F0C"/>
    <w:rsid w:val="00214094"/>
    <w:rsid w:val="0021592D"/>
    <w:rsid w:val="00222D76"/>
    <w:rsid w:val="00223EB1"/>
    <w:rsid w:val="00231344"/>
    <w:rsid w:val="0023436E"/>
    <w:rsid w:val="002347C0"/>
    <w:rsid w:val="00241066"/>
    <w:rsid w:val="00241A6C"/>
    <w:rsid w:val="00242D2B"/>
    <w:rsid w:val="00251B14"/>
    <w:rsid w:val="00262E2B"/>
    <w:rsid w:val="002663FE"/>
    <w:rsid w:val="00270429"/>
    <w:rsid w:val="002723E9"/>
    <w:rsid w:val="00277929"/>
    <w:rsid w:val="00283B82"/>
    <w:rsid w:val="002846E9"/>
    <w:rsid w:val="00284C34"/>
    <w:rsid w:val="00286558"/>
    <w:rsid w:val="0029066C"/>
    <w:rsid w:val="00295D19"/>
    <w:rsid w:val="002B50DB"/>
    <w:rsid w:val="002C12AB"/>
    <w:rsid w:val="002C75DC"/>
    <w:rsid w:val="002C7CAC"/>
    <w:rsid w:val="002D3306"/>
    <w:rsid w:val="002D484A"/>
    <w:rsid w:val="002D48AA"/>
    <w:rsid w:val="002D7BAA"/>
    <w:rsid w:val="002D7F54"/>
    <w:rsid w:val="002E3FF4"/>
    <w:rsid w:val="002F112E"/>
    <w:rsid w:val="002F78C8"/>
    <w:rsid w:val="00301CF3"/>
    <w:rsid w:val="0032715C"/>
    <w:rsid w:val="003374B9"/>
    <w:rsid w:val="00337CA5"/>
    <w:rsid w:val="003538EB"/>
    <w:rsid w:val="00362478"/>
    <w:rsid w:val="003733B7"/>
    <w:rsid w:val="00375B25"/>
    <w:rsid w:val="00386A4A"/>
    <w:rsid w:val="00396542"/>
    <w:rsid w:val="0039685B"/>
    <w:rsid w:val="003A31A6"/>
    <w:rsid w:val="003A7F0C"/>
    <w:rsid w:val="003A7F79"/>
    <w:rsid w:val="003B6404"/>
    <w:rsid w:val="003C449B"/>
    <w:rsid w:val="003D21FF"/>
    <w:rsid w:val="003D5D7E"/>
    <w:rsid w:val="003F0112"/>
    <w:rsid w:val="003F071A"/>
    <w:rsid w:val="003F160B"/>
    <w:rsid w:val="00400032"/>
    <w:rsid w:val="00400B5B"/>
    <w:rsid w:val="00405A00"/>
    <w:rsid w:val="004151D9"/>
    <w:rsid w:val="00420870"/>
    <w:rsid w:val="0043791B"/>
    <w:rsid w:val="00441483"/>
    <w:rsid w:val="00441BCB"/>
    <w:rsid w:val="004425E4"/>
    <w:rsid w:val="0045176A"/>
    <w:rsid w:val="0045517C"/>
    <w:rsid w:val="00456332"/>
    <w:rsid w:val="00461826"/>
    <w:rsid w:val="004800F9"/>
    <w:rsid w:val="0048145A"/>
    <w:rsid w:val="00486A21"/>
    <w:rsid w:val="0048759D"/>
    <w:rsid w:val="0049134A"/>
    <w:rsid w:val="004A58CB"/>
    <w:rsid w:val="004B1795"/>
    <w:rsid w:val="004B4574"/>
    <w:rsid w:val="004B56DD"/>
    <w:rsid w:val="004C020F"/>
    <w:rsid w:val="004C1AFD"/>
    <w:rsid w:val="004C558B"/>
    <w:rsid w:val="004F1F88"/>
    <w:rsid w:val="004F5AD5"/>
    <w:rsid w:val="004F5F1B"/>
    <w:rsid w:val="00502374"/>
    <w:rsid w:val="005060A1"/>
    <w:rsid w:val="00516072"/>
    <w:rsid w:val="005332EC"/>
    <w:rsid w:val="00533E66"/>
    <w:rsid w:val="00534418"/>
    <w:rsid w:val="005353AB"/>
    <w:rsid w:val="00542CC5"/>
    <w:rsid w:val="005554E7"/>
    <w:rsid w:val="005560BC"/>
    <w:rsid w:val="005573BE"/>
    <w:rsid w:val="00572700"/>
    <w:rsid w:val="00574A23"/>
    <w:rsid w:val="00580468"/>
    <w:rsid w:val="0058603B"/>
    <w:rsid w:val="0059211B"/>
    <w:rsid w:val="0059431B"/>
    <w:rsid w:val="005A39CC"/>
    <w:rsid w:val="005A3EDC"/>
    <w:rsid w:val="005A4E6F"/>
    <w:rsid w:val="005B4730"/>
    <w:rsid w:val="005E05D7"/>
    <w:rsid w:val="005E41E7"/>
    <w:rsid w:val="005E450F"/>
    <w:rsid w:val="00620691"/>
    <w:rsid w:val="0062298A"/>
    <w:rsid w:val="00626514"/>
    <w:rsid w:val="00626589"/>
    <w:rsid w:val="006339A0"/>
    <w:rsid w:val="006413A8"/>
    <w:rsid w:val="00642E56"/>
    <w:rsid w:val="00651E00"/>
    <w:rsid w:val="00674572"/>
    <w:rsid w:val="00687763"/>
    <w:rsid w:val="00692B0D"/>
    <w:rsid w:val="00693E0E"/>
    <w:rsid w:val="00696704"/>
    <w:rsid w:val="006A1AE3"/>
    <w:rsid w:val="006B5301"/>
    <w:rsid w:val="006C30E1"/>
    <w:rsid w:val="006C4607"/>
    <w:rsid w:val="006D48F1"/>
    <w:rsid w:val="006F45BE"/>
    <w:rsid w:val="007004FC"/>
    <w:rsid w:val="00706670"/>
    <w:rsid w:val="0072417C"/>
    <w:rsid w:val="00734450"/>
    <w:rsid w:val="00745F67"/>
    <w:rsid w:val="0075039E"/>
    <w:rsid w:val="00752D9D"/>
    <w:rsid w:val="00754784"/>
    <w:rsid w:val="007560E6"/>
    <w:rsid w:val="00757C6E"/>
    <w:rsid w:val="00762BDA"/>
    <w:rsid w:val="007805FD"/>
    <w:rsid w:val="00784422"/>
    <w:rsid w:val="0078581D"/>
    <w:rsid w:val="007B3B54"/>
    <w:rsid w:val="007B3FA0"/>
    <w:rsid w:val="007C0F2C"/>
    <w:rsid w:val="007C2BCC"/>
    <w:rsid w:val="007C4EF0"/>
    <w:rsid w:val="007D099D"/>
    <w:rsid w:val="007E2664"/>
    <w:rsid w:val="007E3ABF"/>
    <w:rsid w:val="007E5BFA"/>
    <w:rsid w:val="007E6689"/>
    <w:rsid w:val="007E731C"/>
    <w:rsid w:val="007F0A03"/>
    <w:rsid w:val="00810040"/>
    <w:rsid w:val="0082023A"/>
    <w:rsid w:val="00821A7A"/>
    <w:rsid w:val="008253F8"/>
    <w:rsid w:val="00830E3A"/>
    <w:rsid w:val="008325E4"/>
    <w:rsid w:val="00832A2B"/>
    <w:rsid w:val="008349EC"/>
    <w:rsid w:val="00845811"/>
    <w:rsid w:val="00846994"/>
    <w:rsid w:val="00850451"/>
    <w:rsid w:val="00852042"/>
    <w:rsid w:val="008534C9"/>
    <w:rsid w:val="0085599D"/>
    <w:rsid w:val="0087510C"/>
    <w:rsid w:val="0089738E"/>
    <w:rsid w:val="008A31F1"/>
    <w:rsid w:val="008A7BC6"/>
    <w:rsid w:val="008B5FDB"/>
    <w:rsid w:val="008C50F4"/>
    <w:rsid w:val="008C5649"/>
    <w:rsid w:val="008E44A2"/>
    <w:rsid w:val="008E697D"/>
    <w:rsid w:val="008F4F7F"/>
    <w:rsid w:val="00903263"/>
    <w:rsid w:val="00906A21"/>
    <w:rsid w:val="009079C3"/>
    <w:rsid w:val="00910462"/>
    <w:rsid w:val="00915AB1"/>
    <w:rsid w:val="00917532"/>
    <w:rsid w:val="00920052"/>
    <w:rsid w:val="009235BA"/>
    <w:rsid w:val="00924023"/>
    <w:rsid w:val="00924CE2"/>
    <w:rsid w:val="00925B9F"/>
    <w:rsid w:val="00927BCF"/>
    <w:rsid w:val="00931AED"/>
    <w:rsid w:val="009476A3"/>
    <w:rsid w:val="0095334F"/>
    <w:rsid w:val="00965897"/>
    <w:rsid w:val="0096765C"/>
    <w:rsid w:val="009727E4"/>
    <w:rsid w:val="00973AC4"/>
    <w:rsid w:val="00974ECE"/>
    <w:rsid w:val="00987BE2"/>
    <w:rsid w:val="009934C5"/>
    <w:rsid w:val="00994C0F"/>
    <w:rsid w:val="009A1D5B"/>
    <w:rsid w:val="009B22D7"/>
    <w:rsid w:val="009B72ED"/>
    <w:rsid w:val="009C4D0C"/>
    <w:rsid w:val="009C6DEB"/>
    <w:rsid w:val="009D6504"/>
    <w:rsid w:val="009E12D7"/>
    <w:rsid w:val="009E661A"/>
    <w:rsid w:val="00A06781"/>
    <w:rsid w:val="00A074C3"/>
    <w:rsid w:val="00A1509C"/>
    <w:rsid w:val="00A34260"/>
    <w:rsid w:val="00A42C3F"/>
    <w:rsid w:val="00A70CFD"/>
    <w:rsid w:val="00A72A0B"/>
    <w:rsid w:val="00A75BAF"/>
    <w:rsid w:val="00A81E42"/>
    <w:rsid w:val="00A864FE"/>
    <w:rsid w:val="00A86F41"/>
    <w:rsid w:val="00A87D04"/>
    <w:rsid w:val="00A950C5"/>
    <w:rsid w:val="00AA1D25"/>
    <w:rsid w:val="00AB2B1A"/>
    <w:rsid w:val="00AB397F"/>
    <w:rsid w:val="00AB5832"/>
    <w:rsid w:val="00AC51F2"/>
    <w:rsid w:val="00AE4DB5"/>
    <w:rsid w:val="00AE5066"/>
    <w:rsid w:val="00AE5E24"/>
    <w:rsid w:val="00AE61B7"/>
    <w:rsid w:val="00AE6CBA"/>
    <w:rsid w:val="00AE79AD"/>
    <w:rsid w:val="00AF35E4"/>
    <w:rsid w:val="00AF5CDE"/>
    <w:rsid w:val="00B11A57"/>
    <w:rsid w:val="00B11AC0"/>
    <w:rsid w:val="00B211C3"/>
    <w:rsid w:val="00B25597"/>
    <w:rsid w:val="00B267B9"/>
    <w:rsid w:val="00B33E09"/>
    <w:rsid w:val="00B50708"/>
    <w:rsid w:val="00B50C68"/>
    <w:rsid w:val="00B51293"/>
    <w:rsid w:val="00B52B1E"/>
    <w:rsid w:val="00B55481"/>
    <w:rsid w:val="00B56C32"/>
    <w:rsid w:val="00B57ACF"/>
    <w:rsid w:val="00B634A1"/>
    <w:rsid w:val="00B64BB1"/>
    <w:rsid w:val="00B73166"/>
    <w:rsid w:val="00B810DD"/>
    <w:rsid w:val="00B8426C"/>
    <w:rsid w:val="00B91B8D"/>
    <w:rsid w:val="00B94E90"/>
    <w:rsid w:val="00BB0A82"/>
    <w:rsid w:val="00BB7C94"/>
    <w:rsid w:val="00BC0A9D"/>
    <w:rsid w:val="00BD07B1"/>
    <w:rsid w:val="00BF40ED"/>
    <w:rsid w:val="00BF5BC2"/>
    <w:rsid w:val="00C1133D"/>
    <w:rsid w:val="00C27A08"/>
    <w:rsid w:val="00C31312"/>
    <w:rsid w:val="00C326C6"/>
    <w:rsid w:val="00C35295"/>
    <w:rsid w:val="00C36ADD"/>
    <w:rsid w:val="00C36E74"/>
    <w:rsid w:val="00C40595"/>
    <w:rsid w:val="00C41621"/>
    <w:rsid w:val="00C449FA"/>
    <w:rsid w:val="00C52CFA"/>
    <w:rsid w:val="00C5384F"/>
    <w:rsid w:val="00C56964"/>
    <w:rsid w:val="00C656D5"/>
    <w:rsid w:val="00C67103"/>
    <w:rsid w:val="00C71BB9"/>
    <w:rsid w:val="00C94C28"/>
    <w:rsid w:val="00CA7F94"/>
    <w:rsid w:val="00CB0247"/>
    <w:rsid w:val="00CB3440"/>
    <w:rsid w:val="00CC1692"/>
    <w:rsid w:val="00CC3496"/>
    <w:rsid w:val="00CD138B"/>
    <w:rsid w:val="00CD3E31"/>
    <w:rsid w:val="00CD74A3"/>
    <w:rsid w:val="00CE0527"/>
    <w:rsid w:val="00CE55F6"/>
    <w:rsid w:val="00CE5B23"/>
    <w:rsid w:val="00CF70AD"/>
    <w:rsid w:val="00CF7729"/>
    <w:rsid w:val="00D00059"/>
    <w:rsid w:val="00D107FA"/>
    <w:rsid w:val="00D12275"/>
    <w:rsid w:val="00D12766"/>
    <w:rsid w:val="00D20FF4"/>
    <w:rsid w:val="00D24D2C"/>
    <w:rsid w:val="00D3530C"/>
    <w:rsid w:val="00D35881"/>
    <w:rsid w:val="00D577A2"/>
    <w:rsid w:val="00D62828"/>
    <w:rsid w:val="00D85924"/>
    <w:rsid w:val="00DA7DA5"/>
    <w:rsid w:val="00DB073B"/>
    <w:rsid w:val="00DB78F0"/>
    <w:rsid w:val="00DC2E43"/>
    <w:rsid w:val="00DC7B5F"/>
    <w:rsid w:val="00DD095C"/>
    <w:rsid w:val="00DD1020"/>
    <w:rsid w:val="00DD1330"/>
    <w:rsid w:val="00DE0B83"/>
    <w:rsid w:val="00DE16D9"/>
    <w:rsid w:val="00DE1A81"/>
    <w:rsid w:val="00DE1C13"/>
    <w:rsid w:val="00DE4E10"/>
    <w:rsid w:val="00E02ABF"/>
    <w:rsid w:val="00E14995"/>
    <w:rsid w:val="00E179CD"/>
    <w:rsid w:val="00E22A8E"/>
    <w:rsid w:val="00E23CAE"/>
    <w:rsid w:val="00E23E8D"/>
    <w:rsid w:val="00E37F98"/>
    <w:rsid w:val="00E46559"/>
    <w:rsid w:val="00E6670C"/>
    <w:rsid w:val="00E776E8"/>
    <w:rsid w:val="00E92C1F"/>
    <w:rsid w:val="00E95D4B"/>
    <w:rsid w:val="00EA2D06"/>
    <w:rsid w:val="00EB199F"/>
    <w:rsid w:val="00EC23F7"/>
    <w:rsid w:val="00EC4BD8"/>
    <w:rsid w:val="00EC63EB"/>
    <w:rsid w:val="00ED412F"/>
    <w:rsid w:val="00EF36B2"/>
    <w:rsid w:val="00EF6A5D"/>
    <w:rsid w:val="00F022A1"/>
    <w:rsid w:val="00F201EC"/>
    <w:rsid w:val="00F208A9"/>
    <w:rsid w:val="00F35608"/>
    <w:rsid w:val="00F41D75"/>
    <w:rsid w:val="00F5139D"/>
    <w:rsid w:val="00F55DF0"/>
    <w:rsid w:val="00F63DAC"/>
    <w:rsid w:val="00F708A3"/>
    <w:rsid w:val="00F7454F"/>
    <w:rsid w:val="00F77988"/>
    <w:rsid w:val="00F77F48"/>
    <w:rsid w:val="00F86FFC"/>
    <w:rsid w:val="00FB30F1"/>
    <w:rsid w:val="00FB53E7"/>
    <w:rsid w:val="00FB7D4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semiHidden/>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
    <w:name w:val="Body Text"/>
    <w:basedOn w:val="Normal"/>
    <w:link w:val="BodyTextChar"/>
    <w:rsid w:val="00013EB3"/>
    <w:rPr>
      <w:sz w:val="28"/>
      <w:lang w:eastAsia="en-US"/>
    </w:rPr>
  </w:style>
  <w:style w:type="character" w:customStyle="1" w:styleId="BodyTextChar">
    <w:name w:val="Body Text Char"/>
    <w:basedOn w:val="DefaultParagraphFont"/>
    <w:link w:val="BodyText"/>
    <w:rsid w:val="00013EB3"/>
    <w:rPr>
      <w:sz w:val="28"/>
      <w:szCs w:val="24"/>
      <w:lang w:eastAsia="en-US"/>
    </w:rPr>
  </w:style>
  <w:style w:type="paragraph" w:styleId="NormalWeb">
    <w:name w:val="Normal (Web)"/>
    <w:basedOn w:val="Normal"/>
    <w:uiPriority w:val="99"/>
    <w:unhideWhenUsed/>
    <w:rsid w:val="00BD07B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3987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D7733-EF6B-4764-B96E-D2E1029BA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6444</Words>
  <Characters>3674</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MK rīkojuma projekts „Par valsts ģimnāzijas statusa piešķiršanu Bauskas 1.vidusskolai”</vt:lpstr>
    </vt:vector>
  </TitlesOfParts>
  <Manager>Inita Juhņēviča</Manager>
  <Company>IZM</Company>
  <LinksUpToDate>false</LinksUpToDate>
  <CharactersWithSpaces>10098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projekts „Par valsts ģimnāzijas statusa piešķiršanu Bauskas 1.vidusskolai”</dc:title>
  <dc:subject>Anotācija</dc:subject>
  <dc:creator>Edgars Grīnis</dc:creator>
  <cp:keywords/>
  <dc:description>67047910_x000d_
edgars.grinis@izm.gov.lv</dc:description>
  <cp:lastModifiedBy>egrinis</cp:lastModifiedBy>
  <cp:revision>5</cp:revision>
  <cp:lastPrinted>2010-08-03T11:20:00Z</cp:lastPrinted>
  <dcterms:created xsi:type="dcterms:W3CDTF">2011-03-22T12:09:00Z</dcterms:created>
  <dcterms:modified xsi:type="dcterms:W3CDTF">2011-03-22T12:43:00Z</dcterms:modified>
</cp:coreProperties>
</file>