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Default="00EC3581" w:rsidP="00960774">
      <w:pPr>
        <w:jc w:val="center"/>
        <w:rPr>
          <w:b/>
        </w:rPr>
      </w:pPr>
      <w:bookmarkStart w:id="0" w:name="OLE_LINK1"/>
      <w:bookmarkStart w:id="1" w:name="OLE_LINK2"/>
      <w:r w:rsidRPr="00F6471D">
        <w:rPr>
          <w:b/>
        </w:rPr>
        <w:t>Ministru kabineta noteikumu projekta „</w:t>
      </w:r>
      <w:r w:rsidR="001817CF" w:rsidRPr="00F6471D">
        <w:rPr>
          <w:b/>
        </w:rPr>
        <w:t xml:space="preserve">Noteikumi par valsts </w:t>
      </w:r>
      <w:r w:rsidR="0051301B" w:rsidRPr="00F6471D">
        <w:rPr>
          <w:b/>
        </w:rPr>
        <w:t xml:space="preserve">pamatizglītības standartu, </w:t>
      </w:r>
      <w:r w:rsidR="001817CF" w:rsidRPr="00F6471D">
        <w:rPr>
          <w:b/>
        </w:rPr>
        <w:t xml:space="preserve"> pamatizglītības mācību priekšmetu standartiem un </w:t>
      </w:r>
      <w:r w:rsidR="0051301B" w:rsidRPr="00F6471D">
        <w:rPr>
          <w:b/>
        </w:rPr>
        <w:t xml:space="preserve">pamatizglītības </w:t>
      </w:r>
      <w:r w:rsidR="001817CF" w:rsidRPr="00F6471D">
        <w:rPr>
          <w:b/>
        </w:rPr>
        <w:t>programmu paraugiem</w:t>
      </w:r>
      <w:r w:rsidRPr="00F6471D">
        <w:rPr>
          <w:b/>
        </w:rPr>
        <w:t>”</w:t>
      </w:r>
      <w:r w:rsidR="00852042" w:rsidRPr="00F6471D">
        <w:rPr>
          <w:b/>
        </w:rPr>
        <w:t xml:space="preserve"> </w:t>
      </w:r>
      <w:bookmarkEnd w:id="0"/>
      <w:bookmarkEnd w:id="1"/>
      <w:r w:rsidR="00852042" w:rsidRPr="00F6471D">
        <w:rPr>
          <w:b/>
        </w:rPr>
        <w:t>sākotnējā</w:t>
      </w:r>
      <w:r w:rsidR="002D3306" w:rsidRPr="00F6471D">
        <w:rPr>
          <w:b/>
        </w:rPr>
        <w:t>s</w:t>
      </w:r>
      <w:r w:rsidR="00852042" w:rsidRPr="00F6471D">
        <w:rPr>
          <w:b/>
        </w:rPr>
        <w:t xml:space="preserve"> ietekmes novērtējuma </w:t>
      </w:r>
      <w:smartTag w:uri="schemas-tilde-lv/tildestengine" w:element="veidnes">
        <w:smartTagPr>
          <w:attr w:name="id" w:val="-1"/>
          <w:attr w:name="baseform" w:val="ziņojums"/>
          <w:attr w:name="text" w:val="ziņojums"/>
        </w:smartTagPr>
        <w:r w:rsidR="00852042" w:rsidRPr="00F6471D">
          <w:rPr>
            <w:b/>
          </w:rPr>
          <w:t>ziņojums</w:t>
        </w:r>
      </w:smartTag>
      <w:r w:rsidR="00852042" w:rsidRPr="00F6471D">
        <w:rPr>
          <w:b/>
        </w:rPr>
        <w:t xml:space="preserve"> (anotācija)</w:t>
      </w:r>
    </w:p>
    <w:p w:rsidR="00B82976" w:rsidRPr="00F6471D" w:rsidRDefault="00B82976" w:rsidP="00960774">
      <w:pPr>
        <w:jc w:val="center"/>
      </w:pPr>
    </w:p>
    <w:tbl>
      <w:tblPr>
        <w:tblpPr w:leftFromText="180" w:rightFromText="180" w:vertAnchor="text" w:horzAnchor="margin" w:tblpXSpec="center" w:tblpY="149"/>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42"/>
        <w:gridCol w:w="1932"/>
        <w:gridCol w:w="6967"/>
      </w:tblGrid>
      <w:tr w:rsidR="00852042" w:rsidRPr="00F6471D" w:rsidTr="004E6185">
        <w:tc>
          <w:tcPr>
            <w:tcW w:w="9241" w:type="dxa"/>
            <w:gridSpan w:val="3"/>
            <w:vAlign w:val="center"/>
          </w:tcPr>
          <w:p w:rsidR="00852042" w:rsidRPr="00F6471D" w:rsidRDefault="00852042" w:rsidP="006C4607">
            <w:pPr>
              <w:pStyle w:val="naisnod"/>
              <w:spacing w:before="0" w:after="0"/>
            </w:pPr>
            <w:r w:rsidRPr="00F6471D">
              <w:t>I</w:t>
            </w:r>
            <w:r w:rsidR="000941C5" w:rsidRPr="00F6471D">
              <w:t>.</w:t>
            </w:r>
            <w:r w:rsidRPr="00F6471D">
              <w:t xml:space="preserve"> Tiesību akta </w:t>
            </w:r>
            <w:r w:rsidR="002E3FF4" w:rsidRPr="00F6471D">
              <w:t xml:space="preserve">projekta </w:t>
            </w:r>
            <w:r w:rsidRPr="00F6471D">
              <w:t>izstrādes nepieciešamība</w:t>
            </w:r>
          </w:p>
        </w:tc>
      </w:tr>
      <w:tr w:rsidR="00010580" w:rsidRPr="00F6471D" w:rsidTr="004E6185">
        <w:trPr>
          <w:trHeight w:val="630"/>
        </w:trPr>
        <w:tc>
          <w:tcPr>
            <w:tcW w:w="342" w:type="dxa"/>
          </w:tcPr>
          <w:p w:rsidR="00262E2B" w:rsidRPr="00F6471D" w:rsidRDefault="00262E2B" w:rsidP="006C4607">
            <w:pPr>
              <w:pStyle w:val="naiskr"/>
              <w:spacing w:before="0" w:after="0"/>
            </w:pPr>
            <w:r w:rsidRPr="00F6471D">
              <w:t>1.</w:t>
            </w:r>
          </w:p>
        </w:tc>
        <w:tc>
          <w:tcPr>
            <w:tcW w:w="0" w:type="auto"/>
          </w:tcPr>
          <w:p w:rsidR="00262E2B" w:rsidRPr="00F6471D" w:rsidRDefault="002D7F54" w:rsidP="006C4607">
            <w:pPr>
              <w:pStyle w:val="naiskr"/>
              <w:spacing w:before="0" w:after="0"/>
              <w:ind w:hanging="10"/>
            </w:pPr>
            <w:r w:rsidRPr="00F6471D">
              <w:t>Pamatojums</w:t>
            </w:r>
          </w:p>
        </w:tc>
        <w:tc>
          <w:tcPr>
            <w:tcW w:w="0" w:type="auto"/>
          </w:tcPr>
          <w:p w:rsidR="00383789" w:rsidRDefault="00682925" w:rsidP="00F90A10">
            <w:pPr>
              <w:pStyle w:val="naiskr"/>
              <w:spacing w:before="0" w:after="0"/>
              <w:ind w:hanging="5"/>
              <w:jc w:val="both"/>
            </w:pPr>
            <w:r w:rsidRPr="00F6471D">
              <w:t>Ministru kabineta noteikumu projekts „</w:t>
            </w:r>
            <w:r w:rsidRPr="00F6471D">
              <w:rPr>
                <w:bCs/>
              </w:rPr>
              <w:t xml:space="preserve">Noteikumi par valsts </w:t>
            </w:r>
            <w:r w:rsidR="0051301B" w:rsidRPr="00F6471D">
              <w:rPr>
                <w:bCs/>
              </w:rPr>
              <w:t xml:space="preserve">pamatizglītības standartu, </w:t>
            </w:r>
            <w:r w:rsidR="001817CF" w:rsidRPr="00F6471D">
              <w:rPr>
                <w:bCs/>
              </w:rPr>
              <w:t xml:space="preserve">pamatizglītības </w:t>
            </w:r>
            <w:r w:rsidRPr="00F6471D">
              <w:rPr>
                <w:bCs/>
              </w:rPr>
              <w:t>mācību priekšmetu standartiem</w:t>
            </w:r>
            <w:r w:rsidRPr="00F6471D">
              <w:t xml:space="preserve"> un </w:t>
            </w:r>
            <w:r w:rsidR="0051301B" w:rsidRPr="00F6471D">
              <w:t xml:space="preserve">pamatizglītības </w:t>
            </w:r>
            <w:r w:rsidRPr="00F6471D">
              <w:t xml:space="preserve">programmu paraugiem” </w:t>
            </w:r>
            <w:r w:rsidR="00006F1E" w:rsidRPr="00F6471D">
              <w:t xml:space="preserve">(turpmāk–noteikumu projekts) </w:t>
            </w:r>
            <w:r w:rsidR="00F03E5C" w:rsidRPr="00F6471D">
              <w:t>iz</w:t>
            </w:r>
            <w:r w:rsidR="00E65A8C" w:rsidRPr="00F6471D">
              <w:t>strādāts</w:t>
            </w:r>
            <w:r w:rsidR="00F24CCE" w:rsidRPr="00F6471D">
              <w:t>,</w:t>
            </w:r>
            <w:r w:rsidR="00E65A8C" w:rsidRPr="00F6471D">
              <w:t xml:space="preserve"> pamatojoties uz  </w:t>
            </w:r>
            <w:r w:rsidR="00F03E5C" w:rsidRPr="00F6471D">
              <w:t>2012.</w:t>
            </w:r>
            <w:r w:rsidR="00E65A8C" w:rsidRPr="00F6471D">
              <w:t>gada 15.marta</w:t>
            </w:r>
            <w:r w:rsidR="00F03E5C" w:rsidRPr="00F6471D">
              <w:t xml:space="preserve"> likumā</w:t>
            </w:r>
            <w:r w:rsidR="0078173B" w:rsidRPr="00F6471D">
              <w:t xml:space="preserve"> „Grozījumi Izglītības likumā”</w:t>
            </w:r>
            <w:r w:rsidR="00F03E5C" w:rsidRPr="00F6471D">
              <w:t xml:space="preserve"> veikto grozījumu Izglītības likuma 14.panta 19.punktā</w:t>
            </w:r>
            <w:r w:rsidR="00F24CCE" w:rsidRPr="00F6471D">
              <w:t>.</w:t>
            </w:r>
            <w:r w:rsidR="00237C81" w:rsidRPr="00F6471D">
              <w:t xml:space="preserve"> </w:t>
            </w:r>
            <w:r w:rsidR="00F90A10">
              <w:t xml:space="preserve">Minētais grozījums paredz, ka valsts izglītības standartos tiek </w:t>
            </w:r>
            <w:r w:rsidR="0078173B" w:rsidRPr="00F6471D">
              <w:t xml:space="preserve">ietverti </w:t>
            </w:r>
            <w:r w:rsidR="00F90A10">
              <w:t>š</w:t>
            </w:r>
            <w:r w:rsidR="0078173B" w:rsidRPr="00F6471D">
              <w:t>o standartu prasībām atbilstoši izgl</w:t>
            </w:r>
            <w:r w:rsidR="004B05CF" w:rsidRPr="00F6471D">
              <w:t>ītības programmu paraugi.</w:t>
            </w:r>
            <w:r w:rsidR="00383789" w:rsidRPr="00F6471D">
              <w:t xml:space="preserve"> </w:t>
            </w:r>
            <w:r w:rsidR="0078173B" w:rsidRPr="00F6471D">
              <w:t>Izglītības likuma 15.</w:t>
            </w:r>
            <w:r w:rsidR="00B7667D" w:rsidRPr="00F6471D">
              <w:t>panta 21.punkts tika izslēgts</w:t>
            </w:r>
            <w:r w:rsidR="0078173B" w:rsidRPr="00F6471D">
              <w:t>,</w:t>
            </w:r>
            <w:r w:rsidR="00B7667D" w:rsidRPr="00F6471D">
              <w:t xml:space="preserve"> vienlaikus izsakot jaunā redakcijā šā panta 7.punktu, kurā noteikts, </w:t>
            </w:r>
            <w:r w:rsidR="00336C51" w:rsidRPr="00F6471D">
              <w:t xml:space="preserve">ka </w:t>
            </w:r>
            <w:r w:rsidR="0078173B" w:rsidRPr="00F6471D">
              <w:t>Izglītības un zinātnes ministrija</w:t>
            </w:r>
            <w:r w:rsidR="000D28DA">
              <w:t xml:space="preserve"> (turpmāk – IZM)</w:t>
            </w:r>
            <w:r w:rsidR="0078173B" w:rsidRPr="00F6471D">
              <w:t xml:space="preserve"> izstrādā valsts </w:t>
            </w:r>
            <w:r w:rsidR="00B7667D" w:rsidRPr="00F6471D">
              <w:t xml:space="preserve">pirmsskolas </w:t>
            </w:r>
            <w:r w:rsidR="0078173B" w:rsidRPr="00F6471D">
              <w:t xml:space="preserve">izglītības </w:t>
            </w:r>
            <w:r w:rsidR="00B7667D" w:rsidRPr="00F6471D">
              <w:t xml:space="preserve">vadlīnijas un valsts izglītības </w:t>
            </w:r>
            <w:r w:rsidR="0078173B" w:rsidRPr="00F6471D">
              <w:t>standartu prasībām atbilstošus izglītības programmu paraugus.</w:t>
            </w:r>
            <w:r w:rsidR="008241DA">
              <w:t xml:space="preserve"> </w:t>
            </w:r>
          </w:p>
          <w:p w:rsidR="00A249F5" w:rsidRPr="00F6471D" w:rsidRDefault="00A249F5" w:rsidP="00F90A10">
            <w:pPr>
              <w:pStyle w:val="naiskr"/>
              <w:spacing w:before="0" w:after="0"/>
              <w:ind w:hanging="5"/>
              <w:jc w:val="both"/>
            </w:pPr>
          </w:p>
        </w:tc>
      </w:tr>
      <w:tr w:rsidR="00010580" w:rsidRPr="00895BE9" w:rsidTr="00070A8E">
        <w:trPr>
          <w:trHeight w:val="6065"/>
        </w:trPr>
        <w:tc>
          <w:tcPr>
            <w:tcW w:w="342" w:type="dxa"/>
          </w:tcPr>
          <w:p w:rsidR="00262E2B" w:rsidRPr="00F6471D" w:rsidRDefault="00262E2B" w:rsidP="006C4607">
            <w:pPr>
              <w:pStyle w:val="naiskr"/>
              <w:spacing w:before="0" w:after="0"/>
            </w:pPr>
            <w:r w:rsidRPr="00F6471D">
              <w:t>2.</w:t>
            </w:r>
          </w:p>
        </w:tc>
        <w:tc>
          <w:tcPr>
            <w:tcW w:w="0" w:type="auto"/>
          </w:tcPr>
          <w:p w:rsidR="00262E2B" w:rsidRPr="00F6471D" w:rsidRDefault="00262E2B" w:rsidP="006C4607">
            <w:pPr>
              <w:pStyle w:val="naiskr"/>
              <w:tabs>
                <w:tab w:val="left" w:pos="170"/>
              </w:tabs>
              <w:spacing w:before="0" w:after="0"/>
            </w:pPr>
            <w:r w:rsidRPr="00F6471D">
              <w:t>Pašreizējā situācija</w:t>
            </w:r>
            <w:r w:rsidR="001F5CD6" w:rsidRPr="00F6471D">
              <w:t xml:space="preserve"> un problēmas</w:t>
            </w:r>
          </w:p>
        </w:tc>
        <w:tc>
          <w:tcPr>
            <w:tcW w:w="0" w:type="auto"/>
          </w:tcPr>
          <w:p w:rsidR="00F90A10" w:rsidRDefault="00BA725D" w:rsidP="00CB77A2">
            <w:pPr>
              <w:jc w:val="both"/>
            </w:pPr>
            <w:r w:rsidRPr="00895BE9">
              <w:rPr>
                <w:iCs/>
              </w:rPr>
              <w:t>Pašlaik ir</w:t>
            </w:r>
            <w:r w:rsidR="00277E08" w:rsidRPr="00895BE9">
              <w:rPr>
                <w:iCs/>
              </w:rPr>
              <w:t xml:space="preserve"> spēkā Ministru kabineta 2006.gada 19.decembra noteikumi Nr.1027</w:t>
            </w:r>
            <w:r w:rsidR="0078173B" w:rsidRPr="00895BE9">
              <w:rPr>
                <w:iCs/>
              </w:rPr>
              <w:t xml:space="preserve"> „</w:t>
            </w:r>
            <w:r w:rsidR="0078173B" w:rsidRPr="00895BE9">
              <w:rPr>
                <w:bCs/>
              </w:rPr>
              <w:t>Noteikumi par valsts standartu</w:t>
            </w:r>
            <w:r w:rsidR="00277E08" w:rsidRPr="00895BE9">
              <w:rPr>
                <w:bCs/>
              </w:rPr>
              <w:t xml:space="preserve"> pamatizglītībā</w:t>
            </w:r>
            <w:r w:rsidR="0078173B" w:rsidRPr="00895BE9">
              <w:rPr>
                <w:bCs/>
              </w:rPr>
              <w:t xml:space="preserve"> un </w:t>
            </w:r>
            <w:r w:rsidR="00277E08" w:rsidRPr="00895BE9">
              <w:rPr>
                <w:bCs/>
              </w:rPr>
              <w:t>pamat</w:t>
            </w:r>
            <w:r w:rsidR="0078173B" w:rsidRPr="00895BE9">
              <w:rPr>
                <w:bCs/>
              </w:rPr>
              <w:t>izglītības mācību priekšmetu standartiem</w:t>
            </w:r>
            <w:r w:rsidR="00277E08" w:rsidRPr="00895BE9">
              <w:rPr>
                <w:bCs/>
              </w:rPr>
              <w:t>”.</w:t>
            </w:r>
            <w:r w:rsidR="0078173B" w:rsidRPr="00895BE9">
              <w:rPr>
                <w:bCs/>
              </w:rPr>
              <w:t xml:space="preserve"> </w:t>
            </w:r>
            <w:r w:rsidR="00F90A10">
              <w:rPr>
                <w:bCs/>
              </w:rPr>
              <w:t>Saskaņā ar minētajiem Ministru kabineta noteikumiem v</w:t>
            </w:r>
            <w:r w:rsidR="0078173B" w:rsidRPr="00895BE9">
              <w:t>alsts izglītības standartu prasībām un Latvijas izglītības klasifikācijai atbilstošus izglītības programmu paraugus izstrādā I</w:t>
            </w:r>
            <w:r w:rsidR="000D28DA">
              <w:t>ZM</w:t>
            </w:r>
            <w:r w:rsidR="0078173B" w:rsidRPr="00895BE9">
              <w:t>.</w:t>
            </w:r>
            <w:r w:rsidR="00F90A10">
              <w:t xml:space="preserve"> Savukārt izglītības iestādes </w:t>
            </w:r>
            <w:r w:rsidR="00383789" w:rsidRPr="00895BE9">
              <w:t>izstrādā savas i</w:t>
            </w:r>
            <w:r w:rsidR="00F90A10">
              <w:t>zglītības programmas vai īsteno</w:t>
            </w:r>
            <w:r w:rsidR="00383789" w:rsidRPr="00895BE9">
              <w:t xml:space="preserve"> I</w:t>
            </w:r>
            <w:r w:rsidR="000D28DA">
              <w:t>ZM</w:t>
            </w:r>
            <w:r w:rsidR="00383789" w:rsidRPr="00895BE9">
              <w:t xml:space="preserve"> izstrādātaji</w:t>
            </w:r>
            <w:r w:rsidR="00F90A10">
              <w:t>em</w:t>
            </w:r>
            <w:r w:rsidR="00383789" w:rsidRPr="00895BE9">
              <w:t xml:space="preserve"> programm</w:t>
            </w:r>
            <w:r w:rsidR="00F90A10">
              <w:t>u</w:t>
            </w:r>
            <w:r w:rsidR="00383789" w:rsidRPr="00895BE9">
              <w:t xml:space="preserve"> paraugiem atbilstošas </w:t>
            </w:r>
            <w:r w:rsidR="00277E08" w:rsidRPr="00895BE9">
              <w:t>pamat</w:t>
            </w:r>
            <w:r w:rsidR="00383789" w:rsidRPr="00895BE9">
              <w:t>izglītības programmas.</w:t>
            </w:r>
            <w:r w:rsidRPr="00895BE9">
              <w:t xml:space="preserve">  </w:t>
            </w:r>
            <w:r w:rsidR="000D28DA">
              <w:t>IZM</w:t>
            </w:r>
            <w:r w:rsidRPr="00895BE9">
              <w:rPr>
                <w:shd w:val="clear" w:color="auto" w:fill="FFFFFF" w:themeFill="background1"/>
              </w:rPr>
              <w:t xml:space="preserve"> izstrādātie izglītības programmu paraugi </w:t>
            </w:r>
            <w:r w:rsidR="00CB77A2" w:rsidRPr="00895BE9">
              <w:rPr>
                <w:shd w:val="clear" w:color="auto" w:fill="FFFFFF" w:themeFill="background1"/>
              </w:rPr>
              <w:t xml:space="preserve">ir </w:t>
            </w:r>
            <w:r w:rsidRPr="00895BE9">
              <w:rPr>
                <w:shd w:val="clear" w:color="auto" w:fill="FFFFFF" w:themeFill="background1"/>
              </w:rPr>
              <w:t xml:space="preserve">saistoši </w:t>
            </w:r>
            <w:r w:rsidR="00CB77A2" w:rsidRPr="00895BE9">
              <w:rPr>
                <w:shd w:val="clear" w:color="auto" w:fill="FFFFFF" w:themeFill="background1"/>
              </w:rPr>
              <w:t>un ir</w:t>
            </w:r>
            <w:r w:rsidRPr="00895BE9">
              <w:rPr>
                <w:shd w:val="clear" w:color="auto" w:fill="FFFFFF" w:themeFill="background1"/>
              </w:rPr>
              <w:t xml:space="preserve"> obligāti </w:t>
            </w:r>
            <w:r w:rsidR="009B2548" w:rsidRPr="00895BE9">
              <w:rPr>
                <w:shd w:val="clear" w:color="auto" w:fill="FFFFFF" w:themeFill="background1"/>
              </w:rPr>
              <w:t>ievērojami izglītības iestādēm</w:t>
            </w:r>
            <w:r w:rsidR="009B2548" w:rsidRPr="00895BE9">
              <w:t>.</w:t>
            </w:r>
          </w:p>
          <w:p w:rsidR="00D25D70" w:rsidRDefault="00137272" w:rsidP="00D25D70">
            <w:pPr>
              <w:ind w:firstLine="425"/>
              <w:jc w:val="both"/>
              <w:rPr>
                <w:bCs/>
              </w:rPr>
            </w:pPr>
            <w:r w:rsidRPr="00895BE9">
              <w:t>Mazākumtautību izglītībā būtiskākās pārmaiņas attiecināmas uz 1999.gadu, kad atbilstīgi Izglītības likuma prasībām skolas uzsāka īstenot mazākumtautību  izglītības programmas, nosakot</w:t>
            </w:r>
            <w:r>
              <w:t xml:space="preserve"> divu</w:t>
            </w:r>
            <w:r w:rsidRPr="00895BE9">
              <w:t xml:space="preserve"> valodu – latviešu valodas un mazākumtautību </w:t>
            </w:r>
            <w:r>
              <w:t>–</w:t>
            </w:r>
            <w:r w:rsidRPr="00895BE9">
              <w:t xml:space="preserve"> izmantošanu </w:t>
            </w:r>
            <w:r>
              <w:t>izglītības procesā. Izglītības iestādes</w:t>
            </w:r>
            <w:r w:rsidRPr="00895BE9">
              <w:t>, veidojot savu izglītības programmu, izvēl</w:t>
            </w:r>
            <w:r>
              <w:t>ējās</w:t>
            </w:r>
            <w:r w:rsidRPr="00895BE9">
              <w:t xml:space="preserve"> </w:t>
            </w:r>
            <w:r w:rsidR="00A31B47">
              <w:t xml:space="preserve">vienu </w:t>
            </w:r>
            <w:r w:rsidRPr="00895BE9">
              <w:t>no I</w:t>
            </w:r>
            <w:r>
              <w:t>ZM</w:t>
            </w:r>
            <w:r w:rsidRPr="00895BE9">
              <w:t xml:space="preserve"> piedāvātajiem programmu paraugiem, kas tika izstrādāti sadarbībā ar Latvijas Universitātes mācībspēkiem.</w:t>
            </w:r>
            <w:r w:rsidR="00A13544">
              <w:t xml:space="preserve"> </w:t>
            </w:r>
            <w:r w:rsidRPr="00895BE9">
              <w:t xml:space="preserve">Pamatojoties uz grozījumu Izglītības likuma 41.panta pirmajā daļā, mazākumtautību izglītības programmas izstrādā izglītības iestāde, izvēloties </w:t>
            </w:r>
            <w:r w:rsidR="0090778E">
              <w:t>vienu</w:t>
            </w:r>
            <w:r w:rsidRPr="00895BE9">
              <w:t xml:space="preserve"> no valsts pamatizglītības standartā ietvertajiem i</w:t>
            </w:r>
            <w:r>
              <w:t>zglītības programmu paraugiem.</w:t>
            </w:r>
            <w:r w:rsidR="00153451">
              <w:t xml:space="preserve"> </w:t>
            </w:r>
            <w:r w:rsidR="00153451">
              <w:rPr>
                <w:bCs/>
              </w:rPr>
              <w:t>Tā kā 13</w:t>
            </w:r>
            <w:r w:rsidR="00153451" w:rsidRPr="00895BE9">
              <w:rPr>
                <w:bCs/>
              </w:rPr>
              <w:t xml:space="preserve">% izglītības iestāžu ir licencējušas savu skolas izstrādātu mazākumtautību izglītības programmas paraugu, kas izstrādāts, pamatizglītības programmu apvienojot ar mazākumtautību izglītības programmu, izglītības iestādes izvēlei </w:t>
            </w:r>
            <w:r w:rsidR="00153451">
              <w:rPr>
                <w:bCs/>
              </w:rPr>
              <w:t>noteikumu projektā būtu pievienojams</w:t>
            </w:r>
            <w:r w:rsidR="00153451" w:rsidRPr="00895BE9">
              <w:rPr>
                <w:bCs/>
              </w:rPr>
              <w:t xml:space="preserve"> </w:t>
            </w:r>
            <w:r w:rsidR="00153451">
              <w:rPr>
                <w:bCs/>
              </w:rPr>
              <w:t xml:space="preserve">piektais </w:t>
            </w:r>
            <w:r w:rsidR="00153451" w:rsidRPr="00895BE9">
              <w:rPr>
                <w:bCs/>
              </w:rPr>
              <w:t>modeļa paraugs.</w:t>
            </w:r>
          </w:p>
          <w:p w:rsidR="00C92811" w:rsidRDefault="00C92811" w:rsidP="00673DB2">
            <w:pPr>
              <w:shd w:val="clear" w:color="auto" w:fill="FFFFFF" w:themeFill="background1"/>
              <w:jc w:val="both"/>
            </w:pPr>
            <w:r w:rsidRPr="00895BE9">
              <w:t xml:space="preserve">Ņemot vērā, ka ar 2014./2015.mācību gadu 1.klasē un 2015./2016.mācību gadā </w:t>
            </w:r>
            <w:r w:rsidR="00BB741C" w:rsidRPr="00895BE9">
              <w:t xml:space="preserve">1. un 2.klasē </w:t>
            </w:r>
            <w:r w:rsidR="00BB741C">
              <w:t xml:space="preserve">tiek īstenots </w:t>
            </w:r>
            <w:r w:rsidRPr="00895BE9">
              <w:t xml:space="preserve">priekšmets „Svešvaloda”, nepieciešams papildināt izglītības programmu </w:t>
            </w:r>
            <w:r w:rsidR="00A31B47">
              <w:t xml:space="preserve">paraugu </w:t>
            </w:r>
            <w:r w:rsidRPr="00895BE9">
              <w:t xml:space="preserve">mācību stundu un mācību priekšmetu plānus, jo šobrīd svešvalodu apguve valsts pamatizglītības standartā noteikta no 3.klases. Valsts </w:t>
            </w:r>
            <w:r w:rsidRPr="00895BE9">
              <w:lastRenderedPageBreak/>
              <w:t>pamatizglītības standarts tiek grozīts attiecībā uz mācību priekšmetu standartu „Svešvaloda”.</w:t>
            </w:r>
            <w:r w:rsidR="00673DB2">
              <w:t xml:space="preserve"> Minētais g</w:t>
            </w:r>
            <w:r w:rsidR="00673DB2" w:rsidRPr="00895BE9">
              <w:t xml:space="preserve">rozījums </w:t>
            </w:r>
            <w:r w:rsidR="00673DB2">
              <w:t xml:space="preserve">jāveic, </w:t>
            </w:r>
            <w:r w:rsidR="00673DB2" w:rsidRPr="00895BE9">
              <w:t xml:space="preserve">pamatojoties uz </w:t>
            </w:r>
            <w:r w:rsidR="00673DB2" w:rsidRPr="00673DB2">
              <w:t>N</w:t>
            </w:r>
            <w:r w:rsidR="00851018">
              <w:t>acionāla</w:t>
            </w:r>
            <w:r w:rsidR="00FF10CB">
              <w:t xml:space="preserve">jā attīstības plānā </w:t>
            </w:r>
            <w:r w:rsidR="00673DB2" w:rsidRPr="00895BE9">
              <w:t>noteikto un Eiropas Komisijas „Ziņojumu par rīcības plānu „Valodu mācīšanās un valodu daudzveidības veicināšana””</w:t>
            </w:r>
            <w:r w:rsidR="00673DB2">
              <w:t xml:space="preserve"> </w:t>
            </w:r>
            <w:r w:rsidR="00673DB2" w:rsidRPr="00895BE9">
              <w:t>(COM (2007) 554, Briselē, 25.</w:t>
            </w:r>
            <w:r w:rsidR="00673DB2">
              <w:t>0</w:t>
            </w:r>
            <w:r w:rsidR="00673DB2" w:rsidRPr="00895BE9">
              <w:t>9.2007.</w:t>
            </w:r>
            <w:r w:rsidR="00FF10CB">
              <w:t>)</w:t>
            </w:r>
            <w:r w:rsidR="00673DB2" w:rsidRPr="00895BE9">
              <w:t xml:space="preserve">, kurā akcentēta agrīna </w:t>
            </w:r>
            <w:r w:rsidR="00A31B47">
              <w:t>sveš</w:t>
            </w:r>
            <w:r w:rsidR="00673DB2" w:rsidRPr="00895BE9">
              <w:t>valodu mācīšanās ieviešana pamatizglītībā.</w:t>
            </w:r>
          </w:p>
          <w:p w:rsidR="00673DB2" w:rsidRDefault="00673DB2" w:rsidP="00673DB2">
            <w:pPr>
              <w:shd w:val="clear" w:color="auto" w:fill="FFFFFF" w:themeFill="background1"/>
              <w:contextualSpacing/>
              <w:jc w:val="both"/>
            </w:pPr>
            <w:r w:rsidRPr="00AA2D48">
              <w:rPr>
                <w:bCs/>
              </w:rPr>
              <w:t>Saskaņā ar Latvijā veiktu pētījumu</w:t>
            </w:r>
            <w:r w:rsidRPr="00895BE9">
              <w:rPr>
                <w:bCs/>
              </w:rPr>
              <w:t xml:space="preserve"> (</w:t>
            </w:r>
            <w:r w:rsidRPr="00895BE9">
              <w:t>Skolēnu veselība</w:t>
            </w:r>
            <w:r>
              <w:t xml:space="preserve">s paradumu pētījums, 2009./2010.mācību </w:t>
            </w:r>
            <w:r w:rsidRPr="00895BE9">
              <w:t xml:space="preserve">gada aptauja) rezultātiem  </w:t>
            </w:r>
            <w:r w:rsidR="00A31B47">
              <w:rPr>
                <w:iCs/>
              </w:rPr>
              <w:t>Latvijas 11, 13 un 15 gadīgu</w:t>
            </w:r>
            <w:r w:rsidRPr="00895BE9">
              <w:rPr>
                <w:iCs/>
              </w:rPr>
              <w:t xml:space="preserve"> skolēnu attieksme p</w:t>
            </w:r>
            <w:r>
              <w:rPr>
                <w:iCs/>
              </w:rPr>
              <w:t>a</w:t>
            </w:r>
            <w:r w:rsidRPr="00895BE9">
              <w:rPr>
                <w:iCs/>
              </w:rPr>
              <w:t xml:space="preserve">r veselīgu dzīvesveidu ir apmierinoša, īpaši attiecībā uz </w:t>
            </w:r>
            <w:r w:rsidRPr="00895BE9">
              <w:rPr>
                <w:bCs/>
              </w:rPr>
              <w:t>skolēnu zināšanām par veselīgu dzīvesveidu un mazkustīguma un neveselīga uztura negatīvo ietekmi uz veselību.</w:t>
            </w:r>
            <w:r>
              <w:rPr>
                <w:bCs/>
              </w:rPr>
              <w:t xml:space="preserve"> </w:t>
            </w:r>
            <w:r w:rsidRPr="00895BE9">
              <w:rPr>
                <w:rFonts w:eastAsia="Calibri"/>
              </w:rPr>
              <w:t>Informatīvajā ziņojumā „Par mācību priekšmeta „Veselības mācība” iekļaušanu vispārējās vidējās un profesionālās izglītības mācību programmās” (VSS</w:t>
            </w:r>
            <w:r>
              <w:rPr>
                <w:rFonts w:eastAsia="Calibri"/>
              </w:rPr>
              <w:t xml:space="preserve"> – </w:t>
            </w:r>
            <w:r w:rsidRPr="00895BE9">
              <w:rPr>
                <w:rFonts w:eastAsia="Calibri"/>
              </w:rPr>
              <w:t xml:space="preserve">1156) tika analizēta situācija veselības izglītībā un sniegti argumenti integrēta veselības izglītības satura ieviešanai. 2012.gada 30.novembrī </w:t>
            </w:r>
            <w:r>
              <w:rPr>
                <w:rFonts w:eastAsia="Calibri"/>
              </w:rPr>
              <w:t xml:space="preserve">ar vēstuli </w:t>
            </w:r>
            <w:r w:rsidRPr="00895BE9">
              <w:rPr>
                <w:rFonts w:eastAsia="Calibri"/>
              </w:rPr>
              <w:t xml:space="preserve">Nr.01-06/5262 </w:t>
            </w:r>
            <w:r>
              <w:rPr>
                <w:rFonts w:eastAsia="Calibri"/>
              </w:rPr>
              <w:t>IZM ir informējusi V</w:t>
            </w:r>
            <w:r w:rsidRPr="00895BE9">
              <w:rPr>
                <w:rFonts w:eastAsia="Calibri"/>
              </w:rPr>
              <w:t>eselības ministriju par veselības mācības ieviešanu vispārējās  izglītības saturā.</w:t>
            </w:r>
            <w:r>
              <w:rPr>
                <w:rFonts w:eastAsia="Calibri"/>
              </w:rPr>
              <w:t xml:space="preserve"> </w:t>
            </w:r>
            <w:r>
              <w:t>Veselības mācības jautājumi pamatizglītības pakāpē ir pilnvērtīgi iekļauti mācību priekšmeta „Sociālās zinības” 1</w:t>
            </w:r>
            <w:r w:rsidR="00715BC1">
              <w:t>.</w:t>
            </w:r>
            <w:r>
              <w:t xml:space="preserve"> – 9.klasei saturā. Saskaņā ar Valdības rīcības plānā noteikto 27.8.pasākumu tiks ieviests integrēts veselības, sporta izglītības un </w:t>
            </w:r>
            <w:proofErr w:type="spellStart"/>
            <w:r>
              <w:t>cilvēkdrošības</w:t>
            </w:r>
            <w:proofErr w:type="spellEnd"/>
            <w:r>
              <w:t xml:space="preserve"> kurss pirmskolas pamata un vidējā izglītībā.</w:t>
            </w:r>
          </w:p>
          <w:p w:rsidR="008B0FE1" w:rsidRPr="00AF1C58" w:rsidRDefault="008B0FE1" w:rsidP="008F584A">
            <w:pPr>
              <w:autoSpaceDE w:val="0"/>
              <w:autoSpaceDN w:val="0"/>
              <w:adjustRightInd w:val="0"/>
              <w:jc w:val="both"/>
              <w:rPr>
                <w:rFonts w:eastAsiaTheme="minorHAnsi"/>
                <w:color w:val="000000"/>
                <w:lang w:eastAsia="en-US"/>
              </w:rPr>
            </w:pPr>
            <w:r w:rsidRPr="00AF1C58">
              <w:rPr>
                <w:rFonts w:eastAsiaTheme="minorHAnsi"/>
                <w:color w:val="000000"/>
                <w:lang w:eastAsia="en-US"/>
              </w:rPr>
              <w:t xml:space="preserve">Mācību priekšmeta </w:t>
            </w:r>
            <w:r w:rsidR="00AF1C58">
              <w:rPr>
                <w:rFonts w:eastAsiaTheme="minorHAnsi"/>
                <w:color w:val="000000"/>
                <w:lang w:eastAsia="en-US"/>
              </w:rPr>
              <w:t>standartā</w:t>
            </w:r>
            <w:r w:rsidRPr="00AF1C58">
              <w:rPr>
                <w:rFonts w:eastAsiaTheme="minorHAnsi"/>
                <w:color w:val="000000"/>
                <w:lang w:eastAsia="en-US"/>
              </w:rPr>
              <w:t xml:space="preserve">„ Sociālās  zinības” 1. – 9.klasē  ir pievienota prasība izglītojamajiem e-pakalpojumu prasmju lietošanā.   </w:t>
            </w:r>
          </w:p>
          <w:p w:rsidR="00EB3482" w:rsidRPr="00AF1C58" w:rsidRDefault="000F507C" w:rsidP="008F584A">
            <w:pPr>
              <w:jc w:val="both"/>
            </w:pPr>
            <w:r w:rsidRPr="00AF1C58">
              <w:t>Noteikumu projektā noteikts, ka mācību sasniegumu vērtētājs izglītības iestādes obligātajā dokumentācijā lieto apzīmējumu „n/v” (nav vērtējuma), ja nav iespējams  novērtēt izglītojamā  mācību sasniegumus.</w:t>
            </w:r>
          </w:p>
          <w:p w:rsidR="00AF1C58" w:rsidRPr="00AF1C58" w:rsidRDefault="00AF1C58" w:rsidP="00AF1C58">
            <w:pPr>
              <w:autoSpaceDE w:val="0"/>
              <w:autoSpaceDN w:val="0"/>
              <w:adjustRightInd w:val="0"/>
              <w:jc w:val="both"/>
            </w:pPr>
            <w:r w:rsidRPr="00AF1C58">
              <w:t>Izglītības iestādes īsteno pamatizglītības programmas pamatojo</w:t>
            </w:r>
            <w:r w:rsidR="000858A7">
              <w:t>ties uz  saņemto licenci. Ja maksimālā mācību stundu slodze</w:t>
            </w:r>
            <w:r w:rsidRPr="00AF1C58">
              <w:t xml:space="preserve"> nemainās, izglītības iestādei nav nepieciešams pārlicencēt izglītības programmu.</w:t>
            </w:r>
          </w:p>
          <w:p w:rsidR="00673DB2" w:rsidRPr="00895BE9" w:rsidRDefault="00673DB2" w:rsidP="00673DB2">
            <w:pPr>
              <w:shd w:val="clear" w:color="auto" w:fill="FFFFFF" w:themeFill="background1"/>
              <w:jc w:val="both"/>
            </w:pPr>
          </w:p>
        </w:tc>
      </w:tr>
      <w:tr w:rsidR="00010580" w:rsidRPr="00F6471D" w:rsidTr="004E6185">
        <w:trPr>
          <w:trHeight w:val="1071"/>
        </w:trPr>
        <w:tc>
          <w:tcPr>
            <w:tcW w:w="342" w:type="dxa"/>
          </w:tcPr>
          <w:p w:rsidR="00262E2B" w:rsidRPr="00F6471D" w:rsidRDefault="00262E2B" w:rsidP="006C4607">
            <w:pPr>
              <w:pStyle w:val="naiskr"/>
              <w:spacing w:before="0" w:after="0"/>
            </w:pPr>
            <w:r w:rsidRPr="00F6471D">
              <w:lastRenderedPageBreak/>
              <w:t>3.</w:t>
            </w:r>
          </w:p>
        </w:tc>
        <w:tc>
          <w:tcPr>
            <w:tcW w:w="0" w:type="auto"/>
          </w:tcPr>
          <w:p w:rsidR="00262E2B" w:rsidRPr="00F6471D" w:rsidRDefault="00420870" w:rsidP="006C4607">
            <w:pPr>
              <w:pStyle w:val="naiskr"/>
              <w:spacing w:before="0" w:after="0"/>
            </w:pPr>
            <w:r w:rsidRPr="00F6471D">
              <w:t>S</w:t>
            </w:r>
            <w:r w:rsidR="000B69CF" w:rsidRPr="00F6471D">
              <w:t xml:space="preserve">aistītie </w:t>
            </w:r>
            <w:r w:rsidR="001A6AE4" w:rsidRPr="00F6471D">
              <w:t>politikas ietekmes novērtējumi</w:t>
            </w:r>
            <w:r w:rsidR="00CB0247" w:rsidRPr="00F6471D">
              <w:t xml:space="preserve"> un</w:t>
            </w:r>
            <w:r w:rsidR="001A6AE4" w:rsidRPr="00F6471D">
              <w:t xml:space="preserve"> </w:t>
            </w:r>
            <w:r w:rsidR="000B69CF" w:rsidRPr="00F6471D">
              <w:t>pētījumi</w:t>
            </w:r>
          </w:p>
        </w:tc>
        <w:tc>
          <w:tcPr>
            <w:tcW w:w="0" w:type="auto"/>
          </w:tcPr>
          <w:p w:rsidR="00D20FF4" w:rsidRPr="00F6471D" w:rsidRDefault="005D750E" w:rsidP="006C4607">
            <w:pPr>
              <w:pStyle w:val="FootnoteText"/>
              <w:rPr>
                <w:sz w:val="24"/>
                <w:szCs w:val="24"/>
              </w:rPr>
            </w:pPr>
            <w:r w:rsidRPr="00F6471D">
              <w:rPr>
                <w:sz w:val="24"/>
                <w:szCs w:val="24"/>
              </w:rPr>
              <w:t>Projekts šo jomu neskar.</w:t>
            </w:r>
          </w:p>
        </w:tc>
      </w:tr>
      <w:tr w:rsidR="00010580" w:rsidRPr="00895BE9" w:rsidTr="00895BE9">
        <w:trPr>
          <w:trHeight w:val="384"/>
        </w:trPr>
        <w:tc>
          <w:tcPr>
            <w:tcW w:w="342" w:type="dxa"/>
          </w:tcPr>
          <w:p w:rsidR="00262E2B" w:rsidRPr="00895BE9" w:rsidRDefault="00262E2B" w:rsidP="00895BE9">
            <w:pPr>
              <w:pStyle w:val="naiskr"/>
              <w:shd w:val="clear" w:color="auto" w:fill="FFFFFF" w:themeFill="background1"/>
              <w:spacing w:before="0" w:after="0"/>
            </w:pPr>
            <w:r w:rsidRPr="00895BE9">
              <w:t>4.</w:t>
            </w:r>
          </w:p>
        </w:tc>
        <w:tc>
          <w:tcPr>
            <w:tcW w:w="0" w:type="auto"/>
          </w:tcPr>
          <w:p w:rsidR="00262E2B" w:rsidRPr="00895BE9" w:rsidRDefault="000C790C" w:rsidP="00895BE9">
            <w:pPr>
              <w:pStyle w:val="naiskr"/>
              <w:shd w:val="clear" w:color="auto" w:fill="FFFFFF" w:themeFill="background1"/>
              <w:spacing w:before="0" w:after="0"/>
            </w:pPr>
            <w:r w:rsidRPr="00895BE9">
              <w:t>Tiesiskā r</w:t>
            </w:r>
            <w:r w:rsidR="00400032" w:rsidRPr="00895BE9">
              <w:t xml:space="preserve">egulējuma </w:t>
            </w:r>
            <w:r w:rsidR="00262E2B" w:rsidRPr="00895BE9">
              <w:t>mērķis un būtība</w:t>
            </w:r>
          </w:p>
        </w:tc>
        <w:tc>
          <w:tcPr>
            <w:tcW w:w="0" w:type="auto"/>
            <w:shd w:val="clear" w:color="auto" w:fill="FFFFFF" w:themeFill="background1"/>
          </w:tcPr>
          <w:p w:rsidR="00BC7DAC" w:rsidRDefault="00BC7DAC" w:rsidP="00895BE9">
            <w:pPr>
              <w:pStyle w:val="naiskr"/>
              <w:shd w:val="clear" w:color="auto" w:fill="FFFFFF" w:themeFill="background1"/>
              <w:spacing w:before="0" w:after="0"/>
              <w:jc w:val="both"/>
            </w:pPr>
            <w:r>
              <w:rPr>
                <w:iCs/>
              </w:rPr>
              <w:t>N</w:t>
            </w:r>
            <w:r w:rsidR="00D01C6B" w:rsidRPr="00895BE9">
              <w:rPr>
                <w:iCs/>
              </w:rPr>
              <w:t>oteikumu projekta mērķis ir a</w:t>
            </w:r>
            <w:r w:rsidR="005D750E" w:rsidRPr="00895BE9">
              <w:rPr>
                <w:iCs/>
              </w:rPr>
              <w:t xml:space="preserve">tbilstoši Izglītības </w:t>
            </w:r>
            <w:r w:rsidR="005C3A29" w:rsidRPr="00895BE9">
              <w:rPr>
                <w:iCs/>
              </w:rPr>
              <w:t>likuma 14.panta 19.punktā grozī</w:t>
            </w:r>
            <w:r w:rsidR="005D750E" w:rsidRPr="00895BE9">
              <w:rPr>
                <w:iCs/>
              </w:rPr>
              <w:t>taja</w:t>
            </w:r>
            <w:r w:rsidR="00336C51" w:rsidRPr="00895BE9">
              <w:rPr>
                <w:iCs/>
              </w:rPr>
              <w:t>i Ministru kabineta kompetencei</w:t>
            </w:r>
            <w:r w:rsidR="005D750E" w:rsidRPr="00895BE9">
              <w:rPr>
                <w:bCs/>
              </w:rPr>
              <w:t xml:space="preserve"> pievienot noteikumiem par valsts </w:t>
            </w:r>
            <w:r w:rsidR="005E096A" w:rsidRPr="00895BE9">
              <w:rPr>
                <w:bCs/>
              </w:rPr>
              <w:t>pamatizglītības</w:t>
            </w:r>
            <w:r w:rsidR="000858A7">
              <w:rPr>
                <w:bCs/>
              </w:rPr>
              <w:t xml:space="preserve"> standarta</w:t>
            </w:r>
            <w:r w:rsidR="005E096A" w:rsidRPr="00895BE9">
              <w:rPr>
                <w:bCs/>
              </w:rPr>
              <w:t xml:space="preserve"> </w:t>
            </w:r>
            <w:r w:rsidR="005D750E" w:rsidRPr="00895BE9">
              <w:rPr>
                <w:bCs/>
              </w:rPr>
              <w:t xml:space="preserve">un </w:t>
            </w:r>
            <w:r w:rsidR="00A964B7" w:rsidRPr="00895BE9">
              <w:rPr>
                <w:bCs/>
              </w:rPr>
              <w:t>pamat</w:t>
            </w:r>
            <w:r w:rsidR="005D750E" w:rsidRPr="00895BE9">
              <w:rPr>
                <w:bCs/>
              </w:rPr>
              <w:t>izglītības mācību priekšmetu standartiem</w:t>
            </w:r>
            <w:r w:rsidR="005D750E" w:rsidRPr="00895BE9">
              <w:t xml:space="preserve"> šo standartu prasībām atbilstošus izglītības programmu paraugus.</w:t>
            </w:r>
          </w:p>
          <w:p w:rsidR="001B4C60" w:rsidRPr="00BC7DAC" w:rsidRDefault="009A7F1D" w:rsidP="00BC7DAC">
            <w:pPr>
              <w:pStyle w:val="tv2131"/>
              <w:shd w:val="clear" w:color="auto" w:fill="FFFFFF" w:themeFill="background1"/>
              <w:spacing w:before="0" w:line="240" w:lineRule="auto"/>
              <w:ind w:firstLine="0"/>
              <w:rPr>
                <w:rFonts w:ascii="Times New Roman" w:hAnsi="Times New Roman"/>
                <w:bCs/>
                <w:iCs/>
                <w:sz w:val="24"/>
                <w:szCs w:val="24"/>
              </w:rPr>
            </w:pPr>
            <w:r w:rsidRPr="00895BE9">
              <w:rPr>
                <w:rFonts w:ascii="Times New Roman" w:hAnsi="Times New Roman"/>
                <w:bCs/>
                <w:sz w:val="24"/>
                <w:szCs w:val="24"/>
              </w:rPr>
              <w:t>Atbilstoši Izglītības likuma 8. un 38.pantā un Ministr</w:t>
            </w:r>
            <w:r w:rsidR="00BC7DAC">
              <w:rPr>
                <w:rFonts w:ascii="Times New Roman" w:hAnsi="Times New Roman"/>
                <w:bCs/>
                <w:sz w:val="24"/>
                <w:szCs w:val="24"/>
              </w:rPr>
              <w:t>u kabineta noteikumos Nr. 990 „</w:t>
            </w:r>
            <w:r w:rsidRPr="00895BE9">
              <w:rPr>
                <w:rFonts w:ascii="Times New Roman" w:hAnsi="Times New Roman"/>
                <w:bCs/>
                <w:sz w:val="24"/>
                <w:szCs w:val="24"/>
              </w:rPr>
              <w:t xml:space="preserve">Noteikumi par Latvijas izglītības klasifikatoru”  </w:t>
            </w:r>
            <w:r w:rsidR="00BC7DAC">
              <w:rPr>
                <w:rFonts w:ascii="Times New Roman" w:hAnsi="Times New Roman"/>
                <w:bCs/>
                <w:sz w:val="24"/>
                <w:szCs w:val="24"/>
              </w:rPr>
              <w:t>paredzē</w:t>
            </w:r>
            <w:r w:rsidRPr="00895BE9">
              <w:rPr>
                <w:rFonts w:ascii="Times New Roman" w:hAnsi="Times New Roman"/>
                <w:bCs/>
                <w:sz w:val="24"/>
                <w:szCs w:val="24"/>
              </w:rPr>
              <w:t xml:space="preserve">tajam, </w:t>
            </w:r>
            <w:r w:rsidRPr="00BC7DAC">
              <w:rPr>
                <w:rFonts w:ascii="Times New Roman" w:hAnsi="Times New Roman"/>
                <w:bCs/>
                <w:iCs/>
                <w:sz w:val="24"/>
                <w:szCs w:val="24"/>
              </w:rPr>
              <w:t>noteikumu projektam ir pievienoti šādi pamatizglītības programmu paraugi: humanitārā un sociālā virziena, matemātikas, dabaszinību un tehnikas virziena, profesionā</w:t>
            </w:r>
            <w:r w:rsidR="000858A7">
              <w:rPr>
                <w:rFonts w:ascii="Times New Roman" w:hAnsi="Times New Roman"/>
                <w:bCs/>
                <w:iCs/>
                <w:sz w:val="24"/>
                <w:szCs w:val="24"/>
              </w:rPr>
              <w:t>li orientētā virziena programmas paraugs</w:t>
            </w:r>
            <w:r w:rsidRPr="00BC7DAC">
              <w:rPr>
                <w:rFonts w:ascii="Times New Roman" w:hAnsi="Times New Roman"/>
                <w:bCs/>
                <w:iCs/>
                <w:sz w:val="24"/>
                <w:szCs w:val="24"/>
              </w:rPr>
              <w:t xml:space="preserve"> pamatizglītības ieguvei klātienes, vakara (maiņu) un neklātienes </w:t>
            </w:r>
            <w:r w:rsidR="0008449E" w:rsidRPr="00BC7DAC">
              <w:rPr>
                <w:rFonts w:ascii="Times New Roman" w:hAnsi="Times New Roman"/>
                <w:bCs/>
                <w:iCs/>
                <w:sz w:val="24"/>
                <w:szCs w:val="24"/>
              </w:rPr>
              <w:t xml:space="preserve">(tai skaitā tālmācības) </w:t>
            </w:r>
            <w:r w:rsidRPr="00BC7DAC">
              <w:rPr>
                <w:rFonts w:ascii="Times New Roman" w:hAnsi="Times New Roman"/>
                <w:bCs/>
                <w:iCs/>
                <w:sz w:val="24"/>
                <w:szCs w:val="24"/>
              </w:rPr>
              <w:t>formā.</w:t>
            </w:r>
            <w:r w:rsidR="00BC7DAC" w:rsidRPr="00BC7DAC">
              <w:rPr>
                <w:rFonts w:ascii="Times New Roman" w:hAnsi="Times New Roman"/>
                <w:bCs/>
                <w:iCs/>
                <w:sz w:val="24"/>
                <w:szCs w:val="24"/>
              </w:rPr>
              <w:t xml:space="preserve"> </w:t>
            </w:r>
            <w:r w:rsidR="002F39FA" w:rsidRPr="00BC7DAC">
              <w:rPr>
                <w:rFonts w:ascii="Times New Roman" w:hAnsi="Times New Roman"/>
                <w:bCs/>
                <w:iCs/>
                <w:sz w:val="24"/>
                <w:szCs w:val="24"/>
              </w:rPr>
              <w:t xml:space="preserve">Noteikumu projektam </w:t>
            </w:r>
            <w:r w:rsidR="00714C55" w:rsidRPr="00BC7DAC">
              <w:rPr>
                <w:rFonts w:ascii="Times New Roman" w:hAnsi="Times New Roman"/>
                <w:bCs/>
                <w:iCs/>
                <w:sz w:val="24"/>
                <w:szCs w:val="24"/>
              </w:rPr>
              <w:t xml:space="preserve">pievienoti pedagoģiskās korekcijas </w:t>
            </w:r>
            <w:r w:rsidR="002F39FA" w:rsidRPr="00BC7DAC">
              <w:rPr>
                <w:rFonts w:ascii="Times New Roman" w:hAnsi="Times New Roman"/>
                <w:bCs/>
                <w:iCs/>
                <w:sz w:val="24"/>
                <w:szCs w:val="24"/>
              </w:rPr>
              <w:t xml:space="preserve">izglītības </w:t>
            </w:r>
            <w:r w:rsidR="00336C51" w:rsidRPr="00BC7DAC">
              <w:rPr>
                <w:rFonts w:ascii="Times New Roman" w:hAnsi="Times New Roman"/>
                <w:bCs/>
                <w:iCs/>
                <w:sz w:val="24"/>
                <w:szCs w:val="24"/>
              </w:rPr>
              <w:t>programmas,</w:t>
            </w:r>
            <w:r w:rsidR="00714C55" w:rsidRPr="00BC7DAC">
              <w:rPr>
                <w:rFonts w:ascii="Times New Roman" w:hAnsi="Times New Roman"/>
                <w:bCs/>
                <w:iCs/>
                <w:sz w:val="24"/>
                <w:szCs w:val="24"/>
              </w:rPr>
              <w:t xml:space="preserve"> sociālās ko</w:t>
            </w:r>
            <w:r w:rsidR="002F39FA" w:rsidRPr="00BC7DAC">
              <w:rPr>
                <w:rFonts w:ascii="Times New Roman" w:hAnsi="Times New Roman"/>
                <w:bCs/>
                <w:iCs/>
                <w:sz w:val="24"/>
                <w:szCs w:val="24"/>
              </w:rPr>
              <w:t xml:space="preserve">rekcijas izglītības programmas un </w:t>
            </w:r>
            <w:r w:rsidR="00D66572" w:rsidRPr="00BC7DAC">
              <w:rPr>
                <w:rFonts w:ascii="Times New Roman" w:hAnsi="Times New Roman"/>
                <w:bCs/>
                <w:iCs/>
                <w:sz w:val="24"/>
                <w:szCs w:val="24"/>
              </w:rPr>
              <w:t>speciāl</w:t>
            </w:r>
            <w:r w:rsidR="00714C55" w:rsidRPr="00BC7DAC">
              <w:rPr>
                <w:rFonts w:ascii="Times New Roman" w:hAnsi="Times New Roman"/>
                <w:bCs/>
                <w:iCs/>
                <w:sz w:val="24"/>
                <w:szCs w:val="24"/>
              </w:rPr>
              <w:t xml:space="preserve">ās izglītības </w:t>
            </w:r>
            <w:r w:rsidR="00EF0091" w:rsidRPr="00BC7DAC">
              <w:rPr>
                <w:rFonts w:ascii="Times New Roman" w:hAnsi="Times New Roman"/>
                <w:bCs/>
                <w:iCs/>
                <w:sz w:val="24"/>
                <w:szCs w:val="24"/>
              </w:rPr>
              <w:t xml:space="preserve">programmu </w:t>
            </w:r>
            <w:r w:rsidR="00EF0091" w:rsidRPr="00BC7DAC">
              <w:rPr>
                <w:rFonts w:ascii="Times New Roman" w:hAnsi="Times New Roman"/>
                <w:bCs/>
                <w:iCs/>
                <w:sz w:val="24"/>
                <w:szCs w:val="24"/>
              </w:rPr>
              <w:lastRenderedPageBreak/>
              <w:t>paraugi.</w:t>
            </w:r>
            <w:r w:rsidR="00D66572" w:rsidRPr="00BC7DAC">
              <w:rPr>
                <w:rFonts w:ascii="Times New Roman" w:hAnsi="Times New Roman"/>
                <w:bCs/>
                <w:iCs/>
                <w:sz w:val="24"/>
                <w:szCs w:val="24"/>
              </w:rPr>
              <w:t xml:space="preserve"> </w:t>
            </w:r>
            <w:r w:rsidR="002C36CC" w:rsidRPr="00BC7DAC">
              <w:rPr>
                <w:rFonts w:ascii="Times New Roman" w:hAnsi="Times New Roman"/>
                <w:bCs/>
                <w:iCs/>
                <w:sz w:val="24"/>
                <w:szCs w:val="24"/>
              </w:rPr>
              <w:t>Vispārējās izglītības iestādes klasē var integrēt (iekļaut)</w:t>
            </w:r>
            <w:r w:rsidR="000D02F3" w:rsidRPr="00BC7DAC">
              <w:rPr>
                <w:rFonts w:ascii="Times New Roman" w:hAnsi="Times New Roman"/>
                <w:bCs/>
                <w:iCs/>
                <w:sz w:val="24"/>
                <w:szCs w:val="24"/>
              </w:rPr>
              <w:t xml:space="preserve"> izglītojamos</w:t>
            </w:r>
            <w:r w:rsidR="002C36CC" w:rsidRPr="00BC7DAC">
              <w:rPr>
                <w:rFonts w:ascii="Times New Roman" w:hAnsi="Times New Roman"/>
                <w:bCs/>
                <w:iCs/>
                <w:sz w:val="24"/>
                <w:szCs w:val="24"/>
              </w:rPr>
              <w:t xml:space="preserve"> ar redzes traucējumiem, </w:t>
            </w:r>
            <w:r w:rsidR="000D02F3" w:rsidRPr="00BC7DAC">
              <w:rPr>
                <w:rFonts w:ascii="Times New Roman" w:hAnsi="Times New Roman"/>
                <w:bCs/>
                <w:iCs/>
                <w:sz w:val="24"/>
                <w:szCs w:val="24"/>
              </w:rPr>
              <w:t>dzirdes traucējumiem,</w:t>
            </w:r>
            <w:r w:rsidR="002C36CC" w:rsidRPr="00BC7DAC">
              <w:rPr>
                <w:rFonts w:ascii="Times New Roman" w:hAnsi="Times New Roman"/>
                <w:bCs/>
                <w:iCs/>
                <w:sz w:val="24"/>
                <w:szCs w:val="24"/>
              </w:rPr>
              <w:t xml:space="preserve"> fiziskās attīstības traucējumiem</w:t>
            </w:r>
            <w:r w:rsidR="000D02F3" w:rsidRPr="00BC7DAC">
              <w:rPr>
                <w:rFonts w:ascii="Times New Roman" w:hAnsi="Times New Roman"/>
                <w:bCs/>
                <w:iCs/>
                <w:sz w:val="24"/>
                <w:szCs w:val="24"/>
              </w:rPr>
              <w:t xml:space="preserve">, </w:t>
            </w:r>
            <w:r w:rsidR="002C36CC" w:rsidRPr="00BC7DAC">
              <w:rPr>
                <w:rFonts w:ascii="Times New Roman" w:hAnsi="Times New Roman"/>
                <w:bCs/>
                <w:iCs/>
                <w:sz w:val="24"/>
                <w:szCs w:val="24"/>
              </w:rPr>
              <w:t>valodas traucējumiem</w:t>
            </w:r>
            <w:r w:rsidR="000D02F3" w:rsidRPr="00BC7DAC">
              <w:rPr>
                <w:rFonts w:ascii="Times New Roman" w:hAnsi="Times New Roman"/>
                <w:bCs/>
                <w:iCs/>
                <w:sz w:val="24"/>
                <w:szCs w:val="24"/>
              </w:rPr>
              <w:t>,</w:t>
            </w:r>
            <w:r w:rsidR="002C36CC" w:rsidRPr="00BC7DAC">
              <w:rPr>
                <w:rFonts w:ascii="Times New Roman" w:hAnsi="Times New Roman"/>
                <w:bCs/>
                <w:iCs/>
                <w:sz w:val="24"/>
                <w:szCs w:val="24"/>
              </w:rPr>
              <w:t xml:space="preserve"> mācīšanās traucējumiem</w:t>
            </w:r>
            <w:r w:rsidR="00BC7DAC">
              <w:rPr>
                <w:rFonts w:ascii="Times New Roman" w:hAnsi="Times New Roman"/>
                <w:bCs/>
                <w:iCs/>
                <w:sz w:val="24"/>
                <w:szCs w:val="24"/>
              </w:rPr>
              <w:t xml:space="preserve"> un</w:t>
            </w:r>
            <w:r w:rsidR="002C36CC" w:rsidRPr="00BC7DAC">
              <w:rPr>
                <w:rFonts w:ascii="Times New Roman" w:hAnsi="Times New Roman"/>
                <w:bCs/>
                <w:iCs/>
                <w:sz w:val="24"/>
                <w:szCs w:val="24"/>
              </w:rPr>
              <w:t xml:space="preserve"> garīgās </w:t>
            </w:r>
            <w:r w:rsidR="00BC7DAC">
              <w:rPr>
                <w:rFonts w:ascii="Times New Roman" w:hAnsi="Times New Roman"/>
                <w:bCs/>
                <w:iCs/>
                <w:sz w:val="24"/>
                <w:szCs w:val="24"/>
              </w:rPr>
              <w:t>attīstības</w:t>
            </w:r>
            <w:r w:rsidR="002C36CC" w:rsidRPr="00BC7DAC">
              <w:rPr>
                <w:rFonts w:ascii="Times New Roman" w:hAnsi="Times New Roman"/>
                <w:bCs/>
                <w:iCs/>
                <w:sz w:val="24"/>
                <w:szCs w:val="24"/>
              </w:rPr>
              <w:t xml:space="preserve"> traucējumiem.</w:t>
            </w:r>
          </w:p>
          <w:p w:rsidR="00B05216" w:rsidRPr="00895BE9" w:rsidRDefault="001B4C60" w:rsidP="00B05216">
            <w:pPr>
              <w:shd w:val="clear" w:color="auto" w:fill="FFFFFF" w:themeFill="background1"/>
              <w:autoSpaceDE w:val="0"/>
              <w:autoSpaceDN w:val="0"/>
              <w:adjustRightInd w:val="0"/>
              <w:jc w:val="both"/>
            </w:pPr>
            <w:r w:rsidRPr="00BC7DAC">
              <w:rPr>
                <w:bCs/>
                <w:iCs/>
              </w:rPr>
              <w:t xml:space="preserve">Noteikumu projektā tiek piedāvātas izglītības iestāžu autonomijas iespējas, lai izglītības iestādes </w:t>
            </w:r>
            <w:r w:rsidR="0016315F">
              <w:rPr>
                <w:bCs/>
                <w:iCs/>
              </w:rPr>
              <w:t xml:space="preserve">varētu </w:t>
            </w:r>
            <w:r w:rsidRPr="00BC7DAC">
              <w:rPr>
                <w:bCs/>
                <w:iCs/>
              </w:rPr>
              <w:t>izvēlēt</w:t>
            </w:r>
            <w:r w:rsidR="0016315F">
              <w:rPr>
                <w:bCs/>
                <w:iCs/>
              </w:rPr>
              <w:t>ie</w:t>
            </w:r>
            <w:r w:rsidRPr="00BC7DAC">
              <w:rPr>
                <w:bCs/>
                <w:iCs/>
              </w:rPr>
              <w:t xml:space="preserve">s, kuram no mācību priekšmetiem piedāvāt lielāku stundu skaitu atkarībā no skolas izvēlētā </w:t>
            </w:r>
            <w:r w:rsidR="0016315F">
              <w:rPr>
                <w:bCs/>
                <w:iCs/>
              </w:rPr>
              <w:t>virziena</w:t>
            </w:r>
            <w:r w:rsidRPr="00BC7DAC">
              <w:rPr>
                <w:bCs/>
                <w:iCs/>
              </w:rPr>
              <w:t xml:space="preserve"> un skolēnu vajadzībām. Noteikumu projekta </w:t>
            </w:r>
            <w:r w:rsidR="00137272">
              <w:rPr>
                <w:bCs/>
                <w:iCs/>
              </w:rPr>
              <w:t>pielikumos pievienotajos izglītības programmu paraugos ir</w:t>
            </w:r>
            <w:r w:rsidRPr="00BC7DAC">
              <w:rPr>
                <w:bCs/>
                <w:iCs/>
              </w:rPr>
              <w:t xml:space="preserve"> noteikts, ka </w:t>
            </w:r>
            <w:r w:rsidR="00137272">
              <w:rPr>
                <w:bCs/>
                <w:iCs/>
              </w:rPr>
              <w:t>i</w:t>
            </w:r>
            <w:r w:rsidRPr="00895BE9">
              <w:rPr>
                <w:bCs/>
                <w:iCs/>
              </w:rPr>
              <w:t>zglītības iestāde, īstenojot savā attīstības plānā izvirzītās prioritātes, izvēlas vienu no piedāvātajiem i</w:t>
            </w:r>
            <w:r w:rsidRPr="00BC7DAC">
              <w:rPr>
                <w:bCs/>
                <w:iCs/>
              </w:rPr>
              <w:t>zg</w:t>
            </w:r>
            <w:r w:rsidRPr="00895BE9">
              <w:t xml:space="preserve">lītības programmas mācību priekšmetu un mācību stundu plāna variantiem. </w:t>
            </w:r>
            <w:r w:rsidR="00B05216">
              <w:t>M</w:t>
            </w:r>
            <w:r w:rsidR="00DD601D" w:rsidRPr="00895BE9">
              <w:t>ācību priekšmetu un</w:t>
            </w:r>
            <w:r w:rsidR="00137272">
              <w:t xml:space="preserve"> mācību</w:t>
            </w:r>
            <w:r w:rsidR="00B05216">
              <w:t xml:space="preserve"> stundu plāna</w:t>
            </w:r>
            <w:r w:rsidR="00137272">
              <w:t xml:space="preserve"> 1.variant</w:t>
            </w:r>
            <w:r w:rsidR="00B05216">
              <w:t>s nosaka katra mācību priekšmeta</w:t>
            </w:r>
            <w:r w:rsidR="00B05216" w:rsidRPr="00895BE9">
              <w:t xml:space="preserve"> un mācību stundu plān</w:t>
            </w:r>
            <w:r w:rsidR="00B05216">
              <w:t>a</w:t>
            </w:r>
            <w:r w:rsidR="00B05216" w:rsidRPr="00895BE9">
              <w:t xml:space="preserve"> </w:t>
            </w:r>
            <w:r w:rsidR="000858A7">
              <w:t xml:space="preserve"> optimālo </w:t>
            </w:r>
            <w:r w:rsidR="00B05216" w:rsidRPr="00895BE9">
              <w:t>mācību stundu skait</w:t>
            </w:r>
            <w:r w:rsidR="00B05216">
              <w:t>u</w:t>
            </w:r>
            <w:r w:rsidR="00B05216" w:rsidRPr="00895BE9">
              <w:t>. Mācību stundu skaitu papildina izglītības iestādes, nepārsniedzot mācību stundu slodzi nedēļā</w:t>
            </w:r>
            <w:r w:rsidR="00B05216">
              <w:t xml:space="preserve">, </w:t>
            </w:r>
            <w:r w:rsidR="00B05216" w:rsidRPr="00895BE9">
              <w:t>izņemot 3.,</w:t>
            </w:r>
            <w:r w:rsidR="00B05216">
              <w:t xml:space="preserve"> </w:t>
            </w:r>
            <w:r w:rsidR="00B05216" w:rsidRPr="00895BE9">
              <w:t>6.</w:t>
            </w:r>
            <w:r w:rsidR="00B05216">
              <w:t xml:space="preserve"> </w:t>
            </w:r>
            <w:r w:rsidR="00B05216" w:rsidRPr="00895BE9">
              <w:t>un 9.klasi.</w:t>
            </w:r>
            <w:r w:rsidR="00B05216">
              <w:t xml:space="preserve"> P</w:t>
            </w:r>
            <w:r w:rsidR="00DD601D" w:rsidRPr="00895BE9">
              <w:t xml:space="preserve">iemēram, </w:t>
            </w:r>
            <w:r w:rsidRPr="00895BE9">
              <w:rPr>
                <w:bCs/>
              </w:rPr>
              <w:t>izglītības iestāde, kas īsteno humanitārā vai sociālā virziena pamatizglītības programmu, var noteikt papildu mācību stundu skait</w:t>
            </w:r>
            <w:r w:rsidR="00DD601D" w:rsidRPr="00895BE9">
              <w:rPr>
                <w:bCs/>
              </w:rPr>
              <w:t xml:space="preserve">u kādā no </w:t>
            </w:r>
            <w:r w:rsidR="00137272">
              <w:rPr>
                <w:bCs/>
              </w:rPr>
              <w:t>šīs jomas mācību priekšmetiem</w:t>
            </w:r>
            <w:r w:rsidR="00DD601D" w:rsidRPr="00895BE9">
              <w:rPr>
                <w:bCs/>
              </w:rPr>
              <w:t>.</w:t>
            </w:r>
          </w:p>
          <w:p w:rsidR="001B4C60" w:rsidRDefault="00DD601D" w:rsidP="00137272">
            <w:pPr>
              <w:shd w:val="clear" w:color="auto" w:fill="FFFFFF" w:themeFill="background1"/>
              <w:jc w:val="both"/>
            </w:pPr>
            <w:r w:rsidRPr="00895BE9">
              <w:rPr>
                <w:bCs/>
              </w:rPr>
              <w:t xml:space="preserve">Izvēloties </w:t>
            </w:r>
            <w:r w:rsidRPr="00895BE9">
              <w:t xml:space="preserve">mācību priekšmetu un </w:t>
            </w:r>
            <w:r w:rsidR="00137272">
              <w:t xml:space="preserve">mācību </w:t>
            </w:r>
            <w:r w:rsidRPr="00895BE9">
              <w:t>stundu plānu</w:t>
            </w:r>
            <w:r w:rsidR="00137272">
              <w:t xml:space="preserve"> </w:t>
            </w:r>
            <w:r w:rsidR="00137272">
              <w:rPr>
                <w:bCs/>
              </w:rPr>
              <w:t>2.variantu</w:t>
            </w:r>
            <w:r w:rsidRPr="00895BE9">
              <w:t xml:space="preserve">, izglītības iestāde </w:t>
            </w:r>
            <w:r w:rsidR="001B4C60" w:rsidRPr="00895BE9">
              <w:rPr>
                <w:bCs/>
              </w:rPr>
              <w:t xml:space="preserve"> </w:t>
            </w:r>
            <w:r w:rsidR="00F63B1C" w:rsidRPr="00895BE9">
              <w:rPr>
                <w:bCs/>
              </w:rPr>
              <w:t xml:space="preserve">turpina </w:t>
            </w:r>
            <w:r w:rsidRPr="00895BE9">
              <w:rPr>
                <w:bCs/>
              </w:rPr>
              <w:t>īsteno</w:t>
            </w:r>
            <w:r w:rsidR="00F63B1C" w:rsidRPr="00895BE9">
              <w:rPr>
                <w:bCs/>
              </w:rPr>
              <w:t>t</w:t>
            </w:r>
            <w:r w:rsidR="00137272">
              <w:rPr>
                <w:bCs/>
              </w:rPr>
              <w:t xml:space="preserve"> šobrīd lietoto </w:t>
            </w:r>
            <w:r w:rsidR="00F63B1C" w:rsidRPr="00895BE9">
              <w:t>izglītības programmu, kuras paraugs i</w:t>
            </w:r>
            <w:r w:rsidR="00137272">
              <w:t>r</w:t>
            </w:r>
            <w:r w:rsidR="00F63B1C" w:rsidRPr="00895BE9">
              <w:t xml:space="preserve"> apstiprināts ar I</w:t>
            </w:r>
            <w:r w:rsidR="000D28DA">
              <w:t>ZM</w:t>
            </w:r>
            <w:r w:rsidR="00F63B1C" w:rsidRPr="00895BE9">
              <w:t xml:space="preserve"> </w:t>
            </w:r>
            <w:smartTag w:uri="schemas-tilde-lv/tildestengine" w:element="date">
              <w:smartTagPr>
                <w:attr w:name="Day" w:val="24"/>
                <w:attr w:name="Month" w:val="8"/>
                <w:attr w:name="Year" w:val="2005"/>
              </w:smartTagPr>
              <w:r w:rsidR="00F63B1C" w:rsidRPr="00895BE9">
                <w:t>2005.gada 24.augusta</w:t>
              </w:r>
            </w:smartTag>
            <w:r w:rsidR="00F63B1C" w:rsidRPr="00895BE9">
              <w:t xml:space="preserve"> </w:t>
            </w:r>
            <w:smartTag w:uri="schemas-tilde-lv/tildestengine" w:element="veidnes">
              <w:smartTagPr>
                <w:attr w:name="baseform" w:val="rīkojum|s"/>
                <w:attr w:name="id" w:val="-1"/>
                <w:attr w:name="text" w:val="rīkojumu"/>
              </w:smartTagPr>
              <w:r w:rsidR="00F63B1C" w:rsidRPr="00895BE9">
                <w:t>rīkojumu</w:t>
              </w:r>
            </w:smartTag>
            <w:r w:rsidR="00F63B1C" w:rsidRPr="00895BE9">
              <w:t xml:space="preserve"> Nr.611 „Par pamatizglītības programmu paraugu apstiprināšanu”.</w:t>
            </w:r>
          </w:p>
          <w:p w:rsidR="00263A19" w:rsidRDefault="00263A19" w:rsidP="00137272">
            <w:pPr>
              <w:shd w:val="clear" w:color="auto" w:fill="FFFFFF" w:themeFill="background1"/>
              <w:jc w:val="both"/>
            </w:pPr>
            <w:r>
              <w:t xml:space="preserve">Principi, kuri tika ņemti vērā, </w:t>
            </w:r>
            <w:r w:rsidRPr="002313F9">
              <w:t xml:space="preserve">nosakot </w:t>
            </w:r>
            <w:r>
              <w:t xml:space="preserve">noteikumu </w:t>
            </w:r>
            <w:r w:rsidRPr="002313F9">
              <w:t>projekta pielikum</w:t>
            </w:r>
            <w:r>
              <w:t>os ietvertos</w:t>
            </w:r>
            <w:r w:rsidRPr="002313F9">
              <w:t xml:space="preserve"> mācību stundu </w:t>
            </w:r>
            <w:smartTag w:uri="schemas-tilde-lv/tildestengine" w:element="veidnes">
              <w:smartTagPr>
                <w:attr w:name="baseform" w:val="plān|s"/>
                <w:attr w:name="id" w:val="-1"/>
                <w:attr w:name="text" w:val="plāna"/>
              </w:smartTagPr>
              <w:r w:rsidRPr="002313F9">
                <w:t>plāna</w:t>
              </w:r>
            </w:smartTag>
            <w:r w:rsidRPr="002313F9">
              <w:t xml:space="preserve"> </w:t>
            </w:r>
            <w:r>
              <w:t xml:space="preserve">variantus, ir izglītības iestādes autonomijas saglabāšana un </w:t>
            </w:r>
            <w:r>
              <w:rPr>
                <w:color w:val="000000"/>
              </w:rPr>
              <w:t xml:space="preserve"> patstāvīga mācību procesa plānošanas atbalstīšana </w:t>
            </w:r>
            <w:r>
              <w:t xml:space="preserve">izglītības iestādē. </w:t>
            </w:r>
            <w:r>
              <w:rPr>
                <w:color w:val="000000"/>
              </w:rPr>
              <w:t>Tas nepieciešams tādēļ, lai  izglītības iestādēm dotu izvēles iespēju turpināt līdzšinējo mācību procesu vai arī veidot savu mācību priekšmetu un mācību stundu plānu ar atšķirīgu mācību stundu skaitu nedēļā.</w:t>
            </w:r>
          </w:p>
          <w:p w:rsidR="00EF0091" w:rsidRDefault="00153451" w:rsidP="000370C7">
            <w:pPr>
              <w:pStyle w:val="naisc"/>
              <w:shd w:val="clear" w:color="auto" w:fill="FFFFFF" w:themeFill="background1"/>
              <w:spacing w:before="0" w:after="0"/>
              <w:jc w:val="both"/>
              <w:rPr>
                <w:bCs/>
              </w:rPr>
            </w:pPr>
            <w:r>
              <w:rPr>
                <w:bCs/>
              </w:rPr>
              <w:t>M</w:t>
            </w:r>
            <w:r w:rsidRPr="00895BE9">
              <w:rPr>
                <w:bCs/>
              </w:rPr>
              <w:t>azākumtautī</w:t>
            </w:r>
            <w:r>
              <w:rPr>
                <w:bCs/>
              </w:rPr>
              <w:t>bu izglītības programmas paraugam</w:t>
            </w:r>
            <w:r w:rsidRPr="00895BE9">
              <w:rPr>
                <w:bCs/>
              </w:rPr>
              <w:t xml:space="preserve">, kas izstrādāts, pamatizglītības programmu apvienojot ar mazākumtautību izglītības programmu, izglītības iestādes izvēlei </w:t>
            </w:r>
            <w:r>
              <w:rPr>
                <w:bCs/>
              </w:rPr>
              <w:t xml:space="preserve">noteikumu projektā </w:t>
            </w:r>
            <w:r w:rsidRPr="00895BE9">
              <w:rPr>
                <w:bCs/>
              </w:rPr>
              <w:t xml:space="preserve">tiek pievienots </w:t>
            </w:r>
            <w:r w:rsidR="000858A7">
              <w:rPr>
                <w:bCs/>
              </w:rPr>
              <w:t>piektā</w:t>
            </w:r>
            <w:r>
              <w:rPr>
                <w:bCs/>
              </w:rPr>
              <w:t xml:space="preserve"> </w:t>
            </w:r>
            <w:r w:rsidRPr="00895BE9">
              <w:rPr>
                <w:bCs/>
              </w:rPr>
              <w:t>modeļa paraugs.</w:t>
            </w:r>
            <w:r>
              <w:rPr>
                <w:bCs/>
              </w:rPr>
              <w:t xml:space="preserve"> </w:t>
            </w:r>
            <w:r w:rsidR="00583B27" w:rsidRPr="00895BE9">
              <w:rPr>
                <w:bCs/>
              </w:rPr>
              <w:t xml:space="preserve">Mazākumtautību </w:t>
            </w:r>
            <w:r w:rsidR="007A7331" w:rsidRPr="00895BE9">
              <w:rPr>
                <w:bCs/>
              </w:rPr>
              <w:t xml:space="preserve">izglītības </w:t>
            </w:r>
            <w:r w:rsidR="00583B27" w:rsidRPr="00895BE9">
              <w:rPr>
                <w:bCs/>
              </w:rPr>
              <w:t>programm</w:t>
            </w:r>
            <w:r>
              <w:rPr>
                <w:bCs/>
              </w:rPr>
              <w:t xml:space="preserve">u </w:t>
            </w:r>
            <w:r w:rsidR="000858A7">
              <w:t>piecu</w:t>
            </w:r>
            <w:r w:rsidR="00583B27" w:rsidRPr="00895BE9">
              <w:t xml:space="preserve"> modeļu mācību priekšmetu un m</w:t>
            </w:r>
            <w:r>
              <w:t xml:space="preserve">ācību stundu plāna paraugi </w:t>
            </w:r>
            <w:r w:rsidR="00583B27" w:rsidRPr="00895BE9">
              <w:t>nosaka dažādas proporcijas mācību prie</w:t>
            </w:r>
            <w:r>
              <w:t xml:space="preserve">kšmetu apguvei latviešu valodā un </w:t>
            </w:r>
            <w:r w:rsidR="00E25612" w:rsidRPr="00895BE9">
              <w:rPr>
                <w:bCs/>
              </w:rPr>
              <w:t>balstās</w:t>
            </w:r>
            <w:r w:rsidR="000858A7">
              <w:rPr>
                <w:bCs/>
              </w:rPr>
              <w:t xml:space="preserve"> sadarbībā </w:t>
            </w:r>
            <w:r w:rsidR="00E25612" w:rsidRPr="00895BE9">
              <w:rPr>
                <w:bCs/>
              </w:rPr>
              <w:t xml:space="preserve"> </w:t>
            </w:r>
            <w:r w:rsidR="000858A7">
              <w:rPr>
                <w:bCs/>
              </w:rPr>
              <w:t xml:space="preserve">ar </w:t>
            </w:r>
            <w:r w:rsidR="00E25612" w:rsidRPr="00AF1C58">
              <w:rPr>
                <w:bCs/>
              </w:rPr>
              <w:t xml:space="preserve"> </w:t>
            </w:r>
            <w:r w:rsidR="00831BE1" w:rsidRPr="00AF1C58">
              <w:rPr>
                <w:bCs/>
              </w:rPr>
              <w:t xml:space="preserve">LU  </w:t>
            </w:r>
            <w:r w:rsidR="000D28DA" w:rsidRPr="00AF1C58">
              <w:rPr>
                <w:bCs/>
              </w:rPr>
              <w:t>IZM</w:t>
            </w:r>
            <w:r w:rsidR="00E25612" w:rsidRPr="00AF1C58">
              <w:rPr>
                <w:bCs/>
              </w:rPr>
              <w:t xml:space="preserve"> </w:t>
            </w:r>
            <w:r w:rsidR="00831BE1" w:rsidRPr="00AF1C58">
              <w:rPr>
                <w:bCs/>
              </w:rPr>
              <w:t xml:space="preserve">izstrādātiem </w:t>
            </w:r>
            <w:r w:rsidR="00E25612" w:rsidRPr="00AF1C58">
              <w:rPr>
                <w:bCs/>
              </w:rPr>
              <w:t>izglītības programmu paraugiem.</w:t>
            </w:r>
            <w:r w:rsidR="007F5621" w:rsidRPr="00831BE1">
              <w:rPr>
                <w:bCs/>
                <w:color w:val="00B050"/>
              </w:rPr>
              <w:t xml:space="preserve"> </w:t>
            </w:r>
            <w:r w:rsidR="006F6B09" w:rsidRPr="00895BE9">
              <w:rPr>
                <w:bCs/>
              </w:rPr>
              <w:t xml:space="preserve">Izglītības iestāde, izstrādājot </w:t>
            </w:r>
            <w:r w:rsidR="006F6B09" w:rsidRPr="00895BE9">
              <w:t xml:space="preserve">mazākumtautību izglītības programmas paraugu un izvēloties </w:t>
            </w:r>
            <w:r w:rsidR="00D8697A" w:rsidRPr="00AF1C58">
              <w:t>vienu</w:t>
            </w:r>
            <w:r w:rsidR="00D8697A">
              <w:t xml:space="preserve"> </w:t>
            </w:r>
            <w:r w:rsidR="006F6B09" w:rsidRPr="00895BE9">
              <w:t xml:space="preserve"> no valsts pamatizglītības standartā ietvertajiem izglītības programmu paraugiem (1.–</w:t>
            </w:r>
            <w:r>
              <w:t>5</w:t>
            </w:r>
            <w:r w:rsidR="006F6B09" w:rsidRPr="00895BE9">
              <w:t>.modelis), ņem vērā izglītojamo latviešu valodas prasmes un latvie</w:t>
            </w:r>
            <w:r>
              <w:t>šu valodas lietošanas pieredzi.</w:t>
            </w:r>
            <w:r w:rsidR="000370C7">
              <w:t xml:space="preserve"> </w:t>
            </w:r>
            <w:r w:rsidR="00634FE2" w:rsidRPr="00895BE9">
              <w:rPr>
                <w:bCs/>
              </w:rPr>
              <w:t>Noteikumu projekt</w:t>
            </w:r>
            <w:r w:rsidR="00EF0091" w:rsidRPr="00895BE9">
              <w:rPr>
                <w:bCs/>
              </w:rPr>
              <w:t>s nosaka, ka mācību priek</w:t>
            </w:r>
            <w:r w:rsidR="002F39FA" w:rsidRPr="00895BE9">
              <w:rPr>
                <w:bCs/>
              </w:rPr>
              <w:t>šmeti</w:t>
            </w:r>
            <w:r w:rsidR="00EF0091" w:rsidRPr="00895BE9">
              <w:rPr>
                <w:bCs/>
              </w:rPr>
              <w:t>, kuri apgūstami mazākumtautības valodā saskaņā ar mācību priekšmetu un mācību stundu plānu</w:t>
            </w:r>
            <w:r>
              <w:rPr>
                <w:bCs/>
              </w:rPr>
              <w:t>,</w:t>
            </w:r>
            <w:r w:rsidR="00EF0091" w:rsidRPr="00895BE9">
              <w:rPr>
                <w:bCs/>
              </w:rPr>
              <w:t xml:space="preserve"> va</w:t>
            </w:r>
            <w:r>
              <w:rPr>
                <w:bCs/>
              </w:rPr>
              <w:t>r</w:t>
            </w:r>
            <w:r w:rsidR="00EF0091" w:rsidRPr="00895BE9">
              <w:rPr>
                <w:bCs/>
              </w:rPr>
              <w:t xml:space="preserve"> tikt apgūti latviešu valodā, izņemot mācību priekšmetu </w:t>
            </w:r>
            <w:r>
              <w:rPr>
                <w:bCs/>
              </w:rPr>
              <w:t>„M</w:t>
            </w:r>
            <w:r w:rsidR="00EF0091" w:rsidRPr="00895BE9">
              <w:rPr>
                <w:bCs/>
              </w:rPr>
              <w:t>azākumtautību valoda</w:t>
            </w:r>
            <w:r>
              <w:rPr>
                <w:bCs/>
              </w:rPr>
              <w:t>”</w:t>
            </w:r>
            <w:r w:rsidR="00EF0091" w:rsidRPr="00895BE9">
              <w:rPr>
                <w:bCs/>
              </w:rPr>
              <w:t xml:space="preserve"> un mācību priekšmetu </w:t>
            </w:r>
            <w:r>
              <w:rPr>
                <w:bCs/>
              </w:rPr>
              <w:t>„L</w:t>
            </w:r>
            <w:r w:rsidR="00EF0091" w:rsidRPr="00895BE9">
              <w:rPr>
                <w:bCs/>
              </w:rPr>
              <w:t>iteratūra</w:t>
            </w:r>
            <w:r>
              <w:rPr>
                <w:bCs/>
              </w:rPr>
              <w:t>”</w:t>
            </w:r>
            <w:r w:rsidR="00EF0091" w:rsidRPr="00895BE9">
              <w:rPr>
                <w:bCs/>
              </w:rPr>
              <w:t>.</w:t>
            </w:r>
          </w:p>
          <w:p w:rsidR="00851361" w:rsidRPr="006C6ABF" w:rsidRDefault="00851361" w:rsidP="000370C7">
            <w:pPr>
              <w:pStyle w:val="naisc"/>
              <w:shd w:val="clear" w:color="auto" w:fill="FFFFFF" w:themeFill="background1"/>
              <w:spacing w:before="0" w:after="0"/>
              <w:jc w:val="both"/>
              <w:rPr>
                <w:bCs/>
              </w:rPr>
            </w:pPr>
            <w:r w:rsidRPr="006C6ABF">
              <w:rPr>
                <w:bCs/>
              </w:rPr>
              <w:t xml:space="preserve">Saskaņā </w:t>
            </w:r>
            <w:r w:rsidR="006C6ABF" w:rsidRPr="006C6ABF">
              <w:t>ar Ministru kabineta sēdes 2012.gada 3.jūlija protokola Nr.37 27.§ 3.punktu sagatavotajā i</w:t>
            </w:r>
            <w:r w:rsidRPr="006C6ABF">
              <w:rPr>
                <w:bCs/>
              </w:rPr>
              <w:t>nformatīvajā ziņojumā „Par risinājumiem mācību līdzekļu nodrošināšanai vispārējās izglītības iestādēs” (TA-997) minēto, IZM ir sagatavojusi grozījumus normatīvo aktu regulējumos, kas skar grozījumus Izglītības likumā (mācību līdzekļu definējum</w:t>
            </w:r>
            <w:r w:rsidR="00F25107" w:rsidRPr="006C6ABF">
              <w:rPr>
                <w:bCs/>
              </w:rPr>
              <w:t>s; dalītā atbildība par mācību līdzekļu iegādi)</w:t>
            </w:r>
            <w:r w:rsidRPr="006C6ABF">
              <w:rPr>
                <w:bCs/>
              </w:rPr>
              <w:t xml:space="preserve">, kā arī Ministru kabineta </w:t>
            </w:r>
            <w:r w:rsidRPr="006C6ABF">
              <w:rPr>
                <w:bCs/>
              </w:rPr>
              <w:lastRenderedPageBreak/>
              <w:t xml:space="preserve">noteikumos </w:t>
            </w:r>
            <w:r w:rsidR="00F25107" w:rsidRPr="006C6ABF">
              <w:rPr>
                <w:bCs/>
              </w:rPr>
              <w:t>(mācību līdzekļu iegādes un finansēšanas kārtība)</w:t>
            </w:r>
            <w:r w:rsidR="006C6ABF" w:rsidRPr="006C6ABF">
              <w:rPr>
                <w:bCs/>
              </w:rPr>
              <w:t xml:space="preserve">. </w:t>
            </w:r>
          </w:p>
          <w:p w:rsidR="006C6ABF" w:rsidRPr="006C6ABF" w:rsidRDefault="006C6ABF" w:rsidP="000370C7">
            <w:pPr>
              <w:pStyle w:val="naisc"/>
              <w:shd w:val="clear" w:color="auto" w:fill="FFFFFF" w:themeFill="background1"/>
              <w:spacing w:before="0" w:after="0"/>
              <w:jc w:val="both"/>
              <w:rPr>
                <w:bCs/>
              </w:rPr>
            </w:pPr>
            <w:r w:rsidRPr="006C6ABF">
              <w:rPr>
                <w:bCs/>
              </w:rPr>
              <w:t xml:space="preserve">Saskaņā ar VRP 4.5. </w:t>
            </w:r>
            <w:r w:rsidRPr="006C6ABF">
              <w:t>pasākumu IZM līdz 2014.gada 1.jūnijam plāno izstrādāt plānu skolu bibliotēku nodrošināšanai ar mācību procesam un bērnu vispusīgai attīstībai nepieciešamajām tradicionālajām un digitālajām grāmatām, enciklopēdijām, uzziņas krājumiem.</w:t>
            </w:r>
            <w:r w:rsidRPr="006C6ABF">
              <w:rPr>
                <w:sz w:val="28"/>
                <w:szCs w:val="28"/>
              </w:rPr>
              <w:t xml:space="preserve"> </w:t>
            </w:r>
            <w:r w:rsidRPr="006C6ABF">
              <w:t>Perspektīvā paredzēts atbalstīt valsts finansētu digitālu, IZM  uzturētā elektroniskā vidē pieejamu mācību materiālu izveidi, saglabājot izdevniecību iespējas veidot un pārdot mācību komplektus un mācību līdzekļus. Veicinot uzdevuma īstenošanu, IZM ir sākusi aktīvas diskusijas ar mācību literatūras izdevējiem par iespējamajiem ilgtermiņa sadarbības modeļiem.</w:t>
            </w:r>
          </w:p>
          <w:p w:rsidR="006C6ABF" w:rsidRPr="006C6ABF" w:rsidRDefault="006C6ABF" w:rsidP="000370C7">
            <w:pPr>
              <w:pStyle w:val="naisc"/>
              <w:shd w:val="clear" w:color="auto" w:fill="FFFFFF" w:themeFill="background1"/>
              <w:spacing w:before="0" w:after="0"/>
              <w:jc w:val="both"/>
              <w:rPr>
                <w:bCs/>
              </w:rPr>
            </w:pPr>
            <w:r w:rsidRPr="006C6ABF">
              <w:rPr>
                <w:bCs/>
              </w:rPr>
              <w:t>IZM ir plānojusi attīstīt un uzturēt trīs izglītības informācijas sistēmas (</w:t>
            </w:r>
            <w:proofErr w:type="spellStart"/>
            <w:r w:rsidRPr="006C6ABF">
              <w:rPr>
                <w:bCs/>
              </w:rPr>
              <w:t>viis.lv</w:t>
            </w:r>
            <w:proofErr w:type="spellEnd"/>
            <w:r w:rsidRPr="006C6ABF">
              <w:rPr>
                <w:bCs/>
              </w:rPr>
              <w:t xml:space="preserve">, </w:t>
            </w:r>
            <w:proofErr w:type="spellStart"/>
            <w:r w:rsidRPr="006C6ABF">
              <w:rPr>
                <w:bCs/>
              </w:rPr>
              <w:t>vpis.lv</w:t>
            </w:r>
            <w:proofErr w:type="spellEnd"/>
            <w:r w:rsidRPr="006C6ABF">
              <w:rPr>
                <w:bCs/>
              </w:rPr>
              <w:t xml:space="preserve"> un </w:t>
            </w:r>
            <w:proofErr w:type="spellStart"/>
            <w:r w:rsidRPr="006C6ABF">
              <w:rPr>
                <w:bCs/>
              </w:rPr>
              <w:t>skolas.lv</w:t>
            </w:r>
            <w:proofErr w:type="spellEnd"/>
            <w:r w:rsidRPr="006C6ABF">
              <w:rPr>
                <w:bCs/>
              </w:rPr>
              <w:t xml:space="preserve">), nodrošinot e-pakalpojumu pieejamību 100% izglītojamo un pedagogu, un sagatavot vismaz trīs mācību materiālus darbam ar jaunajām informācijas komunikāciju tehnoloģijām </w:t>
            </w:r>
            <w:proofErr w:type="spellStart"/>
            <w:r w:rsidRPr="006C6ABF">
              <w:rPr>
                <w:bCs/>
              </w:rPr>
              <w:t>pirmsskolā</w:t>
            </w:r>
            <w:proofErr w:type="spellEnd"/>
            <w:r w:rsidRPr="006C6ABF">
              <w:rPr>
                <w:bCs/>
              </w:rPr>
              <w:t xml:space="preserve"> un sākumskolā.</w:t>
            </w:r>
          </w:p>
          <w:p w:rsidR="0084217E" w:rsidRPr="00895BE9" w:rsidRDefault="00B05216" w:rsidP="00895BE9">
            <w:pPr>
              <w:shd w:val="clear" w:color="auto" w:fill="FFFFFF" w:themeFill="background1"/>
              <w:jc w:val="both"/>
            </w:pPr>
            <w:r>
              <w:t>Noteikumu projekts nosaka, ka a</w:t>
            </w:r>
            <w:r w:rsidR="00FD25C5" w:rsidRPr="00895BE9">
              <w:t>r 2014./2015.mācību gadu 1.klasē un 2015./2016</w:t>
            </w:r>
            <w:r w:rsidR="00011C96" w:rsidRPr="00895BE9">
              <w:t>.mācību</w:t>
            </w:r>
            <w:r w:rsidR="008C5A43" w:rsidRPr="00895BE9">
              <w:t xml:space="preserve"> gadā</w:t>
            </w:r>
            <w:r w:rsidR="00011C96" w:rsidRPr="00895BE9">
              <w:t xml:space="preserve"> </w:t>
            </w:r>
            <w:r w:rsidR="00CE593F" w:rsidRPr="00895BE9">
              <w:t xml:space="preserve"> </w:t>
            </w:r>
            <w:r w:rsidRPr="00895BE9">
              <w:t xml:space="preserve">1. un 2.klasē </w:t>
            </w:r>
            <w:r>
              <w:t xml:space="preserve">tiek īstenots </w:t>
            </w:r>
            <w:r w:rsidR="00CE593F" w:rsidRPr="00895BE9">
              <w:t>priekšmet</w:t>
            </w:r>
            <w:r w:rsidR="0055183B" w:rsidRPr="00895BE9">
              <w:t>s „S</w:t>
            </w:r>
            <w:r w:rsidR="00CE593F" w:rsidRPr="00895BE9">
              <w:t>vešvaloda</w:t>
            </w:r>
            <w:r w:rsidR="0055183B" w:rsidRPr="00895BE9">
              <w:t>”</w:t>
            </w:r>
            <w:r w:rsidR="00673DB2">
              <w:t>.</w:t>
            </w:r>
          </w:p>
          <w:p w:rsidR="00BC0421" w:rsidRDefault="00010D2D" w:rsidP="00895BE9">
            <w:pPr>
              <w:shd w:val="clear" w:color="auto" w:fill="FFFFFF" w:themeFill="background1"/>
              <w:contextualSpacing/>
              <w:jc w:val="both"/>
            </w:pPr>
            <w:r w:rsidRPr="00895BE9">
              <w:t xml:space="preserve">Lai </w:t>
            </w:r>
            <w:r w:rsidR="006E39A7">
              <w:t xml:space="preserve">pakāpeniski </w:t>
            </w:r>
            <w:r w:rsidR="00350AEB">
              <w:t xml:space="preserve">iekļautu sākumskolas posmā </w:t>
            </w:r>
            <w:r w:rsidR="000858A7">
              <w:t xml:space="preserve">10 ballu </w:t>
            </w:r>
            <w:r w:rsidR="00350AEB">
              <w:t>vērtēšana</w:t>
            </w:r>
            <w:r w:rsidR="006E39A7">
              <w:t>s</w:t>
            </w:r>
            <w:r w:rsidR="00350AEB">
              <w:t xml:space="preserve"> sistēmu, noteikumu projekts paredz vērtēšanu  </w:t>
            </w:r>
            <w:r w:rsidRPr="00895BE9">
              <w:t>10</w:t>
            </w:r>
            <w:r w:rsidR="002D7EAD">
              <w:t> </w:t>
            </w:r>
            <w:r w:rsidRPr="00895BE9">
              <w:t>ballu skalā šādos mācību priekšmetos: matemātika,  latviešu valoda latviešu mācībvalodas izglītības iestādēs, latviešu valoda un literatūra mazākumtautību izglītības ie</w:t>
            </w:r>
            <w:r w:rsidR="0074158B">
              <w:t>stādēs, mazākumtautības valoda</w:t>
            </w:r>
            <w:r w:rsidR="00BA16FD">
              <w:t>,</w:t>
            </w:r>
            <w:r w:rsidR="00BA16FD" w:rsidRPr="00895BE9">
              <w:t xml:space="preserve"> </w:t>
            </w:r>
            <w:r w:rsidR="00BA16FD">
              <w:t>2. un 3.klasē.</w:t>
            </w:r>
          </w:p>
          <w:p w:rsidR="00D91643" w:rsidRDefault="00010580" w:rsidP="00D91643">
            <w:pPr>
              <w:pStyle w:val="naiskr"/>
              <w:shd w:val="clear" w:color="auto" w:fill="FFFFFF" w:themeFill="background1"/>
              <w:spacing w:before="0" w:after="0"/>
              <w:jc w:val="both"/>
              <w:rPr>
                <w:bCs/>
              </w:rPr>
            </w:pPr>
            <w:r w:rsidRPr="00895BE9">
              <w:t>N</w:t>
            </w:r>
            <w:r>
              <w:t>oteikumu projekts</w:t>
            </w:r>
            <w:r w:rsidRPr="00895BE9">
              <w:rPr>
                <w:bCs/>
              </w:rPr>
              <w:t xml:space="preserve"> </w:t>
            </w:r>
            <w:r>
              <w:rPr>
                <w:bCs/>
              </w:rPr>
              <w:t>paredz,</w:t>
            </w:r>
            <w:r w:rsidRPr="00895BE9">
              <w:rPr>
                <w:bCs/>
              </w:rPr>
              <w:t xml:space="preserve"> ka, beidzot 3.</w:t>
            </w:r>
            <w:r>
              <w:rPr>
                <w:bCs/>
              </w:rPr>
              <w:t xml:space="preserve"> un 6.klasi, </w:t>
            </w:r>
            <w:r w:rsidRPr="00895BE9">
              <w:rPr>
                <w:bCs/>
              </w:rPr>
              <w:t>turpmāk īstenojami val</w:t>
            </w:r>
            <w:r>
              <w:rPr>
                <w:bCs/>
              </w:rPr>
              <w:t>sts diagnosticējošie darbi, kas, sākot ar 2012./2013.mācību gadu, tiek īstenoti ieskaites vietā</w:t>
            </w:r>
            <w:r w:rsidRPr="00895BE9">
              <w:rPr>
                <w:bCs/>
              </w:rPr>
              <w:t xml:space="preserve">. </w:t>
            </w:r>
            <w:r w:rsidR="00D91643" w:rsidRPr="00895BE9">
              <w:t>Ar šīm izmaiņām noteikumu projektā tiek noteikts, ka turpmāk  valsts pārbaudījumu forma „Ieskaite” 3. un 6.klasē  tiks aizstāta  ar  valsts pārbaudījumu darbu formu „Valsts diagnosticējošais darbs</w:t>
            </w:r>
            <w:r w:rsidR="00D91643">
              <w:t>”</w:t>
            </w:r>
            <w:r w:rsidR="00D91643" w:rsidRPr="00895BE9">
              <w:t>.</w:t>
            </w:r>
            <w:r w:rsidR="00D91643">
              <w:t xml:space="preserve"> </w:t>
            </w:r>
            <w:r w:rsidR="00D91643" w:rsidRPr="00895BE9">
              <w:rPr>
                <w:bCs/>
              </w:rPr>
              <w:t>Šī zināšanu un prasmju pārbaudes forma veicina skolēnu sasniegumu dinamikas izpēti ilgtermiņā</w:t>
            </w:r>
            <w:r w:rsidR="00D91643" w:rsidRPr="00895BE9">
              <w:t xml:space="preserve"> un </w:t>
            </w:r>
            <w:r w:rsidR="00B16E7D">
              <w:t xml:space="preserve">3.klasē </w:t>
            </w:r>
            <w:r w:rsidR="00D91643" w:rsidRPr="00895BE9">
              <w:t>neietekmē vērtējumu mācību priekšmetā gadā</w:t>
            </w:r>
            <w:r w:rsidR="00D91643" w:rsidRPr="00895BE9">
              <w:rPr>
                <w:bCs/>
              </w:rPr>
              <w:t>.</w:t>
            </w:r>
          </w:p>
          <w:p w:rsidR="00BC6371" w:rsidRPr="00895BE9" w:rsidRDefault="00BC6371" w:rsidP="00D91643">
            <w:pPr>
              <w:pStyle w:val="naiskr"/>
              <w:shd w:val="clear" w:color="auto" w:fill="FFFFFF" w:themeFill="background1"/>
              <w:spacing w:before="0" w:after="0"/>
              <w:jc w:val="both"/>
              <w:rPr>
                <w:bCs/>
              </w:rPr>
            </w:pPr>
            <w:r>
              <w:rPr>
                <w:bCs/>
              </w:rPr>
              <w:t>Izglītības sasniegumu vērtēšana ir neatņemama iepriekš iegū</w:t>
            </w:r>
            <w:r w:rsidR="00C9702E">
              <w:rPr>
                <w:bCs/>
              </w:rPr>
              <w:t xml:space="preserve">tas izglītības sastāvdaļa. Izglītības likuma 35.pantā noteikts, ka izglītības vērtēšanas pamatprincipi, pamatkritēriji un kārtība ir noteikta valsts izglītības standartos,  </w:t>
            </w:r>
            <w:r>
              <w:rPr>
                <w:bCs/>
              </w:rPr>
              <w:t xml:space="preserve"> līdz a</w:t>
            </w:r>
            <w:r w:rsidR="002736D6">
              <w:rPr>
                <w:bCs/>
              </w:rPr>
              <w:t>r to noteikumu projekta 24. – 30</w:t>
            </w:r>
            <w:r w:rsidR="00C9702E">
              <w:rPr>
                <w:bCs/>
              </w:rPr>
              <w:t xml:space="preserve">.pielikumā </w:t>
            </w:r>
            <w:r w:rsidR="00B16E7D">
              <w:rPr>
                <w:bCs/>
              </w:rPr>
              <w:t>V</w:t>
            </w:r>
            <w:r w:rsidR="00C9702E">
              <w:rPr>
                <w:bCs/>
              </w:rPr>
              <w:t xml:space="preserve"> nodaļā  ir noteikti  </w:t>
            </w:r>
            <w:r>
              <w:rPr>
                <w:bCs/>
              </w:rPr>
              <w:t>Iegūtās</w:t>
            </w:r>
            <w:r w:rsidR="00C9702E">
              <w:rPr>
                <w:bCs/>
              </w:rPr>
              <w:t xml:space="preserve"> izglītības vērtēšanas kritēriji</w:t>
            </w:r>
            <w:r>
              <w:rPr>
                <w:bCs/>
              </w:rPr>
              <w:t>, kārt</w:t>
            </w:r>
            <w:r w:rsidR="00C9702E">
              <w:rPr>
                <w:bCs/>
              </w:rPr>
              <w:t>ība un vērtēšanas pamatprincipi</w:t>
            </w:r>
            <w:r w:rsidR="00AF1C58">
              <w:rPr>
                <w:bCs/>
              </w:rPr>
              <w:t>.</w:t>
            </w:r>
          </w:p>
          <w:p w:rsidR="000F507C" w:rsidRPr="00AF1C58" w:rsidRDefault="000F507C" w:rsidP="00AF1C58">
            <w:pPr>
              <w:contextualSpacing/>
              <w:jc w:val="both"/>
            </w:pPr>
            <w:r w:rsidRPr="00AF1C58">
              <w:t>Mācību sasniegumu vērtētājs izglītības iestādes obligātajā dokumentācijā lieto apzīmējumu „n/v” (nav vērtējuma). Gadījumus, kādos mācību sasniegumu vērtētājs ir tiesīgs lietot apzīmējumu „n/v”, nosaka izglītības iestāde iekšējos normatīvajos aktos.</w:t>
            </w:r>
          </w:p>
          <w:p w:rsidR="00755F6D" w:rsidRDefault="00A91EC0" w:rsidP="00895BE9">
            <w:pPr>
              <w:shd w:val="clear" w:color="auto" w:fill="FFFFFF" w:themeFill="background1"/>
              <w:contextualSpacing/>
              <w:jc w:val="both"/>
              <w:rPr>
                <w:bCs/>
              </w:rPr>
            </w:pPr>
            <w:r w:rsidRPr="00AA2D48">
              <w:t>Lai veicinātu veselīga dzīvesveida</w:t>
            </w:r>
            <w:r w:rsidR="000522A1" w:rsidRPr="00AA2D48">
              <w:t xml:space="preserve"> popularizēšanu</w:t>
            </w:r>
            <w:r w:rsidR="00673DB2">
              <w:t>, noteikumu projektā</w:t>
            </w:r>
            <w:r w:rsidRPr="00895BE9">
              <w:t xml:space="preserve"> </w:t>
            </w:r>
            <w:r w:rsidR="00B16E7D">
              <w:t xml:space="preserve">1. līdz 9.klasēs </w:t>
            </w:r>
            <w:r w:rsidR="00673DB2">
              <w:t xml:space="preserve">ir </w:t>
            </w:r>
            <w:r w:rsidR="002D7EAD">
              <w:t xml:space="preserve">paredzēta iespēja mācību stundās </w:t>
            </w:r>
            <w:r w:rsidRPr="00895BE9">
              <w:t>iekļau</w:t>
            </w:r>
            <w:r w:rsidR="002D7EAD">
              <w:t>t</w:t>
            </w:r>
            <w:r w:rsidRPr="00895BE9">
              <w:t xml:space="preserve"> 2–3 minūšu dinamiskās pauzes </w:t>
            </w:r>
            <w:r w:rsidR="002D7EAD">
              <w:t>izglītojamo</w:t>
            </w:r>
            <w:r w:rsidRPr="00895BE9">
              <w:t xml:space="preserve"> stājas attīstīšanai un nostiprināšanai</w:t>
            </w:r>
            <w:r w:rsidR="00B16E7D">
              <w:t xml:space="preserve">. </w:t>
            </w:r>
          </w:p>
          <w:p w:rsidR="004F1B28" w:rsidRPr="00895BE9" w:rsidRDefault="004F1B28" w:rsidP="004F1B28">
            <w:pPr>
              <w:shd w:val="clear" w:color="auto" w:fill="FFFFFF" w:themeFill="background1"/>
              <w:autoSpaceDE w:val="0"/>
              <w:autoSpaceDN w:val="0"/>
              <w:adjustRightInd w:val="0"/>
              <w:jc w:val="both"/>
              <w:rPr>
                <w:rFonts w:eastAsia="Calibri"/>
                <w:color w:val="000000"/>
              </w:rPr>
            </w:pPr>
            <w:r w:rsidRPr="00895BE9">
              <w:t>Valdības rīcības plāna (</w:t>
            </w:r>
            <w:r>
              <w:t>a</w:t>
            </w:r>
            <w:r w:rsidRPr="00895BE9">
              <w:rPr>
                <w:rFonts w:eastAsia="Calibri"/>
                <w:color w:val="000000"/>
              </w:rPr>
              <w:t xml:space="preserve">pstiprināts ar Ministru kabineta 2012.gada 16.februāra rīkojumu Nr.84) </w:t>
            </w:r>
            <w:r>
              <w:t>1.2.</w:t>
            </w:r>
            <w:r w:rsidRPr="00895BE9">
              <w:t>uzdevuma (veicināt skolu autonomiju un individualitāti (..)) izpildes nolūkā izglītības iestāde</w:t>
            </w:r>
            <w:r w:rsidR="00B16E7D">
              <w:t>i</w:t>
            </w:r>
            <w:r w:rsidRPr="00895BE9">
              <w:t xml:space="preserve"> ir tiesības patstāvīgi pieņemt </w:t>
            </w:r>
            <w:smartTag w:uri="schemas-tilde-lv/tildestengine" w:element="veidnes">
              <w:smartTagPr>
                <w:attr w:name="baseform" w:val="lēmum|s"/>
                <w:attr w:name="id" w:val="-1"/>
                <w:attr w:name="text" w:val="lēmumu"/>
              </w:smartTagPr>
              <w:r w:rsidRPr="00895BE9">
                <w:t>lēmumu</w:t>
              </w:r>
            </w:smartTag>
            <w:r w:rsidRPr="00895BE9">
              <w:t xml:space="preserve"> par mācību gadā izmantojamo laika apjomu mācību ekskursijām, mācību olimpiādēm, sporta pasākumiem un citiem </w:t>
            </w:r>
            <w:r w:rsidRPr="00895BE9">
              <w:lastRenderedPageBreak/>
              <w:t>ar mācību un audzināšanas procesu saistītiem pasākumiem.</w:t>
            </w:r>
          </w:p>
          <w:p w:rsidR="009446DD" w:rsidRDefault="00EF5543" w:rsidP="00263A19">
            <w:pPr>
              <w:shd w:val="clear" w:color="auto" w:fill="FFFFFF" w:themeFill="background1"/>
              <w:contextualSpacing/>
              <w:jc w:val="both"/>
              <w:rPr>
                <w:lang w:eastAsia="en-US"/>
              </w:rPr>
            </w:pPr>
            <w:r w:rsidRPr="00895BE9">
              <w:rPr>
                <w:lang w:eastAsia="en-US"/>
              </w:rPr>
              <w:t>Saskaņā ar Izglītības likuma 1.panta 4.punktā noteikto i</w:t>
            </w:r>
            <w:r w:rsidRPr="00895BE9">
              <w:t>zglītības process ietver mācību un audzināšanas darbību. Izglītības rezultāts ir personas zināšanu, prasmju un attieksmju kopums.</w:t>
            </w:r>
            <w:r w:rsidRPr="00895BE9">
              <w:rPr>
                <w:lang w:eastAsia="en-US"/>
              </w:rPr>
              <w:t xml:space="preserve"> Ievērojot minēto </w:t>
            </w:r>
            <w:r w:rsidR="0074158B">
              <w:rPr>
                <w:lang w:eastAsia="en-US"/>
              </w:rPr>
              <w:t xml:space="preserve">ir papildināti un precizēti </w:t>
            </w:r>
            <w:r w:rsidRPr="00895BE9">
              <w:rPr>
                <w:lang w:eastAsia="en-US"/>
              </w:rPr>
              <w:t>noteikumu projekta pielikum</w:t>
            </w:r>
            <w:r w:rsidR="0074158B">
              <w:rPr>
                <w:lang w:eastAsia="en-US"/>
              </w:rPr>
              <w:t>i</w:t>
            </w:r>
            <w:r w:rsidR="00F90A02" w:rsidRPr="00895BE9">
              <w:rPr>
                <w:lang w:eastAsia="en-US"/>
              </w:rPr>
              <w:t>.</w:t>
            </w:r>
          </w:p>
          <w:p w:rsidR="000F507C" w:rsidRPr="00AF1C58" w:rsidRDefault="000F507C" w:rsidP="000F507C">
            <w:pPr>
              <w:autoSpaceDE w:val="0"/>
              <w:autoSpaceDN w:val="0"/>
              <w:adjustRightInd w:val="0"/>
              <w:jc w:val="both"/>
            </w:pPr>
            <w:r w:rsidRPr="00AF1C58">
              <w:t>Noteikumu projektā noteikts, ka izglītības iestādes, kuras īsteno pamatizglītības programmas</w:t>
            </w:r>
            <w:r w:rsidR="00B16E7D">
              <w:t>,</w:t>
            </w:r>
            <w:r w:rsidRPr="00AF1C58">
              <w:t xml:space="preserve"> pamatojoties uz  licenci, kas izsniegta uz noteiktu laiku līdz šo noteikumu spēkā stāšanās dienai, ir  tiesīgas  to īstenot  līdz licences darbības termiņa beigām.</w:t>
            </w:r>
          </w:p>
          <w:p w:rsidR="000F507C" w:rsidRPr="00895BE9" w:rsidRDefault="000F507C" w:rsidP="00263A19">
            <w:pPr>
              <w:shd w:val="clear" w:color="auto" w:fill="FFFFFF" w:themeFill="background1"/>
              <w:contextualSpacing/>
              <w:jc w:val="both"/>
            </w:pPr>
          </w:p>
        </w:tc>
      </w:tr>
      <w:tr w:rsidR="00010580" w:rsidRPr="00895BE9" w:rsidTr="00A23689">
        <w:trPr>
          <w:trHeight w:val="1947"/>
        </w:trPr>
        <w:tc>
          <w:tcPr>
            <w:tcW w:w="342" w:type="dxa"/>
          </w:tcPr>
          <w:p w:rsidR="00262E2B" w:rsidRPr="00895BE9" w:rsidRDefault="00262E2B" w:rsidP="00895BE9">
            <w:pPr>
              <w:pStyle w:val="naiskr"/>
              <w:shd w:val="clear" w:color="auto" w:fill="FFFFFF" w:themeFill="background1"/>
              <w:spacing w:before="0" w:after="0"/>
            </w:pPr>
            <w:r w:rsidRPr="00895BE9">
              <w:lastRenderedPageBreak/>
              <w:t>5.</w:t>
            </w:r>
          </w:p>
        </w:tc>
        <w:tc>
          <w:tcPr>
            <w:tcW w:w="0" w:type="auto"/>
          </w:tcPr>
          <w:p w:rsidR="00262E2B" w:rsidRPr="00895BE9" w:rsidRDefault="001A4066" w:rsidP="00895BE9">
            <w:pPr>
              <w:pStyle w:val="naiskr"/>
              <w:shd w:val="clear" w:color="auto" w:fill="FFFFFF" w:themeFill="background1"/>
              <w:spacing w:before="0" w:after="0"/>
            </w:pPr>
            <w:r w:rsidRPr="00895BE9">
              <w:t>Projekta i</w:t>
            </w:r>
            <w:r w:rsidR="00262E2B" w:rsidRPr="00895BE9">
              <w:t>zstrād</w:t>
            </w:r>
            <w:r w:rsidR="00420870" w:rsidRPr="00895BE9">
              <w:t xml:space="preserve">ē </w:t>
            </w:r>
            <w:r w:rsidR="00262E2B" w:rsidRPr="00895BE9">
              <w:t>iesaistītās institūcijas</w:t>
            </w:r>
          </w:p>
        </w:tc>
        <w:tc>
          <w:tcPr>
            <w:tcW w:w="0" w:type="auto"/>
          </w:tcPr>
          <w:p w:rsidR="00227909" w:rsidRPr="00895BE9" w:rsidRDefault="002D7EAD" w:rsidP="00A23689">
            <w:pPr>
              <w:shd w:val="clear" w:color="auto" w:fill="FFFFFF" w:themeFill="background1"/>
              <w:autoSpaceDE w:val="0"/>
              <w:autoSpaceDN w:val="0"/>
              <w:adjustRightInd w:val="0"/>
              <w:jc w:val="both"/>
            </w:pPr>
            <w:r>
              <w:rPr>
                <w:iCs/>
              </w:rPr>
              <w:t>Noteikumu p</w:t>
            </w:r>
            <w:r w:rsidR="005C3A29" w:rsidRPr="00895BE9">
              <w:rPr>
                <w:iCs/>
              </w:rPr>
              <w:t xml:space="preserve">rojekta izstrādē </w:t>
            </w:r>
            <w:r>
              <w:rPr>
                <w:iCs/>
              </w:rPr>
              <w:t xml:space="preserve">tika </w:t>
            </w:r>
            <w:r w:rsidR="00CD5AEF" w:rsidRPr="00895BE9">
              <w:rPr>
                <w:iCs/>
              </w:rPr>
              <w:t>iesaistīts Valsts izglītība</w:t>
            </w:r>
            <w:r w:rsidR="00C45F1D" w:rsidRPr="00895BE9">
              <w:rPr>
                <w:iCs/>
              </w:rPr>
              <w:t>s</w:t>
            </w:r>
            <w:r w:rsidR="00CD5AEF" w:rsidRPr="00895BE9">
              <w:rPr>
                <w:iCs/>
              </w:rPr>
              <w:t xml:space="preserve"> satura centrs</w:t>
            </w:r>
            <w:r>
              <w:rPr>
                <w:iCs/>
              </w:rPr>
              <w:t>,</w:t>
            </w:r>
            <w:r w:rsidR="00B16E7D">
              <w:rPr>
                <w:iCs/>
              </w:rPr>
              <w:t xml:space="preserve"> Izglītības kvalitātes valsts dienests, </w:t>
            </w:r>
            <w:r>
              <w:rPr>
                <w:iCs/>
              </w:rPr>
              <w:t xml:space="preserve"> kā arī </w:t>
            </w:r>
            <w:r>
              <w:rPr>
                <w:rFonts w:eastAsia="Calibri"/>
              </w:rPr>
              <w:t>notik</w:t>
            </w:r>
            <w:r w:rsidR="00886E31" w:rsidRPr="00895BE9">
              <w:rPr>
                <w:rFonts w:eastAsia="Calibri"/>
              </w:rPr>
              <w:t xml:space="preserve">a diskusijas </w:t>
            </w:r>
            <w:r w:rsidR="00F620A1" w:rsidRPr="00895BE9">
              <w:rPr>
                <w:rFonts w:eastAsia="Calibri"/>
              </w:rPr>
              <w:t>2</w:t>
            </w:r>
            <w:r w:rsidR="00886E31" w:rsidRPr="00895BE9">
              <w:rPr>
                <w:rFonts w:eastAsia="Calibri"/>
              </w:rPr>
              <w:t>012.gada 22.oktobrī I</w:t>
            </w:r>
            <w:r w:rsidR="000D28DA">
              <w:rPr>
                <w:rFonts w:eastAsia="Calibri"/>
              </w:rPr>
              <w:t>ZM</w:t>
            </w:r>
            <w:r w:rsidR="00F620A1" w:rsidRPr="00895BE9">
              <w:rPr>
                <w:rFonts w:eastAsia="Calibri"/>
              </w:rPr>
              <w:t xml:space="preserve"> </w:t>
            </w:r>
            <w:r w:rsidR="00886E31" w:rsidRPr="00895BE9">
              <w:rPr>
                <w:rFonts w:eastAsia="Calibri"/>
              </w:rPr>
              <w:t xml:space="preserve">Konsultatīvajā padomē mazākumtautību izglītības jautājumos. </w:t>
            </w:r>
            <w:r>
              <w:rPr>
                <w:rFonts w:eastAsia="Calibri"/>
              </w:rPr>
              <w:t>Minētā p</w:t>
            </w:r>
            <w:r w:rsidR="00886E31" w:rsidRPr="00895BE9">
              <w:rPr>
                <w:rFonts w:eastAsia="Calibri"/>
              </w:rPr>
              <w:t xml:space="preserve">adome ir  akceptējusi noteikumu projektu. </w:t>
            </w:r>
            <w:smartTag w:uri="schemas-tilde-lv/tildestengine" w:element="date">
              <w:smartTagPr>
                <w:attr w:name="Year" w:val="2012"/>
                <w:attr w:name="Month" w:val="10"/>
                <w:attr w:name="Day" w:val="24"/>
              </w:smartTagPr>
              <w:r w:rsidR="00886E31" w:rsidRPr="00895BE9">
                <w:rPr>
                  <w:rFonts w:eastAsia="Calibri"/>
                </w:rPr>
                <w:t>2012.gada 24.oktobrī</w:t>
              </w:r>
            </w:smartTag>
            <w:r w:rsidR="00886E31" w:rsidRPr="00895BE9">
              <w:rPr>
                <w:rFonts w:eastAsia="Calibri"/>
              </w:rPr>
              <w:t xml:space="preserve">  par noteikumu projektu ir informēti pilsēt</w:t>
            </w:r>
            <w:r>
              <w:rPr>
                <w:rFonts w:eastAsia="Calibri"/>
              </w:rPr>
              <w:t>u un novadu i</w:t>
            </w:r>
            <w:r w:rsidR="00886E31" w:rsidRPr="00895BE9">
              <w:rPr>
                <w:rFonts w:eastAsia="Calibri"/>
              </w:rPr>
              <w:t>zglītības pā</w:t>
            </w:r>
            <w:r w:rsidR="00070A8E">
              <w:rPr>
                <w:rFonts w:eastAsia="Calibri"/>
              </w:rPr>
              <w:t>rvalžu vadītāji un speciālisti.</w:t>
            </w:r>
          </w:p>
        </w:tc>
      </w:tr>
      <w:tr w:rsidR="00010580" w:rsidRPr="00895BE9" w:rsidTr="004B4F9A">
        <w:trPr>
          <w:trHeight w:val="5322"/>
        </w:trPr>
        <w:tc>
          <w:tcPr>
            <w:tcW w:w="342" w:type="dxa"/>
          </w:tcPr>
          <w:p w:rsidR="00262E2B" w:rsidRPr="00895BE9" w:rsidRDefault="00262E2B" w:rsidP="00895BE9">
            <w:pPr>
              <w:pStyle w:val="naiskr"/>
              <w:shd w:val="clear" w:color="auto" w:fill="FFFFFF" w:themeFill="background1"/>
              <w:spacing w:before="0" w:after="0"/>
            </w:pPr>
            <w:r w:rsidRPr="00895BE9">
              <w:t>6.</w:t>
            </w:r>
          </w:p>
        </w:tc>
        <w:tc>
          <w:tcPr>
            <w:tcW w:w="0" w:type="auto"/>
          </w:tcPr>
          <w:p w:rsidR="00262E2B" w:rsidRPr="00895BE9" w:rsidRDefault="00BB7C94" w:rsidP="00895BE9">
            <w:pPr>
              <w:pStyle w:val="naiskr"/>
              <w:shd w:val="clear" w:color="auto" w:fill="FFFFFF" w:themeFill="background1"/>
              <w:spacing w:before="0" w:after="0"/>
              <w:rPr>
                <w:i/>
              </w:rPr>
            </w:pPr>
            <w:r w:rsidRPr="00895BE9">
              <w:t xml:space="preserve">Iemesli, kādēļ netika nodrošināta </w:t>
            </w:r>
            <w:r w:rsidR="00262E2B" w:rsidRPr="00895BE9">
              <w:t xml:space="preserve">sabiedrības </w:t>
            </w:r>
            <w:r w:rsidRPr="00895BE9">
              <w:t>līdzdalība</w:t>
            </w:r>
          </w:p>
        </w:tc>
        <w:tc>
          <w:tcPr>
            <w:tcW w:w="0" w:type="auto"/>
          </w:tcPr>
          <w:p w:rsidR="004B4F9A" w:rsidRDefault="004B4F9A" w:rsidP="004B4F9A">
            <w:pPr>
              <w:shd w:val="clear" w:color="auto" w:fill="FFFFFF" w:themeFill="background1"/>
              <w:autoSpaceDE w:val="0"/>
              <w:autoSpaceDN w:val="0"/>
              <w:adjustRightInd w:val="0"/>
              <w:jc w:val="both"/>
            </w:pPr>
            <w:r>
              <w:rPr>
                <w:rFonts w:eastAsia="Calibri"/>
              </w:rPr>
              <w:t>L</w:t>
            </w:r>
            <w:r w:rsidRPr="00895BE9">
              <w:rPr>
                <w:rFonts w:eastAsia="Calibri"/>
              </w:rPr>
              <w:t xml:space="preserve">ai </w:t>
            </w:r>
            <w:r>
              <w:rPr>
                <w:rFonts w:eastAsia="Calibri"/>
              </w:rPr>
              <w:t xml:space="preserve">diskutētu un </w:t>
            </w:r>
            <w:r w:rsidRPr="00895BE9">
              <w:rPr>
                <w:rFonts w:eastAsia="Calibri"/>
              </w:rPr>
              <w:t>vienotos</w:t>
            </w:r>
            <w:r>
              <w:rPr>
                <w:rFonts w:eastAsia="Calibri"/>
              </w:rPr>
              <w:t xml:space="preserve"> p</w:t>
            </w:r>
            <w:r w:rsidRPr="00895BE9">
              <w:rPr>
                <w:rFonts w:eastAsia="Calibri"/>
              </w:rPr>
              <w:t xml:space="preserve">ar </w:t>
            </w:r>
            <w:r>
              <w:t>noteikumu projektu,</w:t>
            </w:r>
            <w:r>
              <w:rPr>
                <w:rFonts w:eastAsia="Calibri"/>
              </w:rPr>
              <w:t xml:space="preserve"> t.sk. kompromisa risinājumiem </w:t>
            </w:r>
            <w:r w:rsidRPr="00895BE9">
              <w:t>mācību priekšmetu un m</w:t>
            </w:r>
            <w:r>
              <w:t xml:space="preserve">ācību stundu plānā, </w:t>
            </w:r>
            <w:r>
              <w:rPr>
                <w:rFonts w:eastAsia="Calibri"/>
              </w:rPr>
              <w:t xml:space="preserve">papildus </w:t>
            </w:r>
            <w:r w:rsidR="00851361">
              <w:rPr>
                <w:rFonts w:eastAsia="Calibri"/>
              </w:rPr>
              <w:t xml:space="preserve">nodrošināta sabiedrības līdzdalība un </w:t>
            </w:r>
            <w:r>
              <w:rPr>
                <w:rFonts w:eastAsia="Calibri"/>
              </w:rPr>
              <w:t>o</w:t>
            </w:r>
            <w:r w:rsidRPr="00895BE9">
              <w:rPr>
                <w:rFonts w:eastAsia="Calibri"/>
              </w:rPr>
              <w:t xml:space="preserve">rganizētas </w:t>
            </w:r>
            <w:r>
              <w:rPr>
                <w:rFonts w:eastAsia="Calibri"/>
              </w:rPr>
              <w:t xml:space="preserve">šādas </w:t>
            </w:r>
            <w:r w:rsidRPr="00895BE9">
              <w:rPr>
                <w:rFonts w:eastAsia="Calibri"/>
              </w:rPr>
              <w:t>tikšanās ar sociālajiem partneriem</w:t>
            </w:r>
            <w:r>
              <w:t>:</w:t>
            </w:r>
          </w:p>
          <w:p w:rsidR="004B4F9A" w:rsidRDefault="004B4F9A" w:rsidP="004B4F9A">
            <w:pPr>
              <w:pStyle w:val="ListParagraph"/>
              <w:numPr>
                <w:ilvl w:val="0"/>
                <w:numId w:val="14"/>
              </w:numPr>
              <w:shd w:val="clear" w:color="auto" w:fill="FFFFFF" w:themeFill="background1"/>
              <w:ind w:left="420" w:hanging="264"/>
              <w:jc w:val="both"/>
            </w:pPr>
            <w:r w:rsidRPr="009A4E56">
              <w:t xml:space="preserve">2012.gada 22.novembrī </w:t>
            </w:r>
            <w:r>
              <w:t xml:space="preserve">ar </w:t>
            </w:r>
            <w:r w:rsidRPr="009A4E56">
              <w:t>Valsts Akadēmiskā</w:t>
            </w:r>
            <w:r>
              <w:t xml:space="preserve"> kora „Latvija” māksliniecisko </w:t>
            </w:r>
            <w:r w:rsidRPr="009A4E56">
              <w:t>vadītāj</w:t>
            </w:r>
            <w:r>
              <w:t>u M.Sirmo un</w:t>
            </w:r>
            <w:r w:rsidRPr="009A4E56">
              <w:t xml:space="preserve"> Latv</w:t>
            </w:r>
            <w:r>
              <w:t>ijas Mūzikas akadēmijas mācībspēkiem;</w:t>
            </w:r>
          </w:p>
          <w:p w:rsidR="004B4F9A" w:rsidRDefault="004B4F9A" w:rsidP="004B4F9A">
            <w:pPr>
              <w:pStyle w:val="ListParagraph"/>
              <w:numPr>
                <w:ilvl w:val="0"/>
                <w:numId w:val="14"/>
              </w:numPr>
              <w:shd w:val="clear" w:color="auto" w:fill="FFFFFF" w:themeFill="background1"/>
              <w:ind w:left="420" w:hanging="264"/>
              <w:jc w:val="both"/>
            </w:pPr>
            <w:r w:rsidRPr="009A4E56">
              <w:t>2012.gada 22.novembrī</w:t>
            </w:r>
            <w:r>
              <w:t xml:space="preserve"> ar </w:t>
            </w:r>
            <w:r w:rsidRPr="009A4E56">
              <w:t>Latvijas informācijas un komunikācijas tehnoloģijas asociācij</w:t>
            </w:r>
            <w:r>
              <w:t>as</w:t>
            </w:r>
            <w:r w:rsidRPr="009A4E56">
              <w:t xml:space="preserve"> (LIKTA)</w:t>
            </w:r>
            <w:r>
              <w:t xml:space="preserve"> pārstāvjiem;</w:t>
            </w:r>
          </w:p>
          <w:p w:rsidR="004B4F9A" w:rsidRDefault="004B4F9A" w:rsidP="004B4F9A">
            <w:pPr>
              <w:pStyle w:val="ListParagraph"/>
              <w:numPr>
                <w:ilvl w:val="0"/>
                <w:numId w:val="14"/>
              </w:numPr>
              <w:shd w:val="clear" w:color="auto" w:fill="FFFFFF" w:themeFill="background1"/>
              <w:ind w:left="420" w:hanging="264"/>
              <w:jc w:val="both"/>
            </w:pPr>
            <w:r w:rsidRPr="009A4E56">
              <w:t xml:space="preserve">2012.gada 22.novembrī </w:t>
            </w:r>
            <w:r>
              <w:t xml:space="preserve">ar </w:t>
            </w:r>
            <w:r w:rsidRPr="009A4E56">
              <w:t>Latvijas Tir</w:t>
            </w:r>
            <w:r>
              <w:t>dzniecības un rūpniecības kameras pārstāvjiem;</w:t>
            </w:r>
          </w:p>
          <w:p w:rsidR="004B4F9A" w:rsidRDefault="004B4F9A" w:rsidP="004B4F9A">
            <w:pPr>
              <w:pStyle w:val="ListParagraph"/>
              <w:numPr>
                <w:ilvl w:val="0"/>
                <w:numId w:val="14"/>
              </w:numPr>
              <w:shd w:val="clear" w:color="auto" w:fill="FFFFFF" w:themeFill="background1"/>
              <w:ind w:left="420" w:hanging="264"/>
              <w:jc w:val="both"/>
            </w:pPr>
            <w:r>
              <w:t xml:space="preserve">2012.gada 26.novembrī </w:t>
            </w:r>
            <w:r w:rsidRPr="009A4E56">
              <w:t xml:space="preserve"> </w:t>
            </w:r>
            <w:r>
              <w:rPr>
                <w:rFonts w:eastAsia="Calibri"/>
              </w:rPr>
              <w:t>ar</w:t>
            </w:r>
            <w:r w:rsidRPr="00895BE9">
              <w:rPr>
                <w:rFonts w:eastAsia="Calibri"/>
              </w:rPr>
              <w:t xml:space="preserve"> </w:t>
            </w:r>
            <w:r>
              <w:rPr>
                <w:rFonts w:eastAsia="Calibri"/>
              </w:rPr>
              <w:t>Latviešu valodas asociācijas priekšsēdētāju A.Vanagu;</w:t>
            </w:r>
          </w:p>
          <w:p w:rsidR="004B4F9A" w:rsidRDefault="004B4F9A" w:rsidP="004B4F9A">
            <w:pPr>
              <w:pStyle w:val="ListParagraph"/>
              <w:numPr>
                <w:ilvl w:val="0"/>
                <w:numId w:val="14"/>
              </w:numPr>
              <w:shd w:val="clear" w:color="auto" w:fill="FFFFFF" w:themeFill="background1"/>
              <w:ind w:left="420" w:hanging="264"/>
              <w:jc w:val="both"/>
            </w:pPr>
            <w:r w:rsidRPr="009A4E56">
              <w:t xml:space="preserve">2012.gada 27.novembrī </w:t>
            </w:r>
            <w:r>
              <w:t xml:space="preserve"> ar </w:t>
            </w:r>
            <w:r w:rsidRPr="009A4E56">
              <w:t>Rīgas Pedagoģijas u</w:t>
            </w:r>
            <w:r>
              <w:t>n izglītības vadības akadēmijas mācībspēkiem;</w:t>
            </w:r>
          </w:p>
          <w:p w:rsidR="004B4F9A" w:rsidRDefault="004B4F9A" w:rsidP="004B4F9A">
            <w:pPr>
              <w:pStyle w:val="ListParagraph"/>
              <w:numPr>
                <w:ilvl w:val="0"/>
                <w:numId w:val="14"/>
              </w:numPr>
              <w:shd w:val="clear" w:color="auto" w:fill="FFFFFF" w:themeFill="background1"/>
              <w:ind w:left="420" w:hanging="264"/>
              <w:jc w:val="both"/>
            </w:pPr>
            <w:r w:rsidRPr="009A4E56">
              <w:t>2012.gada 21.decembrī ar Speciālās i</w:t>
            </w:r>
            <w:r>
              <w:t>zglītības darbinieku asociācijas pārstāvjiem;</w:t>
            </w:r>
          </w:p>
          <w:p w:rsidR="004B4F9A" w:rsidRDefault="004B4F9A" w:rsidP="004B4F9A">
            <w:pPr>
              <w:pStyle w:val="ListParagraph"/>
              <w:numPr>
                <w:ilvl w:val="0"/>
                <w:numId w:val="14"/>
              </w:numPr>
              <w:shd w:val="clear" w:color="auto" w:fill="FFFFFF" w:themeFill="background1"/>
              <w:ind w:left="420" w:hanging="264"/>
              <w:jc w:val="both"/>
            </w:pPr>
            <w:r w:rsidRPr="009A4E56">
              <w:t xml:space="preserve">2013.gada 3.janvārī ar </w:t>
            </w:r>
            <w:r>
              <w:t xml:space="preserve">Latvijas </w:t>
            </w:r>
            <w:r w:rsidRPr="009A4E56">
              <w:t>Lauksaim</w:t>
            </w:r>
            <w:r>
              <w:t xml:space="preserve">niecības universitātes Tehniskās </w:t>
            </w:r>
            <w:r w:rsidRPr="009A4E56">
              <w:t>fakultāt</w:t>
            </w:r>
            <w:r>
              <w:t>es un</w:t>
            </w:r>
            <w:r w:rsidRPr="009A4E56">
              <w:t xml:space="preserve"> Izglītība</w:t>
            </w:r>
            <w:r>
              <w:t>s un mājsaimniecības institūta mācībspēkiem.</w:t>
            </w:r>
          </w:p>
          <w:p w:rsidR="00D20FF4" w:rsidRPr="00895BE9" w:rsidRDefault="00D20FF4" w:rsidP="00960E64">
            <w:pPr>
              <w:shd w:val="clear" w:color="auto" w:fill="FFFFFF" w:themeFill="background1"/>
              <w:autoSpaceDE w:val="0"/>
              <w:autoSpaceDN w:val="0"/>
              <w:adjustRightInd w:val="0"/>
              <w:jc w:val="both"/>
            </w:pPr>
          </w:p>
        </w:tc>
      </w:tr>
      <w:tr w:rsidR="00010580" w:rsidRPr="00895BE9" w:rsidTr="004E6185">
        <w:tc>
          <w:tcPr>
            <w:tcW w:w="342" w:type="dxa"/>
          </w:tcPr>
          <w:p w:rsidR="00262E2B" w:rsidRPr="00895BE9" w:rsidRDefault="00262E2B" w:rsidP="00895BE9">
            <w:pPr>
              <w:pStyle w:val="naiskr"/>
              <w:shd w:val="clear" w:color="auto" w:fill="FFFFFF" w:themeFill="background1"/>
              <w:spacing w:before="0" w:after="0"/>
            </w:pPr>
            <w:r w:rsidRPr="00895BE9">
              <w:t>7.</w:t>
            </w:r>
          </w:p>
        </w:tc>
        <w:tc>
          <w:tcPr>
            <w:tcW w:w="0" w:type="auto"/>
          </w:tcPr>
          <w:p w:rsidR="00262E2B" w:rsidRPr="00895BE9" w:rsidRDefault="00262E2B" w:rsidP="00895BE9">
            <w:pPr>
              <w:pStyle w:val="naiskr"/>
              <w:shd w:val="clear" w:color="auto" w:fill="FFFFFF" w:themeFill="background1"/>
              <w:spacing w:before="0" w:after="0"/>
            </w:pPr>
            <w:r w:rsidRPr="00895BE9">
              <w:t>Cita informācija</w:t>
            </w:r>
          </w:p>
        </w:tc>
        <w:tc>
          <w:tcPr>
            <w:tcW w:w="0" w:type="auto"/>
          </w:tcPr>
          <w:p w:rsidR="00262E2B" w:rsidRPr="00895BE9" w:rsidRDefault="00262E2B" w:rsidP="00895BE9">
            <w:pPr>
              <w:pStyle w:val="naiskr"/>
              <w:shd w:val="clear" w:color="auto" w:fill="FFFFFF" w:themeFill="background1"/>
              <w:spacing w:before="0" w:after="0"/>
            </w:pPr>
            <w:r w:rsidRPr="00895BE9">
              <w:t>Nav</w:t>
            </w:r>
          </w:p>
        </w:tc>
      </w:tr>
    </w:tbl>
    <w:p w:rsidR="00852042" w:rsidRPr="00895BE9" w:rsidRDefault="00852042" w:rsidP="00895BE9">
      <w:pPr>
        <w:pStyle w:val="naisf"/>
        <w:shd w:val="clear" w:color="auto" w:fill="FFFFFF" w:themeFill="background1"/>
        <w:spacing w:before="0" w:after="0"/>
      </w:pP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0"/>
        <w:gridCol w:w="1624"/>
        <w:gridCol w:w="6943"/>
      </w:tblGrid>
      <w:tr w:rsidR="00E51E54" w:rsidRPr="00895BE9" w:rsidTr="001A0A67">
        <w:trPr>
          <w:tblCellSpacing w:w="0"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rsidR="00E51E54" w:rsidRPr="00895BE9" w:rsidRDefault="00E51E54" w:rsidP="00895BE9">
            <w:pPr>
              <w:shd w:val="clear" w:color="auto" w:fill="FFFFFF" w:themeFill="background1"/>
              <w:spacing w:before="100" w:beforeAutospacing="1" w:after="100" w:afterAutospacing="1"/>
              <w:rPr>
                <w:b/>
              </w:rPr>
            </w:pPr>
            <w:r w:rsidRPr="00895BE9">
              <w:t> </w:t>
            </w:r>
            <w:r w:rsidRPr="00895BE9">
              <w:rPr>
                <w:b/>
              </w:rPr>
              <w:t>II. Tiesību akta projekta ietekme uz sabiedrību</w:t>
            </w:r>
          </w:p>
        </w:tc>
      </w:tr>
      <w:tr w:rsidR="00E51E54" w:rsidRPr="00895BE9" w:rsidTr="001A0A67">
        <w:trPr>
          <w:trHeight w:val="467"/>
          <w:tblCellSpacing w:w="0" w:type="dxa"/>
        </w:trPr>
        <w:tc>
          <w:tcPr>
            <w:tcW w:w="520"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1.</w:t>
            </w:r>
          </w:p>
        </w:tc>
        <w:tc>
          <w:tcPr>
            <w:tcW w:w="1624"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Sabiedrības mērķgrupa</w:t>
            </w:r>
          </w:p>
        </w:tc>
        <w:tc>
          <w:tcPr>
            <w:tcW w:w="6943" w:type="dxa"/>
            <w:tcBorders>
              <w:top w:val="outset" w:sz="6" w:space="0" w:color="auto"/>
              <w:left w:val="outset" w:sz="6" w:space="0" w:color="auto"/>
              <w:bottom w:val="outset" w:sz="6" w:space="0" w:color="auto"/>
              <w:right w:val="outset" w:sz="6" w:space="0" w:color="auto"/>
            </w:tcBorders>
            <w:hideMark/>
          </w:tcPr>
          <w:p w:rsidR="00E51E54" w:rsidRDefault="00E51E54" w:rsidP="00851361">
            <w:pPr>
              <w:shd w:val="clear" w:color="auto" w:fill="FFFFFF" w:themeFill="background1"/>
              <w:spacing w:before="100" w:beforeAutospacing="1" w:after="100" w:afterAutospacing="1"/>
              <w:rPr>
                <w:iCs/>
              </w:rPr>
            </w:pPr>
            <w:r w:rsidRPr="00895BE9">
              <w:rPr>
                <w:iCs/>
              </w:rPr>
              <w:t>Vispārējās izglītības iestādes</w:t>
            </w:r>
            <w:r w:rsidR="008D3ACC" w:rsidRPr="00895BE9">
              <w:rPr>
                <w:iCs/>
              </w:rPr>
              <w:t xml:space="preserve"> pedagogi un izglītojamie</w:t>
            </w:r>
            <w:r w:rsidR="00851361">
              <w:rPr>
                <w:iCs/>
              </w:rPr>
              <w:t xml:space="preserve">, kas iesaistīti </w:t>
            </w:r>
            <w:r w:rsidRPr="00895BE9">
              <w:rPr>
                <w:iCs/>
              </w:rPr>
              <w:t>pamatizglītības programmas</w:t>
            </w:r>
            <w:r w:rsidR="00851361" w:rsidRPr="00895BE9">
              <w:rPr>
                <w:iCs/>
              </w:rPr>
              <w:t xml:space="preserve"> īsteno</w:t>
            </w:r>
            <w:r w:rsidR="00851361">
              <w:rPr>
                <w:iCs/>
              </w:rPr>
              <w:t>šanā</w:t>
            </w:r>
            <w:r w:rsidR="00070A8E">
              <w:rPr>
                <w:iCs/>
              </w:rPr>
              <w:t>.</w:t>
            </w:r>
          </w:p>
          <w:p w:rsidR="00A249F5" w:rsidRPr="00895BE9" w:rsidRDefault="00A249F5" w:rsidP="00851361">
            <w:pPr>
              <w:shd w:val="clear" w:color="auto" w:fill="FFFFFF" w:themeFill="background1"/>
              <w:spacing w:before="100" w:beforeAutospacing="1" w:after="100" w:afterAutospacing="1"/>
            </w:pPr>
          </w:p>
        </w:tc>
      </w:tr>
      <w:tr w:rsidR="00E51E54" w:rsidRPr="00895BE9" w:rsidTr="001A0A67">
        <w:trPr>
          <w:trHeight w:val="523"/>
          <w:tblCellSpacing w:w="0" w:type="dxa"/>
        </w:trPr>
        <w:tc>
          <w:tcPr>
            <w:tcW w:w="520"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2.</w:t>
            </w:r>
          </w:p>
        </w:tc>
        <w:tc>
          <w:tcPr>
            <w:tcW w:w="1624"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xml:space="preserve"> Citas sabiedrības grupas (bez mērķgrupas), kuras tiesiskais </w:t>
            </w:r>
            <w:r w:rsidRPr="00895BE9">
              <w:lastRenderedPageBreak/>
              <w:t>regulējums arī ietekmē vai varētu ietekmēt</w:t>
            </w:r>
          </w:p>
        </w:tc>
        <w:tc>
          <w:tcPr>
            <w:tcW w:w="6943"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lastRenderedPageBreak/>
              <w:t> Projekts šo jomu neskar.</w:t>
            </w:r>
          </w:p>
        </w:tc>
      </w:tr>
      <w:tr w:rsidR="00E51E54" w:rsidRPr="00895BE9" w:rsidTr="001A0A67">
        <w:trPr>
          <w:trHeight w:val="517"/>
          <w:tblCellSpacing w:w="0" w:type="dxa"/>
        </w:trPr>
        <w:tc>
          <w:tcPr>
            <w:tcW w:w="520"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lastRenderedPageBreak/>
              <w:t> 3.</w:t>
            </w:r>
          </w:p>
        </w:tc>
        <w:tc>
          <w:tcPr>
            <w:tcW w:w="1624"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Tiesiskā regulējuma finansiālā ietekme</w:t>
            </w:r>
          </w:p>
        </w:tc>
        <w:tc>
          <w:tcPr>
            <w:tcW w:w="6943"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xml:space="preserve"> Finansiālā situācija </w:t>
            </w:r>
            <w:r w:rsidR="00CF1C54" w:rsidRPr="00895BE9">
              <w:t>mainās, sākot  ar 2014.gada 1.septembri.</w:t>
            </w:r>
          </w:p>
        </w:tc>
      </w:tr>
      <w:tr w:rsidR="00E51E54" w:rsidRPr="00895BE9" w:rsidTr="001A0A67">
        <w:trPr>
          <w:trHeight w:val="517"/>
          <w:tblCellSpacing w:w="0" w:type="dxa"/>
        </w:trPr>
        <w:tc>
          <w:tcPr>
            <w:tcW w:w="520"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4.</w:t>
            </w:r>
          </w:p>
        </w:tc>
        <w:tc>
          <w:tcPr>
            <w:tcW w:w="1624"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Tiesiskā regulējuma nefinansiālā ietekme</w:t>
            </w:r>
          </w:p>
        </w:tc>
        <w:tc>
          <w:tcPr>
            <w:tcW w:w="6943"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Projekts šo jomu neskar.</w:t>
            </w:r>
          </w:p>
        </w:tc>
      </w:tr>
      <w:tr w:rsidR="00E51E54" w:rsidRPr="00895BE9" w:rsidTr="001A0A67">
        <w:trPr>
          <w:trHeight w:val="531"/>
          <w:tblCellSpacing w:w="0" w:type="dxa"/>
        </w:trPr>
        <w:tc>
          <w:tcPr>
            <w:tcW w:w="520"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5.</w:t>
            </w:r>
          </w:p>
        </w:tc>
        <w:tc>
          <w:tcPr>
            <w:tcW w:w="1624"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Administratīvās procedūras raksturojums</w:t>
            </w:r>
          </w:p>
        </w:tc>
        <w:tc>
          <w:tcPr>
            <w:tcW w:w="6943"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Projekts šo jomu neskar.</w:t>
            </w:r>
          </w:p>
        </w:tc>
      </w:tr>
      <w:tr w:rsidR="00E51E54" w:rsidRPr="00895BE9" w:rsidTr="001A0A67">
        <w:trPr>
          <w:trHeight w:val="357"/>
          <w:tblCellSpacing w:w="0" w:type="dxa"/>
        </w:trPr>
        <w:tc>
          <w:tcPr>
            <w:tcW w:w="520"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6.</w:t>
            </w:r>
          </w:p>
        </w:tc>
        <w:tc>
          <w:tcPr>
            <w:tcW w:w="1624"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Administratīvo izmaksu monetārs novērtējums</w:t>
            </w:r>
          </w:p>
        </w:tc>
        <w:tc>
          <w:tcPr>
            <w:tcW w:w="6943"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Projekts šo jomu neskar.</w:t>
            </w:r>
          </w:p>
        </w:tc>
      </w:tr>
      <w:tr w:rsidR="00E51E54" w:rsidRPr="00895BE9" w:rsidTr="001A0A67">
        <w:trPr>
          <w:tblCellSpacing w:w="0" w:type="dxa"/>
        </w:trPr>
        <w:tc>
          <w:tcPr>
            <w:tcW w:w="520"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7.</w:t>
            </w:r>
          </w:p>
        </w:tc>
        <w:tc>
          <w:tcPr>
            <w:tcW w:w="1624"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 Cita informācija</w:t>
            </w:r>
          </w:p>
        </w:tc>
        <w:tc>
          <w:tcPr>
            <w:tcW w:w="6943" w:type="dxa"/>
            <w:tcBorders>
              <w:top w:val="outset" w:sz="6" w:space="0" w:color="auto"/>
              <w:left w:val="outset" w:sz="6" w:space="0" w:color="auto"/>
              <w:bottom w:val="outset" w:sz="6" w:space="0" w:color="auto"/>
              <w:right w:val="outset" w:sz="6" w:space="0" w:color="auto"/>
            </w:tcBorders>
            <w:hideMark/>
          </w:tcPr>
          <w:p w:rsidR="00E51E54" w:rsidRPr="00895BE9" w:rsidRDefault="00E51E54" w:rsidP="00895BE9">
            <w:pPr>
              <w:shd w:val="clear" w:color="auto" w:fill="FFFFFF" w:themeFill="background1"/>
              <w:spacing w:before="100" w:beforeAutospacing="1" w:after="100" w:afterAutospacing="1"/>
            </w:pPr>
            <w:r w:rsidRPr="00895BE9">
              <w:t>Nav</w:t>
            </w:r>
          </w:p>
        </w:tc>
      </w:tr>
    </w:tbl>
    <w:p w:rsidR="00E51E54" w:rsidRPr="00895BE9" w:rsidRDefault="00E51E54" w:rsidP="00895BE9">
      <w:pPr>
        <w:pStyle w:val="naisf"/>
        <w:shd w:val="clear" w:color="auto" w:fill="FFFFFF" w:themeFill="background1"/>
        <w:spacing w:before="0" w:after="0"/>
      </w:pPr>
    </w:p>
    <w:p w:rsidR="00E51E54" w:rsidRPr="00895BE9" w:rsidRDefault="00E51E54" w:rsidP="00895BE9">
      <w:pPr>
        <w:pStyle w:val="naisf"/>
        <w:shd w:val="clear" w:color="auto" w:fill="FFFFFF" w:themeFill="background1"/>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264"/>
        <w:gridCol w:w="1154"/>
        <w:gridCol w:w="1151"/>
        <w:gridCol w:w="1255"/>
        <w:gridCol w:w="1151"/>
        <w:gridCol w:w="1155"/>
        <w:gridCol w:w="1151"/>
      </w:tblGrid>
      <w:tr w:rsidR="005C4636" w:rsidRPr="00895BE9" w:rsidTr="005C4636">
        <w:trPr>
          <w:trHeight w:val="432"/>
        </w:trPr>
        <w:tc>
          <w:tcPr>
            <w:tcW w:w="5000" w:type="pct"/>
            <w:gridSpan w:val="7"/>
            <w:vAlign w:val="center"/>
          </w:tcPr>
          <w:p w:rsidR="005C4636" w:rsidRPr="00895BE9" w:rsidRDefault="005C4636" w:rsidP="00895BE9">
            <w:pPr>
              <w:shd w:val="clear" w:color="auto" w:fill="FFFFFF" w:themeFill="background1"/>
              <w:jc w:val="center"/>
              <w:rPr>
                <w:b/>
              </w:rPr>
            </w:pPr>
            <w:r w:rsidRPr="00895BE9">
              <w:rPr>
                <w:b/>
              </w:rPr>
              <w:br w:type="page"/>
              <w:t xml:space="preserve">III. Tiesību akta projekta ietekme uz valsts budžetu un pašvaldību budžetiem        </w:t>
            </w:r>
          </w:p>
        </w:tc>
      </w:tr>
      <w:tr w:rsidR="005C4636" w:rsidRPr="00895BE9" w:rsidTr="005C4636">
        <w:tblPrEx>
          <w:tblCellMar>
            <w:top w:w="0" w:type="dxa"/>
            <w:left w:w="108" w:type="dxa"/>
            <w:bottom w:w="0" w:type="dxa"/>
            <w:right w:w="108" w:type="dxa"/>
          </w:tblCellMar>
          <w:tblLook w:val="01E0"/>
        </w:tblPrEx>
        <w:tc>
          <w:tcPr>
            <w:tcW w:w="1220" w:type="pct"/>
            <w:vMerge w:val="restart"/>
            <w:vAlign w:val="center"/>
          </w:tcPr>
          <w:p w:rsidR="005C4636" w:rsidRPr="00895BE9" w:rsidRDefault="005C4636" w:rsidP="00895BE9">
            <w:pPr>
              <w:pStyle w:val="naisf"/>
              <w:shd w:val="clear" w:color="auto" w:fill="FFFFFF" w:themeFill="background1"/>
              <w:spacing w:before="0" w:after="0"/>
              <w:ind w:firstLine="0"/>
              <w:jc w:val="center"/>
              <w:rPr>
                <w:b/>
              </w:rPr>
            </w:pPr>
            <w:r w:rsidRPr="00895BE9">
              <w:rPr>
                <w:b/>
              </w:rPr>
              <w:t>Rādītāji</w:t>
            </w:r>
          </w:p>
        </w:tc>
        <w:tc>
          <w:tcPr>
            <w:tcW w:w="1242" w:type="pct"/>
            <w:gridSpan w:val="2"/>
            <w:vMerge w:val="restart"/>
            <w:vAlign w:val="center"/>
          </w:tcPr>
          <w:p w:rsidR="005C4636" w:rsidRPr="00895BE9" w:rsidRDefault="005C4636" w:rsidP="00895BE9">
            <w:pPr>
              <w:pStyle w:val="naisf"/>
              <w:shd w:val="clear" w:color="auto" w:fill="FFFFFF" w:themeFill="background1"/>
              <w:spacing w:before="0" w:after="0"/>
              <w:ind w:firstLine="0"/>
              <w:jc w:val="center"/>
              <w:rPr>
                <w:b/>
              </w:rPr>
            </w:pPr>
            <w:r w:rsidRPr="00895BE9">
              <w:rPr>
                <w:b/>
              </w:rPr>
              <w:t>2012.</w:t>
            </w:r>
          </w:p>
        </w:tc>
        <w:tc>
          <w:tcPr>
            <w:tcW w:w="2539" w:type="pct"/>
            <w:gridSpan w:val="4"/>
            <w:vAlign w:val="center"/>
          </w:tcPr>
          <w:p w:rsidR="005C4636" w:rsidRPr="00895BE9" w:rsidRDefault="005C4636" w:rsidP="00895BE9">
            <w:pPr>
              <w:pStyle w:val="naisf"/>
              <w:shd w:val="clear" w:color="auto" w:fill="FFFFFF" w:themeFill="background1"/>
              <w:spacing w:before="0" w:after="0"/>
              <w:ind w:firstLine="0"/>
              <w:jc w:val="center"/>
            </w:pPr>
            <w:r w:rsidRPr="00895BE9">
              <w:t>Turpmākie trīs gadi (tūkst</w:t>
            </w:r>
            <w:smartTag w:uri="schemas-tilde-lv/tildestengine" w:element="currency2">
              <w:smartTagPr>
                <w:attr w:name="currency_text" w:val="latu"/>
                <w:attr w:name="currency_value" w:val="."/>
                <w:attr w:name="currency_key" w:val="LVL"/>
                <w:attr w:name="currency_id" w:val="48"/>
              </w:smartTagPr>
              <w:r w:rsidRPr="00895BE9">
                <w:t>. latu</w:t>
              </w:r>
            </w:smartTag>
            <w:r w:rsidRPr="00895BE9">
              <w:t>)</w:t>
            </w:r>
          </w:p>
        </w:tc>
      </w:tr>
      <w:tr w:rsidR="005C4636" w:rsidRPr="00895BE9" w:rsidTr="005C4636">
        <w:tblPrEx>
          <w:tblCellMar>
            <w:top w:w="0" w:type="dxa"/>
            <w:left w:w="108" w:type="dxa"/>
            <w:bottom w:w="0" w:type="dxa"/>
            <w:right w:w="108" w:type="dxa"/>
          </w:tblCellMar>
          <w:tblLook w:val="01E0"/>
        </w:tblPrEx>
        <w:tc>
          <w:tcPr>
            <w:tcW w:w="1220" w:type="pct"/>
            <w:vMerge/>
            <w:vAlign w:val="center"/>
          </w:tcPr>
          <w:p w:rsidR="005C4636" w:rsidRPr="00895BE9" w:rsidRDefault="005C4636" w:rsidP="00895BE9">
            <w:pPr>
              <w:pStyle w:val="naisf"/>
              <w:shd w:val="clear" w:color="auto" w:fill="FFFFFF" w:themeFill="background1"/>
              <w:spacing w:before="0" w:after="0"/>
              <w:ind w:firstLine="0"/>
              <w:jc w:val="center"/>
              <w:rPr>
                <w:b/>
                <w:i/>
              </w:rPr>
            </w:pPr>
          </w:p>
        </w:tc>
        <w:tc>
          <w:tcPr>
            <w:tcW w:w="1242" w:type="pct"/>
            <w:gridSpan w:val="2"/>
            <w:vMerge/>
            <w:vAlign w:val="center"/>
          </w:tcPr>
          <w:p w:rsidR="005C4636" w:rsidRPr="00895BE9" w:rsidRDefault="005C4636" w:rsidP="00895BE9">
            <w:pPr>
              <w:pStyle w:val="naisf"/>
              <w:shd w:val="clear" w:color="auto" w:fill="FFFFFF" w:themeFill="background1"/>
              <w:spacing w:before="0" w:after="0"/>
              <w:ind w:firstLine="0"/>
              <w:jc w:val="center"/>
              <w:rPr>
                <w:b/>
                <w:i/>
              </w:rPr>
            </w:pPr>
          </w:p>
        </w:tc>
        <w:tc>
          <w:tcPr>
            <w:tcW w:w="676" w:type="pct"/>
            <w:vAlign w:val="center"/>
          </w:tcPr>
          <w:p w:rsidR="005C4636" w:rsidRPr="00895BE9" w:rsidRDefault="005C4636" w:rsidP="00895BE9">
            <w:pPr>
              <w:pStyle w:val="naisf"/>
              <w:shd w:val="clear" w:color="auto" w:fill="FFFFFF" w:themeFill="background1"/>
              <w:spacing w:before="0" w:after="0"/>
              <w:ind w:firstLine="0"/>
              <w:jc w:val="center"/>
              <w:rPr>
                <w:b/>
                <w:i/>
              </w:rPr>
            </w:pPr>
            <w:r w:rsidRPr="00895BE9">
              <w:rPr>
                <w:b/>
                <w:bCs/>
              </w:rPr>
              <w:t>2013.</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rPr>
                <w:b/>
                <w:i/>
              </w:rPr>
            </w:pPr>
            <w:r w:rsidRPr="00895BE9">
              <w:rPr>
                <w:b/>
                <w:bCs/>
              </w:rPr>
              <w:t>2014.</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rPr>
                <w:b/>
                <w:i/>
              </w:rPr>
            </w:pPr>
            <w:r w:rsidRPr="00895BE9">
              <w:rPr>
                <w:b/>
                <w:bCs/>
              </w:rPr>
              <w:t>2015.</w:t>
            </w:r>
          </w:p>
        </w:tc>
        <w:tc>
          <w:tcPr>
            <w:tcW w:w="620" w:type="pct"/>
          </w:tcPr>
          <w:p w:rsidR="005C4636" w:rsidRPr="00895BE9" w:rsidRDefault="005C4636" w:rsidP="00895BE9">
            <w:pPr>
              <w:pStyle w:val="naisf"/>
              <w:shd w:val="clear" w:color="auto" w:fill="FFFFFF" w:themeFill="background1"/>
              <w:spacing w:before="0" w:after="0"/>
              <w:ind w:firstLine="0"/>
              <w:jc w:val="center"/>
              <w:rPr>
                <w:b/>
                <w:bCs/>
              </w:rPr>
            </w:pPr>
            <w:r w:rsidRPr="00895BE9">
              <w:rPr>
                <w:b/>
                <w:bCs/>
              </w:rPr>
              <w:t>2016.</w:t>
            </w:r>
          </w:p>
        </w:tc>
      </w:tr>
      <w:tr w:rsidR="005C4636" w:rsidRPr="00895BE9" w:rsidTr="005C4636">
        <w:tblPrEx>
          <w:tblCellMar>
            <w:top w:w="0" w:type="dxa"/>
            <w:left w:w="108" w:type="dxa"/>
            <w:bottom w:w="0" w:type="dxa"/>
            <w:right w:w="108" w:type="dxa"/>
          </w:tblCellMar>
          <w:tblLook w:val="01E0"/>
        </w:tblPrEx>
        <w:tc>
          <w:tcPr>
            <w:tcW w:w="1220" w:type="pct"/>
            <w:vMerge/>
            <w:vAlign w:val="center"/>
          </w:tcPr>
          <w:p w:rsidR="005C4636" w:rsidRPr="00895BE9" w:rsidRDefault="005C4636" w:rsidP="00895BE9">
            <w:pPr>
              <w:pStyle w:val="naisf"/>
              <w:shd w:val="clear" w:color="auto" w:fill="FFFFFF" w:themeFill="background1"/>
              <w:spacing w:before="0" w:after="0"/>
              <w:ind w:firstLine="0"/>
              <w:jc w:val="center"/>
              <w:rPr>
                <w:b/>
                <w:i/>
              </w:rPr>
            </w:pPr>
          </w:p>
        </w:tc>
        <w:tc>
          <w:tcPr>
            <w:tcW w:w="622" w:type="pct"/>
            <w:vAlign w:val="center"/>
          </w:tcPr>
          <w:p w:rsidR="005C4636" w:rsidRPr="00895BE9" w:rsidRDefault="005C4636" w:rsidP="00895BE9">
            <w:pPr>
              <w:pStyle w:val="naisf"/>
              <w:shd w:val="clear" w:color="auto" w:fill="FFFFFF" w:themeFill="background1"/>
              <w:spacing w:before="0" w:after="0"/>
              <w:ind w:firstLine="0"/>
              <w:jc w:val="center"/>
              <w:rPr>
                <w:b/>
                <w:i/>
              </w:rPr>
            </w:pPr>
            <w:r w:rsidRPr="00895BE9">
              <w:t>Saskaņā ar valsts budžetu kārtējam gadam</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rPr>
                <w:b/>
                <w:i/>
              </w:rPr>
            </w:pPr>
            <w:r w:rsidRPr="00895BE9">
              <w:t>Izmaiņas kārtējā gadā, salīdzinot ar budžetu kārtējam gadam</w:t>
            </w:r>
          </w:p>
        </w:tc>
        <w:tc>
          <w:tcPr>
            <w:tcW w:w="676" w:type="pct"/>
            <w:vAlign w:val="center"/>
          </w:tcPr>
          <w:p w:rsidR="005C4636" w:rsidRPr="00895BE9" w:rsidRDefault="005C4636" w:rsidP="00895BE9">
            <w:pPr>
              <w:pStyle w:val="naisf"/>
              <w:shd w:val="clear" w:color="auto" w:fill="FFFFFF" w:themeFill="background1"/>
              <w:spacing w:before="0" w:after="0"/>
              <w:ind w:firstLine="0"/>
              <w:jc w:val="center"/>
              <w:rPr>
                <w:b/>
                <w:i/>
              </w:rPr>
            </w:pPr>
            <w:r w:rsidRPr="00895BE9">
              <w:t>Izmaiņas, salīdzinot ar kārtējo (n) gadu</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rPr>
                <w:b/>
                <w:i/>
              </w:rPr>
            </w:pPr>
            <w:r w:rsidRPr="00895BE9">
              <w:t>Izmaiņas, salīdzinot ar kārtējo (n) gadu</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rPr>
                <w:b/>
                <w:i/>
              </w:rPr>
            </w:pPr>
            <w:r w:rsidRPr="00895BE9">
              <w:t>Izmaiņas, salīdzinot ar kārtējo (n) gadu</w:t>
            </w:r>
          </w:p>
        </w:tc>
        <w:tc>
          <w:tcPr>
            <w:tcW w:w="620" w:type="pct"/>
          </w:tcPr>
          <w:p w:rsidR="005C4636" w:rsidRPr="00895BE9" w:rsidRDefault="005C4636" w:rsidP="00895BE9">
            <w:pPr>
              <w:pStyle w:val="naisf"/>
              <w:shd w:val="clear" w:color="auto" w:fill="FFFFFF" w:themeFill="background1"/>
              <w:spacing w:before="0" w:after="0"/>
              <w:ind w:firstLine="0"/>
              <w:jc w:val="center"/>
            </w:pPr>
          </w:p>
          <w:p w:rsidR="005C4636" w:rsidRPr="00895BE9" w:rsidRDefault="005C4636" w:rsidP="00895BE9">
            <w:pPr>
              <w:pStyle w:val="naisf"/>
              <w:shd w:val="clear" w:color="auto" w:fill="FFFFFF" w:themeFill="background1"/>
              <w:spacing w:before="0" w:after="0"/>
              <w:ind w:firstLine="0"/>
              <w:jc w:val="center"/>
            </w:pPr>
          </w:p>
          <w:p w:rsidR="005C4636" w:rsidRPr="00895BE9" w:rsidRDefault="005C4636" w:rsidP="00895BE9">
            <w:pPr>
              <w:pStyle w:val="naisf"/>
              <w:shd w:val="clear" w:color="auto" w:fill="FFFFFF" w:themeFill="background1"/>
              <w:spacing w:before="0" w:after="0"/>
              <w:ind w:firstLine="0"/>
              <w:jc w:val="center"/>
            </w:pPr>
            <w:r w:rsidRPr="00895BE9">
              <w:t>Izmaiņas, salīdzinot ar kārtējo (n) gadu</w:t>
            </w:r>
          </w:p>
        </w:tc>
      </w:tr>
      <w:tr w:rsidR="005C4636" w:rsidRPr="00895BE9" w:rsidTr="005C4636">
        <w:tblPrEx>
          <w:tblCellMar>
            <w:top w:w="0" w:type="dxa"/>
            <w:left w:w="108" w:type="dxa"/>
            <w:bottom w:w="0" w:type="dxa"/>
            <w:right w:w="108" w:type="dxa"/>
          </w:tblCellMar>
          <w:tblLook w:val="01E0"/>
        </w:tblPrEx>
        <w:tc>
          <w:tcPr>
            <w:tcW w:w="1220" w:type="pct"/>
            <w:vAlign w:val="center"/>
          </w:tcPr>
          <w:p w:rsidR="005C4636" w:rsidRPr="00895BE9" w:rsidRDefault="005C4636" w:rsidP="00895BE9">
            <w:pPr>
              <w:pStyle w:val="naisf"/>
              <w:shd w:val="clear" w:color="auto" w:fill="FFFFFF" w:themeFill="background1"/>
              <w:spacing w:before="0" w:after="0"/>
              <w:ind w:firstLine="0"/>
              <w:jc w:val="center"/>
              <w:rPr>
                <w:bCs/>
              </w:rPr>
            </w:pPr>
            <w:r w:rsidRPr="00895BE9">
              <w:rPr>
                <w:bCs/>
              </w:rPr>
              <w:t>1</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rPr>
                <w:bCs/>
              </w:rPr>
            </w:pPr>
            <w:r w:rsidRPr="00895BE9">
              <w:rPr>
                <w:bCs/>
              </w:rPr>
              <w:t>2</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rPr>
                <w:bCs/>
              </w:rPr>
            </w:pPr>
            <w:r w:rsidRPr="00895BE9">
              <w:rPr>
                <w:bCs/>
              </w:rPr>
              <w:t>3</w:t>
            </w:r>
          </w:p>
        </w:tc>
        <w:tc>
          <w:tcPr>
            <w:tcW w:w="676" w:type="pct"/>
            <w:vAlign w:val="center"/>
          </w:tcPr>
          <w:p w:rsidR="005C4636" w:rsidRPr="00895BE9" w:rsidRDefault="005C4636" w:rsidP="00895BE9">
            <w:pPr>
              <w:pStyle w:val="naisf"/>
              <w:shd w:val="clear" w:color="auto" w:fill="FFFFFF" w:themeFill="background1"/>
              <w:spacing w:before="0" w:after="0"/>
              <w:ind w:firstLine="0"/>
              <w:jc w:val="center"/>
              <w:rPr>
                <w:bCs/>
              </w:rPr>
            </w:pPr>
            <w:r w:rsidRPr="00895BE9">
              <w:rPr>
                <w:bCs/>
              </w:rPr>
              <w:t>4</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rPr>
                <w:bCs/>
              </w:rPr>
            </w:pPr>
            <w:r w:rsidRPr="00895BE9">
              <w:rPr>
                <w:bCs/>
              </w:rPr>
              <w:t>5</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rPr>
                <w:bCs/>
              </w:rPr>
            </w:pPr>
            <w:r w:rsidRPr="00895BE9">
              <w:rPr>
                <w:bCs/>
              </w:rPr>
              <w:t>6</w:t>
            </w:r>
          </w:p>
        </w:tc>
        <w:tc>
          <w:tcPr>
            <w:tcW w:w="620" w:type="pct"/>
          </w:tcPr>
          <w:p w:rsidR="005C4636" w:rsidRPr="00895BE9" w:rsidRDefault="005C4636" w:rsidP="00895BE9">
            <w:pPr>
              <w:pStyle w:val="naisf"/>
              <w:shd w:val="clear" w:color="auto" w:fill="FFFFFF" w:themeFill="background1"/>
              <w:spacing w:before="0" w:after="0"/>
              <w:ind w:firstLine="0"/>
              <w:jc w:val="center"/>
              <w:rPr>
                <w:bCs/>
              </w:rPr>
            </w:pPr>
            <w:r w:rsidRPr="00895BE9">
              <w:rPr>
                <w:bCs/>
              </w:rPr>
              <w:t>7</w:t>
            </w:r>
          </w:p>
        </w:tc>
      </w:tr>
      <w:tr w:rsidR="005C4636" w:rsidRPr="00895BE9" w:rsidTr="005C4636">
        <w:tblPrEx>
          <w:tblCellMar>
            <w:top w:w="0" w:type="dxa"/>
            <w:left w:w="108" w:type="dxa"/>
            <w:bottom w:w="0" w:type="dxa"/>
            <w:right w:w="108" w:type="dxa"/>
          </w:tblCellMar>
          <w:tblLook w:val="01E0"/>
        </w:tblPrEx>
        <w:tc>
          <w:tcPr>
            <w:tcW w:w="1220" w:type="pct"/>
          </w:tcPr>
          <w:p w:rsidR="005C4636" w:rsidRPr="00895BE9" w:rsidRDefault="005C4636" w:rsidP="00895BE9">
            <w:pPr>
              <w:pStyle w:val="naisf"/>
              <w:shd w:val="clear" w:color="auto" w:fill="FFFFFF" w:themeFill="background1"/>
              <w:spacing w:before="0" w:after="0"/>
              <w:ind w:firstLine="0"/>
              <w:rPr>
                <w:i/>
              </w:rPr>
            </w:pPr>
            <w:r w:rsidRPr="00895BE9">
              <w:t>1. Budžeta ieņēmumi:</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rPr>
                <w:b/>
              </w:rPr>
            </w:pPr>
            <w:r w:rsidRPr="00895BE9">
              <w:rPr>
                <w:b/>
              </w:rPr>
              <w:t>0</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rPr>
                <w:b/>
              </w:rPr>
            </w:pPr>
            <w:r w:rsidRPr="00895BE9">
              <w:rPr>
                <w:b/>
              </w:rPr>
              <w:t>0</w:t>
            </w:r>
          </w:p>
        </w:tc>
        <w:tc>
          <w:tcPr>
            <w:tcW w:w="676" w:type="pct"/>
            <w:vAlign w:val="center"/>
          </w:tcPr>
          <w:p w:rsidR="005C4636" w:rsidRPr="00895BE9" w:rsidRDefault="005C4636" w:rsidP="00895BE9">
            <w:pPr>
              <w:pStyle w:val="naisf"/>
              <w:shd w:val="clear" w:color="auto" w:fill="FFFFFF" w:themeFill="background1"/>
              <w:spacing w:before="0" w:after="0"/>
              <w:ind w:firstLine="0"/>
              <w:jc w:val="center"/>
              <w:rPr>
                <w:b/>
              </w:rPr>
            </w:pPr>
            <w:r w:rsidRPr="00895BE9">
              <w:rPr>
                <w:b/>
              </w:rPr>
              <w:t>0</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rPr>
                <w:b/>
              </w:rPr>
            </w:pPr>
            <w:r w:rsidRPr="00895BE9">
              <w:rPr>
                <w:b/>
              </w:rPr>
              <w:t>0</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rPr>
                <w:b/>
              </w:rPr>
            </w:pPr>
            <w:r w:rsidRPr="00895BE9">
              <w:rPr>
                <w:b/>
              </w:rPr>
              <w:t>0</w:t>
            </w:r>
          </w:p>
        </w:tc>
        <w:tc>
          <w:tcPr>
            <w:tcW w:w="620" w:type="pct"/>
          </w:tcPr>
          <w:p w:rsidR="005C4636" w:rsidRPr="00895BE9" w:rsidRDefault="005C4636" w:rsidP="00895BE9">
            <w:pPr>
              <w:pStyle w:val="naisf"/>
              <w:shd w:val="clear" w:color="auto" w:fill="FFFFFF" w:themeFill="background1"/>
              <w:spacing w:before="0" w:after="0"/>
              <w:ind w:firstLine="0"/>
              <w:jc w:val="center"/>
              <w:rPr>
                <w:b/>
              </w:rPr>
            </w:pPr>
            <w:r w:rsidRPr="00895BE9">
              <w:rPr>
                <w:b/>
              </w:rPr>
              <w:t>0</w:t>
            </w:r>
          </w:p>
        </w:tc>
      </w:tr>
      <w:tr w:rsidR="005C4636" w:rsidRPr="00895BE9" w:rsidTr="005C4636">
        <w:tblPrEx>
          <w:tblCellMar>
            <w:top w:w="0" w:type="dxa"/>
            <w:left w:w="108" w:type="dxa"/>
            <w:bottom w:w="0" w:type="dxa"/>
            <w:right w:w="108" w:type="dxa"/>
          </w:tblCellMar>
          <w:tblLook w:val="01E0"/>
        </w:tblPrEx>
        <w:tc>
          <w:tcPr>
            <w:tcW w:w="1220" w:type="pct"/>
          </w:tcPr>
          <w:p w:rsidR="005C4636" w:rsidRPr="00895BE9" w:rsidRDefault="005C4636" w:rsidP="00895BE9">
            <w:pPr>
              <w:pStyle w:val="naisf"/>
              <w:shd w:val="clear" w:color="auto" w:fill="FFFFFF" w:themeFill="background1"/>
              <w:spacing w:before="0" w:after="0"/>
              <w:ind w:firstLine="0"/>
              <w:rPr>
                <w:i/>
              </w:rPr>
            </w:pPr>
            <w:r w:rsidRPr="00895BE9">
              <w:t>1.1. valsts pamatbudžets, tai skaitā ieņēmumi no maksas pakalpojumiem un citi pašu ieņēmumi</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76"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tcPr>
          <w:p w:rsidR="005C4636" w:rsidRPr="00895BE9" w:rsidRDefault="005C4636" w:rsidP="00895BE9">
            <w:pPr>
              <w:pStyle w:val="naisf"/>
              <w:shd w:val="clear" w:color="auto" w:fill="FFFFFF" w:themeFill="background1"/>
              <w:spacing w:before="0" w:after="0"/>
              <w:ind w:firstLine="0"/>
              <w:jc w:val="center"/>
            </w:pPr>
          </w:p>
          <w:p w:rsidR="005C4636" w:rsidRPr="00895BE9" w:rsidRDefault="005C4636" w:rsidP="00895BE9">
            <w:pPr>
              <w:pStyle w:val="naisf"/>
              <w:shd w:val="clear" w:color="auto" w:fill="FFFFFF" w:themeFill="background1"/>
              <w:spacing w:before="0" w:after="0"/>
              <w:ind w:firstLine="0"/>
              <w:jc w:val="center"/>
            </w:pPr>
          </w:p>
          <w:p w:rsidR="005C4636" w:rsidRPr="00895BE9" w:rsidRDefault="005C4636" w:rsidP="00895BE9">
            <w:pPr>
              <w:pStyle w:val="naisf"/>
              <w:shd w:val="clear" w:color="auto" w:fill="FFFFFF" w:themeFill="background1"/>
              <w:spacing w:before="0" w:after="0"/>
              <w:ind w:firstLine="0"/>
              <w:jc w:val="center"/>
            </w:pPr>
          </w:p>
          <w:p w:rsidR="005C4636" w:rsidRPr="00895BE9" w:rsidRDefault="005C4636" w:rsidP="00895BE9">
            <w:pPr>
              <w:pStyle w:val="naisf"/>
              <w:shd w:val="clear" w:color="auto" w:fill="FFFFFF" w:themeFill="background1"/>
              <w:spacing w:before="0" w:after="0"/>
              <w:ind w:firstLine="0"/>
              <w:jc w:val="center"/>
            </w:pPr>
            <w:r w:rsidRPr="00895BE9">
              <w:t>0</w:t>
            </w:r>
          </w:p>
        </w:tc>
      </w:tr>
      <w:tr w:rsidR="005C4636" w:rsidRPr="00895BE9" w:rsidTr="005C4636">
        <w:tblPrEx>
          <w:tblCellMar>
            <w:top w:w="0" w:type="dxa"/>
            <w:left w:w="108" w:type="dxa"/>
            <w:bottom w:w="0" w:type="dxa"/>
            <w:right w:w="108" w:type="dxa"/>
          </w:tblCellMar>
          <w:tblLook w:val="01E0"/>
        </w:tblPrEx>
        <w:tc>
          <w:tcPr>
            <w:tcW w:w="1220" w:type="pct"/>
          </w:tcPr>
          <w:p w:rsidR="005C4636" w:rsidRPr="00895BE9" w:rsidRDefault="005C4636" w:rsidP="00895BE9">
            <w:pPr>
              <w:pStyle w:val="naisf"/>
              <w:shd w:val="clear" w:color="auto" w:fill="FFFFFF" w:themeFill="background1"/>
              <w:spacing w:before="0" w:after="0"/>
              <w:ind w:firstLine="0"/>
              <w:rPr>
                <w:i/>
              </w:rPr>
            </w:pPr>
            <w:r w:rsidRPr="00895BE9">
              <w:t>1.2. valsts speciālais budžets</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76"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tcPr>
          <w:p w:rsidR="005C4636" w:rsidRPr="00895BE9" w:rsidRDefault="005C4636" w:rsidP="00895BE9">
            <w:pPr>
              <w:pStyle w:val="naisf"/>
              <w:shd w:val="clear" w:color="auto" w:fill="FFFFFF" w:themeFill="background1"/>
              <w:spacing w:before="0" w:after="0"/>
              <w:ind w:firstLine="0"/>
              <w:jc w:val="center"/>
            </w:pPr>
            <w:r w:rsidRPr="00895BE9">
              <w:t>0</w:t>
            </w:r>
          </w:p>
        </w:tc>
      </w:tr>
      <w:tr w:rsidR="005C4636" w:rsidRPr="00895BE9" w:rsidTr="005C4636">
        <w:tblPrEx>
          <w:tblCellMar>
            <w:top w:w="0" w:type="dxa"/>
            <w:left w:w="108" w:type="dxa"/>
            <w:bottom w:w="0" w:type="dxa"/>
            <w:right w:w="108" w:type="dxa"/>
          </w:tblCellMar>
          <w:tblLook w:val="01E0"/>
        </w:tblPrEx>
        <w:tc>
          <w:tcPr>
            <w:tcW w:w="1220" w:type="pct"/>
          </w:tcPr>
          <w:p w:rsidR="005C4636" w:rsidRPr="00895BE9" w:rsidRDefault="005C4636" w:rsidP="00895BE9">
            <w:pPr>
              <w:pStyle w:val="naisf"/>
              <w:shd w:val="clear" w:color="auto" w:fill="FFFFFF" w:themeFill="background1"/>
              <w:spacing w:before="0" w:after="0"/>
              <w:ind w:firstLine="0"/>
              <w:rPr>
                <w:i/>
              </w:rPr>
            </w:pPr>
            <w:r w:rsidRPr="00895BE9">
              <w:t>1.3. pašvaldību budžets</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76"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tcPr>
          <w:p w:rsidR="005C4636" w:rsidRPr="00895BE9" w:rsidRDefault="005C4636" w:rsidP="00895BE9">
            <w:pPr>
              <w:pStyle w:val="naisf"/>
              <w:shd w:val="clear" w:color="auto" w:fill="FFFFFF" w:themeFill="background1"/>
              <w:spacing w:before="0" w:after="0"/>
              <w:ind w:firstLine="0"/>
              <w:jc w:val="center"/>
            </w:pPr>
            <w:r w:rsidRPr="00895BE9">
              <w:t>0</w:t>
            </w:r>
          </w:p>
        </w:tc>
      </w:tr>
      <w:tr w:rsidR="005C4636" w:rsidRPr="00895BE9" w:rsidTr="005C4636">
        <w:tblPrEx>
          <w:tblCellMar>
            <w:top w:w="0" w:type="dxa"/>
            <w:left w:w="108" w:type="dxa"/>
            <w:bottom w:w="0" w:type="dxa"/>
            <w:right w:w="108" w:type="dxa"/>
          </w:tblCellMar>
          <w:tblLook w:val="01E0"/>
        </w:tblPrEx>
        <w:tc>
          <w:tcPr>
            <w:tcW w:w="1220" w:type="pct"/>
          </w:tcPr>
          <w:p w:rsidR="005C4636" w:rsidRPr="00895BE9" w:rsidRDefault="005C4636" w:rsidP="00895BE9">
            <w:pPr>
              <w:shd w:val="clear" w:color="auto" w:fill="FFFFFF" w:themeFill="background1"/>
              <w:jc w:val="both"/>
            </w:pPr>
            <w:r w:rsidRPr="00895BE9">
              <w:t>2. Budžeta izdevumi:</w:t>
            </w:r>
          </w:p>
        </w:tc>
        <w:tc>
          <w:tcPr>
            <w:tcW w:w="622" w:type="pct"/>
            <w:vAlign w:val="center"/>
          </w:tcPr>
          <w:p w:rsidR="005C4636" w:rsidRPr="00310E58" w:rsidRDefault="005C4636" w:rsidP="00895BE9">
            <w:pPr>
              <w:pStyle w:val="naisf"/>
              <w:shd w:val="clear" w:color="auto" w:fill="FFFFFF" w:themeFill="background1"/>
              <w:spacing w:before="0" w:after="0"/>
              <w:ind w:firstLine="0"/>
              <w:jc w:val="center"/>
            </w:pPr>
            <w:r w:rsidRPr="00310E58">
              <w:t>0</w:t>
            </w:r>
          </w:p>
        </w:tc>
        <w:tc>
          <w:tcPr>
            <w:tcW w:w="620" w:type="pct"/>
            <w:vAlign w:val="center"/>
          </w:tcPr>
          <w:p w:rsidR="005C4636" w:rsidRPr="00310E58" w:rsidRDefault="005C4636" w:rsidP="00895BE9">
            <w:pPr>
              <w:pStyle w:val="naisf"/>
              <w:shd w:val="clear" w:color="auto" w:fill="FFFFFF" w:themeFill="background1"/>
              <w:spacing w:before="0" w:after="0"/>
              <w:ind w:firstLine="0"/>
              <w:jc w:val="center"/>
            </w:pPr>
            <w:r w:rsidRPr="00310E58">
              <w:t>0</w:t>
            </w:r>
          </w:p>
        </w:tc>
        <w:tc>
          <w:tcPr>
            <w:tcW w:w="676" w:type="pct"/>
          </w:tcPr>
          <w:p w:rsidR="005C4636" w:rsidRPr="00895BE9" w:rsidRDefault="005C4636" w:rsidP="00895BE9">
            <w:pPr>
              <w:shd w:val="clear" w:color="auto" w:fill="FFFFFF" w:themeFill="background1"/>
              <w:jc w:val="center"/>
            </w:pPr>
            <w:r w:rsidRPr="00895BE9">
              <w:t>0</w:t>
            </w:r>
          </w:p>
        </w:tc>
        <w:tc>
          <w:tcPr>
            <w:tcW w:w="620" w:type="pct"/>
          </w:tcPr>
          <w:p w:rsidR="005C4636" w:rsidRPr="00895BE9" w:rsidRDefault="005C4636" w:rsidP="00895BE9">
            <w:pPr>
              <w:shd w:val="clear" w:color="auto" w:fill="FFFFFF" w:themeFill="background1"/>
              <w:jc w:val="center"/>
            </w:pPr>
            <w:r w:rsidRPr="00895BE9">
              <w:t>255</w:t>
            </w:r>
            <w:r w:rsidR="008E1BC7" w:rsidRPr="00895BE9">
              <w:t>,</w:t>
            </w:r>
            <w:r w:rsidRPr="00895BE9">
              <w:t xml:space="preserve"> </w:t>
            </w:r>
            <w:r w:rsidR="008E1BC7" w:rsidRPr="00895BE9">
              <w:t>1</w:t>
            </w:r>
          </w:p>
        </w:tc>
        <w:tc>
          <w:tcPr>
            <w:tcW w:w="622" w:type="pct"/>
          </w:tcPr>
          <w:p w:rsidR="005C4636" w:rsidRPr="00895BE9" w:rsidRDefault="005C4636" w:rsidP="00895BE9">
            <w:pPr>
              <w:shd w:val="clear" w:color="auto" w:fill="FFFFFF" w:themeFill="background1"/>
              <w:jc w:val="center"/>
            </w:pPr>
            <w:r w:rsidRPr="00895BE9">
              <w:t>1</w:t>
            </w:r>
            <w:r w:rsidR="008E1BC7" w:rsidRPr="00895BE9">
              <w:t> </w:t>
            </w:r>
            <w:r w:rsidRPr="00895BE9">
              <w:t>020</w:t>
            </w:r>
            <w:r w:rsidR="008E1BC7" w:rsidRPr="00895BE9">
              <w:t>,</w:t>
            </w:r>
            <w:r w:rsidRPr="00895BE9">
              <w:t>3</w:t>
            </w:r>
          </w:p>
        </w:tc>
        <w:tc>
          <w:tcPr>
            <w:tcW w:w="620" w:type="pct"/>
          </w:tcPr>
          <w:p w:rsidR="005C4636" w:rsidRPr="00895BE9" w:rsidRDefault="005C4636" w:rsidP="00895BE9">
            <w:pPr>
              <w:shd w:val="clear" w:color="auto" w:fill="FFFFFF" w:themeFill="background1"/>
              <w:jc w:val="center"/>
            </w:pPr>
            <w:r w:rsidRPr="00895BE9">
              <w:t>1</w:t>
            </w:r>
            <w:r w:rsidR="008E1BC7" w:rsidRPr="00895BE9">
              <w:t> </w:t>
            </w:r>
            <w:r w:rsidRPr="00895BE9">
              <w:t>530</w:t>
            </w:r>
            <w:r w:rsidR="008E1BC7" w:rsidRPr="00895BE9">
              <w:t>,</w:t>
            </w:r>
            <w:r w:rsidRPr="00895BE9">
              <w:t>5</w:t>
            </w:r>
          </w:p>
        </w:tc>
      </w:tr>
      <w:tr w:rsidR="005C4636" w:rsidRPr="00895BE9" w:rsidTr="005C4636">
        <w:tblPrEx>
          <w:tblCellMar>
            <w:top w:w="0" w:type="dxa"/>
            <w:left w:w="108" w:type="dxa"/>
            <w:bottom w:w="0" w:type="dxa"/>
            <w:right w:w="108" w:type="dxa"/>
          </w:tblCellMar>
          <w:tblLook w:val="01E0"/>
        </w:tblPrEx>
        <w:tc>
          <w:tcPr>
            <w:tcW w:w="1220" w:type="pct"/>
          </w:tcPr>
          <w:p w:rsidR="005C4636" w:rsidRPr="00895BE9" w:rsidRDefault="005C4636" w:rsidP="00895BE9">
            <w:pPr>
              <w:shd w:val="clear" w:color="auto" w:fill="FFFFFF" w:themeFill="background1"/>
              <w:jc w:val="both"/>
            </w:pPr>
            <w:r w:rsidRPr="00895BE9">
              <w:t>2.1. valsts pamatbudžets</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76" w:type="pct"/>
          </w:tcPr>
          <w:p w:rsidR="005C4636" w:rsidRPr="00895BE9" w:rsidRDefault="005C4636" w:rsidP="00895BE9">
            <w:pPr>
              <w:shd w:val="clear" w:color="auto" w:fill="FFFFFF" w:themeFill="background1"/>
              <w:jc w:val="center"/>
            </w:pPr>
            <w:r w:rsidRPr="00895BE9">
              <w:t>0</w:t>
            </w:r>
          </w:p>
        </w:tc>
        <w:tc>
          <w:tcPr>
            <w:tcW w:w="620" w:type="pct"/>
          </w:tcPr>
          <w:p w:rsidR="005C4636" w:rsidRPr="00895BE9" w:rsidRDefault="005C4636" w:rsidP="00895BE9">
            <w:pPr>
              <w:shd w:val="clear" w:color="auto" w:fill="FFFFFF" w:themeFill="background1"/>
              <w:jc w:val="center"/>
            </w:pPr>
            <w:r w:rsidRPr="00895BE9">
              <w:t>255</w:t>
            </w:r>
            <w:r w:rsidR="008E1BC7" w:rsidRPr="00895BE9">
              <w:t>,</w:t>
            </w:r>
            <w:r w:rsidRPr="00895BE9">
              <w:t xml:space="preserve"> </w:t>
            </w:r>
            <w:r w:rsidR="008E1BC7" w:rsidRPr="00895BE9">
              <w:t>1</w:t>
            </w:r>
          </w:p>
        </w:tc>
        <w:tc>
          <w:tcPr>
            <w:tcW w:w="622" w:type="pct"/>
          </w:tcPr>
          <w:p w:rsidR="005C4636" w:rsidRPr="00895BE9" w:rsidRDefault="005C4636" w:rsidP="00895BE9">
            <w:pPr>
              <w:shd w:val="clear" w:color="auto" w:fill="FFFFFF" w:themeFill="background1"/>
              <w:jc w:val="center"/>
            </w:pPr>
            <w:r w:rsidRPr="00895BE9">
              <w:t>1</w:t>
            </w:r>
            <w:r w:rsidR="008E1BC7" w:rsidRPr="00895BE9">
              <w:t> </w:t>
            </w:r>
            <w:r w:rsidRPr="00895BE9">
              <w:t>020</w:t>
            </w:r>
            <w:r w:rsidR="008E1BC7" w:rsidRPr="00895BE9">
              <w:t>,</w:t>
            </w:r>
            <w:r w:rsidRPr="00895BE9">
              <w:t>3</w:t>
            </w:r>
          </w:p>
        </w:tc>
        <w:tc>
          <w:tcPr>
            <w:tcW w:w="620" w:type="pct"/>
          </w:tcPr>
          <w:p w:rsidR="005C4636" w:rsidRPr="00895BE9" w:rsidRDefault="005C4636" w:rsidP="00895BE9">
            <w:pPr>
              <w:shd w:val="clear" w:color="auto" w:fill="FFFFFF" w:themeFill="background1"/>
              <w:jc w:val="center"/>
            </w:pPr>
            <w:r w:rsidRPr="00895BE9">
              <w:t>1</w:t>
            </w:r>
            <w:r w:rsidR="008E1BC7" w:rsidRPr="00895BE9">
              <w:t> </w:t>
            </w:r>
            <w:r w:rsidRPr="00895BE9">
              <w:t>530</w:t>
            </w:r>
            <w:r w:rsidR="008E1BC7" w:rsidRPr="00895BE9">
              <w:t>,</w:t>
            </w:r>
            <w:r w:rsidRPr="00895BE9">
              <w:t>5</w:t>
            </w:r>
          </w:p>
        </w:tc>
      </w:tr>
      <w:tr w:rsidR="005C4636" w:rsidRPr="00895BE9" w:rsidTr="005C4636">
        <w:tblPrEx>
          <w:tblCellMar>
            <w:top w:w="0" w:type="dxa"/>
            <w:left w:w="108" w:type="dxa"/>
            <w:bottom w:w="0" w:type="dxa"/>
            <w:right w:w="108" w:type="dxa"/>
          </w:tblCellMar>
          <w:tblLook w:val="01E0"/>
        </w:tblPrEx>
        <w:tc>
          <w:tcPr>
            <w:tcW w:w="1220" w:type="pct"/>
          </w:tcPr>
          <w:p w:rsidR="005C4636" w:rsidRPr="00895BE9" w:rsidRDefault="005C4636" w:rsidP="00895BE9">
            <w:pPr>
              <w:shd w:val="clear" w:color="auto" w:fill="FFFFFF" w:themeFill="background1"/>
              <w:jc w:val="both"/>
            </w:pPr>
            <w:r w:rsidRPr="00895BE9">
              <w:lastRenderedPageBreak/>
              <w:t>2.2. valsts speciālais budžets</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76"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tcPr>
          <w:p w:rsidR="005C4636" w:rsidRPr="00895BE9" w:rsidRDefault="005C4636" w:rsidP="00895BE9">
            <w:pPr>
              <w:pStyle w:val="naisf"/>
              <w:shd w:val="clear" w:color="auto" w:fill="FFFFFF" w:themeFill="background1"/>
              <w:spacing w:before="0" w:after="0"/>
              <w:ind w:firstLine="0"/>
              <w:jc w:val="center"/>
            </w:pPr>
          </w:p>
        </w:tc>
      </w:tr>
      <w:tr w:rsidR="005C4636" w:rsidRPr="00895BE9" w:rsidTr="005C4636">
        <w:tblPrEx>
          <w:tblCellMar>
            <w:top w:w="0" w:type="dxa"/>
            <w:left w:w="108" w:type="dxa"/>
            <w:bottom w:w="0" w:type="dxa"/>
            <w:right w:w="108" w:type="dxa"/>
          </w:tblCellMar>
          <w:tblLook w:val="01E0"/>
        </w:tblPrEx>
        <w:tc>
          <w:tcPr>
            <w:tcW w:w="1220" w:type="pct"/>
          </w:tcPr>
          <w:p w:rsidR="005C4636" w:rsidRPr="00895BE9" w:rsidRDefault="005C4636" w:rsidP="00895BE9">
            <w:pPr>
              <w:shd w:val="clear" w:color="auto" w:fill="FFFFFF" w:themeFill="background1"/>
              <w:jc w:val="both"/>
            </w:pPr>
            <w:r w:rsidRPr="00895BE9">
              <w:t xml:space="preserve">2.3. pašvaldību budžets </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76"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2" w:type="pct"/>
            <w:vAlign w:val="center"/>
          </w:tcPr>
          <w:p w:rsidR="005C4636" w:rsidRPr="00895BE9" w:rsidRDefault="005C4636" w:rsidP="00895BE9">
            <w:pPr>
              <w:pStyle w:val="naisf"/>
              <w:shd w:val="clear" w:color="auto" w:fill="FFFFFF" w:themeFill="background1"/>
              <w:spacing w:before="0" w:after="0"/>
              <w:ind w:firstLine="0"/>
              <w:jc w:val="center"/>
            </w:pPr>
            <w:r w:rsidRPr="00895BE9">
              <w:t>0</w:t>
            </w:r>
          </w:p>
        </w:tc>
        <w:tc>
          <w:tcPr>
            <w:tcW w:w="620" w:type="pct"/>
          </w:tcPr>
          <w:p w:rsidR="005C4636" w:rsidRPr="00895BE9" w:rsidRDefault="005C4636" w:rsidP="00895BE9">
            <w:pPr>
              <w:pStyle w:val="naisf"/>
              <w:shd w:val="clear" w:color="auto" w:fill="FFFFFF" w:themeFill="background1"/>
              <w:spacing w:before="0" w:after="0"/>
              <w:ind w:firstLine="0"/>
              <w:jc w:val="center"/>
            </w:pPr>
          </w:p>
        </w:tc>
      </w:tr>
      <w:tr w:rsidR="00A1427A" w:rsidRPr="00895BE9" w:rsidTr="005C4636">
        <w:tblPrEx>
          <w:tblCellMar>
            <w:top w:w="0" w:type="dxa"/>
            <w:left w:w="108" w:type="dxa"/>
            <w:bottom w:w="0" w:type="dxa"/>
            <w:right w:w="108" w:type="dxa"/>
          </w:tblCellMar>
          <w:tblLook w:val="01E0"/>
        </w:tblPrEx>
        <w:tc>
          <w:tcPr>
            <w:tcW w:w="1220" w:type="pct"/>
          </w:tcPr>
          <w:p w:rsidR="00A1427A" w:rsidRPr="00895BE9" w:rsidRDefault="00A1427A" w:rsidP="00895BE9">
            <w:pPr>
              <w:shd w:val="clear" w:color="auto" w:fill="FFFFFF" w:themeFill="background1"/>
              <w:jc w:val="both"/>
            </w:pPr>
            <w:r w:rsidRPr="00895BE9">
              <w:t>3. Finansiālā ietekme:</w:t>
            </w:r>
          </w:p>
        </w:tc>
        <w:tc>
          <w:tcPr>
            <w:tcW w:w="622" w:type="pct"/>
            <w:shd w:val="clear" w:color="auto" w:fill="auto"/>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76" w:type="pct"/>
          </w:tcPr>
          <w:p w:rsidR="00A1427A" w:rsidRPr="00895BE9" w:rsidRDefault="00A1427A" w:rsidP="00895BE9">
            <w:pPr>
              <w:shd w:val="clear" w:color="auto" w:fill="FFFFFF" w:themeFill="background1"/>
              <w:jc w:val="center"/>
            </w:pPr>
            <w:r w:rsidRPr="00895BE9">
              <w:t>0</w:t>
            </w:r>
          </w:p>
        </w:tc>
        <w:tc>
          <w:tcPr>
            <w:tcW w:w="620" w:type="pct"/>
          </w:tcPr>
          <w:p w:rsidR="00A1427A" w:rsidRPr="00895BE9" w:rsidRDefault="00A1427A" w:rsidP="00895BE9">
            <w:pPr>
              <w:shd w:val="clear" w:color="auto" w:fill="FFFFFF" w:themeFill="background1"/>
              <w:jc w:val="center"/>
            </w:pPr>
          </w:p>
          <w:p w:rsidR="00A1427A" w:rsidRPr="00895BE9" w:rsidRDefault="00A1427A" w:rsidP="00895BE9">
            <w:pPr>
              <w:shd w:val="clear" w:color="auto" w:fill="FFFFFF" w:themeFill="background1"/>
              <w:jc w:val="center"/>
            </w:pPr>
            <w:r w:rsidRPr="00895BE9">
              <w:t>-255, 1</w:t>
            </w:r>
          </w:p>
        </w:tc>
        <w:tc>
          <w:tcPr>
            <w:tcW w:w="622" w:type="pct"/>
          </w:tcPr>
          <w:p w:rsidR="00A1427A" w:rsidRPr="00895BE9" w:rsidRDefault="00A1427A" w:rsidP="00895BE9">
            <w:pPr>
              <w:shd w:val="clear" w:color="auto" w:fill="FFFFFF" w:themeFill="background1"/>
              <w:jc w:val="center"/>
            </w:pPr>
          </w:p>
          <w:p w:rsidR="00A1427A" w:rsidRPr="00895BE9" w:rsidRDefault="00A1427A" w:rsidP="00895BE9">
            <w:pPr>
              <w:shd w:val="clear" w:color="auto" w:fill="FFFFFF" w:themeFill="background1"/>
              <w:jc w:val="center"/>
            </w:pPr>
            <w:r w:rsidRPr="00895BE9">
              <w:t>-1 020,3</w:t>
            </w:r>
          </w:p>
        </w:tc>
        <w:tc>
          <w:tcPr>
            <w:tcW w:w="620" w:type="pct"/>
          </w:tcPr>
          <w:p w:rsidR="00A1427A" w:rsidRPr="00895BE9" w:rsidRDefault="00A1427A" w:rsidP="00895BE9">
            <w:pPr>
              <w:shd w:val="clear" w:color="auto" w:fill="FFFFFF" w:themeFill="background1"/>
              <w:jc w:val="center"/>
            </w:pPr>
          </w:p>
          <w:p w:rsidR="00A1427A" w:rsidRPr="00895BE9" w:rsidRDefault="00A1427A" w:rsidP="00895BE9">
            <w:pPr>
              <w:shd w:val="clear" w:color="auto" w:fill="FFFFFF" w:themeFill="background1"/>
              <w:jc w:val="center"/>
            </w:pPr>
            <w:r w:rsidRPr="00895BE9">
              <w:t>-1 530,5</w:t>
            </w:r>
          </w:p>
        </w:tc>
      </w:tr>
      <w:tr w:rsidR="00A1427A" w:rsidRPr="00895BE9" w:rsidTr="005C4636">
        <w:tblPrEx>
          <w:tblCellMar>
            <w:top w:w="0" w:type="dxa"/>
            <w:left w:w="108" w:type="dxa"/>
            <w:bottom w:w="0" w:type="dxa"/>
            <w:right w:w="108" w:type="dxa"/>
          </w:tblCellMar>
          <w:tblLook w:val="01E0"/>
        </w:tblPrEx>
        <w:tc>
          <w:tcPr>
            <w:tcW w:w="1220" w:type="pct"/>
          </w:tcPr>
          <w:p w:rsidR="00A1427A" w:rsidRPr="00895BE9" w:rsidRDefault="00A1427A" w:rsidP="00895BE9">
            <w:pPr>
              <w:shd w:val="clear" w:color="auto" w:fill="FFFFFF" w:themeFill="background1"/>
              <w:jc w:val="both"/>
            </w:pPr>
            <w:r w:rsidRPr="00895BE9">
              <w:t>3.1. valsts pamatbudžets</w:t>
            </w:r>
          </w:p>
        </w:tc>
        <w:tc>
          <w:tcPr>
            <w:tcW w:w="622" w:type="pct"/>
            <w:shd w:val="clear" w:color="auto" w:fill="auto"/>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76" w:type="pct"/>
          </w:tcPr>
          <w:p w:rsidR="00A1427A" w:rsidRPr="00895BE9" w:rsidRDefault="00A1427A" w:rsidP="00895BE9">
            <w:pPr>
              <w:shd w:val="clear" w:color="auto" w:fill="FFFFFF" w:themeFill="background1"/>
              <w:jc w:val="center"/>
            </w:pPr>
            <w:r w:rsidRPr="00895BE9">
              <w:t>0</w:t>
            </w:r>
          </w:p>
        </w:tc>
        <w:tc>
          <w:tcPr>
            <w:tcW w:w="620" w:type="pct"/>
          </w:tcPr>
          <w:p w:rsidR="00A1427A" w:rsidRPr="00895BE9" w:rsidRDefault="00A1427A" w:rsidP="00895BE9">
            <w:pPr>
              <w:shd w:val="clear" w:color="auto" w:fill="FFFFFF" w:themeFill="background1"/>
              <w:jc w:val="center"/>
            </w:pPr>
          </w:p>
          <w:p w:rsidR="00A1427A" w:rsidRPr="00895BE9" w:rsidRDefault="00A1427A" w:rsidP="00895BE9">
            <w:pPr>
              <w:shd w:val="clear" w:color="auto" w:fill="FFFFFF" w:themeFill="background1"/>
              <w:jc w:val="center"/>
            </w:pPr>
            <w:r w:rsidRPr="00895BE9">
              <w:t>-255, 1</w:t>
            </w:r>
          </w:p>
        </w:tc>
        <w:tc>
          <w:tcPr>
            <w:tcW w:w="622" w:type="pct"/>
          </w:tcPr>
          <w:p w:rsidR="00A1427A" w:rsidRPr="00895BE9" w:rsidRDefault="00A1427A" w:rsidP="00895BE9">
            <w:pPr>
              <w:shd w:val="clear" w:color="auto" w:fill="FFFFFF" w:themeFill="background1"/>
              <w:jc w:val="center"/>
            </w:pPr>
          </w:p>
          <w:p w:rsidR="00A1427A" w:rsidRPr="00895BE9" w:rsidRDefault="00A1427A" w:rsidP="00895BE9">
            <w:pPr>
              <w:shd w:val="clear" w:color="auto" w:fill="FFFFFF" w:themeFill="background1"/>
              <w:jc w:val="center"/>
            </w:pPr>
            <w:r w:rsidRPr="00895BE9">
              <w:t>-1 020,3</w:t>
            </w:r>
          </w:p>
        </w:tc>
        <w:tc>
          <w:tcPr>
            <w:tcW w:w="620" w:type="pct"/>
          </w:tcPr>
          <w:p w:rsidR="00A1427A" w:rsidRPr="00895BE9" w:rsidRDefault="00A1427A" w:rsidP="00895BE9">
            <w:pPr>
              <w:shd w:val="clear" w:color="auto" w:fill="FFFFFF" w:themeFill="background1"/>
              <w:jc w:val="center"/>
            </w:pPr>
          </w:p>
          <w:p w:rsidR="00A1427A" w:rsidRPr="00895BE9" w:rsidRDefault="00A1427A" w:rsidP="00895BE9">
            <w:pPr>
              <w:shd w:val="clear" w:color="auto" w:fill="FFFFFF" w:themeFill="background1"/>
              <w:jc w:val="center"/>
            </w:pPr>
            <w:r w:rsidRPr="00895BE9">
              <w:t>-1 530,5</w:t>
            </w:r>
          </w:p>
        </w:tc>
      </w:tr>
      <w:tr w:rsidR="00A1427A" w:rsidRPr="00895BE9" w:rsidTr="005C4636">
        <w:tblPrEx>
          <w:tblCellMar>
            <w:top w:w="0" w:type="dxa"/>
            <w:left w:w="108" w:type="dxa"/>
            <w:bottom w:w="0" w:type="dxa"/>
            <w:right w:w="108" w:type="dxa"/>
          </w:tblCellMar>
          <w:tblLook w:val="01E0"/>
        </w:tblPrEx>
        <w:tc>
          <w:tcPr>
            <w:tcW w:w="1220" w:type="pct"/>
          </w:tcPr>
          <w:p w:rsidR="00A1427A" w:rsidRPr="00895BE9" w:rsidRDefault="00A1427A" w:rsidP="00895BE9">
            <w:pPr>
              <w:shd w:val="clear" w:color="auto" w:fill="FFFFFF" w:themeFill="background1"/>
              <w:jc w:val="both"/>
            </w:pPr>
            <w:r w:rsidRPr="00895BE9">
              <w:t>3.2. speciālais budžets</w:t>
            </w:r>
          </w:p>
        </w:tc>
        <w:tc>
          <w:tcPr>
            <w:tcW w:w="622" w:type="pct"/>
            <w:shd w:val="clear" w:color="auto" w:fill="auto"/>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76"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2"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tcPr>
          <w:p w:rsidR="00A1427A" w:rsidRPr="00895BE9" w:rsidRDefault="00A1427A" w:rsidP="00895BE9">
            <w:pPr>
              <w:pStyle w:val="naisf"/>
              <w:shd w:val="clear" w:color="auto" w:fill="FFFFFF" w:themeFill="background1"/>
              <w:spacing w:before="0" w:after="0"/>
              <w:ind w:firstLine="0"/>
              <w:jc w:val="center"/>
            </w:pPr>
            <w:r w:rsidRPr="00895BE9">
              <w:t>0</w:t>
            </w:r>
          </w:p>
        </w:tc>
      </w:tr>
      <w:tr w:rsidR="00A1427A" w:rsidRPr="00895BE9" w:rsidTr="005C4636">
        <w:tblPrEx>
          <w:tblCellMar>
            <w:top w:w="0" w:type="dxa"/>
            <w:left w:w="108" w:type="dxa"/>
            <w:bottom w:w="0" w:type="dxa"/>
            <w:right w:w="108" w:type="dxa"/>
          </w:tblCellMar>
          <w:tblLook w:val="01E0"/>
        </w:tblPrEx>
        <w:tc>
          <w:tcPr>
            <w:tcW w:w="1220" w:type="pct"/>
          </w:tcPr>
          <w:p w:rsidR="00A1427A" w:rsidRPr="00895BE9" w:rsidRDefault="00A1427A" w:rsidP="00895BE9">
            <w:pPr>
              <w:shd w:val="clear" w:color="auto" w:fill="FFFFFF" w:themeFill="background1"/>
              <w:jc w:val="both"/>
            </w:pPr>
            <w:r w:rsidRPr="00895BE9">
              <w:t xml:space="preserve">3.3. pašvaldību budžets </w:t>
            </w:r>
          </w:p>
        </w:tc>
        <w:tc>
          <w:tcPr>
            <w:tcW w:w="622" w:type="pct"/>
            <w:shd w:val="clear" w:color="auto" w:fill="auto"/>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76"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2"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tcPr>
          <w:p w:rsidR="00A1427A" w:rsidRPr="00895BE9" w:rsidRDefault="00A1427A" w:rsidP="00895BE9">
            <w:pPr>
              <w:pStyle w:val="naisf"/>
              <w:shd w:val="clear" w:color="auto" w:fill="FFFFFF" w:themeFill="background1"/>
              <w:spacing w:before="0" w:after="0"/>
              <w:ind w:firstLine="0"/>
              <w:jc w:val="center"/>
            </w:pPr>
            <w:r w:rsidRPr="00895BE9">
              <w:t>0</w:t>
            </w:r>
          </w:p>
        </w:tc>
      </w:tr>
      <w:tr w:rsidR="00A1427A" w:rsidRPr="00895BE9" w:rsidTr="005C4636">
        <w:tblPrEx>
          <w:tblCellMar>
            <w:top w:w="0" w:type="dxa"/>
            <w:left w:w="108" w:type="dxa"/>
            <w:bottom w:w="0" w:type="dxa"/>
            <w:right w:w="108" w:type="dxa"/>
          </w:tblCellMar>
          <w:tblLook w:val="01E0"/>
        </w:tblPrEx>
        <w:tc>
          <w:tcPr>
            <w:tcW w:w="1220" w:type="pct"/>
            <w:vMerge w:val="restart"/>
          </w:tcPr>
          <w:p w:rsidR="00A1427A" w:rsidRPr="00895BE9" w:rsidRDefault="00A1427A" w:rsidP="00895BE9">
            <w:pPr>
              <w:shd w:val="clear" w:color="auto" w:fill="FFFFFF" w:themeFill="background1"/>
              <w:jc w:val="both"/>
            </w:pPr>
            <w:r w:rsidRPr="00895BE9">
              <w:t>4. Finanšu līdzekļi papildu izdevumu finansēšanai (kompensējošu izdevumu samazinājumu norāda ar "+" zīmi)</w:t>
            </w:r>
          </w:p>
        </w:tc>
        <w:tc>
          <w:tcPr>
            <w:tcW w:w="622" w:type="pct"/>
            <w:vMerge w:val="restart"/>
            <w:vAlign w:val="center"/>
          </w:tcPr>
          <w:p w:rsidR="00A1427A" w:rsidRPr="00895BE9" w:rsidRDefault="00A1427A" w:rsidP="00895BE9">
            <w:pPr>
              <w:pStyle w:val="naisf"/>
              <w:shd w:val="clear" w:color="auto" w:fill="FFFFFF" w:themeFill="background1"/>
              <w:spacing w:before="0" w:after="0"/>
              <w:ind w:firstLine="0"/>
              <w:jc w:val="center"/>
            </w:pPr>
            <w:r w:rsidRPr="00895BE9">
              <w:t>X</w:t>
            </w:r>
          </w:p>
        </w:tc>
        <w:tc>
          <w:tcPr>
            <w:tcW w:w="620"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76" w:type="pct"/>
          </w:tcPr>
          <w:p w:rsidR="00A1427A" w:rsidRPr="00895BE9" w:rsidRDefault="00A1427A" w:rsidP="00895BE9">
            <w:pPr>
              <w:shd w:val="clear" w:color="auto" w:fill="FFFFFF" w:themeFill="background1"/>
              <w:jc w:val="center"/>
            </w:pPr>
            <w:r w:rsidRPr="00895BE9">
              <w:t>0</w:t>
            </w:r>
          </w:p>
        </w:tc>
        <w:tc>
          <w:tcPr>
            <w:tcW w:w="620" w:type="pct"/>
          </w:tcPr>
          <w:p w:rsidR="00A1427A" w:rsidRPr="00895BE9" w:rsidRDefault="00A1427A" w:rsidP="00895BE9">
            <w:pPr>
              <w:shd w:val="clear" w:color="auto" w:fill="FFFFFF" w:themeFill="background1"/>
              <w:jc w:val="center"/>
            </w:pPr>
            <w:r w:rsidRPr="00895BE9">
              <w:t>0</w:t>
            </w:r>
          </w:p>
        </w:tc>
        <w:tc>
          <w:tcPr>
            <w:tcW w:w="622" w:type="pct"/>
          </w:tcPr>
          <w:p w:rsidR="00A1427A" w:rsidRPr="00895BE9" w:rsidRDefault="00A1427A" w:rsidP="00895BE9">
            <w:pPr>
              <w:shd w:val="clear" w:color="auto" w:fill="FFFFFF" w:themeFill="background1"/>
              <w:jc w:val="center"/>
            </w:pPr>
            <w:r w:rsidRPr="00895BE9">
              <w:t>0</w:t>
            </w:r>
          </w:p>
        </w:tc>
        <w:tc>
          <w:tcPr>
            <w:tcW w:w="620" w:type="pct"/>
          </w:tcPr>
          <w:p w:rsidR="00A1427A" w:rsidRPr="00895BE9" w:rsidRDefault="00A1427A" w:rsidP="00895BE9">
            <w:pPr>
              <w:shd w:val="clear" w:color="auto" w:fill="FFFFFF" w:themeFill="background1"/>
              <w:jc w:val="center"/>
            </w:pPr>
            <w:r w:rsidRPr="00895BE9">
              <w:t>0</w:t>
            </w:r>
          </w:p>
        </w:tc>
      </w:tr>
      <w:tr w:rsidR="00A1427A" w:rsidRPr="00895BE9" w:rsidTr="005C4636">
        <w:tblPrEx>
          <w:tblCellMar>
            <w:top w:w="0" w:type="dxa"/>
            <w:left w:w="108" w:type="dxa"/>
            <w:bottom w:w="0" w:type="dxa"/>
            <w:right w:w="108" w:type="dxa"/>
          </w:tblCellMar>
          <w:tblLook w:val="01E0"/>
        </w:tblPrEx>
        <w:tc>
          <w:tcPr>
            <w:tcW w:w="1220" w:type="pct"/>
            <w:vMerge/>
          </w:tcPr>
          <w:p w:rsidR="00A1427A" w:rsidRPr="00895BE9" w:rsidRDefault="00A1427A" w:rsidP="00895BE9">
            <w:pPr>
              <w:shd w:val="clear" w:color="auto" w:fill="FFFFFF" w:themeFill="background1"/>
              <w:jc w:val="both"/>
            </w:pPr>
          </w:p>
        </w:tc>
        <w:tc>
          <w:tcPr>
            <w:tcW w:w="622" w:type="pct"/>
            <w:vMerge/>
            <w:vAlign w:val="center"/>
          </w:tcPr>
          <w:p w:rsidR="00A1427A" w:rsidRPr="00895BE9" w:rsidRDefault="00A1427A" w:rsidP="00895BE9">
            <w:pPr>
              <w:pStyle w:val="naisf"/>
              <w:shd w:val="clear" w:color="auto" w:fill="FFFFFF" w:themeFill="background1"/>
              <w:spacing w:before="0" w:after="0"/>
              <w:ind w:firstLine="0"/>
              <w:jc w:val="center"/>
            </w:pPr>
          </w:p>
        </w:tc>
        <w:tc>
          <w:tcPr>
            <w:tcW w:w="620"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76"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2"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tcPr>
          <w:p w:rsidR="00A1427A" w:rsidRPr="00895BE9" w:rsidRDefault="00A1427A" w:rsidP="00895BE9">
            <w:pPr>
              <w:pStyle w:val="naisf"/>
              <w:shd w:val="clear" w:color="auto" w:fill="FFFFFF" w:themeFill="background1"/>
              <w:spacing w:before="0" w:after="0"/>
              <w:ind w:firstLine="0"/>
              <w:jc w:val="center"/>
            </w:pPr>
            <w:r w:rsidRPr="00895BE9">
              <w:t>0</w:t>
            </w:r>
          </w:p>
        </w:tc>
      </w:tr>
      <w:tr w:rsidR="00A1427A" w:rsidRPr="00895BE9" w:rsidTr="005C4636">
        <w:tblPrEx>
          <w:tblCellMar>
            <w:top w:w="0" w:type="dxa"/>
            <w:left w:w="108" w:type="dxa"/>
            <w:bottom w:w="0" w:type="dxa"/>
            <w:right w:w="108" w:type="dxa"/>
          </w:tblCellMar>
          <w:tblLook w:val="01E0"/>
        </w:tblPrEx>
        <w:tc>
          <w:tcPr>
            <w:tcW w:w="1220" w:type="pct"/>
            <w:vMerge/>
          </w:tcPr>
          <w:p w:rsidR="00A1427A" w:rsidRPr="00895BE9" w:rsidRDefault="00A1427A" w:rsidP="00895BE9">
            <w:pPr>
              <w:shd w:val="clear" w:color="auto" w:fill="FFFFFF" w:themeFill="background1"/>
              <w:jc w:val="both"/>
            </w:pPr>
          </w:p>
        </w:tc>
        <w:tc>
          <w:tcPr>
            <w:tcW w:w="622" w:type="pct"/>
            <w:vMerge/>
            <w:vAlign w:val="center"/>
          </w:tcPr>
          <w:p w:rsidR="00A1427A" w:rsidRPr="00895BE9" w:rsidRDefault="00A1427A" w:rsidP="00895BE9">
            <w:pPr>
              <w:pStyle w:val="naisf"/>
              <w:shd w:val="clear" w:color="auto" w:fill="FFFFFF" w:themeFill="background1"/>
              <w:spacing w:before="0" w:after="0"/>
              <w:ind w:firstLine="0"/>
              <w:jc w:val="center"/>
            </w:pPr>
          </w:p>
        </w:tc>
        <w:tc>
          <w:tcPr>
            <w:tcW w:w="620"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76"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2"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tcPr>
          <w:p w:rsidR="00A1427A" w:rsidRPr="00895BE9" w:rsidRDefault="00A1427A" w:rsidP="00895BE9">
            <w:pPr>
              <w:pStyle w:val="naisf"/>
              <w:shd w:val="clear" w:color="auto" w:fill="FFFFFF" w:themeFill="background1"/>
              <w:spacing w:before="0" w:after="0"/>
              <w:ind w:firstLine="0"/>
              <w:jc w:val="center"/>
            </w:pPr>
          </w:p>
          <w:p w:rsidR="00A1427A" w:rsidRPr="00895BE9" w:rsidRDefault="00A1427A" w:rsidP="00895BE9">
            <w:pPr>
              <w:pStyle w:val="naisf"/>
              <w:shd w:val="clear" w:color="auto" w:fill="FFFFFF" w:themeFill="background1"/>
              <w:spacing w:before="0" w:after="0"/>
              <w:ind w:firstLine="0"/>
              <w:jc w:val="center"/>
            </w:pPr>
            <w:r w:rsidRPr="00895BE9">
              <w:t>0</w:t>
            </w:r>
          </w:p>
        </w:tc>
      </w:tr>
      <w:tr w:rsidR="00A1427A" w:rsidRPr="00895BE9" w:rsidTr="005C4636">
        <w:tblPrEx>
          <w:tblCellMar>
            <w:top w:w="0" w:type="dxa"/>
            <w:left w:w="108" w:type="dxa"/>
            <w:bottom w:w="0" w:type="dxa"/>
            <w:right w:w="108" w:type="dxa"/>
          </w:tblCellMar>
          <w:tblLook w:val="01E0"/>
        </w:tblPrEx>
        <w:tc>
          <w:tcPr>
            <w:tcW w:w="1220" w:type="pct"/>
          </w:tcPr>
          <w:p w:rsidR="00A1427A" w:rsidRPr="00895BE9" w:rsidRDefault="00A1427A" w:rsidP="00895BE9">
            <w:pPr>
              <w:shd w:val="clear" w:color="auto" w:fill="FFFFFF" w:themeFill="background1"/>
              <w:jc w:val="both"/>
            </w:pPr>
            <w:r w:rsidRPr="00895BE9">
              <w:t>5. Precizēta finansiālā ietekme:</w:t>
            </w:r>
          </w:p>
        </w:tc>
        <w:tc>
          <w:tcPr>
            <w:tcW w:w="622" w:type="pct"/>
            <w:vMerge w:val="restart"/>
            <w:vAlign w:val="center"/>
          </w:tcPr>
          <w:p w:rsidR="00A1427A" w:rsidRPr="00895BE9" w:rsidRDefault="00A1427A" w:rsidP="00895BE9">
            <w:pPr>
              <w:pStyle w:val="naisf"/>
              <w:shd w:val="clear" w:color="auto" w:fill="FFFFFF" w:themeFill="background1"/>
              <w:spacing w:before="0" w:after="0"/>
              <w:ind w:firstLine="0"/>
              <w:jc w:val="center"/>
            </w:pPr>
            <w:r w:rsidRPr="00895BE9">
              <w:t>X</w:t>
            </w:r>
          </w:p>
        </w:tc>
        <w:tc>
          <w:tcPr>
            <w:tcW w:w="620"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76"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2"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tcPr>
          <w:p w:rsidR="00A1427A" w:rsidRPr="00895BE9" w:rsidRDefault="00A1427A" w:rsidP="00895BE9">
            <w:pPr>
              <w:pStyle w:val="naisf"/>
              <w:shd w:val="clear" w:color="auto" w:fill="FFFFFF" w:themeFill="background1"/>
              <w:spacing w:before="0" w:after="0"/>
              <w:ind w:firstLine="0"/>
              <w:jc w:val="center"/>
            </w:pPr>
          </w:p>
          <w:p w:rsidR="00A1427A" w:rsidRPr="00895BE9" w:rsidRDefault="00A1427A" w:rsidP="00895BE9">
            <w:pPr>
              <w:pStyle w:val="naisf"/>
              <w:shd w:val="clear" w:color="auto" w:fill="FFFFFF" w:themeFill="background1"/>
              <w:spacing w:before="0" w:after="0"/>
              <w:ind w:firstLine="0"/>
              <w:jc w:val="center"/>
            </w:pPr>
            <w:r w:rsidRPr="00895BE9">
              <w:t>0</w:t>
            </w:r>
          </w:p>
        </w:tc>
      </w:tr>
      <w:tr w:rsidR="00A1427A" w:rsidRPr="00895BE9" w:rsidTr="005C4636">
        <w:tblPrEx>
          <w:tblCellMar>
            <w:top w:w="0" w:type="dxa"/>
            <w:left w:w="108" w:type="dxa"/>
            <w:bottom w:w="0" w:type="dxa"/>
            <w:right w:w="108" w:type="dxa"/>
          </w:tblCellMar>
          <w:tblLook w:val="01E0"/>
        </w:tblPrEx>
        <w:tc>
          <w:tcPr>
            <w:tcW w:w="1220" w:type="pct"/>
          </w:tcPr>
          <w:p w:rsidR="00A1427A" w:rsidRPr="00895BE9" w:rsidRDefault="00A1427A" w:rsidP="00895BE9">
            <w:pPr>
              <w:shd w:val="clear" w:color="auto" w:fill="FFFFFF" w:themeFill="background1"/>
              <w:jc w:val="both"/>
            </w:pPr>
            <w:r w:rsidRPr="00895BE9">
              <w:t>5.1. valsts pamatbudžets</w:t>
            </w:r>
          </w:p>
        </w:tc>
        <w:tc>
          <w:tcPr>
            <w:tcW w:w="622" w:type="pct"/>
            <w:vMerge/>
            <w:vAlign w:val="center"/>
          </w:tcPr>
          <w:p w:rsidR="00A1427A" w:rsidRPr="00895BE9" w:rsidRDefault="00A1427A" w:rsidP="00895BE9">
            <w:pPr>
              <w:pStyle w:val="naisf"/>
              <w:shd w:val="clear" w:color="auto" w:fill="FFFFFF" w:themeFill="background1"/>
              <w:spacing w:before="0" w:after="0"/>
              <w:ind w:firstLine="0"/>
              <w:jc w:val="center"/>
              <w:rPr>
                <w:i/>
              </w:rPr>
            </w:pPr>
          </w:p>
        </w:tc>
        <w:tc>
          <w:tcPr>
            <w:tcW w:w="620"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76"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2" w:type="pct"/>
            <w:vAlign w:val="center"/>
          </w:tcPr>
          <w:p w:rsidR="00A1427A" w:rsidRPr="00895BE9" w:rsidRDefault="00A1427A" w:rsidP="00895BE9">
            <w:pPr>
              <w:pStyle w:val="naisf"/>
              <w:shd w:val="clear" w:color="auto" w:fill="FFFFFF" w:themeFill="background1"/>
              <w:spacing w:before="0" w:after="0"/>
              <w:ind w:firstLine="0"/>
              <w:jc w:val="center"/>
            </w:pPr>
            <w:r w:rsidRPr="00895BE9">
              <w:t>0</w:t>
            </w:r>
          </w:p>
        </w:tc>
        <w:tc>
          <w:tcPr>
            <w:tcW w:w="620" w:type="pct"/>
          </w:tcPr>
          <w:p w:rsidR="00A1427A" w:rsidRPr="00895BE9" w:rsidRDefault="00A1427A" w:rsidP="00895BE9">
            <w:pPr>
              <w:pStyle w:val="naisf"/>
              <w:shd w:val="clear" w:color="auto" w:fill="FFFFFF" w:themeFill="background1"/>
              <w:spacing w:before="0" w:after="0"/>
              <w:ind w:firstLine="0"/>
              <w:jc w:val="center"/>
            </w:pPr>
          </w:p>
          <w:p w:rsidR="00A1427A" w:rsidRPr="00895BE9" w:rsidRDefault="00A1427A" w:rsidP="00895BE9">
            <w:pPr>
              <w:pStyle w:val="naisf"/>
              <w:shd w:val="clear" w:color="auto" w:fill="FFFFFF" w:themeFill="background1"/>
              <w:spacing w:before="0" w:after="0"/>
              <w:ind w:firstLine="0"/>
              <w:jc w:val="center"/>
            </w:pPr>
            <w:r w:rsidRPr="00895BE9">
              <w:t>0</w:t>
            </w:r>
          </w:p>
        </w:tc>
      </w:tr>
      <w:tr w:rsidR="00A1427A" w:rsidRPr="00895BE9" w:rsidTr="005C4636">
        <w:tblPrEx>
          <w:tblCellMar>
            <w:top w:w="0" w:type="dxa"/>
            <w:left w:w="108" w:type="dxa"/>
            <w:bottom w:w="0" w:type="dxa"/>
            <w:right w:w="108" w:type="dxa"/>
          </w:tblCellMar>
          <w:tblLook w:val="01E0"/>
        </w:tblPrEx>
        <w:tc>
          <w:tcPr>
            <w:tcW w:w="1220" w:type="pct"/>
          </w:tcPr>
          <w:p w:rsidR="00A1427A" w:rsidRPr="00895BE9" w:rsidRDefault="00A1427A" w:rsidP="00895BE9">
            <w:pPr>
              <w:shd w:val="clear" w:color="auto" w:fill="FFFFFF" w:themeFill="background1"/>
              <w:jc w:val="both"/>
            </w:pPr>
            <w:r w:rsidRPr="00895BE9">
              <w:t>5.2. speciālais budžets</w:t>
            </w:r>
          </w:p>
        </w:tc>
        <w:tc>
          <w:tcPr>
            <w:tcW w:w="622" w:type="pct"/>
            <w:vMerge/>
            <w:vAlign w:val="center"/>
          </w:tcPr>
          <w:p w:rsidR="00A1427A" w:rsidRPr="00895BE9" w:rsidRDefault="00A1427A" w:rsidP="00895BE9">
            <w:pPr>
              <w:pStyle w:val="naisf"/>
              <w:shd w:val="clear" w:color="auto" w:fill="FFFFFF" w:themeFill="background1"/>
              <w:spacing w:before="0" w:after="0"/>
              <w:ind w:firstLine="0"/>
              <w:jc w:val="center"/>
              <w:rPr>
                <w:i/>
              </w:rPr>
            </w:pPr>
          </w:p>
        </w:tc>
        <w:tc>
          <w:tcPr>
            <w:tcW w:w="620" w:type="pct"/>
            <w:vAlign w:val="center"/>
          </w:tcPr>
          <w:p w:rsidR="00A1427A" w:rsidRPr="00895BE9" w:rsidRDefault="00A1427A" w:rsidP="00895BE9">
            <w:pPr>
              <w:pStyle w:val="naisf"/>
              <w:shd w:val="clear" w:color="auto" w:fill="FFFFFF" w:themeFill="background1"/>
              <w:spacing w:before="0" w:after="0"/>
              <w:ind w:firstLine="0"/>
              <w:jc w:val="center"/>
              <w:rPr>
                <w:b/>
              </w:rPr>
            </w:pPr>
            <w:r w:rsidRPr="00895BE9">
              <w:t>0</w:t>
            </w:r>
          </w:p>
        </w:tc>
        <w:tc>
          <w:tcPr>
            <w:tcW w:w="676" w:type="pct"/>
            <w:vAlign w:val="center"/>
          </w:tcPr>
          <w:p w:rsidR="00A1427A" w:rsidRPr="00895BE9" w:rsidRDefault="00A1427A" w:rsidP="00895BE9">
            <w:pPr>
              <w:pStyle w:val="naisf"/>
              <w:shd w:val="clear" w:color="auto" w:fill="FFFFFF" w:themeFill="background1"/>
              <w:spacing w:before="0" w:after="0"/>
              <w:ind w:firstLine="0"/>
              <w:jc w:val="center"/>
              <w:rPr>
                <w:b/>
              </w:rPr>
            </w:pPr>
            <w:r w:rsidRPr="00895BE9">
              <w:t>0</w:t>
            </w:r>
          </w:p>
        </w:tc>
        <w:tc>
          <w:tcPr>
            <w:tcW w:w="620" w:type="pct"/>
            <w:vAlign w:val="center"/>
          </w:tcPr>
          <w:p w:rsidR="00A1427A" w:rsidRPr="00895BE9" w:rsidRDefault="00A1427A" w:rsidP="00895BE9">
            <w:pPr>
              <w:pStyle w:val="naisf"/>
              <w:shd w:val="clear" w:color="auto" w:fill="FFFFFF" w:themeFill="background1"/>
              <w:spacing w:before="0" w:after="0"/>
              <w:ind w:firstLine="0"/>
              <w:jc w:val="center"/>
              <w:rPr>
                <w:b/>
              </w:rPr>
            </w:pPr>
            <w:r w:rsidRPr="00895BE9">
              <w:t>0</w:t>
            </w:r>
          </w:p>
        </w:tc>
        <w:tc>
          <w:tcPr>
            <w:tcW w:w="622" w:type="pct"/>
            <w:vAlign w:val="center"/>
          </w:tcPr>
          <w:p w:rsidR="00A1427A" w:rsidRPr="00895BE9" w:rsidRDefault="00A1427A" w:rsidP="00895BE9">
            <w:pPr>
              <w:pStyle w:val="naisf"/>
              <w:shd w:val="clear" w:color="auto" w:fill="FFFFFF" w:themeFill="background1"/>
              <w:spacing w:before="0" w:after="0"/>
              <w:ind w:firstLine="0"/>
              <w:jc w:val="center"/>
              <w:rPr>
                <w:b/>
              </w:rPr>
            </w:pPr>
            <w:r w:rsidRPr="00895BE9">
              <w:t>0</w:t>
            </w:r>
          </w:p>
        </w:tc>
        <w:tc>
          <w:tcPr>
            <w:tcW w:w="620" w:type="pct"/>
          </w:tcPr>
          <w:p w:rsidR="00A1427A" w:rsidRPr="00895BE9" w:rsidRDefault="00A1427A" w:rsidP="00895BE9">
            <w:pPr>
              <w:pStyle w:val="naisf"/>
              <w:shd w:val="clear" w:color="auto" w:fill="FFFFFF" w:themeFill="background1"/>
              <w:spacing w:before="0" w:after="0"/>
              <w:ind w:firstLine="0"/>
              <w:jc w:val="center"/>
            </w:pPr>
          </w:p>
          <w:p w:rsidR="00A1427A" w:rsidRPr="00895BE9" w:rsidRDefault="00A1427A" w:rsidP="00895BE9">
            <w:pPr>
              <w:pStyle w:val="naisf"/>
              <w:shd w:val="clear" w:color="auto" w:fill="FFFFFF" w:themeFill="background1"/>
              <w:spacing w:before="0" w:after="0"/>
              <w:ind w:firstLine="0"/>
              <w:jc w:val="center"/>
            </w:pPr>
            <w:r w:rsidRPr="00895BE9">
              <w:t>0</w:t>
            </w:r>
          </w:p>
        </w:tc>
      </w:tr>
      <w:tr w:rsidR="00A1427A" w:rsidRPr="00895BE9" w:rsidTr="005C4636">
        <w:tblPrEx>
          <w:tblCellMar>
            <w:top w:w="0" w:type="dxa"/>
            <w:left w:w="108" w:type="dxa"/>
            <w:bottom w:w="0" w:type="dxa"/>
            <w:right w:w="108" w:type="dxa"/>
          </w:tblCellMar>
          <w:tblLook w:val="01E0"/>
        </w:tblPrEx>
        <w:tc>
          <w:tcPr>
            <w:tcW w:w="1220" w:type="pct"/>
          </w:tcPr>
          <w:p w:rsidR="00A1427A" w:rsidRPr="00895BE9" w:rsidRDefault="00A1427A" w:rsidP="00895BE9">
            <w:pPr>
              <w:shd w:val="clear" w:color="auto" w:fill="FFFFFF" w:themeFill="background1"/>
              <w:jc w:val="both"/>
            </w:pPr>
            <w:r w:rsidRPr="00895BE9">
              <w:t xml:space="preserve">5.3. pašvaldību budžets </w:t>
            </w:r>
          </w:p>
        </w:tc>
        <w:tc>
          <w:tcPr>
            <w:tcW w:w="622" w:type="pct"/>
            <w:vMerge/>
            <w:vAlign w:val="center"/>
          </w:tcPr>
          <w:p w:rsidR="00A1427A" w:rsidRPr="00895BE9" w:rsidRDefault="00A1427A" w:rsidP="00895BE9">
            <w:pPr>
              <w:pStyle w:val="naisf"/>
              <w:shd w:val="clear" w:color="auto" w:fill="FFFFFF" w:themeFill="background1"/>
              <w:spacing w:before="0" w:after="0"/>
              <w:ind w:firstLine="0"/>
              <w:jc w:val="center"/>
              <w:rPr>
                <w:i/>
              </w:rPr>
            </w:pPr>
          </w:p>
        </w:tc>
        <w:tc>
          <w:tcPr>
            <w:tcW w:w="620" w:type="pct"/>
            <w:vAlign w:val="center"/>
          </w:tcPr>
          <w:p w:rsidR="00A1427A" w:rsidRPr="00895BE9" w:rsidRDefault="00A1427A" w:rsidP="00895BE9">
            <w:pPr>
              <w:pStyle w:val="naisf"/>
              <w:shd w:val="clear" w:color="auto" w:fill="FFFFFF" w:themeFill="background1"/>
              <w:spacing w:before="0" w:after="0"/>
              <w:ind w:firstLine="0"/>
              <w:jc w:val="center"/>
              <w:rPr>
                <w:b/>
              </w:rPr>
            </w:pPr>
            <w:r w:rsidRPr="00895BE9">
              <w:t>0</w:t>
            </w:r>
          </w:p>
        </w:tc>
        <w:tc>
          <w:tcPr>
            <w:tcW w:w="676" w:type="pct"/>
            <w:vAlign w:val="center"/>
          </w:tcPr>
          <w:p w:rsidR="00A1427A" w:rsidRPr="00895BE9" w:rsidRDefault="00A1427A" w:rsidP="00895BE9">
            <w:pPr>
              <w:pStyle w:val="naisf"/>
              <w:shd w:val="clear" w:color="auto" w:fill="FFFFFF" w:themeFill="background1"/>
              <w:spacing w:before="0" w:after="0"/>
              <w:ind w:firstLine="0"/>
              <w:jc w:val="center"/>
              <w:rPr>
                <w:b/>
              </w:rPr>
            </w:pPr>
            <w:r w:rsidRPr="00895BE9">
              <w:t>0</w:t>
            </w:r>
          </w:p>
        </w:tc>
        <w:tc>
          <w:tcPr>
            <w:tcW w:w="620" w:type="pct"/>
            <w:vAlign w:val="center"/>
          </w:tcPr>
          <w:p w:rsidR="00A1427A" w:rsidRPr="00895BE9" w:rsidRDefault="00A1427A" w:rsidP="00895BE9">
            <w:pPr>
              <w:pStyle w:val="naisf"/>
              <w:shd w:val="clear" w:color="auto" w:fill="FFFFFF" w:themeFill="background1"/>
              <w:spacing w:before="0" w:after="0"/>
              <w:ind w:firstLine="0"/>
              <w:jc w:val="center"/>
              <w:rPr>
                <w:b/>
              </w:rPr>
            </w:pPr>
            <w:r w:rsidRPr="00895BE9">
              <w:t>0</w:t>
            </w:r>
          </w:p>
        </w:tc>
        <w:tc>
          <w:tcPr>
            <w:tcW w:w="622" w:type="pct"/>
            <w:vAlign w:val="center"/>
          </w:tcPr>
          <w:p w:rsidR="00A1427A" w:rsidRPr="00895BE9" w:rsidRDefault="00A1427A" w:rsidP="00895BE9">
            <w:pPr>
              <w:pStyle w:val="naisf"/>
              <w:shd w:val="clear" w:color="auto" w:fill="FFFFFF" w:themeFill="background1"/>
              <w:spacing w:before="0" w:after="0"/>
              <w:ind w:firstLine="0"/>
              <w:jc w:val="center"/>
              <w:rPr>
                <w:b/>
              </w:rPr>
            </w:pPr>
            <w:r w:rsidRPr="00895BE9">
              <w:t>0</w:t>
            </w:r>
          </w:p>
        </w:tc>
        <w:tc>
          <w:tcPr>
            <w:tcW w:w="620" w:type="pct"/>
          </w:tcPr>
          <w:p w:rsidR="00A1427A" w:rsidRPr="00895BE9" w:rsidRDefault="00A1427A" w:rsidP="00895BE9">
            <w:pPr>
              <w:pStyle w:val="naisf"/>
              <w:shd w:val="clear" w:color="auto" w:fill="FFFFFF" w:themeFill="background1"/>
              <w:spacing w:before="0" w:after="0"/>
              <w:ind w:firstLine="0"/>
              <w:jc w:val="center"/>
            </w:pPr>
          </w:p>
          <w:p w:rsidR="00A1427A" w:rsidRPr="00895BE9" w:rsidRDefault="00A1427A" w:rsidP="00895BE9">
            <w:pPr>
              <w:pStyle w:val="naisf"/>
              <w:shd w:val="clear" w:color="auto" w:fill="FFFFFF" w:themeFill="background1"/>
              <w:spacing w:before="0" w:after="0"/>
              <w:ind w:firstLine="0"/>
              <w:jc w:val="center"/>
            </w:pPr>
            <w:r w:rsidRPr="00895BE9">
              <w:t>0</w:t>
            </w:r>
          </w:p>
        </w:tc>
      </w:tr>
      <w:tr w:rsidR="00A1427A" w:rsidRPr="00895BE9" w:rsidTr="005C4636">
        <w:tblPrEx>
          <w:tblCellMar>
            <w:top w:w="0" w:type="dxa"/>
            <w:left w:w="108" w:type="dxa"/>
            <w:bottom w:w="0" w:type="dxa"/>
            <w:right w:w="108" w:type="dxa"/>
          </w:tblCellMar>
          <w:tblLook w:val="01E0"/>
        </w:tblPrEx>
        <w:tc>
          <w:tcPr>
            <w:tcW w:w="1220" w:type="pct"/>
          </w:tcPr>
          <w:p w:rsidR="00A1427A" w:rsidRPr="00895BE9" w:rsidRDefault="00A1427A" w:rsidP="00895BE9">
            <w:pPr>
              <w:shd w:val="clear" w:color="auto" w:fill="FFFFFF" w:themeFill="background1"/>
              <w:jc w:val="both"/>
            </w:pPr>
            <w:r w:rsidRPr="00895BE9">
              <w:t>6. Detalizēts ieņēmumu un izdevu</w:t>
            </w:r>
            <w:r w:rsidRPr="00895BE9">
              <w:softHyphen/>
              <w:t>mu aprēķins (ja nepieciešams, detalizētu ieņēmumu un izdevumu aprēķinu var pievienot anotācijas pielikumā):</w:t>
            </w:r>
          </w:p>
        </w:tc>
        <w:tc>
          <w:tcPr>
            <w:tcW w:w="3160" w:type="pct"/>
            <w:gridSpan w:val="5"/>
            <w:vMerge w:val="restart"/>
            <w:vAlign w:val="center"/>
          </w:tcPr>
          <w:p w:rsidR="00A1427A" w:rsidRPr="00895BE9" w:rsidRDefault="004B4F9A" w:rsidP="00895BE9">
            <w:pPr>
              <w:shd w:val="clear" w:color="auto" w:fill="FFFFFF" w:themeFill="background1"/>
              <w:jc w:val="both"/>
            </w:pPr>
            <w:r>
              <w:t xml:space="preserve">Pirmās svešvalodas apguve </w:t>
            </w:r>
            <w:r w:rsidR="00A1427A" w:rsidRPr="00895BE9">
              <w:t>tiek uzsākta ar 2014.gada 1.septembri, paredzot katrai klasei papildus 2 stu</w:t>
            </w:r>
            <w:r>
              <w:t xml:space="preserve">ndas. Šobrīd pirmās svešvalodas apguve </w:t>
            </w:r>
            <w:r w:rsidR="00A1427A" w:rsidRPr="00895BE9">
              <w:t xml:space="preserve"> sākas no 3.klases.</w:t>
            </w:r>
          </w:p>
          <w:p w:rsidR="00A1427A" w:rsidRPr="00895BE9" w:rsidRDefault="00A1427A" w:rsidP="00895BE9">
            <w:pPr>
              <w:shd w:val="clear" w:color="auto" w:fill="FFFFFF" w:themeFill="background1"/>
              <w:jc w:val="both"/>
            </w:pPr>
            <w:r w:rsidRPr="00895BE9">
              <w:t>Aprēķins:</w:t>
            </w:r>
          </w:p>
          <w:p w:rsidR="00B87463" w:rsidRPr="00895BE9" w:rsidRDefault="00B87463" w:rsidP="00895BE9">
            <w:pPr>
              <w:shd w:val="clear" w:color="auto" w:fill="FFFFFF" w:themeFill="background1"/>
              <w:jc w:val="both"/>
            </w:pPr>
            <w:r w:rsidRPr="00895BE9">
              <w:t>No 2014.gada sept. 1.klase: klašu skaits 1200 x 2 = 2400 stundas /nedēļā. Skolotāju likmju skaits: 2400  stundas ned:21 (1 likme-&gt;21h)=114 likmes.</w:t>
            </w:r>
          </w:p>
          <w:p w:rsidR="00B87463" w:rsidRPr="00895BE9" w:rsidRDefault="00B87463" w:rsidP="00895BE9">
            <w:pPr>
              <w:shd w:val="clear" w:color="auto" w:fill="FFFFFF" w:themeFill="background1"/>
              <w:jc w:val="both"/>
            </w:pPr>
          </w:p>
          <w:p w:rsidR="00A1427A" w:rsidRPr="00895BE9" w:rsidRDefault="00A1427A" w:rsidP="00895BE9">
            <w:pPr>
              <w:shd w:val="clear" w:color="auto" w:fill="FFFFFF" w:themeFill="background1"/>
              <w:jc w:val="both"/>
            </w:pPr>
            <w:r w:rsidRPr="00895BE9">
              <w:t xml:space="preserve">Algas fonds vienam mēnesim (aprēķins saskaņā ar 22.12.2009. MK not.1616): 114 x 280 x 1,4 x 1,15 x 1,2409 = </w:t>
            </w:r>
            <w:r w:rsidR="00257990">
              <w:t xml:space="preserve">63771 Ls, četriem mēnešiem </w:t>
            </w:r>
            <w:r w:rsidR="00257990" w:rsidRPr="00AF1C58">
              <w:t>(2014</w:t>
            </w:r>
            <w:r w:rsidRPr="00AF1C58">
              <w:t>.gada</w:t>
            </w:r>
            <w:r w:rsidRPr="00895BE9">
              <w:t xml:space="preserve"> septembris-decembris) =  255084 Ls</w:t>
            </w:r>
          </w:p>
          <w:p w:rsidR="00665F69" w:rsidRPr="00895BE9" w:rsidRDefault="00665F69" w:rsidP="00895BE9">
            <w:pPr>
              <w:shd w:val="clear" w:color="auto" w:fill="FFFFFF" w:themeFill="background1"/>
              <w:jc w:val="both"/>
            </w:pPr>
            <w:r w:rsidRPr="00895BE9">
              <w:t>Kopā 2014.gadam 01.09 – 31.12. =  255 084 (1.kl.)</w:t>
            </w:r>
          </w:p>
          <w:p w:rsidR="00665F69" w:rsidRPr="00895BE9" w:rsidRDefault="00665F69" w:rsidP="00895BE9">
            <w:pPr>
              <w:shd w:val="clear" w:color="auto" w:fill="FFFFFF" w:themeFill="background1"/>
              <w:jc w:val="both"/>
            </w:pPr>
          </w:p>
          <w:p w:rsidR="00A1427A" w:rsidRPr="00895BE9" w:rsidRDefault="00A1427A" w:rsidP="00895BE9">
            <w:pPr>
              <w:shd w:val="clear" w:color="auto" w:fill="FFFFFF" w:themeFill="background1"/>
              <w:jc w:val="both"/>
            </w:pPr>
            <w:r w:rsidRPr="00895BE9">
              <w:t>2015.gadam 1.klases visu gadu: 765252 Ls; 2.klases no septembra, četriem mēnešiem = 255084 Ls.</w:t>
            </w:r>
          </w:p>
          <w:p w:rsidR="00A1427A" w:rsidRPr="00895BE9" w:rsidRDefault="00665F69" w:rsidP="00895BE9">
            <w:pPr>
              <w:shd w:val="clear" w:color="auto" w:fill="FFFFFF" w:themeFill="background1"/>
              <w:jc w:val="both"/>
            </w:pPr>
            <w:r w:rsidRPr="00895BE9">
              <w:t>Kopā 2015</w:t>
            </w:r>
            <w:r w:rsidR="00A1427A" w:rsidRPr="00895BE9">
              <w:t>.gadam = 1020336 Ls</w:t>
            </w:r>
          </w:p>
          <w:p w:rsidR="00665F69" w:rsidRPr="00895BE9" w:rsidRDefault="00665F69" w:rsidP="00895BE9">
            <w:pPr>
              <w:shd w:val="clear" w:color="auto" w:fill="FFFFFF" w:themeFill="background1"/>
              <w:jc w:val="both"/>
            </w:pPr>
            <w:r w:rsidRPr="00895BE9">
              <w:t>2015.gadā 01.01. – 31.08. 510 168 (1.kl.)</w:t>
            </w:r>
          </w:p>
          <w:p w:rsidR="00665F69" w:rsidRPr="00895BE9" w:rsidRDefault="00665F69" w:rsidP="00895BE9">
            <w:pPr>
              <w:shd w:val="clear" w:color="auto" w:fill="FFFFFF" w:themeFill="background1"/>
              <w:jc w:val="both"/>
            </w:pPr>
            <w:r w:rsidRPr="00895BE9">
              <w:t xml:space="preserve">2015.gadā 01.09. </w:t>
            </w:r>
            <w:r w:rsidR="00987514">
              <w:t xml:space="preserve">– </w:t>
            </w:r>
            <w:r w:rsidRPr="00895BE9">
              <w:t>31.12. 255 084 (2.kl.)</w:t>
            </w:r>
          </w:p>
          <w:p w:rsidR="00665F69" w:rsidRPr="00895BE9" w:rsidRDefault="00665F69" w:rsidP="00895BE9">
            <w:pPr>
              <w:shd w:val="clear" w:color="auto" w:fill="FFFFFF" w:themeFill="background1"/>
              <w:jc w:val="both"/>
            </w:pPr>
            <w:r w:rsidRPr="00895BE9">
              <w:t>2015.gadā 01.09. – 31.12.  255 084 (1.kl.);</w:t>
            </w:r>
          </w:p>
          <w:p w:rsidR="00665F69" w:rsidRPr="00895BE9" w:rsidRDefault="00665F69" w:rsidP="00895BE9">
            <w:pPr>
              <w:shd w:val="clear" w:color="auto" w:fill="FFFFFF" w:themeFill="background1"/>
              <w:jc w:val="both"/>
            </w:pPr>
            <w:r w:rsidRPr="00895BE9">
              <w:t>Kopā 2015.gadā = 1020 336 Ls;</w:t>
            </w:r>
          </w:p>
          <w:p w:rsidR="00665F69" w:rsidRPr="00895BE9" w:rsidRDefault="00665F69" w:rsidP="00895BE9">
            <w:pPr>
              <w:shd w:val="clear" w:color="auto" w:fill="FFFFFF" w:themeFill="background1"/>
              <w:jc w:val="both"/>
            </w:pPr>
          </w:p>
          <w:p w:rsidR="00A1427A" w:rsidRPr="00895BE9" w:rsidRDefault="00A1427A" w:rsidP="00895BE9">
            <w:pPr>
              <w:shd w:val="clear" w:color="auto" w:fill="FFFFFF" w:themeFill="background1"/>
              <w:jc w:val="both"/>
            </w:pPr>
            <w:r w:rsidRPr="00895BE9">
              <w:t>2016.gadam 1. un 2.klase visu gadu: 63771 Ls x 2 x 12 = 1530504 Ls.</w:t>
            </w:r>
          </w:p>
          <w:p w:rsidR="00665F69" w:rsidRPr="00895BE9" w:rsidRDefault="00665F69" w:rsidP="00895BE9">
            <w:pPr>
              <w:shd w:val="clear" w:color="auto" w:fill="FFFFFF" w:themeFill="background1"/>
              <w:jc w:val="both"/>
            </w:pPr>
            <w:r w:rsidRPr="00895BE9">
              <w:lastRenderedPageBreak/>
              <w:t>2016.gadā 01.01.</w:t>
            </w:r>
            <w:r w:rsidR="00987514">
              <w:t xml:space="preserve"> – </w:t>
            </w:r>
            <w:r w:rsidRPr="00895BE9">
              <w:t xml:space="preserve">31.08. </w:t>
            </w:r>
            <w:smartTag w:uri="schemas-tilde-lv/tildestengine" w:element="phone">
              <w:smartTagPr>
                <w:attr w:name="phone_number" w:val="1020 336"/>
              </w:smartTagPr>
              <w:r w:rsidRPr="00895BE9">
                <w:t>1020 336</w:t>
              </w:r>
            </w:smartTag>
            <w:r w:rsidRPr="00895BE9">
              <w:t xml:space="preserve"> (1.,2.kl.); </w:t>
            </w:r>
          </w:p>
          <w:p w:rsidR="00665F69" w:rsidRPr="00895BE9" w:rsidRDefault="00987514" w:rsidP="00895BE9">
            <w:pPr>
              <w:shd w:val="clear" w:color="auto" w:fill="FFFFFF" w:themeFill="background1"/>
              <w:jc w:val="both"/>
            </w:pPr>
            <w:r>
              <w:t xml:space="preserve">2016.gadā </w:t>
            </w:r>
            <w:r w:rsidR="00665F69" w:rsidRPr="00895BE9">
              <w:t xml:space="preserve">01.09. </w:t>
            </w:r>
            <w:r>
              <w:t xml:space="preserve">– </w:t>
            </w:r>
            <w:r w:rsidR="00665F69" w:rsidRPr="00895BE9">
              <w:t>31.12. 510 168.</w:t>
            </w:r>
          </w:p>
          <w:p w:rsidR="00A1427A" w:rsidRDefault="00987514" w:rsidP="00895BE9">
            <w:pPr>
              <w:shd w:val="clear" w:color="auto" w:fill="FFFFFF" w:themeFill="background1"/>
              <w:jc w:val="both"/>
            </w:pPr>
            <w:r>
              <w:t xml:space="preserve">Kopā 2016.gadā = </w:t>
            </w:r>
            <w:r w:rsidR="00665F69" w:rsidRPr="00895BE9">
              <w:t>1530 504 Ls.</w:t>
            </w:r>
          </w:p>
          <w:p w:rsidR="00A249F5" w:rsidRPr="00895BE9" w:rsidRDefault="00A249F5" w:rsidP="00895BE9">
            <w:pPr>
              <w:shd w:val="clear" w:color="auto" w:fill="FFFFFF" w:themeFill="background1"/>
              <w:jc w:val="both"/>
            </w:pPr>
          </w:p>
        </w:tc>
        <w:tc>
          <w:tcPr>
            <w:tcW w:w="620" w:type="pct"/>
          </w:tcPr>
          <w:p w:rsidR="00A1427A" w:rsidRPr="00895BE9" w:rsidRDefault="00A1427A" w:rsidP="00895BE9">
            <w:pPr>
              <w:shd w:val="clear" w:color="auto" w:fill="FFFFFF" w:themeFill="background1"/>
              <w:jc w:val="both"/>
            </w:pPr>
          </w:p>
        </w:tc>
      </w:tr>
      <w:tr w:rsidR="00A1427A" w:rsidRPr="00895BE9" w:rsidTr="005C4636">
        <w:tblPrEx>
          <w:tblCellMar>
            <w:top w:w="0" w:type="dxa"/>
            <w:left w:w="108" w:type="dxa"/>
            <w:bottom w:w="0" w:type="dxa"/>
            <w:right w:w="108" w:type="dxa"/>
          </w:tblCellMar>
          <w:tblLook w:val="01E0"/>
        </w:tblPrEx>
        <w:tc>
          <w:tcPr>
            <w:tcW w:w="1220" w:type="pct"/>
          </w:tcPr>
          <w:p w:rsidR="00A1427A" w:rsidRPr="00895BE9" w:rsidRDefault="00A1427A" w:rsidP="00895BE9">
            <w:pPr>
              <w:shd w:val="clear" w:color="auto" w:fill="FFFFFF" w:themeFill="background1"/>
              <w:jc w:val="both"/>
            </w:pPr>
            <w:r w:rsidRPr="00895BE9">
              <w:t>6.1. detalizēts ieņēmumu aprēķins</w:t>
            </w:r>
          </w:p>
        </w:tc>
        <w:tc>
          <w:tcPr>
            <w:tcW w:w="3160" w:type="pct"/>
            <w:gridSpan w:val="5"/>
            <w:vMerge/>
          </w:tcPr>
          <w:p w:rsidR="00A1427A" w:rsidRPr="00895BE9" w:rsidRDefault="00A1427A" w:rsidP="00895BE9">
            <w:pPr>
              <w:pStyle w:val="naisf"/>
              <w:shd w:val="clear" w:color="auto" w:fill="FFFFFF" w:themeFill="background1"/>
              <w:spacing w:before="0" w:after="0"/>
              <w:ind w:firstLine="0"/>
              <w:rPr>
                <w:b/>
                <w:i/>
              </w:rPr>
            </w:pPr>
          </w:p>
        </w:tc>
        <w:tc>
          <w:tcPr>
            <w:tcW w:w="620" w:type="pct"/>
          </w:tcPr>
          <w:p w:rsidR="00A1427A" w:rsidRPr="00895BE9" w:rsidRDefault="00A1427A" w:rsidP="00895BE9">
            <w:pPr>
              <w:pStyle w:val="naisf"/>
              <w:shd w:val="clear" w:color="auto" w:fill="FFFFFF" w:themeFill="background1"/>
              <w:spacing w:before="0" w:after="0"/>
              <w:ind w:firstLine="0"/>
              <w:rPr>
                <w:b/>
                <w:i/>
              </w:rPr>
            </w:pPr>
          </w:p>
        </w:tc>
      </w:tr>
      <w:tr w:rsidR="00A1427A" w:rsidRPr="00895BE9" w:rsidTr="005C4636">
        <w:tblPrEx>
          <w:tblCellMar>
            <w:top w:w="0" w:type="dxa"/>
            <w:left w:w="108" w:type="dxa"/>
            <w:bottom w:w="0" w:type="dxa"/>
            <w:right w:w="108" w:type="dxa"/>
          </w:tblCellMar>
          <w:tblLook w:val="01E0"/>
        </w:tblPrEx>
        <w:trPr>
          <w:trHeight w:val="943"/>
        </w:trPr>
        <w:tc>
          <w:tcPr>
            <w:tcW w:w="1220" w:type="pct"/>
          </w:tcPr>
          <w:p w:rsidR="00A1427A" w:rsidRPr="00895BE9" w:rsidRDefault="00A1427A" w:rsidP="00895BE9">
            <w:pPr>
              <w:shd w:val="clear" w:color="auto" w:fill="FFFFFF" w:themeFill="background1"/>
              <w:jc w:val="both"/>
            </w:pPr>
            <w:r w:rsidRPr="00895BE9">
              <w:t>6.2. detalizēts izdevumu aprēķins</w:t>
            </w:r>
          </w:p>
        </w:tc>
        <w:tc>
          <w:tcPr>
            <w:tcW w:w="3160" w:type="pct"/>
            <w:gridSpan w:val="5"/>
            <w:vMerge/>
          </w:tcPr>
          <w:p w:rsidR="00A1427A" w:rsidRPr="00895BE9" w:rsidRDefault="00A1427A" w:rsidP="00895BE9">
            <w:pPr>
              <w:pStyle w:val="naisf"/>
              <w:shd w:val="clear" w:color="auto" w:fill="FFFFFF" w:themeFill="background1"/>
              <w:spacing w:before="0" w:after="0"/>
              <w:ind w:firstLine="0"/>
              <w:rPr>
                <w:b/>
                <w:i/>
              </w:rPr>
            </w:pPr>
          </w:p>
        </w:tc>
        <w:tc>
          <w:tcPr>
            <w:tcW w:w="620" w:type="pct"/>
          </w:tcPr>
          <w:p w:rsidR="00A1427A" w:rsidRPr="00895BE9" w:rsidRDefault="00A1427A" w:rsidP="00895BE9">
            <w:pPr>
              <w:pStyle w:val="naisf"/>
              <w:shd w:val="clear" w:color="auto" w:fill="FFFFFF" w:themeFill="background1"/>
              <w:spacing w:before="0" w:after="0"/>
              <w:ind w:firstLine="0"/>
              <w:rPr>
                <w:b/>
                <w:i/>
              </w:rPr>
            </w:pPr>
          </w:p>
        </w:tc>
      </w:tr>
      <w:tr w:rsidR="00A1427A" w:rsidRPr="00895BE9" w:rsidTr="005C4636">
        <w:tblPrEx>
          <w:tblCellMar>
            <w:top w:w="0" w:type="dxa"/>
            <w:left w:w="108" w:type="dxa"/>
            <w:bottom w:w="0" w:type="dxa"/>
            <w:right w:w="108" w:type="dxa"/>
          </w:tblCellMar>
          <w:tblLook w:val="01E0"/>
        </w:tblPrEx>
        <w:tc>
          <w:tcPr>
            <w:tcW w:w="1220" w:type="pct"/>
          </w:tcPr>
          <w:p w:rsidR="00A1427A" w:rsidRPr="00895BE9" w:rsidRDefault="00A1427A" w:rsidP="00895BE9">
            <w:pPr>
              <w:shd w:val="clear" w:color="auto" w:fill="FFFFFF" w:themeFill="background1"/>
              <w:jc w:val="both"/>
            </w:pPr>
            <w:r w:rsidRPr="00895BE9">
              <w:lastRenderedPageBreak/>
              <w:t>7. Cita informācija</w:t>
            </w:r>
          </w:p>
        </w:tc>
        <w:tc>
          <w:tcPr>
            <w:tcW w:w="3160" w:type="pct"/>
            <w:gridSpan w:val="5"/>
          </w:tcPr>
          <w:p w:rsidR="00B87463" w:rsidRPr="00895BE9" w:rsidRDefault="00B87463" w:rsidP="0065734F">
            <w:pPr>
              <w:shd w:val="clear" w:color="auto" w:fill="FFFFFF" w:themeFill="background1"/>
              <w:tabs>
                <w:tab w:val="left" w:pos="1200"/>
              </w:tabs>
              <w:jc w:val="both"/>
            </w:pPr>
            <w:r w:rsidRPr="00895BE9">
              <w:t xml:space="preserve">Jautājumu par papildu finansējumu 2014.gadam un turpmākajiem gadiem izskatīt Ministru kabinetā vienlaikus ar visu ministriju un citu centrālo valsts iestāžu prioritāšu </w:t>
            </w:r>
            <w:smartTag w:uri="schemas-tilde-lv/tildestengine" w:element="veidnes">
              <w:smartTagPr>
                <w:attr w:name="baseform" w:val="pieteikum|s"/>
                <w:attr w:name="id" w:val="-1"/>
                <w:attr w:name="text" w:val="pieteikumiem"/>
              </w:smartTagPr>
              <w:r w:rsidRPr="00895BE9">
                <w:t>pieteikumiem</w:t>
              </w:r>
            </w:smartTag>
            <w:r w:rsidRPr="00895BE9">
              <w:t xml:space="preserve"> 2014.gada valsts budžeta likumprojekta sagatavošanas un izskatīšanas procesā atbilstoši valsts budžeta finansiālajām iespējām.</w:t>
            </w:r>
          </w:p>
          <w:p w:rsidR="00A1427A" w:rsidRPr="00895BE9" w:rsidRDefault="00A1427A" w:rsidP="00895BE9">
            <w:pPr>
              <w:shd w:val="clear" w:color="auto" w:fill="FFFFFF" w:themeFill="background1"/>
              <w:autoSpaceDE w:val="0"/>
              <w:autoSpaceDN w:val="0"/>
              <w:adjustRightInd w:val="0"/>
              <w:jc w:val="both"/>
            </w:pPr>
          </w:p>
        </w:tc>
        <w:tc>
          <w:tcPr>
            <w:tcW w:w="620" w:type="pct"/>
          </w:tcPr>
          <w:p w:rsidR="00A1427A" w:rsidRPr="00895BE9" w:rsidRDefault="00A1427A" w:rsidP="00895BE9">
            <w:pPr>
              <w:shd w:val="clear" w:color="auto" w:fill="FFFFFF" w:themeFill="background1"/>
              <w:autoSpaceDE w:val="0"/>
              <w:autoSpaceDN w:val="0"/>
              <w:adjustRightInd w:val="0"/>
              <w:jc w:val="both"/>
            </w:pPr>
          </w:p>
        </w:tc>
      </w:tr>
    </w:tbl>
    <w:p w:rsidR="00496741" w:rsidRPr="00895BE9" w:rsidRDefault="00496741" w:rsidP="00895BE9">
      <w:pPr>
        <w:pStyle w:val="tvhtml"/>
        <w:shd w:val="clear" w:color="auto" w:fill="FFFFFF" w:themeFill="background1"/>
        <w:spacing w:before="0" w:beforeAutospacing="0" w:after="0" w:afterAutospacing="0"/>
        <w:rPr>
          <w:i/>
          <w:i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969"/>
        <w:gridCol w:w="4217"/>
      </w:tblGrid>
      <w:tr w:rsidR="00496741" w:rsidRPr="00895BE9" w:rsidTr="007B40BA">
        <w:tc>
          <w:tcPr>
            <w:tcW w:w="9287" w:type="dxa"/>
            <w:gridSpan w:val="3"/>
          </w:tcPr>
          <w:p w:rsidR="00496741" w:rsidRPr="00895BE9" w:rsidRDefault="00496741" w:rsidP="00895BE9">
            <w:pPr>
              <w:pStyle w:val="tvhtml"/>
              <w:shd w:val="clear" w:color="auto" w:fill="FFFFFF" w:themeFill="background1"/>
              <w:spacing w:before="0" w:beforeAutospacing="0" w:after="0" w:afterAutospacing="0"/>
              <w:rPr>
                <w:iCs/>
                <w:color w:val="auto"/>
                <w:sz w:val="24"/>
                <w:szCs w:val="24"/>
              </w:rPr>
            </w:pPr>
            <w:r w:rsidRPr="00895BE9">
              <w:rPr>
                <w:b/>
                <w:sz w:val="24"/>
                <w:szCs w:val="24"/>
              </w:rPr>
              <w:t>IV. Tiesību akta projekta ietekme uz spēkā esošo tiesību normu sistēmu</w:t>
            </w:r>
          </w:p>
        </w:tc>
      </w:tr>
      <w:tr w:rsidR="00496741" w:rsidRPr="00895BE9" w:rsidTr="00895BE9">
        <w:tc>
          <w:tcPr>
            <w:tcW w:w="1101" w:type="dxa"/>
          </w:tcPr>
          <w:p w:rsidR="00496741" w:rsidRPr="00895BE9" w:rsidRDefault="00496741" w:rsidP="00895BE9">
            <w:pPr>
              <w:pStyle w:val="tvhtml"/>
              <w:shd w:val="clear" w:color="auto" w:fill="FFFFFF" w:themeFill="background1"/>
              <w:spacing w:before="0" w:beforeAutospacing="0" w:after="0" w:afterAutospacing="0"/>
              <w:rPr>
                <w:iCs/>
                <w:color w:val="auto"/>
                <w:sz w:val="24"/>
                <w:szCs w:val="24"/>
              </w:rPr>
            </w:pPr>
            <w:r w:rsidRPr="00895BE9">
              <w:rPr>
                <w:sz w:val="24"/>
                <w:szCs w:val="24"/>
              </w:rPr>
              <w:t>1.</w:t>
            </w:r>
          </w:p>
        </w:tc>
        <w:tc>
          <w:tcPr>
            <w:tcW w:w="3969" w:type="dxa"/>
          </w:tcPr>
          <w:p w:rsidR="00496741" w:rsidRPr="00895BE9" w:rsidRDefault="00496741" w:rsidP="00895BE9">
            <w:pPr>
              <w:pStyle w:val="tvhtml"/>
              <w:shd w:val="clear" w:color="auto" w:fill="FFFFFF" w:themeFill="background1"/>
              <w:spacing w:before="0" w:beforeAutospacing="0" w:after="0" w:afterAutospacing="0"/>
              <w:rPr>
                <w:iCs/>
                <w:color w:val="auto"/>
                <w:sz w:val="24"/>
                <w:szCs w:val="24"/>
              </w:rPr>
            </w:pPr>
            <w:r w:rsidRPr="00895BE9">
              <w:rPr>
                <w:sz w:val="24"/>
                <w:szCs w:val="24"/>
              </w:rPr>
              <w:t>Nepieciešamie saistītie tiesību aktu projekti</w:t>
            </w:r>
          </w:p>
        </w:tc>
        <w:tc>
          <w:tcPr>
            <w:tcW w:w="4217" w:type="dxa"/>
            <w:shd w:val="clear" w:color="auto" w:fill="FFFFFF" w:themeFill="background1"/>
          </w:tcPr>
          <w:p w:rsidR="00496741" w:rsidRDefault="00496741" w:rsidP="00895BE9">
            <w:pPr>
              <w:pStyle w:val="tvhtml"/>
              <w:shd w:val="clear" w:color="auto" w:fill="FFFFFF" w:themeFill="background1"/>
              <w:spacing w:before="0" w:beforeAutospacing="0" w:after="0" w:afterAutospacing="0"/>
              <w:rPr>
                <w:sz w:val="24"/>
                <w:szCs w:val="24"/>
              </w:rPr>
            </w:pPr>
            <w:r w:rsidRPr="00895BE9">
              <w:rPr>
                <w:sz w:val="24"/>
                <w:szCs w:val="24"/>
              </w:rPr>
              <w:t>Grozījumi Ministru kabineta 2010.gada 6.aprīļa noteikumos Nr.334 „Noteikumi par valsts pārbaudījumu norises kārtību”</w:t>
            </w:r>
          </w:p>
          <w:p w:rsidR="0000022A" w:rsidRPr="00895BE9" w:rsidRDefault="0000022A" w:rsidP="00895BE9">
            <w:pPr>
              <w:pStyle w:val="tvhtml"/>
              <w:shd w:val="clear" w:color="auto" w:fill="FFFFFF" w:themeFill="background1"/>
              <w:spacing w:before="0" w:beforeAutospacing="0" w:after="0" w:afterAutospacing="0"/>
              <w:rPr>
                <w:iCs/>
                <w:color w:val="auto"/>
                <w:sz w:val="24"/>
                <w:szCs w:val="24"/>
              </w:rPr>
            </w:pPr>
          </w:p>
        </w:tc>
      </w:tr>
      <w:tr w:rsidR="00496741" w:rsidRPr="00895BE9" w:rsidTr="007B40BA">
        <w:tc>
          <w:tcPr>
            <w:tcW w:w="1101" w:type="dxa"/>
          </w:tcPr>
          <w:p w:rsidR="00496741" w:rsidRPr="00895BE9" w:rsidRDefault="00496741" w:rsidP="00895BE9">
            <w:pPr>
              <w:pStyle w:val="tvhtml"/>
              <w:shd w:val="clear" w:color="auto" w:fill="FFFFFF" w:themeFill="background1"/>
              <w:spacing w:before="0" w:beforeAutospacing="0" w:after="0" w:afterAutospacing="0"/>
              <w:rPr>
                <w:sz w:val="24"/>
                <w:szCs w:val="24"/>
              </w:rPr>
            </w:pPr>
            <w:r w:rsidRPr="00895BE9">
              <w:rPr>
                <w:sz w:val="24"/>
                <w:szCs w:val="24"/>
              </w:rPr>
              <w:t> 2.</w:t>
            </w:r>
          </w:p>
        </w:tc>
        <w:tc>
          <w:tcPr>
            <w:tcW w:w="3969" w:type="dxa"/>
          </w:tcPr>
          <w:p w:rsidR="00496741" w:rsidRPr="00895BE9" w:rsidRDefault="00496741" w:rsidP="00895BE9">
            <w:pPr>
              <w:pStyle w:val="tvhtml"/>
              <w:shd w:val="clear" w:color="auto" w:fill="FFFFFF" w:themeFill="background1"/>
              <w:spacing w:before="0" w:beforeAutospacing="0" w:after="0" w:afterAutospacing="0"/>
              <w:rPr>
                <w:sz w:val="24"/>
                <w:szCs w:val="24"/>
              </w:rPr>
            </w:pPr>
            <w:r w:rsidRPr="00895BE9">
              <w:rPr>
                <w:sz w:val="24"/>
                <w:szCs w:val="24"/>
              </w:rPr>
              <w:t>Cita informācija</w:t>
            </w:r>
          </w:p>
        </w:tc>
        <w:tc>
          <w:tcPr>
            <w:tcW w:w="4217" w:type="dxa"/>
          </w:tcPr>
          <w:p w:rsidR="00496741" w:rsidRPr="00895BE9" w:rsidRDefault="00496741" w:rsidP="00895BE9">
            <w:pPr>
              <w:pStyle w:val="tvhtml"/>
              <w:shd w:val="clear" w:color="auto" w:fill="FFFFFF" w:themeFill="background1"/>
              <w:spacing w:before="0" w:beforeAutospacing="0" w:after="0" w:afterAutospacing="0"/>
              <w:rPr>
                <w:sz w:val="24"/>
                <w:szCs w:val="24"/>
              </w:rPr>
            </w:pPr>
            <w:r w:rsidRPr="00895BE9">
              <w:rPr>
                <w:sz w:val="24"/>
                <w:szCs w:val="24"/>
              </w:rPr>
              <w:t>Nav.</w:t>
            </w:r>
          </w:p>
        </w:tc>
      </w:tr>
    </w:tbl>
    <w:p w:rsidR="00496741" w:rsidRPr="00895BE9" w:rsidRDefault="00496741" w:rsidP="00895BE9">
      <w:pPr>
        <w:pStyle w:val="tvhtml"/>
        <w:shd w:val="clear" w:color="auto" w:fill="FFFFFF" w:themeFill="background1"/>
        <w:spacing w:before="0" w:beforeAutospacing="0" w:after="0" w:afterAutospacing="0"/>
        <w:rPr>
          <w:iCs/>
          <w:color w:val="auto"/>
          <w:sz w:val="24"/>
          <w:szCs w:val="24"/>
        </w:rPr>
      </w:pPr>
    </w:p>
    <w:p w:rsidR="005C3A29" w:rsidRPr="00A249F5" w:rsidRDefault="00E51E54" w:rsidP="00895BE9">
      <w:pPr>
        <w:pStyle w:val="tvhtml"/>
        <w:shd w:val="clear" w:color="auto" w:fill="FFFFFF" w:themeFill="background1"/>
        <w:spacing w:before="0" w:beforeAutospacing="0" w:after="0" w:afterAutospacing="0"/>
        <w:rPr>
          <w:iCs/>
          <w:color w:val="auto"/>
          <w:sz w:val="24"/>
          <w:szCs w:val="24"/>
        </w:rPr>
      </w:pPr>
      <w:r w:rsidRPr="00A249F5">
        <w:rPr>
          <w:b/>
          <w:iCs/>
          <w:color w:val="auto"/>
          <w:sz w:val="24"/>
          <w:szCs w:val="24"/>
        </w:rPr>
        <w:t xml:space="preserve">Anotācijas </w:t>
      </w:r>
      <w:r w:rsidR="00174BFC" w:rsidRPr="00A249F5">
        <w:rPr>
          <w:b/>
          <w:iCs/>
          <w:color w:val="auto"/>
          <w:sz w:val="24"/>
          <w:szCs w:val="24"/>
        </w:rPr>
        <w:t xml:space="preserve">V </w:t>
      </w:r>
      <w:r w:rsidR="005C3A29" w:rsidRPr="00A249F5">
        <w:rPr>
          <w:b/>
          <w:iCs/>
          <w:color w:val="auto"/>
          <w:sz w:val="24"/>
          <w:szCs w:val="24"/>
        </w:rPr>
        <w:t>sadaļa –</w:t>
      </w:r>
      <w:r w:rsidR="005C3A29" w:rsidRPr="00A249F5">
        <w:rPr>
          <w:iCs/>
          <w:color w:val="auto"/>
          <w:sz w:val="24"/>
          <w:szCs w:val="24"/>
        </w:rPr>
        <w:t xml:space="preserve"> projekts šīs jomas neskar.</w:t>
      </w:r>
    </w:p>
    <w:p w:rsidR="00883F0A" w:rsidRDefault="00883F0A" w:rsidP="00895BE9">
      <w:pPr>
        <w:pStyle w:val="tvhtml"/>
        <w:shd w:val="clear" w:color="auto" w:fill="FFFFFF" w:themeFill="background1"/>
        <w:spacing w:before="0" w:beforeAutospacing="0" w:after="0" w:afterAutospacing="0"/>
        <w:rPr>
          <w:i/>
          <w:iCs/>
          <w:color w:val="auto"/>
          <w:sz w:val="24"/>
          <w:szCs w:val="24"/>
        </w:rPr>
      </w:pPr>
    </w:p>
    <w:tbl>
      <w:tblPr>
        <w:tblW w:w="9412"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09"/>
        <w:gridCol w:w="5203"/>
      </w:tblGrid>
      <w:tr w:rsidR="000A3651" w:rsidRPr="007C0F2C" w:rsidTr="00883F0A">
        <w:trPr>
          <w:jc w:val="center"/>
        </w:trPr>
        <w:tc>
          <w:tcPr>
            <w:tcW w:w="9412" w:type="dxa"/>
            <w:gridSpan w:val="2"/>
          </w:tcPr>
          <w:p w:rsidR="000A3651" w:rsidRPr="007C0F2C" w:rsidRDefault="000A3651" w:rsidP="00DD6B21">
            <w:pPr>
              <w:pStyle w:val="naisnod"/>
              <w:spacing w:before="0" w:after="0"/>
              <w:ind w:left="57" w:right="57"/>
            </w:pPr>
            <w:r w:rsidRPr="007C0F2C">
              <w:t>VI. Sabiedrības līdzdalība un šīs līdzdalības rezultāti</w:t>
            </w:r>
          </w:p>
        </w:tc>
      </w:tr>
      <w:tr w:rsidR="000A3651" w:rsidRPr="007C0F2C" w:rsidTr="00883F0A">
        <w:trPr>
          <w:trHeight w:val="553"/>
          <w:jc w:val="center"/>
        </w:trPr>
        <w:tc>
          <w:tcPr>
            <w:tcW w:w="4209" w:type="dxa"/>
          </w:tcPr>
          <w:p w:rsidR="000A3651" w:rsidRPr="007C0F2C" w:rsidRDefault="000A3651" w:rsidP="00DD6B21">
            <w:pPr>
              <w:pStyle w:val="naiskr"/>
              <w:tabs>
                <w:tab w:val="left" w:pos="170"/>
              </w:tabs>
              <w:spacing w:before="0" w:after="0"/>
              <w:ind w:left="57" w:right="57"/>
              <w:rPr>
                <w:sz w:val="22"/>
                <w:szCs w:val="22"/>
              </w:rPr>
            </w:pPr>
            <w:r w:rsidRPr="007C0F2C">
              <w:rPr>
                <w:sz w:val="22"/>
                <w:szCs w:val="22"/>
              </w:rPr>
              <w:t>Sabiedrības informēšana par projekta izstrādes uzsākšanu</w:t>
            </w:r>
          </w:p>
        </w:tc>
        <w:tc>
          <w:tcPr>
            <w:tcW w:w="5203" w:type="dxa"/>
          </w:tcPr>
          <w:p w:rsidR="00162BBD" w:rsidRPr="00F52F60" w:rsidRDefault="00162BBD" w:rsidP="00162BBD">
            <w:pPr>
              <w:autoSpaceDE w:val="0"/>
              <w:autoSpaceDN w:val="0"/>
              <w:adjustRightInd w:val="0"/>
              <w:jc w:val="both"/>
              <w:rPr>
                <w:rFonts w:eastAsia="Calibri"/>
              </w:rPr>
            </w:pPr>
            <w:r w:rsidRPr="00F52F60">
              <w:rPr>
                <w:rFonts w:eastAsia="Calibri"/>
              </w:rPr>
              <w:t xml:space="preserve">Par noteikumu projektu ir notikušas diskusijas  </w:t>
            </w:r>
            <w:smartTag w:uri="schemas-tilde-lv/tildestengine" w:element="date">
              <w:smartTagPr>
                <w:attr w:name="Year" w:val="2012"/>
                <w:attr w:name="Month" w:val="10"/>
                <w:attr w:name="Day" w:val="22"/>
              </w:smartTagPr>
              <w:r w:rsidRPr="00F52F60">
                <w:rPr>
                  <w:rFonts w:eastAsia="Calibri"/>
                </w:rPr>
                <w:t>2012.gada 22.oktobrī</w:t>
              </w:r>
            </w:smartTag>
            <w:r w:rsidRPr="00F52F60">
              <w:rPr>
                <w:rFonts w:eastAsia="Calibri"/>
              </w:rPr>
              <w:t xml:space="preserve"> IZM Konsultatīvajā padomē mazākumtautību izglītības jautājumos. Padome ir  akceptējusi noteikumu projektu. </w:t>
            </w:r>
            <w:smartTag w:uri="schemas-tilde-lv/tildestengine" w:element="date">
              <w:smartTagPr>
                <w:attr w:name="Year" w:val="2012"/>
                <w:attr w:name="Month" w:val="10"/>
                <w:attr w:name="Day" w:val="24"/>
              </w:smartTagPr>
              <w:r w:rsidRPr="00F52F60">
                <w:rPr>
                  <w:rFonts w:eastAsia="Calibri"/>
                </w:rPr>
                <w:t>2012.gada 24.oktobrī</w:t>
              </w:r>
            </w:smartTag>
            <w:r w:rsidRPr="00F52F60">
              <w:rPr>
                <w:rFonts w:eastAsia="Calibri"/>
              </w:rPr>
              <w:t xml:space="preserve">  par noteikumu projektu ir informēti pilsētu un novadu Izglītības pārvalžu vadītāji un speciālisti. </w:t>
            </w:r>
          </w:p>
          <w:p w:rsidR="000A3651" w:rsidRPr="000A3651" w:rsidRDefault="000A3651" w:rsidP="004E4699">
            <w:pPr>
              <w:jc w:val="both"/>
              <w:rPr>
                <w:color w:val="FF0000"/>
                <w:sz w:val="20"/>
                <w:szCs w:val="20"/>
              </w:rPr>
            </w:pPr>
          </w:p>
        </w:tc>
      </w:tr>
      <w:tr w:rsidR="000A3651" w:rsidRPr="007C0F2C" w:rsidTr="00883F0A">
        <w:trPr>
          <w:trHeight w:val="339"/>
          <w:jc w:val="center"/>
        </w:trPr>
        <w:tc>
          <w:tcPr>
            <w:tcW w:w="4209" w:type="dxa"/>
          </w:tcPr>
          <w:p w:rsidR="000A3651" w:rsidRPr="007C0F2C" w:rsidRDefault="000A3651" w:rsidP="00DD6B21">
            <w:pPr>
              <w:pStyle w:val="naiskr"/>
              <w:spacing w:before="0" w:after="0"/>
              <w:ind w:left="57" w:right="57"/>
              <w:rPr>
                <w:sz w:val="22"/>
                <w:szCs w:val="22"/>
              </w:rPr>
            </w:pPr>
            <w:r w:rsidRPr="007C0F2C">
              <w:rPr>
                <w:sz w:val="22"/>
                <w:szCs w:val="22"/>
              </w:rPr>
              <w:t xml:space="preserve">Sabiedrības līdzdalība projekta izstrādē </w:t>
            </w:r>
          </w:p>
        </w:tc>
        <w:tc>
          <w:tcPr>
            <w:tcW w:w="5203" w:type="dxa"/>
          </w:tcPr>
          <w:p w:rsidR="004E4699" w:rsidRPr="000A3651" w:rsidRDefault="004E4699" w:rsidP="004E4699">
            <w:pPr>
              <w:jc w:val="both"/>
              <w:rPr>
                <w:color w:val="FF0000"/>
                <w:sz w:val="20"/>
                <w:szCs w:val="20"/>
              </w:rPr>
            </w:pPr>
            <w:r>
              <w:rPr>
                <w:rFonts w:eastAsia="Calibri"/>
              </w:rPr>
              <w:t xml:space="preserve">2012.gada novembrī un decembrī  ministrija ir organizējusi </w:t>
            </w:r>
            <w:r w:rsidRPr="00F52F60">
              <w:rPr>
                <w:rFonts w:eastAsia="Calibri"/>
              </w:rPr>
              <w:t xml:space="preserve"> </w:t>
            </w:r>
            <w:r>
              <w:rPr>
                <w:rFonts w:eastAsia="Calibri"/>
              </w:rPr>
              <w:t xml:space="preserve">sanāksmes </w:t>
            </w:r>
            <w:r w:rsidRPr="00F52F60">
              <w:rPr>
                <w:rFonts w:eastAsia="Calibri"/>
              </w:rPr>
              <w:t xml:space="preserve">ar sociālajiem partneriem, tajā skaitā Mūzikas akadēmijas mācībspēkiem, Rīgas pedagoģijas un izglītības vadības akadēmijas, Valsts Akadēmiskā kora „Latvija”,  Latvijas Informācijas un komunikācijas tehnoloģijas asociācija, </w:t>
            </w:r>
            <w:r w:rsidR="0000022A">
              <w:rPr>
                <w:rFonts w:eastAsia="Calibri"/>
              </w:rPr>
              <w:t xml:space="preserve">Latvijas </w:t>
            </w:r>
            <w:r>
              <w:rPr>
                <w:rFonts w:eastAsia="Calibri"/>
              </w:rPr>
              <w:t xml:space="preserve">Darba devēju konfederācija, </w:t>
            </w:r>
            <w:r w:rsidRPr="00F52F60">
              <w:rPr>
                <w:rFonts w:eastAsia="Calibri"/>
              </w:rPr>
              <w:t>Latviešu valodas asociācijas, Speciālās izglītības asociācijas,</w:t>
            </w:r>
            <w:r w:rsidR="0000022A">
              <w:rPr>
                <w:rFonts w:eastAsia="Calibri"/>
              </w:rPr>
              <w:t xml:space="preserve"> </w:t>
            </w:r>
            <w:r w:rsidR="00883F0A">
              <w:rPr>
                <w:rFonts w:eastAsia="Calibri"/>
              </w:rPr>
              <w:t xml:space="preserve">Latvijas </w:t>
            </w:r>
            <w:r w:rsidRPr="00F52F60">
              <w:t>Lauksaimniecības uni</w:t>
            </w:r>
            <w:r w:rsidR="00883F0A">
              <w:t>versitātes Tehniskās</w:t>
            </w:r>
            <w:r w:rsidR="0000022A">
              <w:t xml:space="preserve"> </w:t>
            </w:r>
            <w:r w:rsidR="00883F0A">
              <w:t>fakultātes</w:t>
            </w:r>
            <w:r w:rsidRPr="00F52F60">
              <w:t xml:space="preserve"> Izglītības un mājsaimniecības institūta</w:t>
            </w:r>
            <w:r w:rsidRPr="00F52F60">
              <w:rPr>
                <w:rFonts w:eastAsia="Calibri"/>
              </w:rPr>
              <w:t xml:space="preserve"> mācībspēkiem, lai vienotos par </w:t>
            </w:r>
            <w:r w:rsidRPr="00F52F60">
              <w:t>grozījumiem</w:t>
            </w:r>
            <w:r w:rsidRPr="00F52F60">
              <w:rPr>
                <w:rFonts w:eastAsia="Calibri"/>
              </w:rPr>
              <w:t xml:space="preserve"> </w:t>
            </w:r>
            <w:r w:rsidRPr="00F52F60">
              <w:t>valsts pamatizglītības standarta projektā.</w:t>
            </w:r>
            <w:r>
              <w:t xml:space="preserve"> </w:t>
            </w:r>
          </w:p>
          <w:p w:rsidR="000A3651" w:rsidRPr="000A3651" w:rsidRDefault="000A3651" w:rsidP="004E4699">
            <w:pPr>
              <w:ind w:firstLine="250"/>
              <w:jc w:val="both"/>
              <w:rPr>
                <w:color w:val="FF0000"/>
                <w:sz w:val="20"/>
                <w:szCs w:val="20"/>
              </w:rPr>
            </w:pPr>
          </w:p>
        </w:tc>
      </w:tr>
      <w:tr w:rsidR="000A3651" w:rsidRPr="007C0F2C" w:rsidTr="00883F0A">
        <w:trPr>
          <w:trHeight w:val="375"/>
          <w:jc w:val="center"/>
        </w:trPr>
        <w:tc>
          <w:tcPr>
            <w:tcW w:w="4209" w:type="dxa"/>
          </w:tcPr>
          <w:p w:rsidR="000A3651" w:rsidRPr="007C0F2C" w:rsidRDefault="000A3651" w:rsidP="00DD6B21">
            <w:pPr>
              <w:pStyle w:val="naiskr"/>
              <w:spacing w:before="0" w:after="0"/>
              <w:ind w:left="57" w:right="57"/>
              <w:rPr>
                <w:sz w:val="22"/>
                <w:szCs w:val="22"/>
              </w:rPr>
            </w:pPr>
            <w:r w:rsidRPr="007C0F2C">
              <w:rPr>
                <w:sz w:val="22"/>
                <w:szCs w:val="22"/>
              </w:rPr>
              <w:t xml:space="preserve">Sabiedrības līdzdalības rezultāti </w:t>
            </w:r>
          </w:p>
        </w:tc>
        <w:tc>
          <w:tcPr>
            <w:tcW w:w="5203" w:type="dxa"/>
          </w:tcPr>
          <w:p w:rsidR="00883F0A" w:rsidRDefault="004E4699" w:rsidP="0065734F">
            <w:pPr>
              <w:jc w:val="both"/>
              <w:rPr>
                <w:rFonts w:eastAsia="Calibri"/>
              </w:rPr>
            </w:pPr>
            <w:r w:rsidRPr="00F52F60">
              <w:rPr>
                <w:rFonts w:eastAsia="Calibri"/>
              </w:rPr>
              <w:t>Rīgas pedagoģijas un izglītības vadības akadēmijas, V</w:t>
            </w:r>
            <w:r>
              <w:rPr>
                <w:rFonts w:eastAsia="Calibri"/>
              </w:rPr>
              <w:t xml:space="preserve">alsts Akadēmiskā kora „Latvija” mākslinieciskais vadītājs M.Sirmais ir aicinājis palielināt mūzikas un mākslas mūzikas stundu skaitu. </w:t>
            </w:r>
            <w:r w:rsidRPr="00F52F60">
              <w:rPr>
                <w:rFonts w:eastAsia="Calibri"/>
              </w:rPr>
              <w:t>Latvijas Informācijas un komuni</w:t>
            </w:r>
            <w:r>
              <w:rPr>
                <w:rFonts w:eastAsia="Calibri"/>
              </w:rPr>
              <w:t xml:space="preserve">kācijas tehnoloģijas asociācija ir vērsusi uzmanību matemātikas mācību stundu palielināšanai pamatizglītības posmā. </w:t>
            </w:r>
          </w:p>
          <w:p w:rsidR="000A3651" w:rsidRDefault="004E4699" w:rsidP="00883F0A">
            <w:pPr>
              <w:jc w:val="both"/>
              <w:rPr>
                <w:rFonts w:eastAsia="Calibri"/>
              </w:rPr>
            </w:pPr>
            <w:r>
              <w:rPr>
                <w:rFonts w:eastAsia="Calibri"/>
              </w:rPr>
              <w:t xml:space="preserve">Ir ņemti vērā </w:t>
            </w:r>
            <w:r w:rsidR="0000022A">
              <w:rPr>
                <w:rFonts w:eastAsia="Calibri"/>
              </w:rPr>
              <w:t xml:space="preserve">Latvijas </w:t>
            </w:r>
            <w:r>
              <w:rPr>
                <w:rFonts w:eastAsia="Calibri"/>
              </w:rPr>
              <w:t>Darba devēju konfederācijas ieteikumi</w:t>
            </w:r>
            <w:r w:rsidR="004666E6">
              <w:rPr>
                <w:rFonts w:eastAsia="Calibri"/>
              </w:rPr>
              <w:t xml:space="preserve">, līdz ar to </w:t>
            </w:r>
            <w:r>
              <w:rPr>
                <w:rFonts w:eastAsia="Calibri"/>
              </w:rPr>
              <w:t xml:space="preserve"> iekļaut</w:t>
            </w:r>
            <w:r w:rsidR="004666E6">
              <w:rPr>
                <w:rFonts w:eastAsia="Calibri"/>
              </w:rPr>
              <w:t>as</w:t>
            </w:r>
            <w:r>
              <w:rPr>
                <w:rFonts w:eastAsia="Calibri"/>
              </w:rPr>
              <w:t xml:space="preserve"> šādas tēmas neformālās </w:t>
            </w:r>
            <w:r>
              <w:rPr>
                <w:rFonts w:eastAsia="Calibri"/>
              </w:rPr>
              <w:lastRenderedPageBreak/>
              <w:t xml:space="preserve">izglītības nodarbību un klases audzinātāju </w:t>
            </w:r>
            <w:r w:rsidR="004666E6">
              <w:rPr>
                <w:rFonts w:eastAsia="Calibri"/>
              </w:rPr>
              <w:t xml:space="preserve"> nodarbību sarakstā: uzņēmējspēju kompetenču attī</w:t>
            </w:r>
            <w:r w:rsidR="0065734F">
              <w:rPr>
                <w:rFonts w:eastAsia="Calibri"/>
              </w:rPr>
              <w:t>stošās nodarbības, kā arī finanš</w:t>
            </w:r>
            <w:r w:rsidR="004666E6">
              <w:rPr>
                <w:rFonts w:eastAsia="Calibri"/>
              </w:rPr>
              <w:t>u pratība</w:t>
            </w:r>
            <w:r w:rsidR="0065734F">
              <w:rPr>
                <w:rFonts w:eastAsia="Calibri"/>
              </w:rPr>
              <w:t>.</w:t>
            </w:r>
          </w:p>
          <w:p w:rsidR="00A23689" w:rsidRPr="000A3651" w:rsidRDefault="00A23689" w:rsidP="00883F0A">
            <w:pPr>
              <w:jc w:val="both"/>
              <w:rPr>
                <w:color w:val="FF0000"/>
                <w:sz w:val="20"/>
                <w:szCs w:val="20"/>
              </w:rPr>
            </w:pPr>
          </w:p>
        </w:tc>
      </w:tr>
      <w:tr w:rsidR="000A3651" w:rsidRPr="007C0F2C" w:rsidTr="00883F0A">
        <w:trPr>
          <w:trHeight w:val="397"/>
          <w:jc w:val="center"/>
        </w:trPr>
        <w:tc>
          <w:tcPr>
            <w:tcW w:w="4209" w:type="dxa"/>
          </w:tcPr>
          <w:p w:rsidR="000A3651" w:rsidRPr="007C0F2C" w:rsidRDefault="000A3651" w:rsidP="00DD6B21">
            <w:pPr>
              <w:pStyle w:val="naiskr"/>
              <w:spacing w:before="0" w:after="0"/>
              <w:ind w:left="57" w:right="57"/>
              <w:rPr>
                <w:sz w:val="22"/>
                <w:szCs w:val="22"/>
              </w:rPr>
            </w:pPr>
            <w:r w:rsidRPr="007C0F2C">
              <w:rPr>
                <w:sz w:val="22"/>
                <w:szCs w:val="22"/>
              </w:rPr>
              <w:lastRenderedPageBreak/>
              <w:t>Saeimas un ekspertu līdzdalība</w:t>
            </w:r>
          </w:p>
        </w:tc>
        <w:tc>
          <w:tcPr>
            <w:tcW w:w="5203" w:type="dxa"/>
          </w:tcPr>
          <w:p w:rsidR="000A3651" w:rsidRPr="004666E6" w:rsidRDefault="004666E6" w:rsidP="004666E6">
            <w:pPr>
              <w:jc w:val="both"/>
            </w:pPr>
            <w:r w:rsidRPr="004666E6">
              <w:t>Nav</w:t>
            </w:r>
          </w:p>
          <w:p w:rsidR="000A3651" w:rsidRPr="004666E6" w:rsidRDefault="000A3651" w:rsidP="000A3651">
            <w:pPr>
              <w:pStyle w:val="naiskr"/>
              <w:spacing w:before="0" w:after="0"/>
              <w:ind w:left="57" w:right="57"/>
              <w:jc w:val="both"/>
            </w:pPr>
          </w:p>
        </w:tc>
      </w:tr>
      <w:tr w:rsidR="000A3651" w:rsidRPr="007C0F2C" w:rsidTr="00883F0A">
        <w:trPr>
          <w:trHeight w:val="476"/>
          <w:jc w:val="center"/>
        </w:trPr>
        <w:tc>
          <w:tcPr>
            <w:tcW w:w="4209" w:type="dxa"/>
          </w:tcPr>
          <w:p w:rsidR="000A3651" w:rsidRPr="007C0F2C" w:rsidRDefault="000A3651" w:rsidP="00DD6B21">
            <w:pPr>
              <w:pStyle w:val="naiskr"/>
              <w:spacing w:before="0" w:after="0"/>
              <w:ind w:left="57" w:right="57"/>
              <w:rPr>
                <w:sz w:val="22"/>
                <w:szCs w:val="22"/>
              </w:rPr>
            </w:pPr>
            <w:r w:rsidRPr="007C0F2C">
              <w:rPr>
                <w:sz w:val="22"/>
                <w:szCs w:val="22"/>
              </w:rPr>
              <w:t>Cita informācija</w:t>
            </w:r>
          </w:p>
          <w:p w:rsidR="000A3651" w:rsidRPr="007C0F2C" w:rsidRDefault="000A3651" w:rsidP="00DD6B21">
            <w:pPr>
              <w:pStyle w:val="naiskr"/>
              <w:spacing w:before="0" w:after="0"/>
              <w:ind w:left="57" w:right="57"/>
              <w:rPr>
                <w:sz w:val="22"/>
                <w:szCs w:val="22"/>
              </w:rPr>
            </w:pPr>
          </w:p>
        </w:tc>
        <w:tc>
          <w:tcPr>
            <w:tcW w:w="5203" w:type="dxa"/>
          </w:tcPr>
          <w:p w:rsidR="000A3651" w:rsidRPr="004666E6" w:rsidRDefault="004666E6" w:rsidP="000A3651">
            <w:pPr>
              <w:pStyle w:val="naiskr"/>
              <w:spacing w:before="0" w:after="0"/>
              <w:ind w:left="57" w:right="57"/>
              <w:jc w:val="both"/>
            </w:pPr>
            <w:r w:rsidRPr="004666E6">
              <w:t>Nav</w:t>
            </w:r>
          </w:p>
        </w:tc>
      </w:tr>
    </w:tbl>
    <w:p w:rsidR="00E46559" w:rsidRPr="00895BE9" w:rsidRDefault="00E46559" w:rsidP="00895BE9">
      <w:pPr>
        <w:pStyle w:val="naisf"/>
        <w:shd w:val="clear" w:color="auto" w:fill="FFFFFF" w:themeFill="background1"/>
        <w:spacing w:before="0" w:after="0"/>
        <w:jc w:val="center"/>
        <w:rPr>
          <w:b/>
        </w:rPr>
      </w:pPr>
    </w:p>
    <w:tbl>
      <w:tblPr>
        <w:tblpPr w:leftFromText="180" w:rightFromText="180" w:vertAnchor="text" w:horzAnchor="margin" w:tblpX="-114" w:tblpY="199"/>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390"/>
        <w:gridCol w:w="3961"/>
        <w:gridCol w:w="4004"/>
      </w:tblGrid>
      <w:tr w:rsidR="00537619" w:rsidRPr="00895BE9" w:rsidTr="00A23689">
        <w:tc>
          <w:tcPr>
            <w:tcW w:w="5000" w:type="pct"/>
            <w:gridSpan w:val="3"/>
            <w:tcBorders>
              <w:top w:val="single" w:sz="4" w:space="0" w:color="auto"/>
            </w:tcBorders>
          </w:tcPr>
          <w:p w:rsidR="00537619" w:rsidRPr="00895BE9" w:rsidRDefault="00537619" w:rsidP="00A23689">
            <w:pPr>
              <w:pStyle w:val="naisnod"/>
              <w:shd w:val="clear" w:color="auto" w:fill="FFFFFF" w:themeFill="background1"/>
              <w:spacing w:before="0" w:after="0"/>
              <w:ind w:left="57" w:right="57"/>
            </w:pPr>
            <w:r w:rsidRPr="00895BE9">
              <w:t>VII. Tiesību akta projekta izpildes nodrošināšana un tās ietekme uz institūcijām</w:t>
            </w:r>
          </w:p>
        </w:tc>
      </w:tr>
      <w:tr w:rsidR="00537619" w:rsidRPr="00895BE9" w:rsidTr="00A23689">
        <w:trPr>
          <w:trHeight w:val="427"/>
        </w:trPr>
        <w:tc>
          <w:tcPr>
            <w:tcW w:w="743" w:type="pct"/>
          </w:tcPr>
          <w:p w:rsidR="00537619" w:rsidRPr="00895BE9" w:rsidRDefault="00537619" w:rsidP="00A23689">
            <w:pPr>
              <w:pStyle w:val="naisnod"/>
              <w:shd w:val="clear" w:color="auto" w:fill="FFFFFF" w:themeFill="background1"/>
              <w:spacing w:before="0" w:after="0"/>
              <w:ind w:left="57" w:right="57"/>
              <w:rPr>
                <w:b w:val="0"/>
              </w:rPr>
            </w:pPr>
            <w:r w:rsidRPr="00895BE9">
              <w:rPr>
                <w:b w:val="0"/>
              </w:rPr>
              <w:t>1.</w:t>
            </w:r>
          </w:p>
        </w:tc>
        <w:tc>
          <w:tcPr>
            <w:tcW w:w="2117" w:type="pct"/>
          </w:tcPr>
          <w:p w:rsidR="00537619" w:rsidRPr="00895BE9" w:rsidRDefault="00537619" w:rsidP="00A23689">
            <w:pPr>
              <w:pStyle w:val="naisf"/>
              <w:shd w:val="clear" w:color="auto" w:fill="FFFFFF" w:themeFill="background1"/>
              <w:spacing w:before="0" w:after="0"/>
              <w:ind w:left="57" w:right="57" w:firstLine="0"/>
              <w:jc w:val="left"/>
            </w:pPr>
            <w:r w:rsidRPr="00895BE9">
              <w:t xml:space="preserve">Projekta izpildē iesaistītās institūcijas </w:t>
            </w:r>
          </w:p>
        </w:tc>
        <w:tc>
          <w:tcPr>
            <w:tcW w:w="2140" w:type="pct"/>
          </w:tcPr>
          <w:p w:rsidR="00537619" w:rsidRPr="00895BE9" w:rsidRDefault="00C43A9B" w:rsidP="00A23689">
            <w:pPr>
              <w:shd w:val="clear" w:color="auto" w:fill="FFFFFF" w:themeFill="background1"/>
              <w:spacing w:before="50" w:after="50"/>
            </w:pPr>
            <w:r>
              <w:t xml:space="preserve">Vispārējās izglītības iestādes, </w:t>
            </w:r>
            <w:r w:rsidR="00883F0A">
              <w:t>kas īsteno pamatskolas izglītības programmas pašvaldību, t.sk. izglītības pārvalžu vadītāji</w:t>
            </w:r>
            <w:r>
              <w:t xml:space="preserve"> un speciālisti, IZM</w:t>
            </w:r>
            <w:r w:rsidR="00E601DC">
              <w:t>.</w:t>
            </w:r>
          </w:p>
        </w:tc>
      </w:tr>
      <w:tr w:rsidR="00537619" w:rsidRPr="00895BE9" w:rsidTr="00A23689">
        <w:trPr>
          <w:trHeight w:val="463"/>
        </w:trPr>
        <w:tc>
          <w:tcPr>
            <w:tcW w:w="743" w:type="pct"/>
          </w:tcPr>
          <w:p w:rsidR="00537619" w:rsidRPr="00895BE9" w:rsidRDefault="00537619" w:rsidP="00A23689">
            <w:pPr>
              <w:pStyle w:val="naisnod"/>
              <w:shd w:val="clear" w:color="auto" w:fill="FFFFFF" w:themeFill="background1"/>
              <w:spacing w:before="0" w:after="0"/>
              <w:ind w:left="57" w:right="57"/>
              <w:rPr>
                <w:b w:val="0"/>
              </w:rPr>
            </w:pPr>
            <w:r w:rsidRPr="00895BE9">
              <w:rPr>
                <w:b w:val="0"/>
              </w:rPr>
              <w:t>2.</w:t>
            </w:r>
          </w:p>
        </w:tc>
        <w:tc>
          <w:tcPr>
            <w:tcW w:w="2117" w:type="pct"/>
          </w:tcPr>
          <w:p w:rsidR="00537619" w:rsidRPr="00895BE9" w:rsidRDefault="00537619" w:rsidP="00A23689">
            <w:pPr>
              <w:pStyle w:val="naisf"/>
              <w:shd w:val="clear" w:color="auto" w:fill="FFFFFF" w:themeFill="background1"/>
              <w:spacing w:before="0" w:after="0"/>
              <w:ind w:left="57" w:right="57" w:firstLine="0"/>
              <w:jc w:val="left"/>
            </w:pPr>
            <w:r w:rsidRPr="00895BE9">
              <w:t xml:space="preserve">Projekta izpildes ietekme uz pārvaldes funkcijām </w:t>
            </w:r>
          </w:p>
        </w:tc>
        <w:tc>
          <w:tcPr>
            <w:tcW w:w="2140" w:type="pct"/>
          </w:tcPr>
          <w:p w:rsidR="00537619" w:rsidRPr="00895BE9" w:rsidRDefault="00537619" w:rsidP="00A23689">
            <w:pPr>
              <w:shd w:val="clear" w:color="auto" w:fill="FFFFFF" w:themeFill="background1"/>
              <w:spacing w:before="50" w:after="50"/>
            </w:pPr>
            <w:r w:rsidRPr="00895BE9">
              <w:t>Funkcijas un uzdevumi netiek paplašināti</w:t>
            </w:r>
          </w:p>
        </w:tc>
      </w:tr>
      <w:tr w:rsidR="00537619" w:rsidRPr="00895BE9" w:rsidTr="00A23689">
        <w:trPr>
          <w:trHeight w:val="725"/>
        </w:trPr>
        <w:tc>
          <w:tcPr>
            <w:tcW w:w="743" w:type="pct"/>
          </w:tcPr>
          <w:p w:rsidR="00537619" w:rsidRPr="00895BE9" w:rsidRDefault="00537619" w:rsidP="00A23689">
            <w:pPr>
              <w:pStyle w:val="naisnod"/>
              <w:shd w:val="clear" w:color="auto" w:fill="FFFFFF" w:themeFill="background1"/>
              <w:spacing w:before="0" w:after="0"/>
              <w:ind w:left="57" w:right="57"/>
              <w:rPr>
                <w:b w:val="0"/>
              </w:rPr>
            </w:pPr>
            <w:r w:rsidRPr="00895BE9">
              <w:rPr>
                <w:b w:val="0"/>
              </w:rPr>
              <w:t>3.</w:t>
            </w:r>
          </w:p>
        </w:tc>
        <w:tc>
          <w:tcPr>
            <w:tcW w:w="2117" w:type="pct"/>
          </w:tcPr>
          <w:p w:rsidR="00537619" w:rsidRPr="00895BE9" w:rsidRDefault="00537619" w:rsidP="00A23689">
            <w:pPr>
              <w:pStyle w:val="naisf"/>
              <w:shd w:val="clear" w:color="auto" w:fill="FFFFFF" w:themeFill="background1"/>
              <w:spacing w:before="0" w:after="0"/>
              <w:ind w:left="57" w:right="57" w:firstLine="0"/>
              <w:jc w:val="left"/>
            </w:pPr>
            <w:r w:rsidRPr="00895BE9">
              <w:t>Projekta izpildes ietekme uz pārvaldes institucionālo struktūru.</w:t>
            </w:r>
          </w:p>
          <w:p w:rsidR="00537619" w:rsidRDefault="00537619" w:rsidP="00A23689">
            <w:pPr>
              <w:pStyle w:val="naisf"/>
              <w:shd w:val="clear" w:color="auto" w:fill="FFFFFF" w:themeFill="background1"/>
              <w:spacing w:before="0" w:after="0"/>
              <w:ind w:left="57" w:right="57" w:firstLine="0"/>
              <w:jc w:val="left"/>
            </w:pPr>
            <w:r w:rsidRPr="00895BE9">
              <w:t>Jaunu institūciju izveide</w:t>
            </w:r>
          </w:p>
          <w:p w:rsidR="00A249F5" w:rsidRPr="00895BE9" w:rsidRDefault="00A249F5" w:rsidP="00A23689">
            <w:pPr>
              <w:pStyle w:val="naisf"/>
              <w:shd w:val="clear" w:color="auto" w:fill="FFFFFF" w:themeFill="background1"/>
              <w:spacing w:before="0" w:after="0"/>
              <w:ind w:left="57" w:right="57" w:firstLine="0"/>
              <w:jc w:val="left"/>
            </w:pPr>
          </w:p>
        </w:tc>
        <w:tc>
          <w:tcPr>
            <w:tcW w:w="2140" w:type="pct"/>
          </w:tcPr>
          <w:p w:rsidR="00537619" w:rsidRPr="00895BE9" w:rsidRDefault="00537619" w:rsidP="00A23689">
            <w:pPr>
              <w:shd w:val="clear" w:color="auto" w:fill="FFFFFF" w:themeFill="background1"/>
              <w:spacing w:before="50" w:after="50"/>
            </w:pPr>
            <w:r w:rsidRPr="00895BE9">
              <w:t>Veidot jaunas institūcijas nav nepieciešams</w:t>
            </w:r>
          </w:p>
        </w:tc>
      </w:tr>
      <w:tr w:rsidR="00537619" w:rsidRPr="00895BE9" w:rsidTr="00A23689">
        <w:trPr>
          <w:trHeight w:val="780"/>
        </w:trPr>
        <w:tc>
          <w:tcPr>
            <w:tcW w:w="743" w:type="pct"/>
          </w:tcPr>
          <w:p w:rsidR="00537619" w:rsidRPr="00895BE9" w:rsidRDefault="00537619" w:rsidP="00A23689">
            <w:pPr>
              <w:pStyle w:val="naisnod"/>
              <w:shd w:val="clear" w:color="auto" w:fill="FFFFFF" w:themeFill="background1"/>
              <w:spacing w:before="0" w:after="0"/>
              <w:ind w:left="57" w:right="57"/>
              <w:rPr>
                <w:b w:val="0"/>
              </w:rPr>
            </w:pPr>
            <w:r w:rsidRPr="00895BE9">
              <w:rPr>
                <w:b w:val="0"/>
              </w:rPr>
              <w:t>4.</w:t>
            </w:r>
          </w:p>
        </w:tc>
        <w:tc>
          <w:tcPr>
            <w:tcW w:w="2117" w:type="pct"/>
          </w:tcPr>
          <w:p w:rsidR="00537619" w:rsidRPr="00895BE9" w:rsidRDefault="00537619" w:rsidP="00A23689">
            <w:pPr>
              <w:pStyle w:val="naisf"/>
              <w:shd w:val="clear" w:color="auto" w:fill="FFFFFF" w:themeFill="background1"/>
              <w:spacing w:before="0" w:after="0"/>
              <w:ind w:left="57" w:right="57" w:firstLine="0"/>
              <w:jc w:val="left"/>
            </w:pPr>
            <w:r w:rsidRPr="00895BE9">
              <w:t>Projekta izpildes ietekme uz pārvaldes institucionālo struktūru.</w:t>
            </w:r>
          </w:p>
          <w:p w:rsidR="00537619" w:rsidRDefault="00537619" w:rsidP="00A23689">
            <w:pPr>
              <w:pStyle w:val="naisf"/>
              <w:shd w:val="clear" w:color="auto" w:fill="FFFFFF" w:themeFill="background1"/>
              <w:spacing w:before="0" w:after="0"/>
              <w:ind w:left="57" w:right="57" w:firstLine="0"/>
              <w:jc w:val="left"/>
            </w:pPr>
            <w:r w:rsidRPr="00895BE9">
              <w:t>Esošu institūciju likvidācija</w:t>
            </w:r>
          </w:p>
          <w:p w:rsidR="00A249F5" w:rsidRPr="00895BE9" w:rsidRDefault="00A249F5" w:rsidP="00A23689">
            <w:pPr>
              <w:pStyle w:val="naisf"/>
              <w:shd w:val="clear" w:color="auto" w:fill="FFFFFF" w:themeFill="background1"/>
              <w:spacing w:before="0" w:after="0"/>
              <w:ind w:left="57" w:right="57" w:firstLine="0"/>
              <w:jc w:val="left"/>
            </w:pPr>
          </w:p>
        </w:tc>
        <w:tc>
          <w:tcPr>
            <w:tcW w:w="2140" w:type="pct"/>
          </w:tcPr>
          <w:p w:rsidR="00537619" w:rsidRPr="00895BE9" w:rsidRDefault="00537619" w:rsidP="00A23689">
            <w:pPr>
              <w:shd w:val="clear" w:color="auto" w:fill="FFFFFF" w:themeFill="background1"/>
              <w:spacing w:before="50" w:after="50"/>
            </w:pPr>
            <w:r w:rsidRPr="00895BE9">
              <w:t>Likvidēt esošas institūcijas nav nepieciešams</w:t>
            </w:r>
          </w:p>
        </w:tc>
      </w:tr>
      <w:tr w:rsidR="00537619" w:rsidRPr="00895BE9" w:rsidTr="00A23689">
        <w:trPr>
          <w:trHeight w:val="703"/>
        </w:trPr>
        <w:tc>
          <w:tcPr>
            <w:tcW w:w="743" w:type="pct"/>
          </w:tcPr>
          <w:p w:rsidR="00537619" w:rsidRPr="00895BE9" w:rsidRDefault="00537619" w:rsidP="00A23689">
            <w:pPr>
              <w:pStyle w:val="naisnod"/>
              <w:shd w:val="clear" w:color="auto" w:fill="FFFFFF" w:themeFill="background1"/>
              <w:spacing w:before="0" w:after="0"/>
              <w:ind w:left="57" w:right="57"/>
              <w:rPr>
                <w:b w:val="0"/>
              </w:rPr>
            </w:pPr>
            <w:r w:rsidRPr="00895BE9">
              <w:rPr>
                <w:b w:val="0"/>
              </w:rPr>
              <w:t>5.</w:t>
            </w:r>
          </w:p>
        </w:tc>
        <w:tc>
          <w:tcPr>
            <w:tcW w:w="2117" w:type="pct"/>
          </w:tcPr>
          <w:p w:rsidR="00537619" w:rsidRPr="00895BE9" w:rsidRDefault="00537619" w:rsidP="00A23689">
            <w:pPr>
              <w:pStyle w:val="naisf"/>
              <w:shd w:val="clear" w:color="auto" w:fill="FFFFFF" w:themeFill="background1"/>
              <w:spacing w:before="0" w:after="0"/>
              <w:ind w:left="57" w:right="57" w:firstLine="0"/>
              <w:jc w:val="left"/>
            </w:pPr>
            <w:r w:rsidRPr="00895BE9">
              <w:t>Projekta izpildes ietekme uz pārvaldes institucionālo struktūru.</w:t>
            </w:r>
          </w:p>
          <w:p w:rsidR="00537619" w:rsidRDefault="00537619" w:rsidP="00A23689">
            <w:pPr>
              <w:pStyle w:val="naisf"/>
              <w:shd w:val="clear" w:color="auto" w:fill="FFFFFF" w:themeFill="background1"/>
              <w:spacing w:before="0" w:after="0"/>
              <w:ind w:left="57" w:right="57" w:firstLine="0"/>
              <w:jc w:val="left"/>
            </w:pPr>
            <w:r w:rsidRPr="00895BE9">
              <w:t>Esošu institūciju reorganizācija</w:t>
            </w:r>
          </w:p>
          <w:p w:rsidR="00A249F5" w:rsidRPr="00895BE9" w:rsidRDefault="00A249F5" w:rsidP="00A23689">
            <w:pPr>
              <w:pStyle w:val="naisf"/>
              <w:shd w:val="clear" w:color="auto" w:fill="FFFFFF" w:themeFill="background1"/>
              <w:spacing w:before="0" w:after="0"/>
              <w:ind w:left="57" w:right="57" w:firstLine="0"/>
              <w:jc w:val="left"/>
            </w:pPr>
          </w:p>
        </w:tc>
        <w:tc>
          <w:tcPr>
            <w:tcW w:w="2140" w:type="pct"/>
          </w:tcPr>
          <w:p w:rsidR="00537619" w:rsidRPr="00895BE9" w:rsidRDefault="00537619" w:rsidP="00A23689">
            <w:pPr>
              <w:shd w:val="clear" w:color="auto" w:fill="FFFFFF" w:themeFill="background1"/>
              <w:spacing w:before="50" w:after="50"/>
            </w:pPr>
            <w:r w:rsidRPr="00895BE9">
              <w:t>Esošas institūcijas reorganizācija vai esošu institūciju apvienošana nav plānota</w:t>
            </w:r>
          </w:p>
        </w:tc>
      </w:tr>
      <w:tr w:rsidR="00537619" w:rsidRPr="00895BE9" w:rsidTr="00A23689">
        <w:trPr>
          <w:trHeight w:val="275"/>
        </w:trPr>
        <w:tc>
          <w:tcPr>
            <w:tcW w:w="743" w:type="pct"/>
          </w:tcPr>
          <w:p w:rsidR="00537619" w:rsidRPr="00895BE9" w:rsidRDefault="00537619" w:rsidP="00A23689">
            <w:pPr>
              <w:pStyle w:val="naiskr"/>
              <w:shd w:val="clear" w:color="auto" w:fill="FFFFFF" w:themeFill="background1"/>
              <w:spacing w:before="0" w:after="0"/>
              <w:ind w:left="57" w:right="57"/>
              <w:jc w:val="center"/>
            </w:pPr>
            <w:r w:rsidRPr="00895BE9">
              <w:t>6.</w:t>
            </w:r>
          </w:p>
        </w:tc>
        <w:tc>
          <w:tcPr>
            <w:tcW w:w="2117" w:type="pct"/>
          </w:tcPr>
          <w:p w:rsidR="00537619" w:rsidRPr="00895BE9" w:rsidRDefault="00537619" w:rsidP="00A23689">
            <w:pPr>
              <w:pStyle w:val="naiskr"/>
              <w:shd w:val="clear" w:color="auto" w:fill="FFFFFF" w:themeFill="background1"/>
              <w:spacing w:before="0" w:after="0"/>
              <w:ind w:left="57" w:right="57"/>
            </w:pPr>
            <w:r w:rsidRPr="00895BE9">
              <w:t>Cita informācija</w:t>
            </w:r>
          </w:p>
        </w:tc>
        <w:tc>
          <w:tcPr>
            <w:tcW w:w="2140" w:type="pct"/>
          </w:tcPr>
          <w:p w:rsidR="00537619" w:rsidRPr="00895BE9" w:rsidRDefault="00537619" w:rsidP="00A23689">
            <w:pPr>
              <w:pStyle w:val="naiskr"/>
              <w:shd w:val="clear" w:color="auto" w:fill="FFFFFF" w:themeFill="background1"/>
              <w:spacing w:before="0" w:after="0"/>
              <w:ind w:left="57" w:right="57"/>
            </w:pPr>
            <w:r w:rsidRPr="00895BE9">
              <w:t>Nav</w:t>
            </w:r>
          </w:p>
        </w:tc>
      </w:tr>
    </w:tbl>
    <w:p w:rsidR="00070A8E" w:rsidRDefault="00070A8E" w:rsidP="001227FB">
      <w:pPr>
        <w:spacing w:before="50" w:after="50"/>
        <w:ind w:firstLine="250"/>
      </w:pPr>
    </w:p>
    <w:p w:rsidR="001227FB" w:rsidRPr="00F6471D" w:rsidRDefault="001227FB" w:rsidP="001227FB">
      <w:pPr>
        <w:spacing w:before="50" w:after="50"/>
        <w:ind w:firstLine="250"/>
      </w:pPr>
      <w:r w:rsidRPr="00F6471D">
        <w:t> </w:t>
      </w:r>
    </w:p>
    <w:p w:rsidR="001227FB" w:rsidRPr="00F6471D" w:rsidRDefault="001227FB" w:rsidP="001227FB">
      <w:pPr>
        <w:spacing w:before="50" w:after="50"/>
        <w:ind w:firstLine="720"/>
      </w:pPr>
      <w:r w:rsidRPr="00F6471D">
        <w:t>Izglītības un zinātnes ministrs</w:t>
      </w:r>
      <w:r w:rsidRPr="00F6471D">
        <w:tab/>
      </w:r>
      <w:r w:rsidRPr="00F6471D">
        <w:tab/>
      </w:r>
      <w:r w:rsidRPr="00F6471D">
        <w:tab/>
      </w:r>
      <w:r w:rsidRPr="00F6471D">
        <w:tab/>
      </w:r>
      <w:r w:rsidRPr="00F6471D">
        <w:tab/>
      </w:r>
      <w:r w:rsidRPr="00F6471D">
        <w:tab/>
        <w:t>R.Ķīlis</w:t>
      </w:r>
    </w:p>
    <w:p w:rsidR="001227FB" w:rsidRPr="00F6471D" w:rsidRDefault="001227FB" w:rsidP="001227FB">
      <w:pPr>
        <w:keepNext/>
      </w:pPr>
    </w:p>
    <w:p w:rsidR="001B112B" w:rsidRPr="00F6471D" w:rsidRDefault="00FB663D" w:rsidP="008A2384">
      <w:pPr>
        <w:ind w:firstLine="720"/>
        <w:jc w:val="both"/>
      </w:pPr>
      <w:r w:rsidRPr="00F6471D">
        <w:t>Vizē:</w:t>
      </w:r>
      <w:r w:rsidR="00CC7515" w:rsidRPr="00F6471D">
        <w:t xml:space="preserve"> </w:t>
      </w:r>
      <w:r w:rsidR="008A2384">
        <w:t>Valsts sekretāre</w:t>
      </w:r>
      <w:r w:rsidR="008A2384">
        <w:tab/>
      </w:r>
      <w:r w:rsidR="008A2384">
        <w:tab/>
      </w:r>
      <w:r w:rsidR="008A2384">
        <w:tab/>
      </w:r>
      <w:r w:rsidR="008A2384">
        <w:tab/>
      </w:r>
      <w:r w:rsidR="008A2384">
        <w:tab/>
      </w:r>
      <w:r w:rsidR="008A2384">
        <w:tab/>
      </w:r>
      <w:r w:rsidR="008A2384">
        <w:tab/>
        <w:t>S.Liepiņa</w:t>
      </w:r>
    </w:p>
    <w:p w:rsidR="00F6471D" w:rsidRDefault="00F6471D" w:rsidP="008635AD">
      <w:pPr>
        <w:keepNext/>
        <w:ind w:firstLine="720"/>
      </w:pPr>
    </w:p>
    <w:p w:rsidR="00F6471D" w:rsidRDefault="00F6471D" w:rsidP="008635AD">
      <w:pPr>
        <w:keepNext/>
        <w:ind w:firstLine="720"/>
      </w:pPr>
    </w:p>
    <w:p w:rsidR="001227FB" w:rsidRPr="00F6471D" w:rsidRDefault="008635AD" w:rsidP="008635AD">
      <w:pPr>
        <w:keepNext/>
        <w:ind w:firstLine="720"/>
      </w:pPr>
      <w:r w:rsidRPr="00F6471D">
        <w:tab/>
      </w:r>
      <w:r w:rsidRPr="00F6471D">
        <w:tab/>
      </w:r>
      <w:r w:rsidRPr="00F6471D">
        <w:tab/>
      </w:r>
      <w:r w:rsidRPr="00F6471D">
        <w:tab/>
      </w:r>
      <w:r w:rsidRPr="00F6471D">
        <w:tab/>
      </w:r>
      <w:r w:rsidRPr="00F6471D">
        <w:tab/>
      </w:r>
    </w:p>
    <w:p w:rsidR="00D5711B" w:rsidRDefault="00F55137" w:rsidP="001227FB">
      <w:pPr>
        <w:rPr>
          <w:sz w:val="20"/>
          <w:szCs w:val="20"/>
        </w:rPr>
      </w:pPr>
      <w:r>
        <w:rPr>
          <w:sz w:val="20"/>
          <w:szCs w:val="20"/>
        </w:rPr>
        <w:tab/>
      </w:r>
      <w:r w:rsidR="00526F2D">
        <w:rPr>
          <w:sz w:val="20"/>
          <w:szCs w:val="20"/>
        </w:rPr>
        <w:t>22</w:t>
      </w:r>
      <w:r>
        <w:rPr>
          <w:sz w:val="20"/>
          <w:szCs w:val="20"/>
        </w:rPr>
        <w:t>.03.</w:t>
      </w:r>
      <w:r w:rsidR="00D5711B">
        <w:rPr>
          <w:sz w:val="20"/>
          <w:szCs w:val="20"/>
        </w:rPr>
        <w:t>2013.</w:t>
      </w:r>
    </w:p>
    <w:p w:rsidR="00D5711B" w:rsidRDefault="006607E6" w:rsidP="00D5711B">
      <w:pPr>
        <w:ind w:firstLine="720"/>
        <w:rPr>
          <w:sz w:val="20"/>
          <w:szCs w:val="20"/>
        </w:rPr>
      </w:pPr>
      <w:r>
        <w:rPr>
          <w:sz w:val="20"/>
          <w:szCs w:val="20"/>
        </w:rPr>
        <w:t>2</w:t>
      </w:r>
      <w:r w:rsidR="005540CA">
        <w:rPr>
          <w:sz w:val="20"/>
          <w:szCs w:val="20"/>
        </w:rPr>
        <w:t>597</w:t>
      </w:r>
    </w:p>
    <w:p w:rsidR="001227FB" w:rsidRPr="008E3EFA" w:rsidRDefault="001227FB" w:rsidP="001227FB">
      <w:pPr>
        <w:rPr>
          <w:sz w:val="20"/>
          <w:szCs w:val="20"/>
        </w:rPr>
      </w:pPr>
      <w:r w:rsidRPr="008E3EFA">
        <w:rPr>
          <w:sz w:val="20"/>
          <w:szCs w:val="20"/>
        </w:rPr>
        <w:tab/>
      </w:r>
      <w:bookmarkStart w:id="2" w:name="OLE_LINK3"/>
      <w:bookmarkStart w:id="3" w:name="OLE_LINK4"/>
      <w:bookmarkStart w:id="4" w:name="OLE_LINK11"/>
      <w:proofErr w:type="spellStart"/>
      <w:r w:rsidR="009F1B2F" w:rsidRPr="008E3EFA">
        <w:rPr>
          <w:sz w:val="20"/>
          <w:szCs w:val="20"/>
        </w:rPr>
        <w:t>O.Arkle</w:t>
      </w:r>
      <w:proofErr w:type="spellEnd"/>
    </w:p>
    <w:p w:rsidR="00214094" w:rsidRPr="00B07EDC" w:rsidRDefault="009F1B2F" w:rsidP="00B07EDC">
      <w:pPr>
        <w:ind w:firstLine="720"/>
        <w:rPr>
          <w:sz w:val="20"/>
          <w:szCs w:val="20"/>
        </w:rPr>
      </w:pPr>
      <w:r w:rsidRPr="008E3EFA">
        <w:rPr>
          <w:sz w:val="20"/>
          <w:szCs w:val="20"/>
        </w:rPr>
        <w:t>67047944</w:t>
      </w:r>
      <w:r w:rsidR="001227FB" w:rsidRPr="008E3EFA">
        <w:rPr>
          <w:sz w:val="20"/>
          <w:szCs w:val="20"/>
        </w:rPr>
        <w:t>,</w:t>
      </w:r>
      <w:r w:rsidRPr="008E3EFA">
        <w:rPr>
          <w:sz w:val="20"/>
          <w:szCs w:val="20"/>
        </w:rPr>
        <w:t xml:space="preserve"> </w:t>
      </w:r>
      <w:hyperlink r:id="rId8" w:history="1">
        <w:r w:rsidRPr="008E3EFA">
          <w:rPr>
            <w:rStyle w:val="Hyperlink"/>
            <w:sz w:val="20"/>
            <w:szCs w:val="20"/>
          </w:rPr>
          <w:t>olita.arkle@izm.gov.lv</w:t>
        </w:r>
      </w:hyperlink>
      <w:bookmarkEnd w:id="2"/>
      <w:bookmarkEnd w:id="3"/>
      <w:bookmarkEnd w:id="4"/>
    </w:p>
    <w:sectPr w:rsidR="00214094" w:rsidRPr="00B07EDC"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921" w:rsidRDefault="00DC6921">
      <w:r>
        <w:separator/>
      </w:r>
    </w:p>
  </w:endnote>
  <w:endnote w:type="continuationSeparator" w:id="0">
    <w:p w:rsidR="00DC6921" w:rsidRDefault="00DC6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A19" w:rsidRPr="001704E4" w:rsidRDefault="00D65135" w:rsidP="008B6874">
    <w:pPr>
      <w:jc w:val="both"/>
      <w:rPr>
        <w:sz w:val="20"/>
        <w:szCs w:val="20"/>
      </w:rPr>
    </w:pPr>
    <w:r>
      <w:rPr>
        <w:sz w:val="20"/>
        <w:szCs w:val="20"/>
      </w:rPr>
      <w:t>IZMAnot_</w:t>
    </w:r>
    <w:r w:rsidR="009D60BA">
      <w:rPr>
        <w:sz w:val="20"/>
        <w:szCs w:val="20"/>
      </w:rPr>
      <w:t>22</w:t>
    </w:r>
    <w:r>
      <w:rPr>
        <w:sz w:val="20"/>
        <w:szCs w:val="20"/>
      </w:rPr>
      <w:t>03</w:t>
    </w:r>
    <w:r w:rsidR="00263A19" w:rsidRPr="001704E4">
      <w:rPr>
        <w:sz w:val="20"/>
        <w:szCs w:val="20"/>
      </w:rPr>
      <w:t>13_standar; Ministru kabineta noteikumu projekta „Noteikumi par valsts pamatizglītības standartu, pamatizglītības mācību priekšmetu standartiem un pamatizglītības programmu paraugiem”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A19" w:rsidRPr="001704E4" w:rsidRDefault="007C215B" w:rsidP="00280C39">
    <w:pPr>
      <w:jc w:val="both"/>
      <w:rPr>
        <w:sz w:val="20"/>
        <w:szCs w:val="20"/>
      </w:rPr>
    </w:pPr>
    <w:r>
      <w:rPr>
        <w:sz w:val="20"/>
        <w:szCs w:val="20"/>
      </w:rPr>
      <w:t>IZMAnot_</w:t>
    </w:r>
    <w:r w:rsidR="00EF5E42">
      <w:rPr>
        <w:sz w:val="20"/>
        <w:szCs w:val="20"/>
      </w:rPr>
      <w:t>22</w:t>
    </w:r>
    <w:r>
      <w:rPr>
        <w:sz w:val="20"/>
        <w:szCs w:val="20"/>
      </w:rPr>
      <w:t>03</w:t>
    </w:r>
    <w:r w:rsidR="00263A19" w:rsidRPr="001704E4">
      <w:rPr>
        <w:sz w:val="20"/>
        <w:szCs w:val="20"/>
      </w:rPr>
      <w:t>13_standar; Ministru kabineta noteikumu projekta „Noteikumi par valsts pamatizglītības standartu, pamatizglītības mācību priekšmetu standartiem un pamatizglītības programmu paraugiem” sākotnējās ietekmes novērtējuma ziņojums (anotācija)</w:t>
    </w:r>
  </w:p>
  <w:p w:rsidR="00263A19" w:rsidRPr="001704E4" w:rsidRDefault="00263A19" w:rsidP="00280C39">
    <w:pPr>
      <w:spacing w:before="120"/>
      <w:jc w:val="both"/>
      <w:rPr>
        <w:sz w:val="20"/>
        <w:szCs w:val="20"/>
      </w:rPr>
    </w:pPr>
  </w:p>
  <w:p w:rsidR="00263A19" w:rsidRPr="00FB6C7C" w:rsidRDefault="00263A19" w:rsidP="00FB6C7C">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921" w:rsidRDefault="00DC6921">
      <w:r>
        <w:separator/>
      </w:r>
    </w:p>
  </w:footnote>
  <w:footnote w:type="continuationSeparator" w:id="0">
    <w:p w:rsidR="00DC6921" w:rsidRDefault="00DC6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A19" w:rsidRDefault="0035779B" w:rsidP="003C449B">
    <w:pPr>
      <w:pStyle w:val="Header"/>
      <w:framePr w:wrap="around" w:vAnchor="text" w:hAnchor="margin" w:xAlign="center" w:y="1"/>
      <w:rPr>
        <w:rStyle w:val="PageNumber"/>
      </w:rPr>
    </w:pPr>
    <w:r>
      <w:rPr>
        <w:rStyle w:val="PageNumber"/>
      </w:rPr>
      <w:fldChar w:fldCharType="begin"/>
    </w:r>
    <w:r w:rsidR="00263A19">
      <w:rPr>
        <w:rStyle w:val="PageNumber"/>
      </w:rPr>
      <w:instrText xml:space="preserve">PAGE  </w:instrText>
    </w:r>
    <w:r>
      <w:rPr>
        <w:rStyle w:val="PageNumber"/>
      </w:rPr>
      <w:fldChar w:fldCharType="end"/>
    </w:r>
  </w:p>
  <w:p w:rsidR="00263A19" w:rsidRDefault="00263A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A19" w:rsidRDefault="0035779B" w:rsidP="003C449B">
    <w:pPr>
      <w:pStyle w:val="Header"/>
      <w:framePr w:wrap="around" w:vAnchor="text" w:hAnchor="margin" w:xAlign="center" w:y="1"/>
      <w:rPr>
        <w:rStyle w:val="PageNumber"/>
      </w:rPr>
    </w:pPr>
    <w:r>
      <w:rPr>
        <w:rStyle w:val="PageNumber"/>
      </w:rPr>
      <w:fldChar w:fldCharType="begin"/>
    </w:r>
    <w:r w:rsidR="00263A19">
      <w:rPr>
        <w:rStyle w:val="PageNumber"/>
      </w:rPr>
      <w:instrText xml:space="preserve">PAGE  </w:instrText>
    </w:r>
    <w:r>
      <w:rPr>
        <w:rStyle w:val="PageNumber"/>
      </w:rPr>
      <w:fldChar w:fldCharType="separate"/>
    </w:r>
    <w:r w:rsidR="00EF5E42">
      <w:rPr>
        <w:rStyle w:val="PageNumber"/>
        <w:noProof/>
      </w:rPr>
      <w:t>2</w:t>
    </w:r>
    <w:r>
      <w:rPr>
        <w:rStyle w:val="PageNumber"/>
      </w:rPr>
      <w:fldChar w:fldCharType="end"/>
    </w:r>
  </w:p>
  <w:p w:rsidR="00263A19" w:rsidRPr="000D28DA" w:rsidRDefault="00263A19">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2EC"/>
    <w:multiLevelType w:val="hybridMultilevel"/>
    <w:tmpl w:val="66C61E5E"/>
    <w:lvl w:ilvl="0" w:tplc="CD7CBD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2"/>
  </w:num>
  <w:num w:numId="3">
    <w:abstractNumId w:val="4"/>
  </w:num>
  <w:num w:numId="4">
    <w:abstractNumId w:val="2"/>
  </w:num>
  <w:num w:numId="5">
    <w:abstractNumId w:val="1"/>
  </w:num>
  <w:num w:numId="6">
    <w:abstractNumId w:val="9"/>
  </w:num>
  <w:num w:numId="7">
    <w:abstractNumId w:val="13"/>
  </w:num>
  <w:num w:numId="8">
    <w:abstractNumId w:val="6"/>
  </w:num>
  <w:num w:numId="9">
    <w:abstractNumId w:val="3"/>
  </w:num>
  <w:num w:numId="10">
    <w:abstractNumId w:val="7"/>
  </w:num>
  <w:num w:numId="11">
    <w:abstractNumId w:val="8"/>
  </w:num>
  <w:num w:numId="12">
    <w:abstractNumId w:val="10"/>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16A"/>
    <w:rsid w:val="0000022A"/>
    <w:rsid w:val="00006F1E"/>
    <w:rsid w:val="00010580"/>
    <w:rsid w:val="00010D2D"/>
    <w:rsid w:val="00011C96"/>
    <w:rsid w:val="00011D24"/>
    <w:rsid w:val="00013FF4"/>
    <w:rsid w:val="00015D36"/>
    <w:rsid w:val="00020FE1"/>
    <w:rsid w:val="00022E13"/>
    <w:rsid w:val="00025F19"/>
    <w:rsid w:val="0002771B"/>
    <w:rsid w:val="00032388"/>
    <w:rsid w:val="00034851"/>
    <w:rsid w:val="00035CE2"/>
    <w:rsid w:val="000370C7"/>
    <w:rsid w:val="000522A1"/>
    <w:rsid w:val="00053F58"/>
    <w:rsid w:val="0005553B"/>
    <w:rsid w:val="00057CC8"/>
    <w:rsid w:val="000604D2"/>
    <w:rsid w:val="000627E2"/>
    <w:rsid w:val="00065B66"/>
    <w:rsid w:val="00067426"/>
    <w:rsid w:val="00070A8E"/>
    <w:rsid w:val="00073ABB"/>
    <w:rsid w:val="000742AC"/>
    <w:rsid w:val="0008449E"/>
    <w:rsid w:val="000858A7"/>
    <w:rsid w:val="0009005E"/>
    <w:rsid w:val="00090A40"/>
    <w:rsid w:val="00093575"/>
    <w:rsid w:val="000941C5"/>
    <w:rsid w:val="00095D8A"/>
    <w:rsid w:val="00096027"/>
    <w:rsid w:val="000A3651"/>
    <w:rsid w:val="000A6451"/>
    <w:rsid w:val="000B064E"/>
    <w:rsid w:val="000B69CF"/>
    <w:rsid w:val="000C285B"/>
    <w:rsid w:val="000C790C"/>
    <w:rsid w:val="000D02F3"/>
    <w:rsid w:val="000D063F"/>
    <w:rsid w:val="000D28DA"/>
    <w:rsid w:val="000D6860"/>
    <w:rsid w:val="000D71B9"/>
    <w:rsid w:val="000E3607"/>
    <w:rsid w:val="000F061D"/>
    <w:rsid w:val="000F4794"/>
    <w:rsid w:val="000F507C"/>
    <w:rsid w:val="00103324"/>
    <w:rsid w:val="001034ED"/>
    <w:rsid w:val="00105DC4"/>
    <w:rsid w:val="001069D8"/>
    <w:rsid w:val="001072DD"/>
    <w:rsid w:val="00111BD7"/>
    <w:rsid w:val="00114843"/>
    <w:rsid w:val="001227FB"/>
    <w:rsid w:val="00123C58"/>
    <w:rsid w:val="00124F12"/>
    <w:rsid w:val="00126823"/>
    <w:rsid w:val="00134306"/>
    <w:rsid w:val="001346B8"/>
    <w:rsid w:val="00137272"/>
    <w:rsid w:val="00143C10"/>
    <w:rsid w:val="0014478B"/>
    <w:rsid w:val="00144E3A"/>
    <w:rsid w:val="0015060C"/>
    <w:rsid w:val="00153451"/>
    <w:rsid w:val="00157C83"/>
    <w:rsid w:val="0016018A"/>
    <w:rsid w:val="00161F0E"/>
    <w:rsid w:val="00162BBD"/>
    <w:rsid w:val="0016315F"/>
    <w:rsid w:val="0016475D"/>
    <w:rsid w:val="001704E4"/>
    <w:rsid w:val="00170E2A"/>
    <w:rsid w:val="00174BFC"/>
    <w:rsid w:val="00177394"/>
    <w:rsid w:val="001817CF"/>
    <w:rsid w:val="00182C18"/>
    <w:rsid w:val="00183CC2"/>
    <w:rsid w:val="00186628"/>
    <w:rsid w:val="001900E4"/>
    <w:rsid w:val="00190F88"/>
    <w:rsid w:val="0019448C"/>
    <w:rsid w:val="001A0A67"/>
    <w:rsid w:val="001A1E1D"/>
    <w:rsid w:val="001A4066"/>
    <w:rsid w:val="001A632D"/>
    <w:rsid w:val="001A6AE4"/>
    <w:rsid w:val="001B01FD"/>
    <w:rsid w:val="001B08C3"/>
    <w:rsid w:val="001B112B"/>
    <w:rsid w:val="001B392B"/>
    <w:rsid w:val="001B4A71"/>
    <w:rsid w:val="001B4C60"/>
    <w:rsid w:val="001B56DF"/>
    <w:rsid w:val="001D4752"/>
    <w:rsid w:val="001D5B54"/>
    <w:rsid w:val="001D5CF3"/>
    <w:rsid w:val="001E1DBF"/>
    <w:rsid w:val="001E4639"/>
    <w:rsid w:val="001E4A7D"/>
    <w:rsid w:val="001E4DFC"/>
    <w:rsid w:val="001E54B4"/>
    <w:rsid w:val="001E717C"/>
    <w:rsid w:val="001F1647"/>
    <w:rsid w:val="001F4209"/>
    <w:rsid w:val="001F43A8"/>
    <w:rsid w:val="001F5CD6"/>
    <w:rsid w:val="001F5D23"/>
    <w:rsid w:val="0020693B"/>
    <w:rsid w:val="00211799"/>
    <w:rsid w:val="0021263D"/>
    <w:rsid w:val="00213F0C"/>
    <w:rsid w:val="00214094"/>
    <w:rsid w:val="002149BB"/>
    <w:rsid w:val="0021592D"/>
    <w:rsid w:val="00220760"/>
    <w:rsid w:val="00222D76"/>
    <w:rsid w:val="00223EB1"/>
    <w:rsid w:val="00225184"/>
    <w:rsid w:val="00225B0F"/>
    <w:rsid w:val="00227909"/>
    <w:rsid w:val="00227F5E"/>
    <w:rsid w:val="00231344"/>
    <w:rsid w:val="0023436E"/>
    <w:rsid w:val="002347C0"/>
    <w:rsid w:val="0023580F"/>
    <w:rsid w:val="00237C81"/>
    <w:rsid w:val="00241A6C"/>
    <w:rsid w:val="00242D2B"/>
    <w:rsid w:val="00257990"/>
    <w:rsid w:val="00260CBD"/>
    <w:rsid w:val="0026246F"/>
    <w:rsid w:val="00262E2B"/>
    <w:rsid w:val="00263501"/>
    <w:rsid w:val="00263A19"/>
    <w:rsid w:val="00265217"/>
    <w:rsid w:val="00270429"/>
    <w:rsid w:val="002723E9"/>
    <w:rsid w:val="002736D6"/>
    <w:rsid w:val="00274324"/>
    <w:rsid w:val="00277929"/>
    <w:rsid w:val="00277E08"/>
    <w:rsid w:val="00280C39"/>
    <w:rsid w:val="00282B4D"/>
    <w:rsid w:val="002830EB"/>
    <w:rsid w:val="00283B82"/>
    <w:rsid w:val="002846E9"/>
    <w:rsid w:val="00284C34"/>
    <w:rsid w:val="0029066C"/>
    <w:rsid w:val="00290F1A"/>
    <w:rsid w:val="00293590"/>
    <w:rsid w:val="00295AA6"/>
    <w:rsid w:val="002B4FC2"/>
    <w:rsid w:val="002B50DB"/>
    <w:rsid w:val="002C12AB"/>
    <w:rsid w:val="002C36CC"/>
    <w:rsid w:val="002C5980"/>
    <w:rsid w:val="002C5CFF"/>
    <w:rsid w:val="002C5E04"/>
    <w:rsid w:val="002C71AF"/>
    <w:rsid w:val="002C7CAC"/>
    <w:rsid w:val="002D225D"/>
    <w:rsid w:val="002D3306"/>
    <w:rsid w:val="002D48AA"/>
    <w:rsid w:val="002D7BAA"/>
    <w:rsid w:val="002D7EAD"/>
    <w:rsid w:val="002D7F54"/>
    <w:rsid w:val="002E3FF4"/>
    <w:rsid w:val="002F1314"/>
    <w:rsid w:val="002F39FA"/>
    <w:rsid w:val="002F78C8"/>
    <w:rsid w:val="00301CF3"/>
    <w:rsid w:val="00306E28"/>
    <w:rsid w:val="00310E58"/>
    <w:rsid w:val="003153BD"/>
    <w:rsid w:val="00322673"/>
    <w:rsid w:val="003243AE"/>
    <w:rsid w:val="00326415"/>
    <w:rsid w:val="0032715C"/>
    <w:rsid w:val="0033189E"/>
    <w:rsid w:val="003340F1"/>
    <w:rsid w:val="00336C51"/>
    <w:rsid w:val="00337CA5"/>
    <w:rsid w:val="00350AEB"/>
    <w:rsid w:val="00351453"/>
    <w:rsid w:val="00351B6C"/>
    <w:rsid w:val="00353317"/>
    <w:rsid w:val="0035779B"/>
    <w:rsid w:val="00360088"/>
    <w:rsid w:val="00361BA8"/>
    <w:rsid w:val="00362478"/>
    <w:rsid w:val="00363383"/>
    <w:rsid w:val="00365F8E"/>
    <w:rsid w:val="003674FA"/>
    <w:rsid w:val="00367CFE"/>
    <w:rsid w:val="00373D7A"/>
    <w:rsid w:val="00375B25"/>
    <w:rsid w:val="00376EDF"/>
    <w:rsid w:val="00380A28"/>
    <w:rsid w:val="0038132C"/>
    <w:rsid w:val="00381D84"/>
    <w:rsid w:val="00383789"/>
    <w:rsid w:val="003854A0"/>
    <w:rsid w:val="003950D1"/>
    <w:rsid w:val="00396542"/>
    <w:rsid w:val="0039685B"/>
    <w:rsid w:val="003A31A6"/>
    <w:rsid w:val="003A7F0C"/>
    <w:rsid w:val="003A7F79"/>
    <w:rsid w:val="003B06F8"/>
    <w:rsid w:val="003B0C38"/>
    <w:rsid w:val="003B12EB"/>
    <w:rsid w:val="003B6404"/>
    <w:rsid w:val="003C412B"/>
    <w:rsid w:val="003C449B"/>
    <w:rsid w:val="003C50EF"/>
    <w:rsid w:val="003D21FF"/>
    <w:rsid w:val="003E2596"/>
    <w:rsid w:val="003E5F3D"/>
    <w:rsid w:val="003F0112"/>
    <w:rsid w:val="003F071A"/>
    <w:rsid w:val="003F160B"/>
    <w:rsid w:val="003F7B2C"/>
    <w:rsid w:val="00400032"/>
    <w:rsid w:val="00400B5B"/>
    <w:rsid w:val="00401EDA"/>
    <w:rsid w:val="00405646"/>
    <w:rsid w:val="00405A00"/>
    <w:rsid w:val="00415BB2"/>
    <w:rsid w:val="00420870"/>
    <w:rsid w:val="00432D0C"/>
    <w:rsid w:val="00434625"/>
    <w:rsid w:val="004372D2"/>
    <w:rsid w:val="0043791B"/>
    <w:rsid w:val="00437B63"/>
    <w:rsid w:val="00441483"/>
    <w:rsid w:val="00441BCB"/>
    <w:rsid w:val="00450280"/>
    <w:rsid w:val="00450AD3"/>
    <w:rsid w:val="0045176A"/>
    <w:rsid w:val="00456332"/>
    <w:rsid w:val="00461826"/>
    <w:rsid w:val="004666E6"/>
    <w:rsid w:val="00467976"/>
    <w:rsid w:val="00470EA5"/>
    <w:rsid w:val="00474C0B"/>
    <w:rsid w:val="00475E77"/>
    <w:rsid w:val="004800F9"/>
    <w:rsid w:val="00480BEE"/>
    <w:rsid w:val="00483D56"/>
    <w:rsid w:val="00486DF5"/>
    <w:rsid w:val="0049134A"/>
    <w:rsid w:val="00495FE1"/>
    <w:rsid w:val="00496741"/>
    <w:rsid w:val="00496EAC"/>
    <w:rsid w:val="004A2623"/>
    <w:rsid w:val="004A5820"/>
    <w:rsid w:val="004A58CB"/>
    <w:rsid w:val="004B05CF"/>
    <w:rsid w:val="004B1795"/>
    <w:rsid w:val="004B19CB"/>
    <w:rsid w:val="004B40A8"/>
    <w:rsid w:val="004B4F9A"/>
    <w:rsid w:val="004B56DD"/>
    <w:rsid w:val="004C020F"/>
    <w:rsid w:val="004C1AFD"/>
    <w:rsid w:val="004C558B"/>
    <w:rsid w:val="004E286C"/>
    <w:rsid w:val="004E4699"/>
    <w:rsid w:val="004E6185"/>
    <w:rsid w:val="004F1B28"/>
    <w:rsid w:val="004F1F88"/>
    <w:rsid w:val="004F4D87"/>
    <w:rsid w:val="004F555F"/>
    <w:rsid w:val="004F5F1B"/>
    <w:rsid w:val="004F7654"/>
    <w:rsid w:val="00500D89"/>
    <w:rsid w:val="00502374"/>
    <w:rsid w:val="00502511"/>
    <w:rsid w:val="005060A1"/>
    <w:rsid w:val="00511930"/>
    <w:rsid w:val="0051301B"/>
    <w:rsid w:val="00516072"/>
    <w:rsid w:val="00516542"/>
    <w:rsid w:val="00523D89"/>
    <w:rsid w:val="00526F2D"/>
    <w:rsid w:val="005332EC"/>
    <w:rsid w:val="00534418"/>
    <w:rsid w:val="005353AB"/>
    <w:rsid w:val="005365F9"/>
    <w:rsid w:val="00537619"/>
    <w:rsid w:val="00541DF4"/>
    <w:rsid w:val="0055183B"/>
    <w:rsid w:val="005537AC"/>
    <w:rsid w:val="005540CA"/>
    <w:rsid w:val="00555883"/>
    <w:rsid w:val="005560BC"/>
    <w:rsid w:val="005573BE"/>
    <w:rsid w:val="00560ADB"/>
    <w:rsid w:val="005660B5"/>
    <w:rsid w:val="00572700"/>
    <w:rsid w:val="00580468"/>
    <w:rsid w:val="00582231"/>
    <w:rsid w:val="00583B27"/>
    <w:rsid w:val="0058603B"/>
    <w:rsid w:val="00592638"/>
    <w:rsid w:val="0059431B"/>
    <w:rsid w:val="005A39CC"/>
    <w:rsid w:val="005B4730"/>
    <w:rsid w:val="005C3A29"/>
    <w:rsid w:val="005C4636"/>
    <w:rsid w:val="005D750E"/>
    <w:rsid w:val="005E0582"/>
    <w:rsid w:val="005E05D7"/>
    <w:rsid w:val="005E0608"/>
    <w:rsid w:val="005E096A"/>
    <w:rsid w:val="005E41E7"/>
    <w:rsid w:val="005E450F"/>
    <w:rsid w:val="005E762A"/>
    <w:rsid w:val="005F2317"/>
    <w:rsid w:val="005F3147"/>
    <w:rsid w:val="00607BD3"/>
    <w:rsid w:val="006175D7"/>
    <w:rsid w:val="00617D94"/>
    <w:rsid w:val="00621ED6"/>
    <w:rsid w:val="0062298A"/>
    <w:rsid w:val="00626401"/>
    <w:rsid w:val="00626514"/>
    <w:rsid w:val="00626589"/>
    <w:rsid w:val="00627FDF"/>
    <w:rsid w:val="00631A0C"/>
    <w:rsid w:val="006339A0"/>
    <w:rsid w:val="00634FE2"/>
    <w:rsid w:val="006413A8"/>
    <w:rsid w:val="006422D2"/>
    <w:rsid w:val="00642E56"/>
    <w:rsid w:val="00647113"/>
    <w:rsid w:val="00651E00"/>
    <w:rsid w:val="00653600"/>
    <w:rsid w:val="00655D48"/>
    <w:rsid w:val="0065734F"/>
    <w:rsid w:val="006607E6"/>
    <w:rsid w:val="00665F69"/>
    <w:rsid w:val="00673DB2"/>
    <w:rsid w:val="00674572"/>
    <w:rsid w:val="00682925"/>
    <w:rsid w:val="00687763"/>
    <w:rsid w:val="00692B0D"/>
    <w:rsid w:val="00693E0E"/>
    <w:rsid w:val="006A1AE3"/>
    <w:rsid w:val="006A250E"/>
    <w:rsid w:val="006A4917"/>
    <w:rsid w:val="006B42FC"/>
    <w:rsid w:val="006C096D"/>
    <w:rsid w:val="006C30E1"/>
    <w:rsid w:val="006C4607"/>
    <w:rsid w:val="006C559D"/>
    <w:rsid w:val="006C6ABF"/>
    <w:rsid w:val="006C7276"/>
    <w:rsid w:val="006D48F1"/>
    <w:rsid w:val="006E12BC"/>
    <w:rsid w:val="006E39A7"/>
    <w:rsid w:val="006E3A73"/>
    <w:rsid w:val="006E3DB2"/>
    <w:rsid w:val="006F45BE"/>
    <w:rsid w:val="006F6B09"/>
    <w:rsid w:val="006F7E9C"/>
    <w:rsid w:val="007004FC"/>
    <w:rsid w:val="00700D37"/>
    <w:rsid w:val="00706670"/>
    <w:rsid w:val="00711F59"/>
    <w:rsid w:val="00713F12"/>
    <w:rsid w:val="00714C55"/>
    <w:rsid w:val="00715BC1"/>
    <w:rsid w:val="00721D79"/>
    <w:rsid w:val="00722DEC"/>
    <w:rsid w:val="0072417C"/>
    <w:rsid w:val="00724842"/>
    <w:rsid w:val="00734450"/>
    <w:rsid w:val="007372B8"/>
    <w:rsid w:val="00740192"/>
    <w:rsid w:val="0074158B"/>
    <w:rsid w:val="00745F67"/>
    <w:rsid w:val="0075039E"/>
    <w:rsid w:val="007524DB"/>
    <w:rsid w:val="00752D9D"/>
    <w:rsid w:val="00754784"/>
    <w:rsid w:val="00755F6D"/>
    <w:rsid w:val="00757C6E"/>
    <w:rsid w:val="00762BDA"/>
    <w:rsid w:val="007706A8"/>
    <w:rsid w:val="00772D69"/>
    <w:rsid w:val="007749D2"/>
    <w:rsid w:val="00776032"/>
    <w:rsid w:val="007767DA"/>
    <w:rsid w:val="007805FD"/>
    <w:rsid w:val="0078173B"/>
    <w:rsid w:val="00784422"/>
    <w:rsid w:val="00796F7F"/>
    <w:rsid w:val="007A4C88"/>
    <w:rsid w:val="007A4EC1"/>
    <w:rsid w:val="007A7331"/>
    <w:rsid w:val="007B3B54"/>
    <w:rsid w:val="007B3FA0"/>
    <w:rsid w:val="007B40BA"/>
    <w:rsid w:val="007C0F2C"/>
    <w:rsid w:val="007C215B"/>
    <w:rsid w:val="007C2BCC"/>
    <w:rsid w:val="007C345F"/>
    <w:rsid w:val="007C4B11"/>
    <w:rsid w:val="007C4EF0"/>
    <w:rsid w:val="007C644C"/>
    <w:rsid w:val="007D099D"/>
    <w:rsid w:val="007D4F6A"/>
    <w:rsid w:val="007E2664"/>
    <w:rsid w:val="007E3904"/>
    <w:rsid w:val="007E3ABF"/>
    <w:rsid w:val="007E5BFA"/>
    <w:rsid w:val="007E6689"/>
    <w:rsid w:val="007E66BB"/>
    <w:rsid w:val="007E6B41"/>
    <w:rsid w:val="007E731C"/>
    <w:rsid w:val="007F0623"/>
    <w:rsid w:val="007F0A03"/>
    <w:rsid w:val="007F5621"/>
    <w:rsid w:val="00810040"/>
    <w:rsid w:val="0082023A"/>
    <w:rsid w:val="00821A7A"/>
    <w:rsid w:val="008241DA"/>
    <w:rsid w:val="008253F8"/>
    <w:rsid w:val="008261BA"/>
    <w:rsid w:val="00831BE1"/>
    <w:rsid w:val="008325E4"/>
    <w:rsid w:val="00832A2B"/>
    <w:rsid w:val="0084217E"/>
    <w:rsid w:val="00843B04"/>
    <w:rsid w:val="00845811"/>
    <w:rsid w:val="00846994"/>
    <w:rsid w:val="00850339"/>
    <w:rsid w:val="00850451"/>
    <w:rsid w:val="00850CAA"/>
    <w:rsid w:val="00851018"/>
    <w:rsid w:val="00851361"/>
    <w:rsid w:val="00852042"/>
    <w:rsid w:val="008534C9"/>
    <w:rsid w:val="0085599D"/>
    <w:rsid w:val="008635AD"/>
    <w:rsid w:val="00873180"/>
    <w:rsid w:val="0087510C"/>
    <w:rsid w:val="008769D0"/>
    <w:rsid w:val="00883F0A"/>
    <w:rsid w:val="00886E31"/>
    <w:rsid w:val="00895BE9"/>
    <w:rsid w:val="008968D2"/>
    <w:rsid w:val="0089738E"/>
    <w:rsid w:val="008979A3"/>
    <w:rsid w:val="008A2384"/>
    <w:rsid w:val="008A3D00"/>
    <w:rsid w:val="008B0FE1"/>
    <w:rsid w:val="008B5FDB"/>
    <w:rsid w:val="008B6874"/>
    <w:rsid w:val="008C3DCB"/>
    <w:rsid w:val="008C3FE1"/>
    <w:rsid w:val="008C50F4"/>
    <w:rsid w:val="008C55BC"/>
    <w:rsid w:val="008C5649"/>
    <w:rsid w:val="008C5A43"/>
    <w:rsid w:val="008C5EE7"/>
    <w:rsid w:val="008D2DCA"/>
    <w:rsid w:val="008D3ACC"/>
    <w:rsid w:val="008D3DEE"/>
    <w:rsid w:val="008E1BC7"/>
    <w:rsid w:val="008E2673"/>
    <w:rsid w:val="008E3913"/>
    <w:rsid w:val="008E3EFA"/>
    <w:rsid w:val="008E44A2"/>
    <w:rsid w:val="008E697D"/>
    <w:rsid w:val="008F584A"/>
    <w:rsid w:val="008F7158"/>
    <w:rsid w:val="00902F59"/>
    <w:rsid w:val="00903263"/>
    <w:rsid w:val="009060D5"/>
    <w:rsid w:val="00906A21"/>
    <w:rsid w:val="0090778E"/>
    <w:rsid w:val="009079C3"/>
    <w:rsid w:val="00910462"/>
    <w:rsid w:val="00911884"/>
    <w:rsid w:val="009131E5"/>
    <w:rsid w:val="00915AB1"/>
    <w:rsid w:val="0091703D"/>
    <w:rsid w:val="00917532"/>
    <w:rsid w:val="009235BA"/>
    <w:rsid w:val="00924023"/>
    <w:rsid w:val="00924CE2"/>
    <w:rsid w:val="00924F3D"/>
    <w:rsid w:val="00925B9F"/>
    <w:rsid w:val="00931AED"/>
    <w:rsid w:val="00934626"/>
    <w:rsid w:val="0094405B"/>
    <w:rsid w:val="009446DD"/>
    <w:rsid w:val="009476A3"/>
    <w:rsid w:val="0095334F"/>
    <w:rsid w:val="00957D30"/>
    <w:rsid w:val="00960774"/>
    <w:rsid w:val="00960E64"/>
    <w:rsid w:val="00965897"/>
    <w:rsid w:val="0096765C"/>
    <w:rsid w:val="009727E4"/>
    <w:rsid w:val="00986623"/>
    <w:rsid w:val="00987514"/>
    <w:rsid w:val="00990EC3"/>
    <w:rsid w:val="00991BD9"/>
    <w:rsid w:val="009934C5"/>
    <w:rsid w:val="00994C0F"/>
    <w:rsid w:val="009A4E56"/>
    <w:rsid w:val="009A7F1D"/>
    <w:rsid w:val="009B22D7"/>
    <w:rsid w:val="009B2548"/>
    <w:rsid w:val="009B3659"/>
    <w:rsid w:val="009B72ED"/>
    <w:rsid w:val="009C6DEB"/>
    <w:rsid w:val="009D60BA"/>
    <w:rsid w:val="009D6504"/>
    <w:rsid w:val="009E12D7"/>
    <w:rsid w:val="009E661A"/>
    <w:rsid w:val="009F1B2F"/>
    <w:rsid w:val="009F2738"/>
    <w:rsid w:val="00A0123E"/>
    <w:rsid w:val="00A05FAB"/>
    <w:rsid w:val="00A06781"/>
    <w:rsid w:val="00A074C3"/>
    <w:rsid w:val="00A13544"/>
    <w:rsid w:val="00A1427A"/>
    <w:rsid w:val="00A1509C"/>
    <w:rsid w:val="00A23689"/>
    <w:rsid w:val="00A249B9"/>
    <w:rsid w:val="00A249F5"/>
    <w:rsid w:val="00A31B47"/>
    <w:rsid w:val="00A34260"/>
    <w:rsid w:val="00A5090F"/>
    <w:rsid w:val="00A542F7"/>
    <w:rsid w:val="00A555A7"/>
    <w:rsid w:val="00A579F9"/>
    <w:rsid w:val="00A57D5E"/>
    <w:rsid w:val="00A6539F"/>
    <w:rsid w:val="00A70CFD"/>
    <w:rsid w:val="00A72A0B"/>
    <w:rsid w:val="00A81E42"/>
    <w:rsid w:val="00A864FE"/>
    <w:rsid w:val="00A86F41"/>
    <w:rsid w:val="00A87D04"/>
    <w:rsid w:val="00A91EC0"/>
    <w:rsid w:val="00A94148"/>
    <w:rsid w:val="00A950C5"/>
    <w:rsid w:val="00A964B7"/>
    <w:rsid w:val="00AA1D25"/>
    <w:rsid w:val="00AA2D48"/>
    <w:rsid w:val="00AA753D"/>
    <w:rsid w:val="00AB057D"/>
    <w:rsid w:val="00AB152A"/>
    <w:rsid w:val="00AB2B1A"/>
    <w:rsid w:val="00AB318E"/>
    <w:rsid w:val="00AB397F"/>
    <w:rsid w:val="00AB5402"/>
    <w:rsid w:val="00AB5832"/>
    <w:rsid w:val="00AC2525"/>
    <w:rsid w:val="00AC51F2"/>
    <w:rsid w:val="00AC76A6"/>
    <w:rsid w:val="00AD0C17"/>
    <w:rsid w:val="00AD3269"/>
    <w:rsid w:val="00AE47B0"/>
    <w:rsid w:val="00AE5066"/>
    <w:rsid w:val="00AE5E24"/>
    <w:rsid w:val="00AE61B7"/>
    <w:rsid w:val="00AE6CBA"/>
    <w:rsid w:val="00AE79AD"/>
    <w:rsid w:val="00AE7EC3"/>
    <w:rsid w:val="00AF0887"/>
    <w:rsid w:val="00AF1C58"/>
    <w:rsid w:val="00AF35E4"/>
    <w:rsid w:val="00AF5CDE"/>
    <w:rsid w:val="00B00A1A"/>
    <w:rsid w:val="00B03580"/>
    <w:rsid w:val="00B05216"/>
    <w:rsid w:val="00B07219"/>
    <w:rsid w:val="00B07271"/>
    <w:rsid w:val="00B07EDC"/>
    <w:rsid w:val="00B11A57"/>
    <w:rsid w:val="00B16E7D"/>
    <w:rsid w:val="00B211C3"/>
    <w:rsid w:val="00B243DC"/>
    <w:rsid w:val="00B25597"/>
    <w:rsid w:val="00B25E5D"/>
    <w:rsid w:val="00B267B9"/>
    <w:rsid w:val="00B30099"/>
    <w:rsid w:val="00B33E09"/>
    <w:rsid w:val="00B355EC"/>
    <w:rsid w:val="00B504D2"/>
    <w:rsid w:val="00B50708"/>
    <w:rsid w:val="00B50C68"/>
    <w:rsid w:val="00B51293"/>
    <w:rsid w:val="00B52B1E"/>
    <w:rsid w:val="00B55481"/>
    <w:rsid w:val="00B56C32"/>
    <w:rsid w:val="00B57ACF"/>
    <w:rsid w:val="00B62F9D"/>
    <w:rsid w:val="00B64BB1"/>
    <w:rsid w:val="00B73166"/>
    <w:rsid w:val="00B748BD"/>
    <w:rsid w:val="00B7506D"/>
    <w:rsid w:val="00B765A8"/>
    <w:rsid w:val="00B7667D"/>
    <w:rsid w:val="00B82976"/>
    <w:rsid w:val="00B8426C"/>
    <w:rsid w:val="00B87463"/>
    <w:rsid w:val="00B908E8"/>
    <w:rsid w:val="00B91B8D"/>
    <w:rsid w:val="00B94E90"/>
    <w:rsid w:val="00BA16FD"/>
    <w:rsid w:val="00BA725D"/>
    <w:rsid w:val="00BB0A82"/>
    <w:rsid w:val="00BB26F3"/>
    <w:rsid w:val="00BB6696"/>
    <w:rsid w:val="00BB741C"/>
    <w:rsid w:val="00BB7C94"/>
    <w:rsid w:val="00BC0421"/>
    <w:rsid w:val="00BC0A9D"/>
    <w:rsid w:val="00BC1BAE"/>
    <w:rsid w:val="00BC2189"/>
    <w:rsid w:val="00BC6371"/>
    <w:rsid w:val="00BC7DAC"/>
    <w:rsid w:val="00BD5531"/>
    <w:rsid w:val="00BE1800"/>
    <w:rsid w:val="00BE2949"/>
    <w:rsid w:val="00BF3C1E"/>
    <w:rsid w:val="00BF40ED"/>
    <w:rsid w:val="00BF5BC2"/>
    <w:rsid w:val="00C038F8"/>
    <w:rsid w:val="00C075A9"/>
    <w:rsid w:val="00C1133D"/>
    <w:rsid w:val="00C12E1A"/>
    <w:rsid w:val="00C23766"/>
    <w:rsid w:val="00C27A08"/>
    <w:rsid w:val="00C31312"/>
    <w:rsid w:val="00C31E36"/>
    <w:rsid w:val="00C326C6"/>
    <w:rsid w:val="00C35295"/>
    <w:rsid w:val="00C36ADD"/>
    <w:rsid w:val="00C36E74"/>
    <w:rsid w:val="00C40595"/>
    <w:rsid w:val="00C41621"/>
    <w:rsid w:val="00C43A9B"/>
    <w:rsid w:val="00C449FA"/>
    <w:rsid w:val="00C45F1D"/>
    <w:rsid w:val="00C5384F"/>
    <w:rsid w:val="00C56964"/>
    <w:rsid w:val="00C656D5"/>
    <w:rsid w:val="00C67103"/>
    <w:rsid w:val="00C71BB9"/>
    <w:rsid w:val="00C727FC"/>
    <w:rsid w:val="00C75A07"/>
    <w:rsid w:val="00C92811"/>
    <w:rsid w:val="00C94C28"/>
    <w:rsid w:val="00C9702E"/>
    <w:rsid w:val="00CB0247"/>
    <w:rsid w:val="00CB3440"/>
    <w:rsid w:val="00CB3635"/>
    <w:rsid w:val="00CB77A2"/>
    <w:rsid w:val="00CC1692"/>
    <w:rsid w:val="00CC2E78"/>
    <w:rsid w:val="00CC4A9E"/>
    <w:rsid w:val="00CC7515"/>
    <w:rsid w:val="00CD138B"/>
    <w:rsid w:val="00CD3E31"/>
    <w:rsid w:val="00CD5AEF"/>
    <w:rsid w:val="00CD74A3"/>
    <w:rsid w:val="00CE0527"/>
    <w:rsid w:val="00CE0BFB"/>
    <w:rsid w:val="00CE593F"/>
    <w:rsid w:val="00CE5B23"/>
    <w:rsid w:val="00CF1C54"/>
    <w:rsid w:val="00CF70AD"/>
    <w:rsid w:val="00CF7617"/>
    <w:rsid w:val="00CF7729"/>
    <w:rsid w:val="00D00059"/>
    <w:rsid w:val="00D01C6B"/>
    <w:rsid w:val="00D107FA"/>
    <w:rsid w:val="00D12275"/>
    <w:rsid w:val="00D12766"/>
    <w:rsid w:val="00D17E8F"/>
    <w:rsid w:val="00D20FF4"/>
    <w:rsid w:val="00D24D2C"/>
    <w:rsid w:val="00D25D70"/>
    <w:rsid w:val="00D275DB"/>
    <w:rsid w:val="00D34F7D"/>
    <w:rsid w:val="00D35881"/>
    <w:rsid w:val="00D37920"/>
    <w:rsid w:val="00D410AA"/>
    <w:rsid w:val="00D43F1F"/>
    <w:rsid w:val="00D46B8C"/>
    <w:rsid w:val="00D5711B"/>
    <w:rsid w:val="00D62FB1"/>
    <w:rsid w:val="00D65135"/>
    <w:rsid w:val="00D66572"/>
    <w:rsid w:val="00D67D5A"/>
    <w:rsid w:val="00D76BF9"/>
    <w:rsid w:val="00D84637"/>
    <w:rsid w:val="00D8697A"/>
    <w:rsid w:val="00D91643"/>
    <w:rsid w:val="00DA7DA5"/>
    <w:rsid w:val="00DB073B"/>
    <w:rsid w:val="00DB279F"/>
    <w:rsid w:val="00DB78F0"/>
    <w:rsid w:val="00DC0CEA"/>
    <w:rsid w:val="00DC2E43"/>
    <w:rsid w:val="00DC5F1C"/>
    <w:rsid w:val="00DC6921"/>
    <w:rsid w:val="00DD095C"/>
    <w:rsid w:val="00DD1020"/>
    <w:rsid w:val="00DD1330"/>
    <w:rsid w:val="00DD3494"/>
    <w:rsid w:val="00DD4D4A"/>
    <w:rsid w:val="00DD601D"/>
    <w:rsid w:val="00DE0B83"/>
    <w:rsid w:val="00DE1A81"/>
    <w:rsid w:val="00DE1C13"/>
    <w:rsid w:val="00DE4E10"/>
    <w:rsid w:val="00DF3EF0"/>
    <w:rsid w:val="00DF4081"/>
    <w:rsid w:val="00E0050D"/>
    <w:rsid w:val="00E02ABF"/>
    <w:rsid w:val="00E14995"/>
    <w:rsid w:val="00E179CD"/>
    <w:rsid w:val="00E2081A"/>
    <w:rsid w:val="00E2265A"/>
    <w:rsid w:val="00E22A50"/>
    <w:rsid w:val="00E23E8D"/>
    <w:rsid w:val="00E24B53"/>
    <w:rsid w:val="00E25612"/>
    <w:rsid w:val="00E32321"/>
    <w:rsid w:val="00E37F98"/>
    <w:rsid w:val="00E46559"/>
    <w:rsid w:val="00E51E54"/>
    <w:rsid w:val="00E57C47"/>
    <w:rsid w:val="00E601DC"/>
    <w:rsid w:val="00E65A8C"/>
    <w:rsid w:val="00E664C7"/>
    <w:rsid w:val="00E6670C"/>
    <w:rsid w:val="00E74723"/>
    <w:rsid w:val="00E77481"/>
    <w:rsid w:val="00E776E8"/>
    <w:rsid w:val="00E80A22"/>
    <w:rsid w:val="00E92C1F"/>
    <w:rsid w:val="00E92F08"/>
    <w:rsid w:val="00E95D4B"/>
    <w:rsid w:val="00EA1829"/>
    <w:rsid w:val="00EA61C3"/>
    <w:rsid w:val="00EB03C7"/>
    <w:rsid w:val="00EB199F"/>
    <w:rsid w:val="00EB3482"/>
    <w:rsid w:val="00EC23F7"/>
    <w:rsid w:val="00EC3581"/>
    <w:rsid w:val="00EC4BD8"/>
    <w:rsid w:val="00EC63EB"/>
    <w:rsid w:val="00ED0848"/>
    <w:rsid w:val="00ED21E6"/>
    <w:rsid w:val="00ED412F"/>
    <w:rsid w:val="00ED72E8"/>
    <w:rsid w:val="00EE5566"/>
    <w:rsid w:val="00EE7598"/>
    <w:rsid w:val="00EF0091"/>
    <w:rsid w:val="00EF36B2"/>
    <w:rsid w:val="00EF5543"/>
    <w:rsid w:val="00EF5E42"/>
    <w:rsid w:val="00F03E5C"/>
    <w:rsid w:val="00F05CE0"/>
    <w:rsid w:val="00F1246B"/>
    <w:rsid w:val="00F201EC"/>
    <w:rsid w:val="00F208A9"/>
    <w:rsid w:val="00F24CCE"/>
    <w:rsid w:val="00F25107"/>
    <w:rsid w:val="00F3059D"/>
    <w:rsid w:val="00F41D75"/>
    <w:rsid w:val="00F45846"/>
    <w:rsid w:val="00F50A09"/>
    <w:rsid w:val="00F5139D"/>
    <w:rsid w:val="00F55137"/>
    <w:rsid w:val="00F620A1"/>
    <w:rsid w:val="00F63B1C"/>
    <w:rsid w:val="00F63DAC"/>
    <w:rsid w:val="00F6460B"/>
    <w:rsid w:val="00F6471D"/>
    <w:rsid w:val="00F67229"/>
    <w:rsid w:val="00F7454F"/>
    <w:rsid w:val="00F753C9"/>
    <w:rsid w:val="00F77988"/>
    <w:rsid w:val="00F77F48"/>
    <w:rsid w:val="00F80155"/>
    <w:rsid w:val="00F857D9"/>
    <w:rsid w:val="00F87CAB"/>
    <w:rsid w:val="00F90A02"/>
    <w:rsid w:val="00F90A10"/>
    <w:rsid w:val="00F9166C"/>
    <w:rsid w:val="00F949FF"/>
    <w:rsid w:val="00FA5E54"/>
    <w:rsid w:val="00FB30F1"/>
    <w:rsid w:val="00FB53E7"/>
    <w:rsid w:val="00FB663D"/>
    <w:rsid w:val="00FB6C7C"/>
    <w:rsid w:val="00FC6E9F"/>
    <w:rsid w:val="00FD25C5"/>
    <w:rsid w:val="00FD2A8A"/>
    <w:rsid w:val="00FE01DE"/>
    <w:rsid w:val="00FE142A"/>
    <w:rsid w:val="00FE4B5A"/>
    <w:rsid w:val="00FE6107"/>
    <w:rsid w:val="00FF0845"/>
    <w:rsid w:val="00FF10C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martTagType w:namespaceuri="schemas-tilde-lv/tildestengine" w:name="phone"/>
  <w:smartTagType w:namespaceuri="schemas-tilde-lv/tildestengine"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5C3A29"/>
    <w:pPr>
      <w:spacing w:before="100" w:beforeAutospacing="1" w:after="100" w:afterAutospacing="1"/>
      <w:jc w:val="both"/>
    </w:pPr>
    <w:rPr>
      <w:color w:val="000000"/>
      <w:sz w:val="22"/>
      <w:szCs w:val="22"/>
    </w:rPr>
  </w:style>
  <w:style w:type="paragraph" w:styleId="BodyText">
    <w:name w:val="Body Text"/>
    <w:basedOn w:val="Normal"/>
    <w:link w:val="BodyTextChar"/>
    <w:rsid w:val="0084217E"/>
    <w:pPr>
      <w:spacing w:before="100" w:beforeAutospacing="1" w:after="100" w:afterAutospacing="1"/>
    </w:pPr>
    <w:rPr>
      <w:rFonts w:ascii="Arial Unicode MS" w:eastAsia="Arial Unicode MS" w:hAnsi="Arial Unicode MS"/>
      <w:color w:val="000000"/>
      <w:lang w:val="en-GB" w:eastAsia="en-US"/>
    </w:rPr>
  </w:style>
  <w:style w:type="character" w:customStyle="1" w:styleId="BodyTextChar">
    <w:name w:val="Body Text Char"/>
    <w:basedOn w:val="DefaultParagraphFont"/>
    <w:link w:val="BodyText"/>
    <w:rsid w:val="0084217E"/>
    <w:rPr>
      <w:rFonts w:ascii="Arial Unicode MS" w:eastAsia="Arial Unicode MS" w:hAnsi="Arial Unicode MS"/>
      <w:color w:val="000000"/>
      <w:sz w:val="24"/>
      <w:szCs w:val="24"/>
      <w:lang w:val="en-GB" w:eastAsia="en-US"/>
    </w:rPr>
  </w:style>
  <w:style w:type="paragraph" w:customStyle="1" w:styleId="tv2131">
    <w:name w:val="tv2131"/>
    <w:basedOn w:val="Normal"/>
    <w:rsid w:val="008C3FE1"/>
    <w:pPr>
      <w:spacing w:before="240" w:line="360" w:lineRule="auto"/>
      <w:ind w:firstLine="230"/>
      <w:jc w:val="both"/>
    </w:pPr>
    <w:rPr>
      <w:rFonts w:ascii="Verdana" w:hAnsi="Verdana"/>
      <w:sz w:val="14"/>
      <w:szCs w:val="14"/>
    </w:rPr>
  </w:style>
  <w:style w:type="character" w:customStyle="1" w:styleId="CommentTextChar1">
    <w:name w:val="Comment Text Char1"/>
    <w:basedOn w:val="DefaultParagraphFont"/>
    <w:uiPriority w:val="99"/>
    <w:semiHidden/>
    <w:locked/>
    <w:rsid w:val="007F562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290F1A"/>
    <w:pPr>
      <w:ind w:left="720"/>
      <w:contextualSpacing/>
    </w:pPr>
  </w:style>
</w:styles>
</file>

<file path=word/webSettings.xml><?xml version="1.0" encoding="utf-8"?>
<w:webSettings xmlns:r="http://schemas.openxmlformats.org/officeDocument/2006/relationships" xmlns:w="http://schemas.openxmlformats.org/wordprocessingml/2006/main">
  <w:divs>
    <w:div w:id="18415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arkl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CFE0D-06EC-41A1-AAC2-237647D8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2360</Words>
  <Characters>18928</Characters>
  <Application>Microsoft Office Word</Application>
  <DocSecurity>0</DocSecurity>
  <Lines>591</Lines>
  <Paragraphs>247</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21041</CharactersWithSpaces>
  <SharedDoc>false</SharedDoc>
  <HLinks>
    <vt:vector size="6" baseType="variant">
      <vt:variant>
        <vt:i4>1245239</vt:i4>
      </vt:variant>
      <vt:variant>
        <vt:i4>3</vt:i4>
      </vt:variant>
      <vt:variant>
        <vt:i4>0</vt:i4>
      </vt:variant>
      <vt:variant>
        <vt:i4>5</vt:i4>
      </vt:variant>
      <vt:variant>
        <vt:lpwstr>mailto:olita.arkle@izm.gov.lv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Anotācija</dc:subject>
  <dc:creator>Olita Arkle</dc:creator>
  <cp:keywords/>
  <dc:description>O.Arkle
67047944, olita.arkle@izm.gov.lv</dc:description>
  <cp:lastModifiedBy>User1</cp:lastModifiedBy>
  <cp:revision>26</cp:revision>
  <cp:lastPrinted>2013-03-21T18:45:00Z</cp:lastPrinted>
  <dcterms:created xsi:type="dcterms:W3CDTF">2013-03-19T14:30:00Z</dcterms:created>
  <dcterms:modified xsi:type="dcterms:W3CDTF">2013-03-22T12:55:00Z</dcterms:modified>
</cp:coreProperties>
</file>