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3B" w:rsidRDefault="00D32E3B" w:rsidP="0080466A">
      <w:pPr>
        <w:spacing w:after="0" w:line="240" w:lineRule="auto"/>
        <w:outlineLvl w:val="3"/>
        <w:rPr>
          <w:rFonts w:ascii="Times New Roman" w:eastAsia="Times New Roman" w:hAnsi="Times New Roman"/>
          <w:b/>
          <w:bCs/>
          <w:sz w:val="28"/>
          <w:szCs w:val="28"/>
          <w:lang w:eastAsia="lv-LV"/>
        </w:rPr>
      </w:pPr>
      <w:bookmarkStart w:id="0" w:name="OLE_LINK1"/>
      <w:bookmarkStart w:id="1" w:name="OLE_LINK2"/>
    </w:p>
    <w:p w:rsidR="007C5781" w:rsidRPr="007A20CC" w:rsidRDefault="00C05444" w:rsidP="0080466A">
      <w:pPr>
        <w:spacing w:after="0" w:line="240" w:lineRule="auto"/>
        <w:jc w:val="center"/>
        <w:outlineLvl w:val="3"/>
        <w:rPr>
          <w:rFonts w:ascii="Times New Roman" w:eastAsia="Times New Roman" w:hAnsi="Times New Roman"/>
          <w:b/>
          <w:bCs/>
          <w:sz w:val="28"/>
          <w:szCs w:val="28"/>
          <w:lang w:eastAsia="lv-LV"/>
        </w:rPr>
      </w:pPr>
      <w:bookmarkStart w:id="2" w:name="OLE_LINK7"/>
      <w:bookmarkStart w:id="3" w:name="OLE_LINK8"/>
      <w:bookmarkStart w:id="4" w:name="OLE_LINK9"/>
      <w:bookmarkStart w:id="5" w:name="OLE_LINK5"/>
      <w:bookmarkStart w:id="6" w:name="OLE_LINK6"/>
      <w:r w:rsidRPr="0001406B">
        <w:rPr>
          <w:rFonts w:ascii="Times New Roman" w:eastAsia="Times New Roman" w:hAnsi="Times New Roman"/>
          <w:b/>
          <w:bCs/>
          <w:sz w:val="28"/>
          <w:szCs w:val="28"/>
          <w:lang w:eastAsia="lv-LV"/>
        </w:rPr>
        <w:t xml:space="preserve">Ministru kabineta </w:t>
      </w:r>
      <w:r w:rsidR="007A20CC">
        <w:rPr>
          <w:rFonts w:ascii="Times New Roman" w:eastAsia="Times New Roman" w:hAnsi="Times New Roman"/>
          <w:b/>
          <w:bCs/>
          <w:sz w:val="28"/>
          <w:szCs w:val="28"/>
          <w:lang w:eastAsia="lv-LV"/>
        </w:rPr>
        <w:t>rīkojuma</w:t>
      </w:r>
      <w:r w:rsidRPr="008B2808">
        <w:rPr>
          <w:rFonts w:ascii="Times New Roman" w:eastAsia="Times New Roman" w:hAnsi="Times New Roman"/>
          <w:b/>
          <w:bCs/>
          <w:sz w:val="28"/>
          <w:szCs w:val="28"/>
          <w:lang w:eastAsia="lv-LV"/>
        </w:rPr>
        <w:t xml:space="preserve"> </w:t>
      </w:r>
      <w:r w:rsidRPr="007A20CC">
        <w:rPr>
          <w:rFonts w:ascii="Times New Roman" w:eastAsia="Times New Roman" w:hAnsi="Times New Roman"/>
          <w:b/>
          <w:bCs/>
          <w:sz w:val="28"/>
          <w:szCs w:val="28"/>
          <w:lang w:eastAsia="lv-LV"/>
        </w:rPr>
        <w:t>projekta</w:t>
      </w:r>
      <w:bookmarkEnd w:id="0"/>
      <w:bookmarkEnd w:id="1"/>
      <w:r w:rsidR="008B2808" w:rsidRPr="007A20CC">
        <w:rPr>
          <w:rFonts w:ascii="Times New Roman" w:hAnsi="Times New Roman"/>
          <w:b/>
          <w:sz w:val="28"/>
          <w:szCs w:val="28"/>
        </w:rPr>
        <w:t xml:space="preserve"> „</w:t>
      </w:r>
      <w:r w:rsidR="007A20CC" w:rsidRPr="007A20CC">
        <w:rPr>
          <w:rFonts w:ascii="Times New Roman" w:hAnsi="Times New Roman"/>
          <w:b/>
          <w:sz w:val="28"/>
          <w:szCs w:val="28"/>
        </w:rPr>
        <w:t>Par Eiropas Savienības 7. Ietvar</w:t>
      </w:r>
      <w:r w:rsidR="007A20CC">
        <w:rPr>
          <w:rFonts w:ascii="Times New Roman" w:hAnsi="Times New Roman"/>
          <w:b/>
          <w:sz w:val="28"/>
          <w:szCs w:val="28"/>
        </w:rPr>
        <w:t xml:space="preserve">a </w:t>
      </w:r>
      <w:r w:rsidR="007A20CC" w:rsidRPr="007A20CC">
        <w:rPr>
          <w:rFonts w:ascii="Times New Roman" w:hAnsi="Times New Roman"/>
          <w:b/>
          <w:sz w:val="28"/>
          <w:szCs w:val="28"/>
        </w:rPr>
        <w:t>programmas projekta (granta vienošanās Nr.238875) „Eiropas akadēmiskā tīkla GEANT3 pieslēgums” līdzfinansējuma nodrošināšanu</w:t>
      </w:r>
      <w:r w:rsidR="008B2808" w:rsidRPr="007A20CC">
        <w:rPr>
          <w:rFonts w:ascii="Times New Roman" w:hAnsi="Times New Roman"/>
          <w:b/>
          <w:sz w:val="28"/>
          <w:szCs w:val="28"/>
        </w:rPr>
        <w:t>”</w:t>
      </w:r>
      <w:r w:rsidRPr="007A20CC">
        <w:rPr>
          <w:rFonts w:ascii="Times New Roman" w:hAnsi="Times New Roman"/>
          <w:b/>
          <w:sz w:val="28"/>
          <w:szCs w:val="28"/>
        </w:rPr>
        <w:t xml:space="preserve"> </w:t>
      </w:r>
      <w:bookmarkStart w:id="7" w:name="OLE_LINK3"/>
      <w:bookmarkStart w:id="8" w:name="OLE_LINK4"/>
      <w:r w:rsidRPr="007A20CC">
        <w:rPr>
          <w:rFonts w:ascii="Times New Roman" w:hAnsi="Times New Roman"/>
          <w:b/>
          <w:sz w:val="28"/>
          <w:szCs w:val="28"/>
        </w:rPr>
        <w:t>sākotnējās ietekmes novērtējuma ziņojums (anotācija)</w:t>
      </w:r>
      <w:bookmarkEnd w:id="2"/>
      <w:bookmarkEnd w:id="3"/>
      <w:bookmarkEnd w:id="4"/>
      <w:bookmarkEnd w:id="5"/>
      <w:bookmarkEnd w:id="6"/>
      <w:bookmarkEnd w:id="7"/>
      <w:bookmarkEnd w:id="8"/>
    </w:p>
    <w:p w:rsidR="007C5781" w:rsidRPr="0001406B" w:rsidRDefault="007C5781" w:rsidP="0080466A">
      <w:pPr>
        <w:spacing w:after="0" w:line="240" w:lineRule="auto"/>
        <w:jc w:val="center"/>
        <w:outlineLvl w:val="3"/>
        <w:rPr>
          <w:rFonts w:ascii="Times New Roman" w:eastAsia="Times New Roman" w:hAnsi="Times New Roman"/>
          <w:b/>
          <w:bCs/>
          <w:sz w:val="28"/>
          <w:szCs w:val="28"/>
          <w:lang w:eastAsia="lv-LV"/>
        </w:rPr>
      </w:pPr>
    </w:p>
    <w:p w:rsidR="005C42B1" w:rsidRPr="0001406B" w:rsidRDefault="005C42B1" w:rsidP="0080466A">
      <w:pPr>
        <w:spacing w:after="0" w:line="240" w:lineRule="auto"/>
        <w:jc w:val="center"/>
        <w:outlineLvl w:val="3"/>
        <w:rPr>
          <w:rFonts w:ascii="Times New Roman" w:eastAsia="Times New Roman" w:hAnsi="Times New Roman"/>
          <w:b/>
          <w:bCs/>
          <w:sz w:val="28"/>
          <w:szCs w:val="28"/>
          <w:lang w:eastAsia="lv-LV"/>
        </w:rPr>
      </w:pPr>
    </w:p>
    <w:tbl>
      <w:tblPr>
        <w:tblW w:w="5386" w:type="pct"/>
        <w:tblCellSpacing w:w="15" w:type="dxa"/>
        <w:tblInd w:w="-34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6"/>
        <w:gridCol w:w="1879"/>
        <w:gridCol w:w="7075"/>
      </w:tblGrid>
      <w:tr w:rsidR="00F4546D" w:rsidRPr="007A20CC" w:rsidTr="005A491C">
        <w:trPr>
          <w:tblCellSpacing w:w="15" w:type="dxa"/>
        </w:trPr>
        <w:tc>
          <w:tcPr>
            <w:tcW w:w="4969" w:type="pct"/>
            <w:gridSpan w:val="3"/>
            <w:tcBorders>
              <w:top w:val="outset" w:sz="8" w:space="0" w:color="auto"/>
              <w:left w:val="outset" w:sz="8" w:space="0" w:color="auto"/>
              <w:bottom w:val="outset" w:sz="8" w:space="0" w:color="auto"/>
              <w:right w:val="outset" w:sz="8" w:space="0" w:color="auto"/>
            </w:tcBorders>
            <w:vAlign w:val="center"/>
            <w:hideMark/>
          </w:tcPr>
          <w:p w:rsidR="00392D00" w:rsidRPr="007A20CC" w:rsidRDefault="00392D00" w:rsidP="0080466A">
            <w:pPr>
              <w:spacing w:after="0" w:line="240" w:lineRule="auto"/>
              <w:jc w:val="center"/>
              <w:rPr>
                <w:rFonts w:ascii="Times New Roman" w:eastAsia="Times New Roman" w:hAnsi="Times New Roman"/>
                <w:b/>
                <w:bCs/>
                <w:sz w:val="28"/>
                <w:szCs w:val="28"/>
                <w:lang w:eastAsia="lv-LV"/>
              </w:rPr>
            </w:pPr>
            <w:r w:rsidRPr="007A20CC">
              <w:rPr>
                <w:rFonts w:ascii="Times New Roman" w:eastAsia="Times New Roman" w:hAnsi="Times New Roman"/>
                <w:b/>
                <w:bCs/>
                <w:sz w:val="28"/>
                <w:szCs w:val="28"/>
                <w:lang w:eastAsia="lv-LV"/>
              </w:rPr>
              <w:t>I. Tiesību akta projekta izstrādes nepieciešamība</w:t>
            </w:r>
          </w:p>
        </w:tc>
      </w:tr>
      <w:tr w:rsidR="007C5781" w:rsidRPr="007A20CC" w:rsidTr="005A491C">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1.</w:t>
            </w:r>
          </w:p>
        </w:tc>
        <w:tc>
          <w:tcPr>
            <w:tcW w:w="96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Pamatojums</w:t>
            </w:r>
          </w:p>
        </w:tc>
        <w:tc>
          <w:tcPr>
            <w:tcW w:w="3638" w:type="pct"/>
            <w:tcBorders>
              <w:top w:val="outset" w:sz="6" w:space="0" w:color="auto"/>
              <w:left w:val="outset" w:sz="6" w:space="0" w:color="auto"/>
              <w:bottom w:val="outset" w:sz="6" w:space="0" w:color="auto"/>
              <w:right w:val="outset" w:sz="6" w:space="0" w:color="auto"/>
            </w:tcBorders>
            <w:hideMark/>
          </w:tcPr>
          <w:p w:rsidR="00392D00" w:rsidRPr="007A20CC" w:rsidRDefault="00FA5AF0" w:rsidP="00874A1F">
            <w:pPr>
              <w:spacing w:after="0" w:line="240" w:lineRule="auto"/>
              <w:jc w:val="both"/>
              <w:rPr>
                <w:rFonts w:ascii="Times New Roman" w:eastAsia="Times New Roman" w:hAnsi="Times New Roman"/>
                <w:sz w:val="28"/>
                <w:szCs w:val="28"/>
                <w:lang w:eastAsia="lv-LV"/>
              </w:rPr>
            </w:pPr>
            <w:r w:rsidRPr="007A20CC">
              <w:rPr>
                <w:rFonts w:ascii="Times New Roman" w:hAnsi="Times New Roman"/>
                <w:sz w:val="28"/>
                <w:szCs w:val="28"/>
              </w:rPr>
              <w:t>Rīkojuma projekta</w:t>
            </w:r>
            <w:r w:rsidR="007A20CC" w:rsidRPr="007A20CC">
              <w:rPr>
                <w:rFonts w:ascii="Times New Roman" w:hAnsi="Times New Roman"/>
                <w:sz w:val="28"/>
                <w:szCs w:val="28"/>
              </w:rPr>
              <w:t xml:space="preserve"> „Par Eiropas Savienības 7. Ietvara programmas projekta (granta vienošanās Nr.238875) „Eiropas akadēmiskā tīkla GEANT3 pieslēgums” līdzfinansējuma nodrošināšanu” (turpmāk – rīkojuma projekts)</w:t>
            </w:r>
            <w:r w:rsidRPr="007A20CC">
              <w:rPr>
                <w:rFonts w:ascii="Times New Roman" w:hAnsi="Times New Roman"/>
                <w:sz w:val="28"/>
                <w:szCs w:val="28"/>
              </w:rPr>
              <w:t xml:space="preserve"> izstrādes un pieņemšanas nepieciešamība izriet no </w:t>
            </w:r>
            <w:r w:rsidR="00874A1F">
              <w:rPr>
                <w:rFonts w:ascii="Times New Roman" w:hAnsi="Times New Roman"/>
                <w:sz w:val="28"/>
                <w:szCs w:val="28"/>
              </w:rPr>
              <w:t xml:space="preserve">2009.gada </w:t>
            </w:r>
            <w:r w:rsidR="00874A1F" w:rsidRPr="007A20CC">
              <w:rPr>
                <w:rFonts w:ascii="Times New Roman" w:hAnsi="Times New Roman"/>
                <w:sz w:val="28"/>
                <w:szCs w:val="28"/>
              </w:rPr>
              <w:t>granta vienošanās</w:t>
            </w:r>
            <w:r w:rsidR="00874A1F">
              <w:rPr>
                <w:rFonts w:ascii="Times New Roman" w:hAnsi="Times New Roman"/>
                <w:sz w:val="28"/>
                <w:szCs w:val="28"/>
              </w:rPr>
              <w:t xml:space="preserve"> </w:t>
            </w:r>
            <w:r w:rsidR="00874A1F" w:rsidRPr="007A20CC">
              <w:rPr>
                <w:rFonts w:ascii="Times New Roman" w:hAnsi="Times New Roman"/>
                <w:sz w:val="28"/>
                <w:szCs w:val="28"/>
              </w:rPr>
              <w:t>Nr.238875</w:t>
            </w:r>
            <w:r w:rsidR="00874A1F">
              <w:rPr>
                <w:rFonts w:ascii="Times New Roman" w:hAnsi="Times New Roman"/>
                <w:sz w:val="28"/>
                <w:szCs w:val="28"/>
              </w:rPr>
              <w:t xml:space="preserve"> par</w:t>
            </w:r>
            <w:r w:rsidR="00874A1F" w:rsidRPr="007A20CC">
              <w:rPr>
                <w:rFonts w:ascii="Times New Roman" w:hAnsi="Times New Roman"/>
                <w:sz w:val="28"/>
                <w:szCs w:val="28"/>
              </w:rPr>
              <w:t xml:space="preserve"> GEANT projekta trešā</w:t>
            </w:r>
            <w:r w:rsidR="00874A1F">
              <w:rPr>
                <w:rFonts w:ascii="Times New Roman" w:hAnsi="Times New Roman"/>
                <w:sz w:val="28"/>
                <w:szCs w:val="28"/>
              </w:rPr>
              <w:t>s</w:t>
            </w:r>
            <w:r w:rsidR="00874A1F" w:rsidRPr="007A20CC">
              <w:rPr>
                <w:rFonts w:ascii="Times New Roman" w:hAnsi="Times New Roman"/>
                <w:sz w:val="28"/>
                <w:szCs w:val="28"/>
              </w:rPr>
              <w:t xml:space="preserve"> fāze</w:t>
            </w:r>
            <w:r w:rsidR="00874A1F">
              <w:rPr>
                <w:rFonts w:ascii="Times New Roman" w:hAnsi="Times New Roman"/>
                <w:sz w:val="28"/>
                <w:szCs w:val="28"/>
              </w:rPr>
              <w:t>s</w:t>
            </w:r>
            <w:r w:rsidR="00874A1F" w:rsidRPr="007A20CC">
              <w:rPr>
                <w:rFonts w:ascii="Times New Roman" w:hAnsi="Times New Roman"/>
                <w:sz w:val="28"/>
                <w:szCs w:val="28"/>
              </w:rPr>
              <w:t xml:space="preserve"> (GEANT3)</w:t>
            </w:r>
            <w:r w:rsidR="00874A1F">
              <w:rPr>
                <w:rFonts w:ascii="Times New Roman" w:hAnsi="Times New Roman"/>
                <w:sz w:val="28"/>
                <w:szCs w:val="28"/>
              </w:rPr>
              <w:t xml:space="preserve"> īstenošanu</w:t>
            </w:r>
            <w:r w:rsidR="00874A1F" w:rsidRPr="007A20CC">
              <w:rPr>
                <w:rFonts w:ascii="Times New Roman" w:hAnsi="Times New Roman"/>
                <w:sz w:val="28"/>
                <w:szCs w:val="28"/>
              </w:rPr>
              <w:t xml:space="preserve"> (</w:t>
            </w:r>
            <w:r w:rsidR="00874A1F" w:rsidRPr="00F20FF9">
              <w:rPr>
                <w:rFonts w:ascii="Times New Roman" w:hAnsi="Times New Roman"/>
                <w:b/>
                <w:sz w:val="28"/>
                <w:szCs w:val="28"/>
              </w:rPr>
              <w:t>anotācijas 1.pielikums</w:t>
            </w:r>
            <w:r w:rsidR="00874A1F" w:rsidRPr="007A20CC">
              <w:rPr>
                <w:rFonts w:ascii="Times New Roman" w:hAnsi="Times New Roman"/>
                <w:sz w:val="28"/>
                <w:szCs w:val="28"/>
              </w:rPr>
              <w:t xml:space="preserve">) starp Eiropas Komisiju, DANTE </w:t>
            </w:r>
            <w:proofErr w:type="spellStart"/>
            <w:r w:rsidR="00874A1F" w:rsidRPr="007A20CC">
              <w:rPr>
                <w:rFonts w:ascii="Times New Roman" w:hAnsi="Times New Roman"/>
                <w:sz w:val="28"/>
                <w:szCs w:val="28"/>
              </w:rPr>
              <w:t>Ltd</w:t>
            </w:r>
            <w:proofErr w:type="spellEnd"/>
            <w:r w:rsidR="00874A1F" w:rsidRPr="007A20CC">
              <w:rPr>
                <w:rFonts w:ascii="Times New Roman" w:hAnsi="Times New Roman"/>
                <w:sz w:val="28"/>
                <w:szCs w:val="28"/>
              </w:rPr>
              <w:t>. un visiem nacionālajiem GEANT pieslēguma uzturētājiem</w:t>
            </w:r>
            <w:r w:rsidR="00874A1F">
              <w:rPr>
                <w:rFonts w:ascii="Times New Roman" w:hAnsi="Times New Roman"/>
                <w:sz w:val="28"/>
                <w:szCs w:val="28"/>
              </w:rPr>
              <w:t>.</w:t>
            </w:r>
          </w:p>
        </w:tc>
      </w:tr>
      <w:tr w:rsidR="007C5781" w:rsidRPr="007A20CC" w:rsidTr="005A491C">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2.</w:t>
            </w:r>
          </w:p>
        </w:tc>
        <w:tc>
          <w:tcPr>
            <w:tcW w:w="96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Pašreizējā situācija un problēmas</w:t>
            </w:r>
          </w:p>
        </w:tc>
        <w:tc>
          <w:tcPr>
            <w:tcW w:w="3638" w:type="pct"/>
            <w:tcBorders>
              <w:top w:val="outset" w:sz="6" w:space="0" w:color="auto"/>
              <w:left w:val="outset" w:sz="6" w:space="0" w:color="auto"/>
              <w:bottom w:val="outset" w:sz="6" w:space="0" w:color="auto"/>
              <w:right w:val="outset" w:sz="6" w:space="0" w:color="auto"/>
            </w:tcBorders>
            <w:hideMark/>
          </w:tcPr>
          <w:p w:rsidR="00FA5AF0" w:rsidRPr="007A20CC" w:rsidRDefault="00FA5AF0" w:rsidP="0080466A">
            <w:pPr>
              <w:spacing w:after="0" w:line="240" w:lineRule="auto"/>
              <w:jc w:val="both"/>
              <w:rPr>
                <w:rFonts w:ascii="Times New Roman" w:hAnsi="Times New Roman"/>
                <w:sz w:val="28"/>
                <w:szCs w:val="28"/>
              </w:rPr>
            </w:pPr>
            <w:r w:rsidRPr="007A20CC">
              <w:rPr>
                <w:rFonts w:ascii="Times New Roman" w:eastAsia="Times New Roman" w:hAnsi="Times New Roman"/>
                <w:sz w:val="28"/>
                <w:szCs w:val="28"/>
                <w:lang w:eastAsia="lv-LV"/>
              </w:rPr>
              <w:t xml:space="preserve">2009.gada 22.septembra Ministru kabineta sēdē tika izskatīts un apstiprināts </w:t>
            </w:r>
            <w:r w:rsidRPr="007A20CC">
              <w:rPr>
                <w:rFonts w:ascii="Times New Roman" w:hAnsi="Times New Roman"/>
                <w:sz w:val="28"/>
                <w:szCs w:val="28"/>
              </w:rPr>
              <w:t xml:space="preserve">Informatīvais ziņojums par Informācijas tehnoloģiju infrastruktūras un informācijas sistēmu uzlabošanu zinātniskajai darbībai. </w:t>
            </w:r>
            <w:r w:rsidR="000F73C1" w:rsidRPr="007A20CC">
              <w:rPr>
                <w:rFonts w:ascii="Times New Roman" w:hAnsi="Times New Roman"/>
                <w:sz w:val="28"/>
                <w:szCs w:val="28"/>
              </w:rPr>
              <w:t>Tajā</w:t>
            </w:r>
            <w:r w:rsidRPr="007A20CC">
              <w:rPr>
                <w:rFonts w:ascii="Times New Roman" w:hAnsi="Times New Roman"/>
                <w:sz w:val="28"/>
                <w:szCs w:val="28"/>
              </w:rPr>
              <w:t xml:space="preserve"> tika izklāstīta ES fondu aktivitātes darbības programmas „Uzņēmējdarbība un inovācijas” 2.1.prioritātes „Zinātne un inovācijas” 2.1.1.pasākuma „Zinātne, pētniecība un attīstība” 2.1.1.3. aktivitātes „Zinātnes un pētniecības infrastruktūras attīstība” 2.1.1.3.2. “Informācijas tehnoloģiju infrastruktūras un informācijas sistēmu uzlabošana zinātniskajai darbībai” (turpmāk – 2.1.1.3.2.apakšaktivitāte) uzsākšanas jeb Latvijas Akadēmiskā pamattīkla (turpmāk – LAT)</w:t>
            </w:r>
            <w:r w:rsidR="00DB6EBF" w:rsidRPr="007A20CC">
              <w:rPr>
                <w:rFonts w:ascii="Times New Roman" w:hAnsi="Times New Roman"/>
                <w:sz w:val="28"/>
                <w:szCs w:val="28"/>
              </w:rPr>
              <w:t xml:space="preserve"> </w:t>
            </w:r>
            <w:r w:rsidRPr="007A20CC">
              <w:rPr>
                <w:rFonts w:ascii="Times New Roman" w:hAnsi="Times New Roman"/>
                <w:sz w:val="28"/>
                <w:szCs w:val="28"/>
              </w:rPr>
              <w:t xml:space="preserve">izveides nepieciešamība. Rezultātā Ministru kabineta sēdes </w:t>
            </w:r>
            <w:proofErr w:type="spellStart"/>
            <w:r w:rsidRPr="007A20CC">
              <w:rPr>
                <w:rFonts w:ascii="Times New Roman" w:hAnsi="Times New Roman"/>
                <w:sz w:val="28"/>
                <w:szCs w:val="28"/>
              </w:rPr>
              <w:t>protokollēmumā</w:t>
            </w:r>
            <w:proofErr w:type="spellEnd"/>
            <w:r w:rsidRPr="007A20CC">
              <w:rPr>
                <w:rFonts w:ascii="Times New Roman" w:hAnsi="Times New Roman"/>
                <w:sz w:val="28"/>
                <w:szCs w:val="28"/>
              </w:rPr>
              <w:t xml:space="preserve"> (prot.Nr.61; 58.§) tika uzdots Izglītības un zinātnes ministrijai izstrādāt noteikumus par 2.1.1.3.2.apakšaktivitātes īstenošanu, kā arī uzsākt LAT izveidi 2010.gadā. </w:t>
            </w:r>
          </w:p>
          <w:p w:rsidR="00FA5AF0" w:rsidRPr="007A20CC" w:rsidRDefault="00FA5AF0" w:rsidP="0080466A">
            <w:pPr>
              <w:spacing w:after="0" w:line="240" w:lineRule="auto"/>
              <w:jc w:val="both"/>
              <w:rPr>
                <w:rFonts w:ascii="Times New Roman" w:hAnsi="Times New Roman"/>
                <w:sz w:val="28"/>
                <w:szCs w:val="28"/>
              </w:rPr>
            </w:pPr>
          </w:p>
          <w:p w:rsidR="00FA5AF0" w:rsidRPr="007A20CC" w:rsidRDefault="00FA5AF0" w:rsidP="007A20CC">
            <w:pPr>
              <w:pStyle w:val="Heading2"/>
              <w:spacing w:before="0" w:line="240" w:lineRule="auto"/>
              <w:jc w:val="both"/>
              <w:rPr>
                <w:rFonts w:ascii="Times New Roman" w:hAnsi="Times New Roman" w:cs="Times New Roman"/>
                <w:b w:val="0"/>
                <w:color w:val="auto"/>
                <w:sz w:val="28"/>
                <w:szCs w:val="28"/>
              </w:rPr>
            </w:pPr>
            <w:r w:rsidRPr="007A20CC">
              <w:rPr>
                <w:rFonts w:ascii="Times New Roman" w:hAnsi="Times New Roman" w:cs="Times New Roman"/>
                <w:b w:val="0"/>
                <w:color w:val="auto"/>
                <w:sz w:val="28"/>
                <w:szCs w:val="28"/>
              </w:rPr>
              <w:t>Ministru kabineta noteikumi Nr.109 par 2.1.1.3.2.apakšaktivitātes īstenošanu tika pieņemti 2010.gada 2.februārī (turpmāk MK noteikumi Nr.109). Šī tiesiskā regulējumā mērķis ir nodrošināt, pirmkārt, LAT izveidi un, otrkārt, tā sasaisti ar Eiropas Akadēmisko tīklu (MK noteikumu Nr.109 2.punkts). Tādēļ kā viena no MK noteikumos Nr.109 paredzētajām projekta</w:t>
            </w:r>
            <w:r w:rsidR="00DB6EBF" w:rsidRPr="007A20CC">
              <w:rPr>
                <w:rFonts w:ascii="Times New Roman" w:hAnsi="Times New Roman" w:cs="Times New Roman"/>
                <w:b w:val="0"/>
                <w:color w:val="auto"/>
                <w:sz w:val="28"/>
                <w:szCs w:val="28"/>
              </w:rPr>
              <w:t xml:space="preserve"> aktivitātēm</w:t>
            </w:r>
            <w:r w:rsidRPr="007A20CC">
              <w:rPr>
                <w:rFonts w:ascii="Times New Roman" w:hAnsi="Times New Roman" w:cs="Times New Roman"/>
                <w:b w:val="0"/>
                <w:color w:val="auto"/>
                <w:sz w:val="28"/>
                <w:szCs w:val="28"/>
              </w:rPr>
              <w:t xml:space="preserve">, ar kuru </w:t>
            </w:r>
            <w:r w:rsidR="00DB6EBF" w:rsidRPr="007A20CC">
              <w:rPr>
                <w:rFonts w:ascii="Times New Roman" w:hAnsi="Times New Roman" w:cs="Times New Roman"/>
                <w:b w:val="0"/>
                <w:color w:val="auto"/>
                <w:sz w:val="28"/>
                <w:szCs w:val="28"/>
              </w:rPr>
              <w:t>plānots</w:t>
            </w:r>
            <w:r w:rsidRPr="007A20CC">
              <w:rPr>
                <w:rFonts w:ascii="Times New Roman" w:hAnsi="Times New Roman" w:cs="Times New Roman"/>
                <w:b w:val="0"/>
                <w:color w:val="auto"/>
                <w:sz w:val="28"/>
                <w:szCs w:val="28"/>
              </w:rPr>
              <w:t xml:space="preserve"> izveidot LAT</w:t>
            </w:r>
            <w:r w:rsidR="00DB6EBF" w:rsidRPr="007A20CC">
              <w:rPr>
                <w:rFonts w:ascii="Times New Roman" w:hAnsi="Times New Roman" w:cs="Times New Roman"/>
                <w:b w:val="0"/>
                <w:color w:val="auto"/>
                <w:sz w:val="28"/>
                <w:szCs w:val="28"/>
              </w:rPr>
              <w:t>,</w:t>
            </w:r>
            <w:r w:rsidRPr="007A20CC">
              <w:rPr>
                <w:rFonts w:ascii="Times New Roman" w:hAnsi="Times New Roman" w:cs="Times New Roman"/>
                <w:b w:val="0"/>
                <w:color w:val="auto"/>
                <w:sz w:val="28"/>
                <w:szCs w:val="28"/>
              </w:rPr>
              <w:t xml:space="preserve"> ir noteikta akadēmiskajiem un zinātniskajiem mērķiem paredzētu pieslēgumu Eiropas un </w:t>
            </w:r>
            <w:r w:rsidRPr="007A20CC">
              <w:rPr>
                <w:rFonts w:ascii="Times New Roman" w:hAnsi="Times New Roman" w:cs="Times New Roman"/>
                <w:b w:val="0"/>
                <w:color w:val="auto"/>
                <w:sz w:val="28"/>
                <w:szCs w:val="28"/>
              </w:rPr>
              <w:lastRenderedPageBreak/>
              <w:t>starptautiskajiem akadēmiskajiem tīkliem un globālajam internetam izveide un modernizēšana (</w:t>
            </w:r>
            <w:r w:rsidR="00941FD8" w:rsidRPr="007A20CC">
              <w:rPr>
                <w:rFonts w:ascii="Times New Roman" w:hAnsi="Times New Roman" w:cs="Times New Roman"/>
                <w:b w:val="0"/>
                <w:color w:val="auto"/>
                <w:sz w:val="28"/>
                <w:szCs w:val="28"/>
              </w:rPr>
              <w:t>MK noteikumu Nr.109 14</w:t>
            </w:r>
            <w:r w:rsidRPr="007A20CC">
              <w:rPr>
                <w:rFonts w:ascii="Times New Roman" w:hAnsi="Times New Roman" w:cs="Times New Roman"/>
                <w:b w:val="0"/>
                <w:color w:val="auto"/>
                <w:sz w:val="28"/>
                <w:szCs w:val="28"/>
              </w:rPr>
              <w:t>.</w:t>
            </w:r>
            <w:r w:rsidR="00941FD8" w:rsidRPr="007A20CC">
              <w:rPr>
                <w:rFonts w:ascii="Times New Roman" w:hAnsi="Times New Roman" w:cs="Times New Roman"/>
                <w:b w:val="0"/>
                <w:color w:val="auto"/>
                <w:sz w:val="28"/>
                <w:szCs w:val="28"/>
              </w:rPr>
              <w:t>1.apakš</w:t>
            </w:r>
            <w:r w:rsidRPr="007A20CC">
              <w:rPr>
                <w:rFonts w:ascii="Times New Roman" w:hAnsi="Times New Roman" w:cs="Times New Roman"/>
                <w:b w:val="0"/>
                <w:color w:val="auto"/>
                <w:sz w:val="28"/>
                <w:szCs w:val="28"/>
              </w:rPr>
              <w:t>punkts)</w:t>
            </w:r>
            <w:r w:rsidR="00941FD8" w:rsidRPr="007A20CC">
              <w:rPr>
                <w:rFonts w:ascii="Times New Roman" w:hAnsi="Times New Roman" w:cs="Times New Roman"/>
                <w:b w:val="0"/>
                <w:color w:val="auto"/>
                <w:sz w:val="28"/>
                <w:szCs w:val="28"/>
              </w:rPr>
              <w:t>, savukārt 16.2.apakšpunkts attiecina uz 2.1.1.3.2.apakšaktivitāti</w:t>
            </w:r>
            <w:r w:rsidR="007A20CC" w:rsidRPr="007A20CC">
              <w:rPr>
                <w:rFonts w:ascii="Times New Roman" w:hAnsi="Times New Roman" w:cs="Times New Roman"/>
                <w:b w:val="0"/>
                <w:color w:val="auto"/>
                <w:sz w:val="28"/>
                <w:szCs w:val="28"/>
              </w:rPr>
              <w:t xml:space="preserve"> visas</w:t>
            </w:r>
            <w:r w:rsidR="00941FD8" w:rsidRPr="007A20CC">
              <w:rPr>
                <w:rFonts w:ascii="Times New Roman" w:hAnsi="Times New Roman" w:cs="Times New Roman"/>
                <w:b w:val="0"/>
                <w:color w:val="auto"/>
                <w:sz w:val="28"/>
                <w:szCs w:val="28"/>
              </w:rPr>
              <w:t xml:space="preserve"> izmaksas par pieslēguma Eiropas un starptautiskajiem tīkliem nodrošināšanu. Visbeidzot MK noteikumu Nr.109 4.pielikumā (projekta iesnieguma vērtēšanas veidlapas 2.7.2.apakšpunktā) konkretizēts, ka ar „pieslēgumu Eiropas un starptautiskajiem akadēmiskajiem tīkliem” tiek saprasts it īpaši pieslēgums</w:t>
            </w:r>
            <w:r w:rsidR="008D6EB5" w:rsidRPr="007A20CC">
              <w:rPr>
                <w:rFonts w:ascii="Times New Roman" w:hAnsi="Times New Roman" w:cs="Times New Roman"/>
                <w:b w:val="0"/>
                <w:color w:val="auto"/>
                <w:sz w:val="28"/>
                <w:szCs w:val="28"/>
              </w:rPr>
              <w:t xml:space="preserve"> Eiropas Akadēmiskajam</w:t>
            </w:r>
            <w:r w:rsidR="00941FD8" w:rsidRPr="007A20CC">
              <w:rPr>
                <w:rFonts w:ascii="Times New Roman" w:hAnsi="Times New Roman" w:cs="Times New Roman"/>
                <w:b w:val="0"/>
                <w:color w:val="auto"/>
                <w:sz w:val="28"/>
                <w:szCs w:val="28"/>
              </w:rPr>
              <w:t xml:space="preserve"> tīklam</w:t>
            </w:r>
            <w:r w:rsidR="007A20CC" w:rsidRPr="007A20CC">
              <w:rPr>
                <w:rFonts w:ascii="Times New Roman" w:hAnsi="Times New Roman" w:cs="Times New Roman"/>
                <w:b w:val="0"/>
                <w:color w:val="auto"/>
                <w:sz w:val="28"/>
                <w:szCs w:val="28"/>
              </w:rPr>
              <w:t xml:space="preserve"> GEANT (</w:t>
            </w:r>
            <w:proofErr w:type="spellStart"/>
            <w:r w:rsidR="007A20CC" w:rsidRPr="007A20CC">
              <w:rPr>
                <w:rFonts w:ascii="Times New Roman" w:hAnsi="Times New Roman" w:cs="Times New Roman"/>
                <w:b w:val="0"/>
                <w:i/>
                <w:color w:val="auto"/>
                <w:sz w:val="28"/>
                <w:szCs w:val="28"/>
              </w:rPr>
              <w:t>Gigabit</w:t>
            </w:r>
            <w:proofErr w:type="spellEnd"/>
            <w:r w:rsidR="007A20CC" w:rsidRPr="007A20CC">
              <w:rPr>
                <w:rFonts w:ascii="Times New Roman" w:hAnsi="Times New Roman" w:cs="Times New Roman"/>
                <w:b w:val="0"/>
                <w:i/>
                <w:color w:val="auto"/>
                <w:sz w:val="28"/>
                <w:szCs w:val="28"/>
              </w:rPr>
              <w:t xml:space="preserve"> </w:t>
            </w:r>
            <w:proofErr w:type="spellStart"/>
            <w:r w:rsidR="007A20CC" w:rsidRPr="007A20CC">
              <w:rPr>
                <w:rFonts w:ascii="Times New Roman" w:hAnsi="Times New Roman" w:cs="Times New Roman"/>
                <w:b w:val="0"/>
                <w:i/>
                <w:color w:val="auto"/>
                <w:sz w:val="28"/>
                <w:szCs w:val="28"/>
              </w:rPr>
              <w:t>European</w:t>
            </w:r>
            <w:proofErr w:type="spellEnd"/>
            <w:r w:rsidR="007A20CC" w:rsidRPr="007A20CC">
              <w:rPr>
                <w:rFonts w:ascii="Times New Roman" w:hAnsi="Times New Roman" w:cs="Times New Roman"/>
                <w:b w:val="0"/>
                <w:i/>
                <w:color w:val="auto"/>
                <w:sz w:val="28"/>
                <w:szCs w:val="28"/>
              </w:rPr>
              <w:t xml:space="preserve"> </w:t>
            </w:r>
            <w:proofErr w:type="spellStart"/>
            <w:r w:rsidR="007A20CC" w:rsidRPr="007A20CC">
              <w:rPr>
                <w:rFonts w:ascii="Times New Roman" w:hAnsi="Times New Roman" w:cs="Times New Roman"/>
                <w:b w:val="0"/>
                <w:i/>
                <w:color w:val="auto"/>
                <w:sz w:val="28"/>
                <w:szCs w:val="28"/>
              </w:rPr>
              <w:t>Advanced</w:t>
            </w:r>
            <w:proofErr w:type="spellEnd"/>
            <w:r w:rsidR="007A20CC" w:rsidRPr="007A20CC">
              <w:rPr>
                <w:rFonts w:ascii="Times New Roman" w:hAnsi="Times New Roman" w:cs="Times New Roman"/>
                <w:b w:val="0"/>
                <w:i/>
                <w:color w:val="auto"/>
                <w:sz w:val="28"/>
                <w:szCs w:val="28"/>
              </w:rPr>
              <w:t xml:space="preserve"> </w:t>
            </w:r>
            <w:proofErr w:type="spellStart"/>
            <w:r w:rsidR="007A20CC" w:rsidRPr="007A20CC">
              <w:rPr>
                <w:rFonts w:ascii="Times New Roman" w:hAnsi="Times New Roman" w:cs="Times New Roman"/>
                <w:b w:val="0"/>
                <w:i/>
                <w:color w:val="auto"/>
                <w:sz w:val="28"/>
                <w:szCs w:val="28"/>
              </w:rPr>
              <w:t>Network</w:t>
            </w:r>
            <w:proofErr w:type="spellEnd"/>
            <w:r w:rsidR="007A20CC" w:rsidRPr="007A20CC">
              <w:rPr>
                <w:rFonts w:ascii="Times New Roman" w:hAnsi="Times New Roman" w:cs="Times New Roman"/>
                <w:b w:val="0"/>
                <w:i/>
                <w:color w:val="auto"/>
                <w:sz w:val="28"/>
                <w:szCs w:val="28"/>
              </w:rPr>
              <w:t xml:space="preserve"> </w:t>
            </w:r>
            <w:proofErr w:type="spellStart"/>
            <w:r w:rsidR="007A20CC" w:rsidRPr="007A20CC">
              <w:rPr>
                <w:rFonts w:ascii="Times New Roman" w:hAnsi="Times New Roman" w:cs="Times New Roman"/>
                <w:b w:val="0"/>
                <w:i/>
                <w:color w:val="auto"/>
                <w:sz w:val="28"/>
                <w:szCs w:val="28"/>
              </w:rPr>
              <w:t>Technology</w:t>
            </w:r>
            <w:proofErr w:type="spellEnd"/>
            <w:r w:rsidR="007A20CC" w:rsidRPr="007A20CC">
              <w:rPr>
                <w:rFonts w:ascii="Times New Roman" w:hAnsi="Times New Roman"/>
                <w:b w:val="0"/>
                <w:color w:val="auto"/>
                <w:sz w:val="28"/>
                <w:szCs w:val="28"/>
              </w:rPr>
              <w:t>)</w:t>
            </w:r>
            <w:r w:rsidR="00941FD8" w:rsidRPr="007A20CC">
              <w:rPr>
                <w:rFonts w:ascii="Times New Roman" w:hAnsi="Times New Roman"/>
                <w:b w:val="0"/>
                <w:color w:val="auto"/>
                <w:sz w:val="28"/>
                <w:szCs w:val="28"/>
              </w:rPr>
              <w:t>.</w:t>
            </w:r>
            <w:r w:rsidR="00941FD8" w:rsidRPr="007A20CC">
              <w:rPr>
                <w:rFonts w:ascii="Times New Roman" w:hAnsi="Times New Roman"/>
                <w:color w:val="auto"/>
                <w:sz w:val="28"/>
                <w:szCs w:val="28"/>
              </w:rPr>
              <w:t xml:space="preserve"> </w:t>
            </w:r>
          </w:p>
          <w:p w:rsidR="00941FD8" w:rsidRPr="007A20CC" w:rsidRDefault="00941FD8" w:rsidP="0080466A">
            <w:pPr>
              <w:spacing w:after="0" w:line="240" w:lineRule="auto"/>
              <w:jc w:val="both"/>
              <w:rPr>
                <w:rFonts w:ascii="Times New Roman" w:hAnsi="Times New Roman"/>
                <w:sz w:val="28"/>
                <w:szCs w:val="28"/>
              </w:rPr>
            </w:pPr>
          </w:p>
          <w:p w:rsidR="00941FD8" w:rsidRPr="007A20CC" w:rsidRDefault="00941FD8" w:rsidP="0080466A">
            <w:pPr>
              <w:spacing w:after="0" w:line="240" w:lineRule="auto"/>
              <w:jc w:val="both"/>
              <w:rPr>
                <w:rFonts w:ascii="Times New Roman" w:hAnsi="Times New Roman"/>
                <w:sz w:val="28"/>
                <w:szCs w:val="28"/>
              </w:rPr>
            </w:pPr>
            <w:r w:rsidRPr="007A20CC">
              <w:rPr>
                <w:rFonts w:ascii="Times New Roman" w:hAnsi="Times New Roman"/>
                <w:sz w:val="28"/>
                <w:szCs w:val="28"/>
              </w:rPr>
              <w:t>Atbilstoši MK noteikumu Nr.109 prasībām projekta par LAT izveidi pieteikumā kā viena no projektā paredzētajām aktivitātēm tika norādīta pieslēguma GEANT tīklam nodrošināšana. Projekta pieteikums tika apstiprināts un iekļauts kā pielikums 2010.gada 10.novembra līgumam Nr.2010/0239/2DP/2.1.1.3.2./10/IPIA/VIA/001 starp Izglītības un zinātnes ministriju (projekta pieteicēju) un Valsts izglītības attīstība</w:t>
            </w:r>
            <w:r w:rsidR="007A20CC" w:rsidRPr="007A20CC">
              <w:rPr>
                <w:rFonts w:ascii="Times New Roman" w:hAnsi="Times New Roman"/>
                <w:sz w:val="28"/>
                <w:szCs w:val="28"/>
              </w:rPr>
              <w:t>s aģentūras (sadarbības iestādi</w:t>
            </w:r>
            <w:r w:rsidRPr="007A20CC">
              <w:rPr>
                <w:rFonts w:ascii="Times New Roman" w:hAnsi="Times New Roman"/>
                <w:sz w:val="28"/>
                <w:szCs w:val="28"/>
              </w:rPr>
              <w:t xml:space="preserve">) par LAT projekta īstenošanu. </w:t>
            </w:r>
          </w:p>
          <w:p w:rsidR="00941FD8" w:rsidRPr="007A20CC" w:rsidRDefault="00941FD8" w:rsidP="0080466A">
            <w:pPr>
              <w:spacing w:after="0" w:line="240" w:lineRule="auto"/>
              <w:jc w:val="both"/>
              <w:rPr>
                <w:rFonts w:ascii="Times New Roman" w:hAnsi="Times New Roman"/>
                <w:sz w:val="28"/>
                <w:szCs w:val="28"/>
              </w:rPr>
            </w:pPr>
          </w:p>
          <w:p w:rsidR="00941FD8" w:rsidRPr="007A20CC" w:rsidRDefault="008D6EB5" w:rsidP="0080466A">
            <w:pPr>
              <w:spacing w:after="0" w:line="240" w:lineRule="auto"/>
              <w:jc w:val="both"/>
              <w:rPr>
                <w:rFonts w:ascii="Times New Roman" w:hAnsi="Times New Roman"/>
                <w:sz w:val="28"/>
                <w:szCs w:val="28"/>
              </w:rPr>
            </w:pPr>
            <w:r w:rsidRPr="007A20CC">
              <w:rPr>
                <w:rFonts w:ascii="Times New Roman" w:hAnsi="Times New Roman"/>
                <w:sz w:val="28"/>
                <w:szCs w:val="28"/>
              </w:rPr>
              <w:t>GEANT tīkls tika izveidots 2000.gadā ar Eiropas Savienības Ietvara programmas (</w:t>
            </w:r>
            <w:r w:rsidRPr="007A20CC">
              <w:rPr>
                <w:rFonts w:ascii="Times New Roman" w:hAnsi="Times New Roman"/>
                <w:i/>
                <w:sz w:val="28"/>
                <w:szCs w:val="28"/>
              </w:rPr>
              <w:t xml:space="preserve">EU </w:t>
            </w:r>
            <w:proofErr w:type="spellStart"/>
            <w:r w:rsidRPr="007A20CC">
              <w:rPr>
                <w:rFonts w:ascii="Times New Roman" w:hAnsi="Times New Roman"/>
                <w:i/>
                <w:sz w:val="28"/>
                <w:szCs w:val="28"/>
              </w:rPr>
              <w:t>Framework</w:t>
            </w:r>
            <w:proofErr w:type="spellEnd"/>
            <w:r w:rsidRPr="007A20CC">
              <w:rPr>
                <w:rFonts w:ascii="Times New Roman" w:hAnsi="Times New Roman"/>
                <w:i/>
                <w:sz w:val="28"/>
                <w:szCs w:val="28"/>
              </w:rPr>
              <w:t xml:space="preserve"> </w:t>
            </w:r>
            <w:proofErr w:type="spellStart"/>
            <w:r w:rsidRPr="007A20CC">
              <w:rPr>
                <w:rFonts w:ascii="Times New Roman" w:hAnsi="Times New Roman"/>
                <w:i/>
                <w:sz w:val="28"/>
                <w:szCs w:val="28"/>
              </w:rPr>
              <w:t>Programme</w:t>
            </w:r>
            <w:proofErr w:type="spellEnd"/>
            <w:r w:rsidRPr="007A20CC">
              <w:rPr>
                <w:rFonts w:ascii="Times New Roman" w:hAnsi="Times New Roman"/>
                <w:sz w:val="28"/>
                <w:szCs w:val="28"/>
              </w:rPr>
              <w:t xml:space="preserve">) </w:t>
            </w:r>
            <w:r w:rsidR="00DB6EBF" w:rsidRPr="007A20CC">
              <w:rPr>
                <w:rFonts w:ascii="Times New Roman" w:hAnsi="Times New Roman"/>
                <w:sz w:val="28"/>
                <w:szCs w:val="28"/>
              </w:rPr>
              <w:t>atbalstu</w:t>
            </w:r>
            <w:r w:rsidR="00F20FF9">
              <w:rPr>
                <w:rFonts w:ascii="Times New Roman" w:hAnsi="Times New Roman"/>
                <w:sz w:val="28"/>
                <w:szCs w:val="28"/>
              </w:rPr>
              <w:t>.</w:t>
            </w:r>
            <w:r w:rsidRPr="007A20CC">
              <w:rPr>
                <w:rFonts w:ascii="Times New Roman" w:hAnsi="Times New Roman"/>
                <w:sz w:val="28"/>
                <w:szCs w:val="28"/>
              </w:rPr>
              <w:t xml:space="preserve"> GEANT projekta koordinators ir Apvienotajā Karalistē </w:t>
            </w:r>
            <w:r w:rsidR="00DB6EBF" w:rsidRPr="007A20CC">
              <w:rPr>
                <w:rFonts w:ascii="Times New Roman" w:hAnsi="Times New Roman"/>
                <w:sz w:val="28"/>
                <w:szCs w:val="28"/>
              </w:rPr>
              <w:t>esošā kompānija</w:t>
            </w:r>
            <w:r w:rsidRPr="007A20CC">
              <w:rPr>
                <w:rFonts w:ascii="Times New Roman" w:hAnsi="Times New Roman"/>
                <w:sz w:val="28"/>
                <w:szCs w:val="28"/>
              </w:rPr>
              <w:t xml:space="preserve"> DANTE </w:t>
            </w:r>
            <w:proofErr w:type="spellStart"/>
            <w:r w:rsidRPr="007A20CC">
              <w:rPr>
                <w:rFonts w:ascii="Times New Roman" w:hAnsi="Times New Roman"/>
                <w:sz w:val="28"/>
                <w:szCs w:val="28"/>
              </w:rPr>
              <w:t>Ltd</w:t>
            </w:r>
            <w:proofErr w:type="spellEnd"/>
            <w:r w:rsidR="00E6424D" w:rsidRPr="007A20CC">
              <w:rPr>
                <w:rFonts w:ascii="Times New Roman" w:hAnsi="Times New Roman"/>
                <w:sz w:val="28"/>
                <w:szCs w:val="28"/>
              </w:rPr>
              <w:t>.</w:t>
            </w:r>
            <w:r w:rsidR="00F20FF9">
              <w:rPr>
                <w:rFonts w:ascii="Times New Roman" w:hAnsi="Times New Roman"/>
                <w:sz w:val="28"/>
                <w:szCs w:val="28"/>
              </w:rPr>
              <w:t xml:space="preserve">, kas vienlaikus nodrošina arī GEANT sasaisti ar citiem starptautiskajiem akadēmiskajiem tīkliem, </w:t>
            </w:r>
            <w:r w:rsidR="00D125D1">
              <w:rPr>
                <w:rFonts w:ascii="Times New Roman" w:hAnsi="Times New Roman"/>
                <w:sz w:val="28"/>
                <w:szCs w:val="28"/>
              </w:rPr>
              <w:t>uzturot</w:t>
            </w:r>
            <w:r w:rsidR="00F20FF9">
              <w:rPr>
                <w:rFonts w:ascii="Times New Roman" w:hAnsi="Times New Roman"/>
                <w:sz w:val="28"/>
                <w:szCs w:val="28"/>
              </w:rPr>
              <w:t xml:space="preserve"> </w:t>
            </w:r>
            <w:r w:rsidR="00F20FF9">
              <w:rPr>
                <w:rFonts w:ascii="Times New Roman" w:hAnsi="Times New Roman"/>
                <w:i/>
                <w:sz w:val="28"/>
                <w:szCs w:val="28"/>
              </w:rPr>
              <w:t xml:space="preserve">Dante </w:t>
            </w:r>
            <w:proofErr w:type="spellStart"/>
            <w:r w:rsidR="00F20FF9">
              <w:rPr>
                <w:rFonts w:ascii="Times New Roman" w:hAnsi="Times New Roman"/>
                <w:i/>
                <w:sz w:val="28"/>
                <w:szCs w:val="28"/>
              </w:rPr>
              <w:t>World</w:t>
            </w:r>
            <w:proofErr w:type="spellEnd"/>
            <w:r w:rsidR="00F20FF9">
              <w:rPr>
                <w:rFonts w:ascii="Times New Roman" w:hAnsi="Times New Roman"/>
                <w:i/>
                <w:sz w:val="28"/>
                <w:szCs w:val="28"/>
              </w:rPr>
              <w:t xml:space="preserve"> </w:t>
            </w:r>
            <w:proofErr w:type="spellStart"/>
            <w:r w:rsidR="00F20FF9">
              <w:rPr>
                <w:rFonts w:ascii="Times New Roman" w:hAnsi="Times New Roman"/>
                <w:i/>
                <w:sz w:val="28"/>
                <w:szCs w:val="28"/>
              </w:rPr>
              <w:t>Service</w:t>
            </w:r>
            <w:proofErr w:type="spellEnd"/>
            <w:r w:rsidR="00F20FF9">
              <w:rPr>
                <w:rFonts w:ascii="Times New Roman" w:hAnsi="Times New Roman"/>
                <w:sz w:val="28"/>
                <w:szCs w:val="28"/>
              </w:rPr>
              <w:t xml:space="preserve"> (DWS) </w:t>
            </w:r>
            <w:r w:rsidR="00D125D1">
              <w:rPr>
                <w:rFonts w:ascii="Times New Roman" w:hAnsi="Times New Roman"/>
                <w:sz w:val="28"/>
                <w:szCs w:val="28"/>
              </w:rPr>
              <w:t>pieslēgumu</w:t>
            </w:r>
            <w:r w:rsidR="00F20FF9">
              <w:rPr>
                <w:rFonts w:ascii="Times New Roman" w:hAnsi="Times New Roman"/>
                <w:sz w:val="28"/>
                <w:szCs w:val="28"/>
              </w:rPr>
              <w:t>.</w:t>
            </w:r>
            <w:r w:rsidRPr="007A20CC">
              <w:rPr>
                <w:rFonts w:ascii="Times New Roman" w:hAnsi="Times New Roman"/>
                <w:sz w:val="28"/>
                <w:szCs w:val="28"/>
              </w:rPr>
              <w:t xml:space="preserve"> 43% no GEANT uzturēšanas izmaksām sedz Eiropas Komisija, bet atlikušos</w:t>
            </w:r>
            <w:r w:rsidR="00E6424D" w:rsidRPr="007A20CC">
              <w:rPr>
                <w:rFonts w:ascii="Times New Roman" w:hAnsi="Times New Roman"/>
                <w:sz w:val="28"/>
                <w:szCs w:val="28"/>
              </w:rPr>
              <w:t xml:space="preserve"> 57% </w:t>
            </w:r>
            <w:proofErr w:type="spellStart"/>
            <w:r w:rsidR="00E6424D" w:rsidRPr="007A20CC">
              <w:rPr>
                <w:rFonts w:ascii="Times New Roman" w:hAnsi="Times New Roman"/>
                <w:sz w:val="28"/>
                <w:szCs w:val="28"/>
              </w:rPr>
              <w:t>līdzfinansē</w:t>
            </w:r>
            <w:proofErr w:type="spellEnd"/>
            <w:r w:rsidRPr="007A20CC">
              <w:rPr>
                <w:rFonts w:ascii="Times New Roman" w:hAnsi="Times New Roman"/>
                <w:sz w:val="28"/>
                <w:szCs w:val="28"/>
              </w:rPr>
              <w:t xml:space="preserve"> pieslēguma dalībvalstis (abonenti)</w:t>
            </w:r>
            <w:r w:rsidR="00D125D1">
              <w:rPr>
                <w:rFonts w:ascii="Times New Roman" w:hAnsi="Times New Roman"/>
                <w:sz w:val="28"/>
                <w:szCs w:val="28"/>
              </w:rPr>
              <w:t>, savukārt pieslēgumu DWS pilnībā apmaksā dalībvalstis</w:t>
            </w:r>
            <w:r w:rsidRPr="007A20CC">
              <w:rPr>
                <w:rFonts w:ascii="Times New Roman" w:hAnsi="Times New Roman"/>
                <w:sz w:val="28"/>
                <w:szCs w:val="28"/>
              </w:rPr>
              <w:t>. Latvija</w:t>
            </w:r>
            <w:r w:rsidR="00941FD8" w:rsidRPr="007A20CC">
              <w:rPr>
                <w:rFonts w:ascii="Times New Roman" w:hAnsi="Times New Roman"/>
                <w:sz w:val="28"/>
                <w:szCs w:val="28"/>
              </w:rPr>
              <w:t xml:space="preserve"> GEANT </w:t>
            </w:r>
            <w:r w:rsidR="00F20FF9">
              <w:rPr>
                <w:rFonts w:ascii="Times New Roman" w:hAnsi="Times New Roman"/>
                <w:sz w:val="28"/>
                <w:szCs w:val="28"/>
              </w:rPr>
              <w:t>un DWS</w:t>
            </w:r>
            <w:r w:rsidRPr="007A20CC">
              <w:rPr>
                <w:rFonts w:ascii="Times New Roman" w:hAnsi="Times New Roman"/>
                <w:sz w:val="28"/>
                <w:szCs w:val="28"/>
              </w:rPr>
              <w:t xml:space="preserve"> pieslēgumu abonē kopš 2007.gada, un Latvijas zin</w:t>
            </w:r>
            <w:r w:rsidR="00DD7E36" w:rsidRPr="007A20CC">
              <w:rPr>
                <w:rFonts w:ascii="Times New Roman" w:hAnsi="Times New Roman"/>
                <w:sz w:val="28"/>
                <w:szCs w:val="28"/>
              </w:rPr>
              <w:t>ātnisko</w:t>
            </w:r>
            <w:r w:rsidRPr="007A20CC">
              <w:rPr>
                <w:rFonts w:ascii="Times New Roman" w:hAnsi="Times New Roman"/>
                <w:sz w:val="28"/>
                <w:szCs w:val="28"/>
              </w:rPr>
              <w:t xml:space="preserve"> institūciju pieeju šim tīklam </w:t>
            </w:r>
            <w:r w:rsidR="00941FD8" w:rsidRPr="007A20CC">
              <w:rPr>
                <w:rFonts w:ascii="Times New Roman" w:hAnsi="Times New Roman"/>
                <w:sz w:val="28"/>
                <w:szCs w:val="28"/>
              </w:rPr>
              <w:t xml:space="preserve">nodrošina Latvijas Universitātes Matemātikas un informātikas institūts, kas ir LAT projekta sadarbības partneris. </w:t>
            </w:r>
            <w:r w:rsidRPr="007A20CC">
              <w:rPr>
                <w:rFonts w:ascii="Times New Roman" w:hAnsi="Times New Roman"/>
                <w:sz w:val="28"/>
                <w:szCs w:val="28"/>
              </w:rPr>
              <w:t>2009.gadā tika uzsākta GEANT projekta trešā fāze (GEANT3), kurai līdz ar granta vienošanās (</w:t>
            </w:r>
            <w:proofErr w:type="spellStart"/>
            <w:r w:rsidR="00E6424D" w:rsidRPr="007A20CC">
              <w:rPr>
                <w:rFonts w:ascii="Times New Roman" w:hAnsi="Times New Roman"/>
                <w:i/>
                <w:sz w:val="28"/>
                <w:szCs w:val="28"/>
              </w:rPr>
              <w:t>grant</w:t>
            </w:r>
            <w:proofErr w:type="spellEnd"/>
            <w:r w:rsidR="00E6424D" w:rsidRPr="007A20CC">
              <w:rPr>
                <w:rFonts w:ascii="Times New Roman" w:hAnsi="Times New Roman"/>
                <w:i/>
                <w:sz w:val="28"/>
                <w:szCs w:val="28"/>
              </w:rPr>
              <w:t xml:space="preserve"> </w:t>
            </w:r>
            <w:proofErr w:type="spellStart"/>
            <w:r w:rsidR="00E6424D" w:rsidRPr="007A20CC">
              <w:rPr>
                <w:rFonts w:ascii="Times New Roman" w:hAnsi="Times New Roman"/>
                <w:i/>
                <w:sz w:val="28"/>
                <w:szCs w:val="28"/>
              </w:rPr>
              <w:t>agreement</w:t>
            </w:r>
            <w:proofErr w:type="spellEnd"/>
            <w:r w:rsidRPr="007A20CC">
              <w:rPr>
                <w:rFonts w:ascii="Times New Roman" w:hAnsi="Times New Roman"/>
                <w:sz w:val="28"/>
                <w:szCs w:val="28"/>
              </w:rPr>
              <w:t>)</w:t>
            </w:r>
            <w:r w:rsidR="00E6424D" w:rsidRPr="007A20CC">
              <w:rPr>
                <w:rFonts w:ascii="Times New Roman" w:hAnsi="Times New Roman"/>
                <w:sz w:val="28"/>
                <w:szCs w:val="28"/>
              </w:rPr>
              <w:t xml:space="preserve"> Nr.238875</w:t>
            </w:r>
            <w:r w:rsidR="00DB6EBF" w:rsidRPr="007A20CC">
              <w:rPr>
                <w:rFonts w:ascii="Times New Roman" w:hAnsi="Times New Roman"/>
                <w:sz w:val="28"/>
                <w:szCs w:val="28"/>
              </w:rPr>
              <w:t xml:space="preserve"> </w:t>
            </w:r>
            <w:r w:rsidR="00E6424D" w:rsidRPr="007A20CC">
              <w:rPr>
                <w:rFonts w:ascii="Times New Roman" w:hAnsi="Times New Roman"/>
                <w:sz w:val="28"/>
                <w:szCs w:val="28"/>
              </w:rPr>
              <w:t xml:space="preserve">noslēgšanu starp Eiropas Komisiju, DANTE </w:t>
            </w:r>
            <w:proofErr w:type="spellStart"/>
            <w:r w:rsidR="00E6424D" w:rsidRPr="007A20CC">
              <w:rPr>
                <w:rFonts w:ascii="Times New Roman" w:hAnsi="Times New Roman"/>
                <w:sz w:val="28"/>
                <w:szCs w:val="28"/>
              </w:rPr>
              <w:t>Ltd</w:t>
            </w:r>
            <w:proofErr w:type="spellEnd"/>
            <w:r w:rsidR="00E6424D" w:rsidRPr="007A20CC">
              <w:rPr>
                <w:rFonts w:ascii="Times New Roman" w:hAnsi="Times New Roman"/>
                <w:sz w:val="28"/>
                <w:szCs w:val="28"/>
              </w:rPr>
              <w:t>. un visiem nacionālajiem GEANT pieslēguma uzturētājiem, tai skaitā Latvijas Universitātes Matemātikas un informātikas institūtu, pievienojās arī Latvija.</w:t>
            </w:r>
          </w:p>
          <w:p w:rsidR="00FA5AF0" w:rsidRPr="007A20CC" w:rsidRDefault="00FA5AF0" w:rsidP="0080466A">
            <w:pPr>
              <w:spacing w:after="0" w:line="240" w:lineRule="auto"/>
              <w:jc w:val="both"/>
              <w:rPr>
                <w:rFonts w:ascii="Times New Roman" w:hAnsi="Times New Roman"/>
                <w:sz w:val="28"/>
                <w:szCs w:val="28"/>
              </w:rPr>
            </w:pPr>
          </w:p>
          <w:p w:rsidR="00E6424D" w:rsidRPr="007A20CC" w:rsidRDefault="00E6424D" w:rsidP="0080466A">
            <w:pPr>
              <w:spacing w:after="0" w:line="240" w:lineRule="auto"/>
              <w:jc w:val="both"/>
              <w:rPr>
                <w:rFonts w:ascii="Times New Roman" w:hAnsi="Times New Roman"/>
                <w:sz w:val="28"/>
                <w:szCs w:val="28"/>
              </w:rPr>
            </w:pPr>
            <w:r w:rsidRPr="007A20CC">
              <w:rPr>
                <w:rFonts w:ascii="Times New Roman" w:hAnsi="Times New Roman"/>
                <w:sz w:val="28"/>
                <w:szCs w:val="28"/>
              </w:rPr>
              <w:t xml:space="preserve">Ar Ministru kabineta 2010.gada 7.decembra sēdes </w:t>
            </w:r>
            <w:proofErr w:type="spellStart"/>
            <w:r w:rsidRPr="007A20CC">
              <w:rPr>
                <w:rFonts w:ascii="Times New Roman" w:hAnsi="Times New Roman"/>
                <w:sz w:val="28"/>
                <w:szCs w:val="28"/>
              </w:rPr>
              <w:lastRenderedPageBreak/>
              <w:t>protokollēmuma</w:t>
            </w:r>
            <w:proofErr w:type="spellEnd"/>
            <w:r w:rsidRPr="007A20CC">
              <w:rPr>
                <w:rFonts w:ascii="Times New Roman" w:hAnsi="Times New Roman"/>
                <w:sz w:val="28"/>
                <w:szCs w:val="28"/>
              </w:rPr>
              <w:t xml:space="preserve"> (</w:t>
            </w:r>
            <w:proofErr w:type="spellStart"/>
            <w:r w:rsidRPr="007A20CC">
              <w:rPr>
                <w:rFonts w:ascii="Times New Roman" w:hAnsi="Times New Roman"/>
                <w:sz w:val="28"/>
                <w:szCs w:val="28"/>
              </w:rPr>
              <w:t>prot.Nr</w:t>
            </w:r>
            <w:proofErr w:type="spellEnd"/>
            <w:r w:rsidRPr="007A20CC">
              <w:rPr>
                <w:rFonts w:ascii="Times New Roman" w:hAnsi="Times New Roman"/>
                <w:sz w:val="28"/>
                <w:szCs w:val="28"/>
              </w:rPr>
              <w:t>. 71; 31.§) 3.3.apakšpunktu GEANT pieslēguma nacionālā līdzfinansējuma</w:t>
            </w:r>
            <w:r w:rsidR="00B7635B">
              <w:rPr>
                <w:rFonts w:ascii="Times New Roman" w:hAnsi="Times New Roman"/>
                <w:sz w:val="28"/>
                <w:szCs w:val="28"/>
              </w:rPr>
              <w:t xml:space="preserve"> un DWS pieslēguma</w:t>
            </w:r>
            <w:r w:rsidRPr="007A20CC">
              <w:rPr>
                <w:rFonts w:ascii="Times New Roman" w:hAnsi="Times New Roman"/>
                <w:sz w:val="28"/>
                <w:szCs w:val="28"/>
              </w:rPr>
              <w:t xml:space="preserve"> apmaksai </w:t>
            </w:r>
            <w:r w:rsidRPr="00B7635B">
              <w:rPr>
                <w:rFonts w:ascii="Times New Roman" w:hAnsi="Times New Roman"/>
                <w:sz w:val="28"/>
                <w:szCs w:val="28"/>
              </w:rPr>
              <w:t xml:space="preserve">līdz 2011.gada 30.jūnijam tika pārdalīti 177 029 latu no </w:t>
            </w:r>
            <w:r w:rsidR="00B7635B" w:rsidRPr="00B7635B">
              <w:rPr>
                <w:rFonts w:ascii="Times New Roman" w:hAnsi="Times New Roman"/>
                <w:sz w:val="28"/>
                <w:szCs w:val="28"/>
              </w:rPr>
              <w:t xml:space="preserve">74.resora „Gadskārtējā valsts budžeta izpildes procesā pārdalāmais finansējums” 80.00.00 programmas „Nesadalītais finansējums Eiropas Savienības politiku instrumentu un pārējās ārvalstu finanšu palīdzības </w:t>
            </w:r>
            <w:proofErr w:type="spellStart"/>
            <w:r w:rsidR="00B7635B" w:rsidRPr="00B7635B">
              <w:rPr>
                <w:rFonts w:ascii="Times New Roman" w:hAnsi="Times New Roman"/>
                <w:sz w:val="28"/>
                <w:szCs w:val="28"/>
              </w:rPr>
              <w:t>līdzfinansēto</w:t>
            </w:r>
            <w:proofErr w:type="spellEnd"/>
            <w:r w:rsidR="00B7635B" w:rsidRPr="00B7635B">
              <w:rPr>
                <w:rFonts w:ascii="Times New Roman" w:hAnsi="Times New Roman"/>
                <w:sz w:val="28"/>
                <w:szCs w:val="28"/>
              </w:rPr>
              <w:t xml:space="preserve"> projektu un pasākumu īstenošanai”</w:t>
            </w:r>
            <w:r w:rsidRPr="00B7635B">
              <w:rPr>
                <w:rFonts w:ascii="Times New Roman" w:hAnsi="Times New Roman"/>
                <w:sz w:val="28"/>
                <w:szCs w:val="28"/>
              </w:rPr>
              <w:t xml:space="preserve"> līdzekļiem.</w:t>
            </w:r>
            <w:r w:rsidR="00640726">
              <w:rPr>
                <w:rFonts w:ascii="Times New Roman" w:hAnsi="Times New Roman"/>
                <w:sz w:val="28"/>
                <w:szCs w:val="28"/>
              </w:rPr>
              <w:t xml:space="preserve"> </w:t>
            </w:r>
            <w:r w:rsidRPr="007A20CC">
              <w:rPr>
                <w:rFonts w:ascii="Times New Roman" w:hAnsi="Times New Roman"/>
                <w:sz w:val="28"/>
                <w:szCs w:val="28"/>
              </w:rPr>
              <w:t xml:space="preserve">Kā jau minēts, GEANT pieslēguma nodrošināšana ir LAT projekta viena no apstiprinātajām aktivitātēm. Tādēļ GEANT pieslēguma nacionālo līdzfinansējumu pēc 2011.gada 30.jūnija saskaņā ar MK noteikumu Nr.109 15.punktu bija iecerēts pilnā apmērā finansēt no 2.1.1.3.2.apakšaktivitātes līdzekļiem. Tomēr saskaņā ar Finanšu ministrijas 2011.gada 26.maija vēstulē Nr.21-2-02/3530 sniegto informāciju </w:t>
            </w:r>
            <w:r w:rsidR="007A20CC" w:rsidRPr="007A20CC">
              <w:rPr>
                <w:rFonts w:ascii="Times New Roman" w:hAnsi="Times New Roman"/>
                <w:sz w:val="28"/>
                <w:szCs w:val="28"/>
              </w:rPr>
              <w:t xml:space="preserve">GEANT pieslēguma </w:t>
            </w:r>
            <w:proofErr w:type="spellStart"/>
            <w:r w:rsidR="007A20CC" w:rsidRPr="007A20CC">
              <w:rPr>
                <w:rFonts w:ascii="Times New Roman" w:hAnsi="Times New Roman"/>
                <w:sz w:val="28"/>
                <w:szCs w:val="28"/>
              </w:rPr>
              <w:t>līdzfinansēšana</w:t>
            </w:r>
            <w:proofErr w:type="spellEnd"/>
            <w:r w:rsidRPr="007A20CC">
              <w:rPr>
                <w:rFonts w:ascii="Times New Roman" w:hAnsi="Times New Roman"/>
                <w:sz w:val="28"/>
                <w:szCs w:val="28"/>
              </w:rPr>
              <w:t xml:space="preserve"> LAT projekta ietvaros nav pieļaujama, jo tas būtu pretru</w:t>
            </w:r>
            <w:r w:rsidR="007A20CC" w:rsidRPr="007A20CC">
              <w:rPr>
                <w:rFonts w:ascii="Times New Roman" w:hAnsi="Times New Roman"/>
                <w:sz w:val="28"/>
                <w:szCs w:val="28"/>
              </w:rPr>
              <w:t>nā ar Eiropas Padomes r</w:t>
            </w:r>
            <w:r w:rsidRPr="007A20CC">
              <w:rPr>
                <w:rFonts w:ascii="Times New Roman" w:hAnsi="Times New Roman"/>
                <w:sz w:val="28"/>
                <w:szCs w:val="28"/>
              </w:rPr>
              <w:t xml:space="preserve">egulas Nr.1083/2006 54.panta 5.puktā nostiprināto dubultās finansēšanas </w:t>
            </w:r>
            <w:proofErr w:type="spellStart"/>
            <w:r w:rsidRPr="007A20CC">
              <w:rPr>
                <w:rFonts w:ascii="Times New Roman" w:hAnsi="Times New Roman"/>
                <w:sz w:val="28"/>
                <w:szCs w:val="28"/>
              </w:rPr>
              <w:t>nepieļaujamības</w:t>
            </w:r>
            <w:proofErr w:type="spellEnd"/>
            <w:r w:rsidRPr="007A20CC">
              <w:rPr>
                <w:rFonts w:ascii="Times New Roman" w:hAnsi="Times New Roman"/>
                <w:sz w:val="28"/>
                <w:szCs w:val="28"/>
              </w:rPr>
              <w:t xml:space="preserve"> principu. Tā kā GEANT projekts jau saņem Eiropas Komisijas finansējumu (43% apmērā), tad to nevar </w:t>
            </w:r>
            <w:proofErr w:type="spellStart"/>
            <w:r w:rsidRPr="007A20CC">
              <w:rPr>
                <w:rFonts w:ascii="Times New Roman" w:hAnsi="Times New Roman"/>
                <w:sz w:val="28"/>
                <w:szCs w:val="28"/>
              </w:rPr>
              <w:t>līdzfinansēt</w:t>
            </w:r>
            <w:proofErr w:type="spellEnd"/>
            <w:r w:rsidRPr="007A20CC">
              <w:rPr>
                <w:rFonts w:ascii="Times New Roman" w:hAnsi="Times New Roman"/>
                <w:sz w:val="28"/>
                <w:szCs w:val="28"/>
              </w:rPr>
              <w:t xml:space="preserve"> (57% apmērā) no ES fondu līdzekļiem, konkrēti no 2.1.1.3.2.apakšaktivitātes finansējuma.</w:t>
            </w:r>
            <w:r w:rsidR="00C5043D">
              <w:rPr>
                <w:rFonts w:ascii="Times New Roman" w:hAnsi="Times New Roman"/>
                <w:sz w:val="28"/>
                <w:szCs w:val="28"/>
              </w:rPr>
              <w:t xml:space="preserve"> </w:t>
            </w:r>
          </w:p>
          <w:p w:rsidR="00E6424D" w:rsidRPr="007A20CC" w:rsidRDefault="00E6424D" w:rsidP="0080466A">
            <w:pPr>
              <w:spacing w:after="0" w:line="240" w:lineRule="auto"/>
              <w:jc w:val="both"/>
              <w:rPr>
                <w:rFonts w:ascii="Times New Roman" w:hAnsi="Times New Roman"/>
                <w:sz w:val="28"/>
                <w:szCs w:val="28"/>
              </w:rPr>
            </w:pPr>
          </w:p>
          <w:p w:rsidR="00100428" w:rsidRDefault="00E6424D" w:rsidP="00E6424D">
            <w:pPr>
              <w:spacing w:after="0" w:line="240" w:lineRule="auto"/>
              <w:jc w:val="both"/>
              <w:rPr>
                <w:rFonts w:ascii="Times New Roman" w:hAnsi="Times New Roman"/>
                <w:sz w:val="28"/>
                <w:szCs w:val="28"/>
              </w:rPr>
            </w:pPr>
            <w:r w:rsidRPr="007A20CC">
              <w:rPr>
                <w:rFonts w:ascii="Times New Roman" w:hAnsi="Times New Roman"/>
                <w:sz w:val="28"/>
                <w:szCs w:val="28"/>
              </w:rPr>
              <w:t xml:space="preserve">Ņemot to </w:t>
            </w:r>
            <w:r w:rsidRPr="00C5043D">
              <w:rPr>
                <w:rFonts w:ascii="Times New Roman" w:hAnsi="Times New Roman"/>
                <w:sz w:val="28"/>
                <w:szCs w:val="28"/>
              </w:rPr>
              <w:t xml:space="preserve">vērā, </w:t>
            </w:r>
            <w:r w:rsidR="00C5043D" w:rsidRPr="00C5043D">
              <w:rPr>
                <w:rFonts w:ascii="Times New Roman" w:hAnsi="Times New Roman"/>
                <w:sz w:val="28"/>
                <w:szCs w:val="28"/>
              </w:rPr>
              <w:t>pirmkārt, lai Latvijas zinātnisko i</w:t>
            </w:r>
            <w:r w:rsidR="00C5043D">
              <w:rPr>
                <w:rFonts w:ascii="Times New Roman" w:hAnsi="Times New Roman"/>
                <w:sz w:val="28"/>
                <w:szCs w:val="28"/>
              </w:rPr>
              <w:t>nstitūciju pētnieciskā darbība</w:t>
            </w:r>
            <w:r w:rsidR="00C5043D" w:rsidRPr="00C5043D">
              <w:rPr>
                <w:rFonts w:ascii="Times New Roman" w:hAnsi="Times New Roman"/>
                <w:sz w:val="28"/>
                <w:szCs w:val="28"/>
              </w:rPr>
              <w:t xml:space="preserve"> </w:t>
            </w:r>
            <w:r w:rsidR="00C5043D">
              <w:rPr>
                <w:rFonts w:ascii="Times New Roman" w:hAnsi="Times New Roman"/>
                <w:sz w:val="28"/>
                <w:szCs w:val="28"/>
              </w:rPr>
              <w:t>un līdzdalība</w:t>
            </w:r>
            <w:r w:rsidR="00C5043D" w:rsidRPr="00C5043D">
              <w:rPr>
                <w:rFonts w:ascii="Times New Roman" w:hAnsi="Times New Roman"/>
                <w:sz w:val="28"/>
                <w:szCs w:val="28"/>
              </w:rPr>
              <w:t xml:space="preserve"> Eiropas pētniecības projektos</w:t>
            </w:r>
            <w:r w:rsidR="00C5043D">
              <w:rPr>
                <w:rFonts w:ascii="Times New Roman" w:hAnsi="Times New Roman"/>
                <w:sz w:val="28"/>
                <w:szCs w:val="28"/>
              </w:rPr>
              <w:t xml:space="preserve"> tiktu nodrošināta arī turpmāk</w:t>
            </w:r>
            <w:r w:rsidR="00C5043D" w:rsidRPr="00C5043D">
              <w:rPr>
                <w:rFonts w:ascii="Times New Roman" w:hAnsi="Times New Roman"/>
                <w:sz w:val="28"/>
                <w:szCs w:val="28"/>
              </w:rPr>
              <w:t>, kam priekšnoteikums ir pastāvīgs starptautiskais datu pārraides savienojums ar Eiropas Akadēmisko tīklu, un, otrkārt lai veicinātu un neapdraudētu L</w:t>
            </w:r>
            <w:r w:rsidR="00C5043D">
              <w:rPr>
                <w:rFonts w:ascii="Times New Roman" w:hAnsi="Times New Roman"/>
                <w:sz w:val="28"/>
                <w:szCs w:val="28"/>
              </w:rPr>
              <w:t xml:space="preserve">AT projekta mērķu sasniegšanu, </w:t>
            </w:r>
            <w:r w:rsidR="00C5043D" w:rsidRPr="00C5043D">
              <w:rPr>
                <w:rFonts w:ascii="Times New Roman" w:hAnsi="Times New Roman"/>
                <w:sz w:val="28"/>
                <w:szCs w:val="28"/>
              </w:rPr>
              <w:t xml:space="preserve">ir nepieciešams </w:t>
            </w:r>
            <w:proofErr w:type="spellStart"/>
            <w:r w:rsidR="00C5043D" w:rsidRPr="00C5043D">
              <w:rPr>
                <w:rFonts w:ascii="Times New Roman" w:hAnsi="Times New Roman"/>
                <w:sz w:val="28"/>
                <w:szCs w:val="28"/>
              </w:rPr>
              <w:t>Iīdzfinansēt</w:t>
            </w:r>
            <w:proofErr w:type="spellEnd"/>
            <w:r w:rsidR="00C5043D" w:rsidRPr="00C5043D">
              <w:rPr>
                <w:rFonts w:ascii="Times New Roman" w:hAnsi="Times New Roman"/>
                <w:sz w:val="28"/>
                <w:szCs w:val="28"/>
              </w:rPr>
              <w:t xml:space="preserve"> GEANT pieslēguma maksu no citiem finanšu avotiem</w:t>
            </w:r>
            <w:r w:rsidRPr="00C5043D">
              <w:rPr>
                <w:rFonts w:ascii="Times New Roman" w:hAnsi="Times New Roman"/>
                <w:sz w:val="28"/>
                <w:szCs w:val="28"/>
              </w:rPr>
              <w:t>. GEANT</w:t>
            </w:r>
            <w:r w:rsidR="00F20FF9">
              <w:rPr>
                <w:rFonts w:ascii="Times New Roman" w:hAnsi="Times New Roman"/>
                <w:sz w:val="28"/>
                <w:szCs w:val="28"/>
              </w:rPr>
              <w:t xml:space="preserve"> un DWS</w:t>
            </w:r>
            <w:r w:rsidRPr="00C5043D">
              <w:rPr>
                <w:rFonts w:ascii="Times New Roman" w:hAnsi="Times New Roman"/>
                <w:sz w:val="28"/>
                <w:szCs w:val="28"/>
              </w:rPr>
              <w:t xml:space="preserve"> pieslēguma</w:t>
            </w:r>
            <w:r w:rsidRPr="007A20CC">
              <w:rPr>
                <w:rFonts w:ascii="Times New Roman" w:hAnsi="Times New Roman"/>
                <w:sz w:val="28"/>
                <w:szCs w:val="28"/>
              </w:rPr>
              <w:t xml:space="preserve"> maksa no 2011.gada 1.jūlija līdz 2012.gada 31.decembrim saskaņā ar</w:t>
            </w:r>
            <w:r w:rsidR="00F20FF9">
              <w:rPr>
                <w:rFonts w:ascii="Times New Roman" w:hAnsi="Times New Roman"/>
                <w:sz w:val="28"/>
                <w:szCs w:val="28"/>
              </w:rPr>
              <w:t xml:space="preserve"> DANTE </w:t>
            </w:r>
            <w:proofErr w:type="spellStart"/>
            <w:r w:rsidR="00F20FF9">
              <w:rPr>
                <w:rFonts w:ascii="Times New Roman" w:hAnsi="Times New Roman"/>
                <w:sz w:val="28"/>
                <w:szCs w:val="28"/>
              </w:rPr>
              <w:t>Ltd</w:t>
            </w:r>
            <w:proofErr w:type="spellEnd"/>
            <w:r w:rsidR="00F20FF9">
              <w:rPr>
                <w:rFonts w:ascii="Times New Roman" w:hAnsi="Times New Roman"/>
                <w:sz w:val="28"/>
                <w:szCs w:val="28"/>
              </w:rPr>
              <w:t>.</w:t>
            </w:r>
            <w:r w:rsidR="00B7635B">
              <w:rPr>
                <w:rFonts w:ascii="Times New Roman" w:hAnsi="Times New Roman"/>
                <w:sz w:val="28"/>
                <w:szCs w:val="28"/>
              </w:rPr>
              <w:t xml:space="preserve"> izsniegtajām pakalpojuma apstiprinājuma veidlapām </w:t>
            </w:r>
            <w:r w:rsidR="00F20FF9">
              <w:rPr>
                <w:rFonts w:ascii="Times New Roman" w:hAnsi="Times New Roman"/>
                <w:sz w:val="28"/>
                <w:szCs w:val="28"/>
              </w:rPr>
              <w:t>(</w:t>
            </w:r>
            <w:r w:rsidR="00F20FF9" w:rsidRPr="00F20FF9">
              <w:rPr>
                <w:rFonts w:ascii="Times New Roman" w:hAnsi="Times New Roman"/>
                <w:b/>
                <w:sz w:val="28"/>
                <w:szCs w:val="28"/>
              </w:rPr>
              <w:t>anotācijas</w:t>
            </w:r>
            <w:r w:rsidR="00F20FF9">
              <w:rPr>
                <w:rFonts w:ascii="Times New Roman" w:hAnsi="Times New Roman"/>
                <w:sz w:val="28"/>
                <w:szCs w:val="28"/>
              </w:rPr>
              <w:t xml:space="preserve"> </w:t>
            </w:r>
            <w:r w:rsidR="00F20FF9">
              <w:rPr>
                <w:rFonts w:ascii="Times New Roman" w:hAnsi="Times New Roman"/>
                <w:b/>
                <w:sz w:val="28"/>
                <w:szCs w:val="28"/>
              </w:rPr>
              <w:t>1.pielikums</w:t>
            </w:r>
            <w:r w:rsidR="00F20FF9">
              <w:rPr>
                <w:rFonts w:ascii="Times New Roman" w:hAnsi="Times New Roman"/>
                <w:sz w:val="28"/>
                <w:szCs w:val="28"/>
              </w:rPr>
              <w:t>)</w:t>
            </w:r>
            <w:r w:rsidR="00B7635B">
              <w:rPr>
                <w:rFonts w:ascii="Times New Roman" w:hAnsi="Times New Roman"/>
                <w:sz w:val="28"/>
                <w:szCs w:val="28"/>
              </w:rPr>
              <w:t>, kas tiks parakstītas pēc nepieciešamā finansējuma saņemšanas,</w:t>
            </w:r>
            <w:r w:rsidRPr="007A20CC">
              <w:rPr>
                <w:rFonts w:ascii="Times New Roman" w:hAnsi="Times New Roman"/>
                <w:sz w:val="28"/>
                <w:szCs w:val="28"/>
              </w:rPr>
              <w:t xml:space="preserve"> </w:t>
            </w:r>
            <w:r w:rsidRPr="00C5043D">
              <w:rPr>
                <w:rFonts w:ascii="Times New Roman" w:hAnsi="Times New Roman"/>
                <w:sz w:val="28"/>
                <w:szCs w:val="28"/>
              </w:rPr>
              <w:t>sastāda 2</w:t>
            </w:r>
            <w:r w:rsidR="00B7635B">
              <w:rPr>
                <w:rFonts w:ascii="Times New Roman" w:hAnsi="Times New Roman"/>
                <w:sz w:val="28"/>
                <w:szCs w:val="28"/>
              </w:rPr>
              <w:t>74</w:t>
            </w:r>
            <w:r w:rsidR="00C5043D" w:rsidRPr="00C5043D">
              <w:rPr>
                <w:rFonts w:ascii="Times New Roman" w:hAnsi="Times New Roman"/>
                <w:sz w:val="28"/>
                <w:szCs w:val="28"/>
              </w:rPr>
              <w:t>`</w:t>
            </w:r>
            <w:r w:rsidR="00B7635B">
              <w:rPr>
                <w:rFonts w:ascii="Times New Roman" w:hAnsi="Times New Roman"/>
                <w:sz w:val="28"/>
                <w:szCs w:val="28"/>
              </w:rPr>
              <w:t>402.5</w:t>
            </w:r>
            <w:r w:rsidR="00C5043D" w:rsidRPr="00C5043D">
              <w:rPr>
                <w:rFonts w:ascii="Times New Roman" w:hAnsi="Times New Roman"/>
                <w:sz w:val="28"/>
                <w:szCs w:val="28"/>
              </w:rPr>
              <w:t xml:space="preserve"> EUR jeb </w:t>
            </w:r>
            <w:r w:rsidR="00B7635B">
              <w:rPr>
                <w:rFonts w:ascii="Times New Roman" w:hAnsi="Times New Roman"/>
                <w:sz w:val="28"/>
                <w:szCs w:val="28"/>
              </w:rPr>
              <w:t>192</w:t>
            </w:r>
            <w:r w:rsidRPr="00C5043D">
              <w:rPr>
                <w:rFonts w:ascii="Times New Roman" w:hAnsi="Times New Roman"/>
                <w:sz w:val="28"/>
                <w:szCs w:val="28"/>
              </w:rPr>
              <w:t>`</w:t>
            </w:r>
            <w:r w:rsidR="00640726" w:rsidRPr="00640726">
              <w:rPr>
                <w:rFonts w:ascii="Times New Roman" w:hAnsi="Times New Roman"/>
                <w:sz w:val="28"/>
                <w:szCs w:val="28"/>
              </w:rPr>
              <w:t>851.00</w:t>
            </w:r>
            <w:r w:rsidRPr="00640726">
              <w:rPr>
                <w:rFonts w:ascii="Times New Roman" w:hAnsi="Times New Roman"/>
                <w:sz w:val="28"/>
                <w:szCs w:val="28"/>
              </w:rPr>
              <w:t xml:space="preserve"> LVL (pēc Latvijas Bankas </w:t>
            </w:r>
            <w:r w:rsidR="00767995" w:rsidRPr="00640726">
              <w:rPr>
                <w:rFonts w:ascii="Times New Roman" w:hAnsi="Times New Roman"/>
                <w:sz w:val="28"/>
                <w:szCs w:val="28"/>
              </w:rPr>
              <w:t>noteiktā</w:t>
            </w:r>
            <w:r w:rsidRPr="00640726">
              <w:rPr>
                <w:rFonts w:ascii="Times New Roman" w:hAnsi="Times New Roman"/>
                <w:sz w:val="28"/>
                <w:szCs w:val="28"/>
              </w:rPr>
              <w:t xml:space="preserve"> </w:t>
            </w:r>
            <w:r w:rsidR="00C5043D" w:rsidRPr="00640726">
              <w:rPr>
                <w:rFonts w:ascii="Times New Roman" w:hAnsi="Times New Roman"/>
                <w:sz w:val="28"/>
                <w:szCs w:val="28"/>
              </w:rPr>
              <w:t>kursa 1 EUR=0.</w:t>
            </w:r>
            <w:r w:rsidR="00640726" w:rsidRPr="00640726">
              <w:rPr>
                <w:rFonts w:ascii="Times New Roman" w:hAnsi="Times New Roman"/>
                <w:bCs/>
                <w:sz w:val="28"/>
                <w:szCs w:val="28"/>
                <w:lang w:eastAsia="lv-LV"/>
              </w:rPr>
              <w:t xml:space="preserve"> 702804</w:t>
            </w:r>
            <w:r w:rsidRPr="00C5043D">
              <w:rPr>
                <w:rFonts w:ascii="Times New Roman" w:hAnsi="Times New Roman"/>
                <w:sz w:val="28"/>
                <w:szCs w:val="28"/>
              </w:rPr>
              <w:t xml:space="preserve"> LVL).</w:t>
            </w:r>
          </w:p>
          <w:p w:rsidR="00DF3542" w:rsidRDefault="00DF3542" w:rsidP="00E6424D">
            <w:pPr>
              <w:spacing w:after="0" w:line="240" w:lineRule="auto"/>
              <w:jc w:val="both"/>
              <w:rPr>
                <w:rFonts w:ascii="Times New Roman" w:hAnsi="Times New Roman"/>
                <w:sz w:val="28"/>
                <w:szCs w:val="28"/>
              </w:rPr>
            </w:pPr>
          </w:p>
          <w:p w:rsidR="00DF3542" w:rsidRPr="007A20CC" w:rsidRDefault="00DF3542" w:rsidP="00767995">
            <w:pPr>
              <w:spacing w:after="0" w:line="240" w:lineRule="auto"/>
              <w:jc w:val="both"/>
              <w:rPr>
                <w:rFonts w:ascii="Times New Roman" w:hAnsi="Times New Roman"/>
                <w:sz w:val="28"/>
                <w:szCs w:val="28"/>
              </w:rPr>
            </w:pPr>
            <w:r w:rsidRPr="00C5043D">
              <w:rPr>
                <w:rFonts w:ascii="Times New Roman" w:hAnsi="Times New Roman"/>
                <w:sz w:val="28"/>
                <w:szCs w:val="28"/>
              </w:rPr>
              <w:t xml:space="preserve">Risinājums Latvijas zinātnisko institūciju pastāvīgas pieejas GEANT tīklam arī pēc 2012.gada nodrošināšanai tiks izstrādāts LAT projekta aktivitātes Nr.4 „Projekta konceptuālo risinājumu izstrāde tehniskās realizācijas un </w:t>
            </w:r>
            <w:r w:rsidRPr="00C5043D">
              <w:rPr>
                <w:rFonts w:ascii="Times New Roman" w:hAnsi="Times New Roman"/>
                <w:sz w:val="28"/>
                <w:szCs w:val="28"/>
              </w:rPr>
              <w:lastRenderedPageBreak/>
              <w:t xml:space="preserve">pārvaldības jomā un projekta saturiskā pārvaldība” ietvaros. Šīs aktivitātes būtība ir izklāstīta apstiprinātajā LAT projekta pieteikuma 2.7.apakšpunktā, un tās mērķis ir nodrošināt projekta, tai skaitā Latvijas pieslēguma Eiropas Akadēmiskajam tīklam </w:t>
            </w:r>
            <w:proofErr w:type="spellStart"/>
            <w:r w:rsidRPr="00C5043D">
              <w:rPr>
                <w:rFonts w:ascii="Times New Roman" w:hAnsi="Times New Roman"/>
                <w:sz w:val="28"/>
                <w:szCs w:val="28"/>
              </w:rPr>
              <w:t>ilgtspējību</w:t>
            </w:r>
            <w:proofErr w:type="spellEnd"/>
            <w:r w:rsidRPr="00C5043D">
              <w:rPr>
                <w:rFonts w:ascii="Times New Roman" w:hAnsi="Times New Roman"/>
                <w:sz w:val="28"/>
                <w:szCs w:val="28"/>
              </w:rPr>
              <w:t xml:space="preserve"> 10 gadus pēc LAT projekta noslēguma – līdz 2024.gada 31.decembrim. Aktivitāte Nr.4 paredz izstrādāt LAT projekta augsta līmeņa organizatorisko modeli, ietverot arī GEANT pieslēguma uzturēšanas atbalstu, pieslēguma attīstīšanas nodrošināšanu un juridisko ietvaru šīm aktivitātēm.</w:t>
            </w:r>
            <w:r w:rsidR="00C5043D">
              <w:rPr>
                <w:rFonts w:ascii="Times New Roman" w:hAnsi="Times New Roman"/>
                <w:sz w:val="28"/>
                <w:szCs w:val="28"/>
              </w:rPr>
              <w:t xml:space="preserve"> Viens no iespējamajiem risinājumiem izriet no 2010.gada 2.februāra Ministru kabineta sēdes </w:t>
            </w:r>
            <w:proofErr w:type="spellStart"/>
            <w:r w:rsidR="00C5043D" w:rsidRPr="00C5043D">
              <w:rPr>
                <w:rFonts w:ascii="Times New Roman" w:hAnsi="Times New Roman"/>
                <w:sz w:val="28"/>
                <w:szCs w:val="28"/>
              </w:rPr>
              <w:t>protokollēmuma</w:t>
            </w:r>
            <w:proofErr w:type="spellEnd"/>
            <w:r w:rsidR="00C5043D" w:rsidRPr="00C5043D">
              <w:rPr>
                <w:rFonts w:ascii="Times New Roman" w:hAnsi="Times New Roman"/>
                <w:sz w:val="28"/>
                <w:szCs w:val="28"/>
              </w:rPr>
              <w:t xml:space="preserve"> (</w:t>
            </w:r>
            <w:proofErr w:type="spellStart"/>
            <w:r w:rsidR="00C5043D" w:rsidRPr="00C5043D">
              <w:rPr>
                <w:rFonts w:ascii="Times New Roman" w:hAnsi="Times New Roman"/>
                <w:sz w:val="28"/>
                <w:szCs w:val="28"/>
              </w:rPr>
              <w:t>prot.Nr</w:t>
            </w:r>
            <w:proofErr w:type="spellEnd"/>
            <w:r w:rsidR="00C5043D" w:rsidRPr="00C5043D">
              <w:rPr>
                <w:rFonts w:ascii="Times New Roman" w:hAnsi="Times New Roman"/>
                <w:sz w:val="28"/>
                <w:szCs w:val="28"/>
              </w:rPr>
              <w:t>. 6; 49.§) 3.punkta, kurā Izglītības un zinātnes ministrijai lī</w:t>
            </w:r>
            <w:r w:rsidR="00B7635B">
              <w:rPr>
                <w:rFonts w:ascii="Times New Roman" w:hAnsi="Times New Roman"/>
                <w:sz w:val="28"/>
                <w:szCs w:val="28"/>
              </w:rPr>
              <w:t xml:space="preserve">dz 2014.gada 30.jūnijam uzdots </w:t>
            </w:r>
            <w:r w:rsidR="00C5043D" w:rsidRPr="00C5043D">
              <w:rPr>
                <w:rFonts w:ascii="Times New Roman" w:hAnsi="Times New Roman"/>
                <w:sz w:val="28"/>
                <w:szCs w:val="28"/>
              </w:rPr>
              <w:t xml:space="preserve">izvērtēt nepieciešamību veikt grozījumus Ministru kabineta 2009.gada 10.novembra noteikumos Nr.1316 „Bāzes finansējuma piešķiršanas kārtība valsts zinātniskajiem institūtiem, valsts augstskolām un valsts augstskolu zinātniskajiem institūtiem”, lai sekmētu </w:t>
            </w:r>
            <w:r w:rsidR="00C5043D">
              <w:rPr>
                <w:rFonts w:ascii="Times New Roman" w:hAnsi="Times New Roman"/>
                <w:sz w:val="28"/>
                <w:szCs w:val="28"/>
              </w:rPr>
              <w:t>LAT</w:t>
            </w:r>
            <w:r w:rsidR="00C5043D" w:rsidRPr="00C5043D">
              <w:rPr>
                <w:rFonts w:ascii="Times New Roman" w:hAnsi="Times New Roman"/>
                <w:sz w:val="28"/>
                <w:szCs w:val="28"/>
              </w:rPr>
              <w:t xml:space="preserve"> projekta rezultātu uzturēšanu vismaz 10 gadus pēc minētā projekta pabeigšanas.</w:t>
            </w:r>
            <w:r w:rsidR="00B7635B">
              <w:rPr>
                <w:rFonts w:ascii="Times New Roman" w:hAnsi="Times New Roman"/>
                <w:sz w:val="28"/>
                <w:szCs w:val="28"/>
              </w:rPr>
              <w:t xml:space="preserve"> </w:t>
            </w:r>
            <w:r w:rsidR="00F20FF9">
              <w:rPr>
                <w:rFonts w:ascii="Times New Roman" w:hAnsi="Times New Roman"/>
                <w:sz w:val="28"/>
                <w:szCs w:val="28"/>
              </w:rPr>
              <w:t>Savukārt 2013.gadā Latvijas abonēšanas maksu GEANT</w:t>
            </w:r>
            <w:r w:rsidR="00C5043D">
              <w:rPr>
                <w:rFonts w:ascii="Times New Roman" w:hAnsi="Times New Roman"/>
                <w:sz w:val="28"/>
                <w:szCs w:val="28"/>
              </w:rPr>
              <w:t xml:space="preserve"> </w:t>
            </w:r>
            <w:r w:rsidR="00B7635B">
              <w:rPr>
                <w:rFonts w:ascii="Times New Roman" w:hAnsi="Times New Roman"/>
                <w:sz w:val="28"/>
                <w:szCs w:val="28"/>
              </w:rPr>
              <w:t xml:space="preserve">un DWS pieslēgumiem </w:t>
            </w:r>
            <w:r w:rsidR="00767995">
              <w:rPr>
                <w:rFonts w:ascii="Times New Roman" w:hAnsi="Times New Roman"/>
                <w:sz w:val="28"/>
                <w:szCs w:val="28"/>
              </w:rPr>
              <w:t xml:space="preserve">paredzēts </w:t>
            </w:r>
            <w:r w:rsidR="00767995" w:rsidRPr="00767995">
              <w:rPr>
                <w:rFonts w:ascii="Times New Roman" w:hAnsi="Times New Roman"/>
                <w:sz w:val="28"/>
                <w:szCs w:val="28"/>
              </w:rPr>
              <w:t>finansēt</w:t>
            </w:r>
            <w:r w:rsidR="00767995">
              <w:rPr>
                <w:rFonts w:ascii="Times New Roman" w:hAnsi="Times New Roman"/>
                <w:sz w:val="28"/>
                <w:szCs w:val="28"/>
              </w:rPr>
              <w:t xml:space="preserve"> Izglītības un zinātnes ministrijas budžeta ietvaros</w:t>
            </w:r>
            <w:r w:rsidR="00767995" w:rsidRPr="00767995">
              <w:rPr>
                <w:rFonts w:ascii="Times New Roman" w:hAnsi="Times New Roman"/>
                <w:sz w:val="28"/>
                <w:szCs w:val="28"/>
              </w:rPr>
              <w:t xml:space="preserve"> saskaņā ar Ministru kabineta noteikumiem „Kārtība, kādā nodrošina valsts atbalstu dalībai starptautiskās sadarbības programmās pētniecības un tehnoloģiju jomās”</w:t>
            </w:r>
            <w:r w:rsidR="00767995">
              <w:rPr>
                <w:rFonts w:ascii="Times New Roman" w:hAnsi="Times New Roman"/>
                <w:sz w:val="28"/>
                <w:szCs w:val="28"/>
              </w:rPr>
              <w:t xml:space="preserve"> (VSS-722</w:t>
            </w:r>
            <w:r w:rsidR="00767995" w:rsidRPr="00767995">
              <w:rPr>
                <w:rFonts w:ascii="Times New Roman" w:hAnsi="Times New Roman"/>
                <w:sz w:val="28"/>
                <w:szCs w:val="28"/>
              </w:rPr>
              <w:t>; izsludināts 2011.gada 7.jūlijā). Pašlaik spēkā eso</w:t>
            </w:r>
            <w:r w:rsidR="00767995">
              <w:rPr>
                <w:rFonts w:ascii="Times New Roman" w:hAnsi="Times New Roman"/>
                <w:sz w:val="28"/>
                <w:szCs w:val="28"/>
              </w:rPr>
              <w:t>šie</w:t>
            </w:r>
            <w:r w:rsidR="00767995" w:rsidRPr="00767995">
              <w:rPr>
                <w:rFonts w:ascii="Times New Roman" w:hAnsi="Times New Roman"/>
                <w:sz w:val="28"/>
                <w:szCs w:val="28"/>
              </w:rPr>
              <w:t xml:space="preserve"> 2008.gada 8.septembra Ministru kabineta</w:t>
            </w:r>
            <w:r w:rsidR="00767995">
              <w:rPr>
                <w:rFonts w:ascii="Times New Roman" w:hAnsi="Times New Roman"/>
                <w:sz w:val="28"/>
                <w:szCs w:val="28"/>
              </w:rPr>
              <w:t xml:space="preserve"> noteikumi</w:t>
            </w:r>
            <w:r w:rsidR="00767995" w:rsidRPr="00767995">
              <w:rPr>
                <w:rFonts w:ascii="Times New Roman" w:hAnsi="Times New Roman"/>
                <w:sz w:val="28"/>
                <w:szCs w:val="28"/>
              </w:rPr>
              <w:t xml:space="preserve"> Nr.722 „Kārtība, kādā nodrošina valsts atbalstu dalībai starptautiskās sadarbības programmās pētniecības un tehnoloģiju jomās”</w:t>
            </w:r>
            <w:r w:rsidR="00767995">
              <w:rPr>
                <w:rFonts w:ascii="Times New Roman" w:hAnsi="Times New Roman"/>
                <w:sz w:val="28"/>
                <w:szCs w:val="28"/>
              </w:rPr>
              <w:t xml:space="preserve"> neparedz atbalstu 7.Ietvara programmas infrastruktūru (t.sk. Akadēmiskā tīkla) projektiem (4.punkts). Savukārt izsludinātajā noteikumu projektā atbalsts šādām aktivitātēm ir iekļauts (4.8.apakšpunkts).</w:t>
            </w:r>
          </w:p>
        </w:tc>
      </w:tr>
      <w:tr w:rsidR="007C5781" w:rsidRPr="007A20CC" w:rsidTr="005A491C">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lastRenderedPageBreak/>
              <w:t>3.</w:t>
            </w:r>
          </w:p>
        </w:tc>
        <w:tc>
          <w:tcPr>
            <w:tcW w:w="96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Saistītie politikas ietekmes novērtējumi un pētījumi</w:t>
            </w:r>
          </w:p>
        </w:tc>
        <w:tc>
          <w:tcPr>
            <w:tcW w:w="3638" w:type="pct"/>
            <w:tcBorders>
              <w:top w:val="outset" w:sz="6" w:space="0" w:color="auto"/>
              <w:left w:val="outset" w:sz="6" w:space="0" w:color="auto"/>
              <w:bottom w:val="outset" w:sz="6" w:space="0" w:color="auto"/>
              <w:right w:val="outset" w:sz="6" w:space="0" w:color="auto"/>
            </w:tcBorders>
            <w:hideMark/>
          </w:tcPr>
          <w:p w:rsidR="00392D00" w:rsidRPr="007A20CC" w:rsidRDefault="000F73C1" w:rsidP="000F73C1">
            <w:pPr>
              <w:spacing w:after="0" w:line="240" w:lineRule="auto"/>
              <w:jc w:val="both"/>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 xml:space="preserve">Izglītības un zinātnes ministrijas </w:t>
            </w:r>
            <w:r w:rsidRPr="007A20CC">
              <w:rPr>
                <w:rFonts w:ascii="Times New Roman" w:hAnsi="Times New Roman"/>
                <w:sz w:val="28"/>
                <w:szCs w:val="28"/>
              </w:rPr>
              <w:t>Informatīvais ziņojums par Informācijas tehnoloģiju infrastruktūras un informācijas sistēmu uzlabošanu zinātniskajai darbībai.</w:t>
            </w:r>
          </w:p>
        </w:tc>
      </w:tr>
      <w:tr w:rsidR="007C5781" w:rsidRPr="007A20CC" w:rsidTr="005A491C">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4.</w:t>
            </w:r>
          </w:p>
        </w:tc>
        <w:tc>
          <w:tcPr>
            <w:tcW w:w="96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Tiesiskā regulējuma mērķis un būtība</w:t>
            </w:r>
          </w:p>
        </w:tc>
        <w:tc>
          <w:tcPr>
            <w:tcW w:w="3638" w:type="pct"/>
            <w:tcBorders>
              <w:top w:val="outset" w:sz="6" w:space="0" w:color="auto"/>
              <w:left w:val="outset" w:sz="6" w:space="0" w:color="auto"/>
              <w:bottom w:val="outset" w:sz="6" w:space="0" w:color="auto"/>
              <w:right w:val="outset" w:sz="6" w:space="0" w:color="auto"/>
            </w:tcBorders>
            <w:hideMark/>
          </w:tcPr>
          <w:p w:rsidR="00577216" w:rsidRPr="007A20CC" w:rsidRDefault="000F73C1" w:rsidP="0080466A">
            <w:pPr>
              <w:spacing w:after="0" w:line="240" w:lineRule="auto"/>
              <w:jc w:val="both"/>
              <w:rPr>
                <w:rFonts w:ascii="Times New Roman" w:hAnsi="Times New Roman"/>
                <w:sz w:val="28"/>
                <w:szCs w:val="28"/>
              </w:rPr>
            </w:pPr>
            <w:r w:rsidRPr="007A20CC">
              <w:rPr>
                <w:rFonts w:ascii="Times New Roman" w:eastAsia="Times New Roman" w:hAnsi="Times New Roman"/>
                <w:bCs/>
                <w:sz w:val="28"/>
                <w:szCs w:val="28"/>
                <w:lang w:eastAsia="lv-LV"/>
              </w:rPr>
              <w:t>Rīkojuma</w:t>
            </w:r>
            <w:r w:rsidR="00100428" w:rsidRPr="007A20CC">
              <w:rPr>
                <w:rFonts w:ascii="Times New Roman" w:eastAsia="Times New Roman" w:hAnsi="Times New Roman"/>
                <w:bCs/>
                <w:sz w:val="28"/>
                <w:szCs w:val="28"/>
                <w:lang w:eastAsia="lv-LV"/>
              </w:rPr>
              <w:t xml:space="preserve"> projekta mērķis ir </w:t>
            </w:r>
            <w:r w:rsidRPr="007A20CC">
              <w:rPr>
                <w:rFonts w:ascii="Times New Roman" w:eastAsia="Times New Roman" w:hAnsi="Times New Roman"/>
                <w:sz w:val="28"/>
                <w:szCs w:val="28"/>
                <w:lang w:eastAsia="lv-LV"/>
              </w:rPr>
              <w:t xml:space="preserve">nodrošināt Latvijas izglītības un zinātnes sabiedrību ar iespēju izmantot Eiropas Akadēmisko tīklu, kas paver priekšrocības, ko sniedz liela apjoma pētniecības datu apmaiņa starp Latvijas un citu Eiropas valstu </w:t>
            </w:r>
            <w:r w:rsidRPr="007A20CC">
              <w:rPr>
                <w:rFonts w:ascii="Times New Roman" w:eastAsia="Times New Roman" w:hAnsi="Times New Roman"/>
                <w:sz w:val="28"/>
                <w:szCs w:val="28"/>
                <w:lang w:eastAsia="lv-LV"/>
              </w:rPr>
              <w:lastRenderedPageBreak/>
              <w:t>zinātniekiem</w:t>
            </w:r>
            <w:r w:rsidR="00577216" w:rsidRPr="007A20CC">
              <w:rPr>
                <w:rFonts w:ascii="Times New Roman" w:hAnsi="Times New Roman"/>
                <w:sz w:val="28"/>
                <w:szCs w:val="28"/>
              </w:rPr>
              <w:t>.</w:t>
            </w:r>
          </w:p>
          <w:p w:rsidR="00100428" w:rsidRPr="007A20CC" w:rsidRDefault="00100428" w:rsidP="0080466A">
            <w:pPr>
              <w:spacing w:after="0" w:line="240" w:lineRule="auto"/>
              <w:jc w:val="both"/>
              <w:rPr>
                <w:rFonts w:ascii="Times New Roman" w:hAnsi="Times New Roman"/>
                <w:sz w:val="28"/>
                <w:szCs w:val="28"/>
              </w:rPr>
            </w:pPr>
          </w:p>
          <w:p w:rsidR="00466CD2" w:rsidRPr="007A20CC" w:rsidRDefault="000F73C1" w:rsidP="00640726">
            <w:pPr>
              <w:spacing w:after="0" w:line="240" w:lineRule="auto"/>
              <w:jc w:val="both"/>
              <w:rPr>
                <w:rFonts w:ascii="Times New Roman" w:hAnsi="Times New Roman"/>
                <w:sz w:val="28"/>
                <w:szCs w:val="28"/>
              </w:rPr>
            </w:pPr>
            <w:r w:rsidRPr="007A20CC">
              <w:rPr>
                <w:rFonts w:ascii="Times New Roman" w:hAnsi="Times New Roman"/>
                <w:sz w:val="28"/>
                <w:szCs w:val="28"/>
              </w:rPr>
              <w:t>Rīkojuma projekts paredz</w:t>
            </w:r>
            <w:r w:rsidR="00640726">
              <w:rPr>
                <w:rFonts w:ascii="Times New Roman" w:hAnsi="Times New Roman"/>
                <w:sz w:val="28"/>
                <w:szCs w:val="28"/>
              </w:rPr>
              <w:t xml:space="preserve"> piešķirt Izglītības un zinātnes ministrijai papildu finansējumu</w:t>
            </w:r>
            <w:r w:rsidRPr="007A20CC">
              <w:rPr>
                <w:rFonts w:ascii="Times New Roman" w:hAnsi="Times New Roman"/>
                <w:sz w:val="28"/>
                <w:szCs w:val="28"/>
              </w:rPr>
              <w:t xml:space="preserve"> </w:t>
            </w:r>
            <w:r w:rsidR="007A20CC" w:rsidRPr="007A20CC">
              <w:rPr>
                <w:rFonts w:ascii="Times New Roman" w:hAnsi="Times New Roman"/>
                <w:sz w:val="28"/>
                <w:szCs w:val="28"/>
              </w:rPr>
              <w:t>GEANT</w:t>
            </w:r>
            <w:r w:rsidR="00B7635B">
              <w:rPr>
                <w:rFonts w:ascii="Times New Roman" w:hAnsi="Times New Roman"/>
                <w:sz w:val="28"/>
                <w:szCs w:val="28"/>
              </w:rPr>
              <w:t xml:space="preserve"> un DWS</w:t>
            </w:r>
            <w:r w:rsidR="00640726">
              <w:rPr>
                <w:rFonts w:ascii="Times New Roman" w:hAnsi="Times New Roman"/>
                <w:sz w:val="28"/>
                <w:szCs w:val="28"/>
              </w:rPr>
              <w:t xml:space="preserve"> pieslēguma apmaksai</w:t>
            </w:r>
            <w:r w:rsidR="007A20CC" w:rsidRPr="007A20CC">
              <w:rPr>
                <w:rFonts w:ascii="Times New Roman" w:hAnsi="Times New Roman"/>
                <w:sz w:val="28"/>
                <w:szCs w:val="28"/>
              </w:rPr>
              <w:t xml:space="preserve"> no 2011.gada 1.jūlija līdz 2012.gada 31.decembrim </w:t>
            </w:r>
            <w:r w:rsidR="00B7635B">
              <w:rPr>
                <w:rFonts w:ascii="Times New Roman" w:hAnsi="Times New Roman"/>
                <w:sz w:val="28"/>
                <w:szCs w:val="28"/>
              </w:rPr>
              <w:t>192</w:t>
            </w:r>
            <w:r w:rsidR="00C5043D" w:rsidRPr="00C5043D">
              <w:rPr>
                <w:rFonts w:ascii="Times New Roman" w:hAnsi="Times New Roman"/>
                <w:sz w:val="28"/>
                <w:szCs w:val="28"/>
              </w:rPr>
              <w:t>`</w:t>
            </w:r>
            <w:r w:rsidR="00640726">
              <w:rPr>
                <w:rFonts w:ascii="Times New Roman" w:hAnsi="Times New Roman"/>
                <w:sz w:val="28"/>
                <w:szCs w:val="28"/>
              </w:rPr>
              <w:t>851.00</w:t>
            </w:r>
            <w:r w:rsidR="00C5043D" w:rsidRPr="00C5043D">
              <w:rPr>
                <w:rFonts w:ascii="Times New Roman" w:hAnsi="Times New Roman"/>
                <w:sz w:val="28"/>
                <w:szCs w:val="28"/>
              </w:rPr>
              <w:t xml:space="preserve"> LVL</w:t>
            </w:r>
            <w:r w:rsidR="007A20CC" w:rsidRPr="007A20CC">
              <w:rPr>
                <w:rFonts w:ascii="Times New Roman" w:hAnsi="Times New Roman"/>
                <w:sz w:val="28"/>
                <w:szCs w:val="28"/>
              </w:rPr>
              <w:t xml:space="preserve"> apmērā.</w:t>
            </w:r>
          </w:p>
        </w:tc>
      </w:tr>
      <w:tr w:rsidR="007C5781" w:rsidRPr="007A20CC" w:rsidTr="005A491C">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lastRenderedPageBreak/>
              <w:t>5.</w:t>
            </w:r>
          </w:p>
        </w:tc>
        <w:tc>
          <w:tcPr>
            <w:tcW w:w="96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Projekta izstrādē iesaistītās institūcijas</w:t>
            </w:r>
          </w:p>
        </w:tc>
        <w:tc>
          <w:tcPr>
            <w:tcW w:w="3638" w:type="pct"/>
            <w:tcBorders>
              <w:top w:val="outset" w:sz="6" w:space="0" w:color="auto"/>
              <w:left w:val="outset" w:sz="6" w:space="0" w:color="auto"/>
              <w:bottom w:val="outset" w:sz="6" w:space="0" w:color="auto"/>
              <w:right w:val="outset" w:sz="6" w:space="0" w:color="auto"/>
            </w:tcBorders>
            <w:hideMark/>
          </w:tcPr>
          <w:p w:rsidR="00392D00" w:rsidRPr="007A20CC" w:rsidRDefault="000F73C1"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Projekts šo jomu neskar.</w:t>
            </w:r>
          </w:p>
        </w:tc>
      </w:tr>
      <w:tr w:rsidR="007C5781" w:rsidRPr="007A20CC" w:rsidTr="005A491C">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6.</w:t>
            </w:r>
          </w:p>
        </w:tc>
        <w:tc>
          <w:tcPr>
            <w:tcW w:w="96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Iemesli, kādēļ netika nodrošināta sabiedrības līdzdalība</w:t>
            </w:r>
          </w:p>
        </w:tc>
        <w:tc>
          <w:tcPr>
            <w:tcW w:w="3638" w:type="pct"/>
            <w:tcBorders>
              <w:top w:val="outset" w:sz="6" w:space="0" w:color="auto"/>
              <w:left w:val="outset" w:sz="6" w:space="0" w:color="auto"/>
              <w:bottom w:val="outset" w:sz="6" w:space="0" w:color="auto"/>
              <w:right w:val="outset" w:sz="6" w:space="0" w:color="auto"/>
            </w:tcBorders>
            <w:hideMark/>
          </w:tcPr>
          <w:p w:rsidR="00392D00" w:rsidRPr="007A20CC" w:rsidRDefault="009B3D7E" w:rsidP="000F73C1">
            <w:pPr>
              <w:spacing w:after="0" w:line="240" w:lineRule="auto"/>
              <w:jc w:val="both"/>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Sabiedrības</w:t>
            </w:r>
            <w:r w:rsidR="000F73C1" w:rsidRPr="007A20CC">
              <w:rPr>
                <w:rFonts w:ascii="Times New Roman" w:eastAsia="Times New Roman" w:hAnsi="Times New Roman"/>
                <w:sz w:val="28"/>
                <w:szCs w:val="28"/>
                <w:lang w:eastAsia="lv-LV"/>
              </w:rPr>
              <w:t>, konkrēti, Latvijas zinātnisko institūciju</w:t>
            </w:r>
            <w:r w:rsidRPr="007A20CC">
              <w:rPr>
                <w:rFonts w:ascii="Times New Roman" w:eastAsia="Times New Roman" w:hAnsi="Times New Roman"/>
                <w:sz w:val="28"/>
                <w:szCs w:val="28"/>
                <w:lang w:eastAsia="lv-LV"/>
              </w:rPr>
              <w:t xml:space="preserve"> līdzdalība netika nodrošināta, jo</w:t>
            </w:r>
            <w:r w:rsidR="000F73C1" w:rsidRPr="007A20CC">
              <w:rPr>
                <w:rFonts w:ascii="Times New Roman" w:eastAsia="Times New Roman" w:hAnsi="Times New Roman"/>
                <w:sz w:val="28"/>
                <w:szCs w:val="28"/>
                <w:lang w:eastAsia="lv-LV"/>
              </w:rPr>
              <w:t xml:space="preserve"> tās kā LAT projekta sadarbības partneri jau ir akceptējušas projekta aktivitātes, it īpaši Latvijas pieslēguma Eiropas Akadēmiskajam tīklam nepieciešamību. </w:t>
            </w:r>
          </w:p>
        </w:tc>
      </w:tr>
      <w:tr w:rsidR="007C5781" w:rsidRPr="007A20CC" w:rsidTr="005A491C">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7.</w:t>
            </w:r>
          </w:p>
        </w:tc>
        <w:tc>
          <w:tcPr>
            <w:tcW w:w="96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Cita informācija</w:t>
            </w:r>
          </w:p>
        </w:tc>
        <w:tc>
          <w:tcPr>
            <w:tcW w:w="3638" w:type="pct"/>
            <w:tcBorders>
              <w:top w:val="outset" w:sz="6" w:space="0" w:color="auto"/>
              <w:left w:val="outset" w:sz="6" w:space="0" w:color="auto"/>
              <w:bottom w:val="outset" w:sz="6" w:space="0" w:color="auto"/>
              <w:right w:val="outset" w:sz="6" w:space="0" w:color="auto"/>
            </w:tcBorders>
            <w:hideMark/>
          </w:tcPr>
          <w:p w:rsidR="00392D00" w:rsidRPr="007A20CC" w:rsidRDefault="00EC418C"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Nav</w:t>
            </w:r>
          </w:p>
        </w:tc>
      </w:tr>
    </w:tbl>
    <w:p w:rsidR="00970E40" w:rsidRDefault="00970E40" w:rsidP="0080466A">
      <w:pPr>
        <w:spacing w:after="0" w:line="240" w:lineRule="auto"/>
        <w:rPr>
          <w:rFonts w:ascii="Times New Roman" w:eastAsia="Times New Roman" w:hAnsi="Times New Roman"/>
          <w:i/>
          <w:sz w:val="28"/>
          <w:szCs w:val="28"/>
          <w:lang w:eastAsia="lv-LV"/>
        </w:rPr>
      </w:pPr>
    </w:p>
    <w:tbl>
      <w:tblPr>
        <w:tblW w:w="5386" w:type="pct"/>
        <w:tblCellSpacing w:w="15" w:type="dxa"/>
        <w:tblInd w:w="-34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2"/>
        <w:gridCol w:w="1909"/>
        <w:gridCol w:w="6989"/>
      </w:tblGrid>
      <w:tr w:rsidR="000F73C1" w:rsidRPr="007A20CC" w:rsidTr="005A491C">
        <w:trPr>
          <w:tblCellSpacing w:w="15" w:type="dxa"/>
        </w:trPr>
        <w:tc>
          <w:tcPr>
            <w:tcW w:w="4969" w:type="pct"/>
            <w:gridSpan w:val="3"/>
            <w:tcBorders>
              <w:top w:val="outset" w:sz="8" w:space="0" w:color="auto"/>
              <w:left w:val="outset" w:sz="8" w:space="0" w:color="auto"/>
              <w:bottom w:val="outset" w:sz="8" w:space="0" w:color="auto"/>
              <w:right w:val="outset" w:sz="8" w:space="0" w:color="auto"/>
            </w:tcBorders>
            <w:vAlign w:val="center"/>
            <w:hideMark/>
          </w:tcPr>
          <w:p w:rsidR="000F73C1" w:rsidRPr="007A20CC" w:rsidRDefault="000F73C1" w:rsidP="00DD7E36">
            <w:pPr>
              <w:spacing w:after="0" w:line="240" w:lineRule="auto"/>
              <w:jc w:val="center"/>
              <w:rPr>
                <w:rFonts w:ascii="Times New Roman" w:eastAsia="Times New Roman" w:hAnsi="Times New Roman"/>
                <w:b/>
                <w:bCs/>
                <w:sz w:val="28"/>
                <w:szCs w:val="28"/>
                <w:lang w:eastAsia="lv-LV"/>
              </w:rPr>
            </w:pPr>
            <w:r w:rsidRPr="007A20CC">
              <w:rPr>
                <w:rFonts w:ascii="Times New Roman" w:eastAsia="Times New Roman" w:hAnsi="Times New Roman"/>
                <w:b/>
                <w:bCs/>
                <w:sz w:val="28"/>
                <w:szCs w:val="28"/>
                <w:lang w:eastAsia="lv-LV"/>
              </w:rPr>
              <w:t>II. Tiesību akta projekta ietekme uz sabiedrību</w:t>
            </w:r>
          </w:p>
        </w:tc>
      </w:tr>
      <w:tr w:rsidR="000F73C1" w:rsidRPr="007A20CC" w:rsidTr="005A491C">
        <w:trPr>
          <w:tblCellSpacing w:w="15" w:type="dxa"/>
        </w:trPr>
        <w:tc>
          <w:tcPr>
            <w:tcW w:w="367"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1.</w:t>
            </w:r>
          </w:p>
        </w:tc>
        <w:tc>
          <w:tcPr>
            <w:tcW w:w="975"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 xml:space="preserve">Sabiedrības </w:t>
            </w:r>
            <w:proofErr w:type="spellStart"/>
            <w:r w:rsidRPr="007A20CC">
              <w:rPr>
                <w:rFonts w:ascii="Times New Roman" w:eastAsia="Times New Roman" w:hAnsi="Times New Roman"/>
                <w:sz w:val="28"/>
                <w:szCs w:val="28"/>
                <w:lang w:eastAsia="lv-LV"/>
              </w:rPr>
              <w:t>mērķgrupa</w:t>
            </w:r>
            <w:proofErr w:type="spellEnd"/>
          </w:p>
        </w:tc>
        <w:tc>
          <w:tcPr>
            <w:tcW w:w="3596" w:type="pct"/>
            <w:tcBorders>
              <w:top w:val="outset" w:sz="6" w:space="0" w:color="auto"/>
              <w:left w:val="outset" w:sz="6" w:space="0" w:color="auto"/>
              <w:bottom w:val="outset" w:sz="6" w:space="0" w:color="auto"/>
              <w:right w:val="outset" w:sz="6" w:space="0" w:color="auto"/>
            </w:tcBorders>
            <w:hideMark/>
          </w:tcPr>
          <w:p w:rsidR="000F73C1" w:rsidRPr="007A20CC" w:rsidRDefault="00DD7E36" w:rsidP="00DD7E36">
            <w:pPr>
              <w:spacing w:after="0" w:line="240" w:lineRule="auto"/>
              <w:jc w:val="both"/>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GEANT pieslēguma lietotāji ir Latvijas zinātniskās institūcijas, it īpaši tās, kuras piedalās Eiropas Savienības pētniecības projektos</w:t>
            </w:r>
            <w:r w:rsidR="007A20CC" w:rsidRPr="007A20CC">
              <w:rPr>
                <w:rFonts w:ascii="Times New Roman" w:eastAsia="Times New Roman" w:hAnsi="Times New Roman"/>
                <w:sz w:val="28"/>
                <w:szCs w:val="28"/>
                <w:lang w:eastAsia="lv-LV"/>
              </w:rPr>
              <w:t xml:space="preserve"> (Ietvara programmas u.c.)</w:t>
            </w:r>
            <w:r w:rsidRPr="007A20CC">
              <w:rPr>
                <w:rFonts w:ascii="Times New Roman" w:eastAsia="Times New Roman" w:hAnsi="Times New Roman"/>
                <w:sz w:val="28"/>
                <w:szCs w:val="28"/>
                <w:lang w:eastAsia="lv-LV"/>
              </w:rPr>
              <w:t xml:space="preserve">. Pašlaik LAT projekta sadarbības partnera statusā ir apstiprinātas </w:t>
            </w:r>
            <w:r w:rsidRPr="00174DD7">
              <w:rPr>
                <w:rFonts w:ascii="Times New Roman" w:eastAsia="Times New Roman" w:hAnsi="Times New Roman"/>
                <w:sz w:val="28"/>
                <w:szCs w:val="28"/>
                <w:lang w:eastAsia="lv-LV"/>
              </w:rPr>
              <w:t>95</w:t>
            </w:r>
            <w:r w:rsidRPr="007A20CC">
              <w:rPr>
                <w:rFonts w:ascii="Times New Roman" w:eastAsia="Times New Roman" w:hAnsi="Times New Roman"/>
                <w:sz w:val="28"/>
                <w:szCs w:val="28"/>
                <w:lang w:eastAsia="lv-LV"/>
              </w:rPr>
              <w:t xml:space="preserve"> zinātniskās institūcijas.</w:t>
            </w:r>
          </w:p>
        </w:tc>
      </w:tr>
      <w:tr w:rsidR="000F73C1" w:rsidRPr="007A20CC" w:rsidTr="005A491C">
        <w:trPr>
          <w:tblCellSpacing w:w="15" w:type="dxa"/>
        </w:trPr>
        <w:tc>
          <w:tcPr>
            <w:tcW w:w="367"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2.</w:t>
            </w:r>
          </w:p>
        </w:tc>
        <w:tc>
          <w:tcPr>
            <w:tcW w:w="975"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 xml:space="preserve">Citas sabiedrības grupas (bez </w:t>
            </w:r>
            <w:proofErr w:type="spellStart"/>
            <w:r w:rsidRPr="007A20CC">
              <w:rPr>
                <w:rFonts w:ascii="Times New Roman" w:eastAsia="Times New Roman" w:hAnsi="Times New Roman"/>
                <w:sz w:val="28"/>
                <w:szCs w:val="28"/>
                <w:lang w:eastAsia="lv-LV"/>
              </w:rPr>
              <w:t>mērķgrupas</w:t>
            </w:r>
            <w:proofErr w:type="spellEnd"/>
            <w:r w:rsidRPr="007A20CC">
              <w:rPr>
                <w:rFonts w:ascii="Times New Roman" w:eastAsia="Times New Roman" w:hAnsi="Times New Roman"/>
                <w:sz w:val="28"/>
                <w:szCs w:val="28"/>
                <w:lang w:eastAsia="lv-LV"/>
              </w:rPr>
              <w:t>), kuras tiesiskais regulējums arī ietekmē vai varētu ietekmēt</w:t>
            </w:r>
          </w:p>
        </w:tc>
        <w:tc>
          <w:tcPr>
            <w:tcW w:w="3596" w:type="pct"/>
            <w:tcBorders>
              <w:top w:val="outset" w:sz="6" w:space="0" w:color="auto"/>
              <w:left w:val="outset" w:sz="6" w:space="0" w:color="auto"/>
              <w:bottom w:val="outset" w:sz="6" w:space="0" w:color="auto"/>
              <w:right w:val="outset" w:sz="6" w:space="0" w:color="auto"/>
            </w:tcBorders>
            <w:hideMark/>
          </w:tcPr>
          <w:p w:rsidR="000F73C1" w:rsidRPr="007A20CC" w:rsidRDefault="00DD7E36"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Projekts šo jomu neskar.</w:t>
            </w:r>
          </w:p>
        </w:tc>
      </w:tr>
      <w:tr w:rsidR="000F73C1" w:rsidRPr="007A20CC" w:rsidTr="005A491C">
        <w:trPr>
          <w:tblCellSpacing w:w="15" w:type="dxa"/>
        </w:trPr>
        <w:tc>
          <w:tcPr>
            <w:tcW w:w="367"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3.</w:t>
            </w:r>
          </w:p>
        </w:tc>
        <w:tc>
          <w:tcPr>
            <w:tcW w:w="975"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Tiesiskā regulējuma finansiālā ietekme</w:t>
            </w:r>
          </w:p>
        </w:tc>
        <w:tc>
          <w:tcPr>
            <w:tcW w:w="3596" w:type="pct"/>
            <w:tcBorders>
              <w:top w:val="outset" w:sz="6" w:space="0" w:color="auto"/>
              <w:left w:val="outset" w:sz="6" w:space="0" w:color="auto"/>
              <w:bottom w:val="outset" w:sz="6" w:space="0" w:color="auto"/>
              <w:right w:val="outset" w:sz="6" w:space="0" w:color="auto"/>
            </w:tcBorders>
            <w:hideMark/>
          </w:tcPr>
          <w:p w:rsidR="000F73C1" w:rsidRPr="007A20CC" w:rsidRDefault="00DD7E36" w:rsidP="007A20CC">
            <w:pPr>
              <w:spacing w:after="0" w:line="240" w:lineRule="auto"/>
              <w:jc w:val="both"/>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Rīkojuma projekts</w:t>
            </w:r>
            <w:r w:rsidR="000F73C1" w:rsidRPr="007A20CC">
              <w:rPr>
                <w:rFonts w:ascii="Times New Roman" w:eastAsia="Times New Roman" w:hAnsi="Times New Roman"/>
                <w:sz w:val="28"/>
                <w:szCs w:val="28"/>
                <w:lang w:eastAsia="lv-LV"/>
              </w:rPr>
              <w:t xml:space="preserve"> neparedz tā </w:t>
            </w:r>
            <w:proofErr w:type="spellStart"/>
            <w:r w:rsidR="000F73C1" w:rsidRPr="007A20CC">
              <w:rPr>
                <w:rFonts w:ascii="Times New Roman" w:eastAsia="Times New Roman" w:hAnsi="Times New Roman"/>
                <w:sz w:val="28"/>
                <w:szCs w:val="28"/>
                <w:lang w:eastAsia="lv-LV"/>
              </w:rPr>
              <w:t>mērķgrupai</w:t>
            </w:r>
            <w:proofErr w:type="spellEnd"/>
            <w:r w:rsidR="000F73C1" w:rsidRPr="007A20CC">
              <w:rPr>
                <w:rFonts w:ascii="Times New Roman" w:eastAsia="Times New Roman" w:hAnsi="Times New Roman"/>
                <w:sz w:val="28"/>
                <w:szCs w:val="28"/>
                <w:lang w:eastAsia="lv-LV"/>
              </w:rPr>
              <w:t xml:space="preserve"> radīt papildu izmaksas, bet gan</w:t>
            </w:r>
            <w:r w:rsidRPr="007A20CC">
              <w:rPr>
                <w:rFonts w:ascii="Times New Roman" w:eastAsia="Times New Roman" w:hAnsi="Times New Roman"/>
                <w:sz w:val="28"/>
                <w:szCs w:val="28"/>
                <w:lang w:eastAsia="lv-LV"/>
              </w:rPr>
              <w:t xml:space="preserve"> iespēju izmantot Eiropas Akadēmisko tīklu, lai </w:t>
            </w:r>
            <w:r w:rsidR="007A20CC" w:rsidRPr="007A20CC">
              <w:rPr>
                <w:rFonts w:ascii="Times New Roman" w:eastAsia="Times New Roman" w:hAnsi="Times New Roman"/>
                <w:sz w:val="28"/>
                <w:szCs w:val="28"/>
                <w:lang w:eastAsia="lv-LV"/>
              </w:rPr>
              <w:t>atvieglotu pieeju pētniecības datiem un to apmaiņu ar citām Eiropas valstu zinātniskajām institūcijām</w:t>
            </w:r>
            <w:r w:rsidRPr="007A20CC">
              <w:rPr>
                <w:rFonts w:ascii="Times New Roman" w:eastAsia="Times New Roman" w:hAnsi="Times New Roman"/>
                <w:sz w:val="28"/>
                <w:szCs w:val="28"/>
                <w:lang w:eastAsia="lv-LV"/>
              </w:rPr>
              <w:t>, tādā veidā uzlabojot Latvijas kopējo pētniecības konkurētspēju.</w:t>
            </w:r>
          </w:p>
        </w:tc>
      </w:tr>
      <w:tr w:rsidR="000F73C1" w:rsidRPr="007A20CC" w:rsidTr="005A491C">
        <w:trPr>
          <w:tblCellSpacing w:w="15" w:type="dxa"/>
        </w:trPr>
        <w:tc>
          <w:tcPr>
            <w:tcW w:w="367"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4.</w:t>
            </w:r>
          </w:p>
        </w:tc>
        <w:tc>
          <w:tcPr>
            <w:tcW w:w="975"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 xml:space="preserve">Tiesiskā regulējuma nefinansiālā </w:t>
            </w:r>
            <w:r w:rsidRPr="007A20CC">
              <w:rPr>
                <w:rFonts w:ascii="Times New Roman" w:eastAsia="Times New Roman" w:hAnsi="Times New Roman"/>
                <w:sz w:val="28"/>
                <w:szCs w:val="28"/>
                <w:lang w:eastAsia="lv-LV"/>
              </w:rPr>
              <w:lastRenderedPageBreak/>
              <w:t>ietekme</w:t>
            </w:r>
          </w:p>
        </w:tc>
        <w:tc>
          <w:tcPr>
            <w:tcW w:w="3596" w:type="pct"/>
            <w:tcBorders>
              <w:top w:val="outset" w:sz="6" w:space="0" w:color="auto"/>
              <w:left w:val="outset" w:sz="6" w:space="0" w:color="auto"/>
              <w:bottom w:val="outset" w:sz="6" w:space="0" w:color="auto"/>
              <w:right w:val="outset" w:sz="6" w:space="0" w:color="auto"/>
            </w:tcBorders>
            <w:hideMark/>
          </w:tcPr>
          <w:p w:rsidR="000F73C1" w:rsidRPr="007A20CC" w:rsidRDefault="00DD7E36" w:rsidP="00DD7E36">
            <w:pPr>
              <w:spacing w:after="0" w:line="240" w:lineRule="auto"/>
              <w:jc w:val="both"/>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lastRenderedPageBreak/>
              <w:t>Projekts šo jomu neskar.</w:t>
            </w:r>
          </w:p>
        </w:tc>
      </w:tr>
      <w:tr w:rsidR="000F73C1" w:rsidRPr="007A20CC" w:rsidTr="005A491C">
        <w:trPr>
          <w:tblCellSpacing w:w="15" w:type="dxa"/>
        </w:trPr>
        <w:tc>
          <w:tcPr>
            <w:tcW w:w="367"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lastRenderedPageBreak/>
              <w:t>5.</w:t>
            </w:r>
          </w:p>
        </w:tc>
        <w:tc>
          <w:tcPr>
            <w:tcW w:w="975"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Administratīvās procedūras raksturojums</w:t>
            </w:r>
          </w:p>
        </w:tc>
        <w:tc>
          <w:tcPr>
            <w:tcW w:w="3596" w:type="pct"/>
            <w:tcBorders>
              <w:top w:val="outset" w:sz="6" w:space="0" w:color="auto"/>
              <w:left w:val="outset" w:sz="6" w:space="0" w:color="auto"/>
              <w:bottom w:val="outset" w:sz="6" w:space="0" w:color="auto"/>
              <w:right w:val="outset" w:sz="6" w:space="0" w:color="auto"/>
            </w:tcBorders>
            <w:hideMark/>
          </w:tcPr>
          <w:p w:rsidR="000F73C1" w:rsidRPr="007A20CC" w:rsidRDefault="00DD7E36"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Projekts šo jomu neskar.</w:t>
            </w:r>
          </w:p>
        </w:tc>
      </w:tr>
      <w:tr w:rsidR="000F73C1" w:rsidRPr="007A20CC" w:rsidTr="005A491C">
        <w:trPr>
          <w:tblCellSpacing w:w="15" w:type="dxa"/>
        </w:trPr>
        <w:tc>
          <w:tcPr>
            <w:tcW w:w="367"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6.</w:t>
            </w:r>
          </w:p>
        </w:tc>
        <w:tc>
          <w:tcPr>
            <w:tcW w:w="975"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Administratīvo izmaksu monetārs novērtējums</w:t>
            </w:r>
          </w:p>
        </w:tc>
        <w:tc>
          <w:tcPr>
            <w:tcW w:w="3596" w:type="pct"/>
            <w:tcBorders>
              <w:top w:val="outset" w:sz="6" w:space="0" w:color="auto"/>
              <w:left w:val="outset" w:sz="6" w:space="0" w:color="auto"/>
              <w:bottom w:val="outset" w:sz="6" w:space="0" w:color="auto"/>
              <w:right w:val="outset" w:sz="6" w:space="0" w:color="auto"/>
            </w:tcBorders>
            <w:hideMark/>
          </w:tcPr>
          <w:p w:rsidR="000F73C1" w:rsidRPr="007A20CC" w:rsidRDefault="00DD7E36"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Projekts šo jomu neskar.</w:t>
            </w:r>
          </w:p>
        </w:tc>
      </w:tr>
      <w:tr w:rsidR="000F73C1" w:rsidRPr="007A20CC" w:rsidTr="005A491C">
        <w:trPr>
          <w:tblCellSpacing w:w="15" w:type="dxa"/>
        </w:trPr>
        <w:tc>
          <w:tcPr>
            <w:tcW w:w="367"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7.</w:t>
            </w:r>
          </w:p>
        </w:tc>
        <w:tc>
          <w:tcPr>
            <w:tcW w:w="975" w:type="pct"/>
            <w:tcBorders>
              <w:top w:val="outset" w:sz="6" w:space="0" w:color="auto"/>
              <w:left w:val="outset" w:sz="6" w:space="0" w:color="auto"/>
              <w:bottom w:val="outset" w:sz="6" w:space="0" w:color="auto"/>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Cita informācija</w:t>
            </w:r>
          </w:p>
        </w:tc>
        <w:tc>
          <w:tcPr>
            <w:tcW w:w="3596" w:type="pct"/>
            <w:tcBorders>
              <w:top w:val="outset" w:sz="6" w:space="0" w:color="auto"/>
              <w:left w:val="outset" w:sz="6" w:space="0" w:color="auto"/>
              <w:bottom w:val="nil"/>
              <w:right w:val="outset" w:sz="6" w:space="0" w:color="auto"/>
            </w:tcBorders>
            <w:hideMark/>
          </w:tcPr>
          <w:p w:rsidR="000F73C1" w:rsidRPr="007A20CC" w:rsidRDefault="000F73C1" w:rsidP="00DD7E36">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Nav</w:t>
            </w:r>
          </w:p>
        </w:tc>
      </w:tr>
    </w:tbl>
    <w:p w:rsidR="000F73C1" w:rsidRDefault="000F73C1" w:rsidP="0080466A">
      <w:pPr>
        <w:spacing w:after="0" w:line="240" w:lineRule="auto"/>
        <w:rPr>
          <w:rFonts w:ascii="Times New Roman" w:eastAsia="Times New Roman" w:hAnsi="Times New Roman"/>
          <w:i/>
          <w:sz w:val="28"/>
          <w:szCs w:val="28"/>
          <w:lang w:eastAsia="lv-LV"/>
        </w:rPr>
      </w:pPr>
    </w:p>
    <w:tbl>
      <w:tblPr>
        <w:tblW w:w="9738" w:type="dxa"/>
        <w:jc w:val="center"/>
        <w:tblCellSpacing w:w="20" w:type="dxa"/>
        <w:tblInd w:w="3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707"/>
        <w:gridCol w:w="1346"/>
        <w:gridCol w:w="1390"/>
        <w:gridCol w:w="1390"/>
        <w:gridCol w:w="1390"/>
        <w:gridCol w:w="1515"/>
      </w:tblGrid>
      <w:tr w:rsidR="00DD7E36" w:rsidRPr="007A20CC" w:rsidTr="00DD7E36">
        <w:trPr>
          <w:trHeight w:val="652"/>
          <w:tblCellSpacing w:w="20" w:type="dxa"/>
          <w:jc w:val="center"/>
        </w:trPr>
        <w:tc>
          <w:tcPr>
            <w:tcW w:w="9738" w:type="dxa"/>
            <w:gridSpan w:val="6"/>
          </w:tcPr>
          <w:p w:rsidR="00DD7E36" w:rsidRPr="007A20CC" w:rsidRDefault="00DD7E36" w:rsidP="00DD7E36">
            <w:pPr>
              <w:pStyle w:val="naisnod"/>
              <w:spacing w:before="0" w:after="0"/>
              <w:rPr>
                <w:i/>
                <w:sz w:val="28"/>
                <w:szCs w:val="28"/>
              </w:rPr>
            </w:pPr>
            <w:r w:rsidRPr="007A20CC">
              <w:rPr>
                <w:sz w:val="28"/>
                <w:szCs w:val="28"/>
              </w:rPr>
              <w:br w:type="page"/>
              <w:t>III. Tiesību akta projekta ietekme uz valsts budžetu un pašvaldību budžetiem</w:t>
            </w:r>
          </w:p>
        </w:tc>
      </w:tr>
      <w:tr w:rsidR="00DD7E36" w:rsidRPr="007A20CC" w:rsidTr="00DD7E36">
        <w:trPr>
          <w:tblCellSpacing w:w="20" w:type="dxa"/>
          <w:jc w:val="center"/>
        </w:trPr>
        <w:tc>
          <w:tcPr>
            <w:tcW w:w="2852" w:type="dxa"/>
            <w:vMerge w:val="restart"/>
            <w:vAlign w:val="center"/>
          </w:tcPr>
          <w:p w:rsidR="00DD7E36" w:rsidRPr="007A20CC" w:rsidRDefault="00DD7E36" w:rsidP="00DD7E36">
            <w:pPr>
              <w:pStyle w:val="naisf"/>
              <w:spacing w:before="0" w:after="0"/>
              <w:ind w:firstLine="0"/>
              <w:jc w:val="center"/>
              <w:rPr>
                <w:b/>
                <w:sz w:val="28"/>
                <w:szCs w:val="28"/>
              </w:rPr>
            </w:pPr>
            <w:r w:rsidRPr="007A20CC">
              <w:rPr>
                <w:b/>
                <w:sz w:val="28"/>
                <w:szCs w:val="28"/>
              </w:rPr>
              <w:t>Rādītāji</w:t>
            </w:r>
          </w:p>
        </w:tc>
        <w:tc>
          <w:tcPr>
            <w:tcW w:w="2685" w:type="dxa"/>
            <w:gridSpan w:val="2"/>
            <w:vMerge w:val="restart"/>
            <w:vAlign w:val="center"/>
          </w:tcPr>
          <w:p w:rsidR="00DD7E36" w:rsidRPr="007A20CC" w:rsidRDefault="00DE1C03" w:rsidP="00DD7E36">
            <w:pPr>
              <w:pStyle w:val="naisf"/>
              <w:spacing w:before="0" w:after="0"/>
              <w:ind w:firstLine="0"/>
              <w:jc w:val="center"/>
              <w:rPr>
                <w:b/>
                <w:sz w:val="28"/>
                <w:szCs w:val="28"/>
              </w:rPr>
            </w:pPr>
            <w:r w:rsidRPr="007A20CC">
              <w:rPr>
                <w:b/>
                <w:sz w:val="28"/>
                <w:szCs w:val="28"/>
              </w:rPr>
              <w:t>2011.</w:t>
            </w:r>
            <w:r w:rsidR="00DD7E36" w:rsidRPr="007A20CC">
              <w:rPr>
                <w:b/>
                <w:sz w:val="28"/>
                <w:szCs w:val="28"/>
              </w:rPr>
              <w:t xml:space="preserve"> gads</w:t>
            </w:r>
          </w:p>
        </w:tc>
        <w:tc>
          <w:tcPr>
            <w:tcW w:w="4201" w:type="dxa"/>
            <w:gridSpan w:val="3"/>
            <w:vAlign w:val="center"/>
          </w:tcPr>
          <w:p w:rsidR="00DD7E36" w:rsidRPr="007A20CC" w:rsidRDefault="00DD7E36" w:rsidP="00DD7E36">
            <w:pPr>
              <w:pStyle w:val="naisf"/>
              <w:spacing w:before="0" w:after="0"/>
              <w:ind w:firstLine="0"/>
              <w:jc w:val="center"/>
              <w:rPr>
                <w:b/>
                <w:i/>
                <w:sz w:val="28"/>
                <w:szCs w:val="28"/>
              </w:rPr>
            </w:pPr>
            <w:r w:rsidRPr="007A20CC">
              <w:rPr>
                <w:sz w:val="28"/>
                <w:szCs w:val="28"/>
              </w:rPr>
              <w:t>Turpmākie trīs gadi (tūkst</w:t>
            </w:r>
            <w:smartTag w:uri="schemas-tilde-lv/tildestengine" w:element="currency2">
              <w:smartTagPr>
                <w:attr w:name="currency_id" w:val="48"/>
                <w:attr w:name="currency_key" w:val="LVL"/>
                <w:attr w:name="currency_value" w:val="."/>
                <w:attr w:name="currency_text" w:val="latu"/>
              </w:smartTagPr>
              <w:r w:rsidRPr="007A20CC">
                <w:rPr>
                  <w:sz w:val="28"/>
                  <w:szCs w:val="28"/>
                </w:rPr>
                <w:t>. latu</w:t>
              </w:r>
            </w:smartTag>
            <w:r w:rsidRPr="007A20CC">
              <w:rPr>
                <w:sz w:val="28"/>
                <w:szCs w:val="28"/>
              </w:rPr>
              <w:t>)</w:t>
            </w:r>
          </w:p>
        </w:tc>
      </w:tr>
      <w:tr w:rsidR="006442D4" w:rsidRPr="007A20CC" w:rsidTr="00DD7E36">
        <w:trPr>
          <w:tblCellSpacing w:w="20" w:type="dxa"/>
          <w:jc w:val="center"/>
        </w:trPr>
        <w:tc>
          <w:tcPr>
            <w:tcW w:w="2852" w:type="dxa"/>
            <w:vMerge/>
            <w:vAlign w:val="center"/>
          </w:tcPr>
          <w:p w:rsidR="00DD7E36" w:rsidRPr="007A20CC" w:rsidRDefault="00DD7E36" w:rsidP="00DD7E36">
            <w:pPr>
              <w:pStyle w:val="naisf"/>
              <w:spacing w:before="0" w:after="0"/>
              <w:ind w:firstLine="0"/>
              <w:jc w:val="center"/>
              <w:rPr>
                <w:b/>
                <w:i/>
                <w:sz w:val="28"/>
                <w:szCs w:val="28"/>
              </w:rPr>
            </w:pPr>
          </w:p>
        </w:tc>
        <w:tc>
          <w:tcPr>
            <w:tcW w:w="2685" w:type="dxa"/>
            <w:gridSpan w:val="2"/>
            <w:vMerge/>
            <w:vAlign w:val="center"/>
          </w:tcPr>
          <w:p w:rsidR="00DD7E36" w:rsidRPr="007A20CC" w:rsidRDefault="00DD7E36" w:rsidP="00DD7E36">
            <w:pPr>
              <w:pStyle w:val="naisf"/>
              <w:spacing w:before="0" w:after="0"/>
              <w:ind w:firstLine="0"/>
              <w:jc w:val="center"/>
              <w:rPr>
                <w:b/>
                <w:i/>
                <w:sz w:val="28"/>
                <w:szCs w:val="28"/>
              </w:rPr>
            </w:pPr>
          </w:p>
        </w:tc>
        <w:tc>
          <w:tcPr>
            <w:tcW w:w="1354" w:type="dxa"/>
            <w:vAlign w:val="center"/>
          </w:tcPr>
          <w:p w:rsidR="00DD7E36" w:rsidRPr="007A20CC" w:rsidRDefault="00DE1C03" w:rsidP="00DD7E36">
            <w:pPr>
              <w:pStyle w:val="naisf"/>
              <w:spacing w:before="0" w:after="0"/>
              <w:ind w:firstLine="0"/>
              <w:jc w:val="center"/>
              <w:rPr>
                <w:b/>
                <w:i/>
                <w:sz w:val="28"/>
                <w:szCs w:val="28"/>
              </w:rPr>
            </w:pPr>
            <w:r w:rsidRPr="007A20CC">
              <w:rPr>
                <w:b/>
                <w:bCs/>
                <w:sz w:val="28"/>
                <w:szCs w:val="28"/>
              </w:rPr>
              <w:t>2012.</w:t>
            </w:r>
          </w:p>
        </w:tc>
        <w:tc>
          <w:tcPr>
            <w:tcW w:w="1355" w:type="dxa"/>
            <w:vAlign w:val="center"/>
          </w:tcPr>
          <w:p w:rsidR="00DD7E36" w:rsidRPr="007A20CC" w:rsidRDefault="00DE1C03" w:rsidP="00DD7E36">
            <w:pPr>
              <w:pStyle w:val="naisf"/>
              <w:spacing w:before="0" w:after="0"/>
              <w:ind w:firstLine="0"/>
              <w:jc w:val="center"/>
              <w:rPr>
                <w:b/>
                <w:i/>
                <w:sz w:val="28"/>
                <w:szCs w:val="28"/>
              </w:rPr>
            </w:pPr>
            <w:r w:rsidRPr="007A20CC">
              <w:rPr>
                <w:b/>
                <w:bCs/>
                <w:sz w:val="28"/>
                <w:szCs w:val="28"/>
              </w:rPr>
              <w:t>2013.</w:t>
            </w:r>
          </w:p>
        </w:tc>
        <w:tc>
          <w:tcPr>
            <w:tcW w:w="1492" w:type="dxa"/>
            <w:vAlign w:val="center"/>
          </w:tcPr>
          <w:p w:rsidR="00DD7E36" w:rsidRPr="007A20CC" w:rsidRDefault="00DE1C03" w:rsidP="00DD7E36">
            <w:pPr>
              <w:pStyle w:val="naisf"/>
              <w:spacing w:before="0" w:after="0"/>
              <w:ind w:firstLine="0"/>
              <w:jc w:val="center"/>
              <w:rPr>
                <w:b/>
                <w:i/>
                <w:sz w:val="28"/>
                <w:szCs w:val="28"/>
              </w:rPr>
            </w:pPr>
            <w:r w:rsidRPr="007A20CC">
              <w:rPr>
                <w:b/>
                <w:bCs/>
                <w:sz w:val="28"/>
                <w:szCs w:val="28"/>
              </w:rPr>
              <w:t>2014.</w:t>
            </w:r>
          </w:p>
        </w:tc>
      </w:tr>
      <w:tr w:rsidR="006442D4" w:rsidRPr="007A20CC" w:rsidTr="00DD7E36">
        <w:trPr>
          <w:tblCellSpacing w:w="20" w:type="dxa"/>
          <w:jc w:val="center"/>
        </w:trPr>
        <w:tc>
          <w:tcPr>
            <w:tcW w:w="2852" w:type="dxa"/>
            <w:vMerge/>
            <w:vAlign w:val="center"/>
          </w:tcPr>
          <w:p w:rsidR="00DD7E36" w:rsidRPr="007A20CC" w:rsidRDefault="00DD7E36" w:rsidP="00DD7E36">
            <w:pPr>
              <w:pStyle w:val="naisf"/>
              <w:spacing w:before="0" w:after="0"/>
              <w:ind w:firstLine="0"/>
              <w:jc w:val="center"/>
              <w:rPr>
                <w:b/>
                <w:i/>
                <w:sz w:val="28"/>
                <w:szCs w:val="28"/>
              </w:rPr>
            </w:pPr>
          </w:p>
        </w:tc>
        <w:tc>
          <w:tcPr>
            <w:tcW w:w="1331" w:type="dxa"/>
            <w:vAlign w:val="center"/>
          </w:tcPr>
          <w:p w:rsidR="00DD7E36" w:rsidRPr="007A20CC" w:rsidRDefault="00DD7E36" w:rsidP="00DD7E36">
            <w:pPr>
              <w:pStyle w:val="naisf"/>
              <w:spacing w:before="0" w:after="0"/>
              <w:ind w:firstLine="0"/>
              <w:jc w:val="center"/>
              <w:rPr>
                <w:b/>
                <w:i/>
                <w:sz w:val="28"/>
                <w:szCs w:val="28"/>
              </w:rPr>
            </w:pPr>
            <w:r w:rsidRPr="007A20CC">
              <w:rPr>
                <w:sz w:val="28"/>
                <w:szCs w:val="28"/>
              </w:rPr>
              <w:t>Saskaņā ar valsts budžetu kārtējam gadam</w:t>
            </w:r>
          </w:p>
        </w:tc>
        <w:tc>
          <w:tcPr>
            <w:tcW w:w="1354" w:type="dxa"/>
            <w:vAlign w:val="center"/>
          </w:tcPr>
          <w:p w:rsidR="00DD7E36" w:rsidRPr="007A20CC" w:rsidRDefault="00DD7E36" w:rsidP="00DD7E36">
            <w:pPr>
              <w:pStyle w:val="naisf"/>
              <w:spacing w:before="0" w:after="0"/>
              <w:ind w:firstLine="0"/>
              <w:jc w:val="center"/>
              <w:rPr>
                <w:b/>
                <w:i/>
                <w:sz w:val="28"/>
                <w:szCs w:val="28"/>
              </w:rPr>
            </w:pPr>
            <w:r w:rsidRPr="007A20CC">
              <w:rPr>
                <w:sz w:val="28"/>
                <w:szCs w:val="28"/>
              </w:rPr>
              <w:t>Izmaiņas kārtējā gadā, salīdzinot ar budžetu kārtējam gadam</w:t>
            </w:r>
          </w:p>
        </w:tc>
        <w:tc>
          <w:tcPr>
            <w:tcW w:w="1354" w:type="dxa"/>
            <w:vAlign w:val="center"/>
          </w:tcPr>
          <w:p w:rsidR="00DD7E36" w:rsidRPr="007A20CC" w:rsidRDefault="00DD7E36" w:rsidP="00DE1C03">
            <w:pPr>
              <w:pStyle w:val="naisf"/>
              <w:spacing w:before="0" w:after="0"/>
              <w:ind w:firstLine="0"/>
              <w:jc w:val="center"/>
              <w:rPr>
                <w:b/>
                <w:i/>
                <w:sz w:val="28"/>
                <w:szCs w:val="28"/>
              </w:rPr>
            </w:pPr>
            <w:r w:rsidRPr="007A20CC">
              <w:rPr>
                <w:sz w:val="28"/>
                <w:szCs w:val="28"/>
              </w:rPr>
              <w:t xml:space="preserve">Izmaiņas, salīdzinot ar kārtējo </w:t>
            </w:r>
            <w:r w:rsidR="00DE1C03" w:rsidRPr="007A20CC">
              <w:rPr>
                <w:sz w:val="28"/>
                <w:szCs w:val="28"/>
              </w:rPr>
              <w:t>2011.</w:t>
            </w:r>
            <w:r w:rsidRPr="007A20CC">
              <w:rPr>
                <w:sz w:val="28"/>
                <w:szCs w:val="28"/>
              </w:rPr>
              <w:t xml:space="preserve"> gadu</w:t>
            </w:r>
          </w:p>
        </w:tc>
        <w:tc>
          <w:tcPr>
            <w:tcW w:w="1355" w:type="dxa"/>
            <w:vAlign w:val="center"/>
          </w:tcPr>
          <w:p w:rsidR="00DD7E36" w:rsidRPr="007A20CC" w:rsidRDefault="00DD7E36" w:rsidP="00DE1C03">
            <w:pPr>
              <w:pStyle w:val="naisf"/>
              <w:spacing w:before="0" w:after="0"/>
              <w:ind w:firstLine="0"/>
              <w:jc w:val="center"/>
              <w:rPr>
                <w:b/>
                <w:i/>
                <w:sz w:val="28"/>
                <w:szCs w:val="28"/>
              </w:rPr>
            </w:pPr>
            <w:r w:rsidRPr="007A20CC">
              <w:rPr>
                <w:sz w:val="28"/>
                <w:szCs w:val="28"/>
              </w:rPr>
              <w:t xml:space="preserve">Izmaiņas, salīdzinot ar kārtējo </w:t>
            </w:r>
            <w:r w:rsidR="00DE1C03" w:rsidRPr="007A20CC">
              <w:rPr>
                <w:sz w:val="28"/>
                <w:szCs w:val="28"/>
              </w:rPr>
              <w:t>2011.</w:t>
            </w:r>
            <w:r w:rsidRPr="007A20CC">
              <w:rPr>
                <w:sz w:val="28"/>
                <w:szCs w:val="28"/>
              </w:rPr>
              <w:t xml:space="preserve"> gadu</w:t>
            </w:r>
          </w:p>
        </w:tc>
        <w:tc>
          <w:tcPr>
            <w:tcW w:w="1492" w:type="dxa"/>
            <w:vAlign w:val="center"/>
          </w:tcPr>
          <w:p w:rsidR="00DD7E36" w:rsidRPr="007A20CC" w:rsidRDefault="00DD7E36" w:rsidP="00DE1C03">
            <w:pPr>
              <w:pStyle w:val="naisf"/>
              <w:spacing w:before="0" w:after="0"/>
              <w:ind w:firstLine="0"/>
              <w:jc w:val="center"/>
              <w:rPr>
                <w:b/>
                <w:i/>
                <w:sz w:val="28"/>
                <w:szCs w:val="28"/>
              </w:rPr>
            </w:pPr>
            <w:r w:rsidRPr="007A20CC">
              <w:rPr>
                <w:sz w:val="28"/>
                <w:szCs w:val="28"/>
              </w:rPr>
              <w:t xml:space="preserve">Izmaiņas, salīdzinot ar kārtējo </w:t>
            </w:r>
            <w:r w:rsidR="00DE1C03" w:rsidRPr="007A20CC">
              <w:rPr>
                <w:sz w:val="28"/>
                <w:szCs w:val="28"/>
              </w:rPr>
              <w:t>2011.</w:t>
            </w:r>
            <w:r w:rsidRPr="007A20CC">
              <w:rPr>
                <w:sz w:val="28"/>
                <w:szCs w:val="28"/>
              </w:rPr>
              <w:t xml:space="preserve"> gadu</w:t>
            </w:r>
          </w:p>
        </w:tc>
      </w:tr>
      <w:tr w:rsidR="006442D4" w:rsidRPr="007A20CC" w:rsidTr="00DD7E36">
        <w:trPr>
          <w:tblCellSpacing w:w="20" w:type="dxa"/>
          <w:jc w:val="center"/>
        </w:trPr>
        <w:tc>
          <w:tcPr>
            <w:tcW w:w="2852" w:type="dxa"/>
            <w:vAlign w:val="center"/>
          </w:tcPr>
          <w:p w:rsidR="00DD7E36" w:rsidRPr="007A20CC" w:rsidRDefault="00DD7E36" w:rsidP="00DD7E36">
            <w:pPr>
              <w:pStyle w:val="naisf"/>
              <w:spacing w:before="0" w:after="0"/>
              <w:ind w:firstLine="0"/>
              <w:jc w:val="center"/>
              <w:rPr>
                <w:bCs/>
                <w:sz w:val="28"/>
                <w:szCs w:val="28"/>
              </w:rPr>
            </w:pPr>
            <w:r w:rsidRPr="007A20CC">
              <w:rPr>
                <w:bCs/>
                <w:sz w:val="28"/>
                <w:szCs w:val="28"/>
              </w:rPr>
              <w:t>1</w:t>
            </w:r>
          </w:p>
        </w:tc>
        <w:tc>
          <w:tcPr>
            <w:tcW w:w="1331" w:type="dxa"/>
            <w:vAlign w:val="center"/>
          </w:tcPr>
          <w:p w:rsidR="00DD7E36" w:rsidRPr="007A20CC" w:rsidRDefault="00DD7E36" w:rsidP="00DD7E36">
            <w:pPr>
              <w:pStyle w:val="naisf"/>
              <w:spacing w:before="0" w:after="0"/>
              <w:ind w:firstLine="0"/>
              <w:jc w:val="center"/>
              <w:rPr>
                <w:bCs/>
                <w:sz w:val="28"/>
                <w:szCs w:val="28"/>
              </w:rPr>
            </w:pPr>
            <w:r w:rsidRPr="007A20CC">
              <w:rPr>
                <w:bCs/>
                <w:sz w:val="28"/>
                <w:szCs w:val="28"/>
              </w:rPr>
              <w:t>2</w:t>
            </w:r>
          </w:p>
        </w:tc>
        <w:tc>
          <w:tcPr>
            <w:tcW w:w="1354" w:type="dxa"/>
            <w:vAlign w:val="center"/>
          </w:tcPr>
          <w:p w:rsidR="00DD7E36" w:rsidRPr="007A20CC" w:rsidRDefault="00DD7E36" w:rsidP="00DD7E36">
            <w:pPr>
              <w:pStyle w:val="naisf"/>
              <w:spacing w:before="0" w:after="0"/>
              <w:ind w:firstLine="0"/>
              <w:jc w:val="center"/>
              <w:rPr>
                <w:bCs/>
                <w:sz w:val="28"/>
                <w:szCs w:val="28"/>
              </w:rPr>
            </w:pPr>
            <w:r w:rsidRPr="007A20CC">
              <w:rPr>
                <w:bCs/>
                <w:sz w:val="28"/>
                <w:szCs w:val="28"/>
              </w:rPr>
              <w:t>3</w:t>
            </w:r>
          </w:p>
        </w:tc>
        <w:tc>
          <w:tcPr>
            <w:tcW w:w="1354" w:type="dxa"/>
            <w:vAlign w:val="center"/>
          </w:tcPr>
          <w:p w:rsidR="00DD7E36" w:rsidRPr="007A20CC" w:rsidRDefault="00DD7E36" w:rsidP="00DD7E36">
            <w:pPr>
              <w:pStyle w:val="naisf"/>
              <w:spacing w:before="0" w:after="0"/>
              <w:ind w:firstLine="0"/>
              <w:jc w:val="center"/>
              <w:rPr>
                <w:bCs/>
                <w:sz w:val="28"/>
                <w:szCs w:val="28"/>
              </w:rPr>
            </w:pPr>
            <w:r w:rsidRPr="007A20CC">
              <w:rPr>
                <w:bCs/>
                <w:sz w:val="28"/>
                <w:szCs w:val="28"/>
              </w:rPr>
              <w:t>4</w:t>
            </w:r>
          </w:p>
        </w:tc>
        <w:tc>
          <w:tcPr>
            <w:tcW w:w="1355" w:type="dxa"/>
            <w:vAlign w:val="center"/>
          </w:tcPr>
          <w:p w:rsidR="00DD7E36" w:rsidRPr="007A20CC" w:rsidRDefault="00DD7E36" w:rsidP="00DD7E36">
            <w:pPr>
              <w:pStyle w:val="naisf"/>
              <w:spacing w:before="0" w:after="0"/>
              <w:ind w:firstLine="0"/>
              <w:jc w:val="center"/>
              <w:rPr>
                <w:bCs/>
                <w:sz w:val="28"/>
                <w:szCs w:val="28"/>
              </w:rPr>
            </w:pPr>
            <w:r w:rsidRPr="007A20CC">
              <w:rPr>
                <w:bCs/>
                <w:sz w:val="28"/>
                <w:szCs w:val="28"/>
              </w:rPr>
              <w:t>5</w:t>
            </w:r>
          </w:p>
        </w:tc>
        <w:tc>
          <w:tcPr>
            <w:tcW w:w="1492" w:type="dxa"/>
            <w:vAlign w:val="center"/>
          </w:tcPr>
          <w:p w:rsidR="00DD7E36" w:rsidRPr="007A20CC" w:rsidRDefault="00DD7E36" w:rsidP="00DD7E36">
            <w:pPr>
              <w:pStyle w:val="naisf"/>
              <w:spacing w:before="0" w:after="0"/>
              <w:ind w:firstLine="0"/>
              <w:jc w:val="center"/>
              <w:rPr>
                <w:bCs/>
                <w:sz w:val="28"/>
                <w:szCs w:val="28"/>
              </w:rPr>
            </w:pPr>
            <w:r w:rsidRPr="007A20CC">
              <w:rPr>
                <w:bCs/>
                <w:sz w:val="28"/>
                <w:szCs w:val="28"/>
              </w:rPr>
              <w:t>6</w:t>
            </w:r>
          </w:p>
        </w:tc>
      </w:tr>
      <w:tr w:rsidR="006442D4" w:rsidRPr="007A20CC" w:rsidTr="00DD7E36">
        <w:trPr>
          <w:tblCellSpacing w:w="20" w:type="dxa"/>
          <w:jc w:val="center"/>
        </w:trPr>
        <w:tc>
          <w:tcPr>
            <w:tcW w:w="2852" w:type="dxa"/>
          </w:tcPr>
          <w:p w:rsidR="00DD7E36" w:rsidRPr="007A20CC" w:rsidRDefault="00DD7E36" w:rsidP="00DD7E36">
            <w:pPr>
              <w:pStyle w:val="naisf"/>
              <w:spacing w:before="0" w:after="0"/>
              <w:ind w:firstLine="0"/>
              <w:rPr>
                <w:i/>
                <w:sz w:val="28"/>
                <w:szCs w:val="28"/>
              </w:rPr>
            </w:pPr>
            <w:r w:rsidRPr="007A20CC">
              <w:rPr>
                <w:sz w:val="28"/>
                <w:szCs w:val="28"/>
              </w:rPr>
              <w:t>1. Budžeta ieņēmumi:</w:t>
            </w:r>
          </w:p>
        </w:tc>
        <w:tc>
          <w:tcPr>
            <w:tcW w:w="1331"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pStyle w:val="naisf"/>
              <w:spacing w:before="0" w:after="0"/>
              <w:ind w:firstLine="0"/>
              <w:rPr>
                <w:i/>
                <w:sz w:val="28"/>
                <w:szCs w:val="28"/>
              </w:rPr>
            </w:pPr>
            <w:r w:rsidRPr="007A20CC">
              <w:rPr>
                <w:sz w:val="28"/>
                <w:szCs w:val="28"/>
              </w:rPr>
              <w:t>1.1. valsts pamatbudžets, tai sk</w:t>
            </w:r>
            <w:r w:rsidR="00DE1C03" w:rsidRPr="007A20CC">
              <w:rPr>
                <w:sz w:val="28"/>
                <w:szCs w:val="28"/>
              </w:rPr>
              <w:t>aitā ieņēmumi no maksas pakalpo</w:t>
            </w:r>
            <w:r w:rsidRPr="007A20CC">
              <w:rPr>
                <w:sz w:val="28"/>
                <w:szCs w:val="28"/>
              </w:rPr>
              <w:t>jumiem un citi pašu ieņēmumi</w:t>
            </w:r>
          </w:p>
        </w:tc>
        <w:tc>
          <w:tcPr>
            <w:tcW w:w="1331"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pStyle w:val="naisf"/>
              <w:spacing w:before="0" w:after="0"/>
              <w:ind w:firstLine="0"/>
              <w:rPr>
                <w:i/>
                <w:sz w:val="28"/>
                <w:szCs w:val="28"/>
              </w:rPr>
            </w:pPr>
            <w:r w:rsidRPr="007A20CC">
              <w:rPr>
                <w:sz w:val="28"/>
                <w:szCs w:val="28"/>
              </w:rPr>
              <w:t>1.2. valsts speciālais budžets</w:t>
            </w:r>
          </w:p>
        </w:tc>
        <w:tc>
          <w:tcPr>
            <w:tcW w:w="1331"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pStyle w:val="naisf"/>
              <w:spacing w:before="0" w:after="0"/>
              <w:ind w:firstLine="0"/>
              <w:rPr>
                <w:i/>
                <w:sz w:val="28"/>
                <w:szCs w:val="28"/>
              </w:rPr>
            </w:pPr>
            <w:r w:rsidRPr="007A20CC">
              <w:rPr>
                <w:sz w:val="28"/>
                <w:szCs w:val="28"/>
              </w:rPr>
              <w:t>1.3. pašvaldību budžets</w:t>
            </w:r>
          </w:p>
        </w:tc>
        <w:tc>
          <w:tcPr>
            <w:tcW w:w="1331"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2. Budžeta izdevumi:</w:t>
            </w:r>
          </w:p>
        </w:tc>
        <w:tc>
          <w:tcPr>
            <w:tcW w:w="1331"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B7635B" w:rsidP="00DD7E36">
            <w:pPr>
              <w:pStyle w:val="naisf"/>
              <w:spacing w:before="0" w:after="0"/>
              <w:ind w:firstLine="0"/>
              <w:rPr>
                <w:sz w:val="28"/>
                <w:szCs w:val="28"/>
              </w:rPr>
            </w:pPr>
            <w:r>
              <w:rPr>
                <w:sz w:val="28"/>
                <w:szCs w:val="28"/>
              </w:rPr>
              <w:t>192,9</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 xml:space="preserve">2.1. valsts </w:t>
            </w:r>
            <w:r w:rsidRPr="007A20CC">
              <w:rPr>
                <w:rFonts w:ascii="Times New Roman" w:hAnsi="Times New Roman"/>
                <w:sz w:val="28"/>
                <w:szCs w:val="28"/>
              </w:rPr>
              <w:lastRenderedPageBreak/>
              <w:t>pamatbudžets</w:t>
            </w:r>
          </w:p>
        </w:tc>
        <w:tc>
          <w:tcPr>
            <w:tcW w:w="1331" w:type="dxa"/>
          </w:tcPr>
          <w:p w:rsidR="00DD7E36" w:rsidRPr="007A20CC" w:rsidRDefault="00DE1C03" w:rsidP="00DD7E36">
            <w:pPr>
              <w:pStyle w:val="naisf"/>
              <w:spacing w:before="0" w:after="0"/>
              <w:ind w:firstLine="0"/>
              <w:rPr>
                <w:sz w:val="28"/>
                <w:szCs w:val="28"/>
              </w:rPr>
            </w:pPr>
            <w:r w:rsidRPr="007A20CC">
              <w:rPr>
                <w:sz w:val="28"/>
                <w:szCs w:val="28"/>
              </w:rPr>
              <w:lastRenderedPageBreak/>
              <w:t>0</w:t>
            </w:r>
          </w:p>
        </w:tc>
        <w:tc>
          <w:tcPr>
            <w:tcW w:w="1354" w:type="dxa"/>
          </w:tcPr>
          <w:p w:rsidR="00DD7E36" w:rsidRPr="007A20CC" w:rsidRDefault="00B7635B" w:rsidP="00DD7E36">
            <w:pPr>
              <w:pStyle w:val="naisf"/>
              <w:spacing w:before="0" w:after="0"/>
              <w:ind w:firstLine="0"/>
              <w:rPr>
                <w:sz w:val="28"/>
                <w:szCs w:val="28"/>
              </w:rPr>
            </w:pPr>
            <w:r>
              <w:rPr>
                <w:sz w:val="28"/>
                <w:szCs w:val="28"/>
              </w:rPr>
              <w:t>192,9</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lastRenderedPageBreak/>
              <w:t>2.2. valsts speciālais budžets</w:t>
            </w:r>
          </w:p>
        </w:tc>
        <w:tc>
          <w:tcPr>
            <w:tcW w:w="1331"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 xml:space="preserve">2.3. pašvaldību budžets </w:t>
            </w:r>
          </w:p>
        </w:tc>
        <w:tc>
          <w:tcPr>
            <w:tcW w:w="1331"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0</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3. Finansiālā ietekme:</w:t>
            </w:r>
          </w:p>
        </w:tc>
        <w:tc>
          <w:tcPr>
            <w:tcW w:w="1331" w:type="dxa"/>
            <w:shd w:val="clear" w:color="auto" w:fill="auto"/>
            <w:vAlign w:val="center"/>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 xml:space="preserve">- </w:t>
            </w:r>
            <w:r w:rsidR="00B7635B">
              <w:rPr>
                <w:sz w:val="28"/>
                <w:szCs w:val="28"/>
              </w:rPr>
              <w:t>192,9</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3.1. valsts pamatbudžets</w:t>
            </w:r>
          </w:p>
        </w:tc>
        <w:tc>
          <w:tcPr>
            <w:tcW w:w="1331" w:type="dxa"/>
            <w:shd w:val="clear" w:color="auto" w:fill="auto"/>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 xml:space="preserve">- </w:t>
            </w:r>
            <w:r w:rsidR="00B7635B">
              <w:rPr>
                <w:sz w:val="28"/>
                <w:szCs w:val="28"/>
              </w:rPr>
              <w:t>192,9</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3.2. speciālais budžets</w:t>
            </w:r>
          </w:p>
        </w:tc>
        <w:tc>
          <w:tcPr>
            <w:tcW w:w="1331" w:type="dxa"/>
            <w:shd w:val="clear" w:color="auto" w:fill="auto"/>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0</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 xml:space="preserve">3.3. pašvaldību budžets </w:t>
            </w:r>
          </w:p>
        </w:tc>
        <w:tc>
          <w:tcPr>
            <w:tcW w:w="1331" w:type="dxa"/>
            <w:shd w:val="clear" w:color="auto" w:fill="auto"/>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0</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vMerge w:val="restart"/>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4. Finanšu līdzekļi papildu izdevumu finansēšanai (kompensējošu izdevumu samazinājumu norāda ar "+" zīmi)</w:t>
            </w:r>
          </w:p>
        </w:tc>
        <w:tc>
          <w:tcPr>
            <w:tcW w:w="1331" w:type="dxa"/>
            <w:vMerge w:val="restart"/>
          </w:tcPr>
          <w:p w:rsidR="00DD7E36" w:rsidRPr="007A20CC" w:rsidRDefault="00DD7E36" w:rsidP="00DD7E36">
            <w:pPr>
              <w:pStyle w:val="naisf"/>
              <w:spacing w:before="0" w:after="0"/>
              <w:ind w:firstLine="0"/>
              <w:jc w:val="center"/>
              <w:rPr>
                <w:sz w:val="28"/>
                <w:szCs w:val="28"/>
              </w:rPr>
            </w:pPr>
            <w:r w:rsidRPr="007A20CC">
              <w:rPr>
                <w:sz w:val="28"/>
                <w:szCs w:val="28"/>
              </w:rPr>
              <w:t>X</w:t>
            </w:r>
          </w:p>
        </w:tc>
        <w:tc>
          <w:tcPr>
            <w:tcW w:w="1354" w:type="dxa"/>
          </w:tcPr>
          <w:p w:rsidR="00DD7E36" w:rsidRPr="00C5043D" w:rsidRDefault="00DE1C03" w:rsidP="00DD7E36">
            <w:pPr>
              <w:pStyle w:val="naisf"/>
              <w:spacing w:before="0" w:after="0"/>
              <w:ind w:firstLine="0"/>
              <w:jc w:val="left"/>
              <w:rPr>
                <w:sz w:val="28"/>
                <w:szCs w:val="28"/>
              </w:rPr>
            </w:pPr>
            <w:r w:rsidRPr="00C5043D">
              <w:rPr>
                <w:sz w:val="28"/>
                <w:szCs w:val="28"/>
              </w:rPr>
              <w:t>0</w:t>
            </w:r>
          </w:p>
        </w:tc>
        <w:tc>
          <w:tcPr>
            <w:tcW w:w="1354" w:type="dxa"/>
          </w:tcPr>
          <w:p w:rsidR="00DD7E36" w:rsidRPr="00C5043D" w:rsidRDefault="00DE1C03" w:rsidP="00DD7E36">
            <w:pPr>
              <w:pStyle w:val="naisf"/>
              <w:spacing w:before="0" w:after="0"/>
              <w:ind w:firstLine="0"/>
              <w:jc w:val="left"/>
              <w:rPr>
                <w:sz w:val="28"/>
                <w:szCs w:val="28"/>
              </w:rPr>
            </w:pPr>
            <w:r w:rsidRPr="00C5043D">
              <w:rPr>
                <w:sz w:val="28"/>
                <w:szCs w:val="28"/>
              </w:rPr>
              <w:t>0</w:t>
            </w:r>
          </w:p>
        </w:tc>
        <w:tc>
          <w:tcPr>
            <w:tcW w:w="1355" w:type="dxa"/>
          </w:tcPr>
          <w:p w:rsidR="00DD7E36" w:rsidRPr="007A20CC" w:rsidRDefault="00DE1C03" w:rsidP="00DD7E36">
            <w:pPr>
              <w:pStyle w:val="naisf"/>
              <w:spacing w:before="0" w:after="0"/>
              <w:ind w:firstLine="0"/>
              <w:jc w:val="left"/>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jc w:val="left"/>
              <w:rPr>
                <w:sz w:val="28"/>
                <w:szCs w:val="28"/>
              </w:rPr>
            </w:pPr>
            <w:r w:rsidRPr="007A20CC">
              <w:rPr>
                <w:sz w:val="28"/>
                <w:szCs w:val="28"/>
              </w:rPr>
              <w:t>0</w:t>
            </w:r>
          </w:p>
        </w:tc>
      </w:tr>
      <w:tr w:rsidR="006442D4" w:rsidRPr="007A20CC" w:rsidTr="00DD7E36">
        <w:trPr>
          <w:tblCellSpacing w:w="20" w:type="dxa"/>
          <w:jc w:val="center"/>
        </w:trPr>
        <w:tc>
          <w:tcPr>
            <w:tcW w:w="2852" w:type="dxa"/>
            <w:vMerge/>
          </w:tcPr>
          <w:p w:rsidR="00DD7E36" w:rsidRPr="007A20CC" w:rsidRDefault="00DD7E36" w:rsidP="00DD7E36">
            <w:pPr>
              <w:jc w:val="both"/>
              <w:rPr>
                <w:rFonts w:ascii="Times New Roman" w:hAnsi="Times New Roman"/>
                <w:sz w:val="28"/>
                <w:szCs w:val="28"/>
              </w:rPr>
            </w:pPr>
          </w:p>
        </w:tc>
        <w:tc>
          <w:tcPr>
            <w:tcW w:w="1331" w:type="dxa"/>
            <w:vMerge/>
          </w:tcPr>
          <w:p w:rsidR="00DD7E36" w:rsidRPr="007A20CC" w:rsidRDefault="00DD7E36" w:rsidP="00DD7E36">
            <w:pPr>
              <w:pStyle w:val="naisf"/>
              <w:spacing w:before="0" w:after="0"/>
              <w:ind w:firstLine="0"/>
              <w:jc w:val="center"/>
              <w:rPr>
                <w:sz w:val="28"/>
                <w:szCs w:val="28"/>
              </w:rPr>
            </w:pPr>
          </w:p>
        </w:tc>
        <w:tc>
          <w:tcPr>
            <w:tcW w:w="1354" w:type="dxa"/>
          </w:tcPr>
          <w:p w:rsidR="00DD7E36" w:rsidRPr="00C5043D" w:rsidRDefault="00DE1C03" w:rsidP="00DD7E36">
            <w:pPr>
              <w:pStyle w:val="naisf"/>
              <w:spacing w:before="0" w:after="0"/>
              <w:ind w:firstLine="0"/>
              <w:jc w:val="left"/>
              <w:rPr>
                <w:sz w:val="28"/>
                <w:szCs w:val="28"/>
              </w:rPr>
            </w:pPr>
            <w:r w:rsidRPr="00C5043D">
              <w:rPr>
                <w:sz w:val="28"/>
                <w:szCs w:val="28"/>
              </w:rPr>
              <w:t>0</w:t>
            </w:r>
          </w:p>
        </w:tc>
        <w:tc>
          <w:tcPr>
            <w:tcW w:w="1354" w:type="dxa"/>
          </w:tcPr>
          <w:p w:rsidR="00DD7E36" w:rsidRPr="00C5043D" w:rsidRDefault="00DE1C03" w:rsidP="00DD7E36">
            <w:pPr>
              <w:pStyle w:val="naisf"/>
              <w:spacing w:before="0" w:after="0"/>
              <w:ind w:firstLine="0"/>
              <w:jc w:val="left"/>
              <w:rPr>
                <w:sz w:val="28"/>
                <w:szCs w:val="28"/>
              </w:rPr>
            </w:pPr>
            <w:r w:rsidRPr="00C5043D">
              <w:rPr>
                <w:sz w:val="28"/>
                <w:szCs w:val="28"/>
              </w:rPr>
              <w:t>0</w:t>
            </w:r>
          </w:p>
        </w:tc>
        <w:tc>
          <w:tcPr>
            <w:tcW w:w="1355" w:type="dxa"/>
          </w:tcPr>
          <w:p w:rsidR="00DD7E36" w:rsidRPr="007A20CC" w:rsidRDefault="00DE1C03" w:rsidP="00DD7E36">
            <w:pPr>
              <w:pStyle w:val="naisf"/>
              <w:spacing w:before="0" w:after="0"/>
              <w:ind w:firstLine="0"/>
              <w:jc w:val="left"/>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jc w:val="left"/>
              <w:rPr>
                <w:sz w:val="28"/>
                <w:szCs w:val="28"/>
              </w:rPr>
            </w:pPr>
            <w:r w:rsidRPr="007A20CC">
              <w:rPr>
                <w:sz w:val="28"/>
                <w:szCs w:val="28"/>
              </w:rPr>
              <w:t>0</w:t>
            </w:r>
          </w:p>
        </w:tc>
      </w:tr>
      <w:tr w:rsidR="006442D4" w:rsidRPr="007A20CC" w:rsidTr="00DD7E36">
        <w:trPr>
          <w:tblCellSpacing w:w="20" w:type="dxa"/>
          <w:jc w:val="center"/>
        </w:trPr>
        <w:tc>
          <w:tcPr>
            <w:tcW w:w="2852" w:type="dxa"/>
            <w:vMerge/>
          </w:tcPr>
          <w:p w:rsidR="00DD7E36" w:rsidRPr="007A20CC" w:rsidRDefault="00DD7E36" w:rsidP="00DD7E36">
            <w:pPr>
              <w:jc w:val="both"/>
              <w:rPr>
                <w:rFonts w:ascii="Times New Roman" w:hAnsi="Times New Roman"/>
                <w:sz w:val="28"/>
                <w:szCs w:val="28"/>
              </w:rPr>
            </w:pPr>
          </w:p>
        </w:tc>
        <w:tc>
          <w:tcPr>
            <w:tcW w:w="1331" w:type="dxa"/>
            <w:vMerge/>
          </w:tcPr>
          <w:p w:rsidR="00DD7E36" w:rsidRPr="007A20CC" w:rsidRDefault="00DD7E36" w:rsidP="00DD7E36">
            <w:pPr>
              <w:pStyle w:val="naisf"/>
              <w:spacing w:before="0" w:after="0"/>
              <w:ind w:firstLine="0"/>
              <w:jc w:val="center"/>
              <w:rPr>
                <w:sz w:val="28"/>
                <w:szCs w:val="28"/>
              </w:rPr>
            </w:pPr>
          </w:p>
        </w:tc>
        <w:tc>
          <w:tcPr>
            <w:tcW w:w="1354" w:type="dxa"/>
          </w:tcPr>
          <w:p w:rsidR="00DD7E36" w:rsidRPr="00C5043D" w:rsidRDefault="00DE1C03" w:rsidP="00DD7E36">
            <w:pPr>
              <w:pStyle w:val="naisf"/>
              <w:spacing w:before="0" w:after="0"/>
              <w:ind w:firstLine="0"/>
              <w:jc w:val="left"/>
              <w:rPr>
                <w:sz w:val="28"/>
                <w:szCs w:val="28"/>
              </w:rPr>
            </w:pPr>
            <w:r w:rsidRPr="00C5043D">
              <w:rPr>
                <w:sz w:val="28"/>
                <w:szCs w:val="28"/>
              </w:rPr>
              <w:t>0</w:t>
            </w:r>
          </w:p>
        </w:tc>
        <w:tc>
          <w:tcPr>
            <w:tcW w:w="1354" w:type="dxa"/>
          </w:tcPr>
          <w:p w:rsidR="00DD7E36" w:rsidRPr="00C5043D" w:rsidRDefault="00DE1C03" w:rsidP="00DD7E36">
            <w:pPr>
              <w:pStyle w:val="naisf"/>
              <w:spacing w:before="0" w:after="0"/>
              <w:ind w:firstLine="0"/>
              <w:jc w:val="left"/>
              <w:rPr>
                <w:sz w:val="28"/>
                <w:szCs w:val="28"/>
              </w:rPr>
            </w:pPr>
            <w:r w:rsidRPr="00C5043D">
              <w:rPr>
                <w:sz w:val="28"/>
                <w:szCs w:val="28"/>
              </w:rPr>
              <w:t>0</w:t>
            </w:r>
          </w:p>
        </w:tc>
        <w:tc>
          <w:tcPr>
            <w:tcW w:w="1355" w:type="dxa"/>
          </w:tcPr>
          <w:p w:rsidR="00DD7E36" w:rsidRPr="007A20CC" w:rsidRDefault="00DE1C03" w:rsidP="00DD7E36">
            <w:pPr>
              <w:pStyle w:val="naisf"/>
              <w:spacing w:before="0" w:after="0"/>
              <w:ind w:firstLine="0"/>
              <w:jc w:val="left"/>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jc w:val="left"/>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5. Precizēta finansiālā ietekme:</w:t>
            </w:r>
          </w:p>
        </w:tc>
        <w:tc>
          <w:tcPr>
            <w:tcW w:w="1331" w:type="dxa"/>
            <w:vMerge w:val="restart"/>
          </w:tcPr>
          <w:p w:rsidR="00DD7E36" w:rsidRPr="007A20CC" w:rsidRDefault="00DD7E36" w:rsidP="00DD7E36">
            <w:pPr>
              <w:pStyle w:val="naisf"/>
              <w:spacing w:before="0" w:after="0"/>
              <w:ind w:firstLine="0"/>
              <w:jc w:val="center"/>
              <w:rPr>
                <w:sz w:val="28"/>
                <w:szCs w:val="28"/>
              </w:rPr>
            </w:pPr>
            <w:r w:rsidRPr="007A20CC">
              <w:rPr>
                <w:sz w:val="28"/>
                <w:szCs w:val="28"/>
              </w:rPr>
              <w:t>X</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 xml:space="preserve">- </w:t>
            </w:r>
            <w:r w:rsidR="00B7635B">
              <w:rPr>
                <w:sz w:val="28"/>
                <w:szCs w:val="28"/>
              </w:rPr>
              <w:t>192,9</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5.1. valsts pamatbudžets</w:t>
            </w:r>
          </w:p>
        </w:tc>
        <w:tc>
          <w:tcPr>
            <w:tcW w:w="1331" w:type="dxa"/>
            <w:vMerge/>
            <w:vAlign w:val="center"/>
          </w:tcPr>
          <w:p w:rsidR="00DD7E36" w:rsidRPr="007A20CC" w:rsidRDefault="00DD7E36" w:rsidP="00DD7E36">
            <w:pPr>
              <w:pStyle w:val="naisf"/>
              <w:spacing w:before="0" w:after="0"/>
              <w:ind w:firstLine="0"/>
              <w:jc w:val="center"/>
              <w:rPr>
                <w:sz w:val="28"/>
                <w:szCs w:val="28"/>
              </w:rPr>
            </w:pPr>
          </w:p>
        </w:tc>
        <w:tc>
          <w:tcPr>
            <w:tcW w:w="1354" w:type="dxa"/>
          </w:tcPr>
          <w:p w:rsidR="00DD7E36" w:rsidRPr="00C5043D" w:rsidRDefault="00DE1C03" w:rsidP="00DD7E36">
            <w:pPr>
              <w:pStyle w:val="naisf"/>
              <w:spacing w:before="0" w:after="0"/>
              <w:ind w:firstLine="0"/>
              <w:rPr>
                <w:sz w:val="28"/>
                <w:szCs w:val="28"/>
              </w:rPr>
            </w:pPr>
            <w:r w:rsidRPr="00C5043D">
              <w:rPr>
                <w:sz w:val="28"/>
                <w:szCs w:val="28"/>
              </w:rPr>
              <w:t xml:space="preserve">- </w:t>
            </w:r>
            <w:r w:rsidR="00B7635B">
              <w:rPr>
                <w:sz w:val="28"/>
                <w:szCs w:val="28"/>
              </w:rPr>
              <w:t>192,9</w:t>
            </w:r>
          </w:p>
        </w:tc>
        <w:tc>
          <w:tcPr>
            <w:tcW w:w="1354" w:type="dxa"/>
          </w:tcPr>
          <w:p w:rsidR="00DD7E36" w:rsidRPr="00C5043D" w:rsidRDefault="00DE1C03" w:rsidP="00DD7E36">
            <w:pPr>
              <w:pStyle w:val="naisf"/>
              <w:spacing w:before="0" w:after="0"/>
              <w:ind w:firstLine="0"/>
              <w:rPr>
                <w:sz w:val="28"/>
                <w:szCs w:val="28"/>
              </w:rPr>
            </w:pPr>
            <w:r w:rsidRPr="00C5043D">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5.2. speciālais budžets</w:t>
            </w:r>
          </w:p>
        </w:tc>
        <w:tc>
          <w:tcPr>
            <w:tcW w:w="1331" w:type="dxa"/>
            <w:vMerge/>
            <w:vAlign w:val="center"/>
          </w:tcPr>
          <w:p w:rsidR="00DD7E36" w:rsidRPr="007A20CC" w:rsidRDefault="00DD7E36" w:rsidP="00DD7E36">
            <w:pPr>
              <w:pStyle w:val="naisf"/>
              <w:spacing w:before="0" w:after="0"/>
              <w:ind w:firstLine="0"/>
              <w:jc w:val="center"/>
              <w:rPr>
                <w:sz w:val="28"/>
                <w:szCs w:val="28"/>
              </w:rPr>
            </w:pP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6442D4"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 xml:space="preserve">5.3. pašvaldību budžets </w:t>
            </w:r>
          </w:p>
        </w:tc>
        <w:tc>
          <w:tcPr>
            <w:tcW w:w="1331" w:type="dxa"/>
            <w:vMerge/>
            <w:vAlign w:val="center"/>
          </w:tcPr>
          <w:p w:rsidR="00DD7E36" w:rsidRPr="007A20CC" w:rsidRDefault="00DD7E36" w:rsidP="00DD7E36">
            <w:pPr>
              <w:pStyle w:val="naisf"/>
              <w:spacing w:before="0" w:after="0"/>
              <w:ind w:firstLine="0"/>
              <w:jc w:val="center"/>
              <w:rPr>
                <w:sz w:val="28"/>
                <w:szCs w:val="28"/>
              </w:rPr>
            </w:pP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4"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355" w:type="dxa"/>
          </w:tcPr>
          <w:p w:rsidR="00DD7E36" w:rsidRPr="007A20CC" w:rsidRDefault="00DE1C03" w:rsidP="00DD7E36">
            <w:pPr>
              <w:pStyle w:val="naisf"/>
              <w:spacing w:before="0" w:after="0"/>
              <w:ind w:firstLine="0"/>
              <w:rPr>
                <w:sz w:val="28"/>
                <w:szCs w:val="28"/>
              </w:rPr>
            </w:pPr>
            <w:r w:rsidRPr="007A20CC">
              <w:rPr>
                <w:sz w:val="28"/>
                <w:szCs w:val="28"/>
              </w:rPr>
              <w:t>0</w:t>
            </w:r>
          </w:p>
        </w:tc>
        <w:tc>
          <w:tcPr>
            <w:tcW w:w="1492" w:type="dxa"/>
          </w:tcPr>
          <w:p w:rsidR="00DD7E36" w:rsidRPr="007A20CC" w:rsidRDefault="00DE1C03" w:rsidP="00DD7E36">
            <w:pPr>
              <w:pStyle w:val="naisf"/>
              <w:spacing w:before="0" w:after="0"/>
              <w:ind w:firstLine="0"/>
              <w:rPr>
                <w:sz w:val="28"/>
                <w:szCs w:val="28"/>
              </w:rPr>
            </w:pPr>
            <w:r w:rsidRPr="007A20CC">
              <w:rPr>
                <w:sz w:val="28"/>
                <w:szCs w:val="28"/>
              </w:rPr>
              <w:t>0</w:t>
            </w:r>
          </w:p>
        </w:tc>
      </w:tr>
      <w:tr w:rsidR="00DD7E36" w:rsidRPr="007A20CC" w:rsidTr="00DE1C03">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 xml:space="preserve">6. Detalizēts </w:t>
            </w:r>
            <w:r w:rsidRPr="007A20CC">
              <w:rPr>
                <w:rFonts w:ascii="Times New Roman" w:hAnsi="Times New Roman"/>
                <w:sz w:val="28"/>
                <w:szCs w:val="28"/>
              </w:rPr>
              <w:lastRenderedPageBreak/>
              <w:t>ieņēmumu un izdevumu aprēķins (ja nepieciešams, detalizētu ieņēmumu un izdevumu aprēķinu var pievienot anotācijas pielikumā):</w:t>
            </w:r>
          </w:p>
        </w:tc>
        <w:tc>
          <w:tcPr>
            <w:tcW w:w="6886" w:type="dxa"/>
            <w:gridSpan w:val="5"/>
            <w:vMerge w:val="restart"/>
          </w:tcPr>
          <w:p w:rsidR="00767995" w:rsidRDefault="007A20CC" w:rsidP="007A20CC">
            <w:pPr>
              <w:pStyle w:val="naisf"/>
              <w:spacing w:before="0" w:after="0"/>
              <w:ind w:firstLine="0"/>
              <w:rPr>
                <w:sz w:val="28"/>
                <w:szCs w:val="28"/>
              </w:rPr>
            </w:pPr>
            <w:r w:rsidRPr="007A20CC">
              <w:rPr>
                <w:sz w:val="28"/>
                <w:szCs w:val="28"/>
              </w:rPr>
              <w:lastRenderedPageBreak/>
              <w:t xml:space="preserve">Maksa par pieslēgumu </w:t>
            </w:r>
            <w:r w:rsidR="00767995">
              <w:rPr>
                <w:sz w:val="28"/>
                <w:szCs w:val="28"/>
              </w:rPr>
              <w:t>GEANT</w:t>
            </w:r>
            <w:r w:rsidRPr="007A20CC">
              <w:rPr>
                <w:sz w:val="28"/>
                <w:szCs w:val="28"/>
              </w:rPr>
              <w:t xml:space="preserve"> no 2011.gada 1.jūlija </w:t>
            </w:r>
            <w:r w:rsidR="00767995">
              <w:rPr>
                <w:sz w:val="28"/>
                <w:szCs w:val="28"/>
              </w:rPr>
              <w:t xml:space="preserve">līdz </w:t>
            </w:r>
            <w:r w:rsidR="00767995">
              <w:rPr>
                <w:sz w:val="28"/>
                <w:szCs w:val="28"/>
              </w:rPr>
              <w:lastRenderedPageBreak/>
              <w:t xml:space="preserve">2012.gada 31.decembrim: </w:t>
            </w:r>
            <w:r w:rsidR="00767995" w:rsidRPr="00767995">
              <w:rPr>
                <w:b/>
                <w:sz w:val="28"/>
                <w:szCs w:val="28"/>
              </w:rPr>
              <w:t>448`500 EUR</w:t>
            </w:r>
            <w:r w:rsidR="00767995">
              <w:rPr>
                <w:sz w:val="28"/>
                <w:szCs w:val="28"/>
              </w:rPr>
              <w:t xml:space="preserve">. Eiropas Komisija </w:t>
            </w:r>
            <w:proofErr w:type="spellStart"/>
            <w:r w:rsidR="00767995">
              <w:rPr>
                <w:sz w:val="28"/>
                <w:szCs w:val="28"/>
              </w:rPr>
              <w:t>līdzfinansē</w:t>
            </w:r>
            <w:proofErr w:type="spellEnd"/>
            <w:r w:rsidR="00767995">
              <w:rPr>
                <w:sz w:val="28"/>
                <w:szCs w:val="28"/>
              </w:rPr>
              <w:t xml:space="preserve"> 43% no GEANT pieslēguma maksas jeb </w:t>
            </w:r>
            <w:r w:rsidR="00767995" w:rsidRPr="00767995">
              <w:rPr>
                <w:b/>
                <w:sz w:val="28"/>
                <w:szCs w:val="28"/>
              </w:rPr>
              <w:t>192`855 EUR</w:t>
            </w:r>
            <w:r w:rsidR="00767995">
              <w:rPr>
                <w:sz w:val="28"/>
                <w:szCs w:val="28"/>
              </w:rPr>
              <w:t xml:space="preserve">. Latvijai nepieciešams segt 57% no GEANT pieslēguma maksas jeb </w:t>
            </w:r>
            <w:r w:rsidR="00767995" w:rsidRPr="00767995">
              <w:rPr>
                <w:b/>
                <w:sz w:val="28"/>
                <w:szCs w:val="28"/>
              </w:rPr>
              <w:t>255`645 EUR</w:t>
            </w:r>
            <w:r w:rsidR="00767995">
              <w:rPr>
                <w:sz w:val="28"/>
                <w:szCs w:val="28"/>
              </w:rPr>
              <w:t>.</w:t>
            </w:r>
          </w:p>
          <w:p w:rsidR="00767995" w:rsidRDefault="00767995" w:rsidP="007A20CC">
            <w:pPr>
              <w:pStyle w:val="naisf"/>
              <w:spacing w:before="0" w:after="0"/>
              <w:ind w:firstLine="0"/>
              <w:rPr>
                <w:sz w:val="28"/>
                <w:szCs w:val="28"/>
              </w:rPr>
            </w:pPr>
          </w:p>
          <w:p w:rsidR="00767995" w:rsidRDefault="00767995" w:rsidP="007A20CC">
            <w:pPr>
              <w:pStyle w:val="naisf"/>
              <w:spacing w:before="0" w:after="0"/>
              <w:ind w:firstLine="0"/>
              <w:rPr>
                <w:sz w:val="28"/>
                <w:szCs w:val="28"/>
              </w:rPr>
            </w:pPr>
            <w:r>
              <w:rPr>
                <w:sz w:val="28"/>
                <w:szCs w:val="28"/>
              </w:rPr>
              <w:t xml:space="preserve">Maksa par DWS pieslēgumu no 2011.gada 1.jūlija līdz 2012.gada 31.decembrim: </w:t>
            </w:r>
            <w:r w:rsidRPr="00767995">
              <w:rPr>
                <w:b/>
                <w:sz w:val="28"/>
                <w:szCs w:val="28"/>
              </w:rPr>
              <w:t>18`757.50 EUR</w:t>
            </w:r>
            <w:r>
              <w:rPr>
                <w:sz w:val="28"/>
                <w:szCs w:val="28"/>
              </w:rPr>
              <w:t xml:space="preserve">, kurus Latvija apmaksā pilnā apmērā. </w:t>
            </w:r>
          </w:p>
          <w:p w:rsidR="005A491C" w:rsidRDefault="005A491C" w:rsidP="007A20CC">
            <w:pPr>
              <w:pStyle w:val="naisf"/>
              <w:spacing w:before="0" w:after="0"/>
              <w:ind w:firstLine="0"/>
              <w:rPr>
                <w:sz w:val="28"/>
                <w:szCs w:val="28"/>
              </w:rPr>
            </w:pPr>
          </w:p>
          <w:p w:rsidR="00C5043D" w:rsidRPr="007A20CC" w:rsidRDefault="00767995" w:rsidP="007A20CC">
            <w:pPr>
              <w:pStyle w:val="naisf"/>
              <w:spacing w:before="0" w:after="0"/>
              <w:ind w:firstLine="0"/>
              <w:rPr>
                <w:sz w:val="28"/>
                <w:szCs w:val="28"/>
              </w:rPr>
            </w:pPr>
            <w:r>
              <w:rPr>
                <w:sz w:val="28"/>
                <w:szCs w:val="28"/>
              </w:rPr>
              <w:t xml:space="preserve">Kopā par pieslēgumu GEANT un DWS no 2011.gada 1.jūlija līdz 2012.gada 31.decembrim Latvijai jāapmaksā </w:t>
            </w:r>
            <w:r w:rsidRPr="00767995">
              <w:rPr>
                <w:b/>
                <w:sz w:val="28"/>
                <w:szCs w:val="28"/>
              </w:rPr>
              <w:t>274`402,50 EUR</w:t>
            </w:r>
            <w:r>
              <w:rPr>
                <w:sz w:val="28"/>
                <w:szCs w:val="28"/>
              </w:rPr>
              <w:t xml:space="preserve"> jeb </w:t>
            </w:r>
            <w:r w:rsidR="00640726">
              <w:rPr>
                <w:b/>
                <w:sz w:val="28"/>
                <w:szCs w:val="28"/>
                <w:u w:val="single"/>
              </w:rPr>
              <w:t>192`851.00</w:t>
            </w:r>
            <w:r w:rsidRPr="00767995">
              <w:rPr>
                <w:b/>
                <w:sz w:val="28"/>
                <w:szCs w:val="28"/>
                <w:u w:val="single"/>
              </w:rPr>
              <w:t xml:space="preserve"> LVL</w:t>
            </w:r>
            <w:r>
              <w:rPr>
                <w:sz w:val="28"/>
                <w:szCs w:val="28"/>
              </w:rPr>
              <w:t xml:space="preserve"> (pēc </w:t>
            </w:r>
            <w:r w:rsidRPr="00C5043D">
              <w:rPr>
                <w:sz w:val="28"/>
                <w:szCs w:val="28"/>
              </w:rPr>
              <w:t xml:space="preserve">Latvijas Bankas </w:t>
            </w:r>
            <w:r>
              <w:rPr>
                <w:sz w:val="28"/>
                <w:szCs w:val="28"/>
              </w:rPr>
              <w:t>noteiktā</w:t>
            </w:r>
            <w:r w:rsidRPr="00C5043D">
              <w:rPr>
                <w:sz w:val="28"/>
                <w:szCs w:val="28"/>
              </w:rPr>
              <w:t xml:space="preserve"> kursa 1 EUR=0.</w:t>
            </w:r>
            <w:r w:rsidR="00640726" w:rsidRPr="004C6BDA">
              <w:rPr>
                <w:bCs/>
                <w:sz w:val="28"/>
                <w:szCs w:val="28"/>
              </w:rPr>
              <w:t xml:space="preserve"> 702804</w:t>
            </w:r>
            <w:r w:rsidRPr="00C5043D">
              <w:rPr>
                <w:sz w:val="28"/>
                <w:szCs w:val="28"/>
              </w:rPr>
              <w:t xml:space="preserve"> LVL</w:t>
            </w:r>
            <w:r>
              <w:rPr>
                <w:sz w:val="28"/>
                <w:szCs w:val="28"/>
              </w:rPr>
              <w:t xml:space="preserve"> ).</w:t>
            </w:r>
          </w:p>
        </w:tc>
      </w:tr>
      <w:tr w:rsidR="00DD7E36"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lastRenderedPageBreak/>
              <w:t>6.1. detalizēts ieņēmumu aprēķins</w:t>
            </w:r>
          </w:p>
        </w:tc>
        <w:tc>
          <w:tcPr>
            <w:tcW w:w="6886" w:type="dxa"/>
            <w:gridSpan w:val="5"/>
            <w:vMerge/>
          </w:tcPr>
          <w:p w:rsidR="00DD7E36" w:rsidRPr="007A20CC" w:rsidRDefault="00DD7E36" w:rsidP="00DD7E36">
            <w:pPr>
              <w:pStyle w:val="naisf"/>
              <w:spacing w:before="0" w:after="0"/>
              <w:ind w:firstLine="0"/>
              <w:rPr>
                <w:b/>
                <w:i/>
                <w:sz w:val="28"/>
                <w:szCs w:val="28"/>
              </w:rPr>
            </w:pPr>
          </w:p>
        </w:tc>
      </w:tr>
      <w:tr w:rsidR="00DD7E36"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6.2. detalizēts izdevumu aprēķins</w:t>
            </w:r>
          </w:p>
        </w:tc>
        <w:tc>
          <w:tcPr>
            <w:tcW w:w="6886" w:type="dxa"/>
            <w:gridSpan w:val="5"/>
            <w:vMerge/>
          </w:tcPr>
          <w:p w:rsidR="00DD7E36" w:rsidRPr="007A20CC" w:rsidRDefault="00DD7E36" w:rsidP="00DD7E36">
            <w:pPr>
              <w:pStyle w:val="naisf"/>
              <w:spacing w:before="0" w:after="0"/>
              <w:ind w:firstLine="0"/>
              <w:rPr>
                <w:b/>
                <w:i/>
                <w:sz w:val="28"/>
                <w:szCs w:val="28"/>
              </w:rPr>
            </w:pPr>
          </w:p>
        </w:tc>
      </w:tr>
      <w:tr w:rsidR="00DD7E36" w:rsidRPr="007A20CC" w:rsidTr="00DD7E36">
        <w:trPr>
          <w:tblCellSpacing w:w="20" w:type="dxa"/>
          <w:jc w:val="center"/>
        </w:trPr>
        <w:tc>
          <w:tcPr>
            <w:tcW w:w="2852" w:type="dxa"/>
          </w:tcPr>
          <w:p w:rsidR="00DD7E36" w:rsidRPr="007A20CC" w:rsidRDefault="00DD7E36" w:rsidP="00DD7E36">
            <w:pPr>
              <w:jc w:val="both"/>
              <w:rPr>
                <w:rFonts w:ascii="Times New Roman" w:hAnsi="Times New Roman"/>
                <w:sz w:val="28"/>
                <w:szCs w:val="28"/>
              </w:rPr>
            </w:pPr>
            <w:r w:rsidRPr="007A20CC">
              <w:rPr>
                <w:rFonts w:ascii="Times New Roman" w:hAnsi="Times New Roman"/>
                <w:sz w:val="28"/>
                <w:szCs w:val="28"/>
              </w:rPr>
              <w:t>7. Cita informācija</w:t>
            </w:r>
          </w:p>
        </w:tc>
        <w:tc>
          <w:tcPr>
            <w:tcW w:w="6886" w:type="dxa"/>
            <w:gridSpan w:val="5"/>
          </w:tcPr>
          <w:p w:rsidR="00DD7E36" w:rsidRPr="007A20CC" w:rsidRDefault="00DE1C03" w:rsidP="00DD7E36">
            <w:pPr>
              <w:pStyle w:val="naisf"/>
              <w:tabs>
                <w:tab w:val="left" w:pos="4644"/>
              </w:tabs>
              <w:spacing w:before="0" w:after="0"/>
              <w:ind w:firstLine="0"/>
              <w:rPr>
                <w:sz w:val="28"/>
                <w:szCs w:val="28"/>
              </w:rPr>
            </w:pPr>
            <w:r w:rsidRPr="007A20CC">
              <w:rPr>
                <w:sz w:val="28"/>
                <w:szCs w:val="28"/>
              </w:rPr>
              <w:t>Finansiāl</w:t>
            </w:r>
            <w:r w:rsidR="007A20CC" w:rsidRPr="007A20CC">
              <w:rPr>
                <w:sz w:val="28"/>
                <w:szCs w:val="28"/>
              </w:rPr>
              <w:t>o ietekmi</w:t>
            </w:r>
            <w:r w:rsidRPr="007A20CC">
              <w:rPr>
                <w:sz w:val="28"/>
                <w:szCs w:val="28"/>
              </w:rPr>
              <w:t xml:space="preserve"> </w:t>
            </w:r>
            <w:r w:rsidR="007A20CC" w:rsidRPr="007A20CC">
              <w:rPr>
                <w:sz w:val="28"/>
                <w:szCs w:val="28"/>
              </w:rPr>
              <w:t>paredzēts</w:t>
            </w:r>
            <w:r w:rsidRPr="007A20CC">
              <w:rPr>
                <w:sz w:val="28"/>
                <w:szCs w:val="28"/>
              </w:rPr>
              <w:t xml:space="preserve"> finans</w:t>
            </w:r>
            <w:r w:rsidR="007A20CC" w:rsidRPr="007A20CC">
              <w:rPr>
                <w:sz w:val="28"/>
                <w:szCs w:val="28"/>
              </w:rPr>
              <w:t>ēt</w:t>
            </w:r>
            <w:r w:rsidRPr="007A20CC">
              <w:rPr>
                <w:sz w:val="28"/>
                <w:szCs w:val="28"/>
              </w:rPr>
              <w:t xml:space="preserve"> no </w:t>
            </w:r>
            <w:r w:rsidR="005A491C">
              <w:rPr>
                <w:sz w:val="28"/>
                <w:szCs w:val="28"/>
              </w:rPr>
              <w:t xml:space="preserve">74.resora „Gadskārtējā valsts budžeta izpildes procesā pārdalāmais finansējums” </w:t>
            </w:r>
            <w:r w:rsidR="005A491C" w:rsidRPr="004D2900">
              <w:rPr>
                <w:sz w:val="28"/>
                <w:szCs w:val="28"/>
              </w:rPr>
              <w:t>80.00.00</w:t>
            </w:r>
            <w:r w:rsidR="005A491C">
              <w:rPr>
                <w:sz w:val="28"/>
                <w:szCs w:val="28"/>
              </w:rPr>
              <w:t xml:space="preserve"> programmas</w:t>
            </w:r>
            <w:r w:rsidR="005A491C" w:rsidRPr="004D2900">
              <w:rPr>
                <w:sz w:val="28"/>
                <w:szCs w:val="28"/>
              </w:rPr>
              <w:t xml:space="preserve"> „Nesadalītais finansējums Eiropas Savienības politiku instrumentu un pārējās ārvalstu finanšu palīdzības </w:t>
            </w:r>
            <w:proofErr w:type="spellStart"/>
            <w:r w:rsidR="005A491C" w:rsidRPr="004D2900">
              <w:rPr>
                <w:sz w:val="28"/>
                <w:szCs w:val="28"/>
              </w:rPr>
              <w:t>līdzfinansēto</w:t>
            </w:r>
            <w:proofErr w:type="spellEnd"/>
            <w:r w:rsidR="005A491C" w:rsidRPr="004D2900">
              <w:rPr>
                <w:sz w:val="28"/>
                <w:szCs w:val="28"/>
              </w:rPr>
              <w:t xml:space="preserve"> projektu un pasākumu īstenošanai”</w:t>
            </w:r>
            <w:r w:rsidR="007A20CC" w:rsidRPr="007A20CC">
              <w:rPr>
                <w:sz w:val="28"/>
                <w:szCs w:val="28"/>
              </w:rPr>
              <w:t xml:space="preserve"> līdzekļiem. </w:t>
            </w:r>
          </w:p>
        </w:tc>
      </w:tr>
    </w:tbl>
    <w:p w:rsidR="00032DD2" w:rsidRPr="007A20CC" w:rsidRDefault="00032DD2" w:rsidP="0080466A">
      <w:pPr>
        <w:spacing w:after="0" w:line="240" w:lineRule="auto"/>
        <w:rPr>
          <w:rFonts w:ascii="Times New Roman" w:eastAsia="Times New Roman" w:hAnsi="Times New Roman"/>
          <w:i/>
          <w:sz w:val="28"/>
          <w:szCs w:val="28"/>
          <w:lang w:eastAsia="lv-LV"/>
        </w:rPr>
      </w:pPr>
    </w:p>
    <w:tbl>
      <w:tblPr>
        <w:tblW w:w="5392"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7"/>
        <w:gridCol w:w="2492"/>
        <w:gridCol w:w="6481"/>
      </w:tblGrid>
      <w:tr w:rsidR="00392D00" w:rsidRPr="007A20CC" w:rsidTr="0076799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jc w:val="center"/>
              <w:rPr>
                <w:rFonts w:ascii="Times New Roman" w:eastAsia="Times New Roman" w:hAnsi="Times New Roman"/>
                <w:b/>
                <w:bCs/>
                <w:sz w:val="28"/>
                <w:szCs w:val="28"/>
                <w:lang w:eastAsia="lv-LV"/>
              </w:rPr>
            </w:pPr>
            <w:r w:rsidRPr="007A20CC">
              <w:rPr>
                <w:rFonts w:ascii="Times New Roman" w:eastAsia="Times New Roman" w:hAnsi="Times New Roman"/>
                <w:b/>
                <w:bCs/>
                <w:sz w:val="28"/>
                <w:szCs w:val="28"/>
                <w:lang w:eastAsia="lv-LV"/>
              </w:rPr>
              <w:t>VII. Tiesību akta projekta izpildes nodrošināšana un tās ietekme uz institūcijām</w:t>
            </w:r>
          </w:p>
        </w:tc>
      </w:tr>
      <w:tr w:rsidR="007C5781" w:rsidRPr="007A20CC" w:rsidTr="00767995">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1.</w:t>
            </w:r>
          </w:p>
        </w:tc>
        <w:tc>
          <w:tcPr>
            <w:tcW w:w="128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Projekta izpildē iesaistītās institūcijas</w:t>
            </w:r>
          </w:p>
        </w:tc>
        <w:tc>
          <w:tcPr>
            <w:tcW w:w="3328" w:type="pct"/>
            <w:tcBorders>
              <w:top w:val="outset" w:sz="6" w:space="0" w:color="auto"/>
              <w:left w:val="outset" w:sz="6" w:space="0" w:color="auto"/>
              <w:bottom w:val="outset" w:sz="6" w:space="0" w:color="auto"/>
              <w:right w:val="outset" w:sz="6" w:space="0" w:color="auto"/>
            </w:tcBorders>
            <w:hideMark/>
          </w:tcPr>
          <w:p w:rsidR="00392D00" w:rsidRPr="007A20CC" w:rsidRDefault="007A20CC" w:rsidP="005A491C">
            <w:pPr>
              <w:spacing w:after="0" w:line="240" w:lineRule="auto"/>
              <w:jc w:val="both"/>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Rīkojuma</w:t>
            </w:r>
            <w:r w:rsidR="00577216" w:rsidRPr="007A20CC">
              <w:rPr>
                <w:rFonts w:ascii="Times New Roman" w:eastAsia="Times New Roman" w:hAnsi="Times New Roman"/>
                <w:sz w:val="28"/>
                <w:szCs w:val="28"/>
                <w:lang w:eastAsia="lv-LV"/>
              </w:rPr>
              <w:t xml:space="preserve"> p</w:t>
            </w:r>
            <w:r w:rsidR="009E0243" w:rsidRPr="007A20CC">
              <w:rPr>
                <w:rFonts w:ascii="Times New Roman" w:eastAsia="Times New Roman" w:hAnsi="Times New Roman"/>
                <w:sz w:val="28"/>
                <w:szCs w:val="28"/>
                <w:lang w:eastAsia="lv-LV"/>
              </w:rPr>
              <w:t>rojekta izpildi nodrošinās</w:t>
            </w:r>
            <w:r w:rsidR="00B7635B">
              <w:rPr>
                <w:rFonts w:ascii="Times New Roman" w:eastAsia="Times New Roman" w:hAnsi="Times New Roman"/>
                <w:sz w:val="28"/>
                <w:szCs w:val="28"/>
                <w:lang w:eastAsia="lv-LV"/>
              </w:rPr>
              <w:t xml:space="preserve"> </w:t>
            </w:r>
            <w:r w:rsidR="00B7635B" w:rsidRPr="007A20CC">
              <w:rPr>
                <w:rFonts w:ascii="Times New Roman" w:eastAsia="Times New Roman" w:hAnsi="Times New Roman"/>
                <w:sz w:val="28"/>
                <w:szCs w:val="28"/>
                <w:lang w:eastAsia="lv-LV"/>
              </w:rPr>
              <w:t>Izglītības un zinātnes ministrija</w:t>
            </w:r>
            <w:r w:rsidR="00B7635B">
              <w:rPr>
                <w:rFonts w:ascii="Times New Roman" w:eastAsia="Times New Roman" w:hAnsi="Times New Roman"/>
                <w:sz w:val="28"/>
                <w:szCs w:val="28"/>
                <w:lang w:eastAsia="lv-LV"/>
              </w:rPr>
              <w:t xml:space="preserve"> un</w:t>
            </w:r>
            <w:r w:rsidR="009E0243" w:rsidRPr="007A20CC">
              <w:rPr>
                <w:rFonts w:ascii="Times New Roman" w:eastAsia="Times New Roman" w:hAnsi="Times New Roman"/>
                <w:sz w:val="28"/>
                <w:szCs w:val="28"/>
                <w:lang w:eastAsia="lv-LV"/>
              </w:rPr>
              <w:t xml:space="preserve"> </w:t>
            </w:r>
            <w:r w:rsidR="00B7635B">
              <w:rPr>
                <w:rFonts w:ascii="Times New Roman" w:eastAsia="Times New Roman" w:hAnsi="Times New Roman"/>
                <w:sz w:val="28"/>
                <w:szCs w:val="28"/>
                <w:lang w:eastAsia="lv-LV"/>
              </w:rPr>
              <w:t>Finanšu ministrija</w:t>
            </w:r>
            <w:r w:rsidR="009E0243" w:rsidRPr="007A20CC">
              <w:rPr>
                <w:rFonts w:ascii="Times New Roman" w:eastAsia="Times New Roman" w:hAnsi="Times New Roman"/>
                <w:sz w:val="28"/>
                <w:szCs w:val="28"/>
                <w:lang w:eastAsia="lv-LV"/>
              </w:rPr>
              <w:t>.</w:t>
            </w:r>
          </w:p>
        </w:tc>
      </w:tr>
      <w:tr w:rsidR="007C5781" w:rsidRPr="007A20CC" w:rsidTr="00767995">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2.</w:t>
            </w:r>
          </w:p>
        </w:tc>
        <w:tc>
          <w:tcPr>
            <w:tcW w:w="128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Projekta izpildes ietekme uz pārvaldes funkcijām</w:t>
            </w:r>
          </w:p>
        </w:tc>
        <w:tc>
          <w:tcPr>
            <w:tcW w:w="3328" w:type="pct"/>
            <w:tcBorders>
              <w:top w:val="outset" w:sz="6" w:space="0" w:color="auto"/>
              <w:left w:val="outset" w:sz="6" w:space="0" w:color="auto"/>
              <w:bottom w:val="outset" w:sz="6" w:space="0" w:color="auto"/>
              <w:right w:val="outset" w:sz="6" w:space="0" w:color="auto"/>
            </w:tcBorders>
            <w:hideMark/>
          </w:tcPr>
          <w:p w:rsidR="00392D00" w:rsidRPr="007A20CC" w:rsidRDefault="007A20CC" w:rsidP="0080466A">
            <w:pPr>
              <w:spacing w:after="0" w:line="240" w:lineRule="auto"/>
              <w:jc w:val="both"/>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Projekts šo jomu neskar.</w:t>
            </w:r>
            <w:r w:rsidR="0009669B" w:rsidRPr="007A20CC">
              <w:rPr>
                <w:rFonts w:ascii="Times New Roman" w:eastAsia="Times New Roman" w:hAnsi="Times New Roman"/>
                <w:sz w:val="28"/>
                <w:szCs w:val="28"/>
                <w:lang w:eastAsia="lv-LV"/>
              </w:rPr>
              <w:t xml:space="preserve"> </w:t>
            </w:r>
          </w:p>
        </w:tc>
      </w:tr>
      <w:tr w:rsidR="007C5781" w:rsidRPr="007A20CC" w:rsidTr="00767995">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3.</w:t>
            </w:r>
          </w:p>
        </w:tc>
        <w:tc>
          <w:tcPr>
            <w:tcW w:w="1285" w:type="pct"/>
            <w:tcBorders>
              <w:top w:val="outset" w:sz="6" w:space="0" w:color="auto"/>
              <w:left w:val="outset" w:sz="6" w:space="0" w:color="auto"/>
              <w:bottom w:val="outset" w:sz="6" w:space="0" w:color="auto"/>
              <w:right w:val="outset" w:sz="6" w:space="0" w:color="auto"/>
            </w:tcBorders>
            <w:hideMark/>
          </w:tcPr>
          <w:p w:rsidR="0009669B"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Projekta izpildes ietekme uz pārvaldes institucionālo struktūru.</w:t>
            </w:r>
          </w:p>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Jaunu institūciju izveide</w:t>
            </w:r>
          </w:p>
        </w:tc>
        <w:tc>
          <w:tcPr>
            <w:tcW w:w="3328" w:type="pct"/>
            <w:tcBorders>
              <w:top w:val="outset" w:sz="6" w:space="0" w:color="auto"/>
              <w:left w:val="outset" w:sz="6" w:space="0" w:color="auto"/>
              <w:bottom w:val="outset" w:sz="6" w:space="0" w:color="auto"/>
              <w:right w:val="outset" w:sz="6" w:space="0" w:color="auto"/>
            </w:tcBorders>
            <w:hideMark/>
          </w:tcPr>
          <w:p w:rsidR="00392D00" w:rsidRPr="007A20CC" w:rsidRDefault="00032DD2" w:rsidP="005A491C">
            <w:pPr>
              <w:spacing w:after="0" w:line="240" w:lineRule="auto"/>
              <w:jc w:val="both"/>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Projekts šo jomu neskar.</w:t>
            </w:r>
          </w:p>
        </w:tc>
      </w:tr>
      <w:tr w:rsidR="007C5781" w:rsidRPr="007A20CC" w:rsidTr="00767995">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4.</w:t>
            </w:r>
          </w:p>
        </w:tc>
        <w:tc>
          <w:tcPr>
            <w:tcW w:w="1285" w:type="pct"/>
            <w:tcBorders>
              <w:top w:val="outset" w:sz="6" w:space="0" w:color="auto"/>
              <w:left w:val="outset" w:sz="6" w:space="0" w:color="auto"/>
              <w:bottom w:val="outset" w:sz="6" w:space="0" w:color="auto"/>
              <w:right w:val="outset" w:sz="6" w:space="0" w:color="auto"/>
            </w:tcBorders>
            <w:hideMark/>
          </w:tcPr>
          <w:p w:rsidR="0009669B"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Projekta izpildes ietekme uz pārvaldes institucionālo struktūru.</w:t>
            </w:r>
          </w:p>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 xml:space="preserve">Esošu institūciju </w:t>
            </w:r>
            <w:r w:rsidRPr="007A20CC">
              <w:rPr>
                <w:rFonts w:ascii="Times New Roman" w:eastAsia="Times New Roman" w:hAnsi="Times New Roman"/>
                <w:sz w:val="28"/>
                <w:szCs w:val="28"/>
                <w:lang w:eastAsia="lv-LV"/>
              </w:rPr>
              <w:lastRenderedPageBreak/>
              <w:t>likvidācija</w:t>
            </w:r>
          </w:p>
        </w:tc>
        <w:tc>
          <w:tcPr>
            <w:tcW w:w="3328" w:type="pct"/>
            <w:tcBorders>
              <w:top w:val="outset" w:sz="6" w:space="0" w:color="auto"/>
              <w:left w:val="outset" w:sz="6" w:space="0" w:color="auto"/>
              <w:bottom w:val="outset" w:sz="6" w:space="0" w:color="auto"/>
              <w:right w:val="outset" w:sz="6" w:space="0" w:color="auto"/>
            </w:tcBorders>
            <w:hideMark/>
          </w:tcPr>
          <w:p w:rsidR="00392D00" w:rsidRPr="007A20CC" w:rsidRDefault="00032DD2" w:rsidP="005A491C">
            <w:pPr>
              <w:spacing w:after="0" w:line="240" w:lineRule="auto"/>
              <w:jc w:val="both"/>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lastRenderedPageBreak/>
              <w:t>Projekts šo jomu neskar.</w:t>
            </w:r>
          </w:p>
        </w:tc>
      </w:tr>
      <w:tr w:rsidR="007C5781" w:rsidRPr="007A20CC" w:rsidTr="00767995">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lastRenderedPageBreak/>
              <w:t>5.</w:t>
            </w:r>
          </w:p>
        </w:tc>
        <w:tc>
          <w:tcPr>
            <w:tcW w:w="128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Projekta izpildes ietekme uz pārvaldes institucionālo struktūru.</w:t>
            </w:r>
          </w:p>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Esošu institūciju reorganizācija</w:t>
            </w:r>
          </w:p>
        </w:tc>
        <w:tc>
          <w:tcPr>
            <w:tcW w:w="3328" w:type="pct"/>
            <w:tcBorders>
              <w:top w:val="outset" w:sz="6" w:space="0" w:color="auto"/>
              <w:left w:val="outset" w:sz="6" w:space="0" w:color="auto"/>
              <w:bottom w:val="outset" w:sz="6" w:space="0" w:color="auto"/>
              <w:right w:val="outset" w:sz="6" w:space="0" w:color="auto"/>
            </w:tcBorders>
            <w:hideMark/>
          </w:tcPr>
          <w:p w:rsidR="00392D00" w:rsidRPr="007A20CC" w:rsidRDefault="00032DD2" w:rsidP="005A491C">
            <w:pPr>
              <w:spacing w:after="0" w:line="240" w:lineRule="auto"/>
              <w:jc w:val="both"/>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Projekts šo jomu neskar.</w:t>
            </w:r>
          </w:p>
        </w:tc>
      </w:tr>
      <w:tr w:rsidR="007C5781" w:rsidRPr="007A20CC" w:rsidTr="00767995">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6.</w:t>
            </w:r>
          </w:p>
        </w:tc>
        <w:tc>
          <w:tcPr>
            <w:tcW w:w="1285" w:type="pct"/>
            <w:tcBorders>
              <w:top w:val="outset" w:sz="6" w:space="0" w:color="auto"/>
              <w:left w:val="outset" w:sz="6" w:space="0" w:color="auto"/>
              <w:bottom w:val="outset" w:sz="6" w:space="0" w:color="auto"/>
              <w:right w:val="outset" w:sz="6" w:space="0" w:color="auto"/>
            </w:tcBorders>
            <w:hideMark/>
          </w:tcPr>
          <w:p w:rsidR="00392D00" w:rsidRPr="007A20CC" w:rsidRDefault="00392D00"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Cita informācija</w:t>
            </w:r>
          </w:p>
        </w:tc>
        <w:tc>
          <w:tcPr>
            <w:tcW w:w="3328" w:type="pct"/>
            <w:tcBorders>
              <w:top w:val="outset" w:sz="6" w:space="0" w:color="auto"/>
              <w:left w:val="outset" w:sz="6" w:space="0" w:color="auto"/>
              <w:bottom w:val="outset" w:sz="6" w:space="0" w:color="auto"/>
              <w:right w:val="outset" w:sz="6" w:space="0" w:color="auto"/>
            </w:tcBorders>
            <w:hideMark/>
          </w:tcPr>
          <w:p w:rsidR="00392D00" w:rsidRPr="007A20CC" w:rsidRDefault="0009669B" w:rsidP="0080466A">
            <w:pPr>
              <w:spacing w:after="0" w:line="240" w:lineRule="auto"/>
              <w:rPr>
                <w:rFonts w:ascii="Times New Roman" w:eastAsia="Times New Roman" w:hAnsi="Times New Roman"/>
                <w:sz w:val="28"/>
                <w:szCs w:val="28"/>
                <w:lang w:eastAsia="lv-LV"/>
              </w:rPr>
            </w:pPr>
            <w:r w:rsidRPr="007A20CC">
              <w:rPr>
                <w:rFonts w:ascii="Times New Roman" w:eastAsia="Times New Roman" w:hAnsi="Times New Roman"/>
                <w:sz w:val="28"/>
                <w:szCs w:val="28"/>
                <w:lang w:eastAsia="lv-LV"/>
              </w:rPr>
              <w:t>Nav</w:t>
            </w:r>
          </w:p>
        </w:tc>
      </w:tr>
    </w:tbl>
    <w:p w:rsidR="007C5781" w:rsidRDefault="007C5781" w:rsidP="0080466A">
      <w:pPr>
        <w:autoSpaceDE w:val="0"/>
        <w:autoSpaceDN w:val="0"/>
        <w:adjustRightInd w:val="0"/>
        <w:spacing w:after="0" w:line="240" w:lineRule="auto"/>
        <w:rPr>
          <w:rFonts w:ascii="Times New Roman" w:hAnsi="Times New Roman"/>
          <w:color w:val="000000"/>
          <w:sz w:val="24"/>
          <w:szCs w:val="24"/>
        </w:rPr>
      </w:pPr>
    </w:p>
    <w:p w:rsidR="007A20CC" w:rsidRPr="007C5781" w:rsidRDefault="007A20CC" w:rsidP="0080466A">
      <w:pPr>
        <w:autoSpaceDE w:val="0"/>
        <w:autoSpaceDN w:val="0"/>
        <w:adjustRightInd w:val="0"/>
        <w:spacing w:after="0" w:line="240" w:lineRule="auto"/>
        <w:rPr>
          <w:rFonts w:ascii="Times New Roman" w:hAnsi="Times New Roman"/>
          <w:color w:val="000000"/>
          <w:sz w:val="24"/>
          <w:szCs w:val="24"/>
        </w:rPr>
      </w:pPr>
    </w:p>
    <w:p w:rsidR="007C5781" w:rsidRDefault="007A20CC" w:rsidP="0080466A">
      <w:pPr>
        <w:autoSpaceDE w:val="0"/>
        <w:autoSpaceDN w:val="0"/>
        <w:adjustRightInd w:val="0"/>
        <w:spacing w:after="0" w:line="240" w:lineRule="auto"/>
        <w:rPr>
          <w:rFonts w:ascii="Times New Roman" w:hAnsi="Times New Roman"/>
          <w:color w:val="000000"/>
          <w:sz w:val="24"/>
          <w:szCs w:val="24"/>
        </w:rPr>
      </w:pPr>
      <w:r w:rsidRPr="0001406B">
        <w:rPr>
          <w:rFonts w:ascii="Times New Roman" w:hAnsi="Times New Roman"/>
          <w:i/>
          <w:sz w:val="28"/>
          <w:szCs w:val="28"/>
        </w:rPr>
        <w:t>Anot</w:t>
      </w:r>
      <w:r>
        <w:rPr>
          <w:rFonts w:ascii="Times New Roman" w:hAnsi="Times New Roman"/>
          <w:i/>
          <w:sz w:val="28"/>
          <w:szCs w:val="28"/>
        </w:rPr>
        <w:t>ācijas IV,</w:t>
      </w:r>
      <w:r w:rsidRPr="0001406B">
        <w:rPr>
          <w:rFonts w:ascii="Times New Roman" w:hAnsi="Times New Roman"/>
          <w:i/>
          <w:sz w:val="28"/>
          <w:szCs w:val="28"/>
        </w:rPr>
        <w:t xml:space="preserve"> V</w:t>
      </w:r>
      <w:r>
        <w:rPr>
          <w:rFonts w:ascii="Times New Roman" w:hAnsi="Times New Roman"/>
          <w:i/>
          <w:sz w:val="28"/>
          <w:szCs w:val="28"/>
        </w:rPr>
        <w:t xml:space="preserve"> un VI</w:t>
      </w:r>
      <w:r w:rsidRPr="0001406B">
        <w:rPr>
          <w:rFonts w:ascii="Times New Roman" w:hAnsi="Times New Roman"/>
          <w:i/>
          <w:sz w:val="28"/>
          <w:szCs w:val="28"/>
        </w:rPr>
        <w:t xml:space="preserve"> sadaļa </w:t>
      </w:r>
      <w:r>
        <w:rPr>
          <w:rFonts w:ascii="Times New Roman" w:hAnsi="Times New Roman"/>
          <w:i/>
          <w:sz w:val="28"/>
          <w:szCs w:val="28"/>
        </w:rPr>
        <w:t>–</w:t>
      </w:r>
      <w:r w:rsidRPr="0001406B">
        <w:rPr>
          <w:rFonts w:ascii="Times New Roman" w:hAnsi="Times New Roman"/>
          <w:i/>
          <w:sz w:val="28"/>
          <w:szCs w:val="28"/>
        </w:rPr>
        <w:t xml:space="preserve"> </w:t>
      </w:r>
      <w:r>
        <w:rPr>
          <w:rFonts w:ascii="Times New Roman" w:hAnsi="Times New Roman"/>
          <w:i/>
          <w:sz w:val="28"/>
          <w:szCs w:val="28"/>
        </w:rPr>
        <w:t>projekts šīs jomas neskar</w:t>
      </w:r>
      <w:r w:rsidRPr="0001406B">
        <w:rPr>
          <w:rFonts w:ascii="Times New Roman" w:hAnsi="Times New Roman"/>
          <w:i/>
          <w:sz w:val="28"/>
          <w:szCs w:val="28"/>
        </w:rPr>
        <w:t>.</w:t>
      </w:r>
    </w:p>
    <w:p w:rsidR="00970E40" w:rsidRDefault="00970E40" w:rsidP="0080466A">
      <w:pPr>
        <w:autoSpaceDE w:val="0"/>
        <w:autoSpaceDN w:val="0"/>
        <w:adjustRightInd w:val="0"/>
        <w:spacing w:after="0" w:line="240" w:lineRule="auto"/>
        <w:ind w:left="720"/>
        <w:rPr>
          <w:rFonts w:ascii="Times New Roman" w:hAnsi="Times New Roman"/>
          <w:color w:val="000000"/>
          <w:sz w:val="24"/>
          <w:szCs w:val="24"/>
        </w:rPr>
      </w:pPr>
    </w:p>
    <w:p w:rsidR="007A20CC" w:rsidRDefault="007A20CC" w:rsidP="0080466A">
      <w:pPr>
        <w:autoSpaceDE w:val="0"/>
        <w:autoSpaceDN w:val="0"/>
        <w:adjustRightInd w:val="0"/>
        <w:spacing w:after="0" w:line="240" w:lineRule="auto"/>
        <w:ind w:left="720"/>
        <w:rPr>
          <w:rFonts w:ascii="Times New Roman" w:hAnsi="Times New Roman"/>
          <w:color w:val="000000"/>
          <w:sz w:val="24"/>
          <w:szCs w:val="24"/>
        </w:rPr>
      </w:pPr>
    </w:p>
    <w:p w:rsidR="007A20CC" w:rsidRDefault="007A20CC" w:rsidP="0080466A">
      <w:pPr>
        <w:autoSpaceDE w:val="0"/>
        <w:autoSpaceDN w:val="0"/>
        <w:adjustRightInd w:val="0"/>
        <w:spacing w:after="0" w:line="240" w:lineRule="auto"/>
        <w:ind w:left="720"/>
        <w:rPr>
          <w:rFonts w:ascii="Times New Roman" w:hAnsi="Times New Roman"/>
          <w:color w:val="000000"/>
          <w:sz w:val="24"/>
          <w:szCs w:val="24"/>
        </w:rPr>
      </w:pPr>
    </w:p>
    <w:p w:rsidR="00B12126" w:rsidRDefault="00B12126" w:rsidP="0080466A">
      <w:pPr>
        <w:autoSpaceDE w:val="0"/>
        <w:autoSpaceDN w:val="0"/>
        <w:adjustRightInd w:val="0"/>
        <w:spacing w:after="0" w:line="240" w:lineRule="auto"/>
        <w:rPr>
          <w:rFonts w:ascii="Times New Roman" w:hAnsi="Times New Roman"/>
          <w:color w:val="000000"/>
          <w:sz w:val="24"/>
          <w:szCs w:val="24"/>
        </w:rPr>
      </w:pPr>
    </w:p>
    <w:p w:rsidR="007C5781" w:rsidRPr="007C5781" w:rsidRDefault="00156974" w:rsidP="0080466A">
      <w:pPr>
        <w:autoSpaceDE w:val="0"/>
        <w:autoSpaceDN w:val="0"/>
        <w:adjustRightInd w:val="0"/>
        <w:spacing w:after="0" w:line="240" w:lineRule="auto"/>
        <w:ind w:left="720"/>
        <w:rPr>
          <w:rFonts w:ascii="Times New Roman" w:hAnsi="Times New Roman"/>
          <w:color w:val="000000"/>
          <w:sz w:val="28"/>
          <w:szCs w:val="28"/>
        </w:rPr>
      </w:pPr>
      <w:r>
        <w:rPr>
          <w:rFonts w:ascii="Times New Roman" w:hAnsi="Times New Roman"/>
          <w:color w:val="000000"/>
          <w:sz w:val="28"/>
          <w:szCs w:val="28"/>
        </w:rPr>
        <w:t>Izglītības un zinātnes ministrs</w:t>
      </w:r>
      <w:r w:rsidR="007C5781" w:rsidRPr="007C5781">
        <w:rPr>
          <w:rFonts w:ascii="Times New Roman" w:hAnsi="Times New Roman"/>
          <w:color w:val="000000"/>
          <w:sz w:val="28"/>
          <w:szCs w:val="28"/>
        </w:rPr>
        <w:t xml:space="preserve"> </w:t>
      </w:r>
      <w:r w:rsidR="007C5781" w:rsidRPr="007C5781">
        <w:rPr>
          <w:rFonts w:ascii="Times New Roman" w:hAnsi="Times New Roman"/>
          <w:color w:val="000000"/>
          <w:sz w:val="28"/>
          <w:szCs w:val="28"/>
        </w:rPr>
        <w:tab/>
        <w:t>___________</w:t>
      </w:r>
      <w:r w:rsidR="00930A74">
        <w:rPr>
          <w:rFonts w:ascii="Times New Roman" w:hAnsi="Times New Roman"/>
          <w:color w:val="000000"/>
          <w:sz w:val="28"/>
          <w:szCs w:val="28"/>
        </w:rPr>
        <w:t>__</w:t>
      </w:r>
      <w:r w:rsidR="007C5781" w:rsidRPr="007C5781">
        <w:rPr>
          <w:rFonts w:ascii="Times New Roman" w:hAnsi="Times New Roman"/>
          <w:color w:val="000000"/>
          <w:sz w:val="28"/>
          <w:szCs w:val="28"/>
        </w:rPr>
        <w:t xml:space="preserve">__ </w:t>
      </w:r>
      <w:r>
        <w:rPr>
          <w:rFonts w:ascii="Times New Roman" w:hAnsi="Times New Roman"/>
          <w:color w:val="000000"/>
          <w:sz w:val="28"/>
          <w:szCs w:val="28"/>
        </w:rPr>
        <w:t>R.Broks</w:t>
      </w:r>
    </w:p>
    <w:p w:rsidR="007C5781" w:rsidRPr="007C5781" w:rsidRDefault="007C5781" w:rsidP="0080466A">
      <w:pPr>
        <w:autoSpaceDE w:val="0"/>
        <w:autoSpaceDN w:val="0"/>
        <w:adjustRightInd w:val="0"/>
        <w:spacing w:after="0" w:line="240" w:lineRule="auto"/>
        <w:rPr>
          <w:rFonts w:ascii="Times New Roman" w:hAnsi="Times New Roman"/>
          <w:color w:val="000000"/>
          <w:sz w:val="28"/>
          <w:szCs w:val="28"/>
        </w:rPr>
      </w:pPr>
      <w:r w:rsidRPr="007C5781">
        <w:rPr>
          <w:rFonts w:ascii="Times New Roman" w:hAnsi="Times New Roman"/>
          <w:color w:val="000000"/>
          <w:sz w:val="28"/>
          <w:szCs w:val="28"/>
        </w:rPr>
        <w:t xml:space="preserve"> </w:t>
      </w:r>
    </w:p>
    <w:p w:rsidR="007C5781" w:rsidRPr="007C5781" w:rsidRDefault="007C5781" w:rsidP="0080466A">
      <w:pPr>
        <w:autoSpaceDE w:val="0"/>
        <w:autoSpaceDN w:val="0"/>
        <w:adjustRightInd w:val="0"/>
        <w:spacing w:after="0" w:line="240" w:lineRule="auto"/>
        <w:rPr>
          <w:rFonts w:ascii="Times New Roman" w:hAnsi="Times New Roman"/>
          <w:color w:val="000000"/>
          <w:sz w:val="28"/>
          <w:szCs w:val="28"/>
        </w:rPr>
      </w:pPr>
    </w:p>
    <w:p w:rsidR="007C5781" w:rsidRPr="007C5781" w:rsidRDefault="007C5781" w:rsidP="0080466A">
      <w:pPr>
        <w:autoSpaceDE w:val="0"/>
        <w:autoSpaceDN w:val="0"/>
        <w:adjustRightInd w:val="0"/>
        <w:spacing w:after="0" w:line="240" w:lineRule="auto"/>
        <w:rPr>
          <w:rFonts w:ascii="Times New Roman" w:hAnsi="Times New Roman"/>
          <w:color w:val="000000"/>
          <w:sz w:val="28"/>
          <w:szCs w:val="28"/>
        </w:rPr>
      </w:pPr>
    </w:p>
    <w:p w:rsidR="00000F0D" w:rsidRPr="009C0B25" w:rsidRDefault="00000F0D" w:rsidP="009C0B25">
      <w:pPr>
        <w:autoSpaceDE w:val="0"/>
        <w:autoSpaceDN w:val="0"/>
        <w:adjustRightInd w:val="0"/>
        <w:spacing w:after="0" w:line="240" w:lineRule="auto"/>
        <w:ind w:left="709"/>
        <w:rPr>
          <w:rFonts w:ascii="Times New Roman" w:hAnsi="Times New Roman"/>
          <w:color w:val="000000"/>
          <w:sz w:val="28"/>
          <w:szCs w:val="28"/>
          <w:lang w:val="en-US"/>
        </w:rPr>
      </w:pPr>
      <w:proofErr w:type="spellStart"/>
      <w:r w:rsidRPr="00000F0D">
        <w:rPr>
          <w:rFonts w:ascii="Times New Roman" w:hAnsi="Times New Roman"/>
          <w:color w:val="000000"/>
          <w:sz w:val="28"/>
          <w:szCs w:val="28"/>
          <w:lang w:val="en-US"/>
        </w:rPr>
        <w:t>Vizē</w:t>
      </w:r>
      <w:proofErr w:type="spellEnd"/>
      <w:r w:rsidRPr="00000F0D">
        <w:rPr>
          <w:rFonts w:ascii="Times New Roman" w:hAnsi="Times New Roman"/>
          <w:color w:val="000000"/>
          <w:sz w:val="28"/>
          <w:szCs w:val="28"/>
          <w:lang w:val="en-US"/>
        </w:rPr>
        <w:t xml:space="preserve">: </w:t>
      </w:r>
      <w:r w:rsidRPr="00000F0D">
        <w:rPr>
          <w:rFonts w:ascii="Times New Roman" w:hAnsi="Times New Roman"/>
          <w:color w:val="000000"/>
          <w:sz w:val="28"/>
          <w:szCs w:val="28"/>
          <w:lang w:val="en-US"/>
        </w:rPr>
        <w:tab/>
      </w:r>
      <w:r w:rsidRPr="00000F0D">
        <w:rPr>
          <w:rFonts w:ascii="Times New Roman" w:hAnsi="Times New Roman"/>
          <w:color w:val="000000"/>
          <w:sz w:val="28"/>
          <w:szCs w:val="28"/>
          <w:lang w:val="en-US"/>
        </w:rPr>
        <w:tab/>
      </w:r>
    </w:p>
    <w:p w:rsidR="007C5781" w:rsidRPr="00000F0D" w:rsidRDefault="009C0B25" w:rsidP="00000F0D">
      <w:pPr>
        <w:autoSpaceDE w:val="0"/>
        <w:autoSpaceDN w:val="0"/>
        <w:adjustRightInd w:val="0"/>
        <w:spacing w:after="0" w:line="240" w:lineRule="auto"/>
        <w:ind w:left="720"/>
        <w:rPr>
          <w:rFonts w:ascii="Times New Roman" w:hAnsi="Times New Roman"/>
          <w:color w:val="000000"/>
          <w:sz w:val="28"/>
          <w:szCs w:val="28"/>
        </w:rPr>
      </w:pPr>
      <w:proofErr w:type="spellStart"/>
      <w:proofErr w:type="gramStart"/>
      <w:r>
        <w:rPr>
          <w:rFonts w:ascii="Times New Roman" w:hAnsi="Times New Roman"/>
          <w:sz w:val="28"/>
          <w:szCs w:val="28"/>
          <w:lang w:val="en-US"/>
        </w:rPr>
        <w:t>valsts</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sekretārs</w:t>
      </w:r>
      <w:proofErr w:type="spellEnd"/>
      <w:r>
        <w:rPr>
          <w:rFonts w:ascii="Times New Roman" w:hAnsi="Times New Roman"/>
          <w:sz w:val="28"/>
          <w:szCs w:val="28"/>
          <w:lang w:val="en-US"/>
        </w:rPr>
        <w:tab/>
      </w:r>
      <w:r w:rsidR="00000F0D" w:rsidRPr="00000F0D">
        <w:rPr>
          <w:rFonts w:ascii="Times New Roman" w:hAnsi="Times New Roman"/>
          <w:sz w:val="28"/>
          <w:szCs w:val="28"/>
          <w:lang w:val="en-US"/>
        </w:rPr>
        <w:tab/>
      </w:r>
      <w:r w:rsidR="00000F0D" w:rsidRPr="00000F0D">
        <w:rPr>
          <w:rFonts w:ascii="Times New Roman" w:hAnsi="Times New Roman"/>
          <w:sz w:val="28"/>
          <w:szCs w:val="28"/>
          <w:lang w:val="en-US"/>
        </w:rPr>
        <w:tab/>
        <w:t xml:space="preserve">________________     </w:t>
      </w:r>
      <w:proofErr w:type="spellStart"/>
      <w:r>
        <w:rPr>
          <w:rFonts w:ascii="Times New Roman" w:hAnsi="Times New Roman"/>
          <w:sz w:val="28"/>
          <w:szCs w:val="28"/>
          <w:lang w:val="en-US"/>
        </w:rPr>
        <w:t>M.Gruškevics</w:t>
      </w:r>
      <w:proofErr w:type="spellEnd"/>
    </w:p>
    <w:p w:rsidR="007C5781" w:rsidRDefault="007C5781" w:rsidP="0080466A">
      <w:pPr>
        <w:autoSpaceDE w:val="0"/>
        <w:autoSpaceDN w:val="0"/>
        <w:adjustRightInd w:val="0"/>
        <w:spacing w:after="0" w:line="240" w:lineRule="auto"/>
        <w:rPr>
          <w:rFonts w:ascii="Times New Roman" w:hAnsi="Times New Roman"/>
          <w:color w:val="000000"/>
          <w:sz w:val="24"/>
          <w:szCs w:val="24"/>
        </w:rPr>
      </w:pPr>
    </w:p>
    <w:p w:rsidR="00556BF7" w:rsidRDefault="00556BF7" w:rsidP="0080466A">
      <w:pPr>
        <w:autoSpaceDE w:val="0"/>
        <w:autoSpaceDN w:val="0"/>
        <w:adjustRightInd w:val="0"/>
        <w:spacing w:after="0" w:line="240" w:lineRule="auto"/>
        <w:rPr>
          <w:rFonts w:ascii="Times New Roman" w:hAnsi="Times New Roman"/>
          <w:color w:val="000000"/>
          <w:sz w:val="24"/>
          <w:szCs w:val="24"/>
        </w:rPr>
      </w:pPr>
    </w:p>
    <w:p w:rsidR="007A20CC" w:rsidRDefault="007A20CC" w:rsidP="0080466A">
      <w:pPr>
        <w:autoSpaceDE w:val="0"/>
        <w:autoSpaceDN w:val="0"/>
        <w:adjustRightInd w:val="0"/>
        <w:spacing w:after="0" w:line="240" w:lineRule="auto"/>
        <w:rPr>
          <w:rFonts w:ascii="Times New Roman" w:hAnsi="Times New Roman"/>
          <w:color w:val="000000"/>
          <w:sz w:val="24"/>
          <w:szCs w:val="24"/>
        </w:rPr>
      </w:pPr>
    </w:p>
    <w:p w:rsidR="00032DD2" w:rsidRPr="005A491C" w:rsidRDefault="00032DD2" w:rsidP="0080466A">
      <w:pPr>
        <w:autoSpaceDE w:val="0"/>
        <w:autoSpaceDN w:val="0"/>
        <w:adjustRightInd w:val="0"/>
        <w:spacing w:after="0" w:line="240" w:lineRule="auto"/>
        <w:rPr>
          <w:rFonts w:ascii="Times New Roman" w:hAnsi="Times New Roman"/>
          <w:color w:val="000000"/>
          <w:sz w:val="28"/>
          <w:szCs w:val="28"/>
        </w:rPr>
      </w:pPr>
    </w:p>
    <w:p w:rsidR="007C5781" w:rsidRPr="005A491C" w:rsidRDefault="00640726" w:rsidP="0080466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w:t>
      </w:r>
      <w:r w:rsidR="005A491C">
        <w:rPr>
          <w:rFonts w:ascii="Times New Roman" w:hAnsi="Times New Roman"/>
          <w:sz w:val="28"/>
          <w:szCs w:val="28"/>
        </w:rPr>
        <w:t>.08</w:t>
      </w:r>
      <w:r w:rsidR="00032DD2" w:rsidRPr="005A491C">
        <w:rPr>
          <w:rFonts w:ascii="Times New Roman" w:hAnsi="Times New Roman"/>
          <w:sz w:val="28"/>
          <w:szCs w:val="28"/>
        </w:rPr>
        <w:t>.2011</w:t>
      </w:r>
      <w:r>
        <w:rPr>
          <w:rFonts w:ascii="Times New Roman" w:hAnsi="Times New Roman"/>
          <w:sz w:val="28"/>
          <w:szCs w:val="28"/>
        </w:rPr>
        <w:t xml:space="preserve"> 13:00</w:t>
      </w:r>
    </w:p>
    <w:p w:rsidR="007C5781" w:rsidRPr="005A491C" w:rsidRDefault="005A491C" w:rsidP="0080466A">
      <w:pPr>
        <w:spacing w:after="0" w:line="240" w:lineRule="auto"/>
        <w:jc w:val="both"/>
        <w:rPr>
          <w:rFonts w:ascii="Times New Roman" w:hAnsi="Times New Roman"/>
          <w:sz w:val="28"/>
          <w:szCs w:val="28"/>
        </w:rPr>
      </w:pPr>
      <w:r>
        <w:rPr>
          <w:rFonts w:ascii="Times New Roman" w:hAnsi="Times New Roman"/>
          <w:sz w:val="28"/>
          <w:szCs w:val="28"/>
        </w:rPr>
        <w:t>1 708</w:t>
      </w:r>
    </w:p>
    <w:p w:rsidR="007C5781" w:rsidRPr="005A491C" w:rsidRDefault="00640726" w:rsidP="0080466A">
      <w:pPr>
        <w:spacing w:after="0" w:line="240" w:lineRule="auto"/>
        <w:jc w:val="both"/>
        <w:rPr>
          <w:rFonts w:ascii="Times New Roman" w:hAnsi="Times New Roman"/>
          <w:sz w:val="28"/>
          <w:szCs w:val="28"/>
        </w:rPr>
      </w:pPr>
      <w:proofErr w:type="spellStart"/>
      <w:r>
        <w:rPr>
          <w:rFonts w:ascii="Times New Roman" w:hAnsi="Times New Roman"/>
          <w:sz w:val="28"/>
          <w:szCs w:val="28"/>
        </w:rPr>
        <w:t>Kalsnavs</w:t>
      </w:r>
      <w:proofErr w:type="spellEnd"/>
      <w:r>
        <w:rPr>
          <w:rFonts w:ascii="Times New Roman" w:hAnsi="Times New Roman"/>
          <w:sz w:val="28"/>
          <w:szCs w:val="28"/>
        </w:rPr>
        <w:t>, 67047893</w:t>
      </w:r>
    </w:p>
    <w:p w:rsidR="00EC1F0E" w:rsidRPr="005A491C" w:rsidRDefault="00640726" w:rsidP="0080466A">
      <w:pPr>
        <w:spacing w:after="0" w:line="240" w:lineRule="auto"/>
        <w:rPr>
          <w:rFonts w:ascii="Times New Roman" w:hAnsi="Times New Roman"/>
          <w:sz w:val="28"/>
          <w:szCs w:val="28"/>
        </w:rPr>
      </w:pPr>
      <w:hyperlink r:id="rId6" w:history="1">
        <w:r w:rsidRPr="00D85BE8">
          <w:rPr>
            <w:rStyle w:val="Hyperlink"/>
            <w:rFonts w:ascii="Times New Roman" w:hAnsi="Times New Roman"/>
            <w:sz w:val="28"/>
            <w:szCs w:val="28"/>
          </w:rPr>
          <w:t>kaspars.kalsnavs@izm.gov.lv</w:t>
        </w:r>
      </w:hyperlink>
      <w:r w:rsidR="005E1E41">
        <w:rPr>
          <w:rFonts w:ascii="Times New Roman" w:hAnsi="Times New Roman"/>
          <w:sz w:val="28"/>
          <w:szCs w:val="28"/>
        </w:rPr>
        <w:t xml:space="preserve"> </w:t>
      </w:r>
    </w:p>
    <w:sectPr w:rsidR="00EC1F0E" w:rsidRPr="005A491C" w:rsidSect="00767995">
      <w:headerReference w:type="default" r:id="rId7"/>
      <w:footerReference w:type="default" r:id="rId8"/>
      <w:footerReference w:type="first" r:id="rId9"/>
      <w:pgSz w:w="11906" w:h="16838"/>
      <w:pgMar w:top="567" w:right="1416" w:bottom="1560" w:left="1701" w:header="51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15" w:rsidRDefault="00B65715" w:rsidP="004A53C8">
      <w:pPr>
        <w:spacing w:after="0" w:line="240" w:lineRule="auto"/>
      </w:pPr>
      <w:r>
        <w:separator/>
      </w:r>
    </w:p>
  </w:endnote>
  <w:endnote w:type="continuationSeparator" w:id="0">
    <w:p w:rsidR="00B65715" w:rsidRDefault="00B65715" w:rsidP="004A5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BA"/>
    <w:family w:val="swiss"/>
    <w:pitch w:val="variable"/>
    <w:sig w:usb0="A00002EF" w:usb1="4000207B" w:usb2="00000000" w:usb3="00000000" w:csb0="0000009F" w:csb1="00000000"/>
  </w:font>
  <w:font w:name="Times New Roman">
    <w:altName w:val="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6" w:rsidRPr="00F4546D" w:rsidRDefault="00640726" w:rsidP="00F4546D">
    <w:pPr>
      <w:pStyle w:val="Footer"/>
      <w:spacing w:after="0" w:line="240" w:lineRule="auto"/>
      <w:jc w:val="both"/>
      <w:rPr>
        <w:rFonts w:ascii="Times New Roman" w:hAnsi="Times New Roman"/>
        <w:sz w:val="24"/>
        <w:szCs w:val="24"/>
      </w:rPr>
    </w:pPr>
    <w:r>
      <w:rPr>
        <w:rFonts w:ascii="Times New Roman" w:hAnsi="Times New Roman"/>
        <w:sz w:val="24"/>
        <w:szCs w:val="24"/>
      </w:rPr>
      <w:t>IZMAnot_22</w:t>
    </w:r>
    <w:r w:rsidR="005A491C">
      <w:rPr>
        <w:rFonts w:ascii="Times New Roman" w:hAnsi="Times New Roman"/>
        <w:sz w:val="24"/>
        <w:szCs w:val="24"/>
      </w:rPr>
      <w:t>08</w:t>
    </w:r>
    <w:r w:rsidR="007A20CC" w:rsidRPr="007A20CC">
      <w:rPr>
        <w:rFonts w:ascii="Times New Roman" w:hAnsi="Times New Roman"/>
        <w:sz w:val="24"/>
        <w:szCs w:val="24"/>
      </w:rPr>
      <w:t xml:space="preserve">11_GEANT; </w:t>
    </w:r>
    <w:r w:rsidR="007A20CC" w:rsidRPr="007A20CC">
      <w:rPr>
        <w:rFonts w:ascii="Times New Roman" w:eastAsia="Times New Roman" w:hAnsi="Times New Roman"/>
        <w:bCs/>
        <w:sz w:val="24"/>
        <w:szCs w:val="24"/>
        <w:lang w:eastAsia="lv-LV"/>
      </w:rPr>
      <w:t>Ministru</w:t>
    </w:r>
    <w:r w:rsidR="007A20CC">
      <w:rPr>
        <w:rFonts w:ascii="Times New Roman" w:eastAsia="Times New Roman" w:hAnsi="Times New Roman"/>
        <w:bCs/>
        <w:sz w:val="24"/>
        <w:szCs w:val="24"/>
        <w:lang w:eastAsia="lv-LV"/>
      </w:rPr>
      <w:t xml:space="preserve"> kabineta rīkojuma projekta </w:t>
    </w:r>
    <w:r w:rsidR="007A20CC" w:rsidRPr="00100428">
      <w:rPr>
        <w:rFonts w:ascii="Times New Roman" w:hAnsi="Times New Roman"/>
        <w:sz w:val="24"/>
        <w:szCs w:val="24"/>
      </w:rPr>
      <w:t>„</w:t>
    </w:r>
    <w:r w:rsidR="007A20CC" w:rsidRPr="007A20CC">
      <w:rPr>
        <w:rFonts w:ascii="Times New Roman" w:hAnsi="Times New Roman"/>
        <w:sz w:val="24"/>
        <w:szCs w:val="24"/>
      </w:rPr>
      <w:t>Par Eiropas Savienības 7. Ietvar</w:t>
    </w:r>
    <w:r w:rsidR="007A20CC">
      <w:rPr>
        <w:rFonts w:ascii="Times New Roman" w:hAnsi="Times New Roman"/>
        <w:sz w:val="24"/>
        <w:szCs w:val="24"/>
      </w:rPr>
      <w:t xml:space="preserve">a </w:t>
    </w:r>
    <w:r w:rsidR="007A20CC" w:rsidRPr="007A20CC">
      <w:rPr>
        <w:rFonts w:ascii="Times New Roman" w:hAnsi="Times New Roman"/>
        <w:sz w:val="24"/>
        <w:szCs w:val="24"/>
      </w:rPr>
      <w:t>programmas projekta (granta vienošanās Nr.238875) „Eiropas akadēmiskā tīkla GEANT3 pieslēgums” līdzfinansējuma nodrošināšanu</w:t>
    </w:r>
    <w:r w:rsidR="007A20CC">
      <w:rPr>
        <w:rFonts w:ascii="Times New Roman" w:hAnsi="Times New Roman"/>
        <w:sz w:val="24"/>
        <w:szCs w:val="24"/>
      </w:rPr>
      <w:t>”</w:t>
    </w:r>
    <w:r w:rsidR="007A20CC" w:rsidRPr="00100428">
      <w:rPr>
        <w:rFonts w:ascii="Times New Roman" w:hAnsi="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6" w:rsidRPr="00F4546D" w:rsidRDefault="00640726" w:rsidP="00F4546D">
    <w:pPr>
      <w:pStyle w:val="Footer"/>
      <w:spacing w:after="0" w:line="240" w:lineRule="auto"/>
      <w:jc w:val="both"/>
      <w:rPr>
        <w:rFonts w:ascii="Times New Roman" w:hAnsi="Times New Roman"/>
        <w:sz w:val="24"/>
        <w:szCs w:val="24"/>
      </w:rPr>
    </w:pPr>
    <w:r>
      <w:rPr>
        <w:rFonts w:ascii="Times New Roman" w:hAnsi="Times New Roman"/>
        <w:sz w:val="24"/>
        <w:szCs w:val="24"/>
      </w:rPr>
      <w:t>IZMAnot_22</w:t>
    </w:r>
    <w:r w:rsidR="00F44BF5">
      <w:rPr>
        <w:rFonts w:ascii="Times New Roman" w:hAnsi="Times New Roman"/>
        <w:sz w:val="24"/>
        <w:szCs w:val="24"/>
      </w:rPr>
      <w:t>08</w:t>
    </w:r>
    <w:r w:rsidR="007A20CC" w:rsidRPr="007A20CC">
      <w:rPr>
        <w:rFonts w:ascii="Times New Roman" w:hAnsi="Times New Roman"/>
        <w:sz w:val="24"/>
        <w:szCs w:val="24"/>
      </w:rPr>
      <w:t>11_GEANT</w:t>
    </w:r>
    <w:r w:rsidR="00DD7E36" w:rsidRPr="007A20CC">
      <w:rPr>
        <w:rFonts w:ascii="Times New Roman" w:hAnsi="Times New Roman"/>
        <w:sz w:val="24"/>
        <w:szCs w:val="24"/>
      </w:rPr>
      <w:t xml:space="preserve">; </w:t>
    </w:r>
    <w:r w:rsidR="00DD7E36" w:rsidRPr="007A20CC">
      <w:rPr>
        <w:rFonts w:ascii="Times New Roman" w:eastAsia="Times New Roman" w:hAnsi="Times New Roman"/>
        <w:bCs/>
        <w:sz w:val="24"/>
        <w:szCs w:val="24"/>
        <w:lang w:eastAsia="lv-LV"/>
      </w:rPr>
      <w:t>Ministru</w:t>
    </w:r>
    <w:r w:rsidR="00DD7E36">
      <w:rPr>
        <w:rFonts w:ascii="Times New Roman" w:eastAsia="Times New Roman" w:hAnsi="Times New Roman"/>
        <w:bCs/>
        <w:sz w:val="24"/>
        <w:szCs w:val="24"/>
        <w:lang w:eastAsia="lv-LV"/>
      </w:rPr>
      <w:t xml:space="preserve"> kabineta </w:t>
    </w:r>
    <w:r w:rsidR="007A20CC">
      <w:rPr>
        <w:rFonts w:ascii="Times New Roman" w:eastAsia="Times New Roman" w:hAnsi="Times New Roman"/>
        <w:bCs/>
        <w:sz w:val="24"/>
        <w:szCs w:val="24"/>
        <w:lang w:eastAsia="lv-LV"/>
      </w:rPr>
      <w:t>rīkojuma</w:t>
    </w:r>
    <w:r w:rsidR="00DD7E36">
      <w:rPr>
        <w:rFonts w:ascii="Times New Roman" w:eastAsia="Times New Roman" w:hAnsi="Times New Roman"/>
        <w:bCs/>
        <w:sz w:val="24"/>
        <w:szCs w:val="24"/>
        <w:lang w:eastAsia="lv-LV"/>
      </w:rPr>
      <w:t xml:space="preserve"> projekta </w:t>
    </w:r>
    <w:r w:rsidR="00DD7E36" w:rsidRPr="00100428">
      <w:rPr>
        <w:rFonts w:ascii="Times New Roman" w:hAnsi="Times New Roman"/>
        <w:sz w:val="24"/>
        <w:szCs w:val="24"/>
      </w:rPr>
      <w:t>„</w:t>
    </w:r>
    <w:r w:rsidR="007A20CC" w:rsidRPr="007A20CC">
      <w:rPr>
        <w:rFonts w:ascii="Times New Roman" w:hAnsi="Times New Roman"/>
        <w:sz w:val="24"/>
        <w:szCs w:val="24"/>
      </w:rPr>
      <w:t>Par Eiropas Savienības 7. Ietvar</w:t>
    </w:r>
    <w:r w:rsidR="007A20CC">
      <w:rPr>
        <w:rFonts w:ascii="Times New Roman" w:hAnsi="Times New Roman"/>
        <w:sz w:val="24"/>
        <w:szCs w:val="24"/>
      </w:rPr>
      <w:t xml:space="preserve">a </w:t>
    </w:r>
    <w:r w:rsidR="007A20CC" w:rsidRPr="007A20CC">
      <w:rPr>
        <w:rFonts w:ascii="Times New Roman" w:hAnsi="Times New Roman"/>
        <w:sz w:val="24"/>
        <w:szCs w:val="24"/>
      </w:rPr>
      <w:t>programmas projekta (granta vienošanās Nr.238875) „Eiropas akadēmiskā tīkla GEANT3 pieslēgums” līdzfinansējuma nodrošināšanu</w:t>
    </w:r>
    <w:r w:rsidR="00DD7E36">
      <w:rPr>
        <w:rFonts w:ascii="Times New Roman" w:hAnsi="Times New Roman"/>
        <w:sz w:val="24"/>
        <w:szCs w:val="24"/>
      </w:rPr>
      <w:t>”</w:t>
    </w:r>
    <w:r w:rsidR="00DD7E36" w:rsidRPr="00100428">
      <w:rPr>
        <w:rFonts w:ascii="Times New Roman" w:hAnsi="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15" w:rsidRDefault="00B65715" w:rsidP="004A53C8">
      <w:pPr>
        <w:spacing w:after="0" w:line="240" w:lineRule="auto"/>
      </w:pPr>
      <w:r>
        <w:separator/>
      </w:r>
    </w:p>
  </w:footnote>
  <w:footnote w:type="continuationSeparator" w:id="0">
    <w:p w:rsidR="00B65715" w:rsidRDefault="00B65715" w:rsidP="004A5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6" w:rsidRDefault="008A23B9"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DD7E36"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640726">
      <w:rPr>
        <w:rFonts w:ascii="Times New Roman" w:hAnsi="Times New Roman"/>
        <w:noProof/>
        <w:sz w:val="24"/>
        <w:szCs w:val="24"/>
      </w:rPr>
      <w:t>9</w:t>
    </w:r>
    <w:r w:rsidRPr="00F4546D">
      <w:rPr>
        <w:rFonts w:ascii="Times New Roman" w:hAnsi="Times New Roman"/>
        <w:sz w:val="24"/>
        <w:szCs w:val="24"/>
      </w:rPr>
      <w:fldChar w:fldCharType="end"/>
    </w:r>
  </w:p>
  <w:p w:rsidR="00DD7E36" w:rsidRPr="00F4546D" w:rsidRDefault="00DD7E36" w:rsidP="00F4546D">
    <w:pPr>
      <w:pStyle w:val="Header"/>
      <w:spacing w:after="0"/>
      <w:jc w:val="cent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2D00"/>
    <w:rsid w:val="00000F0D"/>
    <w:rsid w:val="0001064F"/>
    <w:rsid w:val="0001406B"/>
    <w:rsid w:val="00017353"/>
    <w:rsid w:val="00023316"/>
    <w:rsid w:val="00032DD2"/>
    <w:rsid w:val="000449AB"/>
    <w:rsid w:val="000542AF"/>
    <w:rsid w:val="00087DBE"/>
    <w:rsid w:val="0009669B"/>
    <w:rsid w:val="000C0CAE"/>
    <w:rsid w:val="000C283A"/>
    <w:rsid w:val="000C4B3B"/>
    <w:rsid w:val="000C5AB1"/>
    <w:rsid w:val="000D15E9"/>
    <w:rsid w:val="000F0C56"/>
    <w:rsid w:val="000F597B"/>
    <w:rsid w:val="000F73C1"/>
    <w:rsid w:val="00100428"/>
    <w:rsid w:val="00121135"/>
    <w:rsid w:val="00121795"/>
    <w:rsid w:val="0015255C"/>
    <w:rsid w:val="00156974"/>
    <w:rsid w:val="00165D3E"/>
    <w:rsid w:val="00174DD7"/>
    <w:rsid w:val="00181CD2"/>
    <w:rsid w:val="001A03C6"/>
    <w:rsid w:val="001B2B20"/>
    <w:rsid w:val="001B6C7B"/>
    <w:rsid w:val="001D5D6F"/>
    <w:rsid w:val="001E2DA8"/>
    <w:rsid w:val="001E5D64"/>
    <w:rsid w:val="001F3CCA"/>
    <w:rsid w:val="001F534A"/>
    <w:rsid w:val="001F7293"/>
    <w:rsid w:val="002079C8"/>
    <w:rsid w:val="002172EA"/>
    <w:rsid w:val="00217534"/>
    <w:rsid w:val="00224EBD"/>
    <w:rsid w:val="00230DF1"/>
    <w:rsid w:val="0024564B"/>
    <w:rsid w:val="00253058"/>
    <w:rsid w:val="00260CAD"/>
    <w:rsid w:val="00260F73"/>
    <w:rsid w:val="00272847"/>
    <w:rsid w:val="002728BD"/>
    <w:rsid w:val="00273B81"/>
    <w:rsid w:val="00287140"/>
    <w:rsid w:val="00293501"/>
    <w:rsid w:val="00293A2F"/>
    <w:rsid w:val="002944CE"/>
    <w:rsid w:val="002A1A35"/>
    <w:rsid w:val="002A2EB8"/>
    <w:rsid w:val="002D0EB1"/>
    <w:rsid w:val="002D39D8"/>
    <w:rsid w:val="00312222"/>
    <w:rsid w:val="00383670"/>
    <w:rsid w:val="00392D00"/>
    <w:rsid w:val="003A42B6"/>
    <w:rsid w:val="003B0459"/>
    <w:rsid w:val="003B756D"/>
    <w:rsid w:val="003D5881"/>
    <w:rsid w:val="003D5F83"/>
    <w:rsid w:val="003F18FF"/>
    <w:rsid w:val="00412755"/>
    <w:rsid w:val="00437554"/>
    <w:rsid w:val="00441CF1"/>
    <w:rsid w:val="00454A2A"/>
    <w:rsid w:val="00466CD2"/>
    <w:rsid w:val="004731A7"/>
    <w:rsid w:val="00481AA6"/>
    <w:rsid w:val="00482C68"/>
    <w:rsid w:val="004A2A60"/>
    <w:rsid w:val="004A53C8"/>
    <w:rsid w:val="004A549F"/>
    <w:rsid w:val="004B3C16"/>
    <w:rsid w:val="004C4E93"/>
    <w:rsid w:val="004D6490"/>
    <w:rsid w:val="004E2B89"/>
    <w:rsid w:val="004E32B9"/>
    <w:rsid w:val="004F1616"/>
    <w:rsid w:val="005107B8"/>
    <w:rsid w:val="00532411"/>
    <w:rsid w:val="00533B28"/>
    <w:rsid w:val="005358B5"/>
    <w:rsid w:val="005371D8"/>
    <w:rsid w:val="00537B65"/>
    <w:rsid w:val="00546490"/>
    <w:rsid w:val="00556BF7"/>
    <w:rsid w:val="00564C58"/>
    <w:rsid w:val="005749B4"/>
    <w:rsid w:val="0057525F"/>
    <w:rsid w:val="00577216"/>
    <w:rsid w:val="00583EA6"/>
    <w:rsid w:val="005961AE"/>
    <w:rsid w:val="005A491C"/>
    <w:rsid w:val="005B5405"/>
    <w:rsid w:val="005C01EE"/>
    <w:rsid w:val="005C27E0"/>
    <w:rsid w:val="005C3CF8"/>
    <w:rsid w:val="005C3F18"/>
    <w:rsid w:val="005C42B1"/>
    <w:rsid w:val="005E1E41"/>
    <w:rsid w:val="005E5ADC"/>
    <w:rsid w:val="005F748A"/>
    <w:rsid w:val="00605A50"/>
    <w:rsid w:val="0061041C"/>
    <w:rsid w:val="00615C77"/>
    <w:rsid w:val="00617FAE"/>
    <w:rsid w:val="00622107"/>
    <w:rsid w:val="00634BA3"/>
    <w:rsid w:val="00634FE0"/>
    <w:rsid w:val="00640726"/>
    <w:rsid w:val="006442D4"/>
    <w:rsid w:val="00655755"/>
    <w:rsid w:val="006558D9"/>
    <w:rsid w:val="006838DC"/>
    <w:rsid w:val="00687683"/>
    <w:rsid w:val="00694633"/>
    <w:rsid w:val="006A4963"/>
    <w:rsid w:val="006F2B6C"/>
    <w:rsid w:val="007012C0"/>
    <w:rsid w:val="007058CE"/>
    <w:rsid w:val="00707AF7"/>
    <w:rsid w:val="0071082B"/>
    <w:rsid w:val="00721499"/>
    <w:rsid w:val="007248FB"/>
    <w:rsid w:val="00765C61"/>
    <w:rsid w:val="00767995"/>
    <w:rsid w:val="00777B7A"/>
    <w:rsid w:val="007929A7"/>
    <w:rsid w:val="007A1CA7"/>
    <w:rsid w:val="007A20CC"/>
    <w:rsid w:val="007C5781"/>
    <w:rsid w:val="007D0D7C"/>
    <w:rsid w:val="00800369"/>
    <w:rsid w:val="00803929"/>
    <w:rsid w:val="0080466A"/>
    <w:rsid w:val="008157C2"/>
    <w:rsid w:val="00815E02"/>
    <w:rsid w:val="008260CD"/>
    <w:rsid w:val="00831989"/>
    <w:rsid w:val="00845707"/>
    <w:rsid w:val="00846E03"/>
    <w:rsid w:val="00850455"/>
    <w:rsid w:val="00874A1F"/>
    <w:rsid w:val="008A23B9"/>
    <w:rsid w:val="008B2808"/>
    <w:rsid w:val="008B6421"/>
    <w:rsid w:val="008C4813"/>
    <w:rsid w:val="008D37A4"/>
    <w:rsid w:val="008D40D6"/>
    <w:rsid w:val="008D6EB5"/>
    <w:rsid w:val="008E0B7B"/>
    <w:rsid w:val="00915129"/>
    <w:rsid w:val="00930A74"/>
    <w:rsid w:val="0093575D"/>
    <w:rsid w:val="0093650C"/>
    <w:rsid w:val="00941FD8"/>
    <w:rsid w:val="009625C1"/>
    <w:rsid w:val="00970E40"/>
    <w:rsid w:val="00977CA5"/>
    <w:rsid w:val="009864E3"/>
    <w:rsid w:val="00992982"/>
    <w:rsid w:val="009A10C4"/>
    <w:rsid w:val="009A4041"/>
    <w:rsid w:val="009A4F80"/>
    <w:rsid w:val="009A5F80"/>
    <w:rsid w:val="009A72F3"/>
    <w:rsid w:val="009B3D7E"/>
    <w:rsid w:val="009C0669"/>
    <w:rsid w:val="009C0B25"/>
    <w:rsid w:val="009C32E3"/>
    <w:rsid w:val="009E0243"/>
    <w:rsid w:val="009E10DB"/>
    <w:rsid w:val="009E3846"/>
    <w:rsid w:val="009F4E4E"/>
    <w:rsid w:val="00A002BA"/>
    <w:rsid w:val="00A003DA"/>
    <w:rsid w:val="00A07F00"/>
    <w:rsid w:val="00A24012"/>
    <w:rsid w:val="00A272D5"/>
    <w:rsid w:val="00A32F3C"/>
    <w:rsid w:val="00A4504C"/>
    <w:rsid w:val="00A50BF9"/>
    <w:rsid w:val="00A56F17"/>
    <w:rsid w:val="00A85C0C"/>
    <w:rsid w:val="00A90911"/>
    <w:rsid w:val="00A94568"/>
    <w:rsid w:val="00AA0FAC"/>
    <w:rsid w:val="00AF7504"/>
    <w:rsid w:val="00B025EA"/>
    <w:rsid w:val="00B05BEE"/>
    <w:rsid w:val="00B06F97"/>
    <w:rsid w:val="00B1191D"/>
    <w:rsid w:val="00B12126"/>
    <w:rsid w:val="00B2641B"/>
    <w:rsid w:val="00B35339"/>
    <w:rsid w:val="00B401D3"/>
    <w:rsid w:val="00B407B3"/>
    <w:rsid w:val="00B4659F"/>
    <w:rsid w:val="00B466FE"/>
    <w:rsid w:val="00B65715"/>
    <w:rsid w:val="00B7635B"/>
    <w:rsid w:val="00B84D53"/>
    <w:rsid w:val="00B858EC"/>
    <w:rsid w:val="00B92FD1"/>
    <w:rsid w:val="00B9513E"/>
    <w:rsid w:val="00BC0285"/>
    <w:rsid w:val="00C05444"/>
    <w:rsid w:val="00C20B21"/>
    <w:rsid w:val="00C2600F"/>
    <w:rsid w:val="00C41CAB"/>
    <w:rsid w:val="00C45B46"/>
    <w:rsid w:val="00C5043D"/>
    <w:rsid w:val="00C56C53"/>
    <w:rsid w:val="00C601A0"/>
    <w:rsid w:val="00C6553D"/>
    <w:rsid w:val="00C71B8A"/>
    <w:rsid w:val="00C7324C"/>
    <w:rsid w:val="00C74AB0"/>
    <w:rsid w:val="00C80BCF"/>
    <w:rsid w:val="00C8216A"/>
    <w:rsid w:val="00C968A0"/>
    <w:rsid w:val="00CD1AF5"/>
    <w:rsid w:val="00CD3F45"/>
    <w:rsid w:val="00CD6A69"/>
    <w:rsid w:val="00CE70D4"/>
    <w:rsid w:val="00CF6E60"/>
    <w:rsid w:val="00D06227"/>
    <w:rsid w:val="00D125D1"/>
    <w:rsid w:val="00D12AFD"/>
    <w:rsid w:val="00D262CE"/>
    <w:rsid w:val="00D30BCC"/>
    <w:rsid w:val="00D316C4"/>
    <w:rsid w:val="00D32E3B"/>
    <w:rsid w:val="00D358CA"/>
    <w:rsid w:val="00DB30BA"/>
    <w:rsid w:val="00DB475F"/>
    <w:rsid w:val="00DB4EDB"/>
    <w:rsid w:val="00DB5276"/>
    <w:rsid w:val="00DB6EBF"/>
    <w:rsid w:val="00DD1723"/>
    <w:rsid w:val="00DD71CA"/>
    <w:rsid w:val="00DD7E36"/>
    <w:rsid w:val="00DE1C03"/>
    <w:rsid w:val="00DE3C89"/>
    <w:rsid w:val="00DF3542"/>
    <w:rsid w:val="00DF3E8A"/>
    <w:rsid w:val="00E01393"/>
    <w:rsid w:val="00E024A2"/>
    <w:rsid w:val="00E22395"/>
    <w:rsid w:val="00E40E6A"/>
    <w:rsid w:val="00E6424D"/>
    <w:rsid w:val="00E762B9"/>
    <w:rsid w:val="00E830E0"/>
    <w:rsid w:val="00E90688"/>
    <w:rsid w:val="00EA2144"/>
    <w:rsid w:val="00EB4EB5"/>
    <w:rsid w:val="00EC08CE"/>
    <w:rsid w:val="00EC1F0E"/>
    <w:rsid w:val="00EC418C"/>
    <w:rsid w:val="00ED5A40"/>
    <w:rsid w:val="00EE08C5"/>
    <w:rsid w:val="00EF36B7"/>
    <w:rsid w:val="00EF3B55"/>
    <w:rsid w:val="00F157AE"/>
    <w:rsid w:val="00F20FF9"/>
    <w:rsid w:val="00F37D8F"/>
    <w:rsid w:val="00F44BF5"/>
    <w:rsid w:val="00F4546D"/>
    <w:rsid w:val="00F5386D"/>
    <w:rsid w:val="00F9465B"/>
    <w:rsid w:val="00FA5AF0"/>
    <w:rsid w:val="00FB2E14"/>
    <w:rsid w:val="00FC48C0"/>
    <w:rsid w:val="00FC58AE"/>
    <w:rsid w:val="00FD58C4"/>
    <w:rsid w:val="00FE08D2"/>
    <w:rsid w:val="00FF35CA"/>
    <w:rsid w:val="00FF6D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0E"/>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7A20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semiHidden/>
    <w:unhideWhenUsed/>
    <w:rsid w:val="004A53C8"/>
    <w:pPr>
      <w:tabs>
        <w:tab w:val="center" w:pos="4153"/>
        <w:tab w:val="right" w:pos="8306"/>
      </w:tabs>
    </w:pPr>
  </w:style>
  <w:style w:type="character" w:customStyle="1" w:styleId="FooterChar">
    <w:name w:val="Footer Char"/>
    <w:basedOn w:val="DefaultParagraphFont"/>
    <w:link w:val="Footer"/>
    <w:uiPriority w:val="99"/>
    <w:semiHidden/>
    <w:rsid w:val="004A53C8"/>
    <w:rPr>
      <w:sz w:val="22"/>
      <w:szCs w:val="22"/>
      <w:lang w:eastAsia="en-US"/>
    </w:rPr>
  </w:style>
  <w:style w:type="character" w:styleId="Hyperlink">
    <w:name w:val="Hyperlink"/>
    <w:basedOn w:val="DefaultParagraphFont"/>
    <w:uiPriority w:val="99"/>
    <w:unhideWhenUsed/>
    <w:rsid w:val="002A2EB8"/>
    <w:rPr>
      <w:color w:val="0000FF"/>
      <w:u w:val="single"/>
    </w:rPr>
  </w:style>
  <w:style w:type="paragraph" w:styleId="FootnoteText">
    <w:name w:val="footnote text"/>
    <w:basedOn w:val="Normal"/>
    <w:link w:val="FootnoteTextChar"/>
    <w:uiPriority w:val="99"/>
    <w:semiHidden/>
    <w:unhideWhenUsed/>
    <w:rsid w:val="00D12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AFD"/>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D12AFD"/>
    <w:rPr>
      <w:vertAlign w:val="superscript"/>
    </w:rPr>
  </w:style>
  <w:style w:type="character" w:styleId="Emphasis">
    <w:name w:val="Emphasis"/>
    <w:basedOn w:val="DefaultParagraphFont"/>
    <w:uiPriority w:val="20"/>
    <w:qFormat/>
    <w:rsid w:val="00D12AFD"/>
    <w:rPr>
      <w:i/>
      <w:iCs/>
    </w:rPr>
  </w:style>
  <w:style w:type="paragraph" w:customStyle="1" w:styleId="CM4">
    <w:name w:val="CM4"/>
    <w:basedOn w:val="Normal"/>
    <w:next w:val="Normal"/>
    <w:uiPriority w:val="99"/>
    <w:rsid w:val="00E024A2"/>
    <w:pPr>
      <w:autoSpaceDE w:val="0"/>
      <w:autoSpaceDN w:val="0"/>
      <w:adjustRightInd w:val="0"/>
      <w:spacing w:before="60" w:after="60" w:line="240" w:lineRule="auto"/>
    </w:pPr>
    <w:rPr>
      <w:rFonts w:ascii="EUAlbertina" w:hAnsi="EUAlbertina"/>
      <w:sz w:val="24"/>
      <w:szCs w:val="24"/>
      <w:lang w:eastAsia="lv-LV"/>
    </w:rPr>
  </w:style>
  <w:style w:type="paragraph" w:styleId="ListParagraph">
    <w:name w:val="List Paragraph"/>
    <w:basedOn w:val="Normal"/>
    <w:uiPriority w:val="34"/>
    <w:qFormat/>
    <w:rsid w:val="00A003DA"/>
    <w:pPr>
      <w:ind w:left="720"/>
      <w:contextualSpacing/>
    </w:pPr>
  </w:style>
  <w:style w:type="paragraph" w:customStyle="1" w:styleId="naisc">
    <w:name w:val="naisc"/>
    <w:basedOn w:val="Normal"/>
    <w:rsid w:val="009E3846"/>
    <w:pPr>
      <w:spacing w:before="75" w:after="75" w:line="240" w:lineRule="auto"/>
      <w:jc w:val="center"/>
    </w:pPr>
    <w:rPr>
      <w:rFonts w:ascii="Times New Roman" w:eastAsia="Times New Roman" w:hAnsi="Times New Roman"/>
      <w:sz w:val="24"/>
      <w:szCs w:val="24"/>
      <w:lang w:eastAsia="lv-LV"/>
    </w:rPr>
  </w:style>
  <w:style w:type="paragraph" w:customStyle="1" w:styleId="thr">
    <w:name w:val="thr"/>
    <w:basedOn w:val="Normal"/>
    <w:uiPriority w:val="99"/>
    <w:rsid w:val="0080466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naisf">
    <w:name w:val="naisf"/>
    <w:basedOn w:val="Normal"/>
    <w:rsid w:val="00DD7E36"/>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DD7E36"/>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DD7E36"/>
    <w:pPr>
      <w:spacing w:before="75" w:after="75"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uiPriority w:val="9"/>
    <w:rsid w:val="007A20CC"/>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A002BA"/>
    <w:rPr>
      <w:sz w:val="16"/>
      <w:szCs w:val="16"/>
    </w:rPr>
  </w:style>
  <w:style w:type="paragraph" w:styleId="CommentText">
    <w:name w:val="annotation text"/>
    <w:basedOn w:val="Normal"/>
    <w:link w:val="CommentTextChar"/>
    <w:uiPriority w:val="99"/>
    <w:semiHidden/>
    <w:unhideWhenUsed/>
    <w:rsid w:val="00A002BA"/>
    <w:pPr>
      <w:spacing w:line="240" w:lineRule="auto"/>
    </w:pPr>
    <w:rPr>
      <w:sz w:val="20"/>
      <w:szCs w:val="20"/>
    </w:rPr>
  </w:style>
  <w:style w:type="character" w:customStyle="1" w:styleId="CommentTextChar">
    <w:name w:val="Comment Text Char"/>
    <w:basedOn w:val="DefaultParagraphFont"/>
    <w:link w:val="CommentText"/>
    <w:uiPriority w:val="99"/>
    <w:semiHidden/>
    <w:rsid w:val="00A002BA"/>
    <w:rPr>
      <w:lang w:eastAsia="en-US"/>
    </w:rPr>
  </w:style>
  <w:style w:type="paragraph" w:styleId="CommentSubject">
    <w:name w:val="annotation subject"/>
    <w:basedOn w:val="CommentText"/>
    <w:next w:val="CommentText"/>
    <w:link w:val="CommentSubjectChar"/>
    <w:uiPriority w:val="99"/>
    <w:semiHidden/>
    <w:unhideWhenUsed/>
    <w:rsid w:val="00A002BA"/>
    <w:rPr>
      <w:b/>
      <w:bCs/>
    </w:rPr>
  </w:style>
  <w:style w:type="character" w:customStyle="1" w:styleId="CommentSubjectChar">
    <w:name w:val="Comment Subject Char"/>
    <w:basedOn w:val="CommentTextChar"/>
    <w:link w:val="CommentSubject"/>
    <w:uiPriority w:val="99"/>
    <w:semiHidden/>
    <w:rsid w:val="00A002BA"/>
    <w:rPr>
      <w:b/>
      <w:bCs/>
    </w:rPr>
  </w:style>
  <w:style w:type="paragraph" w:styleId="BalloonText">
    <w:name w:val="Balloon Text"/>
    <w:basedOn w:val="Normal"/>
    <w:link w:val="BalloonTextChar"/>
    <w:uiPriority w:val="99"/>
    <w:semiHidden/>
    <w:unhideWhenUsed/>
    <w:rsid w:val="00A00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2B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94616902">
      <w:bodyDiv w:val="1"/>
      <w:marLeft w:val="0"/>
      <w:marRight w:val="0"/>
      <w:marTop w:val="0"/>
      <w:marBottom w:val="0"/>
      <w:divBdr>
        <w:top w:val="none" w:sz="0" w:space="0" w:color="auto"/>
        <w:left w:val="none" w:sz="0" w:space="0" w:color="auto"/>
        <w:bottom w:val="none" w:sz="0" w:space="0" w:color="auto"/>
        <w:right w:val="none" w:sz="0" w:space="0" w:color="auto"/>
      </w:divBdr>
      <w:divsChild>
        <w:div w:id="1066605082">
          <w:marLeft w:val="0"/>
          <w:marRight w:val="0"/>
          <w:marTop w:val="0"/>
          <w:marBottom w:val="0"/>
          <w:divBdr>
            <w:top w:val="none" w:sz="0" w:space="0" w:color="auto"/>
            <w:left w:val="none" w:sz="0" w:space="0" w:color="auto"/>
            <w:bottom w:val="none" w:sz="0" w:space="0" w:color="auto"/>
            <w:right w:val="none" w:sz="0" w:space="0" w:color="auto"/>
          </w:divBdr>
        </w:div>
        <w:div w:id="1935940411">
          <w:marLeft w:val="0"/>
          <w:marRight w:val="0"/>
          <w:marTop w:val="0"/>
          <w:marBottom w:val="0"/>
          <w:divBdr>
            <w:top w:val="none" w:sz="0" w:space="0" w:color="auto"/>
            <w:left w:val="none" w:sz="0" w:space="0" w:color="auto"/>
            <w:bottom w:val="none" w:sz="0" w:space="0" w:color="auto"/>
            <w:right w:val="none" w:sz="0" w:space="0" w:color="auto"/>
          </w:divBdr>
        </w:div>
      </w:divsChild>
    </w:div>
    <w:div w:id="707340776">
      <w:bodyDiv w:val="1"/>
      <w:marLeft w:val="0"/>
      <w:marRight w:val="0"/>
      <w:marTop w:val="0"/>
      <w:marBottom w:val="0"/>
      <w:divBdr>
        <w:top w:val="none" w:sz="0" w:space="0" w:color="auto"/>
        <w:left w:val="none" w:sz="0" w:space="0" w:color="auto"/>
        <w:bottom w:val="none" w:sz="0" w:space="0" w:color="auto"/>
        <w:right w:val="none" w:sz="0" w:space="0" w:color="auto"/>
      </w:divBdr>
    </w:div>
    <w:div w:id="1491558846">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pars.kalsnavs@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1729</Words>
  <Characters>12180</Characters>
  <Application>Microsoft Office Word</Application>
  <DocSecurity>0</DocSecurity>
  <Lines>553</Lines>
  <Paragraphs>248</Paragraphs>
  <ScaleCrop>false</ScaleCrop>
  <HeadingPairs>
    <vt:vector size="2" baseType="variant">
      <vt:variant>
        <vt:lpstr>Title</vt:lpstr>
      </vt:variant>
      <vt:variant>
        <vt:i4>1</vt:i4>
      </vt:variant>
    </vt:vector>
  </HeadingPairs>
  <TitlesOfParts>
    <vt:vector size="1" baseType="lpstr">
      <vt:lpstr>Ministru kabineta rīkojuma projekta „Par Eiropas Savienības 7. Ietvara programmas projekta (granta vienošanās Nr.238875) „Eiropas akadēmiskā tīkla GEANT3 pieslēgums” līdzfinansējuma nodrošināšanu” sākotnējās ietekmes novērtējuma ziņojums (anotācija)</vt:lpstr>
    </vt:vector>
  </TitlesOfParts>
  <Company>IZM</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kkalsnavs</dc:creator>
  <cp:keywords/>
  <dc:description/>
  <cp:lastModifiedBy>kkalsnavs</cp:lastModifiedBy>
  <cp:revision>2</cp:revision>
  <cp:lastPrinted>2011-07-08T07:05:00Z</cp:lastPrinted>
  <dcterms:created xsi:type="dcterms:W3CDTF">2011-08-22T09:40:00Z</dcterms:created>
  <dcterms:modified xsi:type="dcterms:W3CDTF">2011-08-22T09:40:00Z</dcterms:modified>
</cp:coreProperties>
</file>