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8B" w:rsidRDefault="00EC3581" w:rsidP="00EC3581">
      <w:pPr>
        <w:jc w:val="center"/>
        <w:rPr>
          <w:b/>
          <w:sz w:val="28"/>
          <w:szCs w:val="28"/>
        </w:rPr>
      </w:pPr>
      <w:bookmarkStart w:id="0" w:name="OLE_LINK1"/>
      <w:bookmarkStart w:id="1" w:name="OLE_LINK2"/>
      <w:r w:rsidRPr="004D2B8B">
        <w:rPr>
          <w:b/>
          <w:sz w:val="28"/>
          <w:szCs w:val="28"/>
        </w:rPr>
        <w:t>Ministru kabineta noteikumu projekta</w:t>
      </w:r>
    </w:p>
    <w:p w:rsidR="008C5649" w:rsidRPr="004D2B8B" w:rsidRDefault="00EC3581" w:rsidP="00EC3581">
      <w:pPr>
        <w:jc w:val="center"/>
        <w:rPr>
          <w:b/>
          <w:sz w:val="28"/>
          <w:szCs w:val="28"/>
        </w:rPr>
      </w:pPr>
      <w:r w:rsidRPr="004D2B8B">
        <w:rPr>
          <w:b/>
          <w:sz w:val="28"/>
          <w:szCs w:val="28"/>
        </w:rPr>
        <w:t xml:space="preserve"> </w:t>
      </w:r>
      <w:r w:rsidR="004D2B8B">
        <w:rPr>
          <w:b/>
          <w:sz w:val="28"/>
          <w:szCs w:val="28"/>
        </w:rPr>
        <w:t>„</w:t>
      </w:r>
      <w:r w:rsidRPr="004D2B8B">
        <w:rPr>
          <w:b/>
          <w:bCs/>
          <w:sz w:val="28"/>
          <w:szCs w:val="28"/>
        </w:rPr>
        <w:t>Noteikumi par valsts vispārēj</w:t>
      </w:r>
      <w:r w:rsidR="00682925" w:rsidRPr="004D2B8B">
        <w:rPr>
          <w:b/>
          <w:bCs/>
          <w:sz w:val="28"/>
          <w:szCs w:val="28"/>
        </w:rPr>
        <w:t>ās vidējās izglītības standartu,</w:t>
      </w:r>
      <w:r w:rsidRPr="004D2B8B">
        <w:rPr>
          <w:b/>
          <w:bCs/>
          <w:sz w:val="28"/>
          <w:szCs w:val="28"/>
        </w:rPr>
        <w:t xml:space="preserve"> mācību priekšmetu standartiem</w:t>
      </w:r>
      <w:r w:rsidRPr="004D2B8B">
        <w:rPr>
          <w:b/>
          <w:sz w:val="28"/>
          <w:szCs w:val="28"/>
        </w:rPr>
        <w:t xml:space="preserve"> </w:t>
      </w:r>
      <w:r w:rsidR="00682925" w:rsidRPr="004D2B8B">
        <w:rPr>
          <w:b/>
          <w:sz w:val="28"/>
          <w:szCs w:val="28"/>
        </w:rPr>
        <w:t>un izg</w:t>
      </w:r>
      <w:r w:rsidRPr="004D2B8B">
        <w:rPr>
          <w:b/>
          <w:sz w:val="28"/>
          <w:szCs w:val="28"/>
        </w:rPr>
        <w:t>lītības programmu paraugiem”</w:t>
      </w:r>
      <w:r w:rsidR="00852042" w:rsidRPr="004D2B8B">
        <w:rPr>
          <w:b/>
          <w:sz w:val="28"/>
          <w:szCs w:val="28"/>
        </w:rPr>
        <w:t xml:space="preserve"> </w:t>
      </w:r>
      <w:bookmarkEnd w:id="0"/>
      <w:bookmarkEnd w:id="1"/>
      <w:r w:rsidR="00852042" w:rsidRPr="004D2B8B">
        <w:rPr>
          <w:b/>
          <w:sz w:val="28"/>
          <w:szCs w:val="28"/>
        </w:rPr>
        <w:t>sākotnējā</w:t>
      </w:r>
      <w:r w:rsidR="002D3306" w:rsidRPr="004D2B8B">
        <w:rPr>
          <w:b/>
          <w:sz w:val="28"/>
          <w:szCs w:val="28"/>
        </w:rPr>
        <w:t>s</w:t>
      </w:r>
      <w:r w:rsidR="00852042" w:rsidRPr="004D2B8B">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4D2B8B">
          <w:rPr>
            <w:b/>
            <w:sz w:val="28"/>
            <w:szCs w:val="28"/>
          </w:rPr>
          <w:t>ziņojums</w:t>
        </w:r>
      </w:smartTag>
      <w:r w:rsidR="00852042" w:rsidRPr="004D2B8B">
        <w:rPr>
          <w:b/>
          <w:sz w:val="28"/>
          <w:szCs w:val="28"/>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261"/>
        <w:gridCol w:w="5271"/>
      </w:tblGrid>
      <w:tr w:rsidR="00852042" w:rsidRPr="007C0F2C" w:rsidTr="00F03E5C">
        <w:tc>
          <w:tcPr>
            <w:tcW w:w="0" w:type="auto"/>
            <w:gridSpan w:val="3"/>
            <w:vAlign w:val="center"/>
          </w:tcPr>
          <w:p w:rsidR="00852042" w:rsidRDefault="00852042" w:rsidP="006C4607">
            <w:pPr>
              <w:pStyle w:val="naisnod"/>
              <w:spacing w:before="0" w:after="0"/>
              <w:rPr>
                <w:sz w:val="28"/>
                <w:szCs w:val="28"/>
              </w:rPr>
            </w:pPr>
            <w:r w:rsidRPr="004D2B8B">
              <w:rPr>
                <w:sz w:val="28"/>
                <w:szCs w:val="28"/>
              </w:rPr>
              <w:t>I</w:t>
            </w:r>
            <w:r w:rsidR="000941C5" w:rsidRPr="004D2B8B">
              <w:rPr>
                <w:sz w:val="28"/>
                <w:szCs w:val="28"/>
              </w:rPr>
              <w:t>.</w:t>
            </w:r>
            <w:r w:rsidRPr="004D2B8B">
              <w:rPr>
                <w:sz w:val="28"/>
                <w:szCs w:val="28"/>
              </w:rPr>
              <w:t xml:space="preserve"> Tiesību akta </w:t>
            </w:r>
            <w:r w:rsidR="002E3FF4" w:rsidRPr="004D2B8B">
              <w:rPr>
                <w:sz w:val="28"/>
                <w:szCs w:val="28"/>
              </w:rPr>
              <w:t xml:space="preserve">projekta </w:t>
            </w:r>
            <w:r w:rsidRPr="004D2B8B">
              <w:rPr>
                <w:sz w:val="28"/>
                <w:szCs w:val="28"/>
              </w:rPr>
              <w:t>izstrādes nepieciešamība</w:t>
            </w:r>
          </w:p>
          <w:p w:rsidR="004D2B8B" w:rsidRPr="004D2B8B" w:rsidRDefault="004D2B8B" w:rsidP="006C4607">
            <w:pPr>
              <w:pStyle w:val="naisnod"/>
              <w:spacing w:before="0" w:after="0"/>
              <w:rPr>
                <w:sz w:val="28"/>
                <w:szCs w:val="28"/>
              </w:rPr>
            </w:pPr>
          </w:p>
        </w:tc>
      </w:tr>
      <w:tr w:rsidR="00E15CED" w:rsidRPr="004D2B8B" w:rsidTr="004D2B8B">
        <w:trPr>
          <w:trHeight w:val="630"/>
        </w:trPr>
        <w:tc>
          <w:tcPr>
            <w:tcW w:w="595" w:type="dxa"/>
          </w:tcPr>
          <w:p w:rsidR="00262E2B" w:rsidRPr="004D2B8B" w:rsidRDefault="00262E2B" w:rsidP="006C4607">
            <w:pPr>
              <w:pStyle w:val="naiskr"/>
              <w:spacing w:before="0" w:after="0"/>
              <w:rPr>
                <w:sz w:val="28"/>
                <w:szCs w:val="28"/>
              </w:rPr>
            </w:pPr>
            <w:r w:rsidRPr="004D2B8B">
              <w:rPr>
                <w:sz w:val="28"/>
                <w:szCs w:val="28"/>
              </w:rPr>
              <w:t>1.</w:t>
            </w:r>
          </w:p>
        </w:tc>
        <w:tc>
          <w:tcPr>
            <w:tcW w:w="3261" w:type="dxa"/>
          </w:tcPr>
          <w:p w:rsidR="00262E2B" w:rsidRPr="004D2B8B" w:rsidRDefault="002D7F54" w:rsidP="006C4607">
            <w:pPr>
              <w:pStyle w:val="naiskr"/>
              <w:spacing w:before="0" w:after="0"/>
              <w:ind w:hanging="10"/>
              <w:rPr>
                <w:sz w:val="28"/>
                <w:szCs w:val="28"/>
              </w:rPr>
            </w:pPr>
            <w:r w:rsidRPr="004D2B8B">
              <w:rPr>
                <w:sz w:val="28"/>
                <w:szCs w:val="28"/>
              </w:rPr>
              <w:t>Pamatojums</w:t>
            </w:r>
          </w:p>
        </w:tc>
        <w:tc>
          <w:tcPr>
            <w:tcW w:w="5271" w:type="dxa"/>
          </w:tcPr>
          <w:p w:rsidR="005912EC" w:rsidRDefault="00682925" w:rsidP="005912EC">
            <w:pPr>
              <w:pStyle w:val="naiskr"/>
              <w:spacing w:before="0" w:after="0"/>
              <w:ind w:hanging="5"/>
              <w:jc w:val="both"/>
              <w:rPr>
                <w:sz w:val="28"/>
                <w:szCs w:val="28"/>
              </w:rPr>
            </w:pPr>
            <w:r w:rsidRPr="004D2B8B">
              <w:rPr>
                <w:sz w:val="28"/>
                <w:szCs w:val="28"/>
              </w:rPr>
              <w:t>Ministru kabineta noteikumu projekts „</w:t>
            </w:r>
            <w:r w:rsidRPr="004D2B8B">
              <w:rPr>
                <w:bCs/>
                <w:sz w:val="28"/>
                <w:szCs w:val="28"/>
              </w:rPr>
              <w:t>Noteikumi par valsts vispārējās vidējās izglītības standartu, mācību priekšmetu standartiem</w:t>
            </w:r>
            <w:r w:rsidRPr="004D2B8B">
              <w:rPr>
                <w:sz w:val="28"/>
                <w:szCs w:val="28"/>
              </w:rPr>
              <w:t xml:space="preserve"> un izglītības programmu paraugiem” </w:t>
            </w:r>
            <w:r w:rsidR="00F03E5C" w:rsidRPr="004D2B8B">
              <w:rPr>
                <w:sz w:val="28"/>
                <w:szCs w:val="28"/>
              </w:rPr>
              <w:t>iz</w:t>
            </w:r>
            <w:r w:rsidR="00E65A8C" w:rsidRPr="004D2B8B">
              <w:rPr>
                <w:sz w:val="28"/>
                <w:szCs w:val="28"/>
              </w:rPr>
              <w:t>strādāts</w:t>
            </w:r>
            <w:r w:rsidR="00E15CED" w:rsidRPr="004D2B8B">
              <w:rPr>
                <w:sz w:val="28"/>
                <w:szCs w:val="28"/>
              </w:rPr>
              <w:t>,</w:t>
            </w:r>
            <w:r w:rsidR="00E65A8C" w:rsidRPr="004D2B8B">
              <w:rPr>
                <w:sz w:val="28"/>
                <w:szCs w:val="28"/>
              </w:rPr>
              <w:t xml:space="preserve"> pamatojoties uz  </w:t>
            </w:r>
            <w:r w:rsidR="00F03E5C" w:rsidRPr="004D2B8B">
              <w:rPr>
                <w:sz w:val="28"/>
                <w:szCs w:val="28"/>
              </w:rPr>
              <w:t>2012.</w:t>
            </w:r>
            <w:r w:rsidR="00E65A8C" w:rsidRPr="004D2B8B">
              <w:rPr>
                <w:sz w:val="28"/>
                <w:szCs w:val="28"/>
              </w:rPr>
              <w:t>gada 15.marta</w:t>
            </w:r>
            <w:r w:rsidR="00F03E5C" w:rsidRPr="004D2B8B">
              <w:rPr>
                <w:sz w:val="28"/>
                <w:szCs w:val="28"/>
              </w:rPr>
              <w:t xml:space="preserve"> likumā</w:t>
            </w:r>
            <w:r w:rsidR="0078173B" w:rsidRPr="004D2B8B">
              <w:rPr>
                <w:sz w:val="28"/>
                <w:szCs w:val="28"/>
              </w:rPr>
              <w:t xml:space="preserve"> „Grozījumi Izglītības likumā”</w:t>
            </w:r>
            <w:r w:rsidR="00F03E5C" w:rsidRPr="004D2B8B">
              <w:rPr>
                <w:sz w:val="28"/>
                <w:szCs w:val="28"/>
              </w:rPr>
              <w:t xml:space="preserve"> veikto grozījumu Izglītības likuma 14.panta </w:t>
            </w:r>
            <w:proofErr w:type="spellStart"/>
            <w:r w:rsidR="00F03E5C" w:rsidRPr="004D2B8B">
              <w:rPr>
                <w:sz w:val="28"/>
                <w:szCs w:val="28"/>
              </w:rPr>
              <w:t>19.punktā</w:t>
            </w:r>
            <w:proofErr w:type="spellEnd"/>
            <w:r w:rsidR="001B50B2" w:rsidRPr="004D2B8B">
              <w:rPr>
                <w:sz w:val="28"/>
                <w:szCs w:val="28"/>
              </w:rPr>
              <w:t>.</w:t>
            </w:r>
          </w:p>
          <w:p w:rsidR="004D2B8B" w:rsidRPr="004D2B8B" w:rsidRDefault="004D2B8B" w:rsidP="005912EC">
            <w:pPr>
              <w:pStyle w:val="naiskr"/>
              <w:spacing w:before="0" w:after="0"/>
              <w:ind w:hanging="5"/>
              <w:jc w:val="both"/>
              <w:rPr>
                <w:sz w:val="28"/>
                <w:szCs w:val="28"/>
              </w:rPr>
            </w:pPr>
          </w:p>
        </w:tc>
      </w:tr>
      <w:tr w:rsidR="00E15CED" w:rsidRPr="004D2B8B" w:rsidTr="004D2B8B">
        <w:trPr>
          <w:trHeight w:val="472"/>
        </w:trPr>
        <w:tc>
          <w:tcPr>
            <w:tcW w:w="595" w:type="dxa"/>
          </w:tcPr>
          <w:p w:rsidR="00262E2B" w:rsidRPr="004D2B8B" w:rsidRDefault="00262E2B" w:rsidP="006C4607">
            <w:pPr>
              <w:pStyle w:val="naiskr"/>
              <w:spacing w:before="0" w:after="0"/>
              <w:rPr>
                <w:sz w:val="28"/>
                <w:szCs w:val="28"/>
              </w:rPr>
            </w:pPr>
            <w:r w:rsidRPr="004D2B8B">
              <w:rPr>
                <w:sz w:val="28"/>
                <w:szCs w:val="28"/>
              </w:rPr>
              <w:t>2.</w:t>
            </w:r>
          </w:p>
        </w:tc>
        <w:tc>
          <w:tcPr>
            <w:tcW w:w="3261" w:type="dxa"/>
          </w:tcPr>
          <w:p w:rsidR="00262E2B" w:rsidRPr="004D2B8B" w:rsidRDefault="00262E2B" w:rsidP="006C4607">
            <w:pPr>
              <w:pStyle w:val="naiskr"/>
              <w:tabs>
                <w:tab w:val="left" w:pos="170"/>
              </w:tabs>
              <w:spacing w:before="0" w:after="0"/>
              <w:rPr>
                <w:sz w:val="28"/>
                <w:szCs w:val="28"/>
              </w:rPr>
            </w:pPr>
            <w:r w:rsidRPr="004D2B8B">
              <w:rPr>
                <w:sz w:val="28"/>
                <w:szCs w:val="28"/>
              </w:rPr>
              <w:t>Pašreizējā situācija</w:t>
            </w:r>
            <w:r w:rsidR="001F5CD6" w:rsidRPr="004D2B8B">
              <w:rPr>
                <w:sz w:val="28"/>
                <w:szCs w:val="28"/>
              </w:rPr>
              <w:t xml:space="preserve"> un problēmas</w:t>
            </w:r>
          </w:p>
        </w:tc>
        <w:tc>
          <w:tcPr>
            <w:tcW w:w="5271" w:type="dxa"/>
          </w:tcPr>
          <w:p w:rsidR="005912EC" w:rsidRPr="004D2B8B" w:rsidRDefault="00BA725D" w:rsidP="002014BA">
            <w:pPr>
              <w:jc w:val="both"/>
              <w:rPr>
                <w:sz w:val="28"/>
                <w:szCs w:val="28"/>
              </w:rPr>
            </w:pPr>
            <w:r w:rsidRPr="004D2B8B">
              <w:rPr>
                <w:iCs/>
                <w:sz w:val="28"/>
                <w:szCs w:val="28"/>
              </w:rPr>
              <w:t>Pašlaik ir</w:t>
            </w:r>
            <w:r w:rsidR="0078173B" w:rsidRPr="004D2B8B">
              <w:rPr>
                <w:iCs/>
                <w:sz w:val="28"/>
                <w:szCs w:val="28"/>
              </w:rPr>
              <w:t xml:space="preserve"> spēkā Ministru kabineta 2008.gada 2.septembra noteikumi Nr.715 „</w:t>
            </w:r>
            <w:r w:rsidR="0078173B" w:rsidRPr="004D2B8B">
              <w:rPr>
                <w:bCs/>
                <w:sz w:val="28"/>
                <w:szCs w:val="28"/>
              </w:rPr>
              <w:t xml:space="preserve">Noteikumi par valsts vispārējās vidējās izglītības standartu un vispārējās vidējās izglītības mācību priekšmetu standartiem”, bet </w:t>
            </w:r>
            <w:r w:rsidR="0078173B" w:rsidRPr="004D2B8B">
              <w:rPr>
                <w:sz w:val="28"/>
                <w:szCs w:val="28"/>
              </w:rPr>
              <w:t>valsts izglītības standartu prasībām un Latvijas izglītības klasifikācijai atbilstošus izglītības programmu paraugus izstrādā Izglītības un zinātnes ministrija.</w:t>
            </w:r>
            <w:r w:rsidR="00383789" w:rsidRPr="004D2B8B">
              <w:rPr>
                <w:sz w:val="28"/>
                <w:szCs w:val="28"/>
              </w:rPr>
              <w:t xml:space="preserve"> Izglītības iestādēm bija tiesības izstrādāt savas izglītības programmas vai īstenot Izglītības un zinātnes ministrijas izstrādātajiem programmas paraugiem atbilstošas vispārējās vidējās izglītības programmas.</w:t>
            </w:r>
            <w:r w:rsidRPr="004D2B8B">
              <w:rPr>
                <w:sz w:val="28"/>
                <w:szCs w:val="28"/>
              </w:rPr>
              <w:t xml:space="preserve"> Izglītības un zinātnes ministrijas izstrādātie izglītības programmu paraugi nav saistoši un nav obligāti </w:t>
            </w:r>
            <w:r w:rsidR="00C6023D" w:rsidRPr="004D2B8B">
              <w:rPr>
                <w:sz w:val="28"/>
                <w:szCs w:val="28"/>
              </w:rPr>
              <w:t>ievērojami izglītības iestādēm.</w:t>
            </w:r>
            <w:r w:rsidR="00E65A8C" w:rsidRPr="004D2B8B">
              <w:rPr>
                <w:sz w:val="28"/>
                <w:szCs w:val="28"/>
              </w:rPr>
              <w:t xml:space="preserve"> Bez tam Izglītības likumā</w:t>
            </w:r>
            <w:r w:rsidRPr="004D2B8B">
              <w:rPr>
                <w:sz w:val="28"/>
                <w:szCs w:val="28"/>
              </w:rPr>
              <w:t xml:space="preserve"> ir noteikts, ka mazākumtautību izglītības programmas izstrādā izglītības iestāde, izvēloties kādu no valsts izglītības standartā ietvertajiem izglītības programmu paraugiem.</w:t>
            </w:r>
            <w:r w:rsidR="001B50B2" w:rsidRPr="004D2B8B">
              <w:rPr>
                <w:sz w:val="28"/>
                <w:szCs w:val="28"/>
              </w:rPr>
              <w:t xml:space="preserve"> Līdz šim nebija noteikta Ministru kabineta kompetence noteikt vispārējās izglītības standartam atbilstošus izglītības programmu paraugus un šādi noteikumi nav izdoti. </w:t>
            </w:r>
          </w:p>
        </w:tc>
      </w:tr>
      <w:tr w:rsidR="00E15CED" w:rsidRPr="004D2B8B" w:rsidTr="004D2B8B">
        <w:trPr>
          <w:trHeight w:val="1071"/>
        </w:trPr>
        <w:tc>
          <w:tcPr>
            <w:tcW w:w="595" w:type="dxa"/>
          </w:tcPr>
          <w:p w:rsidR="00262E2B" w:rsidRPr="004D2B8B" w:rsidRDefault="00262E2B" w:rsidP="006C4607">
            <w:pPr>
              <w:pStyle w:val="naiskr"/>
              <w:spacing w:before="0" w:after="0"/>
              <w:rPr>
                <w:sz w:val="28"/>
                <w:szCs w:val="28"/>
              </w:rPr>
            </w:pPr>
            <w:r w:rsidRPr="004D2B8B">
              <w:rPr>
                <w:sz w:val="28"/>
                <w:szCs w:val="28"/>
              </w:rPr>
              <w:lastRenderedPageBreak/>
              <w:t>3.</w:t>
            </w:r>
          </w:p>
        </w:tc>
        <w:tc>
          <w:tcPr>
            <w:tcW w:w="3261" w:type="dxa"/>
          </w:tcPr>
          <w:p w:rsidR="004D2B8B" w:rsidRDefault="00420870" w:rsidP="006C4607">
            <w:pPr>
              <w:pStyle w:val="naiskr"/>
              <w:spacing w:before="0" w:after="0"/>
              <w:rPr>
                <w:sz w:val="28"/>
                <w:szCs w:val="28"/>
              </w:rPr>
            </w:pPr>
            <w:r w:rsidRPr="004D2B8B">
              <w:rPr>
                <w:sz w:val="28"/>
                <w:szCs w:val="28"/>
              </w:rPr>
              <w:t>S</w:t>
            </w:r>
            <w:r w:rsidR="000B69CF" w:rsidRPr="004D2B8B">
              <w:rPr>
                <w:sz w:val="28"/>
                <w:szCs w:val="28"/>
              </w:rPr>
              <w:t xml:space="preserve">aistītie </w:t>
            </w:r>
            <w:r w:rsidR="001A6AE4" w:rsidRPr="004D2B8B">
              <w:rPr>
                <w:sz w:val="28"/>
                <w:szCs w:val="28"/>
              </w:rPr>
              <w:t>politikas ietekmes novērtējumi</w:t>
            </w:r>
            <w:r w:rsidR="00CB0247" w:rsidRPr="004D2B8B">
              <w:rPr>
                <w:sz w:val="28"/>
                <w:szCs w:val="28"/>
              </w:rPr>
              <w:t xml:space="preserve"> un</w:t>
            </w:r>
            <w:r w:rsidR="001A6AE4" w:rsidRPr="004D2B8B">
              <w:rPr>
                <w:sz w:val="28"/>
                <w:szCs w:val="28"/>
              </w:rPr>
              <w:t xml:space="preserve"> </w:t>
            </w:r>
            <w:r w:rsidR="000B69CF" w:rsidRPr="004D2B8B">
              <w:rPr>
                <w:sz w:val="28"/>
                <w:szCs w:val="28"/>
              </w:rPr>
              <w:t>pētījumi</w:t>
            </w:r>
          </w:p>
          <w:p w:rsidR="004D2B8B" w:rsidRPr="004D2B8B" w:rsidRDefault="004D2B8B" w:rsidP="006C4607">
            <w:pPr>
              <w:pStyle w:val="naiskr"/>
              <w:spacing w:before="0" w:after="0"/>
              <w:rPr>
                <w:sz w:val="28"/>
                <w:szCs w:val="28"/>
              </w:rPr>
            </w:pPr>
          </w:p>
        </w:tc>
        <w:tc>
          <w:tcPr>
            <w:tcW w:w="5271" w:type="dxa"/>
          </w:tcPr>
          <w:p w:rsidR="00D20FF4" w:rsidRPr="004D2B8B" w:rsidRDefault="005D750E" w:rsidP="006C4607">
            <w:pPr>
              <w:pStyle w:val="FootnoteText"/>
              <w:rPr>
                <w:sz w:val="28"/>
                <w:szCs w:val="28"/>
              </w:rPr>
            </w:pPr>
            <w:r w:rsidRPr="004D2B8B">
              <w:rPr>
                <w:sz w:val="28"/>
                <w:szCs w:val="28"/>
              </w:rPr>
              <w:t>Projekts šo jomu neskar.</w:t>
            </w:r>
          </w:p>
        </w:tc>
      </w:tr>
      <w:tr w:rsidR="00E15CED" w:rsidRPr="004D2B8B" w:rsidTr="004D2B8B">
        <w:trPr>
          <w:trHeight w:val="384"/>
        </w:trPr>
        <w:tc>
          <w:tcPr>
            <w:tcW w:w="595" w:type="dxa"/>
          </w:tcPr>
          <w:p w:rsidR="00262E2B" w:rsidRPr="004D2B8B" w:rsidRDefault="00262E2B" w:rsidP="006C4607">
            <w:pPr>
              <w:pStyle w:val="naiskr"/>
              <w:spacing w:before="0" w:after="0"/>
              <w:rPr>
                <w:sz w:val="28"/>
                <w:szCs w:val="28"/>
              </w:rPr>
            </w:pPr>
            <w:r w:rsidRPr="004D2B8B">
              <w:rPr>
                <w:sz w:val="28"/>
                <w:szCs w:val="28"/>
              </w:rPr>
              <w:t>4.</w:t>
            </w:r>
          </w:p>
        </w:tc>
        <w:tc>
          <w:tcPr>
            <w:tcW w:w="3261" w:type="dxa"/>
          </w:tcPr>
          <w:p w:rsidR="00262E2B" w:rsidRPr="004D2B8B" w:rsidRDefault="000C790C" w:rsidP="006C4607">
            <w:pPr>
              <w:pStyle w:val="naiskr"/>
              <w:spacing w:before="0" w:after="0"/>
              <w:rPr>
                <w:sz w:val="28"/>
                <w:szCs w:val="28"/>
              </w:rPr>
            </w:pPr>
            <w:r w:rsidRPr="004D2B8B">
              <w:rPr>
                <w:sz w:val="28"/>
                <w:szCs w:val="28"/>
              </w:rPr>
              <w:t>Tiesiskā r</w:t>
            </w:r>
            <w:r w:rsidR="00400032" w:rsidRPr="004D2B8B">
              <w:rPr>
                <w:sz w:val="28"/>
                <w:szCs w:val="28"/>
              </w:rPr>
              <w:t xml:space="preserve">egulējuma </w:t>
            </w:r>
            <w:r w:rsidR="00262E2B" w:rsidRPr="004D2B8B">
              <w:rPr>
                <w:sz w:val="28"/>
                <w:szCs w:val="28"/>
              </w:rPr>
              <w:t>mērķis un būtība</w:t>
            </w:r>
          </w:p>
        </w:tc>
        <w:tc>
          <w:tcPr>
            <w:tcW w:w="5271" w:type="dxa"/>
          </w:tcPr>
          <w:p w:rsidR="00151F7E" w:rsidRPr="004D2B8B" w:rsidRDefault="00D01C6B" w:rsidP="00143C10">
            <w:pPr>
              <w:pStyle w:val="naiskr"/>
              <w:spacing w:before="0" w:after="0"/>
              <w:jc w:val="both"/>
              <w:rPr>
                <w:bCs/>
                <w:sz w:val="28"/>
                <w:szCs w:val="28"/>
              </w:rPr>
            </w:pPr>
            <w:r w:rsidRPr="004D2B8B">
              <w:rPr>
                <w:iCs/>
                <w:sz w:val="28"/>
                <w:szCs w:val="28"/>
              </w:rPr>
              <w:t>Ministru kabineta noteikumu projekta mērķis ir a</w:t>
            </w:r>
            <w:r w:rsidR="005D750E" w:rsidRPr="004D2B8B">
              <w:rPr>
                <w:iCs/>
                <w:sz w:val="28"/>
                <w:szCs w:val="28"/>
              </w:rPr>
              <w:t xml:space="preserve">tbilstoši Izglītības </w:t>
            </w:r>
            <w:r w:rsidR="005C3A29" w:rsidRPr="004D2B8B">
              <w:rPr>
                <w:iCs/>
                <w:sz w:val="28"/>
                <w:szCs w:val="28"/>
              </w:rPr>
              <w:t>likuma 14.panta 19.punktā grozī</w:t>
            </w:r>
            <w:r w:rsidR="005D750E" w:rsidRPr="004D2B8B">
              <w:rPr>
                <w:iCs/>
                <w:sz w:val="28"/>
                <w:szCs w:val="28"/>
              </w:rPr>
              <w:t xml:space="preserve">tajai Ministru kabineta kompetencei </w:t>
            </w:r>
            <w:r w:rsidR="005D750E" w:rsidRPr="004D2B8B">
              <w:rPr>
                <w:bCs/>
                <w:sz w:val="28"/>
                <w:szCs w:val="28"/>
              </w:rPr>
              <w:t xml:space="preserve"> pievienot noteikumiem par valsts vispārējās vidējās izglītības standartu un vispārējās vidējās izglītības mācību priekšmetu standartiem</w:t>
            </w:r>
            <w:r w:rsidR="005D750E" w:rsidRPr="004D2B8B">
              <w:rPr>
                <w:sz w:val="28"/>
                <w:szCs w:val="28"/>
              </w:rPr>
              <w:t xml:space="preserve"> šo standartu prasībām atbilstošus izglītības programmu paraugus. </w:t>
            </w:r>
            <w:r w:rsidR="005D750E" w:rsidRPr="004D2B8B">
              <w:rPr>
                <w:iCs/>
                <w:sz w:val="28"/>
                <w:szCs w:val="28"/>
              </w:rPr>
              <w:t xml:space="preserve"> Ministru kabineta 2008.gada 2.septembra noteikumi Nr.715 „</w:t>
            </w:r>
            <w:r w:rsidR="005D750E" w:rsidRPr="004D2B8B">
              <w:rPr>
                <w:bCs/>
                <w:sz w:val="28"/>
                <w:szCs w:val="28"/>
              </w:rPr>
              <w:t>Noteikumi par valsts vispārējās vidējās izglītības standartu un vispārējās vidējās izglītības mācību priekšmetu standartiem” noteica jaunus mācību priekšmetu standartu</w:t>
            </w:r>
            <w:r w:rsidRPr="004D2B8B">
              <w:rPr>
                <w:bCs/>
                <w:sz w:val="28"/>
                <w:szCs w:val="28"/>
              </w:rPr>
              <w:t xml:space="preserve">s, vienlaikus nosakot trīs gadu pārejas periodu uz jaunajiem </w:t>
            </w:r>
            <w:r w:rsidR="00383789" w:rsidRPr="004D2B8B">
              <w:rPr>
                <w:bCs/>
                <w:sz w:val="28"/>
                <w:szCs w:val="28"/>
              </w:rPr>
              <w:t>mācību priekšmetu standartiem. Ar 2011./2012.mācību gadu</w:t>
            </w:r>
            <w:r w:rsidRPr="004D2B8B">
              <w:rPr>
                <w:bCs/>
                <w:sz w:val="28"/>
                <w:szCs w:val="28"/>
              </w:rPr>
              <w:t xml:space="preserve"> pārejas periods ir noslēdzies un </w:t>
            </w:r>
            <w:r w:rsidR="00383789" w:rsidRPr="004D2B8B">
              <w:rPr>
                <w:bCs/>
                <w:sz w:val="28"/>
                <w:szCs w:val="28"/>
              </w:rPr>
              <w:t xml:space="preserve">ir spēkā tikai jaunie mācību priekšmetu standarti, tādēļ </w:t>
            </w:r>
            <w:r w:rsidRPr="004D2B8B">
              <w:rPr>
                <w:bCs/>
                <w:sz w:val="28"/>
                <w:szCs w:val="28"/>
              </w:rPr>
              <w:t xml:space="preserve">iepriekšējos mācību priekšmetu standartus var izslēgt no  valsts vispārējās vidējās izglītības standarta, tas ir, var izslēgt </w:t>
            </w:r>
            <w:r w:rsidR="00383789" w:rsidRPr="004D2B8B">
              <w:rPr>
                <w:bCs/>
                <w:sz w:val="28"/>
                <w:szCs w:val="28"/>
              </w:rPr>
              <w:t xml:space="preserve">šo noteikumu </w:t>
            </w:r>
            <w:r w:rsidRPr="004D2B8B">
              <w:rPr>
                <w:bCs/>
                <w:sz w:val="28"/>
                <w:szCs w:val="28"/>
              </w:rPr>
              <w:t xml:space="preserve">30. līdz 61.pielikumu. </w:t>
            </w:r>
          </w:p>
          <w:p w:rsidR="005D750E" w:rsidRPr="004D2B8B" w:rsidRDefault="00D01C6B" w:rsidP="00143C10">
            <w:pPr>
              <w:pStyle w:val="naiskr"/>
              <w:spacing w:before="0" w:after="0"/>
              <w:jc w:val="both"/>
              <w:rPr>
                <w:bCs/>
                <w:sz w:val="28"/>
                <w:szCs w:val="28"/>
              </w:rPr>
            </w:pPr>
            <w:r w:rsidRPr="004D2B8B">
              <w:rPr>
                <w:bCs/>
                <w:sz w:val="28"/>
                <w:szCs w:val="28"/>
              </w:rPr>
              <w:t xml:space="preserve">Tā kā tikko ir noslēdzies pārejas periods uz jaunajiem mācību priekšmetu standartiem,  valsts vispārējās vidējās izglītības standarts netiek grozīts, </w:t>
            </w:r>
            <w:r w:rsidR="00151F7E" w:rsidRPr="004D2B8B">
              <w:rPr>
                <w:bCs/>
                <w:sz w:val="28"/>
                <w:szCs w:val="28"/>
              </w:rPr>
              <w:t xml:space="preserve">tam </w:t>
            </w:r>
            <w:r w:rsidRPr="004D2B8B">
              <w:rPr>
                <w:bCs/>
                <w:sz w:val="28"/>
                <w:szCs w:val="28"/>
              </w:rPr>
              <w:t xml:space="preserve">tiek pievienoti vispārējās vidējās izglītības programmu paraugi atbilstoši Latvijas izglītības klasifikācijai, izglītības ieguves formām, vispārējās vidējās izglītības programmu četriem virzieniem un izglītības programmu īpašajiem veidiem. </w:t>
            </w:r>
          </w:p>
          <w:p w:rsidR="00827FEE" w:rsidRPr="004D2B8B" w:rsidRDefault="00827FEE" w:rsidP="00143C10">
            <w:pPr>
              <w:pStyle w:val="naiskr"/>
              <w:spacing w:before="0" w:after="0"/>
              <w:jc w:val="both"/>
              <w:rPr>
                <w:sz w:val="28"/>
                <w:szCs w:val="28"/>
              </w:rPr>
            </w:pPr>
            <w:r w:rsidRPr="004D2B8B">
              <w:rPr>
                <w:sz w:val="28"/>
                <w:szCs w:val="28"/>
              </w:rPr>
              <w:t>Saskaņā ar NAP 2014-2020 rīcības virziena „Kompetenču attīstība” 285.1.uzdevumu noteikta sociālo zinātņu mācību priekšmetu pilnveide. IZM plāno pārstrukturēt un pilnveidot vidusskolas mācību priekšmetus „Ētika”, „Veselības mācība”, „</w:t>
            </w:r>
            <w:proofErr w:type="spellStart"/>
            <w:r w:rsidRPr="004D2B8B">
              <w:rPr>
                <w:sz w:val="28"/>
                <w:szCs w:val="28"/>
              </w:rPr>
              <w:t>Kulturoloģija</w:t>
            </w:r>
            <w:proofErr w:type="spellEnd"/>
            <w:r w:rsidRPr="004D2B8B">
              <w:rPr>
                <w:sz w:val="28"/>
                <w:szCs w:val="28"/>
              </w:rPr>
              <w:t xml:space="preserve">”, „Ekonomika”, Mājsaimniecība”, </w:t>
            </w:r>
            <w:r w:rsidRPr="004D2B8B">
              <w:rPr>
                <w:sz w:val="28"/>
                <w:szCs w:val="28"/>
              </w:rPr>
              <w:lastRenderedPageBreak/>
              <w:t>„Psiholoģija”, „Filozofija” un „Politika un tiesības”, to vietā izveidojot 2-3 jaunus mācību priekšmetus, kas nodrošinātu skolēnam nepieciešamo mūsdienīgo  saturu politikas, tiesību, filozofijas, psiholoģijas un kultūras pamatjautājumu apguvē.</w:t>
            </w:r>
          </w:p>
          <w:p w:rsidR="001D50D9" w:rsidRPr="004D2B8B" w:rsidRDefault="001D50D9" w:rsidP="00143C10">
            <w:pPr>
              <w:pStyle w:val="naiskr"/>
              <w:spacing w:before="0" w:after="0"/>
              <w:jc w:val="both"/>
              <w:rPr>
                <w:bCs/>
                <w:sz w:val="28"/>
                <w:szCs w:val="28"/>
              </w:rPr>
            </w:pPr>
            <w:r w:rsidRPr="004D2B8B">
              <w:rPr>
                <w:sz w:val="28"/>
                <w:szCs w:val="28"/>
              </w:rPr>
              <w:t xml:space="preserve">Pamatojoties uz MK komitejas 2013.gada 8.aprīļa sēdes </w:t>
            </w:r>
            <w:proofErr w:type="spellStart"/>
            <w:r w:rsidRPr="004D2B8B">
              <w:rPr>
                <w:sz w:val="28"/>
                <w:szCs w:val="28"/>
              </w:rPr>
              <w:t>protokollēmuma</w:t>
            </w:r>
            <w:proofErr w:type="spellEnd"/>
            <w:r w:rsidRPr="004D2B8B">
              <w:rPr>
                <w:sz w:val="28"/>
                <w:szCs w:val="28"/>
              </w:rPr>
              <w:t xml:space="preserve"> Nr.13, 3§, 1.2.apakšpunktu, IZM līdz 2013.gada 1.decembrim noteikts pilnveidot mācību priekšmetu programmu paraugus, veicinot integrētu veselības un sporta izglītības un </w:t>
            </w:r>
            <w:proofErr w:type="spellStart"/>
            <w:r w:rsidRPr="004D2B8B">
              <w:rPr>
                <w:sz w:val="28"/>
                <w:szCs w:val="28"/>
              </w:rPr>
              <w:t>cilvēkdrošības</w:t>
            </w:r>
            <w:proofErr w:type="spellEnd"/>
            <w:r w:rsidRPr="004D2B8B">
              <w:rPr>
                <w:sz w:val="28"/>
                <w:szCs w:val="28"/>
              </w:rPr>
              <w:t xml:space="preserve"> jautājumu pēctecīgu apguvi pirmsskolas izglītībā, pamatizglītībā un vidējā izglītībā, tādējādi nodrošinot izglītības nozares ieguldījumu Valdības rīcības plānā noteiktā uzdevuma - veicināt veselīga dzīvesveida un uztura popularizēšanu sabiedrībā - izpildē.</w:t>
            </w:r>
          </w:p>
          <w:p w:rsidR="00E15CED" w:rsidRPr="004D2B8B" w:rsidRDefault="00E15CED" w:rsidP="00143C10">
            <w:pPr>
              <w:pStyle w:val="naiskr"/>
              <w:spacing w:before="0" w:after="0"/>
              <w:jc w:val="both"/>
              <w:rPr>
                <w:bCs/>
                <w:sz w:val="28"/>
                <w:szCs w:val="28"/>
              </w:rPr>
            </w:pPr>
            <w:r w:rsidRPr="004D2B8B">
              <w:rPr>
                <w:sz w:val="28"/>
                <w:szCs w:val="28"/>
              </w:rPr>
              <w:t>Saskaņā ar pakāpeniski plānotajām izmaiņām valsts pārbaudes darbu organizācijā veikti precizējumi noteikumu projektā, ieviešot   procentuālo novērtējumu izglītojamo mācību sasniegumiem centralizētajos eksāmenos. Precizējumi svešvalodu centralizēto eksāmenu rezultātu izteikšanā  B1, B2 vai C1 valodas prasmes līmenī nodrošinās atbilstību vidējās izglītības standartā noteiktajām prasībām par valodas prasmes līmeņiem un Eiropas kopīgajām pamatnostādnēm valodu apguvei. Pārējo valodas prasmju līmeņu piešķiršana nav iespējama saistībā ar to, ka A1 un A2 valodas prasmes līmeņus apgūst pamatizglītības pakāpē, bet C2 līmeni saskaņā ar  Eiropas kopīgajām pamatnostādnēm valodu apguvei vidējās izglītības posmā neapgūst.  Izglītojamajiem, kas nesasniegs B1, B2 vai C1 valodas prasmes līmeņus vērtējumu izteikts procentuālā novērtējumā.</w:t>
            </w:r>
          </w:p>
          <w:p w:rsidR="00F66298" w:rsidRPr="004D2B8B" w:rsidRDefault="00F66298" w:rsidP="00F66298">
            <w:pPr>
              <w:jc w:val="both"/>
              <w:rPr>
                <w:sz w:val="28"/>
                <w:szCs w:val="28"/>
              </w:rPr>
            </w:pPr>
            <w:r w:rsidRPr="004D2B8B">
              <w:rPr>
                <w:sz w:val="28"/>
                <w:szCs w:val="28"/>
              </w:rPr>
              <w:t xml:space="preserve">Noteikumu projektā noteikts, ka mācību sasniegumu vērtētājs izglītības iestādes obligātajā dokumentācijā lieto apzīmējumu </w:t>
            </w:r>
            <w:r w:rsidRPr="004D2B8B">
              <w:rPr>
                <w:sz w:val="28"/>
                <w:szCs w:val="28"/>
              </w:rPr>
              <w:lastRenderedPageBreak/>
              <w:t>„n/v” (nav vērtējuma), ja nav iespējams novērtēt izglītojamā mācību sasniegumus.</w:t>
            </w:r>
          </w:p>
          <w:p w:rsidR="009B3659" w:rsidRPr="004D2B8B" w:rsidRDefault="00BA725D" w:rsidP="00143C10">
            <w:pPr>
              <w:pStyle w:val="naiskr"/>
              <w:spacing w:before="0" w:after="0"/>
              <w:jc w:val="both"/>
              <w:rPr>
                <w:sz w:val="28"/>
                <w:szCs w:val="28"/>
              </w:rPr>
            </w:pPr>
            <w:r w:rsidRPr="004D2B8B">
              <w:rPr>
                <w:bCs/>
                <w:sz w:val="28"/>
                <w:szCs w:val="28"/>
              </w:rPr>
              <w:t xml:space="preserve">Valsts vispārējās vidējās izglītības standartam ir pievienots vispārējās vidējās izglītības programmas paraugs vispārizglītojošā virziena, </w:t>
            </w:r>
            <w:r w:rsidRPr="004D2B8B">
              <w:rPr>
                <w:sz w:val="28"/>
                <w:szCs w:val="28"/>
              </w:rPr>
              <w:t xml:space="preserve"> humanitārā un sociālā virziena, matemātikas, </w:t>
            </w:r>
            <w:proofErr w:type="spellStart"/>
            <w:r w:rsidRPr="004D2B8B">
              <w:rPr>
                <w:sz w:val="28"/>
                <w:szCs w:val="28"/>
              </w:rPr>
              <w:t>dabaszinību</w:t>
            </w:r>
            <w:proofErr w:type="spellEnd"/>
            <w:r w:rsidRPr="004D2B8B">
              <w:rPr>
                <w:sz w:val="28"/>
                <w:szCs w:val="28"/>
              </w:rPr>
              <w:t xml:space="preserve"> un tehnikas virziena un profesionālā virziena izglītības programmām</w:t>
            </w:r>
            <w:r w:rsidR="00D66572" w:rsidRPr="004D2B8B">
              <w:rPr>
                <w:sz w:val="28"/>
                <w:szCs w:val="28"/>
              </w:rPr>
              <w:t xml:space="preserve"> </w:t>
            </w:r>
            <w:r w:rsidR="009B3659" w:rsidRPr="004D2B8B">
              <w:rPr>
                <w:sz w:val="28"/>
                <w:szCs w:val="28"/>
              </w:rPr>
              <w:t xml:space="preserve">vidējās </w:t>
            </w:r>
            <w:r w:rsidR="00D66572" w:rsidRPr="004D2B8B">
              <w:rPr>
                <w:sz w:val="28"/>
                <w:szCs w:val="28"/>
              </w:rPr>
              <w:t>izglītības ieguvei gan klātienes, gan vakara (maiņu), gan neklātienes formā, ka ar</w:t>
            </w:r>
            <w:r w:rsidR="009B3659" w:rsidRPr="004D2B8B">
              <w:rPr>
                <w:sz w:val="28"/>
                <w:szCs w:val="28"/>
              </w:rPr>
              <w:t>ī</w:t>
            </w:r>
            <w:r w:rsidR="00D66572" w:rsidRPr="004D2B8B">
              <w:rPr>
                <w:sz w:val="28"/>
                <w:szCs w:val="28"/>
              </w:rPr>
              <w:t xml:space="preserve"> mazākumtautību izglītības programmām. Paraugs ietver arī vispārējās vidējās speciālās izglītības programmu paraugus,  ievērojot, ka arī speciālās izglītības programmu mērķus un uzdevumus nosaka atbilstoši valsts vispārējās izglītības standartam, tikai saskaņā ar izglītojamo speciālajām vajadzībām. </w:t>
            </w:r>
          </w:p>
          <w:p w:rsidR="009B3659" w:rsidRPr="004D2B8B" w:rsidRDefault="00D66572" w:rsidP="00143C10">
            <w:pPr>
              <w:pStyle w:val="naiskr"/>
              <w:spacing w:before="0" w:after="0"/>
              <w:jc w:val="both"/>
              <w:rPr>
                <w:sz w:val="28"/>
                <w:szCs w:val="28"/>
              </w:rPr>
            </w:pPr>
            <w:r w:rsidRPr="004D2B8B">
              <w:rPr>
                <w:sz w:val="28"/>
                <w:szCs w:val="28"/>
              </w:rPr>
              <w:t xml:space="preserve">Atsevišķi ir pievienots vispārējās vidējās izglītības tālmācības </w:t>
            </w:r>
            <w:r w:rsidR="00E15CED" w:rsidRPr="004D2B8B">
              <w:rPr>
                <w:sz w:val="28"/>
                <w:szCs w:val="28"/>
              </w:rPr>
              <w:t>izglītības programmas</w:t>
            </w:r>
            <w:r w:rsidRPr="004D2B8B">
              <w:rPr>
                <w:sz w:val="28"/>
                <w:szCs w:val="28"/>
              </w:rPr>
              <w:t xml:space="preserve"> paraugs gan programmām ar latviešu mācībvalodu, gan  mazākumtautību izglītības program</w:t>
            </w:r>
            <w:r w:rsidRPr="004D2B8B">
              <w:rPr>
                <w:sz w:val="28"/>
                <w:szCs w:val="28"/>
              </w:rPr>
              <w:softHyphen/>
              <w:t>m</w:t>
            </w:r>
            <w:r w:rsidR="009B3659" w:rsidRPr="004D2B8B">
              <w:rPr>
                <w:sz w:val="28"/>
                <w:szCs w:val="28"/>
              </w:rPr>
              <w:t>ām, jo šīs izglītības programmas nodrošina tālmācībai īpaši organizētu mācību procesu ar sistematizētiem un izkārtotiem mācību materiāliem un dažādu tehnisko un elektronisko tālsaziņas līdzekļu izmantošanu, kā arī individuālu mācīšanās tempu un specifisku iegūto zināšanu pārbaudes un sasniegtā izglītības līmeņa novērtēšanas veidu un kārtību.</w:t>
            </w:r>
          </w:p>
          <w:p w:rsidR="00383789" w:rsidRPr="004D2B8B" w:rsidRDefault="009B3659" w:rsidP="005912EC">
            <w:pPr>
              <w:pStyle w:val="naiskr"/>
              <w:spacing w:before="0" w:after="0"/>
              <w:jc w:val="both"/>
              <w:rPr>
                <w:sz w:val="28"/>
                <w:szCs w:val="28"/>
              </w:rPr>
            </w:pPr>
            <w:r w:rsidRPr="004D2B8B">
              <w:rPr>
                <w:sz w:val="28"/>
                <w:szCs w:val="28"/>
              </w:rPr>
              <w:t>Tā kā arodizglītība ir daļēja vidējās pakāpes profesionālā izglītība, kas dod iespēju iegūt otrā līmeņa profesionālo kvalifikāciju, bet arodizglītības programmās neiegūst vidējo izglītību, tad atbilstoši Latvijas izglītības klasifikācijai tiek piedāvātas arī v</w:t>
            </w:r>
            <w:r w:rsidR="00D66572" w:rsidRPr="004D2B8B">
              <w:rPr>
                <w:sz w:val="28"/>
                <w:szCs w:val="28"/>
              </w:rPr>
              <w:t xml:space="preserve">ispārējās vidējās izglītības </w:t>
            </w:r>
            <w:r w:rsidRPr="004D2B8B">
              <w:rPr>
                <w:sz w:val="28"/>
                <w:szCs w:val="28"/>
              </w:rPr>
              <w:t xml:space="preserve">izlīdzinošās </w:t>
            </w:r>
            <w:r w:rsidR="00D66572" w:rsidRPr="004D2B8B">
              <w:rPr>
                <w:sz w:val="28"/>
                <w:szCs w:val="28"/>
              </w:rPr>
              <w:t>program</w:t>
            </w:r>
            <w:r w:rsidRPr="004D2B8B">
              <w:rPr>
                <w:sz w:val="28"/>
                <w:szCs w:val="28"/>
              </w:rPr>
              <w:t xml:space="preserve">mas (ar latviešu mācībvalodu un mazākumtautību) </w:t>
            </w:r>
            <w:r w:rsidR="00D66572" w:rsidRPr="004D2B8B">
              <w:rPr>
                <w:sz w:val="28"/>
                <w:szCs w:val="28"/>
              </w:rPr>
              <w:t>izglītības ieguvei pēc arodizglītības.</w:t>
            </w:r>
            <w:r w:rsidRPr="004D2B8B">
              <w:rPr>
                <w:sz w:val="28"/>
                <w:szCs w:val="28"/>
              </w:rPr>
              <w:t xml:space="preserve"> Mācību ilgums šajās programmās ir viens gads</w:t>
            </w:r>
            <w:r w:rsidR="00D66572" w:rsidRPr="004D2B8B">
              <w:rPr>
                <w:sz w:val="28"/>
                <w:szCs w:val="28"/>
              </w:rPr>
              <w:t>.</w:t>
            </w:r>
          </w:p>
          <w:p w:rsidR="0047407C" w:rsidRDefault="0047407C" w:rsidP="002014BA">
            <w:pPr>
              <w:pStyle w:val="naiskr"/>
              <w:spacing w:before="0" w:after="0"/>
              <w:jc w:val="both"/>
              <w:rPr>
                <w:sz w:val="28"/>
                <w:szCs w:val="28"/>
              </w:rPr>
            </w:pPr>
            <w:r w:rsidRPr="004D2B8B">
              <w:rPr>
                <w:sz w:val="28"/>
                <w:szCs w:val="28"/>
              </w:rPr>
              <w:t xml:space="preserve">Izglītības iestādes īsteno vispārējās vidējās </w:t>
            </w:r>
            <w:r w:rsidRPr="004D2B8B">
              <w:rPr>
                <w:sz w:val="28"/>
                <w:szCs w:val="28"/>
              </w:rPr>
              <w:lastRenderedPageBreak/>
              <w:t>izglītības programmas pamatojoties uz saņemto licenci. Ja maksimālā mācību stundu slodze nemainās, izglītības iestādei nav nepieciešams pārlicencēt izglītības programmu.</w:t>
            </w:r>
          </w:p>
          <w:p w:rsidR="004D2B8B" w:rsidRPr="004D2B8B" w:rsidRDefault="004D2B8B" w:rsidP="002014BA">
            <w:pPr>
              <w:pStyle w:val="naiskr"/>
              <w:spacing w:before="0" w:after="0"/>
              <w:jc w:val="both"/>
              <w:rPr>
                <w:iCs/>
                <w:sz w:val="28"/>
                <w:szCs w:val="28"/>
              </w:rPr>
            </w:pPr>
          </w:p>
        </w:tc>
      </w:tr>
      <w:tr w:rsidR="00E15CED" w:rsidRPr="004D2B8B" w:rsidTr="004D2B8B">
        <w:trPr>
          <w:trHeight w:val="476"/>
        </w:trPr>
        <w:tc>
          <w:tcPr>
            <w:tcW w:w="595" w:type="dxa"/>
          </w:tcPr>
          <w:p w:rsidR="00262E2B" w:rsidRPr="004D2B8B" w:rsidRDefault="00262E2B" w:rsidP="006C4607">
            <w:pPr>
              <w:pStyle w:val="naiskr"/>
              <w:spacing w:before="0" w:after="0"/>
              <w:rPr>
                <w:sz w:val="28"/>
                <w:szCs w:val="28"/>
              </w:rPr>
            </w:pPr>
            <w:r w:rsidRPr="004D2B8B">
              <w:rPr>
                <w:sz w:val="28"/>
                <w:szCs w:val="28"/>
              </w:rPr>
              <w:lastRenderedPageBreak/>
              <w:t>5.</w:t>
            </w:r>
          </w:p>
        </w:tc>
        <w:tc>
          <w:tcPr>
            <w:tcW w:w="3261" w:type="dxa"/>
          </w:tcPr>
          <w:p w:rsidR="00262E2B" w:rsidRPr="004D2B8B" w:rsidRDefault="001A4066" w:rsidP="006C4607">
            <w:pPr>
              <w:pStyle w:val="naiskr"/>
              <w:spacing w:before="0" w:after="0"/>
              <w:rPr>
                <w:sz w:val="28"/>
                <w:szCs w:val="28"/>
              </w:rPr>
            </w:pPr>
            <w:r w:rsidRPr="004D2B8B">
              <w:rPr>
                <w:sz w:val="28"/>
                <w:szCs w:val="28"/>
              </w:rPr>
              <w:t>Projekta i</w:t>
            </w:r>
            <w:r w:rsidR="00262E2B" w:rsidRPr="004D2B8B">
              <w:rPr>
                <w:sz w:val="28"/>
                <w:szCs w:val="28"/>
              </w:rPr>
              <w:t>zstrād</w:t>
            </w:r>
            <w:r w:rsidR="00420870" w:rsidRPr="004D2B8B">
              <w:rPr>
                <w:sz w:val="28"/>
                <w:szCs w:val="28"/>
              </w:rPr>
              <w:t xml:space="preserve">ē </w:t>
            </w:r>
            <w:r w:rsidR="00262E2B" w:rsidRPr="004D2B8B">
              <w:rPr>
                <w:sz w:val="28"/>
                <w:szCs w:val="28"/>
              </w:rPr>
              <w:t>iesaistītās institūcijas</w:t>
            </w:r>
          </w:p>
        </w:tc>
        <w:tc>
          <w:tcPr>
            <w:tcW w:w="5271" w:type="dxa"/>
          </w:tcPr>
          <w:p w:rsidR="00262E2B" w:rsidRDefault="00C37C10" w:rsidP="002014BA">
            <w:pPr>
              <w:pStyle w:val="naiskr"/>
              <w:spacing w:before="0" w:after="0"/>
              <w:jc w:val="both"/>
              <w:rPr>
                <w:iCs/>
                <w:sz w:val="28"/>
                <w:szCs w:val="28"/>
              </w:rPr>
            </w:pPr>
            <w:r w:rsidRPr="004D2B8B">
              <w:rPr>
                <w:iCs/>
                <w:sz w:val="28"/>
                <w:szCs w:val="28"/>
              </w:rPr>
              <w:t>Noteikumu projekta izstrādē tika iesaistīts Valsts izglītības satura centrs</w:t>
            </w:r>
            <w:r w:rsidR="0047407C" w:rsidRPr="004D2B8B">
              <w:rPr>
                <w:iCs/>
                <w:sz w:val="28"/>
                <w:szCs w:val="28"/>
              </w:rPr>
              <w:t>, Izglītības kvalitātes valsts dienests</w:t>
            </w:r>
            <w:r w:rsidR="004D2B8B">
              <w:rPr>
                <w:iCs/>
                <w:sz w:val="28"/>
                <w:szCs w:val="28"/>
              </w:rPr>
              <w:t>.</w:t>
            </w:r>
          </w:p>
          <w:p w:rsidR="004D2B8B" w:rsidRPr="004D2B8B" w:rsidRDefault="004D2B8B" w:rsidP="002014BA">
            <w:pPr>
              <w:pStyle w:val="naiskr"/>
              <w:spacing w:before="0" w:after="0"/>
              <w:jc w:val="both"/>
              <w:rPr>
                <w:sz w:val="28"/>
                <w:szCs w:val="28"/>
              </w:rPr>
            </w:pPr>
          </w:p>
        </w:tc>
      </w:tr>
      <w:tr w:rsidR="00E15CED" w:rsidRPr="004D2B8B" w:rsidTr="004D2B8B">
        <w:trPr>
          <w:trHeight w:val="1112"/>
        </w:trPr>
        <w:tc>
          <w:tcPr>
            <w:tcW w:w="595" w:type="dxa"/>
          </w:tcPr>
          <w:p w:rsidR="00262E2B" w:rsidRPr="004D2B8B" w:rsidRDefault="00262E2B" w:rsidP="006C4607">
            <w:pPr>
              <w:pStyle w:val="naiskr"/>
              <w:spacing w:before="0" w:after="0"/>
              <w:rPr>
                <w:sz w:val="28"/>
                <w:szCs w:val="28"/>
              </w:rPr>
            </w:pPr>
            <w:r w:rsidRPr="004D2B8B">
              <w:rPr>
                <w:sz w:val="28"/>
                <w:szCs w:val="28"/>
              </w:rPr>
              <w:t>6.</w:t>
            </w:r>
          </w:p>
        </w:tc>
        <w:tc>
          <w:tcPr>
            <w:tcW w:w="3261" w:type="dxa"/>
          </w:tcPr>
          <w:p w:rsidR="00262E2B" w:rsidRPr="004D2B8B" w:rsidRDefault="00BB7C94" w:rsidP="006C4607">
            <w:pPr>
              <w:pStyle w:val="naiskr"/>
              <w:spacing w:before="0" w:after="0"/>
              <w:rPr>
                <w:i/>
                <w:sz w:val="28"/>
                <w:szCs w:val="28"/>
                <w:highlight w:val="yellow"/>
              </w:rPr>
            </w:pPr>
            <w:r w:rsidRPr="004D2B8B">
              <w:rPr>
                <w:sz w:val="28"/>
                <w:szCs w:val="28"/>
              </w:rPr>
              <w:t xml:space="preserve">Iemesli, kādēļ netika nodrošināta </w:t>
            </w:r>
            <w:r w:rsidR="00262E2B" w:rsidRPr="004D2B8B">
              <w:rPr>
                <w:sz w:val="28"/>
                <w:szCs w:val="28"/>
              </w:rPr>
              <w:t xml:space="preserve">sabiedrības </w:t>
            </w:r>
            <w:r w:rsidRPr="004D2B8B">
              <w:rPr>
                <w:sz w:val="28"/>
                <w:szCs w:val="28"/>
              </w:rPr>
              <w:t>līdzdalība</w:t>
            </w:r>
          </w:p>
        </w:tc>
        <w:tc>
          <w:tcPr>
            <w:tcW w:w="5271" w:type="dxa"/>
          </w:tcPr>
          <w:p w:rsidR="005912EC" w:rsidRDefault="005C3A29" w:rsidP="005912EC">
            <w:pPr>
              <w:pStyle w:val="FootnoteText"/>
              <w:jc w:val="both"/>
              <w:rPr>
                <w:sz w:val="28"/>
                <w:szCs w:val="28"/>
              </w:rPr>
            </w:pPr>
            <w:r w:rsidRPr="004D2B8B">
              <w:rPr>
                <w:sz w:val="28"/>
                <w:szCs w:val="28"/>
              </w:rPr>
              <w:t xml:space="preserve">Valsts vispārējās vidējās izglītības standarts netiek grozīts, vispārējās vidējās izglītības programmu paraugi </w:t>
            </w:r>
            <w:r w:rsidR="00E04A34" w:rsidRPr="004D2B8B">
              <w:rPr>
                <w:sz w:val="28"/>
                <w:szCs w:val="28"/>
              </w:rPr>
              <w:t xml:space="preserve">ar nelieliem </w:t>
            </w:r>
            <w:r w:rsidR="00E15CED" w:rsidRPr="004D2B8B">
              <w:rPr>
                <w:sz w:val="28"/>
                <w:szCs w:val="28"/>
              </w:rPr>
              <w:t xml:space="preserve">tehniskiem </w:t>
            </w:r>
            <w:r w:rsidR="00E04A34" w:rsidRPr="004D2B8B">
              <w:rPr>
                <w:sz w:val="28"/>
                <w:szCs w:val="28"/>
              </w:rPr>
              <w:t xml:space="preserve">precizējumiem </w:t>
            </w:r>
            <w:r w:rsidRPr="004D2B8B">
              <w:rPr>
                <w:sz w:val="28"/>
                <w:szCs w:val="28"/>
              </w:rPr>
              <w:t xml:space="preserve">atbilst Izglītības un zinātnes ministrijas </w:t>
            </w:r>
            <w:r w:rsidR="00E15CED" w:rsidRPr="004D2B8B">
              <w:rPr>
                <w:sz w:val="28"/>
                <w:szCs w:val="28"/>
              </w:rPr>
              <w:t xml:space="preserve">līdzšinējiem </w:t>
            </w:r>
            <w:r w:rsidRPr="004D2B8B">
              <w:rPr>
                <w:sz w:val="28"/>
                <w:szCs w:val="28"/>
              </w:rPr>
              <w:t>izstrādāt</w:t>
            </w:r>
            <w:r w:rsidR="00E15CED" w:rsidRPr="004D2B8B">
              <w:rPr>
                <w:sz w:val="28"/>
                <w:szCs w:val="28"/>
              </w:rPr>
              <w:t>ajiem</w:t>
            </w:r>
            <w:r w:rsidRPr="004D2B8B">
              <w:rPr>
                <w:sz w:val="28"/>
                <w:szCs w:val="28"/>
              </w:rPr>
              <w:t xml:space="preserve"> izglītības programmu paraugiem.</w:t>
            </w:r>
          </w:p>
          <w:p w:rsidR="004D2B8B" w:rsidRPr="004D2B8B" w:rsidRDefault="004D2B8B" w:rsidP="005912EC">
            <w:pPr>
              <w:pStyle w:val="FootnoteText"/>
              <w:jc w:val="both"/>
              <w:rPr>
                <w:sz w:val="28"/>
                <w:szCs w:val="28"/>
              </w:rPr>
            </w:pPr>
          </w:p>
        </w:tc>
      </w:tr>
      <w:tr w:rsidR="00E15CED" w:rsidRPr="004D2B8B" w:rsidTr="004D2B8B">
        <w:tc>
          <w:tcPr>
            <w:tcW w:w="595" w:type="dxa"/>
          </w:tcPr>
          <w:p w:rsidR="00262E2B" w:rsidRPr="004D2B8B" w:rsidRDefault="00262E2B" w:rsidP="006C4607">
            <w:pPr>
              <w:pStyle w:val="naiskr"/>
              <w:spacing w:before="0" w:after="0"/>
              <w:rPr>
                <w:sz w:val="28"/>
                <w:szCs w:val="28"/>
              </w:rPr>
            </w:pPr>
            <w:r w:rsidRPr="004D2B8B">
              <w:rPr>
                <w:sz w:val="28"/>
                <w:szCs w:val="28"/>
              </w:rPr>
              <w:t>7.</w:t>
            </w:r>
          </w:p>
        </w:tc>
        <w:tc>
          <w:tcPr>
            <w:tcW w:w="3261" w:type="dxa"/>
          </w:tcPr>
          <w:p w:rsidR="00262E2B" w:rsidRPr="004D2B8B" w:rsidRDefault="00262E2B" w:rsidP="006C4607">
            <w:pPr>
              <w:pStyle w:val="naiskr"/>
              <w:spacing w:before="0" w:after="0"/>
              <w:rPr>
                <w:sz w:val="28"/>
                <w:szCs w:val="28"/>
              </w:rPr>
            </w:pPr>
            <w:r w:rsidRPr="004D2B8B">
              <w:rPr>
                <w:sz w:val="28"/>
                <w:szCs w:val="28"/>
              </w:rPr>
              <w:t>Cita informācija</w:t>
            </w:r>
          </w:p>
        </w:tc>
        <w:tc>
          <w:tcPr>
            <w:tcW w:w="5271" w:type="dxa"/>
          </w:tcPr>
          <w:p w:rsidR="00262E2B" w:rsidRDefault="00262E2B" w:rsidP="006C4607">
            <w:pPr>
              <w:pStyle w:val="naiskr"/>
              <w:spacing w:before="0" w:after="0"/>
              <w:rPr>
                <w:sz w:val="28"/>
                <w:szCs w:val="28"/>
              </w:rPr>
            </w:pPr>
            <w:r w:rsidRPr="004D2B8B">
              <w:rPr>
                <w:sz w:val="28"/>
                <w:szCs w:val="28"/>
              </w:rPr>
              <w:t>Nav</w:t>
            </w:r>
            <w:r w:rsidR="004D2B8B">
              <w:rPr>
                <w:sz w:val="28"/>
                <w:szCs w:val="28"/>
              </w:rPr>
              <w:t>.</w:t>
            </w:r>
          </w:p>
          <w:p w:rsidR="004D2B8B" w:rsidRPr="004D2B8B" w:rsidRDefault="004D2B8B" w:rsidP="006C4607">
            <w:pPr>
              <w:pStyle w:val="naiskr"/>
              <w:spacing w:before="0" w:after="0"/>
              <w:rPr>
                <w:sz w:val="28"/>
                <w:szCs w:val="28"/>
              </w:rPr>
            </w:pPr>
          </w:p>
        </w:tc>
      </w:tr>
    </w:tbl>
    <w:p w:rsidR="00A71986" w:rsidRDefault="00A71986" w:rsidP="006C4607">
      <w:pPr>
        <w:pStyle w:val="naisf"/>
        <w:spacing w:before="0" w:after="0"/>
        <w:rPr>
          <w:sz w:val="28"/>
          <w:szCs w:val="28"/>
        </w:rPr>
      </w:pPr>
    </w:p>
    <w:p w:rsidR="004D2B8B" w:rsidRPr="004D2B8B" w:rsidRDefault="004D2B8B" w:rsidP="006C4607">
      <w:pPr>
        <w:pStyle w:val="naisf"/>
        <w:spacing w:before="0" w:after="0"/>
        <w:rPr>
          <w:sz w:val="28"/>
          <w:szCs w:val="2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903"/>
        <w:gridCol w:w="4629"/>
      </w:tblGrid>
      <w:tr w:rsidR="0062298A" w:rsidRPr="004D2B8B" w:rsidTr="001227FB">
        <w:tc>
          <w:tcPr>
            <w:tcW w:w="0" w:type="auto"/>
            <w:gridSpan w:val="3"/>
            <w:vAlign w:val="center"/>
          </w:tcPr>
          <w:p w:rsidR="0062298A" w:rsidRPr="004D2B8B" w:rsidRDefault="0062298A" w:rsidP="006C4607">
            <w:pPr>
              <w:pStyle w:val="naisnod"/>
              <w:spacing w:before="0" w:after="0"/>
              <w:rPr>
                <w:sz w:val="28"/>
                <w:szCs w:val="28"/>
              </w:rPr>
            </w:pPr>
            <w:r w:rsidRPr="004D2B8B">
              <w:rPr>
                <w:sz w:val="28"/>
                <w:szCs w:val="28"/>
              </w:rPr>
              <w:t>II</w:t>
            </w:r>
            <w:r w:rsidR="000941C5" w:rsidRPr="004D2B8B">
              <w:rPr>
                <w:sz w:val="28"/>
                <w:szCs w:val="28"/>
              </w:rPr>
              <w:t>.</w:t>
            </w:r>
            <w:r w:rsidRPr="004D2B8B">
              <w:rPr>
                <w:sz w:val="28"/>
                <w:szCs w:val="28"/>
              </w:rPr>
              <w:t xml:space="preserve"> Tiesību akta projekta ietekme uz sabiedrību</w:t>
            </w:r>
          </w:p>
        </w:tc>
      </w:tr>
      <w:tr w:rsidR="0062298A" w:rsidRPr="004D2B8B" w:rsidTr="009854ED">
        <w:trPr>
          <w:trHeight w:val="467"/>
        </w:trPr>
        <w:tc>
          <w:tcPr>
            <w:tcW w:w="595" w:type="dxa"/>
          </w:tcPr>
          <w:p w:rsidR="0062298A" w:rsidRPr="004D2B8B" w:rsidRDefault="0062298A" w:rsidP="006C4607">
            <w:pPr>
              <w:pStyle w:val="naiskr"/>
              <w:spacing w:before="0" w:after="0"/>
              <w:rPr>
                <w:sz w:val="28"/>
                <w:szCs w:val="28"/>
              </w:rPr>
            </w:pPr>
            <w:r w:rsidRPr="004D2B8B">
              <w:rPr>
                <w:sz w:val="28"/>
                <w:szCs w:val="28"/>
              </w:rPr>
              <w:t>1.</w:t>
            </w:r>
          </w:p>
        </w:tc>
        <w:tc>
          <w:tcPr>
            <w:tcW w:w="3903" w:type="dxa"/>
          </w:tcPr>
          <w:p w:rsidR="0062298A" w:rsidRPr="004D2B8B" w:rsidRDefault="00C27A08" w:rsidP="006C4607">
            <w:pPr>
              <w:pStyle w:val="naiskr"/>
              <w:spacing w:before="0" w:after="0"/>
              <w:rPr>
                <w:sz w:val="28"/>
                <w:szCs w:val="28"/>
              </w:rPr>
            </w:pPr>
            <w:r w:rsidRPr="004D2B8B">
              <w:rPr>
                <w:sz w:val="28"/>
                <w:szCs w:val="28"/>
              </w:rPr>
              <w:t>Sabiedrības mērķgrupa</w:t>
            </w:r>
          </w:p>
        </w:tc>
        <w:tc>
          <w:tcPr>
            <w:tcW w:w="0" w:type="auto"/>
          </w:tcPr>
          <w:p w:rsidR="0062298A" w:rsidRPr="004D2B8B" w:rsidRDefault="009E12D7" w:rsidP="001227FB">
            <w:pPr>
              <w:pStyle w:val="naiskr"/>
              <w:spacing w:before="0" w:after="0"/>
              <w:ind w:hanging="57"/>
              <w:jc w:val="both"/>
              <w:rPr>
                <w:iCs/>
                <w:sz w:val="28"/>
                <w:szCs w:val="28"/>
              </w:rPr>
            </w:pPr>
            <w:r w:rsidRPr="004D2B8B">
              <w:rPr>
                <w:iCs/>
                <w:sz w:val="28"/>
                <w:szCs w:val="28"/>
              </w:rPr>
              <w:t> </w:t>
            </w:r>
            <w:r w:rsidR="001227FB" w:rsidRPr="004D2B8B">
              <w:rPr>
                <w:iCs/>
                <w:sz w:val="28"/>
                <w:szCs w:val="28"/>
              </w:rPr>
              <w:t>Aptuveni 38000 10.-12.klašu skolēni 362 vidusskolās, ap 10500 izglītojamo 25 vakara (maiņu) un neklātienes vidusskolās.</w:t>
            </w:r>
          </w:p>
          <w:p w:rsidR="005912EC" w:rsidRPr="004D2B8B" w:rsidRDefault="005912EC" w:rsidP="001227FB">
            <w:pPr>
              <w:pStyle w:val="naiskr"/>
              <w:spacing w:before="0" w:after="0"/>
              <w:ind w:hanging="57"/>
              <w:jc w:val="both"/>
              <w:rPr>
                <w:sz w:val="28"/>
                <w:szCs w:val="28"/>
              </w:rPr>
            </w:pPr>
          </w:p>
        </w:tc>
      </w:tr>
      <w:tr w:rsidR="0062298A" w:rsidRPr="004D2B8B" w:rsidTr="009854ED">
        <w:trPr>
          <w:trHeight w:val="523"/>
        </w:trPr>
        <w:tc>
          <w:tcPr>
            <w:tcW w:w="595" w:type="dxa"/>
          </w:tcPr>
          <w:p w:rsidR="0062298A" w:rsidRPr="004D2B8B" w:rsidRDefault="0062298A" w:rsidP="006C4607">
            <w:pPr>
              <w:pStyle w:val="naiskr"/>
              <w:spacing w:before="0" w:after="0"/>
              <w:rPr>
                <w:sz w:val="28"/>
                <w:szCs w:val="28"/>
              </w:rPr>
            </w:pPr>
            <w:r w:rsidRPr="004D2B8B">
              <w:rPr>
                <w:sz w:val="28"/>
                <w:szCs w:val="28"/>
              </w:rPr>
              <w:t>2.</w:t>
            </w:r>
          </w:p>
        </w:tc>
        <w:tc>
          <w:tcPr>
            <w:tcW w:w="3903" w:type="dxa"/>
          </w:tcPr>
          <w:p w:rsidR="00C1133D" w:rsidRPr="004D2B8B" w:rsidRDefault="00C27A08" w:rsidP="006C4607">
            <w:pPr>
              <w:pStyle w:val="naiskr"/>
              <w:spacing w:before="0" w:after="0"/>
              <w:rPr>
                <w:sz w:val="28"/>
                <w:szCs w:val="28"/>
              </w:rPr>
            </w:pPr>
            <w:r w:rsidRPr="004D2B8B">
              <w:rPr>
                <w:sz w:val="28"/>
                <w:szCs w:val="28"/>
              </w:rPr>
              <w:t>Citas sabiedrības grupas (bez mērķgrupas), kuras tiesiskais regulējums arī ietekmē vai varētu ietekmēt</w:t>
            </w:r>
          </w:p>
        </w:tc>
        <w:tc>
          <w:tcPr>
            <w:tcW w:w="0" w:type="auto"/>
          </w:tcPr>
          <w:p w:rsidR="0062298A" w:rsidRPr="004D2B8B" w:rsidRDefault="001227FB" w:rsidP="006C4607">
            <w:pPr>
              <w:pStyle w:val="naiskr"/>
              <w:spacing w:before="0" w:after="0"/>
              <w:rPr>
                <w:sz w:val="28"/>
                <w:szCs w:val="28"/>
              </w:rPr>
            </w:pPr>
            <w:r w:rsidRPr="004D2B8B">
              <w:rPr>
                <w:sz w:val="28"/>
                <w:szCs w:val="28"/>
              </w:rPr>
              <w:t>Projekts šo jomu neskar.</w:t>
            </w:r>
          </w:p>
        </w:tc>
      </w:tr>
      <w:tr w:rsidR="0062298A" w:rsidRPr="004D2B8B" w:rsidTr="009854ED">
        <w:trPr>
          <w:trHeight w:val="385"/>
        </w:trPr>
        <w:tc>
          <w:tcPr>
            <w:tcW w:w="595" w:type="dxa"/>
          </w:tcPr>
          <w:p w:rsidR="0062298A" w:rsidRPr="004D2B8B" w:rsidRDefault="0062298A" w:rsidP="00143C10">
            <w:pPr>
              <w:pStyle w:val="naiskr"/>
              <w:spacing w:before="0" w:after="0"/>
              <w:rPr>
                <w:sz w:val="28"/>
                <w:szCs w:val="28"/>
              </w:rPr>
            </w:pPr>
            <w:r w:rsidRPr="004D2B8B">
              <w:rPr>
                <w:sz w:val="28"/>
                <w:szCs w:val="28"/>
              </w:rPr>
              <w:t>3.</w:t>
            </w:r>
          </w:p>
        </w:tc>
        <w:tc>
          <w:tcPr>
            <w:tcW w:w="3903" w:type="dxa"/>
          </w:tcPr>
          <w:p w:rsidR="00C1133D" w:rsidRPr="004D2B8B" w:rsidRDefault="000C790C" w:rsidP="00143C10">
            <w:pPr>
              <w:pStyle w:val="naiskr"/>
              <w:spacing w:before="0" w:after="0"/>
              <w:rPr>
                <w:sz w:val="28"/>
                <w:szCs w:val="28"/>
              </w:rPr>
            </w:pPr>
            <w:r w:rsidRPr="004D2B8B">
              <w:rPr>
                <w:sz w:val="28"/>
                <w:szCs w:val="28"/>
              </w:rPr>
              <w:t>Tiesiskā r</w:t>
            </w:r>
            <w:r w:rsidR="003D21FF" w:rsidRPr="004D2B8B">
              <w:rPr>
                <w:sz w:val="28"/>
                <w:szCs w:val="28"/>
              </w:rPr>
              <w:t>egulējuma</w:t>
            </w:r>
            <w:r w:rsidR="00C27A08" w:rsidRPr="004D2B8B">
              <w:rPr>
                <w:sz w:val="28"/>
                <w:szCs w:val="28"/>
              </w:rPr>
              <w:t xml:space="preserve"> finansiālā ietekme</w:t>
            </w:r>
          </w:p>
        </w:tc>
        <w:tc>
          <w:tcPr>
            <w:tcW w:w="0" w:type="auto"/>
          </w:tcPr>
          <w:p w:rsidR="0062298A" w:rsidRPr="004D2B8B" w:rsidRDefault="001227FB" w:rsidP="00143C10">
            <w:pPr>
              <w:pStyle w:val="naiskr"/>
              <w:spacing w:before="0" w:after="0"/>
              <w:rPr>
                <w:sz w:val="28"/>
                <w:szCs w:val="28"/>
              </w:rPr>
            </w:pPr>
            <w:r w:rsidRPr="004D2B8B">
              <w:rPr>
                <w:sz w:val="28"/>
                <w:szCs w:val="28"/>
              </w:rPr>
              <w:t>Projekts šo jomu neskar.</w:t>
            </w:r>
          </w:p>
        </w:tc>
      </w:tr>
      <w:tr w:rsidR="00C27A08" w:rsidRPr="004D2B8B" w:rsidTr="009854ED">
        <w:trPr>
          <w:trHeight w:val="363"/>
        </w:trPr>
        <w:tc>
          <w:tcPr>
            <w:tcW w:w="595" w:type="dxa"/>
          </w:tcPr>
          <w:p w:rsidR="00C27A08" w:rsidRPr="004D2B8B" w:rsidRDefault="00C27A08" w:rsidP="00143C10">
            <w:pPr>
              <w:pStyle w:val="naiskr"/>
              <w:spacing w:before="0" w:after="0"/>
              <w:rPr>
                <w:sz w:val="28"/>
                <w:szCs w:val="28"/>
              </w:rPr>
            </w:pPr>
            <w:r w:rsidRPr="004D2B8B">
              <w:rPr>
                <w:sz w:val="28"/>
                <w:szCs w:val="28"/>
              </w:rPr>
              <w:t>4.</w:t>
            </w:r>
          </w:p>
        </w:tc>
        <w:tc>
          <w:tcPr>
            <w:tcW w:w="3903" w:type="dxa"/>
          </w:tcPr>
          <w:p w:rsidR="00C27A08" w:rsidRPr="004D2B8B" w:rsidRDefault="00C27A08" w:rsidP="00143C10">
            <w:pPr>
              <w:pStyle w:val="naiskr"/>
              <w:spacing w:before="0" w:after="0"/>
              <w:rPr>
                <w:sz w:val="28"/>
                <w:szCs w:val="28"/>
              </w:rPr>
            </w:pPr>
            <w:r w:rsidRPr="004D2B8B">
              <w:rPr>
                <w:sz w:val="28"/>
                <w:szCs w:val="28"/>
              </w:rPr>
              <w:t>Tiesiskā regulējuma nefinansiālā ietekme</w:t>
            </w:r>
          </w:p>
        </w:tc>
        <w:tc>
          <w:tcPr>
            <w:tcW w:w="0" w:type="auto"/>
          </w:tcPr>
          <w:p w:rsidR="00C27A08" w:rsidRPr="004D2B8B" w:rsidRDefault="001227FB" w:rsidP="00143C10">
            <w:pPr>
              <w:pStyle w:val="naiskr"/>
              <w:spacing w:before="0" w:after="0"/>
              <w:rPr>
                <w:sz w:val="28"/>
                <w:szCs w:val="28"/>
              </w:rPr>
            </w:pPr>
            <w:r w:rsidRPr="004D2B8B">
              <w:rPr>
                <w:sz w:val="28"/>
                <w:szCs w:val="28"/>
              </w:rPr>
              <w:t>Projekts šo jomu neskar.</w:t>
            </w:r>
          </w:p>
        </w:tc>
      </w:tr>
      <w:tr w:rsidR="0062298A" w:rsidRPr="004D2B8B" w:rsidTr="009854ED">
        <w:trPr>
          <w:trHeight w:val="355"/>
        </w:trPr>
        <w:tc>
          <w:tcPr>
            <w:tcW w:w="595" w:type="dxa"/>
          </w:tcPr>
          <w:p w:rsidR="0062298A" w:rsidRPr="004D2B8B" w:rsidRDefault="00C27A08" w:rsidP="00143C10">
            <w:pPr>
              <w:pStyle w:val="naiskr"/>
              <w:spacing w:before="0" w:after="0"/>
              <w:rPr>
                <w:sz w:val="28"/>
                <w:szCs w:val="28"/>
              </w:rPr>
            </w:pPr>
            <w:r w:rsidRPr="004D2B8B">
              <w:rPr>
                <w:sz w:val="28"/>
                <w:szCs w:val="28"/>
              </w:rPr>
              <w:t>5</w:t>
            </w:r>
            <w:r w:rsidR="0062298A" w:rsidRPr="004D2B8B">
              <w:rPr>
                <w:sz w:val="28"/>
                <w:szCs w:val="28"/>
              </w:rPr>
              <w:t>.</w:t>
            </w:r>
          </w:p>
        </w:tc>
        <w:tc>
          <w:tcPr>
            <w:tcW w:w="3903" w:type="dxa"/>
          </w:tcPr>
          <w:p w:rsidR="00C1133D" w:rsidRPr="004D2B8B" w:rsidRDefault="00C1133D" w:rsidP="00143C10">
            <w:pPr>
              <w:pStyle w:val="naiskr"/>
              <w:spacing w:before="0" w:after="0"/>
              <w:rPr>
                <w:sz w:val="28"/>
                <w:szCs w:val="28"/>
              </w:rPr>
            </w:pPr>
            <w:r w:rsidRPr="004D2B8B">
              <w:rPr>
                <w:sz w:val="28"/>
                <w:szCs w:val="28"/>
              </w:rPr>
              <w:t>Administratīv</w:t>
            </w:r>
            <w:r w:rsidR="00C27A08" w:rsidRPr="004D2B8B">
              <w:rPr>
                <w:sz w:val="28"/>
                <w:szCs w:val="28"/>
              </w:rPr>
              <w:t>ās</w:t>
            </w:r>
            <w:r w:rsidRPr="004D2B8B">
              <w:rPr>
                <w:sz w:val="28"/>
                <w:szCs w:val="28"/>
              </w:rPr>
              <w:t xml:space="preserve"> procedūr</w:t>
            </w:r>
            <w:r w:rsidR="00965897" w:rsidRPr="004D2B8B">
              <w:rPr>
                <w:sz w:val="28"/>
                <w:szCs w:val="28"/>
              </w:rPr>
              <w:t>a</w:t>
            </w:r>
            <w:r w:rsidRPr="004D2B8B">
              <w:rPr>
                <w:sz w:val="28"/>
                <w:szCs w:val="28"/>
              </w:rPr>
              <w:t xml:space="preserve">s </w:t>
            </w:r>
            <w:r w:rsidR="00C27A08" w:rsidRPr="004D2B8B">
              <w:rPr>
                <w:sz w:val="28"/>
                <w:szCs w:val="28"/>
              </w:rPr>
              <w:t>raksturojums</w:t>
            </w:r>
          </w:p>
        </w:tc>
        <w:tc>
          <w:tcPr>
            <w:tcW w:w="0" w:type="auto"/>
          </w:tcPr>
          <w:p w:rsidR="0062298A" w:rsidRPr="004D2B8B" w:rsidRDefault="001227FB" w:rsidP="00143C10">
            <w:pPr>
              <w:pStyle w:val="naiskr"/>
              <w:spacing w:before="0" w:after="0"/>
              <w:rPr>
                <w:sz w:val="28"/>
                <w:szCs w:val="28"/>
              </w:rPr>
            </w:pPr>
            <w:r w:rsidRPr="004D2B8B">
              <w:rPr>
                <w:sz w:val="28"/>
                <w:szCs w:val="28"/>
              </w:rPr>
              <w:t>Projekts šo jomu neskar.</w:t>
            </w:r>
          </w:p>
        </w:tc>
      </w:tr>
      <w:tr w:rsidR="0062298A" w:rsidRPr="004D2B8B" w:rsidTr="009854ED">
        <w:trPr>
          <w:trHeight w:val="357"/>
        </w:trPr>
        <w:tc>
          <w:tcPr>
            <w:tcW w:w="595" w:type="dxa"/>
          </w:tcPr>
          <w:p w:rsidR="0062298A" w:rsidRPr="004D2B8B" w:rsidRDefault="00C27A08" w:rsidP="00143C10">
            <w:pPr>
              <w:pStyle w:val="naiskr"/>
              <w:spacing w:before="0" w:after="0"/>
              <w:rPr>
                <w:sz w:val="28"/>
                <w:szCs w:val="28"/>
              </w:rPr>
            </w:pPr>
            <w:r w:rsidRPr="004D2B8B">
              <w:rPr>
                <w:sz w:val="28"/>
                <w:szCs w:val="28"/>
              </w:rPr>
              <w:t>6</w:t>
            </w:r>
            <w:r w:rsidR="0062298A" w:rsidRPr="004D2B8B">
              <w:rPr>
                <w:sz w:val="28"/>
                <w:szCs w:val="28"/>
              </w:rPr>
              <w:t>.</w:t>
            </w:r>
          </w:p>
        </w:tc>
        <w:tc>
          <w:tcPr>
            <w:tcW w:w="3903" w:type="dxa"/>
          </w:tcPr>
          <w:p w:rsidR="00AE5066" w:rsidRPr="004D2B8B" w:rsidRDefault="00C27A08" w:rsidP="00143C10">
            <w:pPr>
              <w:pStyle w:val="naiskr"/>
              <w:spacing w:before="0" w:after="0"/>
              <w:rPr>
                <w:sz w:val="28"/>
                <w:szCs w:val="28"/>
              </w:rPr>
            </w:pPr>
            <w:r w:rsidRPr="004D2B8B">
              <w:rPr>
                <w:sz w:val="28"/>
                <w:szCs w:val="28"/>
              </w:rPr>
              <w:t xml:space="preserve">Administratīvo izmaksu </w:t>
            </w:r>
            <w:r w:rsidR="00502374" w:rsidRPr="004D2B8B">
              <w:rPr>
                <w:sz w:val="28"/>
                <w:szCs w:val="28"/>
              </w:rPr>
              <w:t xml:space="preserve">monetārs </w:t>
            </w:r>
            <w:r w:rsidRPr="004D2B8B">
              <w:rPr>
                <w:sz w:val="28"/>
                <w:szCs w:val="28"/>
              </w:rPr>
              <w:t>novērtējums</w:t>
            </w:r>
          </w:p>
        </w:tc>
        <w:tc>
          <w:tcPr>
            <w:tcW w:w="0" w:type="auto"/>
          </w:tcPr>
          <w:p w:rsidR="0062298A" w:rsidRPr="004D2B8B" w:rsidRDefault="001227FB" w:rsidP="00143C10">
            <w:pPr>
              <w:pStyle w:val="naiskr"/>
              <w:spacing w:before="0" w:after="0"/>
              <w:rPr>
                <w:sz w:val="28"/>
                <w:szCs w:val="28"/>
              </w:rPr>
            </w:pPr>
            <w:r w:rsidRPr="004D2B8B">
              <w:rPr>
                <w:sz w:val="28"/>
                <w:szCs w:val="28"/>
              </w:rPr>
              <w:t>Projekts šo jomu neskar.</w:t>
            </w:r>
          </w:p>
        </w:tc>
      </w:tr>
      <w:tr w:rsidR="0062298A" w:rsidRPr="004D2B8B" w:rsidTr="009854ED">
        <w:tc>
          <w:tcPr>
            <w:tcW w:w="595" w:type="dxa"/>
          </w:tcPr>
          <w:p w:rsidR="0062298A" w:rsidRPr="004D2B8B" w:rsidRDefault="00C27A08" w:rsidP="00143C10">
            <w:pPr>
              <w:pStyle w:val="naiskr"/>
              <w:spacing w:before="0" w:after="0"/>
              <w:rPr>
                <w:sz w:val="28"/>
                <w:szCs w:val="28"/>
              </w:rPr>
            </w:pPr>
            <w:r w:rsidRPr="004D2B8B">
              <w:rPr>
                <w:sz w:val="28"/>
                <w:szCs w:val="28"/>
              </w:rPr>
              <w:t>7</w:t>
            </w:r>
            <w:r w:rsidR="0062298A" w:rsidRPr="004D2B8B">
              <w:rPr>
                <w:sz w:val="28"/>
                <w:szCs w:val="28"/>
              </w:rPr>
              <w:t>.</w:t>
            </w:r>
          </w:p>
        </w:tc>
        <w:tc>
          <w:tcPr>
            <w:tcW w:w="3903" w:type="dxa"/>
          </w:tcPr>
          <w:p w:rsidR="0062298A" w:rsidRPr="004D2B8B" w:rsidRDefault="009E12D7" w:rsidP="00143C10">
            <w:pPr>
              <w:pStyle w:val="naiskr"/>
              <w:spacing w:before="0" w:after="0"/>
              <w:rPr>
                <w:sz w:val="28"/>
                <w:szCs w:val="28"/>
              </w:rPr>
            </w:pPr>
            <w:r w:rsidRPr="004D2B8B">
              <w:rPr>
                <w:sz w:val="28"/>
                <w:szCs w:val="28"/>
              </w:rPr>
              <w:t>Cita informācija</w:t>
            </w:r>
          </w:p>
        </w:tc>
        <w:tc>
          <w:tcPr>
            <w:tcW w:w="0" w:type="auto"/>
          </w:tcPr>
          <w:p w:rsidR="0062298A" w:rsidRPr="004D2B8B" w:rsidRDefault="0062298A" w:rsidP="00143C10">
            <w:pPr>
              <w:pStyle w:val="naiskr"/>
              <w:spacing w:before="0" w:after="0"/>
              <w:rPr>
                <w:sz w:val="28"/>
                <w:szCs w:val="28"/>
              </w:rPr>
            </w:pPr>
            <w:r w:rsidRPr="004D2B8B">
              <w:rPr>
                <w:sz w:val="28"/>
                <w:szCs w:val="28"/>
              </w:rPr>
              <w:t>Nav</w:t>
            </w:r>
            <w:r w:rsidR="004D2B8B">
              <w:rPr>
                <w:sz w:val="28"/>
                <w:szCs w:val="28"/>
              </w:rPr>
              <w:t>.</w:t>
            </w:r>
          </w:p>
        </w:tc>
      </w:tr>
    </w:tbl>
    <w:p w:rsidR="008C5649" w:rsidRPr="004D2B8B" w:rsidRDefault="008C5649" w:rsidP="006C4607">
      <w:pPr>
        <w:pStyle w:val="naisf"/>
        <w:spacing w:before="0" w:after="0"/>
        <w:rPr>
          <w:sz w:val="28"/>
          <w:szCs w:val="28"/>
        </w:rPr>
      </w:pPr>
    </w:p>
    <w:p w:rsidR="005C3A29" w:rsidRPr="004D2B8B" w:rsidRDefault="005C3A29" w:rsidP="005C3A29">
      <w:pPr>
        <w:pStyle w:val="tvhtml"/>
        <w:spacing w:before="0" w:beforeAutospacing="0" w:after="0" w:afterAutospacing="0"/>
        <w:rPr>
          <w:i/>
          <w:iCs/>
          <w:sz w:val="28"/>
          <w:szCs w:val="28"/>
        </w:rPr>
      </w:pPr>
      <w:r w:rsidRPr="004D2B8B">
        <w:rPr>
          <w:i/>
          <w:iCs/>
          <w:sz w:val="28"/>
          <w:szCs w:val="28"/>
        </w:rPr>
        <w:t>Anotācijas III</w:t>
      </w:r>
      <w:r w:rsidR="001B50B2" w:rsidRPr="004D2B8B">
        <w:rPr>
          <w:i/>
          <w:iCs/>
          <w:sz w:val="28"/>
          <w:szCs w:val="28"/>
        </w:rPr>
        <w:t>, IV,</w:t>
      </w:r>
      <w:r w:rsidR="003950D1" w:rsidRPr="004D2B8B">
        <w:rPr>
          <w:i/>
          <w:iCs/>
          <w:sz w:val="28"/>
          <w:szCs w:val="28"/>
        </w:rPr>
        <w:t xml:space="preserve"> </w:t>
      </w:r>
      <w:r w:rsidR="001B50B2" w:rsidRPr="004D2B8B">
        <w:rPr>
          <w:i/>
          <w:iCs/>
          <w:sz w:val="28"/>
          <w:szCs w:val="28"/>
        </w:rPr>
        <w:t xml:space="preserve">V un VI </w:t>
      </w:r>
      <w:r w:rsidRPr="004D2B8B">
        <w:rPr>
          <w:i/>
          <w:iCs/>
          <w:sz w:val="28"/>
          <w:szCs w:val="28"/>
        </w:rPr>
        <w:t>sadaļa – projekts šīs jomas neskar.</w:t>
      </w:r>
    </w:p>
    <w:p w:rsidR="003950D1" w:rsidRPr="004D2B8B" w:rsidRDefault="003950D1" w:rsidP="005C3A29">
      <w:pPr>
        <w:pStyle w:val="tvhtml"/>
        <w:spacing w:before="0" w:beforeAutospacing="0" w:after="0" w:afterAutospacing="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6"/>
        <w:gridCol w:w="3685"/>
        <w:gridCol w:w="4846"/>
      </w:tblGrid>
      <w:tr w:rsidR="0023436E" w:rsidRPr="004D2B8B" w:rsidTr="001227FB">
        <w:tc>
          <w:tcPr>
            <w:tcW w:w="5000" w:type="pct"/>
            <w:gridSpan w:val="3"/>
            <w:tcBorders>
              <w:top w:val="single" w:sz="4" w:space="0" w:color="auto"/>
            </w:tcBorders>
          </w:tcPr>
          <w:p w:rsidR="0023436E" w:rsidRPr="004D2B8B" w:rsidRDefault="0023436E" w:rsidP="007D099D">
            <w:pPr>
              <w:pStyle w:val="naisnod"/>
              <w:spacing w:before="0" w:after="0"/>
              <w:ind w:left="57" w:right="57"/>
              <w:rPr>
                <w:sz w:val="28"/>
                <w:szCs w:val="28"/>
              </w:rPr>
            </w:pPr>
            <w:r w:rsidRPr="004D2B8B">
              <w:rPr>
                <w:sz w:val="28"/>
                <w:szCs w:val="28"/>
              </w:rPr>
              <w:t>VII</w:t>
            </w:r>
            <w:r w:rsidR="000941C5" w:rsidRPr="004D2B8B">
              <w:rPr>
                <w:sz w:val="28"/>
                <w:szCs w:val="28"/>
              </w:rPr>
              <w:t>.</w:t>
            </w:r>
            <w:r w:rsidRPr="004D2B8B">
              <w:rPr>
                <w:sz w:val="28"/>
                <w:szCs w:val="28"/>
              </w:rPr>
              <w:t xml:space="preserve"> Tiesību akta projekta izpildes nodrošināšana un tās ietekme uz institūcijām</w:t>
            </w:r>
          </w:p>
        </w:tc>
      </w:tr>
      <w:tr w:rsidR="001227FB" w:rsidRPr="004D2B8B" w:rsidTr="004D2B8B">
        <w:trPr>
          <w:trHeight w:val="427"/>
        </w:trPr>
        <w:tc>
          <w:tcPr>
            <w:tcW w:w="326" w:type="pct"/>
          </w:tcPr>
          <w:p w:rsidR="001227FB" w:rsidRPr="004D2B8B" w:rsidRDefault="001227FB" w:rsidP="007D099D">
            <w:pPr>
              <w:pStyle w:val="naisnod"/>
              <w:spacing w:before="0" w:after="0"/>
              <w:ind w:left="57" w:right="57"/>
              <w:jc w:val="left"/>
              <w:rPr>
                <w:b w:val="0"/>
                <w:sz w:val="28"/>
                <w:szCs w:val="28"/>
              </w:rPr>
            </w:pPr>
            <w:r w:rsidRPr="004D2B8B">
              <w:rPr>
                <w:b w:val="0"/>
                <w:sz w:val="28"/>
                <w:szCs w:val="28"/>
              </w:rPr>
              <w:t>1.</w:t>
            </w:r>
          </w:p>
        </w:tc>
        <w:tc>
          <w:tcPr>
            <w:tcW w:w="2019" w:type="pct"/>
          </w:tcPr>
          <w:p w:rsidR="001227FB" w:rsidRPr="004D2B8B" w:rsidRDefault="001227FB" w:rsidP="007D099D">
            <w:pPr>
              <w:pStyle w:val="naisf"/>
              <w:spacing w:before="0" w:after="0"/>
              <w:ind w:left="57" w:right="57" w:firstLine="0"/>
              <w:jc w:val="left"/>
              <w:rPr>
                <w:sz w:val="28"/>
                <w:szCs w:val="28"/>
              </w:rPr>
            </w:pPr>
            <w:r w:rsidRPr="004D2B8B">
              <w:rPr>
                <w:sz w:val="28"/>
                <w:szCs w:val="28"/>
              </w:rPr>
              <w:t xml:space="preserve">Projekta izpildē iesaistītās institūcijas </w:t>
            </w:r>
          </w:p>
        </w:tc>
        <w:tc>
          <w:tcPr>
            <w:tcW w:w="2655" w:type="pct"/>
          </w:tcPr>
          <w:p w:rsidR="001227FB" w:rsidRPr="004D2B8B" w:rsidRDefault="001227FB" w:rsidP="004D2B8B">
            <w:pPr>
              <w:spacing w:before="50" w:after="50"/>
              <w:jc w:val="both"/>
              <w:rPr>
                <w:sz w:val="28"/>
                <w:szCs w:val="28"/>
              </w:rPr>
            </w:pPr>
            <w:r w:rsidRPr="004D2B8B">
              <w:rPr>
                <w:sz w:val="28"/>
                <w:szCs w:val="28"/>
              </w:rPr>
              <w:t>Vispārējās izglītības iestāžu administrācija un pedagoģiskais personāls.</w:t>
            </w:r>
          </w:p>
        </w:tc>
      </w:tr>
      <w:tr w:rsidR="001227FB" w:rsidRPr="004D2B8B" w:rsidTr="004D2B8B">
        <w:trPr>
          <w:trHeight w:val="463"/>
        </w:trPr>
        <w:tc>
          <w:tcPr>
            <w:tcW w:w="326" w:type="pct"/>
          </w:tcPr>
          <w:p w:rsidR="001227FB" w:rsidRPr="004D2B8B" w:rsidRDefault="001227FB" w:rsidP="007D099D">
            <w:pPr>
              <w:pStyle w:val="naisnod"/>
              <w:spacing w:before="0" w:after="0"/>
              <w:ind w:left="57" w:right="57"/>
              <w:jc w:val="left"/>
              <w:rPr>
                <w:b w:val="0"/>
                <w:sz w:val="28"/>
                <w:szCs w:val="28"/>
              </w:rPr>
            </w:pPr>
            <w:r w:rsidRPr="004D2B8B">
              <w:rPr>
                <w:b w:val="0"/>
                <w:sz w:val="28"/>
                <w:szCs w:val="28"/>
              </w:rPr>
              <w:t>2.</w:t>
            </w:r>
          </w:p>
        </w:tc>
        <w:tc>
          <w:tcPr>
            <w:tcW w:w="2019" w:type="pct"/>
          </w:tcPr>
          <w:p w:rsidR="001227FB" w:rsidRPr="004D2B8B" w:rsidRDefault="001227FB" w:rsidP="007D099D">
            <w:pPr>
              <w:pStyle w:val="naisf"/>
              <w:spacing w:before="0" w:after="0"/>
              <w:ind w:left="57" w:right="57" w:firstLine="0"/>
              <w:jc w:val="left"/>
              <w:rPr>
                <w:sz w:val="28"/>
                <w:szCs w:val="28"/>
              </w:rPr>
            </w:pPr>
            <w:r w:rsidRPr="004D2B8B">
              <w:rPr>
                <w:sz w:val="28"/>
                <w:szCs w:val="28"/>
              </w:rPr>
              <w:t xml:space="preserve">Projekta izpildes ietekme uz pārvaldes funkcijām </w:t>
            </w:r>
          </w:p>
        </w:tc>
        <w:tc>
          <w:tcPr>
            <w:tcW w:w="2655" w:type="pct"/>
          </w:tcPr>
          <w:p w:rsidR="001227FB" w:rsidRPr="004D2B8B" w:rsidRDefault="001227FB" w:rsidP="004D2B8B">
            <w:pPr>
              <w:spacing w:before="50" w:after="50"/>
              <w:jc w:val="both"/>
              <w:rPr>
                <w:sz w:val="28"/>
                <w:szCs w:val="28"/>
              </w:rPr>
            </w:pPr>
            <w:r w:rsidRPr="004D2B8B">
              <w:rPr>
                <w:sz w:val="28"/>
                <w:szCs w:val="28"/>
              </w:rPr>
              <w:t>Funkcijas un uzdevumi netiek paplašināti</w:t>
            </w:r>
            <w:r w:rsidR="004D2B8B">
              <w:rPr>
                <w:sz w:val="28"/>
                <w:szCs w:val="28"/>
              </w:rPr>
              <w:t>.</w:t>
            </w:r>
          </w:p>
        </w:tc>
      </w:tr>
      <w:tr w:rsidR="001227FB" w:rsidRPr="004D2B8B" w:rsidTr="004D2B8B">
        <w:trPr>
          <w:trHeight w:val="725"/>
        </w:trPr>
        <w:tc>
          <w:tcPr>
            <w:tcW w:w="326" w:type="pct"/>
          </w:tcPr>
          <w:p w:rsidR="001227FB" w:rsidRPr="004D2B8B" w:rsidRDefault="001227FB" w:rsidP="007D099D">
            <w:pPr>
              <w:pStyle w:val="naisnod"/>
              <w:spacing w:before="0" w:after="0"/>
              <w:ind w:left="57" w:right="57"/>
              <w:jc w:val="left"/>
              <w:rPr>
                <w:b w:val="0"/>
                <w:sz w:val="28"/>
                <w:szCs w:val="28"/>
              </w:rPr>
            </w:pPr>
            <w:r w:rsidRPr="004D2B8B">
              <w:rPr>
                <w:b w:val="0"/>
                <w:sz w:val="28"/>
                <w:szCs w:val="28"/>
              </w:rPr>
              <w:t>3.</w:t>
            </w:r>
          </w:p>
        </w:tc>
        <w:tc>
          <w:tcPr>
            <w:tcW w:w="2019" w:type="pct"/>
          </w:tcPr>
          <w:p w:rsidR="001227FB" w:rsidRPr="004D2B8B" w:rsidRDefault="001227FB" w:rsidP="007D099D">
            <w:pPr>
              <w:pStyle w:val="naisf"/>
              <w:spacing w:before="0" w:after="0"/>
              <w:ind w:left="57" w:right="57" w:firstLine="0"/>
              <w:jc w:val="left"/>
              <w:rPr>
                <w:sz w:val="28"/>
                <w:szCs w:val="28"/>
              </w:rPr>
            </w:pPr>
            <w:r w:rsidRPr="004D2B8B">
              <w:rPr>
                <w:sz w:val="28"/>
                <w:szCs w:val="28"/>
              </w:rPr>
              <w:t>Projekta izpildes ietekme uz pārvaldes institucionālo struktūru.</w:t>
            </w:r>
          </w:p>
          <w:p w:rsidR="001227FB" w:rsidRDefault="001227FB" w:rsidP="007D099D">
            <w:pPr>
              <w:pStyle w:val="naisf"/>
              <w:spacing w:before="0" w:after="0"/>
              <w:ind w:left="57" w:right="57" w:firstLine="0"/>
              <w:jc w:val="left"/>
              <w:rPr>
                <w:sz w:val="28"/>
                <w:szCs w:val="28"/>
              </w:rPr>
            </w:pPr>
            <w:r w:rsidRPr="004D2B8B">
              <w:rPr>
                <w:sz w:val="28"/>
                <w:szCs w:val="28"/>
              </w:rPr>
              <w:t>Jaunu institūciju izveide</w:t>
            </w:r>
          </w:p>
          <w:p w:rsidR="004D2B8B" w:rsidRPr="004D2B8B" w:rsidRDefault="004D2B8B" w:rsidP="007D099D">
            <w:pPr>
              <w:pStyle w:val="naisf"/>
              <w:spacing w:before="0" w:after="0"/>
              <w:ind w:left="57" w:right="57" w:firstLine="0"/>
              <w:jc w:val="left"/>
              <w:rPr>
                <w:sz w:val="28"/>
                <w:szCs w:val="28"/>
              </w:rPr>
            </w:pPr>
          </w:p>
        </w:tc>
        <w:tc>
          <w:tcPr>
            <w:tcW w:w="2655" w:type="pct"/>
          </w:tcPr>
          <w:p w:rsidR="001227FB" w:rsidRPr="004D2B8B" w:rsidRDefault="001227FB" w:rsidP="004D2B8B">
            <w:pPr>
              <w:spacing w:before="50" w:after="50"/>
              <w:jc w:val="both"/>
              <w:rPr>
                <w:sz w:val="28"/>
                <w:szCs w:val="28"/>
              </w:rPr>
            </w:pPr>
            <w:r w:rsidRPr="004D2B8B">
              <w:rPr>
                <w:sz w:val="28"/>
                <w:szCs w:val="28"/>
              </w:rPr>
              <w:t>Veidot jaunas institūcijas nav nepieciešams</w:t>
            </w:r>
            <w:r w:rsidR="004D2B8B">
              <w:rPr>
                <w:sz w:val="28"/>
                <w:szCs w:val="28"/>
              </w:rPr>
              <w:t>.</w:t>
            </w:r>
          </w:p>
        </w:tc>
      </w:tr>
      <w:tr w:rsidR="001227FB" w:rsidRPr="004D2B8B" w:rsidTr="004D2B8B">
        <w:trPr>
          <w:trHeight w:val="780"/>
        </w:trPr>
        <w:tc>
          <w:tcPr>
            <w:tcW w:w="326" w:type="pct"/>
          </w:tcPr>
          <w:p w:rsidR="001227FB" w:rsidRPr="004D2B8B" w:rsidRDefault="001227FB" w:rsidP="007D099D">
            <w:pPr>
              <w:pStyle w:val="naisnod"/>
              <w:spacing w:before="0" w:after="0"/>
              <w:ind w:left="57" w:right="57"/>
              <w:jc w:val="left"/>
              <w:rPr>
                <w:b w:val="0"/>
                <w:sz w:val="28"/>
                <w:szCs w:val="28"/>
              </w:rPr>
            </w:pPr>
            <w:r w:rsidRPr="004D2B8B">
              <w:rPr>
                <w:b w:val="0"/>
                <w:sz w:val="28"/>
                <w:szCs w:val="28"/>
              </w:rPr>
              <w:t>4.</w:t>
            </w:r>
          </w:p>
        </w:tc>
        <w:tc>
          <w:tcPr>
            <w:tcW w:w="2019" w:type="pct"/>
          </w:tcPr>
          <w:p w:rsidR="001227FB" w:rsidRPr="004D2B8B" w:rsidRDefault="001227FB" w:rsidP="007D099D">
            <w:pPr>
              <w:pStyle w:val="naisf"/>
              <w:spacing w:before="0" w:after="0"/>
              <w:ind w:left="57" w:right="57" w:firstLine="0"/>
              <w:jc w:val="left"/>
              <w:rPr>
                <w:sz w:val="28"/>
                <w:szCs w:val="28"/>
              </w:rPr>
            </w:pPr>
            <w:r w:rsidRPr="004D2B8B">
              <w:rPr>
                <w:sz w:val="28"/>
                <w:szCs w:val="28"/>
              </w:rPr>
              <w:t>Projekta izpildes ietekme uz pārvaldes institucionālo struktūru.</w:t>
            </w:r>
          </w:p>
          <w:p w:rsidR="001227FB" w:rsidRDefault="001227FB" w:rsidP="007D099D">
            <w:pPr>
              <w:pStyle w:val="naisf"/>
              <w:spacing w:before="0" w:after="0"/>
              <w:ind w:left="57" w:right="57" w:firstLine="0"/>
              <w:jc w:val="left"/>
              <w:rPr>
                <w:sz w:val="28"/>
                <w:szCs w:val="28"/>
              </w:rPr>
            </w:pPr>
            <w:r w:rsidRPr="004D2B8B">
              <w:rPr>
                <w:sz w:val="28"/>
                <w:szCs w:val="28"/>
              </w:rPr>
              <w:t>Esošu institūciju likvidācija</w:t>
            </w:r>
          </w:p>
          <w:p w:rsidR="004D2B8B" w:rsidRPr="004D2B8B" w:rsidRDefault="004D2B8B" w:rsidP="007D099D">
            <w:pPr>
              <w:pStyle w:val="naisf"/>
              <w:spacing w:before="0" w:after="0"/>
              <w:ind w:left="57" w:right="57" w:firstLine="0"/>
              <w:jc w:val="left"/>
              <w:rPr>
                <w:sz w:val="28"/>
                <w:szCs w:val="28"/>
              </w:rPr>
            </w:pPr>
          </w:p>
        </w:tc>
        <w:tc>
          <w:tcPr>
            <w:tcW w:w="2655" w:type="pct"/>
          </w:tcPr>
          <w:p w:rsidR="001227FB" w:rsidRPr="004D2B8B" w:rsidRDefault="001227FB" w:rsidP="004D2B8B">
            <w:pPr>
              <w:spacing w:before="50" w:after="50"/>
              <w:jc w:val="both"/>
              <w:rPr>
                <w:sz w:val="28"/>
                <w:szCs w:val="28"/>
              </w:rPr>
            </w:pPr>
            <w:r w:rsidRPr="004D2B8B">
              <w:rPr>
                <w:sz w:val="28"/>
                <w:szCs w:val="28"/>
              </w:rPr>
              <w:t>Likvidēt esošas institūcijas nav nepieciešams</w:t>
            </w:r>
            <w:r w:rsidR="004D2B8B">
              <w:rPr>
                <w:sz w:val="28"/>
                <w:szCs w:val="28"/>
              </w:rPr>
              <w:t>.</w:t>
            </w:r>
          </w:p>
        </w:tc>
      </w:tr>
      <w:tr w:rsidR="001227FB" w:rsidRPr="004D2B8B" w:rsidTr="004D2B8B">
        <w:trPr>
          <w:trHeight w:val="703"/>
        </w:trPr>
        <w:tc>
          <w:tcPr>
            <w:tcW w:w="326" w:type="pct"/>
          </w:tcPr>
          <w:p w:rsidR="001227FB" w:rsidRPr="004D2B8B" w:rsidRDefault="001227FB" w:rsidP="007D099D">
            <w:pPr>
              <w:pStyle w:val="naisnod"/>
              <w:spacing w:before="0" w:after="0"/>
              <w:ind w:left="57" w:right="57"/>
              <w:jc w:val="left"/>
              <w:rPr>
                <w:b w:val="0"/>
                <w:sz w:val="28"/>
                <w:szCs w:val="28"/>
              </w:rPr>
            </w:pPr>
            <w:r w:rsidRPr="004D2B8B">
              <w:rPr>
                <w:b w:val="0"/>
                <w:sz w:val="28"/>
                <w:szCs w:val="28"/>
              </w:rPr>
              <w:t>5.</w:t>
            </w:r>
          </w:p>
        </w:tc>
        <w:tc>
          <w:tcPr>
            <w:tcW w:w="2019" w:type="pct"/>
          </w:tcPr>
          <w:p w:rsidR="001227FB" w:rsidRPr="004D2B8B" w:rsidRDefault="001227FB" w:rsidP="007D099D">
            <w:pPr>
              <w:pStyle w:val="naisf"/>
              <w:spacing w:before="0" w:after="0"/>
              <w:ind w:left="57" w:right="57" w:firstLine="0"/>
              <w:jc w:val="left"/>
              <w:rPr>
                <w:sz w:val="28"/>
                <w:szCs w:val="28"/>
              </w:rPr>
            </w:pPr>
            <w:r w:rsidRPr="004D2B8B">
              <w:rPr>
                <w:sz w:val="28"/>
                <w:szCs w:val="28"/>
              </w:rPr>
              <w:t>Projekta izpildes ietekme uz pārvaldes institucionālo struktūru.</w:t>
            </w:r>
          </w:p>
          <w:p w:rsidR="001227FB" w:rsidRDefault="001227FB" w:rsidP="007D099D">
            <w:pPr>
              <w:pStyle w:val="naisf"/>
              <w:spacing w:before="0" w:after="0"/>
              <w:ind w:left="57" w:right="57" w:firstLine="0"/>
              <w:jc w:val="left"/>
              <w:rPr>
                <w:sz w:val="28"/>
                <w:szCs w:val="28"/>
              </w:rPr>
            </w:pPr>
            <w:r w:rsidRPr="004D2B8B">
              <w:rPr>
                <w:sz w:val="28"/>
                <w:szCs w:val="28"/>
              </w:rPr>
              <w:t>Esošu institūciju reorganizācija</w:t>
            </w:r>
          </w:p>
          <w:p w:rsidR="004D2B8B" w:rsidRPr="004D2B8B" w:rsidRDefault="004D2B8B" w:rsidP="007D099D">
            <w:pPr>
              <w:pStyle w:val="naisf"/>
              <w:spacing w:before="0" w:after="0"/>
              <w:ind w:left="57" w:right="57" w:firstLine="0"/>
              <w:jc w:val="left"/>
              <w:rPr>
                <w:sz w:val="28"/>
                <w:szCs w:val="28"/>
              </w:rPr>
            </w:pPr>
          </w:p>
        </w:tc>
        <w:tc>
          <w:tcPr>
            <w:tcW w:w="2655" w:type="pct"/>
          </w:tcPr>
          <w:p w:rsidR="001227FB" w:rsidRPr="004D2B8B" w:rsidRDefault="001227FB" w:rsidP="004D2B8B">
            <w:pPr>
              <w:spacing w:before="50" w:after="50"/>
              <w:jc w:val="both"/>
              <w:rPr>
                <w:sz w:val="28"/>
                <w:szCs w:val="28"/>
              </w:rPr>
            </w:pPr>
            <w:r w:rsidRPr="004D2B8B">
              <w:rPr>
                <w:sz w:val="28"/>
                <w:szCs w:val="28"/>
              </w:rPr>
              <w:t> Esošas institūcijas reorganizācija vai esošu institūciju apvienošana nav plānota</w:t>
            </w:r>
          </w:p>
        </w:tc>
      </w:tr>
      <w:tr w:rsidR="0023436E" w:rsidRPr="004D2B8B" w:rsidTr="004D2B8B">
        <w:trPr>
          <w:trHeight w:val="275"/>
        </w:trPr>
        <w:tc>
          <w:tcPr>
            <w:tcW w:w="326" w:type="pct"/>
          </w:tcPr>
          <w:p w:rsidR="0023436E" w:rsidRPr="004D2B8B" w:rsidRDefault="00F63DAC" w:rsidP="007D099D">
            <w:pPr>
              <w:pStyle w:val="naiskr"/>
              <w:spacing w:before="0" w:after="0"/>
              <w:ind w:left="57" w:right="57"/>
              <w:rPr>
                <w:sz w:val="28"/>
                <w:szCs w:val="28"/>
              </w:rPr>
            </w:pPr>
            <w:r w:rsidRPr="004D2B8B">
              <w:rPr>
                <w:sz w:val="28"/>
                <w:szCs w:val="28"/>
              </w:rPr>
              <w:t>6</w:t>
            </w:r>
            <w:r w:rsidR="0023436E" w:rsidRPr="004D2B8B">
              <w:rPr>
                <w:sz w:val="28"/>
                <w:szCs w:val="28"/>
              </w:rPr>
              <w:t>.</w:t>
            </w:r>
          </w:p>
        </w:tc>
        <w:tc>
          <w:tcPr>
            <w:tcW w:w="2019" w:type="pct"/>
          </w:tcPr>
          <w:p w:rsidR="0023436E" w:rsidRPr="004D2B8B" w:rsidRDefault="006C4607" w:rsidP="007D099D">
            <w:pPr>
              <w:pStyle w:val="naiskr"/>
              <w:spacing w:before="0" w:after="0"/>
              <w:ind w:left="57" w:right="57"/>
              <w:rPr>
                <w:sz w:val="28"/>
                <w:szCs w:val="28"/>
              </w:rPr>
            </w:pPr>
            <w:r w:rsidRPr="004D2B8B">
              <w:rPr>
                <w:sz w:val="28"/>
                <w:szCs w:val="28"/>
              </w:rPr>
              <w:t>Cita informācija</w:t>
            </w:r>
          </w:p>
        </w:tc>
        <w:tc>
          <w:tcPr>
            <w:tcW w:w="2655" w:type="pct"/>
          </w:tcPr>
          <w:p w:rsidR="0023436E" w:rsidRPr="004D2B8B" w:rsidRDefault="0023436E" w:rsidP="007D099D">
            <w:pPr>
              <w:pStyle w:val="naiskr"/>
              <w:spacing w:before="0" w:after="0"/>
              <w:ind w:left="57" w:right="57"/>
              <w:rPr>
                <w:sz w:val="28"/>
                <w:szCs w:val="28"/>
              </w:rPr>
            </w:pPr>
            <w:r w:rsidRPr="004D2B8B">
              <w:rPr>
                <w:sz w:val="28"/>
                <w:szCs w:val="28"/>
              </w:rPr>
              <w:t>Nav</w:t>
            </w:r>
          </w:p>
        </w:tc>
      </w:tr>
    </w:tbl>
    <w:p w:rsidR="00214094" w:rsidRPr="007C0F2C" w:rsidRDefault="00214094" w:rsidP="006C4607">
      <w:pPr>
        <w:pStyle w:val="naisf"/>
        <w:tabs>
          <w:tab w:val="left" w:pos="5760"/>
        </w:tabs>
        <w:spacing w:before="0" w:after="0"/>
        <w:ind w:firstLine="720"/>
        <w:rPr>
          <w:sz w:val="28"/>
          <w:szCs w:val="28"/>
        </w:rPr>
      </w:pPr>
    </w:p>
    <w:p w:rsidR="001227FB" w:rsidRDefault="001227FB" w:rsidP="001227FB">
      <w:pPr>
        <w:spacing w:before="50" w:after="50"/>
        <w:ind w:firstLine="250"/>
      </w:pPr>
      <w:r w:rsidRPr="00115D93">
        <w:t> </w:t>
      </w:r>
    </w:p>
    <w:p w:rsidR="002014BA" w:rsidRPr="004D2B8B" w:rsidRDefault="002014BA" w:rsidP="002014BA">
      <w:pPr>
        <w:ind w:firstLine="709"/>
        <w:rPr>
          <w:b/>
          <w:bCs/>
          <w:color w:val="FF0000"/>
          <w:sz w:val="28"/>
          <w:szCs w:val="28"/>
        </w:rPr>
      </w:pPr>
      <w:r w:rsidRPr="004D2B8B">
        <w:rPr>
          <w:sz w:val="28"/>
          <w:szCs w:val="28"/>
        </w:rPr>
        <w:t>Iesniedzējs:</w:t>
      </w:r>
      <w:r w:rsidRPr="004D2B8B">
        <w:rPr>
          <w:b/>
          <w:bCs/>
          <w:color w:val="FF0000"/>
          <w:sz w:val="28"/>
          <w:szCs w:val="28"/>
        </w:rPr>
        <w:t xml:space="preserve"> </w:t>
      </w:r>
    </w:p>
    <w:p w:rsidR="002014BA" w:rsidRPr="004D2B8B" w:rsidRDefault="002014BA" w:rsidP="002014BA">
      <w:pPr>
        <w:ind w:left="720"/>
        <w:rPr>
          <w:sz w:val="28"/>
          <w:szCs w:val="28"/>
        </w:rPr>
      </w:pPr>
      <w:r w:rsidRPr="004D2B8B">
        <w:rPr>
          <w:sz w:val="28"/>
          <w:szCs w:val="28"/>
        </w:rPr>
        <w:t xml:space="preserve">Iekšlietu ministrs, </w:t>
      </w:r>
    </w:p>
    <w:p w:rsidR="002014BA" w:rsidRPr="004D2B8B" w:rsidRDefault="002014BA" w:rsidP="002014BA">
      <w:pPr>
        <w:ind w:firstLine="709"/>
        <w:rPr>
          <w:sz w:val="28"/>
          <w:szCs w:val="28"/>
        </w:rPr>
      </w:pPr>
      <w:r w:rsidRPr="004D2B8B">
        <w:rPr>
          <w:sz w:val="28"/>
          <w:szCs w:val="28"/>
        </w:rPr>
        <w:t xml:space="preserve">izglītības un zinātnes ministra </w:t>
      </w:r>
    </w:p>
    <w:p w:rsidR="002014BA" w:rsidRPr="004D2B8B" w:rsidRDefault="002014BA" w:rsidP="002014BA">
      <w:pPr>
        <w:ind w:firstLine="709"/>
        <w:rPr>
          <w:sz w:val="28"/>
          <w:szCs w:val="28"/>
        </w:rPr>
      </w:pPr>
      <w:r w:rsidRPr="004D2B8B">
        <w:rPr>
          <w:sz w:val="28"/>
          <w:szCs w:val="28"/>
        </w:rPr>
        <w:t>pienākumu izpildītājs</w:t>
      </w:r>
      <w:r w:rsidRPr="004D2B8B">
        <w:rPr>
          <w:sz w:val="28"/>
          <w:szCs w:val="28"/>
        </w:rPr>
        <w:tab/>
      </w:r>
      <w:r w:rsidRPr="004D2B8B">
        <w:rPr>
          <w:sz w:val="28"/>
          <w:szCs w:val="28"/>
        </w:rPr>
        <w:tab/>
      </w:r>
      <w:r w:rsidRPr="004D2B8B">
        <w:rPr>
          <w:sz w:val="28"/>
          <w:szCs w:val="28"/>
        </w:rPr>
        <w:tab/>
      </w:r>
      <w:r w:rsidRPr="004D2B8B">
        <w:rPr>
          <w:sz w:val="28"/>
          <w:szCs w:val="28"/>
        </w:rPr>
        <w:tab/>
      </w:r>
      <w:r w:rsidRPr="004D2B8B">
        <w:rPr>
          <w:sz w:val="28"/>
          <w:szCs w:val="28"/>
        </w:rPr>
        <w:tab/>
      </w:r>
      <w:r w:rsidRPr="004D2B8B">
        <w:rPr>
          <w:sz w:val="28"/>
          <w:szCs w:val="28"/>
        </w:rPr>
        <w:tab/>
      </w:r>
      <w:proofErr w:type="spellStart"/>
      <w:r w:rsidRPr="004D2B8B">
        <w:rPr>
          <w:sz w:val="28"/>
          <w:szCs w:val="28"/>
        </w:rPr>
        <w:t>R.Kozlovskis</w:t>
      </w:r>
      <w:proofErr w:type="spellEnd"/>
    </w:p>
    <w:p w:rsidR="00610BF3" w:rsidRPr="004D2B8B" w:rsidRDefault="00610BF3" w:rsidP="00610BF3">
      <w:pPr>
        <w:ind w:firstLine="851"/>
        <w:rPr>
          <w:sz w:val="28"/>
          <w:szCs w:val="28"/>
        </w:rPr>
      </w:pPr>
    </w:p>
    <w:p w:rsidR="002014BA" w:rsidRPr="004D2B8B" w:rsidRDefault="002014BA" w:rsidP="00610BF3">
      <w:pPr>
        <w:ind w:firstLine="851"/>
        <w:rPr>
          <w:sz w:val="28"/>
          <w:szCs w:val="28"/>
        </w:rPr>
      </w:pPr>
    </w:p>
    <w:p w:rsidR="00610BF3" w:rsidRPr="004D2B8B" w:rsidRDefault="00610BF3" w:rsidP="00610BF3">
      <w:pPr>
        <w:ind w:firstLine="720"/>
        <w:rPr>
          <w:bCs/>
          <w:kern w:val="1"/>
          <w:sz w:val="28"/>
          <w:szCs w:val="28"/>
        </w:rPr>
      </w:pPr>
      <w:r w:rsidRPr="004D2B8B">
        <w:rPr>
          <w:color w:val="000000"/>
          <w:sz w:val="28"/>
          <w:szCs w:val="28"/>
        </w:rPr>
        <w:t xml:space="preserve">Vizē: </w:t>
      </w:r>
    </w:p>
    <w:p w:rsidR="001227FB" w:rsidRPr="004D2B8B" w:rsidRDefault="00C37C10" w:rsidP="001227FB">
      <w:pPr>
        <w:keepNext/>
        <w:ind w:firstLine="720"/>
        <w:rPr>
          <w:sz w:val="28"/>
          <w:szCs w:val="28"/>
        </w:rPr>
      </w:pPr>
      <w:r w:rsidRPr="004D2B8B">
        <w:rPr>
          <w:sz w:val="28"/>
          <w:szCs w:val="28"/>
        </w:rPr>
        <w:t>Valsts sekretāre</w:t>
      </w:r>
      <w:r w:rsidR="001227FB" w:rsidRPr="004D2B8B">
        <w:rPr>
          <w:sz w:val="28"/>
          <w:szCs w:val="28"/>
        </w:rPr>
        <w:tab/>
      </w:r>
      <w:r w:rsidR="001227FB" w:rsidRPr="004D2B8B">
        <w:rPr>
          <w:sz w:val="28"/>
          <w:szCs w:val="28"/>
        </w:rPr>
        <w:tab/>
      </w:r>
      <w:r w:rsidR="001227FB" w:rsidRPr="004D2B8B">
        <w:rPr>
          <w:sz w:val="28"/>
          <w:szCs w:val="28"/>
        </w:rPr>
        <w:tab/>
      </w:r>
      <w:r w:rsidR="001227FB" w:rsidRPr="004D2B8B">
        <w:rPr>
          <w:sz w:val="28"/>
          <w:szCs w:val="28"/>
        </w:rPr>
        <w:tab/>
      </w:r>
      <w:r w:rsidR="001227FB" w:rsidRPr="004D2B8B">
        <w:rPr>
          <w:sz w:val="28"/>
          <w:szCs w:val="28"/>
        </w:rPr>
        <w:tab/>
      </w:r>
      <w:r w:rsidR="001227FB" w:rsidRPr="004D2B8B">
        <w:rPr>
          <w:sz w:val="28"/>
          <w:szCs w:val="28"/>
        </w:rPr>
        <w:tab/>
      </w:r>
      <w:r w:rsidR="001227FB" w:rsidRPr="004D2B8B">
        <w:rPr>
          <w:sz w:val="28"/>
          <w:szCs w:val="28"/>
        </w:rPr>
        <w:tab/>
      </w:r>
      <w:r w:rsidRPr="004D2B8B">
        <w:rPr>
          <w:sz w:val="28"/>
          <w:szCs w:val="28"/>
        </w:rPr>
        <w:t>S.Liepiņa</w:t>
      </w:r>
    </w:p>
    <w:p w:rsidR="00A92CBF" w:rsidRDefault="00A92CBF" w:rsidP="001227FB">
      <w:pPr>
        <w:ind w:firstLine="720"/>
      </w:pPr>
    </w:p>
    <w:p w:rsidR="00A92CBF" w:rsidRPr="00A71986" w:rsidRDefault="00A92CBF" w:rsidP="001227FB">
      <w:pPr>
        <w:ind w:firstLine="720"/>
      </w:pPr>
    </w:p>
    <w:p w:rsidR="001227FB" w:rsidRPr="004D2B8B" w:rsidRDefault="002014BA" w:rsidP="001227FB">
      <w:pPr>
        <w:ind w:firstLine="720"/>
      </w:pPr>
      <w:r w:rsidRPr="004D2B8B">
        <w:t>23</w:t>
      </w:r>
      <w:r w:rsidR="003F4797" w:rsidRPr="004D2B8B">
        <w:t>.0</w:t>
      </w:r>
      <w:r w:rsidR="00E33413" w:rsidRPr="004D2B8B">
        <w:t>4</w:t>
      </w:r>
      <w:r w:rsidR="00C6023D" w:rsidRPr="004D2B8B">
        <w:t>.201</w:t>
      </w:r>
      <w:r w:rsidR="00E15CED" w:rsidRPr="004D2B8B">
        <w:t>3</w:t>
      </w:r>
      <w:r w:rsidR="00E33413" w:rsidRPr="004D2B8B">
        <w:t>.</w:t>
      </w:r>
    </w:p>
    <w:p w:rsidR="001227FB" w:rsidRPr="004D2B8B" w:rsidRDefault="004D2B8B" w:rsidP="00A71986">
      <w:pPr>
        <w:ind w:firstLine="720"/>
      </w:pPr>
      <w:r w:rsidRPr="004D2B8B">
        <w:t>1068</w:t>
      </w:r>
    </w:p>
    <w:p w:rsidR="001227FB" w:rsidRPr="004D2B8B" w:rsidRDefault="001227FB" w:rsidP="000139D5">
      <w:pPr>
        <w:tabs>
          <w:tab w:val="left" w:pos="720"/>
          <w:tab w:val="left" w:pos="1830"/>
        </w:tabs>
      </w:pPr>
      <w:r w:rsidRPr="004D2B8B">
        <w:tab/>
      </w:r>
      <w:bookmarkStart w:id="2" w:name="OLE_LINK3"/>
      <w:bookmarkStart w:id="3" w:name="OLE_LINK4"/>
      <w:bookmarkStart w:id="4" w:name="OLE_LINK10"/>
      <w:bookmarkStart w:id="5" w:name="OLE_LINK11"/>
      <w:proofErr w:type="spellStart"/>
      <w:r w:rsidR="00E15CED" w:rsidRPr="004D2B8B">
        <w:t>I.Īvāne</w:t>
      </w:r>
      <w:proofErr w:type="spellEnd"/>
      <w:r w:rsidR="000139D5" w:rsidRPr="004D2B8B">
        <w:tab/>
      </w:r>
    </w:p>
    <w:p w:rsidR="001227FB" w:rsidRPr="004D2B8B" w:rsidRDefault="001227FB" w:rsidP="001227FB">
      <w:pPr>
        <w:ind w:firstLine="720"/>
      </w:pPr>
      <w:r w:rsidRPr="004D2B8B">
        <w:t>67047</w:t>
      </w:r>
      <w:r w:rsidR="00E15CED" w:rsidRPr="004D2B8B">
        <w:t>849</w:t>
      </w:r>
      <w:r w:rsidRPr="004D2B8B">
        <w:t xml:space="preserve">, </w:t>
      </w:r>
      <w:hyperlink r:id="rId8" w:history="1">
        <w:r w:rsidR="00E15CED" w:rsidRPr="004D2B8B">
          <w:rPr>
            <w:rStyle w:val="Hyperlink"/>
            <w:color w:val="auto"/>
            <w:u w:val="none"/>
          </w:rPr>
          <w:t>ineta.ivane</w:t>
        </w:r>
        <w:r w:rsidRPr="004D2B8B">
          <w:rPr>
            <w:rStyle w:val="Hyperlink"/>
            <w:color w:val="auto"/>
            <w:u w:val="none"/>
          </w:rPr>
          <w:t>@izm.gov.lv</w:t>
        </w:r>
      </w:hyperlink>
      <w:r w:rsidRPr="004D2B8B">
        <w:t xml:space="preserve"> </w:t>
      </w:r>
      <w:bookmarkEnd w:id="2"/>
      <w:bookmarkEnd w:id="3"/>
    </w:p>
    <w:bookmarkEnd w:id="4"/>
    <w:bookmarkEnd w:id="5"/>
    <w:p w:rsidR="00214094" w:rsidRPr="004D2B8B" w:rsidRDefault="00214094" w:rsidP="001B50B2">
      <w:pPr>
        <w:pStyle w:val="naisf"/>
        <w:tabs>
          <w:tab w:val="left" w:pos="5760"/>
        </w:tabs>
        <w:spacing w:before="0" w:after="0"/>
        <w:ind w:firstLine="0"/>
      </w:pPr>
    </w:p>
    <w:sectPr w:rsidR="00214094" w:rsidRPr="004D2B8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C2" w:rsidRDefault="00CD31C2">
      <w:r>
        <w:separator/>
      </w:r>
    </w:p>
  </w:endnote>
  <w:endnote w:type="continuationSeparator" w:id="0">
    <w:p w:rsidR="00CD31C2" w:rsidRDefault="00CD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6" w:rsidRPr="004D2B8B" w:rsidRDefault="00A71986" w:rsidP="00A71986">
    <w:pPr>
      <w:jc w:val="both"/>
    </w:pPr>
    <w:proofErr w:type="spellStart"/>
    <w:r w:rsidRPr="004D2B8B">
      <w:t>IZMAnot_</w:t>
    </w:r>
    <w:r w:rsidR="002014BA" w:rsidRPr="004D2B8B">
      <w:t>23</w:t>
    </w:r>
    <w:r w:rsidR="00493264" w:rsidRPr="004D2B8B">
      <w:t>0</w:t>
    </w:r>
    <w:r w:rsidR="00FE2A09" w:rsidRPr="004D2B8B">
      <w:t>4</w:t>
    </w:r>
    <w:r w:rsidRPr="004D2B8B">
      <w:t>13_standarts</w:t>
    </w:r>
    <w:proofErr w:type="spellEnd"/>
    <w:r w:rsidRPr="004D2B8B">
      <w:t>; Ministru kabineta noteikumu projekts „</w:t>
    </w:r>
    <w:r w:rsidRPr="004D2B8B">
      <w:rPr>
        <w:bCs/>
      </w:rPr>
      <w:t>Noteikumi par valsts vispārējās vidējās izglītības standartu, mācību priekšmetu standartiem</w:t>
    </w:r>
    <w:r w:rsidRPr="004D2B8B">
      <w:t xml:space="preserve"> un izglītības programmu paraugiem”</w:t>
    </w:r>
  </w:p>
  <w:p w:rsidR="00C31E36" w:rsidRPr="004D2B8B" w:rsidRDefault="00C31E36" w:rsidP="00A719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Pr="004D2B8B" w:rsidRDefault="00FB6C7C" w:rsidP="00FB6C7C">
    <w:pPr>
      <w:jc w:val="both"/>
    </w:pPr>
    <w:proofErr w:type="spellStart"/>
    <w:r w:rsidRPr="004D2B8B">
      <w:t>IZM</w:t>
    </w:r>
    <w:r w:rsidR="001B50B2" w:rsidRPr="004D2B8B">
      <w:t>Anot_</w:t>
    </w:r>
    <w:r w:rsidR="002014BA" w:rsidRPr="004D2B8B">
      <w:t>23</w:t>
    </w:r>
    <w:r w:rsidR="00493264" w:rsidRPr="004D2B8B">
      <w:t>0</w:t>
    </w:r>
    <w:r w:rsidR="00FE2A09" w:rsidRPr="004D2B8B">
      <w:t>4</w:t>
    </w:r>
    <w:r w:rsidR="00A71986" w:rsidRPr="004D2B8B">
      <w:t>13_</w:t>
    </w:r>
    <w:r w:rsidRPr="004D2B8B">
      <w:t>standarts</w:t>
    </w:r>
    <w:proofErr w:type="spellEnd"/>
    <w:r w:rsidRPr="004D2B8B">
      <w:t>; Ministru kabineta noteikumu projekts „</w:t>
    </w:r>
    <w:r w:rsidRPr="004D2B8B">
      <w:rPr>
        <w:bCs/>
      </w:rPr>
      <w:t>Noteikumi par valsts vispārējās vidējās izglītības standartu, mācību priekšmetu standartiem</w:t>
    </w:r>
    <w:r w:rsidRPr="004D2B8B">
      <w:t xml:space="preserve"> un izglītības programmu paraugiem”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C2" w:rsidRDefault="00CD31C2">
      <w:r>
        <w:separator/>
      </w:r>
    </w:p>
  </w:footnote>
  <w:footnote w:type="continuationSeparator" w:id="0">
    <w:p w:rsidR="00CD31C2" w:rsidRDefault="00CD3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077A73" w:rsidP="003C449B">
    <w:pPr>
      <w:pStyle w:val="Header"/>
      <w:framePr w:wrap="around" w:vAnchor="text" w:hAnchor="margin" w:xAlign="center" w:y="1"/>
      <w:rPr>
        <w:rStyle w:val="PageNumber"/>
      </w:rPr>
    </w:pPr>
    <w:r>
      <w:rPr>
        <w:rStyle w:val="PageNumber"/>
      </w:rPr>
      <w:fldChar w:fldCharType="begin"/>
    </w:r>
    <w:r w:rsidR="00C31E36">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077A73" w:rsidP="003C449B">
    <w:pPr>
      <w:pStyle w:val="Header"/>
      <w:framePr w:wrap="around" w:vAnchor="text" w:hAnchor="margin" w:xAlign="center" w:y="1"/>
      <w:rPr>
        <w:rStyle w:val="PageNumber"/>
      </w:rPr>
    </w:pPr>
    <w:r>
      <w:rPr>
        <w:rStyle w:val="PageNumber"/>
      </w:rPr>
      <w:fldChar w:fldCharType="begin"/>
    </w:r>
    <w:r w:rsidR="00C31E36">
      <w:rPr>
        <w:rStyle w:val="PageNumber"/>
      </w:rPr>
      <w:instrText xml:space="preserve">PAGE  </w:instrText>
    </w:r>
    <w:r>
      <w:rPr>
        <w:rStyle w:val="PageNumber"/>
      </w:rPr>
      <w:fldChar w:fldCharType="separate"/>
    </w:r>
    <w:r w:rsidR="004D2B8B">
      <w:rPr>
        <w:rStyle w:val="PageNumber"/>
        <w:noProof/>
      </w:rPr>
      <w:t>6</w:t>
    </w:r>
    <w:r>
      <w:rPr>
        <w:rStyle w:val="PageNumber"/>
      </w:rPr>
      <w:fldChar w:fldCharType="end"/>
    </w:r>
  </w:p>
  <w:p w:rsidR="00C31E36" w:rsidRDefault="00C31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1A6C34"/>
    <w:multiLevelType w:val="hybridMultilevel"/>
    <w:tmpl w:val="9F724544"/>
    <w:lvl w:ilvl="0" w:tplc="A4084BFE">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0"/>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9D5"/>
    <w:rsid w:val="00013FF4"/>
    <w:rsid w:val="00020FE1"/>
    <w:rsid w:val="00022E13"/>
    <w:rsid w:val="00032388"/>
    <w:rsid w:val="00035CE2"/>
    <w:rsid w:val="0005553B"/>
    <w:rsid w:val="000604D2"/>
    <w:rsid w:val="00065E01"/>
    <w:rsid w:val="000742AC"/>
    <w:rsid w:val="00077A73"/>
    <w:rsid w:val="0009005E"/>
    <w:rsid w:val="000941C5"/>
    <w:rsid w:val="000A6451"/>
    <w:rsid w:val="000B064E"/>
    <w:rsid w:val="000B69CF"/>
    <w:rsid w:val="000C790C"/>
    <w:rsid w:val="000D13CE"/>
    <w:rsid w:val="000F061D"/>
    <w:rsid w:val="000F4794"/>
    <w:rsid w:val="00105413"/>
    <w:rsid w:val="00117338"/>
    <w:rsid w:val="001227FB"/>
    <w:rsid w:val="00124F12"/>
    <w:rsid w:val="00143C10"/>
    <w:rsid w:val="00144E3A"/>
    <w:rsid w:val="0015060C"/>
    <w:rsid w:val="00151F7E"/>
    <w:rsid w:val="0016018A"/>
    <w:rsid w:val="00161F0E"/>
    <w:rsid w:val="00170E2A"/>
    <w:rsid w:val="00177394"/>
    <w:rsid w:val="00182C18"/>
    <w:rsid w:val="00183CC2"/>
    <w:rsid w:val="001900E4"/>
    <w:rsid w:val="00190F88"/>
    <w:rsid w:val="001A4066"/>
    <w:rsid w:val="001A6AE4"/>
    <w:rsid w:val="001B01FD"/>
    <w:rsid w:val="001B4A71"/>
    <w:rsid w:val="001B50B2"/>
    <w:rsid w:val="001D50D9"/>
    <w:rsid w:val="001D5B54"/>
    <w:rsid w:val="001D73A8"/>
    <w:rsid w:val="001E1DBF"/>
    <w:rsid w:val="001E4639"/>
    <w:rsid w:val="001E4A7D"/>
    <w:rsid w:val="001F4209"/>
    <w:rsid w:val="001F43A8"/>
    <w:rsid w:val="001F5CD6"/>
    <w:rsid w:val="002014BA"/>
    <w:rsid w:val="0021263D"/>
    <w:rsid w:val="00213F0C"/>
    <w:rsid w:val="00214094"/>
    <w:rsid w:val="0021592D"/>
    <w:rsid w:val="002210D1"/>
    <w:rsid w:val="00222D76"/>
    <w:rsid w:val="00223EB1"/>
    <w:rsid w:val="00231344"/>
    <w:rsid w:val="00234266"/>
    <w:rsid w:val="0023436E"/>
    <w:rsid w:val="002347C0"/>
    <w:rsid w:val="00241A6C"/>
    <w:rsid w:val="00242D2B"/>
    <w:rsid w:val="00262E2B"/>
    <w:rsid w:val="00270429"/>
    <w:rsid w:val="002723E9"/>
    <w:rsid w:val="00277929"/>
    <w:rsid w:val="00283B82"/>
    <w:rsid w:val="002846E9"/>
    <w:rsid w:val="00284C34"/>
    <w:rsid w:val="0029066C"/>
    <w:rsid w:val="002B50DB"/>
    <w:rsid w:val="002C12AB"/>
    <w:rsid w:val="002C7CAC"/>
    <w:rsid w:val="002D3306"/>
    <w:rsid w:val="002D48AA"/>
    <w:rsid w:val="002D7BAA"/>
    <w:rsid w:val="002D7F54"/>
    <w:rsid w:val="002E3FF4"/>
    <w:rsid w:val="002E568E"/>
    <w:rsid w:val="002F1314"/>
    <w:rsid w:val="002F78C8"/>
    <w:rsid w:val="00301CF3"/>
    <w:rsid w:val="0030286B"/>
    <w:rsid w:val="003116CC"/>
    <w:rsid w:val="0032715C"/>
    <w:rsid w:val="00337CA5"/>
    <w:rsid w:val="00362478"/>
    <w:rsid w:val="00375B25"/>
    <w:rsid w:val="0038132C"/>
    <w:rsid w:val="00383789"/>
    <w:rsid w:val="003950D1"/>
    <w:rsid w:val="00396542"/>
    <w:rsid w:val="0039685B"/>
    <w:rsid w:val="003A31A6"/>
    <w:rsid w:val="003A7F0C"/>
    <w:rsid w:val="003A7F20"/>
    <w:rsid w:val="003A7F79"/>
    <w:rsid w:val="003B6404"/>
    <w:rsid w:val="003C449B"/>
    <w:rsid w:val="003D21FF"/>
    <w:rsid w:val="003F0112"/>
    <w:rsid w:val="003F071A"/>
    <w:rsid w:val="003F160B"/>
    <w:rsid w:val="003F4797"/>
    <w:rsid w:val="00400032"/>
    <w:rsid w:val="00400B5B"/>
    <w:rsid w:val="00405A00"/>
    <w:rsid w:val="004159B9"/>
    <w:rsid w:val="00420870"/>
    <w:rsid w:val="00432D0C"/>
    <w:rsid w:val="0043791B"/>
    <w:rsid w:val="00441483"/>
    <w:rsid w:val="00441BCB"/>
    <w:rsid w:val="00446140"/>
    <w:rsid w:val="0045176A"/>
    <w:rsid w:val="00456332"/>
    <w:rsid w:val="00461826"/>
    <w:rsid w:val="0047407C"/>
    <w:rsid w:val="004800F9"/>
    <w:rsid w:val="0049134A"/>
    <w:rsid w:val="00493264"/>
    <w:rsid w:val="004A58CB"/>
    <w:rsid w:val="004B1795"/>
    <w:rsid w:val="004B19CB"/>
    <w:rsid w:val="004B4C26"/>
    <w:rsid w:val="004B56DD"/>
    <w:rsid w:val="004C020F"/>
    <w:rsid w:val="004C1AFD"/>
    <w:rsid w:val="004C558B"/>
    <w:rsid w:val="004D2B8B"/>
    <w:rsid w:val="004F1F88"/>
    <w:rsid w:val="004F5F1B"/>
    <w:rsid w:val="00502374"/>
    <w:rsid w:val="005060A1"/>
    <w:rsid w:val="00516072"/>
    <w:rsid w:val="005332EC"/>
    <w:rsid w:val="00534418"/>
    <w:rsid w:val="005353AB"/>
    <w:rsid w:val="005560BC"/>
    <w:rsid w:val="005573BE"/>
    <w:rsid w:val="00572700"/>
    <w:rsid w:val="00580468"/>
    <w:rsid w:val="00582231"/>
    <w:rsid w:val="0058603B"/>
    <w:rsid w:val="00587CE9"/>
    <w:rsid w:val="005912EC"/>
    <w:rsid w:val="0059431B"/>
    <w:rsid w:val="005A39CC"/>
    <w:rsid w:val="005B4730"/>
    <w:rsid w:val="005C3A29"/>
    <w:rsid w:val="005C727B"/>
    <w:rsid w:val="005D750E"/>
    <w:rsid w:val="005E05D7"/>
    <w:rsid w:val="005E41E7"/>
    <w:rsid w:val="005E421E"/>
    <w:rsid w:val="005E450F"/>
    <w:rsid w:val="00603C5A"/>
    <w:rsid w:val="00604D53"/>
    <w:rsid w:val="00610BF3"/>
    <w:rsid w:val="0062298A"/>
    <w:rsid w:val="00626514"/>
    <w:rsid w:val="00626589"/>
    <w:rsid w:val="006339A0"/>
    <w:rsid w:val="00636F36"/>
    <w:rsid w:val="006413A8"/>
    <w:rsid w:val="00642E56"/>
    <w:rsid w:val="00650B14"/>
    <w:rsid w:val="00651E00"/>
    <w:rsid w:val="006621B2"/>
    <w:rsid w:val="00674572"/>
    <w:rsid w:val="00682925"/>
    <w:rsid w:val="00687763"/>
    <w:rsid w:val="00692B0D"/>
    <w:rsid w:val="00693E0E"/>
    <w:rsid w:val="006A1AE3"/>
    <w:rsid w:val="006A32F5"/>
    <w:rsid w:val="006C0B07"/>
    <w:rsid w:val="006C30E1"/>
    <w:rsid w:val="006C4607"/>
    <w:rsid w:val="006D48F1"/>
    <w:rsid w:val="006F45BE"/>
    <w:rsid w:val="007004FC"/>
    <w:rsid w:val="00706670"/>
    <w:rsid w:val="00711F59"/>
    <w:rsid w:val="0072417C"/>
    <w:rsid w:val="00734450"/>
    <w:rsid w:val="00745F67"/>
    <w:rsid w:val="0075039E"/>
    <w:rsid w:val="00752D9D"/>
    <w:rsid w:val="00754784"/>
    <w:rsid w:val="00757C6E"/>
    <w:rsid w:val="00762BDA"/>
    <w:rsid w:val="007711C0"/>
    <w:rsid w:val="007805FD"/>
    <w:rsid w:val="0078173B"/>
    <w:rsid w:val="00784422"/>
    <w:rsid w:val="007916DD"/>
    <w:rsid w:val="007B3B54"/>
    <w:rsid w:val="007B3FA0"/>
    <w:rsid w:val="007B5FDA"/>
    <w:rsid w:val="007C0F2C"/>
    <w:rsid w:val="007C2BCC"/>
    <w:rsid w:val="007C4EF0"/>
    <w:rsid w:val="007D099D"/>
    <w:rsid w:val="007D23A3"/>
    <w:rsid w:val="007E2664"/>
    <w:rsid w:val="007E3904"/>
    <w:rsid w:val="007E3ABF"/>
    <w:rsid w:val="007E5BFA"/>
    <w:rsid w:val="007E6689"/>
    <w:rsid w:val="007E731C"/>
    <w:rsid w:val="007F0A03"/>
    <w:rsid w:val="00810040"/>
    <w:rsid w:val="0082023A"/>
    <w:rsid w:val="00821A7A"/>
    <w:rsid w:val="008253F8"/>
    <w:rsid w:val="00827FEE"/>
    <w:rsid w:val="008325E4"/>
    <w:rsid w:val="00832A2B"/>
    <w:rsid w:val="00837B39"/>
    <w:rsid w:val="00843D4D"/>
    <w:rsid w:val="00845811"/>
    <w:rsid w:val="00846994"/>
    <w:rsid w:val="00850451"/>
    <w:rsid w:val="00852042"/>
    <w:rsid w:val="008534C9"/>
    <w:rsid w:val="0085599D"/>
    <w:rsid w:val="0087510C"/>
    <w:rsid w:val="008968D2"/>
    <w:rsid w:val="0089738E"/>
    <w:rsid w:val="008B5FDB"/>
    <w:rsid w:val="008C50F4"/>
    <w:rsid w:val="008C5649"/>
    <w:rsid w:val="008D12EA"/>
    <w:rsid w:val="008E44A2"/>
    <w:rsid w:val="008E697D"/>
    <w:rsid w:val="00903263"/>
    <w:rsid w:val="00906A21"/>
    <w:rsid w:val="009079C3"/>
    <w:rsid w:val="00910462"/>
    <w:rsid w:val="009131E5"/>
    <w:rsid w:val="00915AB1"/>
    <w:rsid w:val="00917532"/>
    <w:rsid w:val="009176AF"/>
    <w:rsid w:val="009235BA"/>
    <w:rsid w:val="00924023"/>
    <w:rsid w:val="00924CE2"/>
    <w:rsid w:val="00925B9F"/>
    <w:rsid w:val="00931AED"/>
    <w:rsid w:val="009476A3"/>
    <w:rsid w:val="0095334F"/>
    <w:rsid w:val="00965897"/>
    <w:rsid w:val="0096765C"/>
    <w:rsid w:val="009727E4"/>
    <w:rsid w:val="0097789E"/>
    <w:rsid w:val="009854ED"/>
    <w:rsid w:val="009934C5"/>
    <w:rsid w:val="00994C0F"/>
    <w:rsid w:val="009A3E5C"/>
    <w:rsid w:val="009B22D7"/>
    <w:rsid w:val="009B3659"/>
    <w:rsid w:val="009B72ED"/>
    <w:rsid w:val="009C6DEB"/>
    <w:rsid w:val="009D6504"/>
    <w:rsid w:val="009E12D7"/>
    <w:rsid w:val="009E661A"/>
    <w:rsid w:val="009E7346"/>
    <w:rsid w:val="00A06781"/>
    <w:rsid w:val="00A074C3"/>
    <w:rsid w:val="00A1509C"/>
    <w:rsid w:val="00A2312F"/>
    <w:rsid w:val="00A249B9"/>
    <w:rsid w:val="00A25B72"/>
    <w:rsid w:val="00A34260"/>
    <w:rsid w:val="00A70CFD"/>
    <w:rsid w:val="00A71986"/>
    <w:rsid w:val="00A72A0B"/>
    <w:rsid w:val="00A81E42"/>
    <w:rsid w:val="00A864FE"/>
    <w:rsid w:val="00A86F41"/>
    <w:rsid w:val="00A87D04"/>
    <w:rsid w:val="00A92CBF"/>
    <w:rsid w:val="00A950C5"/>
    <w:rsid w:val="00AA1D25"/>
    <w:rsid w:val="00AA753D"/>
    <w:rsid w:val="00AB2B1A"/>
    <w:rsid w:val="00AB397F"/>
    <w:rsid w:val="00AB5832"/>
    <w:rsid w:val="00AC51F2"/>
    <w:rsid w:val="00AD3269"/>
    <w:rsid w:val="00AE5066"/>
    <w:rsid w:val="00AE5E24"/>
    <w:rsid w:val="00AE61B7"/>
    <w:rsid w:val="00AE6CBA"/>
    <w:rsid w:val="00AE79AD"/>
    <w:rsid w:val="00AF35E4"/>
    <w:rsid w:val="00AF5CDE"/>
    <w:rsid w:val="00B0224A"/>
    <w:rsid w:val="00B11A57"/>
    <w:rsid w:val="00B211C3"/>
    <w:rsid w:val="00B25597"/>
    <w:rsid w:val="00B267B9"/>
    <w:rsid w:val="00B33E09"/>
    <w:rsid w:val="00B43A24"/>
    <w:rsid w:val="00B50708"/>
    <w:rsid w:val="00B50C68"/>
    <w:rsid w:val="00B51293"/>
    <w:rsid w:val="00B52B1E"/>
    <w:rsid w:val="00B54175"/>
    <w:rsid w:val="00B55481"/>
    <w:rsid w:val="00B56C32"/>
    <w:rsid w:val="00B57ACF"/>
    <w:rsid w:val="00B64BB1"/>
    <w:rsid w:val="00B73166"/>
    <w:rsid w:val="00B8426C"/>
    <w:rsid w:val="00B91B8D"/>
    <w:rsid w:val="00B94E90"/>
    <w:rsid w:val="00BA725D"/>
    <w:rsid w:val="00BB0A82"/>
    <w:rsid w:val="00BB26F3"/>
    <w:rsid w:val="00BB6696"/>
    <w:rsid w:val="00BB7C94"/>
    <w:rsid w:val="00BC0A9D"/>
    <w:rsid w:val="00BF40ED"/>
    <w:rsid w:val="00BF5BC2"/>
    <w:rsid w:val="00C1133D"/>
    <w:rsid w:val="00C136D0"/>
    <w:rsid w:val="00C27A08"/>
    <w:rsid w:val="00C31312"/>
    <w:rsid w:val="00C31E36"/>
    <w:rsid w:val="00C326C6"/>
    <w:rsid w:val="00C35295"/>
    <w:rsid w:val="00C36ADD"/>
    <w:rsid w:val="00C36E74"/>
    <w:rsid w:val="00C37C10"/>
    <w:rsid w:val="00C40595"/>
    <w:rsid w:val="00C41621"/>
    <w:rsid w:val="00C449FA"/>
    <w:rsid w:val="00C5384F"/>
    <w:rsid w:val="00C56964"/>
    <w:rsid w:val="00C6023D"/>
    <w:rsid w:val="00C656D5"/>
    <w:rsid w:val="00C67103"/>
    <w:rsid w:val="00C71BB9"/>
    <w:rsid w:val="00C94C28"/>
    <w:rsid w:val="00C974AE"/>
    <w:rsid w:val="00CB0247"/>
    <w:rsid w:val="00CB3440"/>
    <w:rsid w:val="00CC1692"/>
    <w:rsid w:val="00CC7395"/>
    <w:rsid w:val="00CD138B"/>
    <w:rsid w:val="00CD31C2"/>
    <w:rsid w:val="00CD3E31"/>
    <w:rsid w:val="00CD74A3"/>
    <w:rsid w:val="00CE0527"/>
    <w:rsid w:val="00CE5B23"/>
    <w:rsid w:val="00CF70AD"/>
    <w:rsid w:val="00CF7729"/>
    <w:rsid w:val="00D00059"/>
    <w:rsid w:val="00D01C6B"/>
    <w:rsid w:val="00D107FA"/>
    <w:rsid w:val="00D12275"/>
    <w:rsid w:val="00D12766"/>
    <w:rsid w:val="00D20FF4"/>
    <w:rsid w:val="00D22584"/>
    <w:rsid w:val="00D24D2C"/>
    <w:rsid w:val="00D35881"/>
    <w:rsid w:val="00D41A5F"/>
    <w:rsid w:val="00D60C97"/>
    <w:rsid w:val="00D60E4D"/>
    <w:rsid w:val="00D66572"/>
    <w:rsid w:val="00DA7DA5"/>
    <w:rsid w:val="00DB073B"/>
    <w:rsid w:val="00DB78F0"/>
    <w:rsid w:val="00DC0CEA"/>
    <w:rsid w:val="00DC2E43"/>
    <w:rsid w:val="00DD095C"/>
    <w:rsid w:val="00DD1020"/>
    <w:rsid w:val="00DD1330"/>
    <w:rsid w:val="00DE0B83"/>
    <w:rsid w:val="00DE1A81"/>
    <w:rsid w:val="00DE1C13"/>
    <w:rsid w:val="00DE4E10"/>
    <w:rsid w:val="00DF03FD"/>
    <w:rsid w:val="00E02ABF"/>
    <w:rsid w:val="00E04A34"/>
    <w:rsid w:val="00E14995"/>
    <w:rsid w:val="00E15CED"/>
    <w:rsid w:val="00E179CD"/>
    <w:rsid w:val="00E23E8D"/>
    <w:rsid w:val="00E33413"/>
    <w:rsid w:val="00E37F98"/>
    <w:rsid w:val="00E46559"/>
    <w:rsid w:val="00E65A8C"/>
    <w:rsid w:val="00E6670C"/>
    <w:rsid w:val="00E776E8"/>
    <w:rsid w:val="00E92C1F"/>
    <w:rsid w:val="00E95D4B"/>
    <w:rsid w:val="00EB199F"/>
    <w:rsid w:val="00EB5E41"/>
    <w:rsid w:val="00EC23F7"/>
    <w:rsid w:val="00EC3581"/>
    <w:rsid w:val="00EC4BD8"/>
    <w:rsid w:val="00EC63EB"/>
    <w:rsid w:val="00ED412F"/>
    <w:rsid w:val="00EE4991"/>
    <w:rsid w:val="00EF36B2"/>
    <w:rsid w:val="00F03E5C"/>
    <w:rsid w:val="00F1246B"/>
    <w:rsid w:val="00F201EC"/>
    <w:rsid w:val="00F208A9"/>
    <w:rsid w:val="00F41D75"/>
    <w:rsid w:val="00F5139D"/>
    <w:rsid w:val="00F63DAC"/>
    <w:rsid w:val="00F66298"/>
    <w:rsid w:val="00F7454F"/>
    <w:rsid w:val="00F77988"/>
    <w:rsid w:val="00F77F48"/>
    <w:rsid w:val="00FA2B5B"/>
    <w:rsid w:val="00FA5E54"/>
    <w:rsid w:val="00FB30F1"/>
    <w:rsid w:val="00FB53E7"/>
    <w:rsid w:val="00FB6C7C"/>
    <w:rsid w:val="00FD2A8A"/>
    <w:rsid w:val="00FE01DE"/>
    <w:rsid w:val="00FE2A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5C3A29"/>
    <w:pPr>
      <w:spacing w:before="100" w:beforeAutospacing="1" w:after="100" w:afterAutospacing="1"/>
      <w:jc w:val="both"/>
    </w:pPr>
    <w:rPr>
      <w:color w:val="000000"/>
      <w:sz w:val="22"/>
      <w:szCs w:val="22"/>
    </w:rPr>
  </w:style>
  <w:style w:type="paragraph" w:customStyle="1" w:styleId="Default">
    <w:name w:val="Default"/>
    <w:rsid w:val="0010541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216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ars.grin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6BB12-C4FE-4352-8A93-97F71828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1068</Words>
  <Characters>8132</Characters>
  <Application>Microsoft Office Word</Application>
  <DocSecurity>0</DocSecurity>
  <Lines>296</Lines>
  <Paragraphs>88</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un vispārējās vidējās izglītības mācību priekšmetu standartiem, kā arī šo standartu prasībām atbilstošiem izglītības programmu paraugiem” </vt:lpstr>
    </vt:vector>
  </TitlesOfParts>
  <Manager>Evija Papule</Manager>
  <Company>IZM</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un vispārējās vidējās izglītības mācību priekšmetu standartiem, kā arī šo standartu prasībām atbilstošiem izglītības programmu paraugiem” </dc:title>
  <dc:subject>Anotācija</dc:subject>
  <dc:creator>I.Īvāne</dc:creator>
  <cp:keywords/>
  <dc:description>I.Īvāne    
67047849, ineta.ivane@izm.gov.lv </dc:description>
  <cp:lastModifiedBy>dmergupe</cp:lastModifiedBy>
  <cp:revision>4</cp:revision>
  <cp:lastPrinted>2010-01-04T11:31:00Z</cp:lastPrinted>
  <dcterms:created xsi:type="dcterms:W3CDTF">2013-04-23T13:10:00Z</dcterms:created>
  <dcterms:modified xsi:type="dcterms:W3CDTF">2013-04-23T13:19:00Z</dcterms:modified>
</cp:coreProperties>
</file>