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44" w:rsidRDefault="00906D44" w:rsidP="0090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 xml:space="preserve">Ministru kabineta noteikumu projekta </w:t>
      </w:r>
    </w:p>
    <w:bookmarkEnd w:id="0"/>
    <w:bookmarkEnd w:id="1"/>
    <w:p w:rsidR="00906D44" w:rsidRDefault="00906D44" w:rsidP="0090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„Grozījums Ministru kabineta 2012.gada 9.oktobra noteikumos Nr.695 „Kārtība, kādā piešķir un finansē asistenta pakalpojumu izglītības iestādē””</w:t>
      </w:r>
      <w:r>
        <w:rPr>
          <w:rFonts w:ascii="Times New Roman" w:hAnsi="Times New Roman" w:cs="Times New Roman"/>
          <w:b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>
          <w:rPr>
            <w:rFonts w:ascii="Times New Roman" w:hAnsi="Times New Roman" w:cs="Times New Roman"/>
            <w:b/>
            <w:sz w:val="28"/>
            <w:szCs w:val="28"/>
          </w:rPr>
          <w:t xml:space="preserve">ziņojums </w:t>
        </w:r>
      </w:smartTag>
      <w:r>
        <w:rPr>
          <w:rFonts w:ascii="Times New Roman" w:hAnsi="Times New Roman" w:cs="Times New Roman"/>
          <w:b/>
          <w:sz w:val="28"/>
          <w:szCs w:val="28"/>
        </w:rPr>
        <w:t>(anotācija)</w:t>
      </w:r>
    </w:p>
    <w:p w:rsidR="00906D44" w:rsidRDefault="00906D44" w:rsidP="00906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8"/>
        <w:gridCol w:w="2705"/>
        <w:gridCol w:w="6694"/>
      </w:tblGrid>
      <w:tr w:rsidR="00906D44" w:rsidTr="00906D44">
        <w:trPr>
          <w:tblCellSpacing w:w="0" w:type="dxa"/>
          <w:jc w:val="center"/>
        </w:trPr>
        <w:tc>
          <w:tcPr>
            <w:tcW w:w="10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D44" w:rsidRDefault="0090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906D44" w:rsidTr="00906D44">
        <w:trPr>
          <w:trHeight w:val="454"/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Pamatojums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44" w:rsidRDefault="00906D44">
            <w:pPr>
              <w:spacing w:after="0" w:line="240" w:lineRule="auto"/>
              <w:ind w:left="269" w:right="3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Ministru kabineta noteikumu projekts „Grozījums Ministru kabineta 2012.gada 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oktobra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noteikumos Nr.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695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Kārtība, kādā piešķir un finansē asistenta pakalpojumu izglītības iestādē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” (turpmāk– noteikumu projekts)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izstrādāts, pamatojoties uz:</w:t>
            </w:r>
          </w:p>
          <w:p w:rsidR="00906D44" w:rsidRDefault="00692A93" w:rsidP="00C9589B">
            <w:pPr>
              <w:numPr>
                <w:ilvl w:val="0"/>
                <w:numId w:val="1"/>
              </w:num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anchor="p30" w:history="1">
              <w:r w:rsidR="00906D44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  <w:t>Euro</w:t>
              </w:r>
              <w:r w:rsidR="00906D44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ieviešanas kārtības likuma</w:t>
              </w:r>
            </w:hyperlink>
            <w:r w:rsidR="00906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30.panta pirmo daļu;</w:t>
            </w:r>
          </w:p>
          <w:p w:rsidR="00906D44" w:rsidRDefault="00692A93" w:rsidP="00C9589B">
            <w:pPr>
              <w:numPr>
                <w:ilvl w:val="0"/>
                <w:numId w:val="1"/>
              </w:num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anchor="p7" w:history="1">
              <w:r w:rsidR="00906D44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Ministru kabineta 2012.gada 27.jūnija rīkojuma Nr.282 „Par „Koncepciju par normatīvo aktu sakārtošanu saistībā ar </w:t>
              </w:r>
              <w:r w:rsidR="00906D44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  <w:t>eiro</w:t>
              </w:r>
              <w:r w:rsidR="00906D44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ieviešanu Latvijā””</w:t>
              </w:r>
            </w:hyperlink>
            <w:r w:rsidR="00906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</w:t>
            </w:r>
            <w:r w:rsidR="00EE1C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06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.apakšpunktu;</w:t>
            </w:r>
          </w:p>
          <w:p w:rsidR="00906D44" w:rsidRDefault="00692A93" w:rsidP="00C9589B">
            <w:pPr>
              <w:numPr>
                <w:ilvl w:val="0"/>
                <w:numId w:val="1"/>
              </w:num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06D44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Latvijas Nacionālā</w:t>
              </w:r>
              <w:r w:rsidR="00906D44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  <w:t xml:space="preserve"> euro</w:t>
              </w:r>
              <w:r w:rsidR="00906D44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ieviešanas plāna (apstiprināts ar Ministru kabineta 2013.gada 4.aprīļa rīkojuma Nr.136 „Par Latvijas Nacionālo</w:t>
              </w:r>
              <w:r w:rsidR="00906D44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  <w:t xml:space="preserve"> euro</w:t>
              </w:r>
              <w:r w:rsidR="00906D44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ieviešanas plānu”)</w:t>
              </w:r>
            </w:hyperlink>
            <w:r w:rsidR="00906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1.pielikuma J2.2.</w:t>
            </w:r>
            <w:r w:rsidR="00EE1C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906D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apakšpunktu;</w:t>
            </w:r>
          </w:p>
          <w:p w:rsidR="00024299" w:rsidRDefault="00906D44" w:rsidP="00C12919">
            <w:pPr>
              <w:numPr>
                <w:ilvl w:val="0"/>
                <w:numId w:val="1"/>
              </w:num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2013.gada 29.maija rīkojuma Nr.212 „Par tiesību aktu grozījumu virzību saistībā ar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ieviešanu Latvijā 1.</w:t>
            </w:r>
            <w:r w:rsidR="00EE1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.apakšpunktu.</w:t>
            </w:r>
          </w:p>
        </w:tc>
      </w:tr>
      <w:tr w:rsidR="00906D44" w:rsidTr="00906D44">
        <w:trPr>
          <w:trHeight w:val="472"/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Pašreizējā situācija un problēmas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 w:rsidP="004A1AF9">
            <w:pPr>
              <w:spacing w:after="0" w:line="240" w:lineRule="auto"/>
              <w:ind w:left="269" w:righ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Ņemot vērā, ka ar 2014.gada 1.janvāri Latvijā plānots ieviest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euro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ir nepieciešams izstrādāt noteikumu projektu, t.i., nepieciešams nodrošināt Ministru kabineta 2012.gada 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oktobra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noteikumu Nr.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695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„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Kārtība, kādā piešķir un finansē asistenta pakalpojumu izglītības iestādē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(turpmāk – noteikumi Nr.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695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pielāgošanu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ieviešanai. Šobrīd spēkā esošo noteikumu Nr.</w:t>
            </w:r>
            <w:r w:rsidR="00EE1C56">
              <w:rPr>
                <w:rFonts w:ascii="Times New Roman" w:hAnsi="Times New Roman" w:cs="Times New Roman"/>
                <w:iCs/>
                <w:sz w:val="28"/>
                <w:szCs w:val="28"/>
              </w:rPr>
              <w:t>695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E1C56">
              <w:rPr>
                <w:rFonts w:ascii="Times New Roman" w:hAnsi="Times New Roman" w:cs="Times New Roman"/>
                <w:iCs/>
                <w:sz w:val="28"/>
                <w:szCs w:val="28"/>
              </w:rPr>
              <w:t>pielikumā ir lietots lata saīsinājums „Ls”.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Līdz ar to noteikumu Nr.</w:t>
            </w:r>
            <w:r w:rsidR="00CA6E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pielikumā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nepieciešams izdarīt grozījumu, aizstājot  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saīsinājumu „Ls” ar vārdu „</w:t>
            </w:r>
            <w:r w:rsidR="00CA6E3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EE1C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uro</w:t>
            </w:r>
            <w:r w:rsidR="00EE1C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D44" w:rsidTr="00906D44">
        <w:trPr>
          <w:trHeight w:val="685"/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ind w:left="269" w:right="3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906D44" w:rsidTr="00906D44">
        <w:trPr>
          <w:trHeight w:val="688"/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Tiesiskā regulējuma mērķis un būtība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C56" w:rsidRDefault="00906D44" w:rsidP="00EE1C56">
            <w:pPr>
              <w:spacing w:after="0" w:line="240" w:lineRule="auto"/>
              <w:ind w:left="266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Projekta mērķis ir pielāgot noteikumus Nr.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695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euro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ieviešanai, t.i., 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aizstāt </w:t>
            </w:r>
            <w:r w:rsidR="009D7695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ielikumā saīsinājumu „Ls” ar vārdu „</w:t>
            </w:r>
            <w:r w:rsidR="00CA6E3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EE1C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uro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atbilstoši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ieviešanas kārtības likuma</w:t>
            </w:r>
            <w:r w:rsidR="00EE1C56">
              <w:rPr>
                <w:rFonts w:ascii="Times New Roman" w:eastAsia="Times New Roman" w:hAnsi="Times New Roman" w:cs="Times New Roman"/>
                <w:sz w:val="28"/>
                <w:szCs w:val="28"/>
              </w:rPr>
              <w:t>m.</w:t>
            </w:r>
          </w:p>
          <w:p w:rsidR="00906D44" w:rsidRDefault="004A1AF9" w:rsidP="00C12919">
            <w:pPr>
              <w:spacing w:after="0" w:line="240" w:lineRule="auto"/>
              <w:ind w:left="266"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Novadu un republikas pilsētu pašvaldības un izglītības iestādes pārskatu par piešķirto valsts budžeta līdzekļu izlietojumu asistenta pakalpojuma nodrošināšanai 2014.gada sākumā</w:t>
            </w:r>
            <w:r w:rsidR="00C12919">
              <w:rPr>
                <w:rFonts w:ascii="Times New Roman" w:hAnsi="Times New Roman" w:cs="Times New Roman"/>
                <w:sz w:val="28"/>
                <w:szCs w:val="28"/>
              </w:rPr>
              <w:t>, sniedzot informāciju par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919">
              <w:rPr>
                <w:rFonts w:ascii="Times New Roman" w:hAnsi="Times New Roman" w:cs="Times New Roman"/>
                <w:sz w:val="28"/>
                <w:szCs w:val="28"/>
              </w:rPr>
              <w:t xml:space="preserve">periodu 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C12919">
              <w:rPr>
                <w:rFonts w:ascii="Times New Roman" w:hAnsi="Times New Roman" w:cs="Times New Roman"/>
                <w:sz w:val="28"/>
                <w:szCs w:val="28"/>
              </w:rPr>
              <w:t xml:space="preserve">.gada 1.septembra līdz 31.decembrim, aizpildīs atbilstoši </w:t>
            </w:r>
            <w:r w:rsidR="00C12919" w:rsidRPr="00C129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Euro </w:t>
            </w:r>
            <w:r w:rsidR="00C12919">
              <w:rPr>
                <w:rFonts w:ascii="Times New Roman" w:hAnsi="Times New Roman" w:cs="Times New Roman"/>
                <w:sz w:val="28"/>
                <w:szCs w:val="28"/>
              </w:rPr>
              <w:t>ieviešanas kārtības likuma 16.pantam.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6D44" w:rsidTr="00906D44">
        <w:trPr>
          <w:trHeight w:val="476"/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ind w:left="269" w:right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Projekts šo jomu neskar. </w:t>
            </w:r>
          </w:p>
        </w:tc>
      </w:tr>
      <w:tr w:rsidR="00906D44" w:rsidTr="00906D44">
        <w:trPr>
          <w:trHeight w:val="688"/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ind w:left="266" w:right="30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Sabiedrības līdzdalība netika nodrošināta, jo noteikumu projekts ir tehnisks projekts, kas paredz tikai </w:t>
            </w:r>
            <w:r w:rsidR="00EE1C56">
              <w:rPr>
                <w:rFonts w:ascii="Times New Roman" w:hAnsi="Times New Roman" w:cs="Times New Roman"/>
                <w:bCs/>
                <w:sz w:val="28"/>
                <w:szCs w:val="28"/>
              </w:rPr>
              <w:t>vārda saīsinājuma „Ls” aizstāšanu ar vārdu „</w:t>
            </w:r>
            <w:r w:rsidR="00CA6E3F">
              <w:rPr>
                <w:rFonts w:ascii="Times New Roman" w:hAnsi="Times New Roman" w:cs="Times New Roman"/>
                <w:bCs/>
                <w:sz w:val="28"/>
                <w:szCs w:val="28"/>
              </w:rPr>
              <w:t>e</w:t>
            </w:r>
            <w:r w:rsidR="00EE1C56" w:rsidRPr="00EE1C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uro</w:t>
            </w:r>
            <w:r w:rsidR="00EE1C56">
              <w:rPr>
                <w:rFonts w:ascii="Times New Roman" w:hAnsi="Times New Roman" w:cs="Times New Roman"/>
                <w:bCs/>
                <w:sz w:val="28"/>
                <w:szCs w:val="28"/>
              </w:rPr>
              <w:t>”.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6D44" w:rsidRDefault="00906D44">
            <w:pPr>
              <w:spacing w:after="0" w:line="240" w:lineRule="auto"/>
              <w:ind w:left="266" w:right="3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Projekts nemaina pastāvošo tiesisko regulējumu pēc būtības.</w:t>
            </w:r>
          </w:p>
        </w:tc>
      </w:tr>
      <w:tr w:rsidR="00906D44" w:rsidTr="00906D44">
        <w:trPr>
          <w:tblCellSpacing w:w="0" w:type="dxa"/>
          <w:jc w:val="center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6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D44" w:rsidRDefault="00906D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Nav</w:t>
            </w:r>
          </w:p>
        </w:tc>
      </w:tr>
    </w:tbl>
    <w:p w:rsidR="00906D44" w:rsidRDefault="00906D44" w:rsidP="0090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44" w:rsidRDefault="00906D44" w:rsidP="00906D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Anotācijas II, III, IV, V, VI un VII  sadaļa – projekts šīs jomas neskar</w:t>
      </w:r>
    </w:p>
    <w:p w:rsidR="00906D44" w:rsidRDefault="00906D44" w:rsidP="0090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D44" w:rsidRDefault="00906D44" w:rsidP="00906D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V.Dombrovskis</w:t>
      </w:r>
    </w:p>
    <w:p w:rsidR="00906D44" w:rsidRDefault="00906D44" w:rsidP="0090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D44" w:rsidRDefault="00906D44" w:rsidP="00906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44" w:rsidRDefault="00906D44" w:rsidP="00906D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 izglītības un zinātnes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V.Dombrovskis</w:t>
      </w:r>
    </w:p>
    <w:p w:rsidR="00906D44" w:rsidRDefault="00906D44" w:rsidP="00906D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06D44" w:rsidRDefault="00906D44" w:rsidP="00906D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06D44" w:rsidRDefault="00906D44" w:rsidP="00906D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06D44" w:rsidRDefault="00906D44" w:rsidP="00906D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F22A1E">
        <w:rPr>
          <w:rFonts w:ascii="Times New Roman" w:hAnsi="Times New Roman" w:cs="Times New Roman"/>
          <w:sz w:val="28"/>
          <w:szCs w:val="28"/>
        </w:rPr>
        <w:t>izē</w:t>
      </w:r>
      <w:r>
        <w:rPr>
          <w:rFonts w:ascii="Times New Roman" w:hAnsi="Times New Roman" w:cs="Times New Roman"/>
          <w:sz w:val="28"/>
          <w:szCs w:val="28"/>
        </w:rPr>
        <w:t>: valsts sekretāre                                                S.Liepiņa</w:t>
      </w:r>
    </w:p>
    <w:p w:rsidR="00906D44" w:rsidRDefault="00906D44" w:rsidP="00906D44">
      <w:pPr>
        <w:pStyle w:val="NoSpacing"/>
        <w:rPr>
          <w:sz w:val="20"/>
          <w:szCs w:val="20"/>
        </w:rPr>
      </w:pPr>
    </w:p>
    <w:p w:rsidR="00906D44" w:rsidRDefault="00906D44" w:rsidP="00906D44">
      <w:pPr>
        <w:pStyle w:val="NoSpacing"/>
        <w:rPr>
          <w:sz w:val="20"/>
          <w:szCs w:val="20"/>
        </w:rPr>
      </w:pPr>
    </w:p>
    <w:p w:rsidR="00906D44" w:rsidRDefault="00906D44" w:rsidP="00906D44">
      <w:pPr>
        <w:pStyle w:val="NoSpacing"/>
        <w:rPr>
          <w:sz w:val="20"/>
          <w:szCs w:val="20"/>
        </w:rPr>
      </w:pPr>
    </w:p>
    <w:p w:rsidR="00906D44" w:rsidRDefault="00906D44" w:rsidP="00906D44">
      <w:pPr>
        <w:pStyle w:val="NoSpacing"/>
        <w:rPr>
          <w:sz w:val="20"/>
          <w:szCs w:val="20"/>
        </w:rPr>
      </w:pPr>
    </w:p>
    <w:p w:rsidR="00906D44" w:rsidRDefault="00906D44" w:rsidP="00906D44">
      <w:pPr>
        <w:pStyle w:val="NoSpacing"/>
        <w:rPr>
          <w:sz w:val="20"/>
          <w:szCs w:val="20"/>
        </w:rPr>
      </w:pPr>
    </w:p>
    <w:p w:rsidR="00906D44" w:rsidRDefault="00906D44" w:rsidP="00906D44">
      <w:pPr>
        <w:pStyle w:val="NoSpacing"/>
        <w:rPr>
          <w:sz w:val="20"/>
          <w:szCs w:val="20"/>
        </w:rPr>
      </w:pPr>
    </w:p>
    <w:p w:rsidR="00906D44" w:rsidRDefault="0003021A" w:rsidP="00906D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</w:t>
      </w:r>
      <w:r w:rsidR="00906D44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906D44">
        <w:rPr>
          <w:sz w:val="20"/>
          <w:szCs w:val="20"/>
        </w:rPr>
        <w:t xml:space="preserve">.2013. </w:t>
      </w:r>
    </w:p>
    <w:p w:rsidR="00906D44" w:rsidRDefault="000D1126" w:rsidP="00906D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2D1C8D">
        <w:rPr>
          <w:sz w:val="20"/>
          <w:szCs w:val="20"/>
        </w:rPr>
        <w:t>54</w:t>
      </w:r>
    </w:p>
    <w:p w:rsidR="00906D44" w:rsidRDefault="00906D44" w:rsidP="00906D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D.Bīlmanis</w:t>
      </w:r>
    </w:p>
    <w:p w:rsidR="00906D44" w:rsidRDefault="00906D44" w:rsidP="00906D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Izglītības departamenta juriskonsults</w:t>
      </w:r>
    </w:p>
    <w:p w:rsidR="00906D44" w:rsidRDefault="00906D44" w:rsidP="00E30C7D">
      <w:pPr>
        <w:pStyle w:val="NoSpacing"/>
        <w:rPr>
          <w:sz w:val="28"/>
          <w:szCs w:val="28"/>
        </w:rPr>
      </w:pPr>
      <w:r>
        <w:rPr>
          <w:sz w:val="20"/>
          <w:szCs w:val="20"/>
        </w:rPr>
        <w:t xml:space="preserve">67047702, </w:t>
      </w:r>
      <w:hyperlink r:id="rId10" w:history="1">
        <w:r>
          <w:rPr>
            <w:rStyle w:val="Hyperlink"/>
            <w:sz w:val="20"/>
            <w:szCs w:val="20"/>
          </w:rPr>
          <w:t>dainis.bilmanis@izm.gov.lv</w:t>
        </w:r>
      </w:hyperlink>
      <w:r>
        <w:rPr>
          <w:sz w:val="20"/>
          <w:szCs w:val="20"/>
        </w:rPr>
        <w:t xml:space="preserve"> </w:t>
      </w:r>
    </w:p>
    <w:sectPr w:rsidR="00906D44" w:rsidSect="009D7695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7C" w:rsidRDefault="007A4F7C" w:rsidP="0014690B">
      <w:pPr>
        <w:spacing w:after="0" w:line="240" w:lineRule="auto"/>
      </w:pPr>
      <w:r>
        <w:separator/>
      </w:r>
    </w:p>
  </w:endnote>
  <w:endnote w:type="continuationSeparator" w:id="1">
    <w:p w:rsidR="007A4F7C" w:rsidRDefault="007A4F7C" w:rsidP="0014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46" w:rsidRDefault="00B32346" w:rsidP="00B32346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IZMAnot_</w:t>
    </w:r>
    <w:r w:rsidR="0003021A">
      <w:rPr>
        <w:rFonts w:ascii="Times New Roman" w:hAnsi="Times New Roman" w:cs="Times New Roman"/>
        <w:sz w:val="20"/>
        <w:szCs w:val="20"/>
      </w:rPr>
      <w:t>230913</w:t>
    </w:r>
    <w:r>
      <w:rPr>
        <w:rFonts w:ascii="Times New Roman" w:hAnsi="Times New Roman" w:cs="Times New Roman"/>
        <w:sz w:val="20"/>
        <w:szCs w:val="20"/>
      </w:rPr>
      <w:t>_asistpak; Ministru kabineta noteikumu projekta „Grozījums Ministru kabineta 2012.gada 9.oktobra noteikumos Nr.695 „Kārtība, kādā piešķir un finansē asistenta pakalpojumu izglītības iestādē”” sākotnējās ietekmes novērtējuma ziņojums (anotācija).</w:t>
    </w:r>
  </w:p>
  <w:p w:rsidR="00B32346" w:rsidRDefault="00B32346" w:rsidP="00B32346">
    <w:pPr>
      <w:pStyle w:val="Footer"/>
    </w:pPr>
  </w:p>
  <w:p w:rsidR="009D7695" w:rsidRDefault="009D7695">
    <w:pPr>
      <w:pStyle w:val="Footer"/>
      <w:jc w:val="center"/>
    </w:pPr>
  </w:p>
  <w:p w:rsidR="0014690B" w:rsidRDefault="001469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59" w:rsidRDefault="00576159" w:rsidP="0057615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IZMAnot_</w:t>
    </w:r>
    <w:r w:rsidR="00AC2B16">
      <w:rPr>
        <w:rFonts w:ascii="Times New Roman" w:hAnsi="Times New Roman" w:cs="Times New Roman"/>
        <w:sz w:val="20"/>
        <w:szCs w:val="20"/>
      </w:rPr>
      <w:t>230913</w:t>
    </w:r>
    <w:r>
      <w:rPr>
        <w:rFonts w:ascii="Times New Roman" w:hAnsi="Times New Roman" w:cs="Times New Roman"/>
        <w:sz w:val="20"/>
        <w:szCs w:val="20"/>
      </w:rPr>
      <w:t>_asistpak; Ministru kabineta noteikumu projekta „Grozījums Ministru kabineta 2012.gada 9.oktobra noteikumos Nr.695 „Kārtība, kādā piešķir un finansē asistenta pakalpojumu izglītības iestādē”” sākotnējās ietekmes novērtējuma ziņojums (anotācija).</w:t>
    </w:r>
  </w:p>
  <w:p w:rsidR="00576159" w:rsidRDefault="00576159" w:rsidP="00576159">
    <w:pPr>
      <w:pStyle w:val="Footer"/>
    </w:pPr>
  </w:p>
  <w:p w:rsidR="00B32346" w:rsidRDefault="00B323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7C" w:rsidRDefault="007A4F7C" w:rsidP="0014690B">
      <w:pPr>
        <w:spacing w:after="0" w:line="240" w:lineRule="auto"/>
      </w:pPr>
      <w:r>
        <w:separator/>
      </w:r>
    </w:p>
  </w:footnote>
  <w:footnote w:type="continuationSeparator" w:id="1">
    <w:p w:rsidR="007A4F7C" w:rsidRDefault="007A4F7C" w:rsidP="0014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0675"/>
      <w:docPartObj>
        <w:docPartGallery w:val="Page Numbers (Top of Page)"/>
        <w:docPartUnique/>
      </w:docPartObj>
    </w:sdtPr>
    <w:sdtContent>
      <w:p w:rsidR="009D7695" w:rsidRDefault="00692A93">
        <w:pPr>
          <w:pStyle w:val="Header"/>
          <w:jc w:val="center"/>
        </w:pPr>
        <w:fldSimple w:instr=" PAGE   \* MERGEFORMAT ">
          <w:r w:rsidR="002D1C8D">
            <w:rPr>
              <w:noProof/>
            </w:rPr>
            <w:t>2</w:t>
          </w:r>
        </w:fldSimple>
      </w:p>
    </w:sdtContent>
  </w:sdt>
  <w:p w:rsidR="009D7695" w:rsidRDefault="009D76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BE8"/>
    <w:multiLevelType w:val="hybridMultilevel"/>
    <w:tmpl w:val="7EC245DA"/>
    <w:lvl w:ilvl="0" w:tplc="F01A9A5E">
      <w:start w:val="1"/>
      <w:numFmt w:val="decimal"/>
      <w:lvlText w:val="%1)"/>
      <w:lvlJc w:val="left"/>
      <w:pPr>
        <w:ind w:left="629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D44"/>
    <w:rsid w:val="00024299"/>
    <w:rsid w:val="0003021A"/>
    <w:rsid w:val="000D1126"/>
    <w:rsid w:val="0014690B"/>
    <w:rsid w:val="002D1C8D"/>
    <w:rsid w:val="004A1AF9"/>
    <w:rsid w:val="00511EAA"/>
    <w:rsid w:val="00576159"/>
    <w:rsid w:val="005A0E26"/>
    <w:rsid w:val="005F67DA"/>
    <w:rsid w:val="00692A93"/>
    <w:rsid w:val="006A2C7F"/>
    <w:rsid w:val="007A4F7C"/>
    <w:rsid w:val="007A5762"/>
    <w:rsid w:val="00906D44"/>
    <w:rsid w:val="009D7695"/>
    <w:rsid w:val="00A83D72"/>
    <w:rsid w:val="00AA3C04"/>
    <w:rsid w:val="00AC2B16"/>
    <w:rsid w:val="00B32346"/>
    <w:rsid w:val="00B902B6"/>
    <w:rsid w:val="00B9329A"/>
    <w:rsid w:val="00C12919"/>
    <w:rsid w:val="00C65429"/>
    <w:rsid w:val="00CA6E3F"/>
    <w:rsid w:val="00D055BA"/>
    <w:rsid w:val="00D736A3"/>
    <w:rsid w:val="00E30C7D"/>
    <w:rsid w:val="00ED16E4"/>
    <w:rsid w:val="00EE1C56"/>
    <w:rsid w:val="00F22A1E"/>
    <w:rsid w:val="00F7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06D44"/>
    <w:rPr>
      <w:color w:val="0000FF"/>
      <w:u w:val="single"/>
    </w:rPr>
  </w:style>
  <w:style w:type="paragraph" w:styleId="NoSpacing">
    <w:name w:val="No Spacing"/>
    <w:uiPriority w:val="1"/>
    <w:qFormat/>
    <w:rsid w:val="0090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9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90B"/>
  </w:style>
  <w:style w:type="paragraph" w:styleId="Footer">
    <w:name w:val="footer"/>
    <w:basedOn w:val="Normal"/>
    <w:link w:val="FooterChar"/>
    <w:uiPriority w:val="99"/>
    <w:unhideWhenUsed/>
    <w:rsid w:val="001469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4982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5474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inis.bilmanis@izm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doc.php?id=2559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2877</Characters>
  <Application>Microsoft Office Word</Application>
  <DocSecurity>0</DocSecurity>
  <Lines>115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dbilmanis</dc:creator>
  <cp:keywords/>
  <dc:description/>
  <cp:lastModifiedBy>dbilmanis</cp:lastModifiedBy>
  <cp:revision>7</cp:revision>
  <cp:lastPrinted>2013-08-05T11:57:00Z</cp:lastPrinted>
  <dcterms:created xsi:type="dcterms:W3CDTF">2013-09-24T08:08:00Z</dcterms:created>
  <dcterms:modified xsi:type="dcterms:W3CDTF">2013-09-24T08:36:00Z</dcterms:modified>
</cp:coreProperties>
</file>