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C13B05" w:rsidRDefault="005D6B8A" w:rsidP="005D6B8A">
      <w:pPr>
        <w:jc w:val="center"/>
        <w:rPr>
          <w:b/>
          <w:sz w:val="26"/>
          <w:szCs w:val="26"/>
        </w:rPr>
      </w:pPr>
      <w:bookmarkStart w:id="0" w:name="OLE_LINK3"/>
      <w:bookmarkStart w:id="1" w:name="OLE_LINK4"/>
      <w:bookmarkStart w:id="2" w:name="OLE_LINK1"/>
      <w:r w:rsidRPr="00C13B05">
        <w:rPr>
          <w:b/>
          <w:sz w:val="26"/>
          <w:szCs w:val="26"/>
        </w:rPr>
        <w:t>Ministru kabineta rīkojuma projekta</w:t>
      </w:r>
    </w:p>
    <w:p w:rsidR="00585B7B" w:rsidRPr="00C13B05" w:rsidRDefault="005D6B8A" w:rsidP="005D6B8A">
      <w:pPr>
        <w:jc w:val="center"/>
        <w:rPr>
          <w:b/>
          <w:sz w:val="26"/>
          <w:szCs w:val="26"/>
        </w:rPr>
      </w:pPr>
      <w:r w:rsidRPr="00C13B05">
        <w:rPr>
          <w:b/>
          <w:sz w:val="26"/>
          <w:szCs w:val="26"/>
        </w:rPr>
        <w:t xml:space="preserve">„Par finanšu līdzekļu piešķiršanu no valsts budžeta programmas „Līdzekļi neparedzētiem gadījumiem”” </w:t>
      </w:r>
      <w:r w:rsidR="00585B7B" w:rsidRPr="00C13B05">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C13B05">
          <w:rPr>
            <w:b/>
            <w:sz w:val="26"/>
            <w:szCs w:val="26"/>
          </w:rPr>
          <w:t>ziņojums</w:t>
        </w:r>
      </w:smartTag>
      <w:r w:rsidR="00585B7B" w:rsidRPr="00C13B05">
        <w:rPr>
          <w:b/>
          <w:sz w:val="26"/>
          <w:szCs w:val="26"/>
        </w:rPr>
        <w:t xml:space="preserve"> (anotācija)</w:t>
      </w:r>
    </w:p>
    <w:p w:rsidR="00055608" w:rsidRPr="00C13B05" w:rsidRDefault="00055608" w:rsidP="005D6B8A">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91172F" w:rsidRDefault="0091172F" w:rsidP="0091172F">
            <w:pPr>
              <w:ind w:left="142" w:right="127"/>
              <w:jc w:val="both"/>
              <w:rPr>
                <w:sz w:val="26"/>
                <w:szCs w:val="26"/>
              </w:rPr>
            </w:pPr>
            <w:r w:rsidRPr="0091172F">
              <w:rPr>
                <w:sz w:val="26"/>
                <w:szCs w:val="26"/>
              </w:rPr>
              <w:t>1) Ministru kabineta 2009.gada 22.decembra noteikumu Nr.1644 „Kārtība, kādā pieprasa un izlieto budžeta programmas „Līdzekļi neparedzētiem gadījumiem” līdzekļus” 2.punkts.</w:t>
            </w:r>
          </w:p>
          <w:p w:rsidR="0091172F" w:rsidRDefault="0091172F" w:rsidP="0091172F">
            <w:pPr>
              <w:ind w:left="142" w:right="127"/>
              <w:jc w:val="both"/>
              <w:rPr>
                <w:sz w:val="26"/>
                <w:szCs w:val="26"/>
              </w:rPr>
            </w:pPr>
            <w:r w:rsidRPr="0091172F">
              <w:rPr>
                <w:sz w:val="26"/>
                <w:szCs w:val="26"/>
              </w:rPr>
              <w:t>2) Nepieciešamība steidzami piešķirt papildu valsts budžeta līdzfinansējumu Latvijas nacionālajai vīriešu florbola izlasei, lai nodrošinātu tās gatavošanos un dalību 2012.gada pasaules čempionāta finālturnīrā Cīrihē (Šveice)</w:t>
            </w:r>
            <w:r w:rsidR="00117C7E">
              <w:rPr>
                <w:sz w:val="26"/>
                <w:szCs w:val="26"/>
              </w:rPr>
              <w:t xml:space="preserve"> (turpmāk – Čempionāts)</w:t>
            </w:r>
            <w:r w:rsidRPr="0091172F">
              <w:rPr>
                <w:sz w:val="26"/>
                <w:szCs w:val="26"/>
              </w:rPr>
              <w:t>.</w:t>
            </w:r>
          </w:p>
          <w:p w:rsidR="00466E6C" w:rsidRPr="00C13B05" w:rsidRDefault="0091172F" w:rsidP="0091172F">
            <w:pPr>
              <w:ind w:left="142" w:right="127"/>
              <w:jc w:val="both"/>
              <w:rPr>
                <w:sz w:val="26"/>
                <w:szCs w:val="26"/>
              </w:rPr>
            </w:pPr>
            <w:r w:rsidRPr="0091172F">
              <w:rPr>
                <w:sz w:val="26"/>
                <w:szCs w:val="26"/>
              </w:rPr>
              <w:t>3) Latvijas Nacionālās sporta padomes 2012.gada 11.oktobra sēdē nolemtais (prot. Nr.4 11.§ 11.3.apakšpunkts)</w:t>
            </w:r>
            <w:r>
              <w:rPr>
                <w:sz w:val="26"/>
                <w:szCs w:val="26"/>
              </w:rPr>
              <w:t>.</w:t>
            </w:r>
          </w:p>
        </w:tc>
      </w:tr>
      <w:tr w:rsidR="00585B7B" w:rsidRPr="00C13B05" w:rsidTr="00795000">
        <w:trPr>
          <w:trHeight w:val="1128"/>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85B7B" w:rsidP="00916055">
            <w:pPr>
              <w:pStyle w:val="naiskr"/>
              <w:tabs>
                <w:tab w:val="left" w:pos="170"/>
              </w:tabs>
              <w:spacing w:before="0" w:after="0"/>
              <w:ind w:left="141"/>
              <w:rPr>
                <w:sz w:val="26"/>
                <w:szCs w:val="26"/>
              </w:rPr>
            </w:pPr>
            <w:r w:rsidRPr="00C13B05">
              <w:rPr>
                <w:sz w:val="26"/>
                <w:szCs w:val="26"/>
              </w:rPr>
              <w:t>Pašreizējā situācija un problēmas</w:t>
            </w:r>
          </w:p>
        </w:tc>
        <w:tc>
          <w:tcPr>
            <w:tcW w:w="6506" w:type="dxa"/>
          </w:tcPr>
          <w:p w:rsidR="007B25D4" w:rsidRDefault="0060231D" w:rsidP="00795000">
            <w:pPr>
              <w:ind w:left="142" w:right="127"/>
              <w:jc w:val="both"/>
              <w:rPr>
                <w:sz w:val="26"/>
                <w:szCs w:val="26"/>
              </w:rPr>
            </w:pPr>
            <w:r w:rsidRPr="00C13B05">
              <w:rPr>
                <w:sz w:val="26"/>
                <w:szCs w:val="26"/>
              </w:rPr>
              <w:t>Izglītības un zinātnes ministrija (turpmāk</w:t>
            </w:r>
            <w:r w:rsidR="003905CA">
              <w:rPr>
                <w:sz w:val="26"/>
                <w:szCs w:val="26"/>
              </w:rPr>
              <w:t xml:space="preserve"> </w:t>
            </w:r>
            <w:r w:rsidRPr="00C13B05">
              <w:rPr>
                <w:sz w:val="26"/>
                <w:szCs w:val="26"/>
              </w:rPr>
              <w:t xml:space="preserve">– ministrija), kura saskaņā ar Sporta likuma 5.panta pirmo daļu pilda valsts pārvaldes </w:t>
            </w:r>
            <w:r w:rsidR="00816572">
              <w:rPr>
                <w:sz w:val="26"/>
                <w:szCs w:val="26"/>
              </w:rPr>
              <w:t xml:space="preserve">funkcijas sporta nozarē, </w:t>
            </w:r>
            <w:r w:rsidRPr="00C13B05">
              <w:rPr>
                <w:sz w:val="26"/>
                <w:szCs w:val="26"/>
              </w:rPr>
              <w:t>saskaņā ar Ministru kabineta 2003.gada 16.septembra noteikumu Nr.528 „Izglītības un zinātnes ministrijas nolikums” 5.21.</w:t>
            </w:r>
            <w:r w:rsidRPr="009C6731">
              <w:rPr>
                <w:sz w:val="26"/>
                <w:szCs w:val="26"/>
                <w:vertAlign w:val="superscript"/>
              </w:rPr>
              <w:t>5</w:t>
            </w:r>
            <w:r w:rsidRPr="00C13B05">
              <w:rPr>
                <w:sz w:val="26"/>
                <w:szCs w:val="26"/>
              </w:rPr>
              <w:t xml:space="preserve"> punktu atbilstoši likumā par valsts budžetu kārtējam gadam piešķirtajai apropriācijai administrē sportam piešķirtos valsts budžeta līdzekļus,</w:t>
            </w:r>
            <w:r w:rsidR="008D645D">
              <w:rPr>
                <w:sz w:val="26"/>
                <w:szCs w:val="26"/>
              </w:rPr>
              <w:t xml:space="preserve"> kā arī saskaņā ar </w:t>
            </w:r>
            <w:r w:rsidR="008D645D" w:rsidRPr="00C13B05">
              <w:rPr>
                <w:sz w:val="26"/>
                <w:szCs w:val="26"/>
              </w:rPr>
              <w:t xml:space="preserve">Ministru kabineta 2003.gada </w:t>
            </w:r>
            <w:r w:rsidR="008D645D">
              <w:rPr>
                <w:sz w:val="26"/>
                <w:szCs w:val="26"/>
              </w:rPr>
              <w:t>9.jūlija</w:t>
            </w:r>
            <w:r w:rsidR="008D645D" w:rsidRPr="00C13B05">
              <w:rPr>
                <w:sz w:val="26"/>
                <w:szCs w:val="26"/>
              </w:rPr>
              <w:t xml:space="preserve"> noteikumu Nr.</w:t>
            </w:r>
            <w:r w:rsidR="008D645D">
              <w:rPr>
                <w:sz w:val="26"/>
                <w:szCs w:val="26"/>
              </w:rPr>
              <w:t>422 „</w:t>
            </w:r>
            <w:r w:rsidR="008D645D" w:rsidRPr="008D645D">
              <w:rPr>
                <w:sz w:val="26"/>
                <w:szCs w:val="26"/>
              </w:rPr>
              <w:t>Latvijas Nacionālās sporta padomes nolikums</w:t>
            </w:r>
            <w:r w:rsidR="008D645D">
              <w:rPr>
                <w:sz w:val="26"/>
                <w:szCs w:val="26"/>
              </w:rPr>
              <w:t xml:space="preserve">” 15.punktu nodrošina </w:t>
            </w:r>
            <w:r w:rsidR="008D645D" w:rsidRPr="008D645D">
              <w:rPr>
                <w:sz w:val="26"/>
                <w:szCs w:val="26"/>
              </w:rPr>
              <w:t>Latvijas Nacionālās sporta padomes</w:t>
            </w:r>
            <w:r w:rsidR="008D645D">
              <w:rPr>
                <w:sz w:val="26"/>
                <w:szCs w:val="26"/>
              </w:rPr>
              <w:t xml:space="preserve"> sekretariāta   pienākumu izpildi, </w:t>
            </w:r>
            <w:r w:rsidR="00403794" w:rsidRPr="00C13B05">
              <w:rPr>
                <w:sz w:val="26"/>
                <w:szCs w:val="26"/>
              </w:rPr>
              <w:t>ir saņēmusi</w:t>
            </w:r>
            <w:r w:rsidRPr="00C13B05">
              <w:rPr>
                <w:sz w:val="26"/>
                <w:szCs w:val="26"/>
              </w:rPr>
              <w:t xml:space="preserve"> biedrības </w:t>
            </w:r>
            <w:r w:rsidR="008D645D">
              <w:t xml:space="preserve"> </w:t>
            </w:r>
            <w:r w:rsidR="00816572" w:rsidRPr="00816572">
              <w:rPr>
                <w:sz w:val="26"/>
                <w:szCs w:val="26"/>
              </w:rPr>
              <w:t>„Latvijas Florbola savienība</w:t>
            </w:r>
            <w:r w:rsidR="00816572">
              <w:rPr>
                <w:sz w:val="26"/>
                <w:szCs w:val="26"/>
              </w:rPr>
              <w:t xml:space="preserve">” </w:t>
            </w:r>
            <w:r w:rsidR="00816572" w:rsidRPr="00C13B05">
              <w:rPr>
                <w:sz w:val="26"/>
                <w:szCs w:val="26"/>
              </w:rPr>
              <w:t>(turpmāk</w:t>
            </w:r>
            <w:r w:rsidR="003905CA">
              <w:rPr>
                <w:sz w:val="26"/>
                <w:szCs w:val="26"/>
              </w:rPr>
              <w:t xml:space="preserve"> </w:t>
            </w:r>
            <w:r w:rsidR="00816572" w:rsidRPr="00C13B05">
              <w:rPr>
                <w:sz w:val="26"/>
                <w:szCs w:val="26"/>
              </w:rPr>
              <w:t>– L</w:t>
            </w:r>
            <w:r w:rsidR="00816572">
              <w:rPr>
                <w:sz w:val="26"/>
                <w:szCs w:val="26"/>
              </w:rPr>
              <w:t>FS</w:t>
            </w:r>
            <w:r w:rsidR="008D645D" w:rsidRPr="0091172F">
              <w:rPr>
                <w:sz w:val="26"/>
                <w:szCs w:val="26"/>
              </w:rPr>
              <w:t>)</w:t>
            </w:r>
            <w:r w:rsidR="00E0777F" w:rsidRPr="0091172F">
              <w:rPr>
                <w:sz w:val="26"/>
                <w:szCs w:val="26"/>
              </w:rPr>
              <w:t xml:space="preserve"> 2012.gada 26.septembra vēstuli Nr. 1-4/113 </w:t>
            </w:r>
            <w:r w:rsidR="00816572" w:rsidRPr="0091172F">
              <w:rPr>
                <w:sz w:val="26"/>
                <w:szCs w:val="26"/>
              </w:rPr>
              <w:t>(turpmāk</w:t>
            </w:r>
            <w:r w:rsidR="0091172F" w:rsidRPr="0091172F">
              <w:rPr>
                <w:sz w:val="26"/>
                <w:szCs w:val="26"/>
              </w:rPr>
              <w:t xml:space="preserve"> </w:t>
            </w:r>
            <w:r w:rsidR="00816572" w:rsidRPr="0091172F">
              <w:rPr>
                <w:sz w:val="26"/>
                <w:szCs w:val="26"/>
              </w:rPr>
              <w:t>– vēstule)</w:t>
            </w:r>
            <w:r w:rsidRPr="0091172F">
              <w:rPr>
                <w:sz w:val="26"/>
                <w:szCs w:val="26"/>
              </w:rPr>
              <w:t>, kurā L</w:t>
            </w:r>
            <w:r w:rsidR="00816572" w:rsidRPr="0091172F">
              <w:rPr>
                <w:sz w:val="26"/>
                <w:szCs w:val="26"/>
              </w:rPr>
              <w:t>FS</w:t>
            </w:r>
            <w:r w:rsidR="00BC7009" w:rsidRPr="0091172F">
              <w:rPr>
                <w:sz w:val="26"/>
                <w:szCs w:val="26"/>
              </w:rPr>
              <w:t xml:space="preserve"> </w:t>
            </w:r>
            <w:r w:rsidRPr="0091172F">
              <w:rPr>
                <w:sz w:val="26"/>
                <w:szCs w:val="26"/>
              </w:rPr>
              <w:t xml:space="preserve">lūdz piešķirt </w:t>
            </w:r>
            <w:r w:rsidR="00BD1DB2" w:rsidRPr="0091172F">
              <w:rPr>
                <w:sz w:val="26"/>
                <w:szCs w:val="26"/>
              </w:rPr>
              <w:t xml:space="preserve">papildu </w:t>
            </w:r>
            <w:r w:rsidR="00B45EDD" w:rsidRPr="0091172F">
              <w:rPr>
                <w:sz w:val="26"/>
                <w:szCs w:val="26"/>
              </w:rPr>
              <w:t xml:space="preserve">valsts budžeta finansējumu </w:t>
            </w:r>
            <w:r w:rsidR="008D645D" w:rsidRPr="0091172F">
              <w:rPr>
                <w:sz w:val="26"/>
                <w:szCs w:val="26"/>
              </w:rPr>
              <w:t>46`181</w:t>
            </w:r>
            <w:r w:rsidR="00117C7E">
              <w:rPr>
                <w:sz w:val="26"/>
                <w:szCs w:val="26"/>
              </w:rPr>
              <w:t xml:space="preserve"> </w:t>
            </w:r>
            <w:r w:rsidR="008D645D" w:rsidRPr="0091172F">
              <w:rPr>
                <w:sz w:val="26"/>
                <w:szCs w:val="26"/>
              </w:rPr>
              <w:t>latu apmērā</w:t>
            </w:r>
            <w:r w:rsidR="00117C7E">
              <w:rPr>
                <w:sz w:val="26"/>
                <w:szCs w:val="26"/>
              </w:rPr>
              <w:t xml:space="preserve">, lai </w:t>
            </w:r>
            <w:r w:rsidR="005A518B">
              <w:rPr>
                <w:sz w:val="26"/>
                <w:szCs w:val="26"/>
              </w:rPr>
              <w:t>nodrošinātu Latvijas nacionālās vīriešu fl</w:t>
            </w:r>
            <w:r w:rsidR="009C0BE4">
              <w:rPr>
                <w:sz w:val="26"/>
                <w:szCs w:val="26"/>
              </w:rPr>
              <w:t>orbola izlases gatavošanās posmu</w:t>
            </w:r>
            <w:r w:rsidR="005A518B">
              <w:rPr>
                <w:sz w:val="26"/>
                <w:szCs w:val="26"/>
              </w:rPr>
              <w:t xml:space="preserve"> un dalību </w:t>
            </w:r>
            <w:r w:rsidR="00117C7E">
              <w:rPr>
                <w:sz w:val="26"/>
                <w:szCs w:val="26"/>
              </w:rPr>
              <w:t xml:space="preserve">Čempionātā, kurš norisināsies no 2012.gada </w:t>
            </w:r>
            <w:r w:rsidR="005A518B">
              <w:rPr>
                <w:sz w:val="26"/>
                <w:szCs w:val="26"/>
              </w:rPr>
              <w:t xml:space="preserve">2. – 9.decembrim. </w:t>
            </w:r>
            <w:r w:rsidR="009D008F">
              <w:rPr>
                <w:sz w:val="26"/>
                <w:szCs w:val="26"/>
              </w:rPr>
              <w:t>L</w:t>
            </w:r>
            <w:r w:rsidR="005A518B">
              <w:rPr>
                <w:sz w:val="26"/>
                <w:szCs w:val="26"/>
              </w:rPr>
              <w:t>FS vēstulē</w:t>
            </w:r>
            <w:r w:rsidR="009D008F">
              <w:rPr>
                <w:sz w:val="26"/>
                <w:szCs w:val="26"/>
              </w:rPr>
              <w:t xml:space="preserve"> </w:t>
            </w:r>
            <w:r w:rsidR="005A518B">
              <w:rPr>
                <w:sz w:val="26"/>
                <w:szCs w:val="26"/>
              </w:rPr>
              <w:t>norādīts</w:t>
            </w:r>
            <w:r w:rsidR="009D008F">
              <w:rPr>
                <w:sz w:val="26"/>
                <w:szCs w:val="26"/>
              </w:rPr>
              <w:t xml:space="preserve"> gan steidzamības pamatojums finansējuma piešķiršanai, gan </w:t>
            </w:r>
            <w:r w:rsidR="007B25D4">
              <w:rPr>
                <w:sz w:val="26"/>
                <w:szCs w:val="26"/>
              </w:rPr>
              <w:t>arī iespējamo risku uzskaitījums līdzekļu nepiešķiršanas gadījumā.</w:t>
            </w:r>
          </w:p>
          <w:p w:rsidR="007B25D4" w:rsidRDefault="007B25D4" w:rsidP="00795000">
            <w:pPr>
              <w:ind w:left="142" w:right="127"/>
              <w:jc w:val="both"/>
              <w:rPr>
                <w:sz w:val="26"/>
                <w:szCs w:val="26"/>
              </w:rPr>
            </w:pPr>
          </w:p>
          <w:p w:rsidR="00117C7E" w:rsidRDefault="00EE4748" w:rsidP="007A4A08">
            <w:pPr>
              <w:ind w:left="142" w:right="127"/>
              <w:jc w:val="both"/>
              <w:rPr>
                <w:sz w:val="26"/>
                <w:szCs w:val="26"/>
              </w:rPr>
            </w:pPr>
            <w:r w:rsidRPr="00331B78">
              <w:rPr>
                <w:sz w:val="26"/>
                <w:szCs w:val="26"/>
              </w:rPr>
              <w:t>Saskaņā ar Sporta likuma 13.panta piekto daļu valsts finansiāli nodrošina valsts izlases komandu sporta spēlēs sagatavošanos un piedalīšanos Eiropas</w:t>
            </w:r>
            <w:r w:rsidR="00451ABA">
              <w:rPr>
                <w:sz w:val="26"/>
                <w:szCs w:val="26"/>
              </w:rPr>
              <w:t xml:space="preserve"> un pasaules čempionātu un </w:t>
            </w:r>
            <w:r w:rsidRPr="00331B78">
              <w:rPr>
                <w:sz w:val="26"/>
                <w:szCs w:val="26"/>
              </w:rPr>
              <w:t xml:space="preserve">Olimpisko spēļu atlases turnīros un finālsacensībās Ministru kabineta noteiktajā kārtībā. Minētā kārtība ir noteikta Ministru kabineta 2009.gada 28.jūlija noteikumos Nr.819 „Kārtība, kādā valsts finansiāli nodrošina valsts izlases komandu sporta spēlēs </w:t>
            </w:r>
            <w:r w:rsidRPr="00331B78">
              <w:rPr>
                <w:sz w:val="26"/>
                <w:szCs w:val="26"/>
              </w:rPr>
              <w:lastRenderedPageBreak/>
              <w:t xml:space="preserve">sagatavošanos un piedalīšanos Eiropas un pasaules čempionātu un olimpisko spēļu atlases turnīros un finālsacensībās”. </w:t>
            </w:r>
            <w:r w:rsidRPr="00C13B05">
              <w:rPr>
                <w:sz w:val="26"/>
                <w:szCs w:val="26"/>
              </w:rPr>
              <w:t xml:space="preserve">Finansējuma avots, lai nodrošinātu valsts izlases komandu sporta spēlēs gatavošanos un piedalīšanos </w:t>
            </w:r>
            <w:r w:rsidR="003445A2">
              <w:t xml:space="preserve"> </w:t>
            </w:r>
            <w:r w:rsidR="003445A2" w:rsidRPr="003445A2">
              <w:rPr>
                <w:sz w:val="26"/>
                <w:szCs w:val="26"/>
              </w:rPr>
              <w:t>Eiropas un pasaules čempionātu un olimpisko spēļu atlases turnīros un finālsacensībās</w:t>
            </w:r>
            <w:r w:rsidRPr="00C13B05">
              <w:rPr>
                <w:sz w:val="26"/>
                <w:szCs w:val="26"/>
              </w:rPr>
              <w:t xml:space="preserve">, ir ministrijas valsts budžeta programmas 09.00.00 „Sports” apakšprogramma 09.21.00 „Augstas klases sasniegumu sports”, no kuras šim mērķim ar ministrijas 2012.gada 31.janvāra rīkojumu Nr.32 „Par komandu sporta spēļu sporta federācijām pieejamā finansējuma apmēru 2012.gadā” tika </w:t>
            </w:r>
            <w:r>
              <w:rPr>
                <w:sz w:val="26"/>
                <w:szCs w:val="26"/>
              </w:rPr>
              <w:t xml:space="preserve">paredzēti </w:t>
            </w:r>
            <w:r w:rsidRPr="00C13B05">
              <w:rPr>
                <w:sz w:val="26"/>
                <w:szCs w:val="26"/>
              </w:rPr>
              <w:t>līdzekļi 500</w:t>
            </w:r>
            <w:r>
              <w:rPr>
                <w:sz w:val="26"/>
                <w:szCs w:val="26"/>
              </w:rPr>
              <w:t>`</w:t>
            </w:r>
            <w:r w:rsidRPr="00C13B05">
              <w:rPr>
                <w:sz w:val="26"/>
                <w:szCs w:val="26"/>
              </w:rPr>
              <w:t>000 latu apmērā</w:t>
            </w:r>
            <w:r w:rsidRPr="00D35AF6">
              <w:rPr>
                <w:sz w:val="26"/>
                <w:szCs w:val="26"/>
              </w:rPr>
              <w:t>.</w:t>
            </w:r>
            <w:r w:rsidR="00117C7E">
              <w:rPr>
                <w:sz w:val="26"/>
                <w:szCs w:val="26"/>
              </w:rPr>
              <w:t xml:space="preserve"> </w:t>
            </w:r>
            <w:r w:rsidR="00480A79" w:rsidRPr="00480A79">
              <w:rPr>
                <w:sz w:val="26"/>
                <w:szCs w:val="26"/>
              </w:rPr>
              <w:t xml:space="preserve">Ar ministrijas 2012.gada 9.marta lēmumu Nr.116 </w:t>
            </w:r>
            <w:r w:rsidR="00480A79">
              <w:rPr>
                <w:sz w:val="26"/>
                <w:szCs w:val="26"/>
              </w:rPr>
              <w:t>LFS</w:t>
            </w:r>
            <w:r w:rsidR="00480A79" w:rsidRPr="00480A79">
              <w:rPr>
                <w:sz w:val="26"/>
                <w:szCs w:val="26"/>
              </w:rPr>
              <w:t xml:space="preserve"> no ministrijas 2012.gada valsts budžeta programmas 09.00.00 „Sports” apakšprogrammas 09.21.00 „Augstas klases sasniegumu sports” visu florbola izlašu (jauniešu, junioru un pieaugušo) darbības nodrošināšanai</w:t>
            </w:r>
            <w:r w:rsidR="00535B15">
              <w:rPr>
                <w:sz w:val="26"/>
                <w:szCs w:val="26"/>
              </w:rPr>
              <w:t xml:space="preserve"> tika</w:t>
            </w:r>
            <w:r w:rsidR="00480A79" w:rsidRPr="00480A79">
              <w:rPr>
                <w:sz w:val="26"/>
                <w:szCs w:val="26"/>
              </w:rPr>
              <w:t xml:space="preserve"> piešķirts finansējums 11`428 latu apmērā</w:t>
            </w:r>
            <w:r w:rsidR="00480A79">
              <w:rPr>
                <w:sz w:val="26"/>
                <w:szCs w:val="26"/>
              </w:rPr>
              <w:t>. Vienlaikus ir norādāms, ka LFS finanšu piepras</w:t>
            </w:r>
            <w:r w:rsidR="00535B15">
              <w:rPr>
                <w:sz w:val="26"/>
                <w:szCs w:val="26"/>
              </w:rPr>
              <w:t>ījums 2012.gadam</w:t>
            </w:r>
            <w:r w:rsidR="00480A79">
              <w:rPr>
                <w:sz w:val="26"/>
                <w:szCs w:val="26"/>
              </w:rPr>
              <w:t xml:space="preserve"> </w:t>
            </w:r>
            <w:r w:rsidR="00535B15">
              <w:rPr>
                <w:sz w:val="26"/>
                <w:szCs w:val="26"/>
              </w:rPr>
              <w:t xml:space="preserve">visu florbola izlašu </w:t>
            </w:r>
            <w:r w:rsidR="00480A79" w:rsidRPr="00480A79">
              <w:rPr>
                <w:sz w:val="26"/>
                <w:szCs w:val="26"/>
              </w:rPr>
              <w:t>(jauniešu, junioru un pieaugušo) darbības nodrošināšanai</w:t>
            </w:r>
            <w:r w:rsidR="00480A79">
              <w:rPr>
                <w:sz w:val="26"/>
                <w:szCs w:val="26"/>
              </w:rPr>
              <w:t xml:space="preserve"> </w:t>
            </w:r>
            <w:r w:rsidR="00117C7E">
              <w:rPr>
                <w:sz w:val="26"/>
                <w:szCs w:val="26"/>
              </w:rPr>
              <w:t>bija</w:t>
            </w:r>
            <w:r w:rsidR="00480A79">
              <w:rPr>
                <w:sz w:val="26"/>
                <w:szCs w:val="26"/>
              </w:rPr>
              <w:t xml:space="preserve"> 240</w:t>
            </w:r>
            <w:r w:rsidR="00535B15">
              <w:rPr>
                <w:sz w:val="26"/>
                <w:szCs w:val="26"/>
              </w:rPr>
              <w:t>`480 latus</w:t>
            </w:r>
            <w:r w:rsidR="00480A79">
              <w:rPr>
                <w:sz w:val="26"/>
                <w:szCs w:val="26"/>
              </w:rPr>
              <w:t>.</w:t>
            </w:r>
          </w:p>
          <w:p w:rsidR="00117C7E" w:rsidRDefault="00117C7E" w:rsidP="007A4A08">
            <w:pPr>
              <w:ind w:left="142" w:right="127"/>
              <w:jc w:val="both"/>
              <w:rPr>
                <w:sz w:val="26"/>
                <w:szCs w:val="26"/>
              </w:rPr>
            </w:pPr>
          </w:p>
          <w:p w:rsidR="00480A79" w:rsidRDefault="00117C7E" w:rsidP="007A4A08">
            <w:pPr>
              <w:ind w:left="142" w:right="127"/>
              <w:jc w:val="both"/>
              <w:rPr>
                <w:sz w:val="26"/>
                <w:szCs w:val="26"/>
              </w:rPr>
            </w:pPr>
            <w:r>
              <w:rPr>
                <w:sz w:val="26"/>
                <w:szCs w:val="26"/>
              </w:rPr>
              <w:t>A</w:t>
            </w:r>
            <w:r w:rsidR="007A4A08" w:rsidRPr="00480A79">
              <w:rPr>
                <w:sz w:val="26"/>
                <w:szCs w:val="26"/>
              </w:rPr>
              <w:t>r 2012.gada 13.septembrī Saeimā pieņemto likumu „Grozījumi likumā „Par valsts budžetu 2012.gadam””</w:t>
            </w:r>
            <w:r w:rsidR="00C85CD7">
              <w:rPr>
                <w:sz w:val="26"/>
                <w:szCs w:val="26"/>
              </w:rPr>
              <w:t xml:space="preserve"> LFS ir piešķirts finansējums 14`000 latu apmērā,</w:t>
            </w:r>
            <w:r w:rsidR="007A4A08">
              <w:rPr>
                <w:sz w:val="26"/>
                <w:szCs w:val="26"/>
              </w:rPr>
              <w:t xml:space="preserve"> </w:t>
            </w:r>
            <w:r w:rsidR="00C85CD7">
              <w:t xml:space="preserve"> </w:t>
            </w:r>
            <w:r w:rsidR="007A4A08" w:rsidRPr="00480A79">
              <w:rPr>
                <w:sz w:val="26"/>
                <w:szCs w:val="26"/>
              </w:rPr>
              <w:t xml:space="preserve">lai nodrošinātu Latvijas </w:t>
            </w:r>
            <w:r w:rsidR="00C85CD7">
              <w:rPr>
                <w:sz w:val="26"/>
                <w:szCs w:val="26"/>
              </w:rPr>
              <w:t xml:space="preserve">nacionālās </w:t>
            </w:r>
            <w:r w:rsidR="007A4A08" w:rsidRPr="00480A79">
              <w:rPr>
                <w:sz w:val="26"/>
                <w:szCs w:val="26"/>
              </w:rPr>
              <w:t>vīriešu florbola izlases gatavošanos un dalību 2012.gada pasau</w:t>
            </w:r>
            <w:r w:rsidR="00C85CD7">
              <w:rPr>
                <w:sz w:val="26"/>
                <w:szCs w:val="26"/>
              </w:rPr>
              <w:t>les čempionātā florbolā Šveicē (</w:t>
            </w:r>
            <w:r w:rsidR="007A4A08" w:rsidRPr="00480A79">
              <w:rPr>
                <w:sz w:val="26"/>
                <w:szCs w:val="26"/>
              </w:rPr>
              <w:t>saskaņā ar Ministru kabineta 2012.gada 10.jūlija sēdes protokola Nr. 39 51.§ 17.1.apakšpunktu</w:t>
            </w:r>
            <w:r>
              <w:rPr>
                <w:sz w:val="26"/>
                <w:szCs w:val="26"/>
              </w:rPr>
              <w:t xml:space="preserve">), tomēr kopējā LFS izdevumu tāme gatavošanās un dalības nodrošināšanai </w:t>
            </w:r>
            <w:r w:rsidR="007F55D7">
              <w:rPr>
                <w:sz w:val="26"/>
                <w:szCs w:val="26"/>
              </w:rPr>
              <w:t xml:space="preserve">Čempionātā ir </w:t>
            </w:r>
            <w:r w:rsidR="00213C24">
              <w:rPr>
                <w:sz w:val="26"/>
                <w:szCs w:val="26"/>
              </w:rPr>
              <w:t>46`181 lats, tādejādi šobrīd deficīts ir 32`181 lats.</w:t>
            </w:r>
          </w:p>
          <w:p w:rsidR="00E0777F" w:rsidRDefault="00E0777F" w:rsidP="00C85CD7">
            <w:pPr>
              <w:ind w:right="141"/>
              <w:jc w:val="both"/>
              <w:rPr>
                <w:sz w:val="26"/>
                <w:szCs w:val="26"/>
              </w:rPr>
            </w:pPr>
          </w:p>
          <w:p w:rsidR="00135577" w:rsidRDefault="002D77A9" w:rsidP="00135577">
            <w:pPr>
              <w:ind w:left="142" w:right="141" w:firstLine="25"/>
              <w:jc w:val="both"/>
              <w:rPr>
                <w:sz w:val="26"/>
                <w:szCs w:val="26"/>
              </w:rPr>
            </w:pPr>
            <w:r>
              <w:rPr>
                <w:sz w:val="26"/>
                <w:szCs w:val="26"/>
              </w:rPr>
              <w:t>M</w:t>
            </w:r>
            <w:r w:rsidR="00135577" w:rsidRPr="00C13B05">
              <w:rPr>
                <w:sz w:val="26"/>
                <w:szCs w:val="26"/>
              </w:rPr>
              <w:t xml:space="preserve">inistrijas rīcībā nav nepieciešamie līdzekļi, jo visi finanšu līdzekļi 2012.gadam valsts budžeta programmā 09.00.00 „Sports”, t.sk. apakšprogrammā 09.09.00 „Sporta federācijas un sporta pasākumi” un 09.21.00 „Augstas klases sasniegumu sports”, ir sadalīti un attiecīgi noslēgti līgumi par valsts budžeta finanšu līdzekļu (dotācijas) piešķiršanu. Noslēgtie līgumi neparedz finansējuma piešķīrēja – Izglītības un zinātnes ministrijas – tiesības samazināt piešķirto finanšu līdzekļu apmēru līdzekļu pārdales gadījumā citām sporta federācijām (līgums paredz ministrijas tiesības samazināt līguma summu tikai tad, ja tiek izdarīti grozījumi likumā „Par valsts budžetu 2012.gadam”, vai sporta federācija neievēro pielīgtās saistības). Papildus finansējuma pārdale no citām </w:t>
            </w:r>
            <w:r w:rsidR="00135577" w:rsidRPr="00C13B05">
              <w:rPr>
                <w:sz w:val="26"/>
                <w:szCs w:val="26"/>
              </w:rPr>
              <w:lastRenderedPageBreak/>
              <w:t>ministrijas pamatbudžeta apakšprogrammām nav iespējama, jo tādejādi finansējuma nepietiekamība izveidotos citu ministrijas nodrošināto valsts pamatfunkciju īstenošanai.</w:t>
            </w:r>
          </w:p>
          <w:p w:rsidR="00135577" w:rsidRDefault="00135577" w:rsidP="000732D1">
            <w:pPr>
              <w:ind w:left="142" w:right="141" w:firstLine="25"/>
              <w:jc w:val="both"/>
              <w:rPr>
                <w:sz w:val="26"/>
                <w:szCs w:val="26"/>
              </w:rPr>
            </w:pPr>
          </w:p>
          <w:p w:rsidR="00734D65" w:rsidRDefault="001F373F" w:rsidP="00C85CD7">
            <w:pPr>
              <w:ind w:left="142" w:right="141" w:firstLine="25"/>
              <w:jc w:val="both"/>
              <w:rPr>
                <w:sz w:val="26"/>
                <w:szCs w:val="26"/>
              </w:rPr>
            </w:pPr>
            <w:r>
              <w:rPr>
                <w:sz w:val="26"/>
                <w:szCs w:val="26"/>
              </w:rPr>
              <w:t xml:space="preserve">Izvērtējot </w:t>
            </w:r>
            <w:r w:rsidR="00B429CA">
              <w:rPr>
                <w:sz w:val="26"/>
                <w:szCs w:val="26"/>
              </w:rPr>
              <w:t>L</w:t>
            </w:r>
            <w:r w:rsidR="008B55F4">
              <w:rPr>
                <w:sz w:val="26"/>
                <w:szCs w:val="26"/>
              </w:rPr>
              <w:t>FS</w:t>
            </w:r>
            <w:r w:rsidR="00B429CA">
              <w:rPr>
                <w:sz w:val="26"/>
                <w:szCs w:val="26"/>
              </w:rPr>
              <w:t xml:space="preserve"> </w:t>
            </w:r>
            <w:r w:rsidR="004A1F56">
              <w:rPr>
                <w:sz w:val="26"/>
                <w:szCs w:val="26"/>
              </w:rPr>
              <w:t>finanšu pieprasījumu</w:t>
            </w:r>
            <w:r w:rsidR="00BA7940">
              <w:rPr>
                <w:sz w:val="26"/>
                <w:szCs w:val="26"/>
              </w:rPr>
              <w:t xml:space="preserve"> un iespējamo</w:t>
            </w:r>
            <w:r w:rsidR="00CD39F8">
              <w:rPr>
                <w:sz w:val="26"/>
                <w:szCs w:val="26"/>
              </w:rPr>
              <w:t>s</w:t>
            </w:r>
            <w:r w:rsidR="00BA7940">
              <w:rPr>
                <w:sz w:val="26"/>
                <w:szCs w:val="26"/>
              </w:rPr>
              <w:t xml:space="preserve"> riskus līdzekļu nepiešķiršanas gadījumā</w:t>
            </w:r>
            <w:r w:rsidR="004A1F56">
              <w:rPr>
                <w:sz w:val="26"/>
                <w:szCs w:val="26"/>
              </w:rPr>
              <w:t xml:space="preserve"> (t.sk. starptautiskās sporta federācijas sankciju piemērošanu</w:t>
            </w:r>
            <w:r w:rsidR="00054553">
              <w:rPr>
                <w:sz w:val="26"/>
                <w:szCs w:val="26"/>
              </w:rPr>
              <w:t xml:space="preserve"> iespējamīb</w:t>
            </w:r>
            <w:r w:rsidR="004076BF">
              <w:rPr>
                <w:sz w:val="26"/>
                <w:szCs w:val="26"/>
              </w:rPr>
              <w:t>u</w:t>
            </w:r>
            <w:r w:rsidR="004A1F56">
              <w:rPr>
                <w:sz w:val="26"/>
                <w:szCs w:val="26"/>
              </w:rPr>
              <w:t xml:space="preserve"> pret nacionālo (Latvijas) sporta federāciju</w:t>
            </w:r>
            <w:r w:rsidR="00054553">
              <w:rPr>
                <w:sz w:val="26"/>
                <w:szCs w:val="26"/>
              </w:rPr>
              <w:t xml:space="preserve"> – izlašu diskvalifikācija no visiem starptautiskiem turnīriem uz vairākiem gadiem, lieli naudas sodi u.tml., kas var negatīvi ietekmēt gan attiecīgā sporta veida attīstību Latvijā, gan </w:t>
            </w:r>
            <w:r w:rsidR="00054553" w:rsidRPr="00054553">
              <w:rPr>
                <w:sz w:val="26"/>
                <w:szCs w:val="26"/>
              </w:rPr>
              <w:t>arī Latvijas tēlu Eiropas un pasaules sporta sacensību apritē</w:t>
            </w:r>
            <w:r w:rsidR="00054553">
              <w:rPr>
                <w:sz w:val="26"/>
                <w:szCs w:val="26"/>
              </w:rPr>
              <w:t>)</w:t>
            </w:r>
            <w:r w:rsidR="00BD6CDF">
              <w:rPr>
                <w:sz w:val="26"/>
                <w:szCs w:val="26"/>
              </w:rPr>
              <w:t xml:space="preserve">, </w:t>
            </w:r>
            <w:r w:rsidR="00853B4B">
              <w:rPr>
                <w:sz w:val="26"/>
                <w:szCs w:val="26"/>
              </w:rPr>
              <w:t>ministrija atz</w:t>
            </w:r>
            <w:r w:rsidR="002239AB">
              <w:rPr>
                <w:sz w:val="26"/>
                <w:szCs w:val="26"/>
              </w:rPr>
              <w:t xml:space="preserve">īst nepieciešamību </w:t>
            </w:r>
            <w:r w:rsidR="004A6E2E">
              <w:rPr>
                <w:sz w:val="26"/>
                <w:szCs w:val="26"/>
              </w:rPr>
              <w:t>steidzami meklēt iespējamos risin</w:t>
            </w:r>
            <w:r w:rsidR="00EE4FC1">
              <w:rPr>
                <w:sz w:val="26"/>
                <w:szCs w:val="26"/>
              </w:rPr>
              <w:t xml:space="preserve">ājuma variantus, </w:t>
            </w:r>
            <w:r w:rsidR="00EE4FC1" w:rsidRPr="00D35AF6">
              <w:rPr>
                <w:sz w:val="26"/>
                <w:szCs w:val="26"/>
              </w:rPr>
              <w:t xml:space="preserve">lai </w:t>
            </w:r>
            <w:r w:rsidR="00213C24">
              <w:rPr>
                <w:sz w:val="26"/>
                <w:szCs w:val="26"/>
              </w:rPr>
              <w:t>vismaz daļēji varētu segt</w:t>
            </w:r>
            <w:r w:rsidR="00B5360F">
              <w:rPr>
                <w:sz w:val="26"/>
                <w:szCs w:val="26"/>
              </w:rPr>
              <w:t xml:space="preserve"> </w:t>
            </w:r>
            <w:r w:rsidR="004A1F56">
              <w:rPr>
                <w:sz w:val="26"/>
                <w:szCs w:val="26"/>
              </w:rPr>
              <w:t>LFS</w:t>
            </w:r>
            <w:r w:rsidR="00BF5486">
              <w:rPr>
                <w:sz w:val="26"/>
                <w:szCs w:val="26"/>
              </w:rPr>
              <w:t xml:space="preserve"> izdevumus saistībā ar </w:t>
            </w:r>
            <w:r w:rsidR="004A1F56">
              <w:rPr>
                <w:sz w:val="26"/>
                <w:szCs w:val="26"/>
              </w:rPr>
              <w:t>Latvijas nacionālās vīriešu florbola izlases</w:t>
            </w:r>
            <w:r w:rsidR="00006D42">
              <w:rPr>
                <w:sz w:val="26"/>
                <w:szCs w:val="26"/>
              </w:rPr>
              <w:t xml:space="preserve"> sagatavošanos un dalību </w:t>
            </w:r>
            <w:r w:rsidR="00213C24">
              <w:rPr>
                <w:sz w:val="26"/>
                <w:szCs w:val="26"/>
              </w:rPr>
              <w:t>Čempionātā</w:t>
            </w:r>
            <w:r w:rsidR="00967D62">
              <w:rPr>
                <w:sz w:val="26"/>
                <w:szCs w:val="26"/>
              </w:rPr>
              <w:t>.</w:t>
            </w:r>
            <w:r w:rsidR="00734D65">
              <w:rPr>
                <w:sz w:val="26"/>
                <w:szCs w:val="26"/>
              </w:rPr>
              <w:t xml:space="preserve"> </w:t>
            </w:r>
          </w:p>
          <w:p w:rsidR="00734D65" w:rsidRDefault="00734D65" w:rsidP="00C85CD7">
            <w:pPr>
              <w:ind w:left="142" w:right="141" w:firstLine="25"/>
              <w:jc w:val="both"/>
              <w:rPr>
                <w:sz w:val="26"/>
                <w:szCs w:val="26"/>
              </w:rPr>
            </w:pPr>
          </w:p>
          <w:p w:rsidR="00213C24" w:rsidRDefault="00734D65" w:rsidP="00C85CD7">
            <w:pPr>
              <w:ind w:left="142" w:right="141" w:firstLine="25"/>
              <w:jc w:val="both"/>
              <w:rPr>
                <w:sz w:val="26"/>
                <w:szCs w:val="26"/>
              </w:rPr>
            </w:pPr>
            <w:r>
              <w:rPr>
                <w:sz w:val="26"/>
                <w:szCs w:val="26"/>
              </w:rPr>
              <w:t xml:space="preserve">Minētais jautājums tika izskatīts </w:t>
            </w:r>
            <w:r w:rsidRPr="004E12FF">
              <w:rPr>
                <w:sz w:val="26"/>
                <w:szCs w:val="26"/>
              </w:rPr>
              <w:t xml:space="preserve"> Latvijas Nacionālās sporta padomes 2012.gada 11.oktobra  (prot. Nr. 4 11.3.apakšpunkts)</w:t>
            </w:r>
            <w:r>
              <w:rPr>
                <w:sz w:val="26"/>
                <w:szCs w:val="26"/>
              </w:rPr>
              <w:t xml:space="preserve"> sēdē, uzklausot arī LFS prezidenta I.Pētersona viedokli, kā rezultātā tika nolemts </w:t>
            </w:r>
            <w:r w:rsidRPr="004E12FF">
              <w:rPr>
                <w:sz w:val="26"/>
                <w:szCs w:val="26"/>
              </w:rPr>
              <w:t>(prot. Nr. 4 11.3.apakšpunkts)</w:t>
            </w:r>
            <w:r>
              <w:rPr>
                <w:sz w:val="26"/>
                <w:szCs w:val="26"/>
              </w:rPr>
              <w:t xml:space="preserve"> </w:t>
            </w:r>
            <w:r>
              <w:t xml:space="preserve"> a</w:t>
            </w:r>
            <w:r w:rsidRPr="00734D65">
              <w:rPr>
                <w:sz w:val="26"/>
                <w:szCs w:val="26"/>
              </w:rPr>
              <w:t xml:space="preserve">icināt Ministru kabinetu no Finanšu ministrijas 2012.gada valsts budžeta programmas 02.00.00 „Līdzekļi neparedzētiem gadījumiem” piešķirt </w:t>
            </w:r>
            <w:r>
              <w:rPr>
                <w:sz w:val="26"/>
                <w:szCs w:val="26"/>
              </w:rPr>
              <w:t>LFS</w:t>
            </w:r>
            <w:r w:rsidRPr="00734D65">
              <w:rPr>
                <w:sz w:val="26"/>
                <w:szCs w:val="26"/>
              </w:rPr>
              <w:t xml:space="preserve"> 9`000 latus, lai nodrošinātu Latvijas vīriešu florbola izlases dalību 2012.gada pasaules čempionātā florbolā Šveicē, kas kopā ar jau piešķirtajiem valsts budžeta līdzekļiem nodrošinātu valsts finansiālo atbalstu 50% apmērā </w:t>
            </w:r>
            <w:r w:rsidR="003905CA">
              <w:rPr>
                <w:sz w:val="26"/>
                <w:szCs w:val="26"/>
              </w:rPr>
              <w:t xml:space="preserve">LFS </w:t>
            </w:r>
            <w:r w:rsidRPr="00734D65">
              <w:rPr>
                <w:sz w:val="26"/>
                <w:szCs w:val="26"/>
              </w:rPr>
              <w:t>sagatavotajā izdevumu tāmē iekļauto izdevumu pozīciju kopsummas.</w:t>
            </w:r>
          </w:p>
          <w:p w:rsidR="00F0730F" w:rsidRDefault="00F0730F" w:rsidP="00134CEC">
            <w:pPr>
              <w:ind w:left="142" w:right="141" w:firstLine="25"/>
              <w:jc w:val="both"/>
              <w:rPr>
                <w:sz w:val="26"/>
                <w:szCs w:val="26"/>
              </w:rPr>
            </w:pPr>
          </w:p>
          <w:p w:rsidR="00CA41C9" w:rsidRPr="003905CA" w:rsidRDefault="00CA41C9" w:rsidP="00CA41C9">
            <w:pPr>
              <w:ind w:left="142" w:right="127"/>
              <w:jc w:val="both"/>
              <w:rPr>
                <w:sz w:val="26"/>
                <w:szCs w:val="26"/>
              </w:rPr>
            </w:pPr>
            <w:r w:rsidRPr="00C13B05">
              <w:rPr>
                <w:sz w:val="26"/>
                <w:szCs w:val="26"/>
              </w:rPr>
              <w:t>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apropriācijās neparedzētiem izdevumiem katastrofu un dabas stihiju seku novēršanai, to radīto zaudējumu kompensēšanai</w:t>
            </w:r>
            <w:r w:rsidRPr="003905CA">
              <w:rPr>
                <w:sz w:val="26"/>
                <w:szCs w:val="26"/>
              </w:rPr>
              <w:t xml:space="preserve">, citiem neparedzētiem gadījumiem un </w:t>
            </w:r>
            <w:r w:rsidRPr="003905CA">
              <w:rPr>
                <w:sz w:val="26"/>
                <w:szCs w:val="26"/>
                <w:u w:val="single"/>
              </w:rPr>
              <w:t>valstiski īpaši nozīmīgiem pasākumiem</w:t>
            </w:r>
            <w:r w:rsidRPr="003905CA">
              <w:rPr>
                <w:sz w:val="26"/>
                <w:szCs w:val="26"/>
              </w:rPr>
              <w:t xml:space="preserve">. </w:t>
            </w:r>
            <w:r w:rsidR="004A1F56" w:rsidRPr="003905CA">
              <w:rPr>
                <w:sz w:val="26"/>
                <w:szCs w:val="26"/>
              </w:rPr>
              <w:t>LFS pieprasījums</w:t>
            </w:r>
            <w:r w:rsidRPr="003905CA">
              <w:rPr>
                <w:sz w:val="26"/>
                <w:szCs w:val="26"/>
              </w:rPr>
              <w:t xml:space="preserve"> ir attiecināmi uz šīm pazīmēm</w:t>
            </w:r>
            <w:r w:rsidR="003905CA">
              <w:rPr>
                <w:sz w:val="26"/>
                <w:szCs w:val="26"/>
              </w:rPr>
              <w:t xml:space="preserve">. </w:t>
            </w:r>
          </w:p>
          <w:p w:rsidR="00D142B6" w:rsidRDefault="00D142B6" w:rsidP="004A1F56">
            <w:pPr>
              <w:ind w:right="141"/>
              <w:jc w:val="both"/>
              <w:rPr>
                <w:sz w:val="26"/>
                <w:szCs w:val="26"/>
              </w:rPr>
            </w:pPr>
          </w:p>
          <w:p w:rsidR="004E12FF" w:rsidRPr="00C13B05" w:rsidRDefault="001E6E40" w:rsidP="003905CA">
            <w:pPr>
              <w:ind w:left="142" w:right="127"/>
              <w:jc w:val="both"/>
              <w:rPr>
                <w:sz w:val="26"/>
                <w:szCs w:val="26"/>
              </w:rPr>
            </w:pPr>
            <w:r w:rsidRPr="00C13B05">
              <w:rPr>
                <w:sz w:val="26"/>
                <w:szCs w:val="26"/>
              </w:rPr>
              <w:t xml:space="preserve">Ņemot vērā </w:t>
            </w:r>
            <w:r w:rsidR="00795000" w:rsidRPr="00C13B05">
              <w:rPr>
                <w:sz w:val="26"/>
                <w:szCs w:val="26"/>
              </w:rPr>
              <w:t xml:space="preserve">iepriekš minēto, </w:t>
            </w:r>
            <w:r w:rsidR="003014C2" w:rsidRPr="00C13B05">
              <w:rPr>
                <w:sz w:val="26"/>
                <w:szCs w:val="26"/>
              </w:rPr>
              <w:t xml:space="preserve">ministrija </w:t>
            </w:r>
            <w:r w:rsidR="008E4101">
              <w:rPr>
                <w:sz w:val="26"/>
                <w:szCs w:val="26"/>
              </w:rPr>
              <w:t xml:space="preserve">ir sagatavojusi </w:t>
            </w:r>
            <w:r w:rsidRPr="00C13B05">
              <w:rPr>
                <w:sz w:val="26"/>
                <w:szCs w:val="26"/>
              </w:rPr>
              <w:t>Ministru kabineta rīkojuma projekt</w:t>
            </w:r>
            <w:r w:rsidR="003014C2" w:rsidRPr="00C13B05">
              <w:rPr>
                <w:sz w:val="26"/>
                <w:szCs w:val="26"/>
              </w:rPr>
              <w:t>u</w:t>
            </w:r>
            <w:r w:rsidR="00FF19DC" w:rsidRPr="00C13B05">
              <w:rPr>
                <w:sz w:val="26"/>
                <w:szCs w:val="26"/>
              </w:rPr>
              <w:t xml:space="preserve"> „Par finanšu līdzekļu piešķiršanu no valsts budžeta programmas „Līdzekļi neparedzētiem gadījumiem”” (turpmāk – Rīkojuma projekts)</w:t>
            </w:r>
            <w:r w:rsidR="002E40BB" w:rsidRPr="00C13B05">
              <w:rPr>
                <w:sz w:val="26"/>
                <w:szCs w:val="26"/>
              </w:rPr>
              <w:t>.</w:t>
            </w:r>
          </w:p>
        </w:tc>
      </w:tr>
      <w:tr w:rsidR="00585B7B" w:rsidRPr="00C13B05" w:rsidTr="002637C0">
        <w:trPr>
          <w:trHeight w:val="1071"/>
        </w:trPr>
        <w:tc>
          <w:tcPr>
            <w:tcW w:w="998" w:type="dxa"/>
          </w:tcPr>
          <w:p w:rsidR="00585B7B" w:rsidRPr="00C13B05" w:rsidRDefault="00585B7B" w:rsidP="00BD696A">
            <w:pPr>
              <w:pStyle w:val="naiskr"/>
              <w:spacing w:before="0" w:after="0"/>
              <w:jc w:val="center"/>
              <w:rPr>
                <w:sz w:val="26"/>
                <w:szCs w:val="26"/>
              </w:rPr>
            </w:pPr>
            <w:r w:rsidRPr="00C13B05">
              <w:rPr>
                <w:sz w:val="26"/>
                <w:szCs w:val="26"/>
              </w:rPr>
              <w:lastRenderedPageBreak/>
              <w:t>3.</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Saistītie politikas ietekmes novērtējumi un pētījumi</w:t>
            </w:r>
          </w:p>
        </w:tc>
        <w:tc>
          <w:tcPr>
            <w:tcW w:w="6506" w:type="dxa"/>
          </w:tcPr>
          <w:p w:rsidR="00585B7B" w:rsidRPr="00C13B05" w:rsidRDefault="00585B7B" w:rsidP="00131A15">
            <w:pPr>
              <w:pStyle w:val="FootnoteText"/>
              <w:ind w:firstLine="82"/>
              <w:rPr>
                <w:sz w:val="26"/>
                <w:szCs w:val="26"/>
              </w:rPr>
            </w:pPr>
            <w:r w:rsidRPr="00C13B05">
              <w:rPr>
                <w:sz w:val="26"/>
                <w:szCs w:val="26"/>
              </w:rPr>
              <w:t>Nav attiecināms</w:t>
            </w:r>
          </w:p>
        </w:tc>
      </w:tr>
      <w:tr w:rsidR="00585B7B" w:rsidRPr="00C13B05" w:rsidTr="005F3AA1">
        <w:trPr>
          <w:trHeight w:val="410"/>
        </w:trPr>
        <w:tc>
          <w:tcPr>
            <w:tcW w:w="998" w:type="dxa"/>
          </w:tcPr>
          <w:p w:rsidR="00585B7B" w:rsidRPr="00C13B05" w:rsidRDefault="00585B7B" w:rsidP="00BD696A">
            <w:pPr>
              <w:pStyle w:val="naiskr"/>
              <w:spacing w:before="0" w:after="0"/>
              <w:jc w:val="center"/>
              <w:rPr>
                <w:sz w:val="26"/>
                <w:szCs w:val="26"/>
              </w:rPr>
            </w:pPr>
            <w:r w:rsidRPr="00C13B05">
              <w:rPr>
                <w:sz w:val="26"/>
                <w:szCs w:val="26"/>
              </w:rPr>
              <w:t>4.</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Tiesiskā regulējuma mērķis un būtība</w:t>
            </w:r>
          </w:p>
        </w:tc>
        <w:tc>
          <w:tcPr>
            <w:tcW w:w="6506" w:type="dxa"/>
          </w:tcPr>
          <w:p w:rsidR="00255BAD" w:rsidRDefault="00B96B6E" w:rsidP="00073118">
            <w:pPr>
              <w:ind w:left="82" w:right="141"/>
              <w:jc w:val="both"/>
              <w:rPr>
                <w:rFonts w:eastAsia="Times New Roman"/>
                <w:color w:val="000000"/>
                <w:sz w:val="26"/>
                <w:szCs w:val="26"/>
              </w:rPr>
            </w:pPr>
            <w:r w:rsidRPr="00C13B05">
              <w:rPr>
                <w:rFonts w:eastAsia="Times New Roman"/>
                <w:color w:val="000000"/>
                <w:sz w:val="26"/>
                <w:szCs w:val="26"/>
              </w:rPr>
              <w:t xml:space="preserve">Rīkojuma projekts paredz uzdevumu </w:t>
            </w:r>
            <w:r w:rsidR="003905CA" w:rsidRPr="003905CA">
              <w:rPr>
                <w:rFonts w:eastAsia="Times New Roman"/>
                <w:color w:val="000000"/>
                <w:sz w:val="26"/>
                <w:szCs w:val="26"/>
              </w:rPr>
              <w:t xml:space="preserve">Finanšu ministrijai no valsts budžeta programmas 02.00.00 „Līdzekļi neparedzētiem gadījumiem” piešķirt ministrijai 9 000 latus pārskaitīšanai </w:t>
            </w:r>
            <w:r w:rsidR="003905CA">
              <w:rPr>
                <w:rFonts w:eastAsia="Times New Roman"/>
                <w:color w:val="000000"/>
                <w:sz w:val="26"/>
                <w:szCs w:val="26"/>
              </w:rPr>
              <w:t>LFS</w:t>
            </w:r>
            <w:r w:rsidR="003905CA" w:rsidRPr="003905CA">
              <w:rPr>
                <w:rFonts w:eastAsia="Times New Roman"/>
                <w:color w:val="000000"/>
                <w:sz w:val="26"/>
                <w:szCs w:val="26"/>
              </w:rPr>
              <w:t xml:space="preserve">, lai segtu izdevumus, kas saistīti ar Latvijas nacionālās vīriešu florbola izlases gatavošanos un dalību </w:t>
            </w:r>
            <w:r w:rsidR="003905CA">
              <w:rPr>
                <w:rFonts w:eastAsia="Times New Roman"/>
                <w:color w:val="000000"/>
                <w:sz w:val="26"/>
                <w:szCs w:val="26"/>
              </w:rPr>
              <w:t>Čempionātā</w:t>
            </w:r>
            <w:r w:rsidR="003905CA" w:rsidRPr="003905CA">
              <w:rPr>
                <w:rFonts w:eastAsia="Times New Roman"/>
                <w:color w:val="000000"/>
                <w:sz w:val="26"/>
                <w:szCs w:val="26"/>
              </w:rPr>
              <w:t>.</w:t>
            </w:r>
          </w:p>
          <w:p w:rsidR="009D5CF1" w:rsidRPr="00C13B05" w:rsidRDefault="00653952" w:rsidP="00255BAD">
            <w:pPr>
              <w:ind w:right="141"/>
              <w:jc w:val="both"/>
              <w:rPr>
                <w:rFonts w:eastAsia="Times New Roman"/>
                <w:color w:val="000000"/>
                <w:sz w:val="26"/>
                <w:szCs w:val="26"/>
              </w:rPr>
            </w:pPr>
            <w:r w:rsidRPr="00C13B05">
              <w:rPr>
                <w:rFonts w:eastAsia="Times New Roman"/>
                <w:color w:val="000000"/>
                <w:sz w:val="26"/>
                <w:szCs w:val="26"/>
              </w:rPr>
              <w:t xml:space="preserve"> </w:t>
            </w:r>
          </w:p>
          <w:p w:rsidR="00033013" w:rsidRPr="00C13B05" w:rsidRDefault="002E011D" w:rsidP="00131A15">
            <w:pPr>
              <w:ind w:left="82" w:right="141"/>
              <w:jc w:val="both"/>
              <w:rPr>
                <w:rFonts w:eastAsia="Times New Roman"/>
                <w:color w:val="000000"/>
                <w:sz w:val="26"/>
                <w:szCs w:val="26"/>
              </w:rPr>
            </w:pPr>
            <w:r w:rsidRPr="00C13B05">
              <w:rPr>
                <w:color w:val="000000"/>
                <w:sz w:val="26"/>
                <w:szCs w:val="26"/>
              </w:rPr>
              <w:t xml:space="preserve">Anotācijas I sadaļas 2.punktā </w:t>
            </w:r>
            <w:r w:rsidR="00033013" w:rsidRPr="00C13B05">
              <w:rPr>
                <w:color w:val="000000"/>
                <w:sz w:val="26"/>
                <w:szCs w:val="26"/>
              </w:rPr>
              <w:t>minētā problēma tiks atrisināta pilnībā.</w:t>
            </w:r>
          </w:p>
        </w:tc>
      </w:tr>
      <w:tr w:rsidR="00585B7B" w:rsidRPr="00C13B05" w:rsidTr="00CB5F57">
        <w:trPr>
          <w:trHeight w:val="476"/>
        </w:trPr>
        <w:tc>
          <w:tcPr>
            <w:tcW w:w="998" w:type="dxa"/>
          </w:tcPr>
          <w:p w:rsidR="00585B7B" w:rsidRPr="00C13B05" w:rsidRDefault="00585B7B" w:rsidP="00BD696A">
            <w:pPr>
              <w:pStyle w:val="naiskr"/>
              <w:spacing w:before="0" w:after="0"/>
              <w:jc w:val="center"/>
              <w:rPr>
                <w:sz w:val="26"/>
                <w:szCs w:val="26"/>
              </w:rPr>
            </w:pPr>
            <w:r w:rsidRPr="00C13B05">
              <w:rPr>
                <w:sz w:val="26"/>
                <w:szCs w:val="26"/>
              </w:rPr>
              <w:t>5.</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Projekta izstrādē iesaistītās institūcijas</w:t>
            </w:r>
          </w:p>
        </w:tc>
        <w:tc>
          <w:tcPr>
            <w:tcW w:w="6506" w:type="dxa"/>
          </w:tcPr>
          <w:p w:rsidR="00585B7B" w:rsidRPr="00C13B05" w:rsidRDefault="003905CA" w:rsidP="003905CA">
            <w:pPr>
              <w:ind w:left="82" w:right="141"/>
              <w:jc w:val="both"/>
              <w:rPr>
                <w:sz w:val="26"/>
                <w:szCs w:val="26"/>
              </w:rPr>
            </w:pPr>
            <w:r>
              <w:rPr>
                <w:sz w:val="26"/>
                <w:szCs w:val="26"/>
              </w:rPr>
              <w:t>M</w:t>
            </w:r>
            <w:r w:rsidR="00033013" w:rsidRPr="00C13B05">
              <w:rPr>
                <w:sz w:val="26"/>
                <w:szCs w:val="26"/>
              </w:rPr>
              <w:t>inistrija</w:t>
            </w:r>
            <w:r>
              <w:rPr>
                <w:sz w:val="26"/>
                <w:szCs w:val="26"/>
              </w:rPr>
              <w:t xml:space="preserve"> un LFS.</w:t>
            </w:r>
          </w:p>
        </w:tc>
      </w:tr>
      <w:tr w:rsidR="00585B7B" w:rsidRPr="00C13B05" w:rsidTr="002637C0">
        <w:trPr>
          <w:trHeight w:val="416"/>
        </w:trPr>
        <w:tc>
          <w:tcPr>
            <w:tcW w:w="998" w:type="dxa"/>
          </w:tcPr>
          <w:p w:rsidR="00585B7B" w:rsidRPr="00C13B05" w:rsidRDefault="00585B7B" w:rsidP="00BD696A">
            <w:pPr>
              <w:pStyle w:val="naiskr"/>
              <w:spacing w:before="0" w:after="0"/>
              <w:jc w:val="center"/>
              <w:rPr>
                <w:sz w:val="26"/>
                <w:szCs w:val="26"/>
              </w:rPr>
            </w:pPr>
            <w:r w:rsidRPr="00C13B05">
              <w:rPr>
                <w:sz w:val="26"/>
                <w:szCs w:val="26"/>
              </w:rPr>
              <w:t>6.</w:t>
            </w:r>
          </w:p>
        </w:tc>
        <w:tc>
          <w:tcPr>
            <w:tcW w:w="2693" w:type="dxa"/>
          </w:tcPr>
          <w:p w:rsidR="00585B7B" w:rsidRPr="00C13B05" w:rsidRDefault="00585B7B" w:rsidP="00916055">
            <w:pPr>
              <w:pStyle w:val="naiskr"/>
              <w:spacing w:before="0" w:after="0"/>
              <w:ind w:left="141"/>
              <w:rPr>
                <w:i/>
                <w:sz w:val="26"/>
                <w:szCs w:val="26"/>
                <w:highlight w:val="yellow"/>
              </w:rPr>
            </w:pPr>
            <w:r w:rsidRPr="00C13B05">
              <w:rPr>
                <w:sz w:val="26"/>
                <w:szCs w:val="26"/>
              </w:rPr>
              <w:t>Iemesli, kādēļ netika nodrošināta sabiedrības līdzdalība</w:t>
            </w:r>
          </w:p>
        </w:tc>
        <w:tc>
          <w:tcPr>
            <w:tcW w:w="6506" w:type="dxa"/>
          </w:tcPr>
          <w:p w:rsidR="00585B7B" w:rsidRPr="00C13B05" w:rsidRDefault="00F535A5" w:rsidP="00131A15">
            <w:pPr>
              <w:pStyle w:val="FootnoteText"/>
              <w:ind w:firstLine="82"/>
              <w:jc w:val="both"/>
              <w:rPr>
                <w:sz w:val="26"/>
                <w:szCs w:val="26"/>
              </w:rPr>
            </w:pPr>
            <w:r w:rsidRPr="00C13B05">
              <w:rPr>
                <w:sz w:val="26"/>
                <w:szCs w:val="26"/>
              </w:rPr>
              <w:t>Nav attiecināms</w:t>
            </w:r>
          </w:p>
        </w:tc>
      </w:tr>
      <w:tr w:rsidR="00585B7B" w:rsidRPr="00C13B05" w:rsidTr="002637C0">
        <w:tc>
          <w:tcPr>
            <w:tcW w:w="998" w:type="dxa"/>
          </w:tcPr>
          <w:p w:rsidR="00585B7B" w:rsidRPr="00C13B05" w:rsidRDefault="00585B7B" w:rsidP="00BD696A">
            <w:pPr>
              <w:pStyle w:val="naiskr"/>
              <w:spacing w:before="0" w:after="0"/>
              <w:jc w:val="center"/>
              <w:rPr>
                <w:sz w:val="26"/>
                <w:szCs w:val="26"/>
              </w:rPr>
            </w:pPr>
            <w:r w:rsidRPr="00C13B05">
              <w:rPr>
                <w:sz w:val="26"/>
                <w:szCs w:val="26"/>
              </w:rPr>
              <w:t>7.</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E5461A" w:rsidRPr="00C13B05" w:rsidRDefault="00E5461A" w:rsidP="00E5461A">
            <w:pPr>
              <w:ind w:left="142" w:right="127"/>
              <w:jc w:val="both"/>
              <w:rPr>
                <w:sz w:val="26"/>
                <w:szCs w:val="26"/>
              </w:rPr>
            </w:pPr>
            <w:r w:rsidRPr="00C13B05">
              <w:rPr>
                <w:sz w:val="26"/>
                <w:szCs w:val="26"/>
              </w:rPr>
              <w:t>Rīkojuma projekts tiešā veidā attiecas uz tūrisma, sporta un brīvā laika politiku.</w:t>
            </w:r>
          </w:p>
          <w:p w:rsidR="00585B7B" w:rsidRPr="00C13B05" w:rsidRDefault="00E5461A" w:rsidP="006B76EE">
            <w:pPr>
              <w:ind w:left="142" w:right="127"/>
              <w:jc w:val="both"/>
              <w:rPr>
                <w:sz w:val="26"/>
                <w:szCs w:val="26"/>
              </w:rPr>
            </w:pPr>
            <w:r w:rsidRPr="00C13B05">
              <w:rPr>
                <w:sz w:val="26"/>
                <w:szCs w:val="26"/>
              </w:rPr>
              <w:t>Pastarpināti Rīkojuma projekts attiecas uz budžeta un finanšu politiku</w:t>
            </w:r>
            <w:r w:rsidR="006B76EE" w:rsidRPr="00C13B05">
              <w:rPr>
                <w:sz w:val="26"/>
                <w:szCs w:val="26"/>
              </w:rPr>
              <w:t>, kā arī  publiskās pārvaldes politiku.</w:t>
            </w:r>
          </w:p>
        </w:tc>
      </w:tr>
    </w:tbl>
    <w:p w:rsidR="002F25B0" w:rsidRPr="00C13B05" w:rsidRDefault="005C3A56" w:rsidP="005C3A56">
      <w:pPr>
        <w:pStyle w:val="naisf"/>
        <w:tabs>
          <w:tab w:val="left" w:pos="3819"/>
        </w:tabs>
        <w:spacing w:before="0" w:after="0"/>
        <w:rPr>
          <w:sz w:val="26"/>
          <w:szCs w:val="26"/>
        </w:rPr>
      </w:pPr>
      <w:r w:rsidRPr="00C13B05">
        <w:rPr>
          <w:sz w:val="26"/>
          <w:szCs w:val="26"/>
        </w:rPr>
        <w:tab/>
      </w: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07"/>
      </w:tblGrid>
      <w:tr w:rsidR="00585B7B" w:rsidRPr="00C13B05" w:rsidTr="00ED6681">
        <w:tc>
          <w:tcPr>
            <w:tcW w:w="10207" w:type="dxa"/>
            <w:vAlign w:val="center"/>
          </w:tcPr>
          <w:p w:rsidR="00585B7B" w:rsidRPr="00C13B05" w:rsidRDefault="00585B7B" w:rsidP="00194A0F">
            <w:pPr>
              <w:pStyle w:val="naisnod"/>
              <w:spacing w:before="0" w:after="0"/>
              <w:rPr>
                <w:sz w:val="26"/>
                <w:szCs w:val="26"/>
              </w:rPr>
            </w:pPr>
            <w:r w:rsidRPr="00C13B05">
              <w:rPr>
                <w:sz w:val="26"/>
                <w:szCs w:val="26"/>
              </w:rPr>
              <w:t>II. Tiesību akta projekta ietekme uz sabiedrību</w:t>
            </w:r>
          </w:p>
        </w:tc>
      </w:tr>
      <w:tr w:rsidR="00585B7B" w:rsidRPr="00C13B05" w:rsidTr="00ED6681">
        <w:tc>
          <w:tcPr>
            <w:tcW w:w="10207" w:type="dxa"/>
            <w:vAlign w:val="center"/>
          </w:tcPr>
          <w:p w:rsidR="00585B7B" w:rsidRPr="00C13B05" w:rsidRDefault="00585B7B" w:rsidP="00194A0F">
            <w:pPr>
              <w:pStyle w:val="naisnod"/>
              <w:spacing w:before="0" w:after="0"/>
              <w:rPr>
                <w:sz w:val="26"/>
                <w:szCs w:val="26"/>
              </w:rPr>
            </w:pPr>
            <w:r w:rsidRPr="00C13B05">
              <w:rPr>
                <w:b w:val="0"/>
                <w:sz w:val="26"/>
                <w:szCs w:val="26"/>
              </w:rPr>
              <w:t>Nav attiecināms</w:t>
            </w:r>
          </w:p>
        </w:tc>
      </w:tr>
    </w:tbl>
    <w:p w:rsidR="00585B7B" w:rsidRPr="00C13B05" w:rsidRDefault="00585B7B" w:rsidP="00D96FCD">
      <w:pPr>
        <w:pStyle w:val="naisf"/>
        <w:spacing w:before="0" w:after="0"/>
        <w:rPr>
          <w:sz w:val="26"/>
          <w:szCs w:val="26"/>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C13B05" w:rsidTr="00916055">
        <w:trPr>
          <w:trHeight w:val="496"/>
          <w:jc w:val="center"/>
        </w:trPr>
        <w:tc>
          <w:tcPr>
            <w:tcW w:w="10077" w:type="dxa"/>
            <w:gridSpan w:val="6"/>
          </w:tcPr>
          <w:p w:rsidR="00DA30DA" w:rsidRPr="00C13B05" w:rsidRDefault="00DA30DA" w:rsidP="00916055">
            <w:pPr>
              <w:pStyle w:val="naisnod"/>
              <w:spacing w:before="0" w:after="0"/>
              <w:rPr>
                <w:i/>
                <w:sz w:val="26"/>
                <w:szCs w:val="26"/>
              </w:rPr>
            </w:pPr>
            <w:r w:rsidRPr="00C13B05">
              <w:rPr>
                <w:sz w:val="26"/>
                <w:szCs w:val="26"/>
              </w:rPr>
              <w:br w:type="page"/>
              <w:t>III. Tiesību akta projekta ietekme uz valsts budžetu un pašvaldību budžetiem</w:t>
            </w:r>
          </w:p>
        </w:tc>
      </w:tr>
      <w:tr w:rsidR="00DA30DA" w:rsidRPr="00C13B05" w:rsidTr="00DA30DA">
        <w:trPr>
          <w:jc w:val="center"/>
        </w:trPr>
        <w:tc>
          <w:tcPr>
            <w:tcW w:w="2853" w:type="dxa"/>
            <w:vMerge w:val="restart"/>
            <w:vAlign w:val="center"/>
          </w:tcPr>
          <w:p w:rsidR="00DA30DA" w:rsidRPr="00C13B05" w:rsidRDefault="00DA30DA" w:rsidP="00831A72">
            <w:pPr>
              <w:pStyle w:val="naisf"/>
              <w:spacing w:before="0" w:after="0"/>
              <w:ind w:firstLine="0"/>
              <w:jc w:val="center"/>
              <w:rPr>
                <w:b/>
                <w:sz w:val="26"/>
                <w:szCs w:val="26"/>
              </w:rPr>
            </w:pPr>
            <w:r w:rsidRPr="00C13B05">
              <w:rPr>
                <w:b/>
                <w:sz w:val="26"/>
                <w:szCs w:val="26"/>
              </w:rPr>
              <w:t>Rādītāji</w:t>
            </w:r>
          </w:p>
        </w:tc>
        <w:tc>
          <w:tcPr>
            <w:tcW w:w="2703" w:type="dxa"/>
            <w:gridSpan w:val="2"/>
            <w:vMerge w:val="restart"/>
            <w:vAlign w:val="center"/>
          </w:tcPr>
          <w:p w:rsidR="00DA30DA" w:rsidRPr="00C13B05" w:rsidRDefault="00DA30DA" w:rsidP="00942D3A">
            <w:pPr>
              <w:pStyle w:val="naisf"/>
              <w:spacing w:before="0" w:after="0"/>
              <w:ind w:firstLine="0"/>
              <w:jc w:val="center"/>
              <w:rPr>
                <w:b/>
                <w:sz w:val="26"/>
                <w:szCs w:val="26"/>
              </w:rPr>
            </w:pPr>
            <w:r w:rsidRPr="00C13B05">
              <w:rPr>
                <w:b/>
                <w:sz w:val="26"/>
                <w:szCs w:val="26"/>
              </w:rPr>
              <w:t>201</w:t>
            </w:r>
            <w:r w:rsidR="00942D3A" w:rsidRPr="00C13B05">
              <w:rPr>
                <w:b/>
                <w:sz w:val="26"/>
                <w:szCs w:val="26"/>
              </w:rPr>
              <w:t>2</w:t>
            </w:r>
            <w:r w:rsidRPr="00C13B05">
              <w:rPr>
                <w:b/>
                <w:sz w:val="26"/>
                <w:szCs w:val="26"/>
              </w:rPr>
              <w:t>.gads</w:t>
            </w:r>
          </w:p>
        </w:tc>
        <w:tc>
          <w:tcPr>
            <w:tcW w:w="4521" w:type="dxa"/>
            <w:gridSpan w:val="3"/>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Turpmākie trīs gadi (tūkst</w:t>
            </w:r>
            <w:smartTag w:uri="schemas-tilde-lv/tildestengine" w:element="currency2">
              <w:smartTagPr>
                <w:attr w:name="currency_id" w:val="48"/>
                <w:attr w:name="currency_key" w:val="LVL"/>
                <w:attr w:name="currency_value" w:val="."/>
                <w:attr w:name="currency_text" w:val="latu"/>
              </w:smartTagPr>
              <w:r w:rsidRPr="00C13B05">
                <w:rPr>
                  <w:sz w:val="26"/>
                  <w:szCs w:val="26"/>
                </w:rPr>
                <w:t>. latu</w:t>
              </w:r>
            </w:smartTag>
            <w:r w:rsidRPr="00C13B05">
              <w:rPr>
                <w:sz w:val="26"/>
                <w:szCs w:val="26"/>
              </w:rPr>
              <w:t>)</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2703" w:type="dxa"/>
            <w:gridSpan w:val="2"/>
            <w:vMerge/>
            <w:vAlign w:val="center"/>
          </w:tcPr>
          <w:p w:rsidR="00DA30DA" w:rsidRPr="00C13B05" w:rsidRDefault="00DA30DA" w:rsidP="00831A72">
            <w:pPr>
              <w:pStyle w:val="naisf"/>
              <w:spacing w:before="0" w:after="0"/>
              <w:ind w:firstLine="0"/>
              <w:jc w:val="center"/>
              <w:rPr>
                <w:b/>
                <w:i/>
                <w:sz w:val="26"/>
                <w:szCs w:val="26"/>
              </w:rPr>
            </w:pP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3</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4</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5</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1194"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Saskaņā ar valsts budžetu kārtējam gadam</w:t>
            </w:r>
          </w:p>
        </w:tc>
        <w:tc>
          <w:tcPr>
            <w:tcW w:w="1509"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Izmaiņas kārtējā gadā, salīdzinot ar budžetu kārtējam gadam</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w:t>
            </w:r>
            <w:r w:rsidR="00554CE1" w:rsidRPr="00C13B05">
              <w:rPr>
                <w:sz w:val="26"/>
                <w:szCs w:val="26"/>
              </w:rPr>
              <w:t>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r>
      <w:tr w:rsidR="00DA30DA" w:rsidRPr="00C13B05" w:rsidTr="00DA30DA">
        <w:trPr>
          <w:jc w:val="center"/>
        </w:trPr>
        <w:tc>
          <w:tcPr>
            <w:tcW w:w="2853"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1</w:t>
            </w:r>
          </w:p>
        </w:tc>
        <w:tc>
          <w:tcPr>
            <w:tcW w:w="1194"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2</w:t>
            </w:r>
          </w:p>
        </w:tc>
        <w:tc>
          <w:tcPr>
            <w:tcW w:w="1509"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3</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4</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5</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6</w:t>
            </w:r>
          </w:p>
        </w:tc>
      </w:tr>
      <w:tr w:rsidR="00DA30DA" w:rsidRPr="00C13B05" w:rsidTr="00DA30DA">
        <w:trPr>
          <w:jc w:val="center"/>
        </w:trPr>
        <w:tc>
          <w:tcPr>
            <w:tcW w:w="2853" w:type="dxa"/>
          </w:tcPr>
          <w:p w:rsidR="00DA30DA" w:rsidRPr="00C13B05" w:rsidRDefault="00DA30DA" w:rsidP="00831A72">
            <w:pPr>
              <w:pStyle w:val="naisf"/>
              <w:spacing w:before="0" w:after="0"/>
              <w:ind w:firstLine="0"/>
              <w:rPr>
                <w:i/>
                <w:sz w:val="26"/>
                <w:szCs w:val="26"/>
              </w:rPr>
            </w:pPr>
            <w:r w:rsidRPr="00C13B05">
              <w:rPr>
                <w:sz w:val="26"/>
                <w:szCs w:val="26"/>
              </w:rPr>
              <w:t>1. Budžeta ieņēmumi:</w:t>
            </w:r>
          </w:p>
        </w:tc>
        <w:tc>
          <w:tcPr>
            <w:tcW w:w="1194" w:type="dxa"/>
          </w:tcPr>
          <w:p w:rsidR="00DA30DA" w:rsidRPr="00C13B05" w:rsidRDefault="00326D04" w:rsidP="009E39D6">
            <w:pPr>
              <w:pStyle w:val="naisf"/>
              <w:spacing w:before="0" w:after="0"/>
              <w:ind w:firstLine="0"/>
              <w:jc w:val="center"/>
              <w:rPr>
                <w:b/>
                <w:sz w:val="26"/>
                <w:szCs w:val="26"/>
              </w:rPr>
            </w:pPr>
            <w:r>
              <w:rPr>
                <w:b/>
                <w:sz w:val="26"/>
                <w:szCs w:val="26"/>
              </w:rPr>
              <w:t>14</w:t>
            </w:r>
          </w:p>
        </w:tc>
        <w:tc>
          <w:tcPr>
            <w:tcW w:w="1509" w:type="dxa"/>
          </w:tcPr>
          <w:p w:rsidR="00DA30DA" w:rsidRPr="00C13B05" w:rsidRDefault="00DA30DA" w:rsidP="00831A72">
            <w:pPr>
              <w:pStyle w:val="naisf"/>
              <w:spacing w:before="0" w:after="0"/>
              <w:ind w:firstLine="0"/>
              <w:jc w:val="center"/>
              <w:rPr>
                <w:b/>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DA30DA" w:rsidRPr="00C13B05" w:rsidTr="00B06326">
        <w:trPr>
          <w:trHeight w:val="1403"/>
          <w:jc w:val="center"/>
        </w:trPr>
        <w:tc>
          <w:tcPr>
            <w:tcW w:w="2853" w:type="dxa"/>
          </w:tcPr>
          <w:p w:rsidR="00DA30DA" w:rsidRPr="00C13B05" w:rsidRDefault="00DA30DA" w:rsidP="00B06326">
            <w:pPr>
              <w:pStyle w:val="naisf"/>
              <w:spacing w:before="0" w:after="0"/>
              <w:ind w:firstLine="0"/>
              <w:rPr>
                <w:i/>
                <w:sz w:val="26"/>
                <w:szCs w:val="26"/>
              </w:rPr>
            </w:pPr>
            <w:r w:rsidRPr="00C13B05">
              <w:rPr>
                <w:sz w:val="26"/>
                <w:szCs w:val="26"/>
              </w:rPr>
              <w:t>1.1. valsts pamatbudžets, tai skaitā ieņēmumi no maksas pakalpojumiem un citi pašu ieņēmumi</w:t>
            </w:r>
          </w:p>
        </w:tc>
        <w:tc>
          <w:tcPr>
            <w:tcW w:w="1194" w:type="dxa"/>
          </w:tcPr>
          <w:p w:rsidR="00DA30DA" w:rsidRPr="00C13B05" w:rsidRDefault="00DA30DA" w:rsidP="00831A72">
            <w:pPr>
              <w:pStyle w:val="naisf"/>
              <w:spacing w:before="0" w:after="0"/>
              <w:ind w:firstLine="0"/>
              <w:jc w:val="center"/>
              <w:rPr>
                <w:i/>
                <w:sz w:val="26"/>
                <w:szCs w:val="26"/>
              </w:rPr>
            </w:pPr>
          </w:p>
          <w:p w:rsidR="00DA30DA" w:rsidRPr="00C13B05" w:rsidRDefault="00DA30DA" w:rsidP="00831A72">
            <w:pPr>
              <w:pStyle w:val="naisf"/>
              <w:spacing w:before="0" w:after="0"/>
              <w:ind w:firstLine="0"/>
              <w:jc w:val="center"/>
              <w:rPr>
                <w:i/>
                <w:sz w:val="26"/>
                <w:szCs w:val="26"/>
              </w:rPr>
            </w:pPr>
          </w:p>
          <w:p w:rsidR="00DA30DA" w:rsidRPr="00C13B05" w:rsidRDefault="00326D04" w:rsidP="009E39D6">
            <w:pPr>
              <w:pStyle w:val="naisf"/>
              <w:spacing w:before="0" w:after="0"/>
              <w:ind w:firstLine="0"/>
              <w:jc w:val="center"/>
              <w:rPr>
                <w:i/>
                <w:sz w:val="26"/>
                <w:szCs w:val="26"/>
              </w:rPr>
            </w:pPr>
            <w:r>
              <w:rPr>
                <w:sz w:val="26"/>
                <w:szCs w:val="26"/>
              </w:rPr>
              <w:t>1</w:t>
            </w:r>
            <w:r w:rsidR="009E39D6" w:rsidRPr="00C13B05">
              <w:rPr>
                <w:sz w:val="26"/>
                <w:szCs w:val="26"/>
              </w:rPr>
              <w:t>4</w:t>
            </w:r>
          </w:p>
        </w:tc>
        <w:tc>
          <w:tcPr>
            <w:tcW w:w="1509" w:type="dxa"/>
          </w:tcPr>
          <w:p w:rsidR="00DA30DA" w:rsidRPr="00C13B05" w:rsidRDefault="00DA30DA" w:rsidP="00831A72">
            <w:pPr>
              <w:jc w:val="center"/>
              <w:rPr>
                <w:i/>
                <w:sz w:val="26"/>
                <w:szCs w:val="26"/>
              </w:rPr>
            </w:pPr>
          </w:p>
          <w:p w:rsidR="00DA30DA" w:rsidRPr="00C13B05" w:rsidRDefault="00DA30DA" w:rsidP="00831A72">
            <w:pPr>
              <w:jc w:val="center"/>
              <w:rPr>
                <w:i/>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i/>
                <w:sz w:val="26"/>
                <w:szCs w:val="26"/>
              </w:rPr>
            </w:pPr>
          </w:p>
          <w:p w:rsidR="00DA30DA" w:rsidRPr="00C13B05" w:rsidRDefault="00DA30DA" w:rsidP="00831A72">
            <w:pPr>
              <w:jc w:val="center"/>
              <w:rPr>
                <w:sz w:val="26"/>
                <w:szCs w:val="26"/>
              </w:rPr>
            </w:pPr>
          </w:p>
          <w:p w:rsidR="00B06326"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r>
      <w:tr w:rsidR="00B06326" w:rsidRPr="00C13B05" w:rsidTr="00B06326">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1.2. valsts speciālais budžets</w:t>
            </w:r>
          </w:p>
        </w:tc>
        <w:tc>
          <w:tcPr>
            <w:tcW w:w="1194" w:type="dxa"/>
            <w:vAlign w:val="center"/>
          </w:tcPr>
          <w:p w:rsidR="00B06326" w:rsidRPr="00C13B05" w:rsidRDefault="00B06326" w:rsidP="00B06326">
            <w:pPr>
              <w:jc w:val="center"/>
              <w:rPr>
                <w:sz w:val="26"/>
                <w:szCs w:val="26"/>
              </w:rPr>
            </w:pPr>
            <w:r w:rsidRPr="00C13B05">
              <w:rPr>
                <w:sz w:val="26"/>
                <w:szCs w:val="26"/>
              </w:rPr>
              <w:t>0</w:t>
            </w:r>
          </w:p>
        </w:tc>
        <w:tc>
          <w:tcPr>
            <w:tcW w:w="1509"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1.3. pašvaldību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lastRenderedPageBreak/>
              <w:t>2. Budžeta izdevumi:</w:t>
            </w:r>
          </w:p>
        </w:tc>
        <w:tc>
          <w:tcPr>
            <w:tcW w:w="1194" w:type="dxa"/>
          </w:tcPr>
          <w:p w:rsidR="00DA30DA" w:rsidRPr="00C13B05" w:rsidRDefault="00326D04" w:rsidP="009E39D6">
            <w:pPr>
              <w:pStyle w:val="naisf"/>
              <w:spacing w:before="0" w:after="0"/>
              <w:ind w:firstLine="0"/>
              <w:jc w:val="center"/>
              <w:rPr>
                <w:b/>
                <w:sz w:val="26"/>
                <w:szCs w:val="26"/>
              </w:rPr>
            </w:pPr>
            <w:r>
              <w:rPr>
                <w:b/>
                <w:sz w:val="26"/>
                <w:szCs w:val="26"/>
              </w:rPr>
              <w:t>1</w:t>
            </w:r>
            <w:r w:rsidR="009E39D6" w:rsidRPr="00C13B05">
              <w:rPr>
                <w:b/>
                <w:sz w:val="26"/>
                <w:szCs w:val="26"/>
              </w:rPr>
              <w:t>4</w:t>
            </w:r>
          </w:p>
        </w:tc>
        <w:tc>
          <w:tcPr>
            <w:tcW w:w="1509" w:type="dxa"/>
          </w:tcPr>
          <w:p w:rsidR="00DA30DA" w:rsidRPr="00326D04" w:rsidRDefault="00E5461A" w:rsidP="00F62C42">
            <w:pPr>
              <w:pStyle w:val="naisf"/>
              <w:spacing w:before="0" w:after="0"/>
              <w:ind w:firstLine="0"/>
              <w:jc w:val="center"/>
              <w:rPr>
                <w:b/>
                <w:sz w:val="26"/>
                <w:szCs w:val="26"/>
              </w:rPr>
            </w:pPr>
            <w:r w:rsidRPr="00326D04">
              <w:rPr>
                <w:b/>
                <w:sz w:val="26"/>
                <w:szCs w:val="26"/>
              </w:rPr>
              <w:t>+</w:t>
            </w:r>
            <w:r w:rsidR="00F62C42" w:rsidRPr="00326D04">
              <w:rPr>
                <w:b/>
                <w:sz w:val="26"/>
                <w:szCs w:val="26"/>
              </w:rPr>
              <w:t>9</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2.1. valsts pamatbudžets</w:t>
            </w:r>
          </w:p>
        </w:tc>
        <w:tc>
          <w:tcPr>
            <w:tcW w:w="1194" w:type="dxa"/>
          </w:tcPr>
          <w:p w:rsidR="00B06326" w:rsidRPr="00C13B05" w:rsidRDefault="00545639" w:rsidP="00326D04">
            <w:pPr>
              <w:pStyle w:val="naisf"/>
              <w:spacing w:before="0" w:after="0"/>
              <w:ind w:firstLine="0"/>
              <w:jc w:val="center"/>
              <w:rPr>
                <w:i/>
                <w:sz w:val="26"/>
                <w:szCs w:val="26"/>
              </w:rPr>
            </w:pPr>
            <w:r>
              <w:rPr>
                <w:sz w:val="26"/>
                <w:szCs w:val="26"/>
              </w:rPr>
              <w:t>1</w:t>
            </w:r>
            <w:r w:rsidR="009E39D6" w:rsidRPr="00C13B05">
              <w:rPr>
                <w:sz w:val="26"/>
                <w:szCs w:val="26"/>
              </w:rPr>
              <w:t>4</w:t>
            </w:r>
          </w:p>
        </w:tc>
        <w:tc>
          <w:tcPr>
            <w:tcW w:w="1509" w:type="dxa"/>
          </w:tcPr>
          <w:p w:rsidR="00B06326" w:rsidRPr="00326D04" w:rsidRDefault="00B06326" w:rsidP="00F62C42">
            <w:pPr>
              <w:pStyle w:val="naisf"/>
              <w:spacing w:before="0" w:after="0"/>
              <w:ind w:firstLine="0"/>
              <w:jc w:val="center"/>
              <w:rPr>
                <w:sz w:val="26"/>
                <w:szCs w:val="26"/>
              </w:rPr>
            </w:pPr>
            <w:r w:rsidRPr="00326D04">
              <w:rPr>
                <w:sz w:val="26"/>
                <w:szCs w:val="26"/>
              </w:rPr>
              <w:t>+</w:t>
            </w:r>
            <w:r w:rsidR="00F62C42" w:rsidRPr="00326D04">
              <w:rPr>
                <w:sz w:val="26"/>
                <w:szCs w:val="26"/>
              </w:rPr>
              <w:t>9</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2.2. valsts speciālais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2.3. pašvaldību budžets </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 Finansiālā ietekme:</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F62C42">
            <w:pPr>
              <w:jc w:val="center"/>
              <w:rPr>
                <w:b/>
                <w:sz w:val="26"/>
                <w:szCs w:val="26"/>
              </w:rPr>
            </w:pPr>
            <w:r w:rsidRPr="00326D04">
              <w:rPr>
                <w:b/>
                <w:sz w:val="26"/>
                <w:szCs w:val="26"/>
              </w:rPr>
              <w:t>-</w:t>
            </w:r>
            <w:r w:rsidR="00F62C42" w:rsidRPr="00326D04">
              <w:rPr>
                <w:b/>
                <w:sz w:val="26"/>
                <w:szCs w:val="26"/>
              </w:rPr>
              <w:t>9</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3.1. valsts pamatbudžets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F62C42">
            <w:pPr>
              <w:jc w:val="center"/>
              <w:rPr>
                <w:sz w:val="26"/>
                <w:szCs w:val="26"/>
              </w:rPr>
            </w:pPr>
            <w:r w:rsidRPr="00326D04">
              <w:rPr>
                <w:sz w:val="26"/>
                <w:szCs w:val="26"/>
              </w:rPr>
              <w:t>-</w:t>
            </w:r>
            <w:r w:rsidR="00F62C42" w:rsidRPr="00326D04">
              <w:rPr>
                <w:sz w:val="26"/>
                <w:szCs w:val="26"/>
              </w:rPr>
              <w:t>9</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3.2. speciālais 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3.3. pašvaldību budžets </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val="restart"/>
          </w:tcPr>
          <w:p w:rsidR="00B06326" w:rsidRPr="00C13B05" w:rsidRDefault="00B06326" w:rsidP="00831A72">
            <w:pPr>
              <w:rPr>
                <w:sz w:val="26"/>
                <w:szCs w:val="26"/>
              </w:rPr>
            </w:pPr>
            <w:r w:rsidRPr="00C13B05">
              <w:rPr>
                <w:sz w:val="26"/>
                <w:szCs w:val="26"/>
              </w:rPr>
              <w:t>4. Finanšu līdzekļi papildu izde</w:t>
            </w:r>
            <w:r w:rsidRPr="00C13B05">
              <w:rPr>
                <w:sz w:val="26"/>
                <w:szCs w:val="26"/>
              </w:rPr>
              <w:softHyphen/>
              <w:t>vumu finansēšanai (kompensējošu izdevumu samazinājumu norāda ar "+" zīmi)</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326D04" w:rsidRDefault="00B06326" w:rsidP="00F62C42">
            <w:pPr>
              <w:jc w:val="center"/>
              <w:rPr>
                <w:b/>
                <w:sz w:val="26"/>
                <w:szCs w:val="26"/>
              </w:rPr>
            </w:pPr>
            <w:r w:rsidRPr="00326D04">
              <w:rPr>
                <w:b/>
                <w:sz w:val="26"/>
                <w:szCs w:val="26"/>
              </w:rPr>
              <w:t>+</w:t>
            </w:r>
            <w:r w:rsidR="00F62C42" w:rsidRPr="00326D04">
              <w:rPr>
                <w:b/>
                <w:sz w:val="26"/>
                <w:szCs w:val="26"/>
              </w:rPr>
              <w:t>9</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 Precizēta finansiālā ietekme:</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5.1. valsts pamatbudžets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5.2. speciālais 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5.3. pašvaldību budžets </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 Detalizēts ieņēmumu un izdevu</w:t>
            </w:r>
            <w:r w:rsidRPr="00C13B05">
              <w:rPr>
                <w:sz w:val="26"/>
                <w:szCs w:val="26"/>
              </w:rPr>
              <w:softHyphen/>
              <w:t>mu aprēķins (ja nepieciešams, detalizētu ieņēmumu un izdevumu aprēķinu var pievienot anotācijas pielikumā):</w:t>
            </w:r>
          </w:p>
        </w:tc>
        <w:tc>
          <w:tcPr>
            <w:tcW w:w="7224" w:type="dxa"/>
            <w:gridSpan w:val="5"/>
            <w:vMerge w:val="restart"/>
          </w:tcPr>
          <w:p w:rsidR="00C451CB" w:rsidRDefault="004A6A93" w:rsidP="00C451CB">
            <w:pPr>
              <w:pStyle w:val="naisf"/>
              <w:spacing w:before="0" w:after="0"/>
              <w:ind w:left="94" w:right="110" w:firstLine="0"/>
              <w:rPr>
                <w:sz w:val="26"/>
                <w:szCs w:val="26"/>
              </w:rPr>
            </w:pPr>
            <w:bookmarkStart w:id="3" w:name="OLE_LINK6"/>
            <w:bookmarkStart w:id="4" w:name="OLE_LINK8"/>
            <w:r w:rsidRPr="00C13B05">
              <w:rPr>
                <w:sz w:val="26"/>
                <w:szCs w:val="26"/>
              </w:rPr>
              <w:t>Ar ministrijas</w:t>
            </w:r>
            <w:r w:rsidR="00161261">
              <w:rPr>
                <w:sz w:val="26"/>
                <w:szCs w:val="26"/>
              </w:rPr>
              <w:t xml:space="preserve"> 2012.gada 9.marta lēmumu Nr.116</w:t>
            </w:r>
            <w:r w:rsidRPr="00C13B05">
              <w:rPr>
                <w:sz w:val="26"/>
                <w:szCs w:val="26"/>
              </w:rPr>
              <w:t xml:space="preserve"> biedrībai „Latvijas </w:t>
            </w:r>
            <w:r w:rsidR="00161261">
              <w:rPr>
                <w:sz w:val="26"/>
                <w:szCs w:val="26"/>
              </w:rPr>
              <w:t>Florbola savienība</w:t>
            </w:r>
            <w:r w:rsidRPr="00C13B05">
              <w:rPr>
                <w:sz w:val="26"/>
                <w:szCs w:val="26"/>
              </w:rPr>
              <w:t xml:space="preserve">” </w:t>
            </w:r>
            <w:r w:rsidR="00E81CA7" w:rsidRPr="00C13B05">
              <w:rPr>
                <w:sz w:val="26"/>
                <w:szCs w:val="26"/>
              </w:rPr>
              <w:t xml:space="preserve">no ministrijas 2012.gada valsts budžeta programmas 09.00.00 „Sports” apakšprogrammas 09.21.00 „Augstas klases sasniegumu sports” visu </w:t>
            </w:r>
            <w:r w:rsidR="00161261">
              <w:rPr>
                <w:sz w:val="26"/>
                <w:szCs w:val="26"/>
              </w:rPr>
              <w:t>florbola</w:t>
            </w:r>
            <w:r w:rsidR="00E81CA7" w:rsidRPr="00C13B05">
              <w:rPr>
                <w:sz w:val="26"/>
                <w:szCs w:val="26"/>
              </w:rPr>
              <w:t xml:space="preserve"> izlašu (jauniešu, junioru un pieaugušo) darbības nodrošināšanai piešķirts finansējums </w:t>
            </w:r>
            <w:r w:rsidR="00161261">
              <w:rPr>
                <w:sz w:val="26"/>
                <w:szCs w:val="26"/>
              </w:rPr>
              <w:t>11`428 latu apmērā</w:t>
            </w:r>
            <w:r w:rsidR="004C673C" w:rsidRPr="00C13B05">
              <w:rPr>
                <w:sz w:val="26"/>
                <w:szCs w:val="26"/>
              </w:rPr>
              <w:t>. Papildus minētam neliels valsts finansiālais atbalsts</w:t>
            </w:r>
            <w:r w:rsidR="00A81A75">
              <w:rPr>
                <w:sz w:val="26"/>
                <w:szCs w:val="26"/>
              </w:rPr>
              <w:t xml:space="preserve"> (8`049 lati)</w:t>
            </w:r>
            <w:r w:rsidR="004C673C" w:rsidRPr="00C13B05">
              <w:rPr>
                <w:sz w:val="26"/>
                <w:szCs w:val="26"/>
              </w:rPr>
              <w:t xml:space="preserve"> </w:t>
            </w:r>
            <w:r w:rsidR="00161261">
              <w:rPr>
                <w:sz w:val="26"/>
                <w:szCs w:val="26"/>
              </w:rPr>
              <w:t>florbola</w:t>
            </w:r>
            <w:r w:rsidR="004C673C" w:rsidRPr="00C13B05">
              <w:rPr>
                <w:sz w:val="26"/>
                <w:szCs w:val="26"/>
              </w:rPr>
              <w:t xml:space="preserve"> izlašu darbības nodrošināšanai 2012.gadā ir ticis piešķirts no biedrībai „Latvijas Sporta federāciju padome” piešķirtās </w:t>
            </w:r>
            <w:r w:rsidR="00625948" w:rsidRPr="00C13B05">
              <w:rPr>
                <w:sz w:val="26"/>
                <w:szCs w:val="26"/>
              </w:rPr>
              <w:t xml:space="preserve">valsts </w:t>
            </w:r>
            <w:r w:rsidR="00C451CB">
              <w:rPr>
                <w:sz w:val="26"/>
                <w:szCs w:val="26"/>
              </w:rPr>
              <w:t xml:space="preserve">dotācijas. Tajā pat laikā, ņemot vērā faktu, ka minētie līdzekļi izmantojami dažādu LFS programmu un pasākumu īstenošanai, tie nav uzskatāmi par </w:t>
            </w:r>
            <w:r w:rsidR="00C451CB" w:rsidRPr="00C13B05">
              <w:rPr>
                <w:sz w:val="26"/>
                <w:szCs w:val="26"/>
              </w:rPr>
              <w:t xml:space="preserve">iezīmētu mērķfinansējumu </w:t>
            </w:r>
            <w:r w:rsidR="00C451CB" w:rsidRPr="003905CA">
              <w:rPr>
                <w:rFonts w:eastAsia="Times New Roman"/>
                <w:color w:val="000000"/>
                <w:sz w:val="26"/>
                <w:szCs w:val="26"/>
              </w:rPr>
              <w:t xml:space="preserve">Latvijas nacionālās vīriešu florbola izlases gatavošanos un dalību </w:t>
            </w:r>
            <w:r w:rsidR="00C451CB">
              <w:rPr>
                <w:rFonts w:eastAsia="Times New Roman"/>
                <w:color w:val="000000"/>
                <w:sz w:val="26"/>
                <w:szCs w:val="26"/>
              </w:rPr>
              <w:t>Čempionātā</w:t>
            </w:r>
            <w:r w:rsidR="00C451CB">
              <w:rPr>
                <w:sz w:val="26"/>
                <w:szCs w:val="26"/>
              </w:rPr>
              <w:t>.</w:t>
            </w:r>
          </w:p>
          <w:p w:rsidR="00C451CB" w:rsidRDefault="00C451CB" w:rsidP="00C451CB">
            <w:pPr>
              <w:pStyle w:val="naisf"/>
              <w:spacing w:before="0" w:after="0"/>
              <w:ind w:left="94" w:right="110" w:firstLine="0"/>
              <w:rPr>
                <w:sz w:val="26"/>
                <w:szCs w:val="26"/>
              </w:rPr>
            </w:pPr>
          </w:p>
          <w:p w:rsidR="00C451CB" w:rsidRDefault="00C451CB" w:rsidP="00C451CB">
            <w:pPr>
              <w:pStyle w:val="naisf"/>
              <w:spacing w:before="0" w:after="0"/>
              <w:ind w:left="94" w:right="110" w:firstLine="0"/>
              <w:rPr>
                <w:sz w:val="26"/>
                <w:szCs w:val="26"/>
              </w:rPr>
            </w:pPr>
            <w:r>
              <w:rPr>
                <w:sz w:val="26"/>
                <w:szCs w:val="26"/>
              </w:rPr>
              <w:t xml:space="preserve">Vienīgais iezīmētais mērķfinansējums no valsts  budžeta LFS, lai nodrošinātu </w:t>
            </w:r>
            <w:r w:rsidRPr="003905CA">
              <w:rPr>
                <w:rFonts w:eastAsia="Times New Roman"/>
                <w:color w:val="000000"/>
                <w:sz w:val="26"/>
                <w:szCs w:val="26"/>
              </w:rPr>
              <w:t xml:space="preserve">Latvijas nacionālās vīriešu florbola izlases gatavošanos un dalību </w:t>
            </w:r>
            <w:r>
              <w:rPr>
                <w:rFonts w:eastAsia="Times New Roman"/>
                <w:color w:val="000000"/>
                <w:sz w:val="26"/>
                <w:szCs w:val="26"/>
              </w:rPr>
              <w:t xml:space="preserve">Čempionātā, ir likumā </w:t>
            </w:r>
            <w:r w:rsidRPr="00480A79">
              <w:rPr>
                <w:sz w:val="26"/>
                <w:szCs w:val="26"/>
              </w:rPr>
              <w:t>„Grozījumi likumā „Par valsts budžetu 2012.gadam””</w:t>
            </w:r>
            <w:r>
              <w:rPr>
                <w:sz w:val="26"/>
                <w:szCs w:val="26"/>
              </w:rPr>
              <w:t xml:space="preserve"> piešķirtie līdzekļi 14`000 latu apmērā.</w:t>
            </w:r>
          </w:p>
          <w:p w:rsidR="00C451CB" w:rsidRDefault="00C451CB" w:rsidP="00C451CB">
            <w:pPr>
              <w:pStyle w:val="naisf"/>
              <w:spacing w:before="0" w:after="0"/>
              <w:ind w:left="94" w:right="110" w:firstLine="0"/>
              <w:rPr>
                <w:sz w:val="26"/>
                <w:szCs w:val="26"/>
              </w:rPr>
            </w:pPr>
          </w:p>
          <w:p w:rsidR="00C8314D" w:rsidRPr="00B70B33" w:rsidRDefault="00C451CB" w:rsidP="00C451CB">
            <w:pPr>
              <w:pStyle w:val="naisf"/>
              <w:spacing w:before="0" w:after="0"/>
              <w:ind w:left="94" w:right="110" w:firstLine="0"/>
              <w:rPr>
                <w:sz w:val="26"/>
                <w:szCs w:val="26"/>
              </w:rPr>
            </w:pPr>
            <w:r>
              <w:rPr>
                <w:sz w:val="26"/>
                <w:szCs w:val="26"/>
              </w:rPr>
              <w:t xml:space="preserve">Kopējo LFS izdevumu tāmi, lai nodrošinātu </w:t>
            </w:r>
            <w:r w:rsidRPr="003905CA">
              <w:rPr>
                <w:rFonts w:eastAsia="Times New Roman"/>
                <w:color w:val="000000"/>
                <w:sz w:val="26"/>
                <w:szCs w:val="26"/>
              </w:rPr>
              <w:t xml:space="preserve">Latvijas nacionālās vīriešu florbola izlases gatavošanos un dalību </w:t>
            </w:r>
            <w:r>
              <w:rPr>
                <w:rFonts w:eastAsia="Times New Roman"/>
                <w:color w:val="000000"/>
                <w:sz w:val="26"/>
                <w:szCs w:val="26"/>
              </w:rPr>
              <w:t>Čempionātā, skatīt LFS vēstules pielikumā.</w:t>
            </w:r>
            <w:bookmarkEnd w:id="3"/>
            <w:bookmarkEnd w:id="4"/>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6.1. detalizēts ieņēmumu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B70B33">
        <w:trPr>
          <w:trHeight w:val="3592"/>
          <w:jc w:val="center"/>
        </w:trPr>
        <w:tc>
          <w:tcPr>
            <w:tcW w:w="2853" w:type="dxa"/>
          </w:tcPr>
          <w:p w:rsidR="00DA30DA" w:rsidRPr="00C13B05" w:rsidRDefault="00DA30DA" w:rsidP="00831A72">
            <w:pPr>
              <w:rPr>
                <w:sz w:val="26"/>
                <w:szCs w:val="26"/>
              </w:rPr>
            </w:pPr>
            <w:r w:rsidRPr="00C13B05">
              <w:rPr>
                <w:sz w:val="26"/>
                <w:szCs w:val="26"/>
              </w:rPr>
              <w:t>6.2. detalizēts izdevumu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7. Cita informācija</w:t>
            </w:r>
          </w:p>
        </w:tc>
        <w:tc>
          <w:tcPr>
            <w:tcW w:w="7224" w:type="dxa"/>
            <w:gridSpan w:val="5"/>
          </w:tcPr>
          <w:p w:rsidR="00DA30DA" w:rsidRDefault="0054456F" w:rsidP="00707D91">
            <w:pPr>
              <w:pStyle w:val="naisf"/>
              <w:tabs>
                <w:tab w:val="left" w:pos="4644"/>
              </w:tabs>
              <w:spacing w:before="0" w:after="0"/>
              <w:ind w:firstLine="0"/>
              <w:rPr>
                <w:color w:val="000000"/>
                <w:sz w:val="26"/>
                <w:szCs w:val="26"/>
              </w:rPr>
            </w:pPr>
            <w:r w:rsidRPr="00C13B05">
              <w:rPr>
                <w:color w:val="000000"/>
                <w:sz w:val="26"/>
                <w:szCs w:val="26"/>
              </w:rPr>
              <w:t>I</w:t>
            </w:r>
            <w:r w:rsidR="00272248" w:rsidRPr="00C13B05">
              <w:rPr>
                <w:color w:val="000000"/>
                <w:sz w:val="26"/>
                <w:szCs w:val="26"/>
              </w:rPr>
              <w:t xml:space="preserve">zdevumus sedz no </w:t>
            </w:r>
            <w:r w:rsidRPr="00C13B05">
              <w:rPr>
                <w:color w:val="000000"/>
                <w:sz w:val="26"/>
                <w:szCs w:val="26"/>
              </w:rPr>
              <w:t>valsts budžeta programmas 02.00.00 „Līdzekļi neparedzētiem gadījumiem”</w:t>
            </w:r>
            <w:r w:rsidR="00272248" w:rsidRPr="00C13B05">
              <w:rPr>
                <w:color w:val="000000"/>
                <w:sz w:val="26"/>
                <w:szCs w:val="26"/>
              </w:rPr>
              <w:t>.</w:t>
            </w:r>
          </w:p>
          <w:p w:rsidR="0016142A" w:rsidRDefault="0016142A" w:rsidP="00707D91">
            <w:pPr>
              <w:pStyle w:val="naisf"/>
              <w:tabs>
                <w:tab w:val="left" w:pos="4644"/>
              </w:tabs>
              <w:spacing w:before="0" w:after="0"/>
              <w:ind w:firstLine="0"/>
              <w:rPr>
                <w:color w:val="000000"/>
                <w:sz w:val="26"/>
                <w:szCs w:val="26"/>
              </w:rPr>
            </w:pPr>
          </w:p>
          <w:p w:rsidR="0016142A" w:rsidRPr="00C13B05" w:rsidRDefault="0016142A" w:rsidP="00707D91">
            <w:pPr>
              <w:pStyle w:val="naisf"/>
              <w:tabs>
                <w:tab w:val="left" w:pos="4644"/>
              </w:tabs>
              <w:spacing w:before="0" w:after="0"/>
              <w:ind w:firstLine="0"/>
              <w:rPr>
                <w:sz w:val="26"/>
                <w:szCs w:val="26"/>
              </w:rPr>
            </w:pPr>
            <w:r>
              <w:rPr>
                <w:sz w:val="26"/>
                <w:szCs w:val="26"/>
              </w:rPr>
              <w:t>I</w:t>
            </w:r>
            <w:r w:rsidRPr="008E4D15">
              <w:rPr>
                <w:sz w:val="26"/>
                <w:szCs w:val="26"/>
              </w:rPr>
              <w:t>nformāciju par apropriācijas izmaiņām likuma par valsts budžet</w:t>
            </w:r>
            <w:r>
              <w:rPr>
                <w:sz w:val="26"/>
                <w:szCs w:val="26"/>
              </w:rPr>
              <w:t xml:space="preserve">u </w:t>
            </w:r>
            <w:r>
              <w:rPr>
                <w:sz w:val="26"/>
                <w:szCs w:val="26"/>
              </w:rPr>
              <w:lastRenderedPageBreak/>
              <w:t>attiecīgajam gadam pielikumā „</w:t>
            </w:r>
            <w:r w:rsidRPr="008E4D15">
              <w:rPr>
                <w:sz w:val="26"/>
                <w:szCs w:val="26"/>
              </w:rPr>
              <w:t>Valsts pamatbudžeta ieņēmumu un izdevumu atšifrējums pa programmām un apakšprogrammām</w:t>
            </w:r>
            <w:r>
              <w:rPr>
                <w:sz w:val="26"/>
                <w:szCs w:val="26"/>
              </w:rPr>
              <w:t>”</w:t>
            </w:r>
            <w:r w:rsidRPr="008E4D15">
              <w:rPr>
                <w:sz w:val="26"/>
                <w:szCs w:val="26"/>
              </w:rPr>
              <w:t xml:space="preserve"> (veidlapa APRO)</w:t>
            </w:r>
            <w:r>
              <w:rPr>
                <w:sz w:val="26"/>
                <w:szCs w:val="26"/>
              </w:rPr>
              <w:t xml:space="preserve"> ministrija iesniegs Finanšu ministrijā pēc Rīkojuma projekta pieņemšanas Ministru kabinetā.</w:t>
            </w:r>
          </w:p>
        </w:tc>
      </w:tr>
    </w:tbl>
    <w:p w:rsidR="00DA30DA" w:rsidRPr="00C13B05" w:rsidRDefault="00DA30DA" w:rsidP="00D96FCD">
      <w:pPr>
        <w:pStyle w:val="naisf"/>
        <w:spacing w:before="0" w:after="0"/>
        <w:rPr>
          <w:sz w:val="26"/>
          <w:szCs w:val="26"/>
        </w:rPr>
      </w:pPr>
    </w:p>
    <w:p w:rsidR="001F23A6" w:rsidRPr="00C13B05" w:rsidRDefault="001F23A6" w:rsidP="001F23A6">
      <w:pPr>
        <w:rPr>
          <w:sz w:val="26"/>
          <w:szCs w:val="26"/>
        </w:rPr>
      </w:pPr>
      <w:r w:rsidRPr="00C13B05">
        <w:rPr>
          <w:sz w:val="26"/>
          <w:szCs w:val="26"/>
        </w:rPr>
        <w:t>Anotācijas IV – VII sadaļa –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1F23A6" w:rsidRPr="00C13B05" w:rsidRDefault="001F23A6" w:rsidP="00D96FCD">
      <w:pPr>
        <w:rPr>
          <w:sz w:val="26"/>
          <w:szCs w:val="26"/>
        </w:rPr>
      </w:pPr>
    </w:p>
    <w:p w:rsidR="00587C74" w:rsidRPr="00C13B05" w:rsidRDefault="008F245F" w:rsidP="00C7220E">
      <w:pPr>
        <w:pStyle w:val="BodyText2"/>
        <w:spacing w:after="0" w:line="240" w:lineRule="auto"/>
        <w:ind w:firstLine="720"/>
        <w:jc w:val="both"/>
        <w:rPr>
          <w:sz w:val="26"/>
          <w:szCs w:val="26"/>
        </w:rPr>
      </w:pPr>
      <w:r w:rsidRPr="00C13B05">
        <w:rPr>
          <w:sz w:val="26"/>
          <w:szCs w:val="26"/>
        </w:rPr>
        <w:t>Izglītības un zinātnes ministr</w:t>
      </w:r>
      <w:r w:rsidR="008431E8" w:rsidRPr="00C13B05">
        <w:rPr>
          <w:sz w:val="26"/>
          <w:szCs w:val="26"/>
        </w:rPr>
        <w:t>s</w:t>
      </w:r>
      <w:r w:rsidR="0059354C" w:rsidRPr="00C13B05">
        <w:rPr>
          <w:sz w:val="26"/>
          <w:szCs w:val="26"/>
        </w:rPr>
        <w:tab/>
      </w:r>
      <w:r w:rsidR="0059354C" w:rsidRPr="00C13B05">
        <w:rPr>
          <w:sz w:val="26"/>
          <w:szCs w:val="26"/>
        </w:rPr>
        <w:tab/>
      </w:r>
      <w:r w:rsidR="0059354C" w:rsidRPr="00C13B05">
        <w:rPr>
          <w:sz w:val="26"/>
          <w:szCs w:val="26"/>
        </w:rPr>
        <w:tab/>
      </w:r>
      <w:r w:rsidR="0059354C" w:rsidRPr="00C13B05">
        <w:rPr>
          <w:sz w:val="26"/>
          <w:szCs w:val="26"/>
        </w:rPr>
        <w:tab/>
      </w:r>
      <w:r w:rsidR="00991790" w:rsidRPr="00C13B05">
        <w:rPr>
          <w:sz w:val="26"/>
          <w:szCs w:val="26"/>
        </w:rPr>
        <w:tab/>
      </w:r>
      <w:r w:rsidR="008431E8" w:rsidRPr="00C13B05">
        <w:rPr>
          <w:sz w:val="26"/>
          <w:szCs w:val="26"/>
        </w:rPr>
        <w:t>R.</w:t>
      </w:r>
      <w:r w:rsidR="00893CD2" w:rsidRPr="00C13B05">
        <w:rPr>
          <w:sz w:val="26"/>
          <w:szCs w:val="26"/>
        </w:rPr>
        <w:t>Ķīlis</w:t>
      </w:r>
    </w:p>
    <w:p w:rsidR="00585B7B" w:rsidRPr="00C13B05" w:rsidRDefault="00585B7B" w:rsidP="00D96FCD">
      <w:pPr>
        <w:rPr>
          <w:sz w:val="26"/>
          <w:szCs w:val="26"/>
        </w:rPr>
      </w:pPr>
    </w:p>
    <w:p w:rsidR="004560F5" w:rsidRPr="00C13B05" w:rsidRDefault="004560F5" w:rsidP="00D96FCD">
      <w:pPr>
        <w:rPr>
          <w:sz w:val="26"/>
          <w:szCs w:val="26"/>
        </w:rPr>
      </w:pPr>
    </w:p>
    <w:p w:rsidR="00545639" w:rsidRPr="00545639" w:rsidRDefault="00545639" w:rsidP="00545639">
      <w:pPr>
        <w:ind w:firstLine="709"/>
        <w:jc w:val="both"/>
        <w:rPr>
          <w:sz w:val="26"/>
          <w:szCs w:val="26"/>
        </w:rPr>
      </w:pPr>
      <w:r w:rsidRPr="00545639">
        <w:rPr>
          <w:sz w:val="26"/>
          <w:szCs w:val="26"/>
        </w:rPr>
        <w:t>Valsts sekretāra vietniece –</w:t>
      </w:r>
    </w:p>
    <w:p w:rsidR="00545639" w:rsidRPr="00545639" w:rsidRDefault="00545639" w:rsidP="00545639">
      <w:pPr>
        <w:ind w:firstLine="709"/>
        <w:jc w:val="both"/>
        <w:rPr>
          <w:sz w:val="26"/>
          <w:szCs w:val="26"/>
        </w:rPr>
      </w:pPr>
      <w:r w:rsidRPr="00545639">
        <w:rPr>
          <w:sz w:val="26"/>
          <w:szCs w:val="26"/>
        </w:rPr>
        <w:t>Struktūrfondu un starptautisko finanšu</w:t>
      </w:r>
    </w:p>
    <w:p w:rsidR="00545639" w:rsidRPr="00545639" w:rsidRDefault="00545639" w:rsidP="00545639">
      <w:pPr>
        <w:ind w:firstLine="709"/>
        <w:jc w:val="both"/>
        <w:rPr>
          <w:sz w:val="26"/>
          <w:szCs w:val="26"/>
        </w:rPr>
      </w:pPr>
      <w:r w:rsidRPr="00545639">
        <w:rPr>
          <w:sz w:val="26"/>
          <w:szCs w:val="26"/>
        </w:rPr>
        <w:t>instrumentu departamenta direktore,</w:t>
      </w:r>
    </w:p>
    <w:p w:rsidR="00080CC1" w:rsidRPr="00591268" w:rsidRDefault="00545639" w:rsidP="00545639">
      <w:pPr>
        <w:ind w:firstLine="709"/>
        <w:jc w:val="both"/>
        <w:rPr>
          <w:sz w:val="25"/>
          <w:szCs w:val="25"/>
        </w:rPr>
      </w:pPr>
      <w:r w:rsidRPr="00545639">
        <w:rPr>
          <w:sz w:val="26"/>
          <w:szCs w:val="26"/>
        </w:rPr>
        <w:t xml:space="preserve">valsts sekretāra pienākumu izpildītāja         </w:t>
      </w:r>
      <w:r w:rsidR="00A62569">
        <w:rPr>
          <w:sz w:val="26"/>
          <w:szCs w:val="26"/>
        </w:rPr>
        <w:t xml:space="preserve">                           </w:t>
      </w:r>
      <w:r w:rsidRPr="00545639">
        <w:rPr>
          <w:sz w:val="26"/>
          <w:szCs w:val="26"/>
        </w:rPr>
        <w:t>L.Sīka</w:t>
      </w:r>
    </w:p>
    <w:p w:rsidR="0077133D" w:rsidRDefault="0077133D" w:rsidP="00D96FCD">
      <w:pPr>
        <w:jc w:val="both"/>
        <w:rPr>
          <w:sz w:val="22"/>
          <w:szCs w:val="22"/>
        </w:rPr>
      </w:pPr>
    </w:p>
    <w:p w:rsidR="00C451CB" w:rsidRDefault="00C451CB" w:rsidP="00D96FCD">
      <w:pPr>
        <w:jc w:val="both"/>
        <w:rPr>
          <w:sz w:val="22"/>
          <w:szCs w:val="22"/>
        </w:rPr>
      </w:pPr>
    </w:p>
    <w:p w:rsidR="00C451CB" w:rsidRDefault="00C451CB" w:rsidP="00D96FCD">
      <w:pPr>
        <w:jc w:val="both"/>
        <w:rPr>
          <w:sz w:val="22"/>
          <w:szCs w:val="22"/>
        </w:rPr>
      </w:pPr>
    </w:p>
    <w:p w:rsidR="00C451CB" w:rsidRDefault="00C451CB" w:rsidP="00D96FCD">
      <w:pPr>
        <w:jc w:val="both"/>
        <w:rPr>
          <w:sz w:val="22"/>
          <w:szCs w:val="22"/>
        </w:rPr>
      </w:pPr>
    </w:p>
    <w:p w:rsidR="00C451CB" w:rsidRDefault="00C451CB" w:rsidP="00D96FCD">
      <w:pPr>
        <w:jc w:val="both"/>
        <w:rPr>
          <w:sz w:val="22"/>
          <w:szCs w:val="22"/>
        </w:rPr>
      </w:pPr>
    </w:p>
    <w:p w:rsidR="00CF7C34" w:rsidRPr="00055608" w:rsidRDefault="00CF7C34" w:rsidP="00D96FCD">
      <w:pPr>
        <w:jc w:val="both"/>
        <w:rPr>
          <w:sz w:val="22"/>
          <w:szCs w:val="22"/>
        </w:rPr>
      </w:pPr>
    </w:p>
    <w:p w:rsidR="00942D3A" w:rsidRPr="00942D3A" w:rsidRDefault="00C62163" w:rsidP="00942D3A">
      <w:pPr>
        <w:ind w:left="720"/>
        <w:rPr>
          <w:sz w:val="22"/>
          <w:szCs w:val="22"/>
        </w:rPr>
      </w:pPr>
      <w:r>
        <w:rPr>
          <w:sz w:val="22"/>
          <w:szCs w:val="22"/>
        </w:rPr>
        <w:t>25</w:t>
      </w:r>
      <w:r w:rsidR="00545639" w:rsidRPr="00C62163">
        <w:rPr>
          <w:sz w:val="22"/>
          <w:szCs w:val="22"/>
        </w:rPr>
        <w:t>.010</w:t>
      </w:r>
      <w:r w:rsidR="00676453" w:rsidRPr="00C62163">
        <w:rPr>
          <w:sz w:val="22"/>
          <w:szCs w:val="22"/>
        </w:rPr>
        <w:t xml:space="preserve">.2012 </w:t>
      </w:r>
      <w:r w:rsidR="00C451CB">
        <w:rPr>
          <w:sz w:val="22"/>
          <w:szCs w:val="22"/>
        </w:rPr>
        <w:t>11</w:t>
      </w:r>
      <w:r w:rsidR="00942D3A" w:rsidRPr="00C62163">
        <w:rPr>
          <w:sz w:val="22"/>
          <w:szCs w:val="22"/>
        </w:rPr>
        <w:t>:</w:t>
      </w:r>
      <w:bookmarkStart w:id="5" w:name="_GoBack"/>
      <w:bookmarkEnd w:id="5"/>
      <w:r w:rsidR="00C451CB">
        <w:rPr>
          <w:sz w:val="22"/>
          <w:szCs w:val="22"/>
        </w:rPr>
        <w:t>17</w:t>
      </w:r>
    </w:p>
    <w:p w:rsidR="00942D3A" w:rsidRPr="00942D3A" w:rsidRDefault="00C758FD" w:rsidP="00942D3A">
      <w:pPr>
        <w:ind w:left="720"/>
        <w:rPr>
          <w:sz w:val="22"/>
          <w:szCs w:val="22"/>
        </w:rPr>
      </w:pPr>
      <w:fldSimple w:instr=" NUMWORDS   \* MERGEFORMAT ">
        <w:r w:rsidR="00C451CB" w:rsidRPr="00C451CB">
          <w:rPr>
            <w:noProof/>
            <w:sz w:val="22"/>
            <w:szCs w:val="22"/>
          </w:rPr>
          <w:t>1427</w:t>
        </w:r>
      </w:fldSimple>
    </w:p>
    <w:p w:rsidR="00942D3A" w:rsidRPr="00942D3A" w:rsidRDefault="00942D3A" w:rsidP="00942D3A">
      <w:pPr>
        <w:ind w:left="720"/>
        <w:rPr>
          <w:sz w:val="22"/>
          <w:szCs w:val="22"/>
        </w:rPr>
      </w:pPr>
      <w:bookmarkStart w:id="6" w:name="OLE_LINK7"/>
      <w:r w:rsidRPr="00942D3A">
        <w:rPr>
          <w:sz w:val="22"/>
          <w:szCs w:val="22"/>
        </w:rPr>
        <w:t>Izglītības un zinātnes ministrijas</w:t>
      </w:r>
    </w:p>
    <w:p w:rsidR="00942D3A" w:rsidRPr="00942D3A" w:rsidRDefault="00942D3A" w:rsidP="00942D3A">
      <w:pPr>
        <w:ind w:left="720"/>
        <w:rPr>
          <w:sz w:val="22"/>
          <w:szCs w:val="22"/>
        </w:rPr>
      </w:pPr>
      <w:r w:rsidRPr="00942D3A">
        <w:rPr>
          <w:sz w:val="22"/>
          <w:szCs w:val="22"/>
        </w:rPr>
        <w:t xml:space="preserve">Sporta </w:t>
      </w:r>
      <w:r w:rsidR="000B3147">
        <w:rPr>
          <w:sz w:val="22"/>
          <w:szCs w:val="22"/>
        </w:rPr>
        <w:t>un jaunatnes departamenta</w:t>
      </w:r>
    </w:p>
    <w:p w:rsidR="00942D3A" w:rsidRPr="00942D3A" w:rsidRDefault="00942D3A" w:rsidP="00942D3A">
      <w:pPr>
        <w:ind w:left="720"/>
        <w:rPr>
          <w:sz w:val="22"/>
          <w:szCs w:val="22"/>
        </w:rPr>
      </w:pPr>
      <w:r w:rsidRPr="00942D3A">
        <w:rPr>
          <w:sz w:val="22"/>
          <w:szCs w:val="22"/>
        </w:rPr>
        <w:t>vecākais referents K.Randohs</w:t>
      </w:r>
    </w:p>
    <w:p w:rsidR="00942D3A" w:rsidRPr="00942D3A" w:rsidRDefault="00942D3A" w:rsidP="00942D3A">
      <w:pPr>
        <w:ind w:left="720"/>
        <w:rPr>
          <w:color w:val="000000"/>
          <w:sz w:val="22"/>
          <w:szCs w:val="22"/>
        </w:rPr>
      </w:pPr>
      <w:r w:rsidRPr="00942D3A">
        <w:rPr>
          <w:sz w:val="22"/>
          <w:szCs w:val="22"/>
        </w:rPr>
        <w:t>67047982, kaspars.randohs@izm.gov.lv</w:t>
      </w:r>
      <w:bookmarkEnd w:id="6"/>
    </w:p>
    <w:p w:rsidR="00585B7B" w:rsidRPr="00055608" w:rsidRDefault="00585B7B" w:rsidP="00942D3A">
      <w:pPr>
        <w:ind w:firstLine="720"/>
        <w:rPr>
          <w:sz w:val="22"/>
          <w:szCs w:val="22"/>
        </w:rPr>
      </w:pPr>
    </w:p>
    <w:sectPr w:rsidR="00585B7B" w:rsidRPr="00055608" w:rsidSect="00C13B05">
      <w:headerReference w:type="default" r:id="rId7"/>
      <w:footerReference w:type="default" r:id="rId8"/>
      <w:footerReference w:type="first" r:id="rId9"/>
      <w:pgSz w:w="11906" w:h="16838" w:code="9"/>
      <w:pgMar w:top="1134" w:right="1134" w:bottom="1134" w:left="1701" w:header="567" w:footer="3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7F" w:rsidRDefault="003A657F" w:rsidP="00123E9B">
      <w:r>
        <w:separator/>
      </w:r>
    </w:p>
  </w:endnote>
  <w:endnote w:type="continuationSeparator" w:id="0">
    <w:p w:rsidR="003A657F" w:rsidRDefault="003A657F"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0D" w:rsidRPr="00DE1B77" w:rsidRDefault="004F3D0D" w:rsidP="004F3D0D">
    <w:pPr>
      <w:ind w:left="-360" w:right="-262"/>
      <w:jc w:val="both"/>
      <w:rPr>
        <w:sz w:val="22"/>
        <w:szCs w:val="22"/>
      </w:rPr>
    </w:pPr>
    <w:r w:rsidRPr="00DE1B77">
      <w:rPr>
        <w:sz w:val="22"/>
        <w:szCs w:val="22"/>
      </w:rPr>
      <w:t>IZMAnot_</w:t>
    </w:r>
    <w:r w:rsidR="00C62163">
      <w:rPr>
        <w:sz w:val="22"/>
        <w:szCs w:val="22"/>
      </w:rPr>
      <w:t>25</w:t>
    </w:r>
    <w:r>
      <w:rPr>
        <w:sz w:val="22"/>
        <w:szCs w:val="22"/>
      </w:rPr>
      <w:t>1012</w:t>
    </w:r>
    <w:r w:rsidRPr="00DE1B77">
      <w:rPr>
        <w:sz w:val="22"/>
        <w:szCs w:val="22"/>
      </w:rPr>
      <w:t>_</w:t>
    </w:r>
    <w:r>
      <w:rPr>
        <w:sz w:val="22"/>
        <w:szCs w:val="22"/>
      </w:rPr>
      <w:t>FLO</w:t>
    </w:r>
    <w:r w:rsidRPr="00DE1B77">
      <w:rPr>
        <w:sz w:val="22"/>
        <w:szCs w:val="22"/>
      </w:rPr>
      <w:t>; Ministru kabineta rīkojuma projekta „Par finanšu līdzekļu piešķiršanu no valsts budžeta programmas „Līdzekļi neparedzētiem gadījumiem”” sākotnējās ietekmes novērtējuma ziņojums (anotācija)</w:t>
    </w:r>
  </w:p>
  <w:p w:rsidR="00036977" w:rsidRPr="009849CF" w:rsidRDefault="00036977" w:rsidP="009849CF">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DE1B77" w:rsidRDefault="00036977" w:rsidP="00055608">
    <w:pPr>
      <w:ind w:left="-360" w:right="-262"/>
      <w:jc w:val="both"/>
      <w:rPr>
        <w:sz w:val="22"/>
        <w:szCs w:val="22"/>
      </w:rPr>
    </w:pPr>
    <w:r w:rsidRPr="00DE1B77">
      <w:rPr>
        <w:sz w:val="22"/>
        <w:szCs w:val="22"/>
      </w:rPr>
      <w:t>IZMAnot_</w:t>
    </w:r>
    <w:r w:rsidR="00C62163">
      <w:rPr>
        <w:sz w:val="22"/>
        <w:szCs w:val="22"/>
      </w:rPr>
      <w:t>25</w:t>
    </w:r>
    <w:r w:rsidR="004F3D0D">
      <w:rPr>
        <w:sz w:val="22"/>
        <w:szCs w:val="22"/>
      </w:rPr>
      <w:t>10</w:t>
    </w:r>
    <w:r>
      <w:rPr>
        <w:sz w:val="22"/>
        <w:szCs w:val="22"/>
      </w:rPr>
      <w:t>12</w:t>
    </w:r>
    <w:r w:rsidRPr="00DE1B77">
      <w:rPr>
        <w:sz w:val="22"/>
        <w:szCs w:val="22"/>
      </w:rPr>
      <w:t>_</w:t>
    </w:r>
    <w:r w:rsidR="004F3D0D">
      <w:rPr>
        <w:sz w:val="22"/>
        <w:szCs w:val="22"/>
      </w:rPr>
      <w:t>FLO</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7F" w:rsidRDefault="003A657F" w:rsidP="00123E9B">
      <w:r>
        <w:separator/>
      </w:r>
    </w:p>
  </w:footnote>
  <w:footnote w:type="continuationSeparator" w:id="0">
    <w:p w:rsidR="003A657F" w:rsidRDefault="003A657F"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Default="00C758FD">
    <w:pPr>
      <w:pStyle w:val="Header"/>
      <w:jc w:val="center"/>
    </w:pPr>
    <w:r>
      <w:fldChar w:fldCharType="begin"/>
    </w:r>
    <w:r w:rsidR="008723BF">
      <w:instrText xml:space="preserve"> PAGE   \* MERGEFORMAT </w:instrText>
    </w:r>
    <w:r>
      <w:fldChar w:fldCharType="separate"/>
    </w:r>
    <w:r w:rsidR="00C451CB">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9698"/>
  </w:hdrShapeDefaults>
  <w:footnotePr>
    <w:footnote w:id="-1"/>
    <w:footnote w:id="0"/>
  </w:footnotePr>
  <w:endnotePr>
    <w:endnote w:id="-1"/>
    <w:endnote w:id="0"/>
  </w:endnotePr>
  <w:compat/>
  <w:rsids>
    <w:rsidRoot w:val="00D96FCD"/>
    <w:rsid w:val="00000DEA"/>
    <w:rsid w:val="0000524B"/>
    <w:rsid w:val="00006D42"/>
    <w:rsid w:val="00010140"/>
    <w:rsid w:val="00010590"/>
    <w:rsid w:val="000120DA"/>
    <w:rsid w:val="00012EAE"/>
    <w:rsid w:val="0003301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CC1"/>
    <w:rsid w:val="00081CEB"/>
    <w:rsid w:val="000849C2"/>
    <w:rsid w:val="00084C38"/>
    <w:rsid w:val="00090BFF"/>
    <w:rsid w:val="000934D5"/>
    <w:rsid w:val="00094F13"/>
    <w:rsid w:val="00095EBB"/>
    <w:rsid w:val="00097B46"/>
    <w:rsid w:val="000A2237"/>
    <w:rsid w:val="000A4403"/>
    <w:rsid w:val="000B3147"/>
    <w:rsid w:val="000B3B3C"/>
    <w:rsid w:val="000B62CA"/>
    <w:rsid w:val="000C0BAF"/>
    <w:rsid w:val="000C1819"/>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7D9A"/>
    <w:rsid w:val="00150D62"/>
    <w:rsid w:val="00156760"/>
    <w:rsid w:val="00157F12"/>
    <w:rsid w:val="00161261"/>
    <w:rsid w:val="0016142A"/>
    <w:rsid w:val="001673FC"/>
    <w:rsid w:val="00172A25"/>
    <w:rsid w:val="0017384A"/>
    <w:rsid w:val="00174AEB"/>
    <w:rsid w:val="00175071"/>
    <w:rsid w:val="00181D00"/>
    <w:rsid w:val="001824F8"/>
    <w:rsid w:val="0018329D"/>
    <w:rsid w:val="00184814"/>
    <w:rsid w:val="00186DF5"/>
    <w:rsid w:val="001904B3"/>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4A15"/>
    <w:rsid w:val="001D7C74"/>
    <w:rsid w:val="001E6E40"/>
    <w:rsid w:val="001F0A3C"/>
    <w:rsid w:val="001F23A6"/>
    <w:rsid w:val="001F2EBF"/>
    <w:rsid w:val="001F373F"/>
    <w:rsid w:val="002005CA"/>
    <w:rsid w:val="0020083C"/>
    <w:rsid w:val="002054CB"/>
    <w:rsid w:val="0021163A"/>
    <w:rsid w:val="00213C24"/>
    <w:rsid w:val="0021426A"/>
    <w:rsid w:val="00214413"/>
    <w:rsid w:val="0021458D"/>
    <w:rsid w:val="00214AE5"/>
    <w:rsid w:val="00217F61"/>
    <w:rsid w:val="002239AB"/>
    <w:rsid w:val="00224F0F"/>
    <w:rsid w:val="00225615"/>
    <w:rsid w:val="00232B87"/>
    <w:rsid w:val="002339F0"/>
    <w:rsid w:val="00237289"/>
    <w:rsid w:val="00241061"/>
    <w:rsid w:val="00244807"/>
    <w:rsid w:val="00246FEA"/>
    <w:rsid w:val="0025457B"/>
    <w:rsid w:val="0025458A"/>
    <w:rsid w:val="0025500E"/>
    <w:rsid w:val="00255BAD"/>
    <w:rsid w:val="002637C0"/>
    <w:rsid w:val="00266356"/>
    <w:rsid w:val="00270E39"/>
    <w:rsid w:val="00272248"/>
    <w:rsid w:val="00273D63"/>
    <w:rsid w:val="00274E8A"/>
    <w:rsid w:val="002761F4"/>
    <w:rsid w:val="002819CC"/>
    <w:rsid w:val="0028791A"/>
    <w:rsid w:val="00290940"/>
    <w:rsid w:val="0029164A"/>
    <w:rsid w:val="002918AC"/>
    <w:rsid w:val="00291A48"/>
    <w:rsid w:val="00295345"/>
    <w:rsid w:val="002975AC"/>
    <w:rsid w:val="002A1E5B"/>
    <w:rsid w:val="002A41DA"/>
    <w:rsid w:val="002A6F37"/>
    <w:rsid w:val="002B03B2"/>
    <w:rsid w:val="002B4D56"/>
    <w:rsid w:val="002B5C0B"/>
    <w:rsid w:val="002B6351"/>
    <w:rsid w:val="002B6933"/>
    <w:rsid w:val="002C0946"/>
    <w:rsid w:val="002C2590"/>
    <w:rsid w:val="002C2C3F"/>
    <w:rsid w:val="002C50CA"/>
    <w:rsid w:val="002D77A9"/>
    <w:rsid w:val="002E011D"/>
    <w:rsid w:val="002E0B47"/>
    <w:rsid w:val="002E0BB9"/>
    <w:rsid w:val="002E40BB"/>
    <w:rsid w:val="002E6A3D"/>
    <w:rsid w:val="002F25B0"/>
    <w:rsid w:val="002F4472"/>
    <w:rsid w:val="002F5953"/>
    <w:rsid w:val="002F5EAC"/>
    <w:rsid w:val="002F72C0"/>
    <w:rsid w:val="003014C2"/>
    <w:rsid w:val="003028DB"/>
    <w:rsid w:val="00307A0E"/>
    <w:rsid w:val="00312022"/>
    <w:rsid w:val="0031483B"/>
    <w:rsid w:val="00314876"/>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7957"/>
    <w:rsid w:val="003705EF"/>
    <w:rsid w:val="00376CEF"/>
    <w:rsid w:val="00383F46"/>
    <w:rsid w:val="00386F10"/>
    <w:rsid w:val="003900A2"/>
    <w:rsid w:val="003905CA"/>
    <w:rsid w:val="003906FF"/>
    <w:rsid w:val="00397AA4"/>
    <w:rsid w:val="003A0BA4"/>
    <w:rsid w:val="003A193D"/>
    <w:rsid w:val="003A1A94"/>
    <w:rsid w:val="003A657F"/>
    <w:rsid w:val="003A6F5B"/>
    <w:rsid w:val="003B0922"/>
    <w:rsid w:val="003B0E4C"/>
    <w:rsid w:val="003B1A4F"/>
    <w:rsid w:val="003B2B5A"/>
    <w:rsid w:val="003B465C"/>
    <w:rsid w:val="003C691E"/>
    <w:rsid w:val="003D4908"/>
    <w:rsid w:val="003F43C8"/>
    <w:rsid w:val="003F75A6"/>
    <w:rsid w:val="003F786B"/>
    <w:rsid w:val="004020E4"/>
    <w:rsid w:val="00403794"/>
    <w:rsid w:val="0040414A"/>
    <w:rsid w:val="00404DD8"/>
    <w:rsid w:val="00406BFE"/>
    <w:rsid w:val="004076BF"/>
    <w:rsid w:val="00411191"/>
    <w:rsid w:val="00411CF0"/>
    <w:rsid w:val="00412E8E"/>
    <w:rsid w:val="00415F7B"/>
    <w:rsid w:val="00416FC9"/>
    <w:rsid w:val="00417538"/>
    <w:rsid w:val="004177B4"/>
    <w:rsid w:val="0041793F"/>
    <w:rsid w:val="00420504"/>
    <w:rsid w:val="00424E6F"/>
    <w:rsid w:val="0042540D"/>
    <w:rsid w:val="004310C7"/>
    <w:rsid w:val="004331E9"/>
    <w:rsid w:val="00443FE3"/>
    <w:rsid w:val="00450BED"/>
    <w:rsid w:val="00451063"/>
    <w:rsid w:val="004513C2"/>
    <w:rsid w:val="00451ABA"/>
    <w:rsid w:val="00453435"/>
    <w:rsid w:val="00454E29"/>
    <w:rsid w:val="004560F5"/>
    <w:rsid w:val="004569F4"/>
    <w:rsid w:val="00456BC1"/>
    <w:rsid w:val="00463FD8"/>
    <w:rsid w:val="00466E6C"/>
    <w:rsid w:val="00472637"/>
    <w:rsid w:val="0047336E"/>
    <w:rsid w:val="004763AC"/>
    <w:rsid w:val="00476508"/>
    <w:rsid w:val="004800CF"/>
    <w:rsid w:val="004804CE"/>
    <w:rsid w:val="00480A79"/>
    <w:rsid w:val="0048376B"/>
    <w:rsid w:val="00486A8A"/>
    <w:rsid w:val="004925F7"/>
    <w:rsid w:val="004940B7"/>
    <w:rsid w:val="0049673D"/>
    <w:rsid w:val="004A1976"/>
    <w:rsid w:val="004A1F56"/>
    <w:rsid w:val="004A2074"/>
    <w:rsid w:val="004A5933"/>
    <w:rsid w:val="004A6A93"/>
    <w:rsid w:val="004A6E2E"/>
    <w:rsid w:val="004B0198"/>
    <w:rsid w:val="004B3DE6"/>
    <w:rsid w:val="004B617C"/>
    <w:rsid w:val="004C673C"/>
    <w:rsid w:val="004C6E14"/>
    <w:rsid w:val="004C7662"/>
    <w:rsid w:val="004D202D"/>
    <w:rsid w:val="004D40E3"/>
    <w:rsid w:val="004D6A71"/>
    <w:rsid w:val="004E12FF"/>
    <w:rsid w:val="004E4B60"/>
    <w:rsid w:val="004E607D"/>
    <w:rsid w:val="004F14C5"/>
    <w:rsid w:val="004F3D0D"/>
    <w:rsid w:val="00504DBF"/>
    <w:rsid w:val="00514C25"/>
    <w:rsid w:val="00516733"/>
    <w:rsid w:val="0052372C"/>
    <w:rsid w:val="00524879"/>
    <w:rsid w:val="0052503E"/>
    <w:rsid w:val="00526BBC"/>
    <w:rsid w:val="005303DD"/>
    <w:rsid w:val="005306CD"/>
    <w:rsid w:val="00530EBE"/>
    <w:rsid w:val="005333E2"/>
    <w:rsid w:val="00533BE9"/>
    <w:rsid w:val="005344F2"/>
    <w:rsid w:val="00534712"/>
    <w:rsid w:val="00535B15"/>
    <w:rsid w:val="005431CC"/>
    <w:rsid w:val="0054456F"/>
    <w:rsid w:val="00545639"/>
    <w:rsid w:val="005511F9"/>
    <w:rsid w:val="00551AA8"/>
    <w:rsid w:val="00554CE1"/>
    <w:rsid w:val="00557E2F"/>
    <w:rsid w:val="00560101"/>
    <w:rsid w:val="005637B7"/>
    <w:rsid w:val="00564A7F"/>
    <w:rsid w:val="00565777"/>
    <w:rsid w:val="005714B2"/>
    <w:rsid w:val="00573C60"/>
    <w:rsid w:val="00585B7B"/>
    <w:rsid w:val="00587C74"/>
    <w:rsid w:val="00590DD0"/>
    <w:rsid w:val="00591268"/>
    <w:rsid w:val="0059354C"/>
    <w:rsid w:val="00594DEF"/>
    <w:rsid w:val="005A02DC"/>
    <w:rsid w:val="005A03DE"/>
    <w:rsid w:val="005A077D"/>
    <w:rsid w:val="005A0EAC"/>
    <w:rsid w:val="005A518B"/>
    <w:rsid w:val="005A7608"/>
    <w:rsid w:val="005B1E9C"/>
    <w:rsid w:val="005B4B22"/>
    <w:rsid w:val="005B5C5C"/>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20CAE"/>
    <w:rsid w:val="0062334B"/>
    <w:rsid w:val="006234D3"/>
    <w:rsid w:val="00624591"/>
    <w:rsid w:val="00625948"/>
    <w:rsid w:val="00625AC4"/>
    <w:rsid w:val="00626634"/>
    <w:rsid w:val="00631D5F"/>
    <w:rsid w:val="00632290"/>
    <w:rsid w:val="00633098"/>
    <w:rsid w:val="006337E8"/>
    <w:rsid w:val="00640C60"/>
    <w:rsid w:val="00642ABF"/>
    <w:rsid w:val="0064591A"/>
    <w:rsid w:val="00653952"/>
    <w:rsid w:val="00654274"/>
    <w:rsid w:val="0065692E"/>
    <w:rsid w:val="00664540"/>
    <w:rsid w:val="0066504D"/>
    <w:rsid w:val="00666844"/>
    <w:rsid w:val="00667079"/>
    <w:rsid w:val="00672827"/>
    <w:rsid w:val="00676453"/>
    <w:rsid w:val="00676573"/>
    <w:rsid w:val="00682170"/>
    <w:rsid w:val="00685380"/>
    <w:rsid w:val="00693071"/>
    <w:rsid w:val="00693E2C"/>
    <w:rsid w:val="006A20B2"/>
    <w:rsid w:val="006A5B29"/>
    <w:rsid w:val="006A7A10"/>
    <w:rsid w:val="006B01F8"/>
    <w:rsid w:val="006B1546"/>
    <w:rsid w:val="006B2095"/>
    <w:rsid w:val="006B232C"/>
    <w:rsid w:val="006B5FDC"/>
    <w:rsid w:val="006B76EE"/>
    <w:rsid w:val="006C1D18"/>
    <w:rsid w:val="006D531B"/>
    <w:rsid w:val="006D5A81"/>
    <w:rsid w:val="006D6BB4"/>
    <w:rsid w:val="006D759A"/>
    <w:rsid w:val="006D7BDE"/>
    <w:rsid w:val="006E2009"/>
    <w:rsid w:val="006E6160"/>
    <w:rsid w:val="006E768C"/>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63F1"/>
    <w:rsid w:val="00726C59"/>
    <w:rsid w:val="00732686"/>
    <w:rsid w:val="00732A32"/>
    <w:rsid w:val="00733E34"/>
    <w:rsid w:val="00734D65"/>
    <w:rsid w:val="007351BE"/>
    <w:rsid w:val="007442E2"/>
    <w:rsid w:val="0075045D"/>
    <w:rsid w:val="00754101"/>
    <w:rsid w:val="007558B7"/>
    <w:rsid w:val="00762F8F"/>
    <w:rsid w:val="00763461"/>
    <w:rsid w:val="0076557F"/>
    <w:rsid w:val="00765AA8"/>
    <w:rsid w:val="0077133D"/>
    <w:rsid w:val="00773B13"/>
    <w:rsid w:val="00774453"/>
    <w:rsid w:val="00775647"/>
    <w:rsid w:val="00776B8D"/>
    <w:rsid w:val="00776EE1"/>
    <w:rsid w:val="00781BCE"/>
    <w:rsid w:val="00783B51"/>
    <w:rsid w:val="00791E64"/>
    <w:rsid w:val="0079317A"/>
    <w:rsid w:val="00795000"/>
    <w:rsid w:val="0079616C"/>
    <w:rsid w:val="00797264"/>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E2464"/>
    <w:rsid w:val="007E36FC"/>
    <w:rsid w:val="007E6314"/>
    <w:rsid w:val="007E7F9D"/>
    <w:rsid w:val="007F1F1C"/>
    <w:rsid w:val="007F3911"/>
    <w:rsid w:val="007F55D7"/>
    <w:rsid w:val="007F6D6B"/>
    <w:rsid w:val="0080017B"/>
    <w:rsid w:val="008034B4"/>
    <w:rsid w:val="00803645"/>
    <w:rsid w:val="00804094"/>
    <w:rsid w:val="00804959"/>
    <w:rsid w:val="00804B8C"/>
    <w:rsid w:val="00816572"/>
    <w:rsid w:val="0081704B"/>
    <w:rsid w:val="008212A7"/>
    <w:rsid w:val="0082231A"/>
    <w:rsid w:val="00831A72"/>
    <w:rsid w:val="00833325"/>
    <w:rsid w:val="00833D7A"/>
    <w:rsid w:val="00834B1C"/>
    <w:rsid w:val="0084066D"/>
    <w:rsid w:val="00842544"/>
    <w:rsid w:val="008431E8"/>
    <w:rsid w:val="00844660"/>
    <w:rsid w:val="00846518"/>
    <w:rsid w:val="00853066"/>
    <w:rsid w:val="0085329C"/>
    <w:rsid w:val="00853B4B"/>
    <w:rsid w:val="00854DCF"/>
    <w:rsid w:val="0086173C"/>
    <w:rsid w:val="008634F5"/>
    <w:rsid w:val="00865F4A"/>
    <w:rsid w:val="0086671A"/>
    <w:rsid w:val="008723BF"/>
    <w:rsid w:val="008736C0"/>
    <w:rsid w:val="00873AFB"/>
    <w:rsid w:val="0088273C"/>
    <w:rsid w:val="00887353"/>
    <w:rsid w:val="00892CEB"/>
    <w:rsid w:val="00892DC2"/>
    <w:rsid w:val="0089323C"/>
    <w:rsid w:val="00893CD2"/>
    <w:rsid w:val="008A17E9"/>
    <w:rsid w:val="008A60A4"/>
    <w:rsid w:val="008B53EA"/>
    <w:rsid w:val="008B55F4"/>
    <w:rsid w:val="008C06F7"/>
    <w:rsid w:val="008C28CD"/>
    <w:rsid w:val="008D1C7C"/>
    <w:rsid w:val="008D28DE"/>
    <w:rsid w:val="008D2C97"/>
    <w:rsid w:val="008D645D"/>
    <w:rsid w:val="008D7B3A"/>
    <w:rsid w:val="008D7D52"/>
    <w:rsid w:val="008E08B5"/>
    <w:rsid w:val="008E120E"/>
    <w:rsid w:val="008E2F5F"/>
    <w:rsid w:val="008E4101"/>
    <w:rsid w:val="008F240C"/>
    <w:rsid w:val="008F245F"/>
    <w:rsid w:val="008F5CF2"/>
    <w:rsid w:val="008F62DB"/>
    <w:rsid w:val="008F643F"/>
    <w:rsid w:val="00901B63"/>
    <w:rsid w:val="009063BF"/>
    <w:rsid w:val="00907E6F"/>
    <w:rsid w:val="00910FB5"/>
    <w:rsid w:val="0091172F"/>
    <w:rsid w:val="009122A7"/>
    <w:rsid w:val="00913388"/>
    <w:rsid w:val="00916055"/>
    <w:rsid w:val="009179FA"/>
    <w:rsid w:val="00920AFE"/>
    <w:rsid w:val="009212E2"/>
    <w:rsid w:val="00921F54"/>
    <w:rsid w:val="00923486"/>
    <w:rsid w:val="009254BE"/>
    <w:rsid w:val="00930905"/>
    <w:rsid w:val="009321E2"/>
    <w:rsid w:val="009343C2"/>
    <w:rsid w:val="00935F6C"/>
    <w:rsid w:val="00942D3A"/>
    <w:rsid w:val="00943700"/>
    <w:rsid w:val="00943C3C"/>
    <w:rsid w:val="00944333"/>
    <w:rsid w:val="00944E24"/>
    <w:rsid w:val="00951967"/>
    <w:rsid w:val="0095432B"/>
    <w:rsid w:val="0095616A"/>
    <w:rsid w:val="00957BFE"/>
    <w:rsid w:val="00961924"/>
    <w:rsid w:val="0096294C"/>
    <w:rsid w:val="009629C7"/>
    <w:rsid w:val="00962C97"/>
    <w:rsid w:val="009631D8"/>
    <w:rsid w:val="009667F8"/>
    <w:rsid w:val="00967D62"/>
    <w:rsid w:val="00970D16"/>
    <w:rsid w:val="00976CDB"/>
    <w:rsid w:val="009849CF"/>
    <w:rsid w:val="00987CF4"/>
    <w:rsid w:val="00991790"/>
    <w:rsid w:val="0099370A"/>
    <w:rsid w:val="009950B3"/>
    <w:rsid w:val="00995D97"/>
    <w:rsid w:val="009B09FE"/>
    <w:rsid w:val="009B2854"/>
    <w:rsid w:val="009B49A0"/>
    <w:rsid w:val="009C0BE4"/>
    <w:rsid w:val="009C17F0"/>
    <w:rsid w:val="009C4A7C"/>
    <w:rsid w:val="009C6731"/>
    <w:rsid w:val="009C69D5"/>
    <w:rsid w:val="009D008F"/>
    <w:rsid w:val="009D0AD7"/>
    <w:rsid w:val="009D45E8"/>
    <w:rsid w:val="009D482E"/>
    <w:rsid w:val="009D54A8"/>
    <w:rsid w:val="009D5CF1"/>
    <w:rsid w:val="009E0E18"/>
    <w:rsid w:val="009E39D6"/>
    <w:rsid w:val="009E4529"/>
    <w:rsid w:val="009E5842"/>
    <w:rsid w:val="009F0A4C"/>
    <w:rsid w:val="009F1F3A"/>
    <w:rsid w:val="009F41FE"/>
    <w:rsid w:val="009F5244"/>
    <w:rsid w:val="009F5B27"/>
    <w:rsid w:val="009F641D"/>
    <w:rsid w:val="009F6AC7"/>
    <w:rsid w:val="00A07D34"/>
    <w:rsid w:val="00A10BB0"/>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7753"/>
    <w:rsid w:val="00A62569"/>
    <w:rsid w:val="00A631A3"/>
    <w:rsid w:val="00A6630D"/>
    <w:rsid w:val="00A7205F"/>
    <w:rsid w:val="00A720FA"/>
    <w:rsid w:val="00A7341A"/>
    <w:rsid w:val="00A739AB"/>
    <w:rsid w:val="00A81A75"/>
    <w:rsid w:val="00A8706A"/>
    <w:rsid w:val="00A877FE"/>
    <w:rsid w:val="00A9391C"/>
    <w:rsid w:val="00A960A0"/>
    <w:rsid w:val="00AA0527"/>
    <w:rsid w:val="00AA2CC8"/>
    <w:rsid w:val="00AA3C68"/>
    <w:rsid w:val="00AA5CA7"/>
    <w:rsid w:val="00AB1ED1"/>
    <w:rsid w:val="00AB3339"/>
    <w:rsid w:val="00AB7722"/>
    <w:rsid w:val="00AC4230"/>
    <w:rsid w:val="00AC624B"/>
    <w:rsid w:val="00AD02C1"/>
    <w:rsid w:val="00AD1E01"/>
    <w:rsid w:val="00AD32CE"/>
    <w:rsid w:val="00AD4674"/>
    <w:rsid w:val="00AD4F07"/>
    <w:rsid w:val="00AE3049"/>
    <w:rsid w:val="00AE38F5"/>
    <w:rsid w:val="00AE4B54"/>
    <w:rsid w:val="00AE5461"/>
    <w:rsid w:val="00AF0996"/>
    <w:rsid w:val="00AF3580"/>
    <w:rsid w:val="00B002F8"/>
    <w:rsid w:val="00B010A9"/>
    <w:rsid w:val="00B039A9"/>
    <w:rsid w:val="00B0417C"/>
    <w:rsid w:val="00B06326"/>
    <w:rsid w:val="00B106F1"/>
    <w:rsid w:val="00B109B1"/>
    <w:rsid w:val="00B10B0B"/>
    <w:rsid w:val="00B1425E"/>
    <w:rsid w:val="00B244D4"/>
    <w:rsid w:val="00B25F1D"/>
    <w:rsid w:val="00B2782A"/>
    <w:rsid w:val="00B336D8"/>
    <w:rsid w:val="00B34BFA"/>
    <w:rsid w:val="00B356A4"/>
    <w:rsid w:val="00B411EC"/>
    <w:rsid w:val="00B429CA"/>
    <w:rsid w:val="00B45EDD"/>
    <w:rsid w:val="00B45F3D"/>
    <w:rsid w:val="00B50F81"/>
    <w:rsid w:val="00B5360F"/>
    <w:rsid w:val="00B57455"/>
    <w:rsid w:val="00B61F69"/>
    <w:rsid w:val="00B6216C"/>
    <w:rsid w:val="00B70B33"/>
    <w:rsid w:val="00B80C47"/>
    <w:rsid w:val="00B81322"/>
    <w:rsid w:val="00B862CD"/>
    <w:rsid w:val="00B94951"/>
    <w:rsid w:val="00B95D33"/>
    <w:rsid w:val="00B96B6E"/>
    <w:rsid w:val="00B96CA3"/>
    <w:rsid w:val="00B97591"/>
    <w:rsid w:val="00BA006C"/>
    <w:rsid w:val="00BA20B0"/>
    <w:rsid w:val="00BA3159"/>
    <w:rsid w:val="00BA372F"/>
    <w:rsid w:val="00BA7940"/>
    <w:rsid w:val="00BB302C"/>
    <w:rsid w:val="00BC0D9F"/>
    <w:rsid w:val="00BC6786"/>
    <w:rsid w:val="00BC7009"/>
    <w:rsid w:val="00BD1AD6"/>
    <w:rsid w:val="00BD1DB2"/>
    <w:rsid w:val="00BD41A8"/>
    <w:rsid w:val="00BD696A"/>
    <w:rsid w:val="00BD6CDF"/>
    <w:rsid w:val="00BE072E"/>
    <w:rsid w:val="00BE13F2"/>
    <w:rsid w:val="00BE2B40"/>
    <w:rsid w:val="00BE3D54"/>
    <w:rsid w:val="00BE70E1"/>
    <w:rsid w:val="00BF0C10"/>
    <w:rsid w:val="00BF1719"/>
    <w:rsid w:val="00BF29D7"/>
    <w:rsid w:val="00BF4049"/>
    <w:rsid w:val="00BF482E"/>
    <w:rsid w:val="00BF4B8B"/>
    <w:rsid w:val="00BF5486"/>
    <w:rsid w:val="00BF6FE8"/>
    <w:rsid w:val="00BF7C57"/>
    <w:rsid w:val="00C06955"/>
    <w:rsid w:val="00C13B05"/>
    <w:rsid w:val="00C221FB"/>
    <w:rsid w:val="00C23CCC"/>
    <w:rsid w:val="00C24859"/>
    <w:rsid w:val="00C25CDA"/>
    <w:rsid w:val="00C301CF"/>
    <w:rsid w:val="00C31183"/>
    <w:rsid w:val="00C31C0D"/>
    <w:rsid w:val="00C33847"/>
    <w:rsid w:val="00C40D08"/>
    <w:rsid w:val="00C41BA9"/>
    <w:rsid w:val="00C42121"/>
    <w:rsid w:val="00C451CB"/>
    <w:rsid w:val="00C46F8F"/>
    <w:rsid w:val="00C54FEB"/>
    <w:rsid w:val="00C55762"/>
    <w:rsid w:val="00C60214"/>
    <w:rsid w:val="00C62163"/>
    <w:rsid w:val="00C7220E"/>
    <w:rsid w:val="00C758FD"/>
    <w:rsid w:val="00C77DF4"/>
    <w:rsid w:val="00C8314D"/>
    <w:rsid w:val="00C84C2B"/>
    <w:rsid w:val="00C85CD7"/>
    <w:rsid w:val="00C87AEC"/>
    <w:rsid w:val="00C92FD7"/>
    <w:rsid w:val="00C93F04"/>
    <w:rsid w:val="00C94CAC"/>
    <w:rsid w:val="00C9721C"/>
    <w:rsid w:val="00C979E0"/>
    <w:rsid w:val="00CA2CEA"/>
    <w:rsid w:val="00CA41C9"/>
    <w:rsid w:val="00CA6985"/>
    <w:rsid w:val="00CB15EC"/>
    <w:rsid w:val="00CB483C"/>
    <w:rsid w:val="00CB5545"/>
    <w:rsid w:val="00CB5F57"/>
    <w:rsid w:val="00CB6605"/>
    <w:rsid w:val="00CB7A72"/>
    <w:rsid w:val="00CC3E80"/>
    <w:rsid w:val="00CC49D6"/>
    <w:rsid w:val="00CD39F8"/>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5AF6"/>
    <w:rsid w:val="00D364D3"/>
    <w:rsid w:val="00D4125D"/>
    <w:rsid w:val="00D43C39"/>
    <w:rsid w:val="00D50C0B"/>
    <w:rsid w:val="00D51380"/>
    <w:rsid w:val="00D551F2"/>
    <w:rsid w:val="00D61A7B"/>
    <w:rsid w:val="00D714BA"/>
    <w:rsid w:val="00D75260"/>
    <w:rsid w:val="00D75B70"/>
    <w:rsid w:val="00D820D1"/>
    <w:rsid w:val="00D82401"/>
    <w:rsid w:val="00D82AE2"/>
    <w:rsid w:val="00D850A4"/>
    <w:rsid w:val="00D85715"/>
    <w:rsid w:val="00D934BA"/>
    <w:rsid w:val="00D93950"/>
    <w:rsid w:val="00D96230"/>
    <w:rsid w:val="00D96853"/>
    <w:rsid w:val="00D96FCD"/>
    <w:rsid w:val="00DA20D6"/>
    <w:rsid w:val="00DA2B2B"/>
    <w:rsid w:val="00DA30DA"/>
    <w:rsid w:val="00DA77B4"/>
    <w:rsid w:val="00DA7BE4"/>
    <w:rsid w:val="00DB16B2"/>
    <w:rsid w:val="00DB6BB3"/>
    <w:rsid w:val="00DB7AA7"/>
    <w:rsid w:val="00DC11F3"/>
    <w:rsid w:val="00DC4DFE"/>
    <w:rsid w:val="00DC5E40"/>
    <w:rsid w:val="00DC7BFF"/>
    <w:rsid w:val="00DD07FE"/>
    <w:rsid w:val="00DD162F"/>
    <w:rsid w:val="00DE1B77"/>
    <w:rsid w:val="00DE3025"/>
    <w:rsid w:val="00DE463E"/>
    <w:rsid w:val="00DE56CB"/>
    <w:rsid w:val="00DE7C0F"/>
    <w:rsid w:val="00DF44D5"/>
    <w:rsid w:val="00DF5003"/>
    <w:rsid w:val="00DF5932"/>
    <w:rsid w:val="00E0777F"/>
    <w:rsid w:val="00E10EA9"/>
    <w:rsid w:val="00E1136E"/>
    <w:rsid w:val="00E1182B"/>
    <w:rsid w:val="00E167E0"/>
    <w:rsid w:val="00E16A35"/>
    <w:rsid w:val="00E216EA"/>
    <w:rsid w:val="00E21B4B"/>
    <w:rsid w:val="00E27F1F"/>
    <w:rsid w:val="00E33A6E"/>
    <w:rsid w:val="00E33CDF"/>
    <w:rsid w:val="00E34D42"/>
    <w:rsid w:val="00E3681A"/>
    <w:rsid w:val="00E379F0"/>
    <w:rsid w:val="00E37D81"/>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1CA7"/>
    <w:rsid w:val="00E86C41"/>
    <w:rsid w:val="00E87358"/>
    <w:rsid w:val="00E91DF4"/>
    <w:rsid w:val="00E973B3"/>
    <w:rsid w:val="00EA709C"/>
    <w:rsid w:val="00EB3208"/>
    <w:rsid w:val="00EB7D72"/>
    <w:rsid w:val="00EC0598"/>
    <w:rsid w:val="00EC0869"/>
    <w:rsid w:val="00EC44B4"/>
    <w:rsid w:val="00EC6941"/>
    <w:rsid w:val="00EC7BBC"/>
    <w:rsid w:val="00ED29EB"/>
    <w:rsid w:val="00ED6681"/>
    <w:rsid w:val="00EE4748"/>
    <w:rsid w:val="00EE47BE"/>
    <w:rsid w:val="00EE4FC1"/>
    <w:rsid w:val="00EE676B"/>
    <w:rsid w:val="00EE7D3E"/>
    <w:rsid w:val="00F00F9F"/>
    <w:rsid w:val="00F01660"/>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81A9F"/>
    <w:rsid w:val="00F83581"/>
    <w:rsid w:val="00F8549E"/>
    <w:rsid w:val="00F85AF0"/>
    <w:rsid w:val="00F85BE4"/>
    <w:rsid w:val="00F862B1"/>
    <w:rsid w:val="00F8736F"/>
    <w:rsid w:val="00F951E3"/>
    <w:rsid w:val="00FA1C8C"/>
    <w:rsid w:val="00FA2563"/>
    <w:rsid w:val="00FA3C12"/>
    <w:rsid w:val="00FB4613"/>
    <w:rsid w:val="00FB4C81"/>
    <w:rsid w:val="00FB6841"/>
    <w:rsid w:val="00FC6855"/>
    <w:rsid w:val="00FC73D9"/>
    <w:rsid w:val="00FC7A5E"/>
    <w:rsid w:val="00FD35D0"/>
    <w:rsid w:val="00FD681B"/>
    <w:rsid w:val="00FD7331"/>
    <w:rsid w:val="00FE0E03"/>
    <w:rsid w:val="00FE3414"/>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6</Pages>
  <Words>1451</Words>
  <Characters>10004</Characters>
  <Application>Microsoft Office Word</Application>
  <DocSecurity>0</DocSecurity>
  <Lines>454</Lines>
  <Paragraphs>216</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 Sporta un jaunatnes departamenta vecākais referents K.Randohs
67047982, kaspars.randohs@izm.gov.lv</dc:description>
  <cp:lastModifiedBy>Edgars Severs</cp:lastModifiedBy>
  <cp:revision>252</cp:revision>
  <cp:lastPrinted>2012-05-15T10:00:00Z</cp:lastPrinted>
  <dcterms:created xsi:type="dcterms:W3CDTF">2012-05-18T10:48:00Z</dcterms:created>
  <dcterms:modified xsi:type="dcterms:W3CDTF">2012-10-25T08:17:00Z</dcterms:modified>
</cp:coreProperties>
</file>