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C13B05" w:rsidRDefault="005D6B8A" w:rsidP="005D6B8A">
      <w:pPr>
        <w:jc w:val="center"/>
        <w:rPr>
          <w:b/>
          <w:sz w:val="26"/>
          <w:szCs w:val="26"/>
        </w:rPr>
      </w:pPr>
      <w:bookmarkStart w:id="0" w:name="OLE_LINK3"/>
      <w:bookmarkStart w:id="1" w:name="OLE_LINK4"/>
      <w:bookmarkStart w:id="2" w:name="OLE_LINK1"/>
      <w:r w:rsidRPr="00C13B05">
        <w:rPr>
          <w:b/>
          <w:sz w:val="26"/>
          <w:szCs w:val="26"/>
        </w:rPr>
        <w:t>Ministru kabineta rīkojuma projekta</w:t>
      </w:r>
    </w:p>
    <w:p w:rsidR="00585B7B" w:rsidRPr="00C13B05" w:rsidRDefault="005D6B8A" w:rsidP="005D6B8A">
      <w:pPr>
        <w:jc w:val="center"/>
        <w:rPr>
          <w:b/>
          <w:sz w:val="26"/>
          <w:szCs w:val="26"/>
        </w:rPr>
      </w:pPr>
      <w:r w:rsidRPr="00C13B05">
        <w:rPr>
          <w:b/>
          <w:sz w:val="26"/>
          <w:szCs w:val="26"/>
        </w:rPr>
        <w:t xml:space="preserve">„Par finanšu līdzekļu piešķiršanu no valsts budžeta programmas „Līdzekļi neparedzētiem gadījumiem”” </w:t>
      </w:r>
      <w:r w:rsidR="00585B7B" w:rsidRPr="00C13B05">
        <w:rPr>
          <w:b/>
          <w:sz w:val="26"/>
          <w:szCs w:val="26"/>
        </w:rPr>
        <w:t xml:space="preserve">sākotnējās ietekmes novērtējuma </w:t>
      </w:r>
      <w:smartTag w:uri="schemas-tilde-lv/tildestengine" w:element="veidnes">
        <w:smartTagPr>
          <w:attr w:name="text" w:val="ziņojums"/>
          <w:attr w:name="baseform" w:val="ziņojums"/>
          <w:attr w:name="id" w:val="-1"/>
        </w:smartTagPr>
        <w:r w:rsidR="00585B7B" w:rsidRPr="00C13B05">
          <w:rPr>
            <w:b/>
            <w:sz w:val="26"/>
            <w:szCs w:val="26"/>
          </w:rPr>
          <w:t>ziņojums</w:t>
        </w:r>
      </w:smartTag>
      <w:r w:rsidR="00585B7B" w:rsidRPr="00C13B05">
        <w:rPr>
          <w:b/>
          <w:sz w:val="26"/>
          <w:szCs w:val="26"/>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82231A" w:rsidRPr="00C13B05" w:rsidRDefault="00FE0E03" w:rsidP="00FE0E03">
            <w:pPr>
              <w:ind w:left="142" w:right="127"/>
              <w:jc w:val="both"/>
              <w:rPr>
                <w:sz w:val="26"/>
                <w:szCs w:val="26"/>
              </w:rPr>
            </w:pPr>
            <w:r w:rsidRPr="00C13B05">
              <w:rPr>
                <w:sz w:val="26"/>
                <w:szCs w:val="26"/>
              </w:rPr>
              <w:t>1</w:t>
            </w:r>
            <w:r w:rsidR="00466E6C" w:rsidRPr="00C13B05">
              <w:rPr>
                <w:sz w:val="26"/>
                <w:szCs w:val="26"/>
              </w:rPr>
              <w:t xml:space="preserve">) </w:t>
            </w:r>
            <w:r w:rsidR="008431E8" w:rsidRPr="00C13B05">
              <w:rPr>
                <w:sz w:val="26"/>
                <w:szCs w:val="26"/>
              </w:rPr>
              <w:t>Ministru kabineta 2009.gada 22.decembra noteikumu Nr.1644 „Kārtība, kādā pieprasa un izlieto budžeta programmas „Līdzekļi neparedzētiem gadījumiem</w:t>
            </w:r>
            <w:r w:rsidR="00AB1ED1" w:rsidRPr="00C13B05">
              <w:rPr>
                <w:sz w:val="26"/>
                <w:szCs w:val="26"/>
              </w:rPr>
              <w:t>”</w:t>
            </w:r>
            <w:r w:rsidR="008431E8" w:rsidRPr="00C13B05">
              <w:rPr>
                <w:sz w:val="26"/>
                <w:szCs w:val="26"/>
              </w:rPr>
              <w:t xml:space="preserve"> līdzekļus” 2.punkts.</w:t>
            </w:r>
          </w:p>
          <w:p w:rsidR="00466E6C" w:rsidRPr="00C13B05" w:rsidRDefault="00466E6C" w:rsidP="008431E8">
            <w:pPr>
              <w:ind w:left="142" w:right="127" w:firstLine="14"/>
              <w:jc w:val="both"/>
              <w:rPr>
                <w:sz w:val="26"/>
                <w:szCs w:val="26"/>
              </w:rPr>
            </w:pPr>
          </w:p>
          <w:p w:rsidR="00466E6C" w:rsidRPr="00C13B05" w:rsidRDefault="00FE0E03" w:rsidP="00C24859">
            <w:pPr>
              <w:ind w:left="142" w:right="127"/>
              <w:jc w:val="both"/>
              <w:rPr>
                <w:sz w:val="26"/>
                <w:szCs w:val="26"/>
              </w:rPr>
            </w:pPr>
            <w:r w:rsidRPr="00C13B05">
              <w:rPr>
                <w:sz w:val="26"/>
                <w:szCs w:val="26"/>
              </w:rPr>
              <w:t>2</w:t>
            </w:r>
            <w:r w:rsidR="00466E6C" w:rsidRPr="00C13B05">
              <w:rPr>
                <w:sz w:val="26"/>
                <w:szCs w:val="26"/>
              </w:rPr>
              <w:t xml:space="preserve">) </w:t>
            </w:r>
            <w:r w:rsidR="009B09FE" w:rsidRPr="00C13B05">
              <w:rPr>
                <w:sz w:val="26"/>
                <w:szCs w:val="26"/>
              </w:rPr>
              <w:t xml:space="preserve"> Nepieciešamība</w:t>
            </w:r>
            <w:r w:rsidR="00D24CBA" w:rsidRPr="00C13B05">
              <w:rPr>
                <w:sz w:val="26"/>
                <w:szCs w:val="26"/>
              </w:rPr>
              <w:t xml:space="preserve"> steidzami</w:t>
            </w:r>
            <w:r w:rsidR="009B09FE" w:rsidRPr="00C13B05">
              <w:rPr>
                <w:sz w:val="26"/>
                <w:szCs w:val="26"/>
              </w:rPr>
              <w:t xml:space="preserve"> </w:t>
            </w:r>
            <w:r w:rsidR="00C24859">
              <w:rPr>
                <w:sz w:val="26"/>
                <w:szCs w:val="26"/>
              </w:rPr>
              <w:t>piešķirt</w:t>
            </w:r>
            <w:r w:rsidR="009B09FE" w:rsidRPr="00C13B05">
              <w:rPr>
                <w:sz w:val="26"/>
                <w:szCs w:val="26"/>
              </w:rPr>
              <w:t xml:space="preserve"> </w:t>
            </w:r>
            <w:r w:rsidR="00F30399" w:rsidRPr="00C13B05">
              <w:rPr>
                <w:sz w:val="26"/>
                <w:szCs w:val="26"/>
              </w:rPr>
              <w:t xml:space="preserve">papildu valsts budžeta </w:t>
            </w:r>
            <w:r w:rsidR="00B862CD" w:rsidRPr="00C13B05">
              <w:rPr>
                <w:sz w:val="26"/>
                <w:szCs w:val="26"/>
              </w:rPr>
              <w:t>līdz</w:t>
            </w:r>
            <w:r w:rsidR="00F30399" w:rsidRPr="00C13B05">
              <w:rPr>
                <w:sz w:val="26"/>
                <w:szCs w:val="26"/>
              </w:rPr>
              <w:t>finansējumu</w:t>
            </w:r>
            <w:r w:rsidR="00B862CD" w:rsidRPr="00C13B05">
              <w:rPr>
                <w:sz w:val="26"/>
                <w:szCs w:val="26"/>
              </w:rPr>
              <w:t xml:space="preserve"> handbola</w:t>
            </w:r>
            <w:r w:rsidR="000730C8">
              <w:rPr>
                <w:sz w:val="26"/>
                <w:szCs w:val="26"/>
              </w:rPr>
              <w:t xml:space="preserve">, volejbola </w:t>
            </w:r>
            <w:r w:rsidR="00B862CD" w:rsidRPr="00C13B05">
              <w:rPr>
                <w:sz w:val="26"/>
                <w:szCs w:val="26"/>
              </w:rPr>
              <w:t>un šaha izlasēm, lai nodrošinātu to gatavošanos un dalību nozīmīgās starptautiskās sporta sacensībās.</w:t>
            </w:r>
          </w:p>
        </w:tc>
      </w:tr>
      <w:tr w:rsidR="00585B7B" w:rsidRPr="00C13B05" w:rsidTr="00795000">
        <w:trPr>
          <w:trHeight w:val="1128"/>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85329C" w:rsidRDefault="0060231D" w:rsidP="00795000">
            <w:pPr>
              <w:ind w:left="142" w:right="127"/>
              <w:jc w:val="both"/>
              <w:rPr>
                <w:sz w:val="26"/>
                <w:szCs w:val="26"/>
              </w:rPr>
            </w:pPr>
            <w:r w:rsidRPr="00C13B05">
              <w:rPr>
                <w:sz w:val="26"/>
                <w:szCs w:val="26"/>
              </w:rPr>
              <w:t>Izglītības un zinātnes ministrija (turpmāk – ministrija), kura saskaņā ar Sporta likuma 5.panta pirmo daļu pilda valsts pārvaldes funkcijas sporta nozarē, kā arī saskaņā ar Ministru kabineta 2003.gada 16.septembra noteikumu Nr.528 „Izglītības un zinātnes ministrijas nolikums” 5.21.punktu nodrošina ministrijai iedalīto valsts budžeta līdzekļu izmantošanu paredzētajiem mērķiem un saskaņā ar 5.21.</w:t>
            </w:r>
            <w:r w:rsidRPr="009C6731">
              <w:rPr>
                <w:sz w:val="26"/>
                <w:szCs w:val="26"/>
                <w:vertAlign w:val="superscript"/>
              </w:rPr>
              <w:t>5</w:t>
            </w:r>
            <w:r w:rsidRPr="00C13B05">
              <w:rPr>
                <w:sz w:val="26"/>
                <w:szCs w:val="26"/>
              </w:rPr>
              <w:t xml:space="preserve"> punktu atbilstoši likumā par valsts budžetu kārtējam gadam piešķirtajai apropriācijai administrē sportam piešķirtos valsts budžeta līdzekļus, </w:t>
            </w:r>
            <w:r w:rsidR="00403794" w:rsidRPr="00C13B05">
              <w:rPr>
                <w:sz w:val="26"/>
                <w:szCs w:val="26"/>
              </w:rPr>
              <w:t>ir saņēmusi</w:t>
            </w:r>
            <w:r w:rsidRPr="00C13B05">
              <w:rPr>
                <w:sz w:val="26"/>
                <w:szCs w:val="26"/>
              </w:rPr>
              <w:t xml:space="preserve"> biedrības „Latvijas Komandu sporta spēļu asociācija” (turpmāk – LKSSA) 2012.gada 27.aprīļa vēstuli Nr.7</w:t>
            </w:r>
            <w:r w:rsidR="00EA709C">
              <w:rPr>
                <w:sz w:val="26"/>
                <w:szCs w:val="26"/>
              </w:rPr>
              <w:t xml:space="preserve"> (turpmāk – vēstule)</w:t>
            </w:r>
            <w:r w:rsidRPr="00C13B05">
              <w:rPr>
                <w:sz w:val="26"/>
                <w:szCs w:val="26"/>
              </w:rPr>
              <w:t>, kurā LKSSA</w:t>
            </w:r>
            <w:r w:rsidR="00BC7009">
              <w:rPr>
                <w:sz w:val="26"/>
                <w:szCs w:val="26"/>
              </w:rPr>
              <w:t xml:space="preserve">, atsaucoties uz 2012.gada 11.aprīļa tikšanās laikā ar Ministru prezidentu </w:t>
            </w:r>
            <w:r w:rsidR="0085329C">
              <w:rPr>
                <w:sz w:val="26"/>
                <w:szCs w:val="26"/>
              </w:rPr>
              <w:t>V.Dombrovski</w:t>
            </w:r>
            <w:r w:rsidR="00BC7009">
              <w:rPr>
                <w:sz w:val="26"/>
                <w:szCs w:val="26"/>
              </w:rPr>
              <w:t xml:space="preserve"> un izglītības un zinātnes ministru R.Ķīli panākto vienošanos par </w:t>
            </w:r>
            <w:r w:rsidR="00AD32CE">
              <w:rPr>
                <w:sz w:val="26"/>
                <w:szCs w:val="26"/>
              </w:rPr>
              <w:t xml:space="preserve">informācijas apkopošanu saistībā ar </w:t>
            </w:r>
            <w:r w:rsidR="00BC7009">
              <w:rPr>
                <w:sz w:val="26"/>
                <w:szCs w:val="26"/>
              </w:rPr>
              <w:t xml:space="preserve">komandu sporta spēļu sporta federāciju akūtajām vajadzībām un iztrūkstošo valsts budžeta finansējumu, kas nepieciešams nacionālo izlašu sagatavošanās cikliem un dalībai attiecīgajās starptautiskajās sacensībās 2012.gadā, </w:t>
            </w:r>
            <w:r w:rsidRPr="00C13B05">
              <w:rPr>
                <w:sz w:val="26"/>
                <w:szCs w:val="26"/>
              </w:rPr>
              <w:t xml:space="preserve">lūdz piešķirt </w:t>
            </w:r>
            <w:r w:rsidR="00BD1DB2" w:rsidRPr="00C13B05">
              <w:rPr>
                <w:sz w:val="26"/>
                <w:szCs w:val="26"/>
              </w:rPr>
              <w:t xml:space="preserve">papildu </w:t>
            </w:r>
            <w:r w:rsidR="00B45EDD" w:rsidRPr="00C13B05">
              <w:rPr>
                <w:sz w:val="26"/>
                <w:szCs w:val="26"/>
              </w:rPr>
              <w:t>valsts budžeta finansējumu 516</w:t>
            </w:r>
            <w:r w:rsidR="00C13B05">
              <w:rPr>
                <w:sz w:val="26"/>
                <w:szCs w:val="26"/>
              </w:rPr>
              <w:t>`</w:t>
            </w:r>
            <w:r w:rsidRPr="00C13B05">
              <w:rPr>
                <w:sz w:val="26"/>
                <w:szCs w:val="26"/>
              </w:rPr>
              <w:t xml:space="preserve">000 latu apmērā. </w:t>
            </w:r>
            <w:r w:rsidR="001673FC" w:rsidRPr="00C13B05">
              <w:rPr>
                <w:sz w:val="26"/>
                <w:szCs w:val="26"/>
              </w:rPr>
              <w:t xml:space="preserve">LKSSA ir sporta organizācija, kuras biedru sastāvu veido septiņas </w:t>
            </w:r>
            <w:r w:rsidR="00626634">
              <w:rPr>
                <w:sz w:val="26"/>
                <w:szCs w:val="26"/>
              </w:rPr>
              <w:t xml:space="preserve">Sporta likumā noteiktā kārtībā atzītas </w:t>
            </w:r>
            <w:r w:rsidR="001673FC" w:rsidRPr="00C13B05">
              <w:rPr>
                <w:sz w:val="26"/>
                <w:szCs w:val="26"/>
              </w:rPr>
              <w:t>komandu s</w:t>
            </w:r>
            <w:r w:rsidR="00EA709C">
              <w:rPr>
                <w:sz w:val="26"/>
                <w:szCs w:val="26"/>
              </w:rPr>
              <w:t>porta spēļu sporta federācijas.</w:t>
            </w:r>
          </w:p>
          <w:p w:rsidR="00EA709C" w:rsidRDefault="00EA709C" w:rsidP="00795000">
            <w:pPr>
              <w:ind w:left="142" w:right="127"/>
              <w:jc w:val="both"/>
              <w:rPr>
                <w:sz w:val="26"/>
                <w:szCs w:val="26"/>
              </w:rPr>
            </w:pPr>
          </w:p>
          <w:p w:rsidR="007B25D4" w:rsidRDefault="00EA709C" w:rsidP="00795000">
            <w:pPr>
              <w:ind w:left="142" w:right="127"/>
              <w:jc w:val="both"/>
              <w:rPr>
                <w:sz w:val="26"/>
                <w:szCs w:val="26"/>
              </w:rPr>
            </w:pPr>
            <w:r>
              <w:rPr>
                <w:sz w:val="26"/>
                <w:szCs w:val="26"/>
              </w:rPr>
              <w:t xml:space="preserve">LKSSA vēstulē papildus pieprasītā finansējuma sadalījums starp LKSSA biedriem ir šāds: (1) biedrība „Latvijas Basketbola savienība” – 106`789 lati; (2) biedrība „Latvijas Volejbola federācija” – 62`976 lati; (3) biedrība „Latvijas Hokeja federācija” – 127`619 lati; (4) biedrība „Latvijas Florbola savienība” – 46`181 lats; (5) biedrība „Latvijas Handbola federācija” – 41`560 lati; (6) biedrība „Latvijas Futbola federācija” – 75`427 lati; (7) biedrība „Latvijas </w:t>
            </w:r>
            <w:proofErr w:type="spellStart"/>
            <w:r>
              <w:rPr>
                <w:sz w:val="26"/>
                <w:szCs w:val="26"/>
              </w:rPr>
              <w:lastRenderedPageBreak/>
              <w:t>Lakrosa</w:t>
            </w:r>
            <w:proofErr w:type="spellEnd"/>
            <w:r>
              <w:rPr>
                <w:sz w:val="26"/>
                <w:szCs w:val="26"/>
              </w:rPr>
              <w:t xml:space="preserve"> federācija” – 6775 lati.</w:t>
            </w:r>
            <w:r w:rsidR="009D008F">
              <w:rPr>
                <w:sz w:val="26"/>
                <w:szCs w:val="26"/>
              </w:rPr>
              <w:t xml:space="preserve"> LKSSA vēstulei pievienots gan steidzamības pamatojums finansējuma piešķiršanai, gan </w:t>
            </w:r>
            <w:r w:rsidR="007B25D4">
              <w:rPr>
                <w:sz w:val="26"/>
                <w:szCs w:val="26"/>
              </w:rPr>
              <w:t>arī iespējamo risku uzskaitījums līdzekļu nepiešķiršanas gadījumā.</w:t>
            </w:r>
          </w:p>
          <w:p w:rsidR="007B25D4" w:rsidRDefault="007B25D4" w:rsidP="00795000">
            <w:pPr>
              <w:ind w:left="142" w:right="127"/>
              <w:jc w:val="both"/>
              <w:rPr>
                <w:sz w:val="26"/>
                <w:szCs w:val="26"/>
              </w:rPr>
            </w:pPr>
          </w:p>
          <w:p w:rsidR="00795000" w:rsidRPr="00C13B05" w:rsidRDefault="00403794" w:rsidP="00795000">
            <w:pPr>
              <w:ind w:left="142" w:right="127"/>
              <w:jc w:val="both"/>
              <w:rPr>
                <w:sz w:val="26"/>
                <w:szCs w:val="26"/>
              </w:rPr>
            </w:pPr>
            <w:r w:rsidRPr="00C13B05">
              <w:rPr>
                <w:sz w:val="26"/>
                <w:szCs w:val="26"/>
              </w:rPr>
              <w:t>Tāpat ministrija ir saņēmusi biedr</w:t>
            </w:r>
            <w:r w:rsidR="00B95D33" w:rsidRPr="00C13B05">
              <w:rPr>
                <w:sz w:val="26"/>
                <w:szCs w:val="26"/>
              </w:rPr>
              <w:t xml:space="preserve">ības „Latvijas Šaha federācija” 2012.gada 8.maija </w:t>
            </w:r>
            <w:r w:rsidRPr="00C13B05">
              <w:rPr>
                <w:sz w:val="26"/>
                <w:szCs w:val="26"/>
              </w:rPr>
              <w:t xml:space="preserve">vēstuli Nr.N-12/7, kurā </w:t>
            </w:r>
            <w:r w:rsidR="00B95D33" w:rsidRPr="00C13B05">
              <w:rPr>
                <w:sz w:val="26"/>
                <w:szCs w:val="26"/>
              </w:rPr>
              <w:t xml:space="preserve"> </w:t>
            </w:r>
            <w:r w:rsidR="0085329C">
              <w:rPr>
                <w:sz w:val="26"/>
                <w:szCs w:val="26"/>
              </w:rPr>
              <w:t>ministrijai tiek lūgts</w:t>
            </w:r>
            <w:r w:rsidRPr="00C13B05">
              <w:rPr>
                <w:sz w:val="26"/>
                <w:szCs w:val="26"/>
              </w:rPr>
              <w:t xml:space="preserve"> finansiāl</w:t>
            </w:r>
            <w:r w:rsidR="0085329C">
              <w:rPr>
                <w:sz w:val="26"/>
                <w:szCs w:val="26"/>
              </w:rPr>
              <w:t>s</w:t>
            </w:r>
            <w:r w:rsidRPr="00C13B05">
              <w:rPr>
                <w:sz w:val="26"/>
                <w:szCs w:val="26"/>
              </w:rPr>
              <w:t xml:space="preserve"> atbalst</w:t>
            </w:r>
            <w:r w:rsidR="0085329C">
              <w:rPr>
                <w:sz w:val="26"/>
                <w:szCs w:val="26"/>
              </w:rPr>
              <w:t>s</w:t>
            </w:r>
            <w:r w:rsidRPr="00C13B05">
              <w:rPr>
                <w:sz w:val="26"/>
                <w:szCs w:val="26"/>
              </w:rPr>
              <w:t xml:space="preserve"> 10`000 latu apmērā, lai segtu izdevumus, kas saistīti ar Latvijas šah</w:t>
            </w:r>
            <w:r w:rsidR="00F72CE7" w:rsidRPr="00C13B05">
              <w:rPr>
                <w:sz w:val="26"/>
                <w:szCs w:val="26"/>
              </w:rPr>
              <w:t xml:space="preserve">a izlases </w:t>
            </w:r>
            <w:r w:rsidR="0085329C">
              <w:rPr>
                <w:sz w:val="26"/>
                <w:szCs w:val="26"/>
              </w:rPr>
              <w:t>dalību P</w:t>
            </w:r>
            <w:r w:rsidR="00F72CE7" w:rsidRPr="00C13B05">
              <w:rPr>
                <w:sz w:val="26"/>
                <w:szCs w:val="26"/>
              </w:rPr>
              <w:t>asaules Šaha o</w:t>
            </w:r>
            <w:r w:rsidRPr="00C13B05">
              <w:rPr>
                <w:sz w:val="26"/>
                <w:szCs w:val="26"/>
              </w:rPr>
              <w:t xml:space="preserve">limpiādē Turcijā no </w:t>
            </w:r>
            <w:r w:rsidR="0085329C">
              <w:rPr>
                <w:sz w:val="26"/>
                <w:szCs w:val="26"/>
              </w:rPr>
              <w:t xml:space="preserve">2012.gada </w:t>
            </w:r>
            <w:r w:rsidRPr="00C13B05">
              <w:rPr>
                <w:sz w:val="26"/>
                <w:szCs w:val="26"/>
              </w:rPr>
              <w:t xml:space="preserve">27.augusta līdz 10.septembrim.  </w:t>
            </w:r>
            <w:r w:rsidR="0060231D" w:rsidRPr="00C13B05">
              <w:rPr>
                <w:sz w:val="26"/>
                <w:szCs w:val="26"/>
              </w:rPr>
              <w:t xml:space="preserve"> </w:t>
            </w:r>
          </w:p>
          <w:p w:rsidR="002E40BB" w:rsidRPr="00C13B05" w:rsidRDefault="002E40BB" w:rsidP="00F83581">
            <w:pPr>
              <w:ind w:left="142" w:right="127"/>
              <w:jc w:val="both"/>
              <w:rPr>
                <w:sz w:val="26"/>
                <w:szCs w:val="26"/>
              </w:rPr>
            </w:pPr>
          </w:p>
          <w:p w:rsidR="00EE4748" w:rsidRDefault="00EE4748" w:rsidP="00EE4748">
            <w:pPr>
              <w:ind w:left="142" w:right="141" w:firstLine="25"/>
              <w:jc w:val="both"/>
              <w:rPr>
                <w:sz w:val="26"/>
                <w:szCs w:val="26"/>
              </w:rPr>
            </w:pPr>
            <w:r w:rsidRPr="00331B78">
              <w:rPr>
                <w:sz w:val="26"/>
                <w:szCs w:val="26"/>
              </w:rPr>
              <w:t xml:space="preserve">Saskaņā ar Sporta likuma 13.panta piekto daļu valsts finansiāli nodrošina valsts izlases komandu sporta spēlēs sagatavošanos un piedalīšanos Eiropas un pasaules čempionātu un Olimpisko spēļu atlases turnīros un finālsacensībās Ministru kabineta noteiktajā kārtībā. Minētā kārtība ir noteikta Ministru kabineta 2009.gada 28.jūlija noteikumos Nr.819 „Kārtība, kādā valsts finansiāli nodrošina valsts izlases komandu sporta spēlēs sagatavošanos un piedalīšanos Eiropas un pasaules čempionātu un olimpisko spēļu atlases turnīros un finālsacensībās”. </w:t>
            </w:r>
            <w:r w:rsidRPr="00C13B05">
              <w:rPr>
                <w:sz w:val="26"/>
                <w:szCs w:val="26"/>
              </w:rPr>
              <w:t xml:space="preserve">Finansējuma avots, lai nodrošinātu valsts izlases komandu sporta spēlēs gatavošanos un piedalīšanos </w:t>
            </w:r>
            <w:r w:rsidR="003445A2">
              <w:t xml:space="preserve"> </w:t>
            </w:r>
            <w:r w:rsidR="003445A2" w:rsidRPr="003445A2">
              <w:rPr>
                <w:sz w:val="26"/>
                <w:szCs w:val="26"/>
              </w:rPr>
              <w:t>Eiropas un pasaules čempionātu un olimpisko spēļu atlases turnīros un finālsacensībās</w:t>
            </w:r>
            <w:r w:rsidRPr="00C13B05">
              <w:rPr>
                <w:sz w:val="26"/>
                <w:szCs w:val="26"/>
              </w:rPr>
              <w:t xml:space="preserve">, ir ministrijas valsts budžeta programmas 09.00.00 „Sports” apakšprogramma 09.21.00 „Augstas klases sasniegumu sports”, no kuras šim mērķim ar ministrijas 2012.gada 31.janvāra rīkojumu Nr.32 „Par komandu sporta spēļu sporta federācijām pieejamā finansējuma apmēru 2012.gadā” tika </w:t>
            </w:r>
            <w:r>
              <w:rPr>
                <w:sz w:val="26"/>
                <w:szCs w:val="26"/>
              </w:rPr>
              <w:t xml:space="preserve">paredzēti </w:t>
            </w:r>
            <w:r w:rsidRPr="00C13B05">
              <w:rPr>
                <w:sz w:val="26"/>
                <w:szCs w:val="26"/>
              </w:rPr>
              <w:t>līdzekļi 500</w:t>
            </w:r>
            <w:r>
              <w:rPr>
                <w:sz w:val="26"/>
                <w:szCs w:val="26"/>
              </w:rPr>
              <w:t>`</w:t>
            </w:r>
            <w:r w:rsidRPr="00C13B05">
              <w:rPr>
                <w:sz w:val="26"/>
                <w:szCs w:val="26"/>
              </w:rPr>
              <w:t>000 latu apmērā</w:t>
            </w:r>
            <w:r w:rsidR="003028DB">
              <w:rPr>
                <w:sz w:val="26"/>
                <w:szCs w:val="26"/>
              </w:rPr>
              <w:t xml:space="preserve">, lai gan kopējais komandu sporta spēļu sporta federāciju </w:t>
            </w:r>
            <w:r w:rsidR="00CA2CEA">
              <w:rPr>
                <w:sz w:val="26"/>
                <w:szCs w:val="26"/>
              </w:rPr>
              <w:t>pieprasījums 2012.gada valsts budžetam bija 2`790`932 lati</w:t>
            </w:r>
            <w:r w:rsidRPr="00C13B05">
              <w:rPr>
                <w:sz w:val="26"/>
                <w:szCs w:val="26"/>
              </w:rPr>
              <w:t>.</w:t>
            </w:r>
            <w:r w:rsidR="00CA2CEA">
              <w:rPr>
                <w:sz w:val="26"/>
                <w:szCs w:val="26"/>
              </w:rPr>
              <w:t xml:space="preserve"> </w:t>
            </w:r>
            <w:r w:rsidR="00B57455" w:rsidRPr="003028DB">
              <w:rPr>
                <w:sz w:val="26"/>
                <w:szCs w:val="26"/>
              </w:rPr>
              <w:t>Vienlaikus jāatzīm</w:t>
            </w:r>
            <w:r w:rsidR="00FB4613" w:rsidRPr="003028DB">
              <w:rPr>
                <w:sz w:val="26"/>
                <w:szCs w:val="26"/>
              </w:rPr>
              <w:t xml:space="preserve">ē, ka, </w:t>
            </w:r>
            <w:r w:rsidR="003028DB" w:rsidRPr="003028DB">
              <w:rPr>
                <w:sz w:val="26"/>
                <w:szCs w:val="26"/>
              </w:rPr>
              <w:t>ņem</w:t>
            </w:r>
            <w:r w:rsidR="00B57455" w:rsidRPr="003028DB">
              <w:rPr>
                <w:sz w:val="26"/>
                <w:szCs w:val="26"/>
              </w:rPr>
              <w:t>ot vērā faktu, ka šahs nav uzskatāms par komandu sporta spēļu sporta</w:t>
            </w:r>
            <w:r w:rsidR="00B57455" w:rsidRPr="00B57455">
              <w:rPr>
                <w:sz w:val="26"/>
                <w:szCs w:val="26"/>
              </w:rPr>
              <w:t xml:space="preserve"> veidu, iepriekšminēto Ministru kabineta noteikumu noteiktā kārtībā biedrībai „Latvijas Šaha federācija” finansējums tiešā veidā no ministrijas </w:t>
            </w:r>
            <w:r w:rsidR="0017384A">
              <w:rPr>
                <w:sz w:val="26"/>
                <w:szCs w:val="26"/>
              </w:rPr>
              <w:t xml:space="preserve">2012.gada </w:t>
            </w:r>
            <w:r w:rsidR="00B57455" w:rsidRPr="00B57455">
              <w:rPr>
                <w:sz w:val="26"/>
                <w:szCs w:val="26"/>
              </w:rPr>
              <w:t>valsts budžeta programmas 09.00.00 „Sports” nav ticis piešķirts.</w:t>
            </w:r>
          </w:p>
          <w:p w:rsidR="00EE4748" w:rsidRDefault="00EE4748" w:rsidP="000732D1">
            <w:pPr>
              <w:ind w:left="142" w:right="141" w:firstLine="25"/>
              <w:jc w:val="both"/>
              <w:rPr>
                <w:sz w:val="26"/>
                <w:szCs w:val="26"/>
              </w:rPr>
            </w:pPr>
          </w:p>
          <w:p w:rsidR="00135577" w:rsidRDefault="002D77A9" w:rsidP="00135577">
            <w:pPr>
              <w:ind w:left="142" w:right="141" w:firstLine="25"/>
              <w:jc w:val="both"/>
              <w:rPr>
                <w:sz w:val="26"/>
                <w:szCs w:val="26"/>
              </w:rPr>
            </w:pPr>
            <w:r>
              <w:rPr>
                <w:sz w:val="26"/>
                <w:szCs w:val="26"/>
              </w:rPr>
              <w:t>M</w:t>
            </w:r>
            <w:r w:rsidR="00135577" w:rsidRPr="00C13B05">
              <w:rPr>
                <w:sz w:val="26"/>
                <w:szCs w:val="26"/>
              </w:rPr>
              <w:t xml:space="preserve">inistrijas rīcībā nav nepieciešamie līdzekļi, jo visi finanšu līdzekļi 2012.gadam valsts budžeta programmā 09.00.00 „Sports”, t.sk. apakšprogrammā 09.09.00 „Sporta federācijas un sporta pasākumi” un 09.21.00 „Augstas klases sasniegumu sports”, ir sadalīti un attiecīgi noslēgti līgumi par valsts budžeta finanšu līdzekļu (dotācijas) </w:t>
            </w:r>
            <w:r w:rsidR="00135577" w:rsidRPr="00C13B05">
              <w:rPr>
                <w:sz w:val="26"/>
                <w:szCs w:val="26"/>
              </w:rPr>
              <w:lastRenderedPageBreak/>
              <w:t>piešķiršanu. Noslēgtie līgumi neparedz finansējuma piešķīrēja – Izglītības un zinātnes ministrijas – tiesības samazināt piešķirto finanšu līdzekļu apmēru līdzekļu pārdales gadījumā citām sporta federācijām (līgums paredz ministrijas tiesības samazināt līguma summu tikai tad, ja tiek izdarīti grozījumi likumā „Par valsts budžetu 2012.gadam”,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135577" w:rsidRDefault="00135577" w:rsidP="000732D1">
            <w:pPr>
              <w:ind w:left="142" w:right="141" w:firstLine="25"/>
              <w:jc w:val="both"/>
              <w:rPr>
                <w:sz w:val="26"/>
                <w:szCs w:val="26"/>
              </w:rPr>
            </w:pPr>
          </w:p>
          <w:p w:rsidR="00F0730F" w:rsidRDefault="001F373F" w:rsidP="00134CEC">
            <w:pPr>
              <w:ind w:left="142" w:right="141" w:firstLine="25"/>
              <w:jc w:val="both"/>
              <w:rPr>
                <w:sz w:val="26"/>
                <w:szCs w:val="26"/>
              </w:rPr>
            </w:pPr>
            <w:r>
              <w:rPr>
                <w:sz w:val="26"/>
                <w:szCs w:val="26"/>
              </w:rPr>
              <w:t xml:space="preserve">Izvērtējot </w:t>
            </w:r>
            <w:r w:rsidR="00B429CA">
              <w:rPr>
                <w:sz w:val="26"/>
                <w:szCs w:val="26"/>
              </w:rPr>
              <w:t>LKSSA un biedrības „Latvijas Šaha federācija” finanšu pieprasījumus</w:t>
            </w:r>
            <w:r w:rsidR="00BA7940">
              <w:rPr>
                <w:sz w:val="26"/>
                <w:szCs w:val="26"/>
              </w:rPr>
              <w:t xml:space="preserve"> un iespējamo</w:t>
            </w:r>
            <w:r w:rsidR="00CD39F8">
              <w:rPr>
                <w:sz w:val="26"/>
                <w:szCs w:val="26"/>
              </w:rPr>
              <w:t>s</w:t>
            </w:r>
            <w:r w:rsidR="00BA7940">
              <w:rPr>
                <w:sz w:val="26"/>
                <w:szCs w:val="26"/>
              </w:rPr>
              <w:t xml:space="preserve"> riskus līdzekļu nepiešķiršanas gadījumā</w:t>
            </w:r>
            <w:r w:rsidR="00054553">
              <w:rPr>
                <w:sz w:val="26"/>
                <w:szCs w:val="26"/>
              </w:rPr>
              <w:t xml:space="preserve"> (t.sk. starptautisko sporta federāciju sankciju piemērošanas iespējamīb</w:t>
            </w:r>
            <w:r w:rsidR="004076BF">
              <w:rPr>
                <w:sz w:val="26"/>
                <w:szCs w:val="26"/>
              </w:rPr>
              <w:t>u</w:t>
            </w:r>
            <w:r w:rsidR="00054553">
              <w:rPr>
                <w:sz w:val="26"/>
                <w:szCs w:val="26"/>
              </w:rPr>
              <w:t xml:space="preserve"> pret nacionālajām (Latvijas) sporta federācijām – izlašu diskvalifikācija no visiem starptautiskiem turnīriem uz vairākiem gadiem, lieli naudas sodi u.tml., kas var negatīvi ietekmēt gan attiecīgā sporta veida attīstību Latvijā, gan </w:t>
            </w:r>
            <w:r w:rsidR="00054553" w:rsidRPr="00054553">
              <w:rPr>
                <w:sz w:val="26"/>
                <w:szCs w:val="26"/>
              </w:rPr>
              <w:t>arī Latvijas tēlu Eiropas un pasaules sporta sacensību apritē</w:t>
            </w:r>
            <w:r w:rsidR="00054553">
              <w:rPr>
                <w:sz w:val="26"/>
                <w:szCs w:val="26"/>
              </w:rPr>
              <w:t>)</w:t>
            </w:r>
            <w:r w:rsidR="00BD6CDF">
              <w:rPr>
                <w:sz w:val="26"/>
                <w:szCs w:val="26"/>
              </w:rPr>
              <w:t xml:space="preserve">, </w:t>
            </w:r>
            <w:r w:rsidR="00853B4B">
              <w:rPr>
                <w:sz w:val="26"/>
                <w:szCs w:val="26"/>
              </w:rPr>
              <w:t>ministrija atz</w:t>
            </w:r>
            <w:r w:rsidR="002239AB">
              <w:rPr>
                <w:sz w:val="26"/>
                <w:szCs w:val="26"/>
              </w:rPr>
              <w:t xml:space="preserve">īst nepieciešamību </w:t>
            </w:r>
            <w:r w:rsidR="004A6E2E">
              <w:rPr>
                <w:sz w:val="26"/>
                <w:szCs w:val="26"/>
              </w:rPr>
              <w:t>steidzami meklēt iespējamos risin</w:t>
            </w:r>
            <w:r w:rsidR="00EE4FC1">
              <w:rPr>
                <w:sz w:val="26"/>
                <w:szCs w:val="26"/>
              </w:rPr>
              <w:t xml:space="preserve">ājuma variantus, lai vismaz daļēji varētu </w:t>
            </w:r>
            <w:r w:rsidR="00B5360F">
              <w:rPr>
                <w:sz w:val="26"/>
                <w:szCs w:val="26"/>
              </w:rPr>
              <w:t xml:space="preserve">kompensēt </w:t>
            </w:r>
            <w:r w:rsidR="001B15B5">
              <w:rPr>
                <w:sz w:val="26"/>
                <w:szCs w:val="26"/>
              </w:rPr>
              <w:t>minēto</w:t>
            </w:r>
            <w:r w:rsidR="00BF5486">
              <w:rPr>
                <w:sz w:val="26"/>
                <w:szCs w:val="26"/>
              </w:rPr>
              <w:t xml:space="preserve"> sporta federāciju izdevumus saistībā ar </w:t>
            </w:r>
            <w:r w:rsidR="00006D42">
              <w:rPr>
                <w:sz w:val="26"/>
                <w:szCs w:val="26"/>
              </w:rPr>
              <w:t>nacionālo izlašu sagatavošanos un dalību attiecīgajās starptautiskajās sacensībās.</w:t>
            </w:r>
            <w:r w:rsidR="00F350F6">
              <w:rPr>
                <w:sz w:val="26"/>
                <w:szCs w:val="26"/>
              </w:rPr>
              <w:t xml:space="preserve"> Tajā pat laikā apzinoties, ka</w:t>
            </w:r>
            <w:r w:rsidR="00FC7A5E">
              <w:rPr>
                <w:sz w:val="26"/>
                <w:szCs w:val="26"/>
              </w:rPr>
              <w:t xml:space="preserve"> </w:t>
            </w:r>
            <w:r w:rsidR="0080017B">
              <w:rPr>
                <w:sz w:val="26"/>
                <w:szCs w:val="26"/>
              </w:rPr>
              <w:t xml:space="preserve">ierobežoto finanšu resursu apstākļos </w:t>
            </w:r>
            <w:r w:rsidR="00A373E1">
              <w:rPr>
                <w:sz w:val="26"/>
                <w:szCs w:val="26"/>
              </w:rPr>
              <w:t xml:space="preserve">kompensēt izdevumus </w:t>
            </w:r>
            <w:r w:rsidR="00FC7A5E">
              <w:rPr>
                <w:sz w:val="26"/>
                <w:szCs w:val="26"/>
              </w:rPr>
              <w:t xml:space="preserve">100% apmērā </w:t>
            </w:r>
            <w:r w:rsidR="0080017B">
              <w:rPr>
                <w:sz w:val="26"/>
                <w:szCs w:val="26"/>
              </w:rPr>
              <w:t>nav iespējams</w:t>
            </w:r>
            <w:r w:rsidR="00A373E1">
              <w:rPr>
                <w:sz w:val="26"/>
                <w:szCs w:val="26"/>
              </w:rPr>
              <w:t xml:space="preserve"> (tas arī būtu vairāk nekā divkārtīgs izdevumu palielinājums salīdzinot ar šim mērķim 2012.gada budžetā paredzēto finansējumu)</w:t>
            </w:r>
            <w:r w:rsidR="0080017B">
              <w:rPr>
                <w:sz w:val="26"/>
                <w:szCs w:val="26"/>
              </w:rPr>
              <w:t xml:space="preserve">, </w:t>
            </w:r>
            <w:r w:rsidR="005303DD">
              <w:rPr>
                <w:sz w:val="26"/>
                <w:szCs w:val="26"/>
              </w:rPr>
              <w:t xml:space="preserve">tika nolemts </w:t>
            </w:r>
            <w:r w:rsidR="009321E2">
              <w:rPr>
                <w:sz w:val="26"/>
                <w:szCs w:val="26"/>
              </w:rPr>
              <w:t xml:space="preserve">sadalīt </w:t>
            </w:r>
            <w:r w:rsidR="00FA2563">
              <w:rPr>
                <w:sz w:val="26"/>
                <w:szCs w:val="26"/>
              </w:rPr>
              <w:t xml:space="preserve">finanšu pieprasījumus </w:t>
            </w:r>
            <w:r w:rsidR="00E56B89">
              <w:rPr>
                <w:sz w:val="26"/>
                <w:szCs w:val="26"/>
              </w:rPr>
              <w:t xml:space="preserve">trīs grupās: (1) </w:t>
            </w:r>
            <w:r w:rsidR="00BA20B0">
              <w:rPr>
                <w:sz w:val="26"/>
                <w:szCs w:val="26"/>
              </w:rPr>
              <w:t xml:space="preserve">pieprasījumi, kuri </w:t>
            </w:r>
            <w:r w:rsidR="00194724">
              <w:rPr>
                <w:sz w:val="26"/>
                <w:szCs w:val="26"/>
              </w:rPr>
              <w:t>pēc būtības ir uzskatāmi par neparedzētu gadījumu,</w:t>
            </w:r>
            <w:r w:rsidR="00194724" w:rsidRPr="00134CEC">
              <w:rPr>
                <w:sz w:val="26"/>
                <w:szCs w:val="26"/>
              </w:rPr>
              <w:t xml:space="preserve"> kā rezultātā </w:t>
            </w:r>
            <w:r w:rsidR="00194724">
              <w:rPr>
                <w:sz w:val="26"/>
                <w:szCs w:val="26"/>
              </w:rPr>
              <w:t>attiecīgos izdevumus</w:t>
            </w:r>
            <w:r w:rsidR="00194724" w:rsidRPr="00134CEC">
              <w:rPr>
                <w:sz w:val="26"/>
                <w:szCs w:val="26"/>
              </w:rPr>
              <w:t xml:space="preserve"> varētu segt no </w:t>
            </w:r>
            <w:r w:rsidR="00D43C39">
              <w:rPr>
                <w:sz w:val="26"/>
                <w:szCs w:val="26"/>
              </w:rPr>
              <w:t xml:space="preserve">Finanšu ministrijas </w:t>
            </w:r>
            <w:r w:rsidR="00194724" w:rsidRPr="00134CEC">
              <w:rPr>
                <w:sz w:val="26"/>
                <w:szCs w:val="26"/>
              </w:rPr>
              <w:t>valsts budžeta programmas 02.00.00 „Līd</w:t>
            </w:r>
            <w:r w:rsidR="00194724">
              <w:rPr>
                <w:sz w:val="26"/>
                <w:szCs w:val="26"/>
              </w:rPr>
              <w:t xml:space="preserve">zekļi neparedzētiem gadījumiem”; (2) </w:t>
            </w:r>
            <w:r w:rsidR="00114C20">
              <w:rPr>
                <w:sz w:val="26"/>
                <w:szCs w:val="26"/>
              </w:rPr>
              <w:t xml:space="preserve">pieprasījumi, kuri nav uzskatāmi par neparedzētu gadījumu, tomēr </w:t>
            </w:r>
            <w:r w:rsidR="00F22FDF">
              <w:rPr>
                <w:sz w:val="26"/>
                <w:szCs w:val="26"/>
              </w:rPr>
              <w:t xml:space="preserve">papildus finansējuma nepiešķiršanas gadījumā </w:t>
            </w:r>
            <w:r w:rsidR="008E120E">
              <w:rPr>
                <w:sz w:val="26"/>
                <w:szCs w:val="26"/>
              </w:rPr>
              <w:t>identificējami</w:t>
            </w:r>
            <w:r w:rsidR="002A6F37">
              <w:rPr>
                <w:sz w:val="26"/>
                <w:szCs w:val="26"/>
              </w:rPr>
              <w:t>e</w:t>
            </w:r>
            <w:r w:rsidR="008E120E">
              <w:rPr>
                <w:sz w:val="26"/>
                <w:szCs w:val="26"/>
              </w:rPr>
              <w:t xml:space="preserve"> </w:t>
            </w:r>
            <w:r w:rsidR="00712406">
              <w:rPr>
                <w:sz w:val="26"/>
                <w:szCs w:val="26"/>
              </w:rPr>
              <w:t xml:space="preserve">riski </w:t>
            </w:r>
            <w:r w:rsidR="002A6F37">
              <w:rPr>
                <w:sz w:val="26"/>
                <w:szCs w:val="26"/>
              </w:rPr>
              <w:t xml:space="preserve">ir </w:t>
            </w:r>
            <w:r w:rsidR="00E52399">
              <w:rPr>
                <w:sz w:val="26"/>
                <w:szCs w:val="26"/>
              </w:rPr>
              <w:t xml:space="preserve">ar </w:t>
            </w:r>
            <w:r w:rsidR="0086671A">
              <w:rPr>
                <w:sz w:val="26"/>
                <w:szCs w:val="26"/>
              </w:rPr>
              <w:t xml:space="preserve">iespējami </w:t>
            </w:r>
            <w:r w:rsidR="00E52399">
              <w:rPr>
                <w:sz w:val="26"/>
                <w:szCs w:val="26"/>
              </w:rPr>
              <w:t>negatīvām sekām (t.sk. uz valsts tēlu starptautiskā</w:t>
            </w:r>
            <w:r w:rsidR="00E64579">
              <w:rPr>
                <w:sz w:val="26"/>
                <w:szCs w:val="26"/>
              </w:rPr>
              <w:t xml:space="preserve"> līmenī</w:t>
            </w:r>
            <w:r w:rsidR="00E52399">
              <w:rPr>
                <w:sz w:val="26"/>
                <w:szCs w:val="26"/>
              </w:rPr>
              <w:t>)</w:t>
            </w:r>
            <w:r w:rsidR="00A720FA">
              <w:rPr>
                <w:sz w:val="26"/>
                <w:szCs w:val="26"/>
              </w:rPr>
              <w:t xml:space="preserve">; (3) </w:t>
            </w:r>
            <w:r w:rsidR="00C06955">
              <w:rPr>
                <w:sz w:val="26"/>
                <w:szCs w:val="26"/>
              </w:rPr>
              <w:t xml:space="preserve">pieprasījumi, </w:t>
            </w:r>
            <w:r w:rsidR="009B2854">
              <w:rPr>
                <w:sz w:val="26"/>
                <w:szCs w:val="26"/>
              </w:rPr>
              <w:t xml:space="preserve">kuri </w:t>
            </w:r>
            <w:r w:rsidR="00967D62">
              <w:rPr>
                <w:sz w:val="26"/>
                <w:szCs w:val="26"/>
              </w:rPr>
              <w:t>neatbilst 1. vai 2.grupas pazīmēm.</w:t>
            </w:r>
          </w:p>
          <w:p w:rsidR="00F0730F" w:rsidRDefault="00F0730F" w:rsidP="00134CEC">
            <w:pPr>
              <w:ind w:left="142" w:right="141" w:firstLine="25"/>
              <w:jc w:val="both"/>
              <w:rPr>
                <w:sz w:val="26"/>
                <w:szCs w:val="26"/>
              </w:rPr>
            </w:pPr>
          </w:p>
          <w:p w:rsidR="00625AC4" w:rsidRDefault="00F0730F" w:rsidP="00134CEC">
            <w:pPr>
              <w:ind w:left="142" w:right="141" w:firstLine="25"/>
              <w:jc w:val="both"/>
              <w:rPr>
                <w:sz w:val="26"/>
                <w:szCs w:val="26"/>
              </w:rPr>
            </w:pPr>
            <w:r>
              <w:rPr>
                <w:sz w:val="26"/>
                <w:szCs w:val="26"/>
              </w:rPr>
              <w:t xml:space="preserve">Iepriekšminētās izvērtēšanas un sadalīšanas pa grupām rezultātā </w:t>
            </w:r>
            <w:r w:rsidR="00115EB8">
              <w:rPr>
                <w:sz w:val="26"/>
                <w:szCs w:val="26"/>
              </w:rPr>
              <w:t>1.grupā tika ierindoti</w:t>
            </w:r>
            <w:r w:rsidR="00625AC4">
              <w:rPr>
                <w:sz w:val="26"/>
                <w:szCs w:val="26"/>
              </w:rPr>
              <w:t>:</w:t>
            </w:r>
          </w:p>
          <w:p w:rsidR="00625AC4" w:rsidRPr="00F215C8" w:rsidRDefault="00184814" w:rsidP="00625AC4">
            <w:pPr>
              <w:pStyle w:val="ListParagraph"/>
              <w:numPr>
                <w:ilvl w:val="0"/>
                <w:numId w:val="5"/>
              </w:numPr>
              <w:ind w:left="142" w:right="141" w:firstLine="25"/>
              <w:jc w:val="both"/>
              <w:rPr>
                <w:sz w:val="26"/>
                <w:szCs w:val="26"/>
              </w:rPr>
            </w:pPr>
            <w:r w:rsidRPr="00625AC4">
              <w:rPr>
                <w:sz w:val="26"/>
                <w:szCs w:val="26"/>
              </w:rPr>
              <w:t>biedrības „Latvijas Handbola federācija” pieprasījums</w:t>
            </w:r>
            <w:r w:rsidR="00625AC4" w:rsidRPr="00625AC4">
              <w:rPr>
                <w:sz w:val="26"/>
                <w:szCs w:val="26"/>
              </w:rPr>
              <w:t xml:space="preserve"> daļ</w:t>
            </w:r>
            <w:r w:rsidR="00625AC4">
              <w:rPr>
                <w:sz w:val="26"/>
                <w:szCs w:val="26"/>
              </w:rPr>
              <w:t xml:space="preserve">ā par </w:t>
            </w:r>
            <w:r w:rsidRPr="00625AC4">
              <w:rPr>
                <w:sz w:val="26"/>
                <w:szCs w:val="26"/>
              </w:rPr>
              <w:t xml:space="preserve">Latvijas vīriešu handbola izlases gatavošanos un dalību 2014.gada Eiropas čempionāta </w:t>
            </w:r>
            <w:r w:rsidRPr="00F215C8">
              <w:rPr>
                <w:sz w:val="26"/>
                <w:szCs w:val="26"/>
              </w:rPr>
              <w:lastRenderedPageBreak/>
              <w:t>kvalif</w:t>
            </w:r>
            <w:r w:rsidR="00625AC4" w:rsidRPr="00F215C8">
              <w:rPr>
                <w:sz w:val="26"/>
                <w:szCs w:val="26"/>
              </w:rPr>
              <w:t>ikācijas turnīra 2.kārtas spēlēs (16`728 lati)</w:t>
            </w:r>
            <w:r w:rsidR="00010140" w:rsidRPr="00F215C8">
              <w:rPr>
                <w:sz w:val="26"/>
                <w:szCs w:val="26"/>
              </w:rPr>
              <w:t xml:space="preserve"> [tika ņemts vērā fakts, ka </w:t>
            </w:r>
            <w:r w:rsidR="00F215C8" w:rsidRPr="00F215C8">
              <w:rPr>
                <w:sz w:val="26"/>
                <w:szCs w:val="26"/>
              </w:rPr>
              <w:t>2012.gada sākumā nebija iespējams prognozēt Latvijas dalību kvalifikācijas turnīra 2.kārtā</w:t>
            </w:r>
            <w:r w:rsidR="00F215C8">
              <w:rPr>
                <w:sz w:val="26"/>
                <w:szCs w:val="26"/>
              </w:rPr>
              <w:t>]</w:t>
            </w:r>
            <w:r w:rsidR="00625AC4" w:rsidRPr="00F215C8">
              <w:rPr>
                <w:sz w:val="26"/>
                <w:szCs w:val="26"/>
              </w:rPr>
              <w:t>;</w:t>
            </w:r>
          </w:p>
          <w:p w:rsidR="00184814" w:rsidRDefault="00184814" w:rsidP="00625AC4">
            <w:pPr>
              <w:pStyle w:val="ListParagraph"/>
              <w:numPr>
                <w:ilvl w:val="0"/>
                <w:numId w:val="5"/>
              </w:numPr>
              <w:ind w:left="142" w:right="141" w:firstLine="25"/>
              <w:jc w:val="both"/>
              <w:rPr>
                <w:sz w:val="26"/>
                <w:szCs w:val="26"/>
              </w:rPr>
            </w:pPr>
            <w:r w:rsidRPr="00F215C8">
              <w:rPr>
                <w:sz w:val="26"/>
                <w:szCs w:val="26"/>
              </w:rPr>
              <w:t>biedrība</w:t>
            </w:r>
            <w:r w:rsidR="00625AC4" w:rsidRPr="00F215C8">
              <w:rPr>
                <w:sz w:val="26"/>
                <w:szCs w:val="26"/>
              </w:rPr>
              <w:t>s</w:t>
            </w:r>
            <w:r w:rsidRPr="00F215C8">
              <w:rPr>
                <w:sz w:val="26"/>
                <w:szCs w:val="26"/>
              </w:rPr>
              <w:t xml:space="preserve"> „Latvijas Volejbola federācija”</w:t>
            </w:r>
            <w:r w:rsidR="00625AC4" w:rsidRPr="00F215C8">
              <w:rPr>
                <w:sz w:val="26"/>
                <w:szCs w:val="26"/>
              </w:rPr>
              <w:t xml:space="preserve"> pieprasījums par </w:t>
            </w:r>
            <w:r w:rsidRPr="00F215C8">
              <w:rPr>
                <w:sz w:val="26"/>
                <w:szCs w:val="26"/>
              </w:rPr>
              <w:t>Latvijas vīriešu volejbola izlases un Latvijas jauniešu volejbola izlašu</w:t>
            </w:r>
            <w:r w:rsidRPr="00184814">
              <w:rPr>
                <w:sz w:val="26"/>
                <w:szCs w:val="26"/>
              </w:rPr>
              <w:t xml:space="preserve"> (U-17 meiteņu un U-18 zēnu) gatavošanos un dalību Eiropas čempionāta kvalifikācijas turnīros</w:t>
            </w:r>
            <w:r w:rsidR="00625AC4">
              <w:rPr>
                <w:sz w:val="26"/>
                <w:szCs w:val="26"/>
              </w:rPr>
              <w:t xml:space="preserve"> (</w:t>
            </w:r>
            <w:r w:rsidRPr="00184814">
              <w:rPr>
                <w:sz w:val="26"/>
                <w:szCs w:val="26"/>
              </w:rPr>
              <w:t>62</w:t>
            </w:r>
            <w:r w:rsidR="00625AC4">
              <w:rPr>
                <w:sz w:val="26"/>
                <w:szCs w:val="26"/>
              </w:rPr>
              <w:t>`</w:t>
            </w:r>
            <w:r w:rsidRPr="00184814">
              <w:rPr>
                <w:sz w:val="26"/>
                <w:szCs w:val="26"/>
              </w:rPr>
              <w:t>976 lati</w:t>
            </w:r>
            <w:r w:rsidR="00625AC4">
              <w:rPr>
                <w:sz w:val="26"/>
                <w:szCs w:val="26"/>
              </w:rPr>
              <w:t>)</w:t>
            </w:r>
            <w:r w:rsidR="00F215C8" w:rsidRPr="00F215C8">
              <w:rPr>
                <w:sz w:val="26"/>
                <w:szCs w:val="26"/>
              </w:rPr>
              <w:t xml:space="preserve"> [tika ņemts vērā fakts, ka 2012.gada sākumā nebija iespējams prognozēt Latvijas </w:t>
            </w:r>
            <w:r w:rsidR="00F215C8">
              <w:rPr>
                <w:sz w:val="26"/>
                <w:szCs w:val="26"/>
              </w:rPr>
              <w:t xml:space="preserve">vīriešu volejbola izlases </w:t>
            </w:r>
            <w:r w:rsidR="00F215C8" w:rsidRPr="00F215C8">
              <w:rPr>
                <w:sz w:val="26"/>
                <w:szCs w:val="26"/>
              </w:rPr>
              <w:t>dalību kvalifikācijas turnīra 2.kārtā</w:t>
            </w:r>
            <w:r w:rsidR="00F215C8">
              <w:rPr>
                <w:sz w:val="26"/>
                <w:szCs w:val="26"/>
              </w:rPr>
              <w:t>, kā arī fakts, ka U-17 meiteņu un U-18 zēnu izlasēm kvalifikācijas turnīrs norisināsies 2013.gada janvārī, kā rezultātā praktiski visi izdevumi būs 2012.gadā, ko nebija iespējams prognozēt]</w:t>
            </w:r>
            <w:r w:rsidRPr="00184814">
              <w:rPr>
                <w:sz w:val="26"/>
                <w:szCs w:val="26"/>
              </w:rPr>
              <w:t>;</w:t>
            </w:r>
          </w:p>
          <w:p w:rsidR="00AD4F07" w:rsidRDefault="00184814" w:rsidP="00625AC4">
            <w:pPr>
              <w:pStyle w:val="ListParagraph"/>
              <w:numPr>
                <w:ilvl w:val="0"/>
                <w:numId w:val="5"/>
              </w:numPr>
              <w:ind w:left="142" w:right="141" w:firstLine="25"/>
              <w:jc w:val="both"/>
              <w:rPr>
                <w:sz w:val="26"/>
                <w:szCs w:val="26"/>
              </w:rPr>
            </w:pPr>
            <w:r w:rsidRPr="00625AC4">
              <w:rPr>
                <w:sz w:val="26"/>
                <w:szCs w:val="26"/>
              </w:rPr>
              <w:t>biedrība</w:t>
            </w:r>
            <w:r w:rsidR="00625AC4">
              <w:rPr>
                <w:sz w:val="26"/>
                <w:szCs w:val="26"/>
              </w:rPr>
              <w:t>s</w:t>
            </w:r>
            <w:r w:rsidRPr="00625AC4">
              <w:rPr>
                <w:sz w:val="26"/>
                <w:szCs w:val="26"/>
              </w:rPr>
              <w:t xml:space="preserve"> „Latvijas Šaha federācija”</w:t>
            </w:r>
            <w:r w:rsidR="00625AC4">
              <w:rPr>
                <w:sz w:val="26"/>
                <w:szCs w:val="26"/>
              </w:rPr>
              <w:t xml:space="preserve"> pieprasījums par </w:t>
            </w:r>
            <w:r w:rsidRPr="00625AC4">
              <w:rPr>
                <w:sz w:val="26"/>
                <w:szCs w:val="26"/>
              </w:rPr>
              <w:t>Latvijas vīriešu un sieviešu izlases gatavošanos un dalību Pasaules Šaha olimpiādē</w:t>
            </w:r>
            <w:r w:rsidR="00625AC4">
              <w:rPr>
                <w:sz w:val="26"/>
                <w:szCs w:val="26"/>
              </w:rPr>
              <w:t xml:space="preserve"> (</w:t>
            </w:r>
            <w:r w:rsidRPr="00625AC4">
              <w:rPr>
                <w:sz w:val="26"/>
                <w:szCs w:val="26"/>
              </w:rPr>
              <w:t>10</w:t>
            </w:r>
            <w:r w:rsidR="00625AC4">
              <w:rPr>
                <w:sz w:val="26"/>
                <w:szCs w:val="26"/>
              </w:rPr>
              <w:t>`</w:t>
            </w:r>
            <w:r w:rsidRPr="00625AC4">
              <w:rPr>
                <w:sz w:val="26"/>
                <w:szCs w:val="26"/>
              </w:rPr>
              <w:t>000 lati</w:t>
            </w:r>
            <w:r w:rsidR="00625AC4">
              <w:rPr>
                <w:sz w:val="26"/>
                <w:szCs w:val="26"/>
              </w:rPr>
              <w:t>)</w:t>
            </w:r>
            <w:r w:rsidR="00F215C8">
              <w:rPr>
                <w:sz w:val="26"/>
                <w:szCs w:val="26"/>
              </w:rPr>
              <w:t xml:space="preserve"> </w:t>
            </w:r>
            <w:r w:rsidR="00F215C8" w:rsidRPr="00F215C8">
              <w:rPr>
                <w:sz w:val="26"/>
                <w:szCs w:val="26"/>
              </w:rPr>
              <w:t xml:space="preserve">[tika ņemts vērā fakts, ka </w:t>
            </w:r>
            <w:r w:rsidR="00F215C8">
              <w:rPr>
                <w:sz w:val="26"/>
                <w:szCs w:val="26"/>
              </w:rPr>
              <w:t xml:space="preserve">visas ar dalību saistītās izmaksas iepriekš nebija zināmas, kā arī fakts, ka </w:t>
            </w:r>
            <w:r w:rsidR="00AD4F07">
              <w:rPr>
                <w:sz w:val="26"/>
                <w:szCs w:val="26"/>
              </w:rPr>
              <w:t xml:space="preserve">Pasaules Šaha olimpiāde ir lielākais notikums šahā, kas notiek reizi divos gados un Latvijas nepiedalīšanās šajās sporta sacensībās (kuras sākas 2012.gada 27.augustā) var atstāt ļoti negatīvu iespaidu </w:t>
            </w:r>
            <w:r w:rsidR="00B109B1">
              <w:rPr>
                <w:sz w:val="26"/>
                <w:szCs w:val="26"/>
              </w:rPr>
              <w:t xml:space="preserve">ne tikai uz </w:t>
            </w:r>
            <w:r w:rsidR="007558B7">
              <w:rPr>
                <w:sz w:val="26"/>
                <w:szCs w:val="26"/>
              </w:rPr>
              <w:t>Latvijas šaha turpmāko attīst</w:t>
            </w:r>
            <w:r w:rsidR="00B002F8">
              <w:rPr>
                <w:sz w:val="26"/>
                <w:szCs w:val="26"/>
              </w:rPr>
              <w:t xml:space="preserve">ību (centieniem </w:t>
            </w:r>
            <w:r w:rsidR="004B3DE6">
              <w:rPr>
                <w:sz w:val="26"/>
                <w:szCs w:val="26"/>
              </w:rPr>
              <w:t>panākt, ka Latviju pārstāv visi labākie Latvijas šahisti (lielmeistari)</w:t>
            </w:r>
            <w:r w:rsidR="005E4DF4">
              <w:rPr>
                <w:sz w:val="26"/>
                <w:szCs w:val="26"/>
              </w:rPr>
              <w:t>)</w:t>
            </w:r>
            <w:r w:rsidR="004B3DE6">
              <w:rPr>
                <w:sz w:val="26"/>
                <w:szCs w:val="26"/>
              </w:rPr>
              <w:t xml:space="preserve">, bet arī uz </w:t>
            </w:r>
            <w:r w:rsidR="00987CF4">
              <w:rPr>
                <w:sz w:val="26"/>
                <w:szCs w:val="26"/>
              </w:rPr>
              <w:t>Latvijas starptautisko tēlu</w:t>
            </w:r>
            <w:r w:rsidR="00D142B6">
              <w:rPr>
                <w:sz w:val="26"/>
                <w:szCs w:val="26"/>
              </w:rPr>
              <w:t>].</w:t>
            </w:r>
          </w:p>
          <w:p w:rsidR="00CA41C9" w:rsidRPr="00C13B05" w:rsidRDefault="00CA41C9" w:rsidP="00CA41C9">
            <w:pPr>
              <w:ind w:left="142" w:right="127"/>
              <w:jc w:val="both"/>
              <w:rPr>
                <w:sz w:val="26"/>
                <w:szCs w:val="26"/>
              </w:rPr>
            </w:pPr>
            <w:r>
              <w:rPr>
                <w:sz w:val="26"/>
                <w:szCs w:val="26"/>
              </w:rPr>
              <w:tab/>
            </w:r>
            <w:r w:rsidRPr="00C13B05">
              <w:rPr>
                <w:sz w:val="26"/>
                <w:szCs w:val="26"/>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w:t>
            </w:r>
            <w:r w:rsidRPr="00CA41C9">
              <w:rPr>
                <w:sz w:val="26"/>
                <w:szCs w:val="26"/>
                <w:u w:val="single"/>
              </w:rPr>
              <w:t>citiem neparedzētiem gadījumiem un valstiski īpaši nozīmīgiem pasākumiem</w:t>
            </w:r>
            <w:r w:rsidRPr="00C13B05">
              <w:rPr>
                <w:sz w:val="26"/>
                <w:szCs w:val="26"/>
              </w:rPr>
              <w:t xml:space="preserve">. </w:t>
            </w:r>
            <w:r>
              <w:rPr>
                <w:sz w:val="26"/>
                <w:szCs w:val="26"/>
              </w:rPr>
              <w:t>Biedrības „Latvijas Handbola federācija”, biedrības „Latvijas Volejbola federācija” un biedrības „Latvijas Šaha federācija” pieprasījumi tajā daļā, ko paredzēts atbalstīt, ir attiecināmi uz šīm pazīmēm.</w:t>
            </w:r>
          </w:p>
          <w:p w:rsidR="00CA41C9" w:rsidRPr="00CA41C9" w:rsidRDefault="00CA41C9" w:rsidP="00CA41C9">
            <w:pPr>
              <w:ind w:left="142" w:right="141"/>
              <w:jc w:val="both"/>
              <w:rPr>
                <w:sz w:val="26"/>
                <w:szCs w:val="26"/>
              </w:rPr>
            </w:pPr>
          </w:p>
          <w:p w:rsidR="00FA2563" w:rsidRDefault="00D142B6" w:rsidP="00134CEC">
            <w:pPr>
              <w:ind w:left="142" w:right="141" w:firstLine="25"/>
              <w:jc w:val="both"/>
              <w:rPr>
                <w:sz w:val="26"/>
                <w:szCs w:val="26"/>
              </w:rPr>
            </w:pPr>
            <w:r>
              <w:rPr>
                <w:sz w:val="26"/>
                <w:szCs w:val="26"/>
              </w:rPr>
              <w:t>2</w:t>
            </w:r>
            <w:r w:rsidR="00312022">
              <w:rPr>
                <w:sz w:val="26"/>
                <w:szCs w:val="26"/>
              </w:rPr>
              <w:t xml:space="preserve">.grupā </w:t>
            </w:r>
            <w:r w:rsidR="009D0AD7">
              <w:rPr>
                <w:sz w:val="26"/>
                <w:szCs w:val="26"/>
              </w:rPr>
              <w:t xml:space="preserve">ierindotie finanšu pieprasījumi </w:t>
            </w:r>
            <w:r w:rsidR="00E1136E">
              <w:rPr>
                <w:sz w:val="26"/>
                <w:szCs w:val="26"/>
              </w:rPr>
              <w:t xml:space="preserve">pēc </w:t>
            </w:r>
            <w:r w:rsidR="001F2EBF">
              <w:rPr>
                <w:sz w:val="26"/>
                <w:szCs w:val="26"/>
              </w:rPr>
              <w:t xml:space="preserve">atkārtotas detalizētas izvērtēšanas </w:t>
            </w:r>
            <w:r w:rsidR="000F1AC0">
              <w:rPr>
                <w:sz w:val="26"/>
                <w:szCs w:val="26"/>
              </w:rPr>
              <w:t xml:space="preserve">tiks virzīti kā ministrijas </w:t>
            </w:r>
            <w:r w:rsidR="000F1AC0" w:rsidRPr="000F1AC0">
              <w:rPr>
                <w:sz w:val="26"/>
                <w:szCs w:val="26"/>
              </w:rPr>
              <w:t>pieprasījumi iekļaušanai likumprojektā „Grozījumi likumā „Par valsts budžetu 2012.gadam””</w:t>
            </w:r>
            <w:r w:rsidR="000F1AC0">
              <w:rPr>
                <w:sz w:val="26"/>
                <w:szCs w:val="26"/>
              </w:rPr>
              <w:t xml:space="preserve"> </w:t>
            </w:r>
            <w:r w:rsidR="00D30434">
              <w:rPr>
                <w:sz w:val="26"/>
                <w:szCs w:val="26"/>
              </w:rPr>
              <w:t xml:space="preserve">[2012.gada budžeta grozījumu </w:t>
            </w:r>
            <w:r w:rsidR="00D30434" w:rsidRPr="009321E2">
              <w:rPr>
                <w:sz w:val="26"/>
                <w:szCs w:val="26"/>
              </w:rPr>
              <w:t>sagatavošanas grafiks tika apstiprināts Ministru kabineta 2012.gada 19.jūnija sēdē (prot. Nr.34 40.§)</w:t>
            </w:r>
            <w:r w:rsidR="00D30434">
              <w:rPr>
                <w:sz w:val="26"/>
                <w:szCs w:val="26"/>
              </w:rPr>
              <w:t xml:space="preserve">] – </w:t>
            </w:r>
            <w:r w:rsidR="000F1AC0">
              <w:rPr>
                <w:sz w:val="26"/>
                <w:szCs w:val="26"/>
              </w:rPr>
              <w:t>biedrībai „Latvijas Basketbola savienība</w:t>
            </w:r>
            <w:r w:rsidR="00417538">
              <w:rPr>
                <w:sz w:val="26"/>
                <w:szCs w:val="26"/>
              </w:rPr>
              <w:t>”</w:t>
            </w:r>
            <w:r w:rsidR="000F1AC0">
              <w:rPr>
                <w:sz w:val="26"/>
                <w:szCs w:val="26"/>
              </w:rPr>
              <w:t xml:space="preserve"> paredzot </w:t>
            </w:r>
            <w:r w:rsidR="00417538">
              <w:rPr>
                <w:sz w:val="26"/>
                <w:szCs w:val="26"/>
              </w:rPr>
              <w:t xml:space="preserve">daļēji </w:t>
            </w:r>
            <w:r w:rsidR="000F1AC0">
              <w:rPr>
                <w:sz w:val="26"/>
                <w:szCs w:val="26"/>
              </w:rPr>
              <w:t xml:space="preserve">kompensēt </w:t>
            </w:r>
            <w:r w:rsidR="00417538">
              <w:rPr>
                <w:sz w:val="26"/>
                <w:szCs w:val="26"/>
              </w:rPr>
              <w:t xml:space="preserve">izdevumus 56`560 latu apmērā, biedrībai </w:t>
            </w:r>
            <w:r w:rsidR="00417538">
              <w:rPr>
                <w:sz w:val="26"/>
                <w:szCs w:val="26"/>
              </w:rPr>
              <w:lastRenderedPageBreak/>
              <w:t>„Latvijas Hokeja federācija” paredzot kompensēt izdevumus 127`619 latu apmērā, savukārt biedrībai „Latvijas Florbola savienība” daļēji kompensēt izdevumus 14`000 latu apmērā.</w:t>
            </w:r>
            <w:r w:rsidR="00A7341A">
              <w:rPr>
                <w:sz w:val="26"/>
                <w:szCs w:val="26"/>
              </w:rPr>
              <w:t xml:space="preserve"> Papildus </w:t>
            </w:r>
            <w:r w:rsidR="00664540">
              <w:rPr>
                <w:sz w:val="26"/>
                <w:szCs w:val="26"/>
              </w:rPr>
              <w:t>tiks izvērtēta iespēja atbalstīt atsevišķas biedrības „Latvijas Futbola federācija” jaunatnes futbola programmas.</w:t>
            </w:r>
            <w:r w:rsidR="00E37D81" w:rsidRPr="009321E2">
              <w:rPr>
                <w:sz w:val="26"/>
                <w:szCs w:val="26"/>
              </w:rPr>
              <w:t xml:space="preserve"> </w:t>
            </w:r>
          </w:p>
          <w:p w:rsidR="00F4465A" w:rsidRDefault="00F4465A" w:rsidP="00134CEC">
            <w:pPr>
              <w:ind w:left="142" w:right="141" w:firstLine="25"/>
              <w:jc w:val="both"/>
              <w:rPr>
                <w:sz w:val="26"/>
                <w:szCs w:val="26"/>
              </w:rPr>
            </w:pPr>
          </w:p>
          <w:p w:rsidR="00F4465A" w:rsidRDefault="00F4465A" w:rsidP="00134CEC">
            <w:pPr>
              <w:ind w:left="142" w:right="141" w:firstLine="25"/>
              <w:jc w:val="both"/>
              <w:rPr>
                <w:sz w:val="26"/>
                <w:szCs w:val="26"/>
              </w:rPr>
            </w:pPr>
            <w:r>
              <w:rPr>
                <w:sz w:val="26"/>
                <w:szCs w:val="26"/>
              </w:rPr>
              <w:t>3.grupā ierindotie finanšu pieprasījumi tālāk virzīti netiks.</w:t>
            </w:r>
          </w:p>
          <w:p w:rsidR="00D142B6" w:rsidRDefault="00D142B6" w:rsidP="00134CEC">
            <w:pPr>
              <w:ind w:left="142" w:right="141" w:firstLine="25"/>
              <w:jc w:val="both"/>
              <w:rPr>
                <w:sz w:val="26"/>
                <w:szCs w:val="26"/>
              </w:rPr>
            </w:pPr>
          </w:p>
          <w:p w:rsidR="00214413" w:rsidRPr="00C13B05" w:rsidRDefault="001E6E40" w:rsidP="008E4101">
            <w:pPr>
              <w:ind w:left="142" w:right="127"/>
              <w:jc w:val="both"/>
              <w:rPr>
                <w:sz w:val="26"/>
                <w:szCs w:val="26"/>
              </w:rPr>
            </w:pPr>
            <w:r w:rsidRPr="00C13B05">
              <w:rPr>
                <w:sz w:val="26"/>
                <w:szCs w:val="26"/>
              </w:rPr>
              <w:t xml:space="preserve">Ņemot vērā </w:t>
            </w:r>
            <w:r w:rsidR="00795000" w:rsidRPr="00C13B05">
              <w:rPr>
                <w:sz w:val="26"/>
                <w:szCs w:val="26"/>
              </w:rPr>
              <w:t xml:space="preserve">iepriekš minēto, </w:t>
            </w:r>
            <w:r w:rsidR="00CA41C9">
              <w:rPr>
                <w:sz w:val="26"/>
                <w:szCs w:val="26"/>
              </w:rPr>
              <w:t xml:space="preserve">attiecībā uz 1.grupā ierindotajiem finanšu pieprasījumiem </w:t>
            </w:r>
            <w:r w:rsidR="003014C2" w:rsidRPr="00C13B05">
              <w:rPr>
                <w:sz w:val="26"/>
                <w:szCs w:val="26"/>
              </w:rPr>
              <w:t xml:space="preserve">ministrija </w:t>
            </w:r>
            <w:r w:rsidR="008E4101">
              <w:rPr>
                <w:sz w:val="26"/>
                <w:szCs w:val="26"/>
              </w:rPr>
              <w:t xml:space="preserve">ir sagatavojusi </w:t>
            </w:r>
            <w:r w:rsidRPr="00C13B05">
              <w:rPr>
                <w:sz w:val="26"/>
                <w:szCs w:val="26"/>
              </w:rPr>
              <w:t>Ministru kabineta rīkojuma projekt</w:t>
            </w:r>
            <w:r w:rsidR="003014C2" w:rsidRPr="00C13B05">
              <w:rPr>
                <w:sz w:val="26"/>
                <w:szCs w:val="26"/>
              </w:rPr>
              <w:t>u</w:t>
            </w:r>
            <w:r w:rsidR="00FF19DC" w:rsidRPr="00C13B05">
              <w:rPr>
                <w:sz w:val="26"/>
                <w:szCs w:val="26"/>
              </w:rPr>
              <w:t xml:space="preserve"> „Par finanšu līdzekļu piešķiršanu no valsts budžeta programmas „Līdzekļi neparedzētiem gadījumiem”” (turpmāk – Rīkojuma projekts)</w:t>
            </w:r>
            <w:r w:rsidR="002E40BB" w:rsidRPr="00C13B05">
              <w:rPr>
                <w:sz w:val="26"/>
                <w:szCs w:val="26"/>
              </w:rPr>
              <w:t>.</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073118" w:rsidRPr="00073118" w:rsidRDefault="00B96B6E" w:rsidP="00073118">
            <w:pPr>
              <w:ind w:left="82" w:right="141"/>
              <w:jc w:val="both"/>
              <w:rPr>
                <w:rFonts w:eastAsia="Times New Roman"/>
                <w:color w:val="000000"/>
                <w:sz w:val="26"/>
                <w:szCs w:val="26"/>
              </w:rPr>
            </w:pPr>
            <w:r w:rsidRPr="00C13B05">
              <w:rPr>
                <w:rFonts w:eastAsia="Times New Roman"/>
                <w:color w:val="000000"/>
                <w:sz w:val="26"/>
                <w:szCs w:val="26"/>
              </w:rPr>
              <w:t xml:space="preserve">Rīkojuma projekts paredz uzdevumu Finanšu ministrijai no valsts budžeta programmas 02.00.00 „Līdzekļi neparedzētiem gadījumiem” piešķirt </w:t>
            </w:r>
            <w:r w:rsidR="00073118">
              <w:t xml:space="preserve"> </w:t>
            </w:r>
            <w:r w:rsidR="00073118" w:rsidRPr="00073118">
              <w:rPr>
                <w:rFonts w:eastAsia="Times New Roman"/>
                <w:color w:val="000000"/>
                <w:sz w:val="26"/>
                <w:szCs w:val="26"/>
              </w:rPr>
              <w:t>ministrijai 89 704 latus pārskaitīšanai:</w:t>
            </w:r>
          </w:p>
          <w:p w:rsidR="00073118" w:rsidRPr="00073118" w:rsidRDefault="00073118" w:rsidP="00073118">
            <w:pPr>
              <w:ind w:left="82" w:right="141"/>
              <w:jc w:val="both"/>
              <w:rPr>
                <w:rFonts w:eastAsia="Times New Roman"/>
                <w:color w:val="000000"/>
                <w:sz w:val="26"/>
                <w:szCs w:val="26"/>
              </w:rPr>
            </w:pPr>
            <w:r w:rsidRPr="00073118">
              <w:rPr>
                <w:rFonts w:eastAsia="Times New Roman"/>
                <w:color w:val="000000"/>
                <w:sz w:val="26"/>
                <w:szCs w:val="26"/>
              </w:rPr>
              <w:t>1. biedrībai „Latvijas Handbola federācija”, lai nodrošinātu ar Latvijas vīriešu handbola izlases gatavošanos un dalību 2014.gada Eiropas čempionāta kvalifikācijas turnīra 2.kārtas spēlēs saistītās izmaksas – 16 728 lati;</w:t>
            </w:r>
          </w:p>
          <w:p w:rsidR="00073118" w:rsidRPr="00073118" w:rsidRDefault="00073118" w:rsidP="00073118">
            <w:pPr>
              <w:ind w:left="82" w:right="141"/>
              <w:jc w:val="both"/>
              <w:rPr>
                <w:rFonts w:eastAsia="Times New Roman"/>
                <w:color w:val="000000"/>
                <w:sz w:val="26"/>
                <w:szCs w:val="26"/>
              </w:rPr>
            </w:pPr>
            <w:r w:rsidRPr="00073118">
              <w:rPr>
                <w:rFonts w:eastAsia="Times New Roman"/>
                <w:color w:val="000000"/>
                <w:sz w:val="26"/>
                <w:szCs w:val="26"/>
              </w:rPr>
              <w:t>2. biedrībai „Latvijas Volejbola federācija”, lai nodrošinātu ar Latvijas vīriešu volejbola izlases un Latvijas jauniešu volejbola izlašu (U-17 meiteņu un U-18 zēnu) gatavošanos un dalību Eiropas čempionāta kvalifikācijas turnīros saistītās izmaksas – 62 976 lati;</w:t>
            </w:r>
          </w:p>
          <w:p w:rsidR="00255BAD" w:rsidRDefault="00073118" w:rsidP="00073118">
            <w:pPr>
              <w:ind w:left="82" w:right="141"/>
              <w:jc w:val="both"/>
              <w:rPr>
                <w:rFonts w:eastAsia="Times New Roman"/>
                <w:color w:val="000000"/>
                <w:sz w:val="26"/>
                <w:szCs w:val="26"/>
              </w:rPr>
            </w:pPr>
            <w:r w:rsidRPr="00073118">
              <w:rPr>
                <w:rFonts w:eastAsia="Times New Roman"/>
                <w:color w:val="000000"/>
                <w:sz w:val="26"/>
                <w:szCs w:val="26"/>
              </w:rPr>
              <w:t>3. biedrībai „Latvijas Šaha federācija”, lai nodrošinātu ar Latvijas vīriešu un sieviešu izlases gatavošanos un dalību Pasaules Šaha olimpiādē saistītās izmaksas  – 10 000 lati.</w:t>
            </w:r>
          </w:p>
          <w:p w:rsidR="009D5CF1" w:rsidRPr="00C13B05" w:rsidRDefault="00653952" w:rsidP="00255BAD">
            <w:pPr>
              <w:ind w:right="141"/>
              <w:jc w:val="both"/>
              <w:rPr>
                <w:rFonts w:eastAsia="Times New Roman"/>
                <w:color w:val="000000"/>
                <w:sz w:val="26"/>
                <w:szCs w:val="26"/>
              </w:rPr>
            </w:pPr>
            <w:r w:rsidRPr="00C13B05">
              <w:rPr>
                <w:rFonts w:eastAsia="Times New Roman"/>
                <w:color w:val="000000"/>
                <w:sz w:val="26"/>
                <w:szCs w:val="26"/>
              </w:rPr>
              <w:t xml:space="preserve"> </w:t>
            </w:r>
          </w:p>
          <w:p w:rsidR="00033013" w:rsidRPr="00C13B05" w:rsidRDefault="002E011D" w:rsidP="00131A15">
            <w:pPr>
              <w:ind w:left="82" w:right="141"/>
              <w:jc w:val="both"/>
              <w:rPr>
                <w:rFonts w:eastAsia="Times New Roman"/>
                <w:color w:val="000000"/>
                <w:sz w:val="26"/>
                <w:szCs w:val="26"/>
              </w:rPr>
            </w:pPr>
            <w:r w:rsidRPr="00C13B05">
              <w:rPr>
                <w:color w:val="000000"/>
                <w:sz w:val="26"/>
                <w:szCs w:val="26"/>
              </w:rPr>
              <w:t xml:space="preserve">Anotācijas I sadaļas 2.punktā </w:t>
            </w:r>
            <w:r w:rsidR="00033013" w:rsidRPr="00C13B05">
              <w:rPr>
                <w:color w:val="000000"/>
                <w:sz w:val="26"/>
                <w:szCs w:val="26"/>
              </w:rPr>
              <w:t>minētā problēma tiks atrisināta pilnībā.</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033013" w:rsidP="0017384A">
            <w:pPr>
              <w:ind w:left="82" w:right="141"/>
              <w:jc w:val="both"/>
              <w:rPr>
                <w:sz w:val="26"/>
                <w:szCs w:val="26"/>
              </w:rPr>
            </w:pPr>
            <w:r w:rsidRPr="00C13B05">
              <w:rPr>
                <w:sz w:val="26"/>
                <w:szCs w:val="26"/>
              </w:rPr>
              <w:t>Izglītības un zinātnes ministrija</w:t>
            </w:r>
            <w:r w:rsidR="009D5CF1" w:rsidRPr="00C13B05">
              <w:rPr>
                <w:sz w:val="26"/>
                <w:szCs w:val="26"/>
              </w:rPr>
              <w:t xml:space="preserve">, </w:t>
            </w:r>
            <w:r w:rsidR="00420504">
              <w:rPr>
                <w:sz w:val="26"/>
                <w:szCs w:val="26"/>
              </w:rPr>
              <w:t xml:space="preserve">LKSSA, </w:t>
            </w:r>
            <w:r w:rsidR="00255BAD" w:rsidRPr="00C13B05">
              <w:rPr>
                <w:rFonts w:eastAsia="Times New Roman"/>
                <w:color w:val="000000"/>
                <w:sz w:val="26"/>
                <w:szCs w:val="26"/>
              </w:rPr>
              <w:t xml:space="preserve">biedrība „Latvijas Handbola federācija”, biedrība </w:t>
            </w:r>
            <w:r w:rsidR="0017384A">
              <w:rPr>
                <w:rFonts w:eastAsia="Times New Roman"/>
                <w:color w:val="000000"/>
                <w:sz w:val="26"/>
                <w:szCs w:val="26"/>
              </w:rPr>
              <w:t xml:space="preserve">„Latvijas Volejbola federācija” un </w:t>
            </w:r>
            <w:r w:rsidR="00255BAD" w:rsidRPr="00C13B05">
              <w:rPr>
                <w:rFonts w:eastAsia="Times New Roman"/>
                <w:color w:val="000000"/>
                <w:sz w:val="26"/>
                <w:szCs w:val="26"/>
              </w:rPr>
              <w:t>biedrība „Latvijas Šaha federācija”</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F535A5" w:rsidP="00131A15">
            <w:pPr>
              <w:pStyle w:val="FootnoteText"/>
              <w:ind w:firstLine="82"/>
              <w:jc w:val="both"/>
              <w:rPr>
                <w:sz w:val="26"/>
                <w:szCs w:val="26"/>
              </w:rPr>
            </w:pPr>
            <w:r w:rsidRPr="00C13B05">
              <w:rPr>
                <w:sz w:val="26"/>
                <w:szCs w:val="26"/>
              </w:rPr>
              <w:t>Nav attiecināms</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E5461A" w:rsidRPr="00C13B05" w:rsidRDefault="00E5461A" w:rsidP="00E5461A">
            <w:pPr>
              <w:ind w:left="142" w:right="127"/>
              <w:jc w:val="both"/>
              <w:rPr>
                <w:sz w:val="26"/>
                <w:szCs w:val="26"/>
              </w:rPr>
            </w:pPr>
            <w:r w:rsidRPr="00C13B05">
              <w:rPr>
                <w:sz w:val="26"/>
                <w:szCs w:val="26"/>
              </w:rPr>
              <w:t>Rīkojuma projekts tiešā veidā attiecas uz tūrisma, sporta un brīvā laika politiku.</w:t>
            </w:r>
          </w:p>
          <w:p w:rsidR="00585B7B" w:rsidRPr="00C13B05" w:rsidRDefault="00E5461A" w:rsidP="006B76EE">
            <w:pPr>
              <w:ind w:left="142" w:right="127"/>
              <w:jc w:val="both"/>
              <w:rPr>
                <w:sz w:val="26"/>
                <w:szCs w:val="26"/>
              </w:rPr>
            </w:pPr>
            <w:r w:rsidRPr="00C13B05">
              <w:rPr>
                <w:sz w:val="26"/>
                <w:szCs w:val="26"/>
              </w:rPr>
              <w:t>Pastarpināti Rīkojuma projekts attiecas uz budžeta un finanšu politiku</w:t>
            </w:r>
            <w:r w:rsidR="006B76EE" w:rsidRPr="00C13B05">
              <w:rPr>
                <w:sz w:val="26"/>
                <w:szCs w:val="26"/>
              </w:rPr>
              <w:t>, kā arī  publiskās pārvaldes politiku.</w:t>
            </w:r>
          </w:p>
        </w:tc>
      </w:tr>
    </w:tbl>
    <w:p w:rsidR="002F25B0" w:rsidRPr="00C13B05" w:rsidRDefault="005C3A56" w:rsidP="005C3A56">
      <w:pPr>
        <w:pStyle w:val="naisf"/>
        <w:tabs>
          <w:tab w:val="left" w:pos="3819"/>
        </w:tabs>
        <w:spacing w:before="0" w:after="0"/>
        <w:rPr>
          <w:sz w:val="26"/>
          <w:szCs w:val="26"/>
        </w:rPr>
      </w:pPr>
      <w:r w:rsidRPr="00C13B05">
        <w:rPr>
          <w:sz w:val="26"/>
          <w:szCs w:val="26"/>
        </w:rPr>
        <w:lastRenderedPageBreak/>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sz w:val="26"/>
                <w:szCs w:val="26"/>
              </w:rPr>
              <w:t>II. Tiesību akta projekta ietekme uz sabiedrību</w:t>
            </w:r>
          </w:p>
        </w:tc>
      </w:tr>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b w:val="0"/>
                <w:sz w:val="26"/>
                <w:szCs w:val="26"/>
              </w:rPr>
              <w:t>Nav attiecināms</w:t>
            </w:r>
          </w:p>
        </w:tc>
      </w:tr>
    </w:tbl>
    <w:p w:rsidR="00585B7B" w:rsidRPr="00C13B05"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916055">
        <w:trPr>
          <w:trHeight w:val="49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942D3A" w:rsidRPr="00C13B05">
              <w:rPr>
                <w:b/>
                <w:sz w:val="26"/>
                <w:szCs w:val="26"/>
              </w:rPr>
              <w:t>2</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3</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942D3A" w:rsidRPr="00C13B05">
              <w:rPr>
                <w:b/>
                <w:bCs/>
                <w:sz w:val="26"/>
                <w:szCs w:val="26"/>
              </w:rPr>
              <w:t>5</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7F6D6B" w:rsidP="009E39D6">
            <w:pPr>
              <w:pStyle w:val="naisf"/>
              <w:spacing w:before="0" w:after="0"/>
              <w:ind w:firstLine="0"/>
              <w:jc w:val="center"/>
              <w:rPr>
                <w:b/>
                <w:sz w:val="26"/>
                <w:szCs w:val="26"/>
              </w:rPr>
            </w:pPr>
            <w:r w:rsidRPr="00C13B05">
              <w:rPr>
                <w:b/>
                <w:sz w:val="26"/>
                <w:szCs w:val="26"/>
              </w:rPr>
              <w:t>8</w:t>
            </w:r>
            <w:r w:rsidR="009E39D6" w:rsidRPr="00C13B05">
              <w:rPr>
                <w:b/>
                <w:sz w:val="26"/>
                <w:szCs w:val="26"/>
              </w:rPr>
              <w:t>1</w:t>
            </w:r>
            <w:r w:rsidRPr="00C13B05">
              <w:rPr>
                <w:b/>
                <w:sz w:val="26"/>
                <w:szCs w:val="26"/>
              </w:rPr>
              <w:t>,</w:t>
            </w:r>
            <w:r w:rsidR="009E39D6" w:rsidRPr="00C13B05">
              <w:rPr>
                <w:b/>
                <w:sz w:val="26"/>
                <w:szCs w:val="26"/>
              </w:rPr>
              <w:t>4</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C13B05" w:rsidRDefault="007F6D6B" w:rsidP="009E39D6">
            <w:pPr>
              <w:pStyle w:val="naisf"/>
              <w:spacing w:before="0" w:after="0"/>
              <w:ind w:firstLine="0"/>
              <w:jc w:val="center"/>
              <w:rPr>
                <w:i/>
                <w:sz w:val="26"/>
                <w:szCs w:val="26"/>
              </w:rPr>
            </w:pPr>
            <w:r w:rsidRPr="00C13B05">
              <w:rPr>
                <w:sz w:val="26"/>
                <w:szCs w:val="26"/>
              </w:rPr>
              <w:t>8</w:t>
            </w:r>
            <w:r w:rsidR="009E39D6" w:rsidRPr="00C13B05">
              <w:rPr>
                <w:sz w:val="26"/>
                <w:szCs w:val="26"/>
              </w:rPr>
              <w:t>1</w:t>
            </w:r>
            <w:r w:rsidRPr="00C13B05">
              <w:rPr>
                <w:sz w:val="26"/>
                <w:szCs w:val="26"/>
              </w:rPr>
              <w:t>,</w:t>
            </w:r>
            <w:r w:rsidR="009E39D6" w:rsidRPr="00C13B05">
              <w:rPr>
                <w:sz w:val="26"/>
                <w:szCs w:val="26"/>
              </w:rPr>
              <w:t>4</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C13B05" w:rsidRDefault="007F6D6B" w:rsidP="009E39D6">
            <w:pPr>
              <w:pStyle w:val="naisf"/>
              <w:spacing w:before="0" w:after="0"/>
              <w:ind w:firstLine="0"/>
              <w:jc w:val="center"/>
              <w:rPr>
                <w:b/>
                <w:sz w:val="26"/>
                <w:szCs w:val="26"/>
              </w:rPr>
            </w:pPr>
            <w:r w:rsidRPr="00C13B05">
              <w:rPr>
                <w:b/>
                <w:sz w:val="26"/>
                <w:szCs w:val="26"/>
              </w:rPr>
              <w:t>8</w:t>
            </w:r>
            <w:r w:rsidR="009E39D6" w:rsidRPr="00C13B05">
              <w:rPr>
                <w:b/>
                <w:sz w:val="26"/>
                <w:szCs w:val="26"/>
              </w:rPr>
              <w:t>1</w:t>
            </w:r>
            <w:r w:rsidRPr="00C13B05">
              <w:rPr>
                <w:b/>
                <w:sz w:val="26"/>
                <w:szCs w:val="26"/>
              </w:rPr>
              <w:t>,</w:t>
            </w:r>
            <w:r w:rsidR="009E39D6" w:rsidRPr="00C13B05">
              <w:rPr>
                <w:b/>
                <w:sz w:val="26"/>
                <w:szCs w:val="26"/>
              </w:rPr>
              <w:t>4</w:t>
            </w:r>
          </w:p>
        </w:tc>
        <w:tc>
          <w:tcPr>
            <w:tcW w:w="1509" w:type="dxa"/>
          </w:tcPr>
          <w:p w:rsidR="00DA30DA" w:rsidRPr="00C13B05" w:rsidRDefault="00E5461A" w:rsidP="00653952">
            <w:pPr>
              <w:pStyle w:val="naisf"/>
              <w:spacing w:before="0" w:after="0"/>
              <w:ind w:firstLine="0"/>
              <w:jc w:val="center"/>
              <w:rPr>
                <w:b/>
                <w:sz w:val="26"/>
                <w:szCs w:val="26"/>
              </w:rPr>
            </w:pPr>
            <w:r w:rsidRPr="00C13B05">
              <w:rPr>
                <w:b/>
                <w:sz w:val="26"/>
                <w:szCs w:val="26"/>
              </w:rPr>
              <w:t>+</w:t>
            </w:r>
            <w:r w:rsidR="00935F6C" w:rsidRPr="00C13B05">
              <w:rPr>
                <w:b/>
                <w:sz w:val="26"/>
                <w:szCs w:val="26"/>
              </w:rPr>
              <w:t>89</w:t>
            </w:r>
            <w:r w:rsidR="00942D3A" w:rsidRPr="00C13B05">
              <w:rPr>
                <w:b/>
                <w:sz w:val="26"/>
                <w:szCs w:val="26"/>
              </w:rPr>
              <w:t>,</w:t>
            </w:r>
            <w:r w:rsidR="00935F6C" w:rsidRPr="00C13B05">
              <w:rPr>
                <w:b/>
                <w:sz w:val="26"/>
                <w:szCs w:val="26"/>
              </w:rPr>
              <w:t>7</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C13B05" w:rsidRDefault="007F6D6B" w:rsidP="009E39D6">
            <w:pPr>
              <w:pStyle w:val="naisf"/>
              <w:spacing w:before="0" w:after="0"/>
              <w:ind w:firstLine="0"/>
              <w:jc w:val="center"/>
              <w:rPr>
                <w:i/>
                <w:sz w:val="26"/>
                <w:szCs w:val="26"/>
              </w:rPr>
            </w:pPr>
            <w:r w:rsidRPr="00C13B05">
              <w:rPr>
                <w:sz w:val="26"/>
                <w:szCs w:val="26"/>
              </w:rPr>
              <w:t>8</w:t>
            </w:r>
            <w:r w:rsidR="009E39D6" w:rsidRPr="00C13B05">
              <w:rPr>
                <w:sz w:val="26"/>
                <w:szCs w:val="26"/>
              </w:rPr>
              <w:t>1</w:t>
            </w:r>
            <w:r w:rsidRPr="00C13B05">
              <w:rPr>
                <w:sz w:val="26"/>
                <w:szCs w:val="26"/>
              </w:rPr>
              <w:t>,</w:t>
            </w:r>
            <w:r w:rsidR="009E39D6" w:rsidRPr="00C13B05">
              <w:rPr>
                <w:sz w:val="26"/>
                <w:szCs w:val="26"/>
              </w:rPr>
              <w:t>4</w:t>
            </w:r>
          </w:p>
        </w:tc>
        <w:tc>
          <w:tcPr>
            <w:tcW w:w="1509" w:type="dxa"/>
          </w:tcPr>
          <w:p w:rsidR="00B06326" w:rsidRPr="00C13B05" w:rsidRDefault="00B06326" w:rsidP="00653952">
            <w:pPr>
              <w:pStyle w:val="naisf"/>
              <w:spacing w:before="0" w:after="0"/>
              <w:ind w:firstLine="0"/>
              <w:jc w:val="center"/>
              <w:rPr>
                <w:sz w:val="26"/>
                <w:szCs w:val="26"/>
              </w:rPr>
            </w:pPr>
            <w:r w:rsidRPr="00C13B05">
              <w:rPr>
                <w:sz w:val="26"/>
                <w:szCs w:val="26"/>
              </w:rPr>
              <w:t>+</w:t>
            </w:r>
            <w:r w:rsidR="00935F6C" w:rsidRPr="00C13B05">
              <w:rPr>
                <w:sz w:val="26"/>
                <w:szCs w:val="26"/>
              </w:rPr>
              <w:t>89</w:t>
            </w:r>
            <w:r w:rsidR="00942D3A" w:rsidRPr="00C13B05">
              <w:rPr>
                <w:sz w:val="26"/>
                <w:szCs w:val="26"/>
              </w:rPr>
              <w:t>,</w:t>
            </w:r>
            <w:r w:rsidR="00935F6C" w:rsidRPr="00C13B05">
              <w:rPr>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653952">
            <w:pPr>
              <w:jc w:val="center"/>
              <w:rPr>
                <w:b/>
                <w:sz w:val="26"/>
                <w:szCs w:val="26"/>
              </w:rPr>
            </w:pPr>
            <w:r w:rsidRPr="00C13B05">
              <w:rPr>
                <w:b/>
                <w:sz w:val="26"/>
                <w:szCs w:val="26"/>
              </w:rPr>
              <w:t>-</w:t>
            </w:r>
            <w:r w:rsidR="00935F6C" w:rsidRPr="00C13B05">
              <w:rPr>
                <w:b/>
                <w:sz w:val="26"/>
                <w:szCs w:val="26"/>
              </w:rPr>
              <w:t>89</w:t>
            </w:r>
            <w:r w:rsidR="00942D3A" w:rsidRPr="00C13B05">
              <w:rPr>
                <w:b/>
                <w:sz w:val="26"/>
                <w:szCs w:val="26"/>
              </w:rPr>
              <w:t>,</w:t>
            </w:r>
            <w:r w:rsidR="00935F6C" w:rsidRPr="00C13B05">
              <w:rPr>
                <w:b/>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653952">
            <w:pPr>
              <w:jc w:val="center"/>
              <w:rPr>
                <w:sz w:val="26"/>
                <w:szCs w:val="26"/>
              </w:rPr>
            </w:pPr>
            <w:r w:rsidRPr="00C13B05">
              <w:rPr>
                <w:sz w:val="26"/>
                <w:szCs w:val="26"/>
              </w:rPr>
              <w:t>-</w:t>
            </w:r>
            <w:r w:rsidR="00935F6C" w:rsidRPr="00C13B05">
              <w:rPr>
                <w:sz w:val="26"/>
                <w:szCs w:val="26"/>
              </w:rPr>
              <w:t>89</w:t>
            </w:r>
            <w:r w:rsidR="00942D3A" w:rsidRPr="00C13B05">
              <w:rPr>
                <w:sz w:val="26"/>
                <w:szCs w:val="26"/>
              </w:rPr>
              <w:t>,</w:t>
            </w:r>
            <w:r w:rsidR="00935F6C" w:rsidRPr="00C13B05">
              <w:rPr>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4. Finanšu līdzekļi 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653952">
            <w:pPr>
              <w:jc w:val="center"/>
              <w:rPr>
                <w:b/>
                <w:sz w:val="26"/>
                <w:szCs w:val="26"/>
              </w:rPr>
            </w:pPr>
            <w:r w:rsidRPr="00C13B05">
              <w:rPr>
                <w:b/>
                <w:sz w:val="26"/>
                <w:szCs w:val="26"/>
              </w:rPr>
              <w:t>+</w:t>
            </w:r>
            <w:r w:rsidR="00935F6C" w:rsidRPr="00C13B05">
              <w:rPr>
                <w:b/>
                <w:sz w:val="26"/>
                <w:szCs w:val="26"/>
              </w:rPr>
              <w:t>89</w:t>
            </w:r>
            <w:r w:rsidR="00942D3A" w:rsidRPr="00C13B05">
              <w:rPr>
                <w:b/>
                <w:sz w:val="26"/>
                <w:szCs w:val="26"/>
              </w:rPr>
              <w:t>,</w:t>
            </w:r>
            <w:r w:rsidR="00935F6C" w:rsidRPr="00C13B05">
              <w:rPr>
                <w:b/>
                <w:sz w:val="26"/>
                <w:szCs w:val="26"/>
              </w:rPr>
              <w:t>7</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 xml:space="preserve">mu aprēķins (ja </w:t>
            </w:r>
            <w:r w:rsidRPr="00C13B05">
              <w:rPr>
                <w:sz w:val="26"/>
                <w:szCs w:val="26"/>
              </w:rPr>
              <w:lastRenderedPageBreak/>
              <w:t>nepieciešams, detalizētu ieņēmumu un izdevumu aprēķinu var pievienot anotācijas pielikumā):</w:t>
            </w:r>
          </w:p>
        </w:tc>
        <w:tc>
          <w:tcPr>
            <w:tcW w:w="7224" w:type="dxa"/>
            <w:gridSpan w:val="5"/>
            <w:vMerge w:val="restart"/>
          </w:tcPr>
          <w:p w:rsidR="004C673C" w:rsidRPr="00C13B05" w:rsidRDefault="004A6A93" w:rsidP="00F04465">
            <w:pPr>
              <w:pStyle w:val="naisf"/>
              <w:spacing w:before="0" w:after="0"/>
              <w:ind w:firstLine="0"/>
              <w:rPr>
                <w:sz w:val="26"/>
                <w:szCs w:val="26"/>
              </w:rPr>
            </w:pPr>
            <w:bookmarkStart w:id="3" w:name="OLE_LINK6"/>
            <w:bookmarkStart w:id="4" w:name="OLE_LINK8"/>
            <w:r w:rsidRPr="00C13B05">
              <w:rPr>
                <w:sz w:val="26"/>
                <w:szCs w:val="26"/>
              </w:rPr>
              <w:lastRenderedPageBreak/>
              <w:t xml:space="preserve">Ar ministrijas 2012.gada 9.marta lēmumu Nr.119 biedrībai „Latvijas Handbola federācija” </w:t>
            </w:r>
            <w:r w:rsidR="00E81CA7" w:rsidRPr="00C13B05">
              <w:rPr>
                <w:sz w:val="26"/>
                <w:szCs w:val="26"/>
              </w:rPr>
              <w:t xml:space="preserve">no ministrijas 2012.gada valsts </w:t>
            </w:r>
            <w:r w:rsidR="00E81CA7" w:rsidRPr="00C13B05">
              <w:rPr>
                <w:sz w:val="26"/>
                <w:szCs w:val="26"/>
              </w:rPr>
              <w:lastRenderedPageBreak/>
              <w:t>budžeta programmas 09.00.00 „Sports” apakšprogrammas 09.21.00 „Augstas klases sasniegumu sports” visu handbola izlašu (jauniešu, junioru un pieaugušo) darbības nodrošināšanai piešķirts finansējums 51`395 latu apmērā, savukārt ar ministrijas 2012.gada 9.marta lēmumu Nr.118</w:t>
            </w:r>
            <w:r w:rsidR="00175071" w:rsidRPr="00C13B05">
              <w:rPr>
                <w:sz w:val="26"/>
                <w:szCs w:val="26"/>
              </w:rPr>
              <w:t xml:space="preserve"> </w:t>
            </w:r>
            <w:r w:rsidR="004C673C" w:rsidRPr="00C13B05">
              <w:rPr>
                <w:sz w:val="26"/>
                <w:szCs w:val="26"/>
              </w:rPr>
              <w:t xml:space="preserve">biedrībai „Latvijas Volejbola federācija” visu volejbola izlašu (jauniešu, junioru un pieaugušo) darbības nodrošināšanai piešķirts finansējums 30`035 latu apmērā. Ņemot vērā faktu, ka šahs nav uzskatāms par komandu sporta spēļu sporta veidu, </w:t>
            </w:r>
            <w:r w:rsidR="0017384A" w:rsidRPr="00331B78">
              <w:rPr>
                <w:sz w:val="26"/>
                <w:szCs w:val="26"/>
              </w:rPr>
              <w:t>Ministru kabineta 2009.gada 28.jūlija noteikumos Nr.819 „Kārtība, kādā valsts finansiāli nodrošina valsts izlases komandu sporta spēlēs sagatavošanos un piedalīšanos Eiropas un pasaules čempionātu un olimpisko spēļu atlases turnīros un finālsacensībās”</w:t>
            </w:r>
            <w:r w:rsidR="0017384A">
              <w:rPr>
                <w:sz w:val="26"/>
                <w:szCs w:val="26"/>
              </w:rPr>
              <w:t xml:space="preserve"> </w:t>
            </w:r>
            <w:r w:rsidR="004C673C" w:rsidRPr="00C13B05">
              <w:rPr>
                <w:sz w:val="26"/>
                <w:szCs w:val="26"/>
              </w:rPr>
              <w:t xml:space="preserve">noteiktā kārtībā biedrībai „Latvijas Šaha federācija” finansējums tiešā veidā no ministrijas </w:t>
            </w:r>
            <w:r w:rsidR="0017384A">
              <w:rPr>
                <w:sz w:val="26"/>
                <w:szCs w:val="26"/>
              </w:rPr>
              <w:t xml:space="preserve">2012.gada </w:t>
            </w:r>
            <w:r w:rsidR="004C673C" w:rsidRPr="00C13B05">
              <w:rPr>
                <w:sz w:val="26"/>
                <w:szCs w:val="26"/>
              </w:rPr>
              <w:t xml:space="preserve">valsts budžeta programmas 09.00.00 „Sports” nav ticis piešķirts. Papildus minētam neliels valsts finansiālais atbalsts handbola, volejbola un šaha izlašu darbības nodrošināšanai 2012.gadā ir ticis piešķirts no biedrībai „Latvijas Sporta federāciju padome” piešķirtās </w:t>
            </w:r>
            <w:r w:rsidR="00625948" w:rsidRPr="00C13B05">
              <w:rPr>
                <w:sz w:val="26"/>
                <w:szCs w:val="26"/>
              </w:rPr>
              <w:t xml:space="preserve">valsts </w:t>
            </w:r>
            <w:r w:rsidR="004C673C" w:rsidRPr="00C13B05">
              <w:rPr>
                <w:sz w:val="26"/>
                <w:szCs w:val="26"/>
              </w:rPr>
              <w:t xml:space="preserve">dotācijas, tomēr šī dotācija </w:t>
            </w:r>
            <w:r w:rsidR="00625948" w:rsidRPr="00C13B05">
              <w:rPr>
                <w:sz w:val="26"/>
                <w:szCs w:val="26"/>
              </w:rPr>
              <w:t>izmantojama dažādu sporta federāciju programmu un pasākumu īstenošanai, līdz ar to nav uzskatāma par iezīmētu mērķfinansējumu izlašu komandu darbības nodrošināšanai.</w:t>
            </w:r>
          </w:p>
          <w:bookmarkEnd w:id="3"/>
          <w:bookmarkEnd w:id="4"/>
          <w:p w:rsidR="00C8314D" w:rsidRPr="00C13B05" w:rsidRDefault="00C8314D" w:rsidP="00F04465">
            <w:pPr>
              <w:pStyle w:val="naisf"/>
              <w:spacing w:before="0" w:after="0"/>
              <w:ind w:firstLine="0"/>
              <w:rPr>
                <w:sz w:val="26"/>
                <w:szCs w:val="26"/>
              </w:rPr>
            </w:pPr>
          </w:p>
          <w:p w:rsidR="00C8314D" w:rsidRPr="00C13B05" w:rsidRDefault="00055F70" w:rsidP="00C8314D">
            <w:pPr>
              <w:pStyle w:val="naisf"/>
              <w:ind w:firstLine="0"/>
              <w:rPr>
                <w:sz w:val="26"/>
                <w:szCs w:val="26"/>
              </w:rPr>
            </w:pPr>
            <w:r w:rsidRPr="00C13B05">
              <w:rPr>
                <w:sz w:val="26"/>
                <w:szCs w:val="26"/>
              </w:rPr>
              <w:t>Pa</w:t>
            </w:r>
            <w:r w:rsidR="00C8314D" w:rsidRPr="00C13B05">
              <w:rPr>
                <w:sz w:val="26"/>
                <w:szCs w:val="26"/>
              </w:rPr>
              <w:t xml:space="preserve">pildus pieprasītā </w:t>
            </w:r>
            <w:r w:rsidR="002C2C3F" w:rsidRPr="00C13B05">
              <w:rPr>
                <w:sz w:val="26"/>
                <w:szCs w:val="26"/>
              </w:rPr>
              <w:t>finansējuma (89</w:t>
            </w:r>
            <w:r w:rsidR="00AC624B">
              <w:rPr>
                <w:sz w:val="26"/>
                <w:szCs w:val="26"/>
              </w:rPr>
              <w:t>`</w:t>
            </w:r>
            <w:r w:rsidR="002C2C3F" w:rsidRPr="00C13B05">
              <w:rPr>
                <w:sz w:val="26"/>
                <w:szCs w:val="26"/>
              </w:rPr>
              <w:t>704</w:t>
            </w:r>
            <w:r w:rsidR="00C8314D" w:rsidRPr="00C13B05">
              <w:rPr>
                <w:sz w:val="26"/>
                <w:szCs w:val="26"/>
              </w:rPr>
              <w:t xml:space="preserve"> latu apmērā) sadalījums atbilstoši tam paredzētam mērķim:</w:t>
            </w:r>
          </w:p>
          <w:p w:rsidR="00A400FE" w:rsidRPr="00C13B05" w:rsidRDefault="00A400FE" w:rsidP="00A400FE">
            <w:pPr>
              <w:pStyle w:val="naisf"/>
              <w:numPr>
                <w:ilvl w:val="0"/>
                <w:numId w:val="4"/>
              </w:numPr>
              <w:rPr>
                <w:sz w:val="26"/>
                <w:szCs w:val="26"/>
              </w:rPr>
            </w:pPr>
            <w:r w:rsidRPr="00C13B05">
              <w:rPr>
                <w:sz w:val="26"/>
                <w:szCs w:val="26"/>
              </w:rPr>
              <w:t xml:space="preserve">Latvijas handbola vīriešu izlases gatavošanās un dalībai 2014.gada Eiropas čempionāta kvalifikācijas turnīra 2.kārtas spēlēs ar Horvātijas, Ungārijas un Slovākijas izlasēm – </w:t>
            </w:r>
            <w:r w:rsidRPr="005306CD">
              <w:rPr>
                <w:sz w:val="26"/>
                <w:szCs w:val="26"/>
                <w:u w:val="single"/>
              </w:rPr>
              <w:t>16`728 lati</w:t>
            </w:r>
            <w:r w:rsidRPr="00C13B05">
              <w:rPr>
                <w:sz w:val="26"/>
                <w:szCs w:val="26"/>
              </w:rPr>
              <w:t xml:space="preserve"> (t.sk.: transporta izdevumi 9</w:t>
            </w:r>
            <w:r>
              <w:rPr>
                <w:sz w:val="26"/>
                <w:szCs w:val="26"/>
              </w:rPr>
              <w:t>`</w:t>
            </w:r>
            <w:r w:rsidRPr="00C13B05">
              <w:rPr>
                <w:sz w:val="26"/>
                <w:szCs w:val="26"/>
              </w:rPr>
              <w:t>200 lati; ēdināšana 1</w:t>
            </w:r>
            <w:r>
              <w:rPr>
                <w:sz w:val="26"/>
                <w:szCs w:val="26"/>
              </w:rPr>
              <w:t>`</w:t>
            </w:r>
            <w:r w:rsidRPr="00C13B05">
              <w:rPr>
                <w:sz w:val="26"/>
                <w:szCs w:val="26"/>
              </w:rPr>
              <w:t>660 lati; uzturēšanās izdevumi 1</w:t>
            </w:r>
            <w:r>
              <w:rPr>
                <w:sz w:val="26"/>
                <w:szCs w:val="26"/>
              </w:rPr>
              <w:t>`</w:t>
            </w:r>
            <w:r w:rsidRPr="00C13B05">
              <w:rPr>
                <w:sz w:val="26"/>
                <w:szCs w:val="26"/>
              </w:rPr>
              <w:t>990 lati; medicīna 635 lati; tehniskie izdevumi 1</w:t>
            </w:r>
            <w:r>
              <w:rPr>
                <w:sz w:val="26"/>
                <w:szCs w:val="26"/>
              </w:rPr>
              <w:t>`</w:t>
            </w:r>
            <w:r w:rsidRPr="00C13B05">
              <w:rPr>
                <w:sz w:val="26"/>
                <w:szCs w:val="26"/>
              </w:rPr>
              <w:t>653 lati; LTV7 tiešraides nodrošināšana 1</w:t>
            </w:r>
            <w:r>
              <w:rPr>
                <w:sz w:val="26"/>
                <w:szCs w:val="26"/>
              </w:rPr>
              <w:t>`</w:t>
            </w:r>
            <w:r w:rsidRPr="00C13B05">
              <w:rPr>
                <w:sz w:val="26"/>
                <w:szCs w:val="26"/>
              </w:rPr>
              <w:t>590 lati);</w:t>
            </w:r>
          </w:p>
          <w:p w:rsidR="00C8314D" w:rsidRPr="00C13B05" w:rsidRDefault="00A960A0" w:rsidP="00C8314D">
            <w:pPr>
              <w:pStyle w:val="naisf"/>
              <w:numPr>
                <w:ilvl w:val="0"/>
                <w:numId w:val="4"/>
              </w:numPr>
              <w:rPr>
                <w:sz w:val="26"/>
                <w:szCs w:val="26"/>
              </w:rPr>
            </w:pPr>
            <w:r w:rsidRPr="00C13B05">
              <w:rPr>
                <w:sz w:val="26"/>
                <w:szCs w:val="26"/>
              </w:rPr>
              <w:t xml:space="preserve">Latvijas vīriešu volejbola izlases gatavošanās un dalībai Eiropas čempionāta kvalifikācijas 2.kārtā – </w:t>
            </w:r>
            <w:r w:rsidRPr="005306CD">
              <w:rPr>
                <w:sz w:val="26"/>
                <w:szCs w:val="26"/>
                <w:u w:val="single"/>
              </w:rPr>
              <w:t>46</w:t>
            </w:r>
            <w:r w:rsidR="00AC624B" w:rsidRPr="005306CD">
              <w:rPr>
                <w:sz w:val="26"/>
                <w:szCs w:val="26"/>
                <w:u w:val="single"/>
              </w:rPr>
              <w:t>`</w:t>
            </w:r>
            <w:r w:rsidRPr="005306CD">
              <w:rPr>
                <w:sz w:val="26"/>
                <w:szCs w:val="26"/>
                <w:u w:val="single"/>
              </w:rPr>
              <w:t>720 lati</w:t>
            </w:r>
            <w:r w:rsidRPr="00C13B05">
              <w:rPr>
                <w:sz w:val="26"/>
                <w:szCs w:val="26"/>
              </w:rPr>
              <w:t xml:space="preserve"> (t.sk.: mācību-treniņu nometne Latvijā 18</w:t>
            </w:r>
            <w:r w:rsidR="00AC624B">
              <w:rPr>
                <w:sz w:val="26"/>
                <w:szCs w:val="26"/>
              </w:rPr>
              <w:t>`</w:t>
            </w:r>
            <w:r w:rsidRPr="00C13B05">
              <w:rPr>
                <w:sz w:val="26"/>
                <w:szCs w:val="26"/>
              </w:rPr>
              <w:t>920 lati; pārbaudes spēles Grieķijā, Beļģijā un Igaunijā 14</w:t>
            </w:r>
            <w:r w:rsidR="00AC624B">
              <w:rPr>
                <w:sz w:val="26"/>
                <w:szCs w:val="26"/>
              </w:rPr>
              <w:t>`</w:t>
            </w:r>
            <w:r w:rsidRPr="00C13B05">
              <w:rPr>
                <w:sz w:val="26"/>
                <w:szCs w:val="26"/>
              </w:rPr>
              <w:t>400 lati; Eiropas čempionāta kvalifikācijas 2.kārtas 1.turnīrs Ungārijā 4</w:t>
            </w:r>
            <w:r w:rsidR="00AC624B">
              <w:rPr>
                <w:sz w:val="26"/>
                <w:szCs w:val="26"/>
              </w:rPr>
              <w:t>`</w:t>
            </w:r>
            <w:r w:rsidRPr="00C13B05">
              <w:rPr>
                <w:sz w:val="26"/>
                <w:szCs w:val="26"/>
              </w:rPr>
              <w:t>800 lati; Eiropas čempionāta kvalifikācijas 2.kārtas 2.turnīrs Latvijā 8</w:t>
            </w:r>
            <w:r w:rsidR="00AC624B">
              <w:rPr>
                <w:sz w:val="26"/>
                <w:szCs w:val="26"/>
              </w:rPr>
              <w:t>`</w:t>
            </w:r>
            <w:r w:rsidRPr="00C13B05">
              <w:rPr>
                <w:sz w:val="26"/>
                <w:szCs w:val="26"/>
              </w:rPr>
              <w:t>600 lati);</w:t>
            </w:r>
          </w:p>
          <w:p w:rsidR="00A960A0" w:rsidRPr="00C13B05" w:rsidRDefault="00A960A0" w:rsidP="00C8314D">
            <w:pPr>
              <w:pStyle w:val="naisf"/>
              <w:numPr>
                <w:ilvl w:val="0"/>
                <w:numId w:val="4"/>
              </w:numPr>
              <w:rPr>
                <w:sz w:val="26"/>
                <w:szCs w:val="26"/>
              </w:rPr>
            </w:pPr>
            <w:r w:rsidRPr="00C13B05">
              <w:rPr>
                <w:sz w:val="26"/>
                <w:szCs w:val="26"/>
              </w:rPr>
              <w:t xml:space="preserve">Latvijas jauniešu U-18 un meiteņu U-17 volejbola izlases gatavošanās un dalībai Eiropas čempionāta kvalifikācijas turnīriem 2013.gada janvārī – </w:t>
            </w:r>
            <w:r w:rsidRPr="005306CD">
              <w:rPr>
                <w:sz w:val="26"/>
                <w:szCs w:val="26"/>
                <w:u w:val="single"/>
              </w:rPr>
              <w:t>16</w:t>
            </w:r>
            <w:r w:rsidR="00AC624B" w:rsidRPr="005306CD">
              <w:rPr>
                <w:sz w:val="26"/>
                <w:szCs w:val="26"/>
                <w:u w:val="single"/>
              </w:rPr>
              <w:t>`</w:t>
            </w:r>
            <w:r w:rsidRPr="005306CD">
              <w:rPr>
                <w:sz w:val="26"/>
                <w:szCs w:val="26"/>
                <w:u w:val="single"/>
              </w:rPr>
              <w:t>256 lati</w:t>
            </w:r>
            <w:r w:rsidRPr="00C13B05">
              <w:rPr>
                <w:sz w:val="26"/>
                <w:szCs w:val="26"/>
              </w:rPr>
              <w:t xml:space="preserve"> (t.sk.: mācību-treniņu nometne jauniešu zēnu izlasei U-18 Latvijā 1</w:t>
            </w:r>
            <w:r w:rsidR="00AC624B">
              <w:rPr>
                <w:sz w:val="26"/>
                <w:szCs w:val="26"/>
              </w:rPr>
              <w:t>`</w:t>
            </w:r>
            <w:r w:rsidRPr="00C13B05">
              <w:rPr>
                <w:sz w:val="26"/>
                <w:szCs w:val="26"/>
              </w:rPr>
              <w:t>950 lati; mācību-treniņu nometne jauniešu meiteņu izlasei U-17 Latvijā 1</w:t>
            </w:r>
            <w:r w:rsidR="00AC624B">
              <w:rPr>
                <w:sz w:val="26"/>
                <w:szCs w:val="26"/>
              </w:rPr>
              <w:t>`</w:t>
            </w:r>
            <w:r w:rsidRPr="00C13B05">
              <w:rPr>
                <w:sz w:val="26"/>
                <w:szCs w:val="26"/>
              </w:rPr>
              <w:t>950 lati; jauniešu zēnu izlases U-18 dalība EEVZA čempionātā Igaunijā 5</w:t>
            </w:r>
            <w:r w:rsidR="00AC624B">
              <w:rPr>
                <w:sz w:val="26"/>
                <w:szCs w:val="26"/>
              </w:rPr>
              <w:t>`</w:t>
            </w:r>
            <w:r w:rsidRPr="00C13B05">
              <w:rPr>
                <w:sz w:val="26"/>
                <w:szCs w:val="26"/>
              </w:rPr>
              <w:t xml:space="preserve">000 lati; jauniešu meiteņu </w:t>
            </w:r>
            <w:r w:rsidRPr="00C13B05">
              <w:rPr>
                <w:sz w:val="26"/>
                <w:szCs w:val="26"/>
              </w:rPr>
              <w:lastRenderedPageBreak/>
              <w:t>izlases U-17 dalība EEVZA čempionātā Latvijā 4</w:t>
            </w:r>
            <w:r w:rsidR="00AC624B">
              <w:rPr>
                <w:sz w:val="26"/>
                <w:szCs w:val="26"/>
              </w:rPr>
              <w:t>`</w:t>
            </w:r>
            <w:r w:rsidRPr="00C13B05">
              <w:rPr>
                <w:sz w:val="26"/>
                <w:szCs w:val="26"/>
              </w:rPr>
              <w:t>856 lati; Baltijas čempionāts jauniešu izlasēm meitenēm (U-17, U-15) un zēniem (U-16,U-18) Igaunijā 2</w:t>
            </w:r>
            <w:r w:rsidR="00AC624B">
              <w:rPr>
                <w:sz w:val="26"/>
                <w:szCs w:val="26"/>
              </w:rPr>
              <w:t>`</w:t>
            </w:r>
            <w:r w:rsidRPr="00C13B05">
              <w:rPr>
                <w:sz w:val="26"/>
                <w:szCs w:val="26"/>
              </w:rPr>
              <w:t>500 lati);</w:t>
            </w:r>
          </w:p>
          <w:p w:rsidR="00C8314D" w:rsidRPr="00C13B05" w:rsidRDefault="000622F7" w:rsidP="00AC624B">
            <w:pPr>
              <w:pStyle w:val="naisf"/>
              <w:numPr>
                <w:ilvl w:val="0"/>
                <w:numId w:val="4"/>
              </w:numPr>
              <w:rPr>
                <w:sz w:val="26"/>
                <w:szCs w:val="26"/>
              </w:rPr>
            </w:pPr>
            <w:r w:rsidRPr="00C13B05">
              <w:rPr>
                <w:sz w:val="26"/>
                <w:szCs w:val="26"/>
              </w:rPr>
              <w:t xml:space="preserve">Latvijas vīriešu un sieviešu izlases gatavošanās un dalībai Pasaules Šaha olimpiādē </w:t>
            </w:r>
            <w:r w:rsidR="00534712" w:rsidRPr="00C13B05">
              <w:rPr>
                <w:sz w:val="26"/>
                <w:szCs w:val="26"/>
              </w:rPr>
              <w:t xml:space="preserve">Turcijā – </w:t>
            </w:r>
            <w:r w:rsidR="00534712" w:rsidRPr="005306CD">
              <w:rPr>
                <w:sz w:val="26"/>
                <w:szCs w:val="26"/>
                <w:u w:val="single"/>
              </w:rPr>
              <w:t>10</w:t>
            </w:r>
            <w:r w:rsidR="00AC624B" w:rsidRPr="005306CD">
              <w:rPr>
                <w:sz w:val="26"/>
                <w:szCs w:val="26"/>
                <w:u w:val="single"/>
              </w:rPr>
              <w:t>`</w:t>
            </w:r>
            <w:r w:rsidR="00534712" w:rsidRPr="005306CD">
              <w:rPr>
                <w:sz w:val="26"/>
                <w:szCs w:val="26"/>
                <w:u w:val="single"/>
              </w:rPr>
              <w:t>000 lati</w:t>
            </w:r>
            <w:r w:rsidRPr="00C13B05">
              <w:rPr>
                <w:sz w:val="26"/>
                <w:szCs w:val="26"/>
              </w:rPr>
              <w:t xml:space="preserve"> </w:t>
            </w:r>
            <w:r w:rsidR="00534712" w:rsidRPr="00C13B05">
              <w:rPr>
                <w:sz w:val="26"/>
                <w:szCs w:val="26"/>
              </w:rPr>
              <w:t>(t.sk.: aviobiļetes 2</w:t>
            </w:r>
            <w:r w:rsidR="00AC624B">
              <w:rPr>
                <w:sz w:val="26"/>
                <w:szCs w:val="26"/>
              </w:rPr>
              <w:t>`</w:t>
            </w:r>
            <w:r w:rsidRPr="00C13B05">
              <w:rPr>
                <w:sz w:val="26"/>
                <w:szCs w:val="26"/>
              </w:rPr>
              <w:t xml:space="preserve">530 </w:t>
            </w:r>
            <w:r w:rsidR="00534712" w:rsidRPr="00C13B05">
              <w:rPr>
                <w:sz w:val="26"/>
                <w:szCs w:val="26"/>
              </w:rPr>
              <w:t>lati</w:t>
            </w:r>
            <w:r w:rsidRPr="00C13B05">
              <w:rPr>
                <w:sz w:val="26"/>
                <w:szCs w:val="26"/>
              </w:rPr>
              <w:t xml:space="preserve">, </w:t>
            </w:r>
            <w:r w:rsidR="00534712" w:rsidRPr="00C13B05">
              <w:rPr>
                <w:sz w:val="26"/>
                <w:szCs w:val="26"/>
              </w:rPr>
              <w:t xml:space="preserve">dalības maksa par dalībniekiem 843 lati; dalības maksa par komandām 380 lati; dienas naudas </w:t>
            </w:r>
            <w:r w:rsidR="00534712" w:rsidRPr="00C13B05">
              <w:rPr>
                <w:sz w:val="26"/>
                <w:szCs w:val="26"/>
              </w:rPr>
              <w:br/>
              <w:t>4</w:t>
            </w:r>
            <w:r w:rsidR="00AC624B">
              <w:rPr>
                <w:sz w:val="26"/>
                <w:szCs w:val="26"/>
              </w:rPr>
              <w:t>`</w:t>
            </w:r>
            <w:r w:rsidR="00534712" w:rsidRPr="00C13B05">
              <w:rPr>
                <w:sz w:val="26"/>
                <w:szCs w:val="26"/>
              </w:rPr>
              <w:t>320 lati, treniņnometnes 1</w:t>
            </w:r>
            <w:r w:rsidR="00AC624B">
              <w:rPr>
                <w:sz w:val="26"/>
                <w:szCs w:val="26"/>
              </w:rPr>
              <w:t>`</w:t>
            </w:r>
            <w:r w:rsidRPr="00C13B05">
              <w:rPr>
                <w:sz w:val="26"/>
                <w:szCs w:val="26"/>
              </w:rPr>
              <w:t xml:space="preserve">927 </w:t>
            </w:r>
            <w:r w:rsidR="00534712" w:rsidRPr="00C13B05">
              <w:rPr>
                <w:sz w:val="26"/>
                <w:szCs w:val="26"/>
              </w:rPr>
              <w:t>lati</w:t>
            </w:r>
            <w:r w:rsidRPr="00C13B05">
              <w:rPr>
                <w:sz w:val="26"/>
                <w:szCs w:val="26"/>
              </w:rPr>
              <w:t>)</w:t>
            </w:r>
            <w:r w:rsidR="00C8314D" w:rsidRPr="00C13B05">
              <w:rPr>
                <w:sz w:val="26"/>
                <w:szCs w:val="26"/>
              </w:rPr>
              <w:t>.</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lastRenderedPageBreak/>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lastRenderedPageBreak/>
              <w:t>7. Cita informācija</w:t>
            </w:r>
          </w:p>
        </w:tc>
        <w:tc>
          <w:tcPr>
            <w:tcW w:w="7224" w:type="dxa"/>
            <w:gridSpan w:val="5"/>
          </w:tcPr>
          <w:p w:rsidR="00DA30DA" w:rsidRDefault="0054456F" w:rsidP="00707D91">
            <w:pPr>
              <w:pStyle w:val="naisf"/>
              <w:tabs>
                <w:tab w:val="left" w:pos="4644"/>
              </w:tabs>
              <w:spacing w:before="0" w:after="0"/>
              <w:ind w:firstLine="0"/>
              <w:rPr>
                <w:color w:val="000000"/>
                <w:sz w:val="26"/>
                <w:szCs w:val="26"/>
              </w:rPr>
            </w:pPr>
            <w:r w:rsidRPr="00C13B05">
              <w:rPr>
                <w:color w:val="000000"/>
                <w:sz w:val="26"/>
                <w:szCs w:val="26"/>
              </w:rPr>
              <w:t>I</w:t>
            </w:r>
            <w:r w:rsidR="00272248" w:rsidRPr="00C13B05">
              <w:rPr>
                <w:color w:val="000000"/>
                <w:sz w:val="26"/>
                <w:szCs w:val="26"/>
              </w:rPr>
              <w:t xml:space="preserve">zdevumus sedz no </w:t>
            </w:r>
            <w:r w:rsidRPr="00C13B05">
              <w:rPr>
                <w:color w:val="000000"/>
                <w:sz w:val="26"/>
                <w:szCs w:val="26"/>
              </w:rPr>
              <w:t>valsts budžeta programmas 02.00.00 „Līdzekļi neparedzētiem gadījumiem”</w:t>
            </w:r>
            <w:r w:rsidR="00272248" w:rsidRPr="00C13B05">
              <w:rPr>
                <w:color w:val="000000"/>
                <w:sz w:val="26"/>
                <w:szCs w:val="26"/>
              </w:rPr>
              <w:t>.</w:t>
            </w:r>
          </w:p>
          <w:p w:rsidR="0016142A" w:rsidRDefault="0016142A" w:rsidP="00707D91">
            <w:pPr>
              <w:pStyle w:val="naisf"/>
              <w:tabs>
                <w:tab w:val="left" w:pos="4644"/>
              </w:tabs>
              <w:spacing w:before="0" w:after="0"/>
              <w:ind w:firstLine="0"/>
              <w:rPr>
                <w:color w:val="000000"/>
                <w:sz w:val="26"/>
                <w:szCs w:val="26"/>
              </w:rPr>
            </w:pPr>
          </w:p>
          <w:p w:rsidR="0016142A" w:rsidRPr="00C13B05" w:rsidRDefault="0016142A" w:rsidP="00707D91">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587C74" w:rsidRPr="00C13B05" w:rsidRDefault="008F245F" w:rsidP="00C7220E">
      <w:pPr>
        <w:pStyle w:val="BodyText2"/>
        <w:spacing w:after="0" w:line="240" w:lineRule="auto"/>
        <w:ind w:firstLine="720"/>
        <w:jc w:val="both"/>
        <w:rPr>
          <w:sz w:val="26"/>
          <w:szCs w:val="26"/>
        </w:rPr>
      </w:pPr>
      <w:r w:rsidRPr="00C13B05">
        <w:rPr>
          <w:sz w:val="26"/>
          <w:szCs w:val="26"/>
        </w:rPr>
        <w:t>Izglītības un zinātnes ministr</w:t>
      </w:r>
      <w:r w:rsidR="008431E8" w:rsidRPr="00C13B05">
        <w:rPr>
          <w:sz w:val="26"/>
          <w:szCs w:val="26"/>
        </w:rPr>
        <w:t>s</w:t>
      </w:r>
      <w:r w:rsidR="0059354C" w:rsidRPr="00C13B05">
        <w:rPr>
          <w:sz w:val="26"/>
          <w:szCs w:val="26"/>
        </w:rPr>
        <w:tab/>
      </w:r>
      <w:r w:rsidR="0059354C" w:rsidRPr="00C13B05">
        <w:rPr>
          <w:sz w:val="26"/>
          <w:szCs w:val="26"/>
        </w:rPr>
        <w:tab/>
      </w:r>
      <w:r w:rsidR="0059354C" w:rsidRPr="00C13B05">
        <w:rPr>
          <w:sz w:val="26"/>
          <w:szCs w:val="26"/>
        </w:rPr>
        <w:tab/>
      </w:r>
      <w:r w:rsidR="0059354C" w:rsidRPr="00C13B05">
        <w:rPr>
          <w:sz w:val="26"/>
          <w:szCs w:val="26"/>
        </w:rPr>
        <w:tab/>
      </w:r>
      <w:r w:rsidR="00991790" w:rsidRPr="00C13B05">
        <w:rPr>
          <w:sz w:val="26"/>
          <w:szCs w:val="26"/>
        </w:rPr>
        <w:tab/>
      </w:r>
      <w:r w:rsidR="008431E8" w:rsidRPr="00C13B05">
        <w:rPr>
          <w:sz w:val="26"/>
          <w:szCs w:val="26"/>
        </w:rPr>
        <w:t>R.</w:t>
      </w:r>
      <w:r w:rsidR="00893CD2" w:rsidRPr="00C13B05">
        <w:rPr>
          <w:sz w:val="26"/>
          <w:szCs w:val="26"/>
        </w:rPr>
        <w:t>Ķīlis</w:t>
      </w:r>
    </w:p>
    <w:p w:rsidR="00585B7B" w:rsidRPr="00C13B05" w:rsidRDefault="00585B7B" w:rsidP="00D96FCD">
      <w:pPr>
        <w:rPr>
          <w:sz w:val="26"/>
          <w:szCs w:val="26"/>
        </w:rPr>
      </w:pPr>
    </w:p>
    <w:p w:rsidR="004560F5" w:rsidRPr="00C13B05" w:rsidRDefault="004560F5" w:rsidP="00D96FCD">
      <w:pPr>
        <w:rPr>
          <w:sz w:val="26"/>
          <w:szCs w:val="26"/>
        </w:rPr>
      </w:pPr>
    </w:p>
    <w:p w:rsidR="008431E8" w:rsidRPr="00C13B05" w:rsidRDefault="00585B7B" w:rsidP="00C7220E">
      <w:pPr>
        <w:ind w:firstLine="720"/>
        <w:rPr>
          <w:sz w:val="26"/>
          <w:szCs w:val="26"/>
        </w:rPr>
      </w:pPr>
      <w:r w:rsidRPr="00C13B05">
        <w:rPr>
          <w:sz w:val="26"/>
          <w:szCs w:val="26"/>
        </w:rPr>
        <w:t>Vizē:</w:t>
      </w:r>
    </w:p>
    <w:p w:rsidR="001A34F0" w:rsidRPr="00C13B05" w:rsidRDefault="005C1BC7" w:rsidP="00C7220E">
      <w:pPr>
        <w:ind w:firstLine="720"/>
        <w:rPr>
          <w:sz w:val="26"/>
          <w:szCs w:val="26"/>
        </w:rPr>
      </w:pPr>
      <w:r w:rsidRPr="00C13B05">
        <w:rPr>
          <w:sz w:val="26"/>
          <w:szCs w:val="26"/>
        </w:rPr>
        <w:t>V</w:t>
      </w:r>
      <w:r w:rsidR="00585B7B" w:rsidRPr="00C13B05">
        <w:rPr>
          <w:sz w:val="26"/>
          <w:szCs w:val="26"/>
        </w:rPr>
        <w:t>alsts sekretār</w:t>
      </w:r>
      <w:r w:rsidR="001A34F0" w:rsidRPr="00C13B05">
        <w:rPr>
          <w:sz w:val="26"/>
          <w:szCs w:val="26"/>
        </w:rPr>
        <w:t>a vietniece,</w:t>
      </w:r>
    </w:p>
    <w:p w:rsidR="00585B7B" w:rsidRPr="00C13B05" w:rsidRDefault="001A34F0" w:rsidP="00C7220E">
      <w:pPr>
        <w:ind w:firstLine="720"/>
        <w:rPr>
          <w:sz w:val="26"/>
          <w:szCs w:val="26"/>
        </w:rPr>
      </w:pPr>
      <w:r w:rsidRPr="00C13B05">
        <w:rPr>
          <w:sz w:val="26"/>
          <w:szCs w:val="26"/>
        </w:rPr>
        <w:t>valsts sekretāra pienākumu izpildītāja</w:t>
      </w:r>
      <w:r w:rsidR="00010590" w:rsidRPr="00C13B05">
        <w:rPr>
          <w:sz w:val="26"/>
          <w:szCs w:val="26"/>
        </w:rPr>
        <w:tab/>
      </w:r>
      <w:r w:rsidR="00010590" w:rsidRPr="00C13B05">
        <w:rPr>
          <w:sz w:val="26"/>
          <w:szCs w:val="26"/>
        </w:rPr>
        <w:tab/>
      </w:r>
      <w:r w:rsidR="00010590" w:rsidRPr="00C13B05">
        <w:rPr>
          <w:sz w:val="26"/>
          <w:szCs w:val="26"/>
        </w:rPr>
        <w:tab/>
      </w:r>
      <w:r w:rsidR="00991790" w:rsidRPr="00C13B05">
        <w:rPr>
          <w:sz w:val="26"/>
          <w:szCs w:val="26"/>
        </w:rPr>
        <w:tab/>
      </w:r>
      <w:r w:rsidRPr="00C13B05">
        <w:rPr>
          <w:sz w:val="26"/>
          <w:szCs w:val="26"/>
        </w:rPr>
        <w:t>L.Sīka</w:t>
      </w:r>
    </w:p>
    <w:p w:rsidR="00080CC1" w:rsidRPr="00591268" w:rsidRDefault="00080CC1" w:rsidP="00D96FCD">
      <w:pPr>
        <w:jc w:val="both"/>
        <w:rPr>
          <w:sz w:val="25"/>
          <w:szCs w:val="25"/>
        </w:rPr>
      </w:pPr>
    </w:p>
    <w:p w:rsidR="0077133D" w:rsidRDefault="0077133D" w:rsidP="00D96FCD">
      <w:pPr>
        <w:jc w:val="both"/>
        <w:rPr>
          <w:sz w:val="22"/>
          <w:szCs w:val="22"/>
        </w:rPr>
      </w:pPr>
    </w:p>
    <w:p w:rsidR="0052372C" w:rsidRDefault="0052372C" w:rsidP="00D96FCD">
      <w:pPr>
        <w:jc w:val="both"/>
        <w:rPr>
          <w:sz w:val="22"/>
          <w:szCs w:val="22"/>
        </w:rPr>
      </w:pPr>
    </w:p>
    <w:p w:rsidR="00A524B8" w:rsidRDefault="00A524B8" w:rsidP="00D96FCD">
      <w:pPr>
        <w:jc w:val="both"/>
        <w:rPr>
          <w:sz w:val="22"/>
          <w:szCs w:val="22"/>
        </w:rPr>
      </w:pPr>
    </w:p>
    <w:p w:rsidR="00A400FE" w:rsidRDefault="00A400FE" w:rsidP="00D96FCD">
      <w:pPr>
        <w:jc w:val="both"/>
        <w:rPr>
          <w:sz w:val="22"/>
          <w:szCs w:val="22"/>
        </w:rPr>
      </w:pPr>
    </w:p>
    <w:p w:rsidR="00A400FE" w:rsidRDefault="00A400FE" w:rsidP="00D96FCD">
      <w:pPr>
        <w:jc w:val="both"/>
        <w:rPr>
          <w:sz w:val="22"/>
          <w:szCs w:val="22"/>
        </w:rPr>
      </w:pPr>
    </w:p>
    <w:p w:rsidR="00A400FE" w:rsidRDefault="00A400FE" w:rsidP="00D96FCD">
      <w:pPr>
        <w:jc w:val="both"/>
        <w:rPr>
          <w:sz w:val="22"/>
          <w:szCs w:val="22"/>
        </w:rPr>
      </w:pPr>
    </w:p>
    <w:p w:rsidR="00A400FE" w:rsidRDefault="00A400FE" w:rsidP="00D96FCD">
      <w:pPr>
        <w:jc w:val="both"/>
        <w:rPr>
          <w:sz w:val="22"/>
          <w:szCs w:val="22"/>
        </w:rPr>
      </w:pPr>
    </w:p>
    <w:p w:rsidR="00CF7C34" w:rsidRPr="00055608" w:rsidRDefault="00CF7C34" w:rsidP="00D96FCD">
      <w:pPr>
        <w:jc w:val="both"/>
        <w:rPr>
          <w:sz w:val="22"/>
          <w:szCs w:val="22"/>
        </w:rPr>
      </w:pPr>
    </w:p>
    <w:p w:rsidR="00942D3A" w:rsidRPr="00942D3A" w:rsidRDefault="000B3147" w:rsidP="00942D3A">
      <w:pPr>
        <w:ind w:left="720"/>
        <w:rPr>
          <w:sz w:val="22"/>
          <w:szCs w:val="22"/>
        </w:rPr>
      </w:pPr>
      <w:r w:rsidRPr="00307A0E">
        <w:rPr>
          <w:sz w:val="22"/>
          <w:szCs w:val="22"/>
        </w:rPr>
        <w:t>2</w:t>
      </w:r>
      <w:r w:rsidR="00713888">
        <w:rPr>
          <w:sz w:val="22"/>
          <w:szCs w:val="22"/>
        </w:rPr>
        <w:t>6</w:t>
      </w:r>
      <w:r w:rsidR="00A13445" w:rsidRPr="00307A0E">
        <w:rPr>
          <w:sz w:val="22"/>
          <w:szCs w:val="22"/>
        </w:rPr>
        <w:t>.06</w:t>
      </w:r>
      <w:r w:rsidR="00676453">
        <w:rPr>
          <w:sz w:val="22"/>
          <w:szCs w:val="22"/>
        </w:rPr>
        <w:t xml:space="preserve">.2012 </w:t>
      </w:r>
      <w:r w:rsidR="00A400FE">
        <w:rPr>
          <w:sz w:val="22"/>
          <w:szCs w:val="22"/>
        </w:rPr>
        <w:t>08</w:t>
      </w:r>
      <w:r w:rsidR="00942D3A" w:rsidRPr="00307A0E">
        <w:rPr>
          <w:sz w:val="22"/>
          <w:szCs w:val="22"/>
        </w:rPr>
        <w:t>:</w:t>
      </w:r>
      <w:r w:rsidR="00A400FE">
        <w:rPr>
          <w:sz w:val="22"/>
          <w:szCs w:val="22"/>
        </w:rPr>
        <w:t>30</w:t>
      </w:r>
      <w:bookmarkStart w:id="5" w:name="_GoBack"/>
      <w:bookmarkEnd w:id="5"/>
    </w:p>
    <w:p w:rsidR="00942D3A" w:rsidRPr="00942D3A" w:rsidRDefault="005C7471" w:rsidP="00942D3A">
      <w:pPr>
        <w:ind w:left="720"/>
        <w:rPr>
          <w:sz w:val="22"/>
          <w:szCs w:val="22"/>
        </w:rPr>
      </w:pPr>
      <w:fldSimple w:instr=" NUMWORDS   \* MERGEFORMAT ">
        <w:r w:rsidR="00E87358" w:rsidRPr="00E87358">
          <w:rPr>
            <w:noProof/>
            <w:sz w:val="22"/>
            <w:szCs w:val="22"/>
          </w:rPr>
          <w:t>2149</w:t>
        </w:r>
      </w:fldSimple>
    </w:p>
    <w:p w:rsidR="00942D3A" w:rsidRPr="00942D3A" w:rsidRDefault="00942D3A" w:rsidP="00942D3A">
      <w:pPr>
        <w:ind w:left="720"/>
        <w:rPr>
          <w:sz w:val="22"/>
          <w:szCs w:val="22"/>
        </w:rPr>
      </w:pPr>
      <w:bookmarkStart w:id="6" w:name="OLE_LINK7"/>
      <w:r w:rsidRPr="00942D3A">
        <w:rPr>
          <w:sz w:val="22"/>
          <w:szCs w:val="22"/>
        </w:rPr>
        <w:t>Izglītības un zinātnes ministrijas</w:t>
      </w:r>
    </w:p>
    <w:p w:rsidR="00942D3A" w:rsidRPr="00942D3A" w:rsidRDefault="00942D3A" w:rsidP="00942D3A">
      <w:pPr>
        <w:ind w:left="720"/>
        <w:rPr>
          <w:sz w:val="22"/>
          <w:szCs w:val="22"/>
        </w:rPr>
      </w:pPr>
      <w:r w:rsidRPr="00942D3A">
        <w:rPr>
          <w:sz w:val="22"/>
          <w:szCs w:val="22"/>
        </w:rPr>
        <w:t xml:space="preserve">Sporta </w:t>
      </w:r>
      <w:r w:rsidR="000B3147">
        <w:rPr>
          <w:sz w:val="22"/>
          <w:szCs w:val="22"/>
        </w:rPr>
        <w:t>un jaunatnes departamenta</w:t>
      </w:r>
    </w:p>
    <w:p w:rsidR="00942D3A" w:rsidRPr="00942D3A" w:rsidRDefault="00942D3A" w:rsidP="00942D3A">
      <w:pPr>
        <w:ind w:left="720"/>
        <w:rPr>
          <w:sz w:val="22"/>
          <w:szCs w:val="22"/>
        </w:rPr>
      </w:pPr>
      <w:r w:rsidRPr="00942D3A">
        <w:rPr>
          <w:sz w:val="22"/>
          <w:szCs w:val="22"/>
        </w:rPr>
        <w:t>vecākais referents K.Randohs</w:t>
      </w:r>
    </w:p>
    <w:p w:rsidR="00942D3A" w:rsidRPr="00942D3A" w:rsidRDefault="00942D3A" w:rsidP="00942D3A">
      <w:pPr>
        <w:ind w:left="720"/>
        <w:rPr>
          <w:color w:val="000000"/>
          <w:sz w:val="22"/>
          <w:szCs w:val="22"/>
        </w:rPr>
      </w:pPr>
      <w:r w:rsidRPr="00942D3A">
        <w:rPr>
          <w:sz w:val="22"/>
          <w:szCs w:val="22"/>
        </w:rPr>
        <w:t>67047982, kaspars.randohs@izm.gov.lv</w:t>
      </w:r>
      <w:bookmarkEnd w:id="6"/>
    </w:p>
    <w:p w:rsidR="00585B7B" w:rsidRPr="00055608" w:rsidRDefault="00585B7B" w:rsidP="00942D3A">
      <w:pPr>
        <w:ind w:firstLine="720"/>
        <w:rPr>
          <w:sz w:val="22"/>
          <w:szCs w:val="22"/>
        </w:rPr>
      </w:pPr>
    </w:p>
    <w:sectPr w:rsidR="00585B7B" w:rsidRPr="00055608" w:rsidSect="00C13B05">
      <w:headerReference w:type="default" r:id="rId7"/>
      <w:footerReference w:type="default" r:id="rId8"/>
      <w:footerReference w:type="first" r:id="rId9"/>
      <w:pgSz w:w="11906" w:h="16838" w:code="9"/>
      <w:pgMar w:top="1134" w:right="1134" w:bottom="1134" w:left="1701" w:header="567"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86" w:rsidRDefault="00BC6786" w:rsidP="00123E9B">
      <w:r>
        <w:separator/>
      </w:r>
    </w:p>
  </w:endnote>
  <w:endnote w:type="continuationSeparator" w:id="0">
    <w:p w:rsidR="00BC6786" w:rsidRDefault="00BC6786"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DE1B77" w:rsidRDefault="00036977" w:rsidP="009849CF">
    <w:pPr>
      <w:ind w:left="-360" w:right="-262"/>
      <w:jc w:val="both"/>
      <w:rPr>
        <w:sz w:val="22"/>
        <w:szCs w:val="22"/>
      </w:rPr>
    </w:pPr>
    <w:r w:rsidRPr="00DE1B77">
      <w:rPr>
        <w:sz w:val="22"/>
        <w:szCs w:val="22"/>
      </w:rPr>
      <w:t>IZMAnot_</w:t>
    </w:r>
    <w:r>
      <w:rPr>
        <w:sz w:val="22"/>
        <w:szCs w:val="22"/>
      </w:rPr>
      <w:t>2</w:t>
    </w:r>
    <w:r w:rsidR="00713888">
      <w:rPr>
        <w:sz w:val="22"/>
        <w:szCs w:val="22"/>
      </w:rPr>
      <w:t>6</w:t>
    </w:r>
    <w:r>
      <w:rPr>
        <w:sz w:val="22"/>
        <w:szCs w:val="22"/>
      </w:rPr>
      <w:t>0612</w:t>
    </w:r>
    <w:r w:rsidRPr="00DE1B77">
      <w:rPr>
        <w:sz w:val="22"/>
        <w:szCs w:val="22"/>
      </w:rPr>
      <w:t>_</w:t>
    </w:r>
    <w:r w:rsidR="006107D6">
      <w:rPr>
        <w:sz w:val="22"/>
        <w:szCs w:val="22"/>
      </w:rPr>
      <w:t>izlases</w:t>
    </w:r>
    <w:r w:rsidRPr="00DE1B77">
      <w:rPr>
        <w:sz w:val="22"/>
        <w:szCs w:val="22"/>
      </w:rPr>
      <w:t>; Ministru kabineta rīkojuma projekta „Par finanšu līdzekļu piešķiršanu no valsts budžeta programmas „Līdzekļi neparedzētiem gadījumiem”” sākotnējās ietekmes novērtējuma ziņojums (anotācija)</w:t>
    </w:r>
  </w:p>
  <w:p w:rsidR="00036977" w:rsidRPr="009849CF" w:rsidRDefault="00036977" w:rsidP="009849CF">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DE1B77" w:rsidRDefault="00036977" w:rsidP="00055608">
    <w:pPr>
      <w:ind w:left="-360" w:right="-262"/>
      <w:jc w:val="both"/>
      <w:rPr>
        <w:sz w:val="22"/>
        <w:szCs w:val="22"/>
      </w:rPr>
    </w:pPr>
    <w:r w:rsidRPr="00DE1B77">
      <w:rPr>
        <w:sz w:val="22"/>
        <w:szCs w:val="22"/>
      </w:rPr>
      <w:t>IZMAnot_</w:t>
    </w:r>
    <w:r>
      <w:rPr>
        <w:sz w:val="22"/>
        <w:szCs w:val="22"/>
      </w:rPr>
      <w:t>2</w:t>
    </w:r>
    <w:r w:rsidR="00713888">
      <w:rPr>
        <w:sz w:val="22"/>
        <w:szCs w:val="22"/>
      </w:rPr>
      <w:t>6</w:t>
    </w:r>
    <w:r>
      <w:rPr>
        <w:sz w:val="22"/>
        <w:szCs w:val="22"/>
      </w:rPr>
      <w:t>0612</w:t>
    </w:r>
    <w:r w:rsidRPr="00DE1B77">
      <w:rPr>
        <w:sz w:val="22"/>
        <w:szCs w:val="22"/>
      </w:rPr>
      <w:t>_</w:t>
    </w:r>
    <w:r w:rsidR="006107D6">
      <w:rPr>
        <w:sz w:val="22"/>
        <w:szCs w:val="22"/>
      </w:rPr>
      <w:t>izlases</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86" w:rsidRDefault="00BC6786" w:rsidP="00123E9B">
      <w:r>
        <w:separator/>
      </w:r>
    </w:p>
  </w:footnote>
  <w:footnote w:type="continuationSeparator" w:id="0">
    <w:p w:rsidR="00BC6786" w:rsidRDefault="00BC6786"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5C7471">
    <w:pPr>
      <w:pStyle w:val="Header"/>
      <w:jc w:val="center"/>
    </w:pPr>
    <w:r>
      <w:fldChar w:fldCharType="begin"/>
    </w:r>
    <w:r w:rsidR="008723BF">
      <w:instrText xml:space="preserve"> PAGE   \* MERGEFORMAT </w:instrText>
    </w:r>
    <w:r>
      <w:fldChar w:fldCharType="separate"/>
    </w:r>
    <w:r w:rsidR="005E4DF4">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96FCD"/>
    <w:rsid w:val="00000DEA"/>
    <w:rsid w:val="0000524B"/>
    <w:rsid w:val="00006D42"/>
    <w:rsid w:val="00010140"/>
    <w:rsid w:val="00010590"/>
    <w:rsid w:val="000120DA"/>
    <w:rsid w:val="00012EAE"/>
    <w:rsid w:val="0003301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CEB"/>
    <w:rsid w:val="000849C2"/>
    <w:rsid w:val="00084C38"/>
    <w:rsid w:val="00090BFF"/>
    <w:rsid w:val="000934D5"/>
    <w:rsid w:val="00094F13"/>
    <w:rsid w:val="00095EBB"/>
    <w:rsid w:val="00097B46"/>
    <w:rsid w:val="000A2237"/>
    <w:rsid w:val="000A4403"/>
    <w:rsid w:val="000B3147"/>
    <w:rsid w:val="000B3B3C"/>
    <w:rsid w:val="000B62CA"/>
    <w:rsid w:val="000C0BAF"/>
    <w:rsid w:val="000C1819"/>
    <w:rsid w:val="000C36BE"/>
    <w:rsid w:val="000D00F8"/>
    <w:rsid w:val="000E058D"/>
    <w:rsid w:val="000E0815"/>
    <w:rsid w:val="000E2489"/>
    <w:rsid w:val="000E3B94"/>
    <w:rsid w:val="000E4A2A"/>
    <w:rsid w:val="000E5FDF"/>
    <w:rsid w:val="000F1AC0"/>
    <w:rsid w:val="000F3894"/>
    <w:rsid w:val="0010198A"/>
    <w:rsid w:val="00103760"/>
    <w:rsid w:val="00103A3D"/>
    <w:rsid w:val="00111709"/>
    <w:rsid w:val="00114C20"/>
    <w:rsid w:val="00115EB8"/>
    <w:rsid w:val="00116669"/>
    <w:rsid w:val="0012123A"/>
    <w:rsid w:val="00123E9B"/>
    <w:rsid w:val="0012448A"/>
    <w:rsid w:val="0012704D"/>
    <w:rsid w:val="0012791B"/>
    <w:rsid w:val="00131A15"/>
    <w:rsid w:val="00132D10"/>
    <w:rsid w:val="00134CEC"/>
    <w:rsid w:val="001350A6"/>
    <w:rsid w:val="00135577"/>
    <w:rsid w:val="001376F8"/>
    <w:rsid w:val="00137FAC"/>
    <w:rsid w:val="001413A9"/>
    <w:rsid w:val="00147D9A"/>
    <w:rsid w:val="00150D62"/>
    <w:rsid w:val="00156760"/>
    <w:rsid w:val="00157F12"/>
    <w:rsid w:val="0016142A"/>
    <w:rsid w:val="001673FC"/>
    <w:rsid w:val="00172A25"/>
    <w:rsid w:val="0017384A"/>
    <w:rsid w:val="00174AEB"/>
    <w:rsid w:val="00175071"/>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6E9C"/>
    <w:rsid w:val="001B1189"/>
    <w:rsid w:val="001B15B5"/>
    <w:rsid w:val="001B32BB"/>
    <w:rsid w:val="001C15CD"/>
    <w:rsid w:val="001C20B9"/>
    <w:rsid w:val="001C2FDE"/>
    <w:rsid w:val="001C403D"/>
    <w:rsid w:val="001C4BA3"/>
    <w:rsid w:val="001C60B1"/>
    <w:rsid w:val="001D17EA"/>
    <w:rsid w:val="001D1F6A"/>
    <w:rsid w:val="001D4A15"/>
    <w:rsid w:val="001D7C74"/>
    <w:rsid w:val="001E6E40"/>
    <w:rsid w:val="001F0A3C"/>
    <w:rsid w:val="001F23A6"/>
    <w:rsid w:val="001F2EBF"/>
    <w:rsid w:val="001F373F"/>
    <w:rsid w:val="002005CA"/>
    <w:rsid w:val="0020083C"/>
    <w:rsid w:val="002054CB"/>
    <w:rsid w:val="0021163A"/>
    <w:rsid w:val="0021426A"/>
    <w:rsid w:val="00214413"/>
    <w:rsid w:val="0021458D"/>
    <w:rsid w:val="00214AE5"/>
    <w:rsid w:val="00217F61"/>
    <w:rsid w:val="002239AB"/>
    <w:rsid w:val="00224F0F"/>
    <w:rsid w:val="00225615"/>
    <w:rsid w:val="00232B87"/>
    <w:rsid w:val="002339F0"/>
    <w:rsid w:val="00237289"/>
    <w:rsid w:val="00241061"/>
    <w:rsid w:val="00244807"/>
    <w:rsid w:val="00246FEA"/>
    <w:rsid w:val="0025457B"/>
    <w:rsid w:val="0025458A"/>
    <w:rsid w:val="0025500E"/>
    <w:rsid w:val="00255BAD"/>
    <w:rsid w:val="002637C0"/>
    <w:rsid w:val="00266356"/>
    <w:rsid w:val="00270E39"/>
    <w:rsid w:val="00272248"/>
    <w:rsid w:val="00273D63"/>
    <w:rsid w:val="00274E8A"/>
    <w:rsid w:val="002761F4"/>
    <w:rsid w:val="002819CC"/>
    <w:rsid w:val="0028791A"/>
    <w:rsid w:val="00290940"/>
    <w:rsid w:val="0029164A"/>
    <w:rsid w:val="002918AC"/>
    <w:rsid w:val="00291A48"/>
    <w:rsid w:val="00295345"/>
    <w:rsid w:val="002975AC"/>
    <w:rsid w:val="002A1E5B"/>
    <w:rsid w:val="002A41DA"/>
    <w:rsid w:val="002A6F37"/>
    <w:rsid w:val="002B03B2"/>
    <w:rsid w:val="002B4D56"/>
    <w:rsid w:val="002B5C0B"/>
    <w:rsid w:val="002B6351"/>
    <w:rsid w:val="002B6933"/>
    <w:rsid w:val="002C0946"/>
    <w:rsid w:val="002C2590"/>
    <w:rsid w:val="002C2C3F"/>
    <w:rsid w:val="002C50CA"/>
    <w:rsid w:val="002D77A9"/>
    <w:rsid w:val="002E011D"/>
    <w:rsid w:val="002E0B47"/>
    <w:rsid w:val="002E0BB9"/>
    <w:rsid w:val="002E40BB"/>
    <w:rsid w:val="002E6A3D"/>
    <w:rsid w:val="002F25B0"/>
    <w:rsid w:val="002F4472"/>
    <w:rsid w:val="002F5EAC"/>
    <w:rsid w:val="003014C2"/>
    <w:rsid w:val="003028DB"/>
    <w:rsid w:val="00307A0E"/>
    <w:rsid w:val="00312022"/>
    <w:rsid w:val="0031483B"/>
    <w:rsid w:val="00326649"/>
    <w:rsid w:val="003268E2"/>
    <w:rsid w:val="00326FFD"/>
    <w:rsid w:val="00331B78"/>
    <w:rsid w:val="00335F59"/>
    <w:rsid w:val="003445A2"/>
    <w:rsid w:val="003478B4"/>
    <w:rsid w:val="00350D8D"/>
    <w:rsid w:val="00351AA0"/>
    <w:rsid w:val="00352F47"/>
    <w:rsid w:val="0035463A"/>
    <w:rsid w:val="00357A2C"/>
    <w:rsid w:val="00367957"/>
    <w:rsid w:val="00376CEF"/>
    <w:rsid w:val="00383F46"/>
    <w:rsid w:val="00386F10"/>
    <w:rsid w:val="003900A2"/>
    <w:rsid w:val="003906FF"/>
    <w:rsid w:val="00397AA4"/>
    <w:rsid w:val="003A0BA4"/>
    <w:rsid w:val="003A193D"/>
    <w:rsid w:val="003A1A94"/>
    <w:rsid w:val="003A6F5B"/>
    <w:rsid w:val="003B0922"/>
    <w:rsid w:val="003B1A4F"/>
    <w:rsid w:val="003B2B5A"/>
    <w:rsid w:val="003B465C"/>
    <w:rsid w:val="003C691E"/>
    <w:rsid w:val="003D4908"/>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20504"/>
    <w:rsid w:val="00424E6F"/>
    <w:rsid w:val="0042540D"/>
    <w:rsid w:val="004310C7"/>
    <w:rsid w:val="004331E9"/>
    <w:rsid w:val="00443FE3"/>
    <w:rsid w:val="00450BED"/>
    <w:rsid w:val="00451063"/>
    <w:rsid w:val="004513C2"/>
    <w:rsid w:val="00453435"/>
    <w:rsid w:val="00454E29"/>
    <w:rsid w:val="004560F5"/>
    <w:rsid w:val="004569F4"/>
    <w:rsid w:val="00456BC1"/>
    <w:rsid w:val="00463FD8"/>
    <w:rsid w:val="00466E6C"/>
    <w:rsid w:val="00472637"/>
    <w:rsid w:val="0047336E"/>
    <w:rsid w:val="004763AC"/>
    <w:rsid w:val="00476508"/>
    <w:rsid w:val="004804CE"/>
    <w:rsid w:val="0048376B"/>
    <w:rsid w:val="00486A8A"/>
    <w:rsid w:val="004925F7"/>
    <w:rsid w:val="004940B7"/>
    <w:rsid w:val="0049673D"/>
    <w:rsid w:val="004A1976"/>
    <w:rsid w:val="004A2074"/>
    <w:rsid w:val="004A5933"/>
    <w:rsid w:val="004A6A93"/>
    <w:rsid w:val="004A6E2E"/>
    <w:rsid w:val="004B0198"/>
    <w:rsid w:val="004B3DE6"/>
    <w:rsid w:val="004B617C"/>
    <w:rsid w:val="004C673C"/>
    <w:rsid w:val="004C6E14"/>
    <w:rsid w:val="004C7662"/>
    <w:rsid w:val="004D202D"/>
    <w:rsid w:val="004D40E3"/>
    <w:rsid w:val="004D6A71"/>
    <w:rsid w:val="004E4B60"/>
    <w:rsid w:val="004E607D"/>
    <w:rsid w:val="004F14C5"/>
    <w:rsid w:val="00504DBF"/>
    <w:rsid w:val="00514C25"/>
    <w:rsid w:val="00516733"/>
    <w:rsid w:val="0052372C"/>
    <w:rsid w:val="00524879"/>
    <w:rsid w:val="0052503E"/>
    <w:rsid w:val="00526BBC"/>
    <w:rsid w:val="005303DD"/>
    <w:rsid w:val="005306CD"/>
    <w:rsid w:val="00530EBE"/>
    <w:rsid w:val="005333E2"/>
    <w:rsid w:val="00533BE9"/>
    <w:rsid w:val="005344F2"/>
    <w:rsid w:val="00534712"/>
    <w:rsid w:val="005431CC"/>
    <w:rsid w:val="0054456F"/>
    <w:rsid w:val="005511F9"/>
    <w:rsid w:val="00551AA8"/>
    <w:rsid w:val="00554CE1"/>
    <w:rsid w:val="00557E2F"/>
    <w:rsid w:val="00560101"/>
    <w:rsid w:val="005637B7"/>
    <w:rsid w:val="00564A7F"/>
    <w:rsid w:val="00565777"/>
    <w:rsid w:val="005714B2"/>
    <w:rsid w:val="00573C60"/>
    <w:rsid w:val="00585B7B"/>
    <w:rsid w:val="00587C74"/>
    <w:rsid w:val="00590DD0"/>
    <w:rsid w:val="00591268"/>
    <w:rsid w:val="0059354C"/>
    <w:rsid w:val="00594DEF"/>
    <w:rsid w:val="005A02DC"/>
    <w:rsid w:val="005A03DE"/>
    <w:rsid w:val="005A077D"/>
    <w:rsid w:val="005A0EAC"/>
    <w:rsid w:val="005A7608"/>
    <w:rsid w:val="005B1E9C"/>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5A33"/>
    <w:rsid w:val="006107D6"/>
    <w:rsid w:val="0061090E"/>
    <w:rsid w:val="00615FD8"/>
    <w:rsid w:val="00616477"/>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2827"/>
    <w:rsid w:val="00676453"/>
    <w:rsid w:val="00676573"/>
    <w:rsid w:val="00682170"/>
    <w:rsid w:val="00685380"/>
    <w:rsid w:val="00693071"/>
    <w:rsid w:val="00693E2C"/>
    <w:rsid w:val="006A20B2"/>
    <w:rsid w:val="006A5B29"/>
    <w:rsid w:val="006A7A10"/>
    <w:rsid w:val="006B01F8"/>
    <w:rsid w:val="006B2095"/>
    <w:rsid w:val="006B232C"/>
    <w:rsid w:val="006B5FDC"/>
    <w:rsid w:val="006B76EE"/>
    <w:rsid w:val="006C1D18"/>
    <w:rsid w:val="006D531B"/>
    <w:rsid w:val="006D5A81"/>
    <w:rsid w:val="006D6BB4"/>
    <w:rsid w:val="006D759A"/>
    <w:rsid w:val="006D7BDE"/>
    <w:rsid w:val="006E2009"/>
    <w:rsid w:val="006E6160"/>
    <w:rsid w:val="006E768C"/>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32686"/>
    <w:rsid w:val="00732A32"/>
    <w:rsid w:val="00733E34"/>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317A"/>
    <w:rsid w:val="00795000"/>
    <w:rsid w:val="0079616C"/>
    <w:rsid w:val="00797264"/>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E2464"/>
    <w:rsid w:val="007E36FC"/>
    <w:rsid w:val="007E6314"/>
    <w:rsid w:val="007E7F9D"/>
    <w:rsid w:val="007F1F1C"/>
    <w:rsid w:val="007F3911"/>
    <w:rsid w:val="007F6D6B"/>
    <w:rsid w:val="0080017B"/>
    <w:rsid w:val="008034B4"/>
    <w:rsid w:val="00803645"/>
    <w:rsid w:val="00804094"/>
    <w:rsid w:val="00804959"/>
    <w:rsid w:val="00804B8C"/>
    <w:rsid w:val="0081704B"/>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34F5"/>
    <w:rsid w:val="00865F4A"/>
    <w:rsid w:val="0086671A"/>
    <w:rsid w:val="008723BF"/>
    <w:rsid w:val="008736C0"/>
    <w:rsid w:val="00873AFB"/>
    <w:rsid w:val="0088273C"/>
    <w:rsid w:val="00887353"/>
    <w:rsid w:val="00892CEB"/>
    <w:rsid w:val="00892DC2"/>
    <w:rsid w:val="0089323C"/>
    <w:rsid w:val="00893CD2"/>
    <w:rsid w:val="008A17E9"/>
    <w:rsid w:val="008A60A4"/>
    <w:rsid w:val="008B53EA"/>
    <w:rsid w:val="008C06F7"/>
    <w:rsid w:val="008C28CD"/>
    <w:rsid w:val="008D1C7C"/>
    <w:rsid w:val="008D28DE"/>
    <w:rsid w:val="008D2C97"/>
    <w:rsid w:val="008D7B3A"/>
    <w:rsid w:val="008D7D52"/>
    <w:rsid w:val="008E08B5"/>
    <w:rsid w:val="008E120E"/>
    <w:rsid w:val="008E2F5F"/>
    <w:rsid w:val="008E4101"/>
    <w:rsid w:val="008F240C"/>
    <w:rsid w:val="008F245F"/>
    <w:rsid w:val="008F62DB"/>
    <w:rsid w:val="008F643F"/>
    <w:rsid w:val="00901B63"/>
    <w:rsid w:val="009063BF"/>
    <w:rsid w:val="00907E6F"/>
    <w:rsid w:val="00910FB5"/>
    <w:rsid w:val="009122A7"/>
    <w:rsid w:val="00913388"/>
    <w:rsid w:val="00916055"/>
    <w:rsid w:val="009179FA"/>
    <w:rsid w:val="00920AFE"/>
    <w:rsid w:val="009212E2"/>
    <w:rsid w:val="00921F54"/>
    <w:rsid w:val="00923486"/>
    <w:rsid w:val="009254BE"/>
    <w:rsid w:val="00930905"/>
    <w:rsid w:val="009321E2"/>
    <w:rsid w:val="009343C2"/>
    <w:rsid w:val="00935F6C"/>
    <w:rsid w:val="00942D3A"/>
    <w:rsid w:val="00943700"/>
    <w:rsid w:val="00943C3C"/>
    <w:rsid w:val="00944333"/>
    <w:rsid w:val="00944E24"/>
    <w:rsid w:val="0095432B"/>
    <w:rsid w:val="0095616A"/>
    <w:rsid w:val="00957BFE"/>
    <w:rsid w:val="00961924"/>
    <w:rsid w:val="0096294C"/>
    <w:rsid w:val="009629C7"/>
    <w:rsid w:val="00962C97"/>
    <w:rsid w:val="009631D8"/>
    <w:rsid w:val="009667F8"/>
    <w:rsid w:val="00967D62"/>
    <w:rsid w:val="00970D16"/>
    <w:rsid w:val="00976CDB"/>
    <w:rsid w:val="009849CF"/>
    <w:rsid w:val="00987CF4"/>
    <w:rsid w:val="00991790"/>
    <w:rsid w:val="0099370A"/>
    <w:rsid w:val="009950B3"/>
    <w:rsid w:val="00995D97"/>
    <w:rsid w:val="009B09FE"/>
    <w:rsid w:val="009B2854"/>
    <w:rsid w:val="009B49A0"/>
    <w:rsid w:val="009C4A7C"/>
    <w:rsid w:val="009C6731"/>
    <w:rsid w:val="009C69D5"/>
    <w:rsid w:val="009D008F"/>
    <w:rsid w:val="009D0AD7"/>
    <w:rsid w:val="009D45E8"/>
    <w:rsid w:val="009D482E"/>
    <w:rsid w:val="009D5CF1"/>
    <w:rsid w:val="009E0E18"/>
    <w:rsid w:val="009E39D6"/>
    <w:rsid w:val="009E4529"/>
    <w:rsid w:val="009E5842"/>
    <w:rsid w:val="009F0A4C"/>
    <w:rsid w:val="009F1F3A"/>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4920"/>
    <w:rsid w:val="00A354B5"/>
    <w:rsid w:val="00A36173"/>
    <w:rsid w:val="00A373E1"/>
    <w:rsid w:val="00A400FE"/>
    <w:rsid w:val="00A43A10"/>
    <w:rsid w:val="00A43A41"/>
    <w:rsid w:val="00A444EC"/>
    <w:rsid w:val="00A45BBB"/>
    <w:rsid w:val="00A46C40"/>
    <w:rsid w:val="00A51F07"/>
    <w:rsid w:val="00A524B8"/>
    <w:rsid w:val="00A57753"/>
    <w:rsid w:val="00A631A3"/>
    <w:rsid w:val="00A6630D"/>
    <w:rsid w:val="00A720FA"/>
    <w:rsid w:val="00A7341A"/>
    <w:rsid w:val="00A739AB"/>
    <w:rsid w:val="00A8706A"/>
    <w:rsid w:val="00A877FE"/>
    <w:rsid w:val="00A9391C"/>
    <w:rsid w:val="00A960A0"/>
    <w:rsid w:val="00AA0527"/>
    <w:rsid w:val="00AA2CC8"/>
    <w:rsid w:val="00AA3C68"/>
    <w:rsid w:val="00AA5CA7"/>
    <w:rsid w:val="00AB1ED1"/>
    <w:rsid w:val="00AB3339"/>
    <w:rsid w:val="00AB7722"/>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6326"/>
    <w:rsid w:val="00B106F1"/>
    <w:rsid w:val="00B109B1"/>
    <w:rsid w:val="00B10B0B"/>
    <w:rsid w:val="00B1425E"/>
    <w:rsid w:val="00B244D4"/>
    <w:rsid w:val="00B25F1D"/>
    <w:rsid w:val="00B2782A"/>
    <w:rsid w:val="00B336D8"/>
    <w:rsid w:val="00B34BFA"/>
    <w:rsid w:val="00B356A4"/>
    <w:rsid w:val="00B411EC"/>
    <w:rsid w:val="00B429CA"/>
    <w:rsid w:val="00B45EDD"/>
    <w:rsid w:val="00B45F3D"/>
    <w:rsid w:val="00B50F81"/>
    <w:rsid w:val="00B5360F"/>
    <w:rsid w:val="00B57455"/>
    <w:rsid w:val="00B61F69"/>
    <w:rsid w:val="00B6216C"/>
    <w:rsid w:val="00B80C47"/>
    <w:rsid w:val="00B81322"/>
    <w:rsid w:val="00B862CD"/>
    <w:rsid w:val="00B94951"/>
    <w:rsid w:val="00B95D33"/>
    <w:rsid w:val="00B96B6E"/>
    <w:rsid w:val="00B96CA3"/>
    <w:rsid w:val="00B97591"/>
    <w:rsid w:val="00BA006C"/>
    <w:rsid w:val="00BA20B0"/>
    <w:rsid w:val="00BA372F"/>
    <w:rsid w:val="00BA7940"/>
    <w:rsid w:val="00BB302C"/>
    <w:rsid w:val="00BC0D9F"/>
    <w:rsid w:val="00BC6786"/>
    <w:rsid w:val="00BC7009"/>
    <w:rsid w:val="00BD1AD6"/>
    <w:rsid w:val="00BD1DB2"/>
    <w:rsid w:val="00BD41A8"/>
    <w:rsid w:val="00BD696A"/>
    <w:rsid w:val="00BD6CDF"/>
    <w:rsid w:val="00BE072E"/>
    <w:rsid w:val="00BE13F2"/>
    <w:rsid w:val="00BE2B40"/>
    <w:rsid w:val="00BE3D54"/>
    <w:rsid w:val="00BE70E1"/>
    <w:rsid w:val="00BF0C10"/>
    <w:rsid w:val="00BF1719"/>
    <w:rsid w:val="00BF29D7"/>
    <w:rsid w:val="00BF4049"/>
    <w:rsid w:val="00BF482E"/>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6F8F"/>
    <w:rsid w:val="00C54FEB"/>
    <w:rsid w:val="00C55762"/>
    <w:rsid w:val="00C60214"/>
    <w:rsid w:val="00C7220E"/>
    <w:rsid w:val="00C77DF4"/>
    <w:rsid w:val="00C8314D"/>
    <w:rsid w:val="00C84C2B"/>
    <w:rsid w:val="00C87AEC"/>
    <w:rsid w:val="00C92FD7"/>
    <w:rsid w:val="00C93F04"/>
    <w:rsid w:val="00C94CAC"/>
    <w:rsid w:val="00C9721C"/>
    <w:rsid w:val="00C979E0"/>
    <w:rsid w:val="00CA2CEA"/>
    <w:rsid w:val="00CA41C9"/>
    <w:rsid w:val="00CA6985"/>
    <w:rsid w:val="00CB15EC"/>
    <w:rsid w:val="00CB483C"/>
    <w:rsid w:val="00CB5545"/>
    <w:rsid w:val="00CB5F57"/>
    <w:rsid w:val="00CB6605"/>
    <w:rsid w:val="00CB7A72"/>
    <w:rsid w:val="00CC3E80"/>
    <w:rsid w:val="00CC49D6"/>
    <w:rsid w:val="00CD39F8"/>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64D3"/>
    <w:rsid w:val="00D4125D"/>
    <w:rsid w:val="00D43C39"/>
    <w:rsid w:val="00D50C0B"/>
    <w:rsid w:val="00D51380"/>
    <w:rsid w:val="00D551F2"/>
    <w:rsid w:val="00D714BA"/>
    <w:rsid w:val="00D75260"/>
    <w:rsid w:val="00D75B70"/>
    <w:rsid w:val="00D820D1"/>
    <w:rsid w:val="00D82401"/>
    <w:rsid w:val="00D82AE2"/>
    <w:rsid w:val="00D850A4"/>
    <w:rsid w:val="00D85715"/>
    <w:rsid w:val="00D934BA"/>
    <w:rsid w:val="00D93950"/>
    <w:rsid w:val="00D96230"/>
    <w:rsid w:val="00D96853"/>
    <w:rsid w:val="00D96FCD"/>
    <w:rsid w:val="00DA20D6"/>
    <w:rsid w:val="00DA2B2B"/>
    <w:rsid w:val="00DA30DA"/>
    <w:rsid w:val="00DA77B4"/>
    <w:rsid w:val="00DA7BE4"/>
    <w:rsid w:val="00DB16B2"/>
    <w:rsid w:val="00DB6BB3"/>
    <w:rsid w:val="00DB7AA7"/>
    <w:rsid w:val="00DC11F3"/>
    <w:rsid w:val="00DC4DFE"/>
    <w:rsid w:val="00DC5E40"/>
    <w:rsid w:val="00DC7BFF"/>
    <w:rsid w:val="00DD07FE"/>
    <w:rsid w:val="00DD162F"/>
    <w:rsid w:val="00DE1B77"/>
    <w:rsid w:val="00DE3025"/>
    <w:rsid w:val="00DE463E"/>
    <w:rsid w:val="00DE56CB"/>
    <w:rsid w:val="00DE7C0F"/>
    <w:rsid w:val="00DF44D5"/>
    <w:rsid w:val="00DF5003"/>
    <w:rsid w:val="00DF5932"/>
    <w:rsid w:val="00E10EA9"/>
    <w:rsid w:val="00E1136E"/>
    <w:rsid w:val="00E1182B"/>
    <w:rsid w:val="00E167E0"/>
    <w:rsid w:val="00E16A35"/>
    <w:rsid w:val="00E216EA"/>
    <w:rsid w:val="00E21B4B"/>
    <w:rsid w:val="00E27F1F"/>
    <w:rsid w:val="00E33A6E"/>
    <w:rsid w:val="00E33CDF"/>
    <w:rsid w:val="00E34D42"/>
    <w:rsid w:val="00E3681A"/>
    <w:rsid w:val="00E379F0"/>
    <w:rsid w:val="00E37D81"/>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1CA7"/>
    <w:rsid w:val="00E86C41"/>
    <w:rsid w:val="00E87358"/>
    <w:rsid w:val="00E91DF4"/>
    <w:rsid w:val="00E973B3"/>
    <w:rsid w:val="00EA709C"/>
    <w:rsid w:val="00EB3208"/>
    <w:rsid w:val="00EB7D72"/>
    <w:rsid w:val="00EC0598"/>
    <w:rsid w:val="00EC0869"/>
    <w:rsid w:val="00EC44B4"/>
    <w:rsid w:val="00EC6941"/>
    <w:rsid w:val="00EC7BBC"/>
    <w:rsid w:val="00ED29EB"/>
    <w:rsid w:val="00ED6681"/>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3024"/>
    <w:rsid w:val="00F70A6B"/>
    <w:rsid w:val="00F71637"/>
    <w:rsid w:val="00F71E34"/>
    <w:rsid w:val="00F72CE7"/>
    <w:rsid w:val="00F81A9F"/>
    <w:rsid w:val="00F83581"/>
    <w:rsid w:val="00F8549E"/>
    <w:rsid w:val="00F85AF0"/>
    <w:rsid w:val="00F85BE4"/>
    <w:rsid w:val="00F862B1"/>
    <w:rsid w:val="00F8736F"/>
    <w:rsid w:val="00F951E3"/>
    <w:rsid w:val="00FA1C8C"/>
    <w:rsid w:val="00FA2563"/>
    <w:rsid w:val="00FA3C12"/>
    <w:rsid w:val="00FB4613"/>
    <w:rsid w:val="00FB6841"/>
    <w:rsid w:val="00FC6855"/>
    <w:rsid w:val="00FC73D9"/>
    <w:rsid w:val="00FC7A5E"/>
    <w:rsid w:val="00FD681B"/>
    <w:rsid w:val="00FD7331"/>
    <w:rsid w:val="00FE0E03"/>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8</Pages>
  <Words>2032</Words>
  <Characters>15220</Characters>
  <Application>Microsoft Office Word</Application>
  <DocSecurity>0</DocSecurity>
  <Lines>543</Lines>
  <Paragraphs>261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 Sporta un jaunatnes departamenta vecākais referents K.Randohs
67047982, kaspars.randohs@izm.gov.lv</dc:description>
  <cp:lastModifiedBy>Edgars Severs</cp:lastModifiedBy>
  <cp:revision>230</cp:revision>
  <cp:lastPrinted>2012-05-15T10:00:00Z</cp:lastPrinted>
  <dcterms:created xsi:type="dcterms:W3CDTF">2012-05-18T10:48:00Z</dcterms:created>
  <dcterms:modified xsi:type="dcterms:W3CDTF">2012-06-26T07:30:00Z</dcterms:modified>
</cp:coreProperties>
</file>