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8A" w:rsidRPr="005D6B8A" w:rsidRDefault="005D6B8A" w:rsidP="005D6B8A">
      <w:pPr>
        <w:jc w:val="center"/>
        <w:rPr>
          <w:b/>
          <w:sz w:val="28"/>
          <w:szCs w:val="28"/>
        </w:rPr>
      </w:pPr>
      <w:bookmarkStart w:id="0" w:name="OLE_LINK3"/>
      <w:bookmarkStart w:id="1" w:name="OLE_LINK4"/>
      <w:bookmarkStart w:id="2" w:name="OLE_LINK1"/>
      <w:r w:rsidRPr="005D6B8A">
        <w:rPr>
          <w:b/>
          <w:sz w:val="28"/>
          <w:szCs w:val="28"/>
        </w:rPr>
        <w:t>Ministru kabineta rīkojuma projekta</w:t>
      </w:r>
    </w:p>
    <w:p w:rsidR="00585B7B" w:rsidRDefault="005D6B8A" w:rsidP="005D6B8A">
      <w:pPr>
        <w:jc w:val="center"/>
        <w:rPr>
          <w:b/>
          <w:sz w:val="28"/>
          <w:szCs w:val="28"/>
        </w:rPr>
      </w:pPr>
      <w:r w:rsidRPr="005D6B8A">
        <w:rPr>
          <w:b/>
          <w:sz w:val="28"/>
          <w:szCs w:val="28"/>
        </w:rPr>
        <w:t xml:space="preserve">„Par finanšu līdzekļu piešķiršanu no valsts budžeta programmas „Līdzekļi neparedzētiem gadījumiem”” </w:t>
      </w:r>
      <w:r w:rsidR="00585B7B" w:rsidRPr="00D82AE2">
        <w:rPr>
          <w:b/>
          <w:sz w:val="28"/>
          <w:szCs w:val="28"/>
        </w:rPr>
        <w:t xml:space="preserve">sākotnējās ietekmes novērtējuma </w:t>
      </w:r>
      <w:smartTag w:uri="schemas-tilde-lv/tildestengine" w:element="veidnes">
        <w:smartTagPr>
          <w:attr w:name="text" w:val="ziņojums"/>
          <w:attr w:name="baseform" w:val="ziņojums"/>
          <w:attr w:name="id" w:val="-1"/>
        </w:smartTagPr>
        <w:r w:rsidR="00585B7B" w:rsidRPr="00D82AE2">
          <w:rPr>
            <w:b/>
            <w:sz w:val="28"/>
            <w:szCs w:val="28"/>
          </w:rPr>
          <w:t>ziņojums</w:t>
        </w:r>
      </w:smartTag>
      <w:r w:rsidR="00585B7B" w:rsidRPr="00D82AE2">
        <w:rPr>
          <w:b/>
          <w:sz w:val="28"/>
          <w:szCs w:val="28"/>
        </w:rPr>
        <w:t xml:space="preserve"> (anotācija)</w:t>
      </w:r>
    </w:p>
    <w:p w:rsidR="00055608" w:rsidRPr="00D82AE2" w:rsidRDefault="00055608" w:rsidP="005D6B8A">
      <w:pPr>
        <w:jc w:val="center"/>
        <w:rPr>
          <w:b/>
          <w:sz w:val="28"/>
          <w:szCs w:val="28"/>
        </w:rPr>
      </w:pP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8"/>
        <w:gridCol w:w="2693"/>
        <w:gridCol w:w="6506"/>
      </w:tblGrid>
      <w:tr w:rsidR="00585B7B" w:rsidRPr="001B1189" w:rsidTr="002637C0">
        <w:tc>
          <w:tcPr>
            <w:tcW w:w="10197" w:type="dxa"/>
            <w:gridSpan w:val="3"/>
            <w:vAlign w:val="center"/>
          </w:tcPr>
          <w:bookmarkEnd w:id="0"/>
          <w:bookmarkEnd w:id="1"/>
          <w:bookmarkEnd w:id="2"/>
          <w:p w:rsidR="00585B7B" w:rsidRPr="001B1189" w:rsidRDefault="00585B7B" w:rsidP="00194A0F">
            <w:pPr>
              <w:pStyle w:val="naisnod"/>
              <w:spacing w:before="0" w:after="0"/>
              <w:rPr>
                <w:sz w:val="26"/>
                <w:szCs w:val="26"/>
              </w:rPr>
            </w:pPr>
            <w:r w:rsidRPr="001B1189">
              <w:rPr>
                <w:sz w:val="26"/>
                <w:szCs w:val="26"/>
              </w:rPr>
              <w:t>I. Tiesību akta projekta izstrādes nepieciešamība</w:t>
            </w:r>
          </w:p>
        </w:tc>
      </w:tr>
      <w:tr w:rsidR="00585B7B" w:rsidRPr="001B1189" w:rsidTr="002637C0">
        <w:trPr>
          <w:trHeight w:val="630"/>
        </w:trPr>
        <w:tc>
          <w:tcPr>
            <w:tcW w:w="998" w:type="dxa"/>
          </w:tcPr>
          <w:p w:rsidR="00585B7B" w:rsidRPr="001B1189" w:rsidRDefault="00585B7B" w:rsidP="00BD696A">
            <w:pPr>
              <w:pStyle w:val="naiskr"/>
              <w:spacing w:before="0" w:after="0"/>
              <w:jc w:val="center"/>
              <w:rPr>
                <w:sz w:val="26"/>
                <w:szCs w:val="26"/>
              </w:rPr>
            </w:pPr>
            <w:r w:rsidRPr="001B1189">
              <w:rPr>
                <w:sz w:val="26"/>
                <w:szCs w:val="26"/>
              </w:rPr>
              <w:t>1.</w:t>
            </w:r>
          </w:p>
        </w:tc>
        <w:tc>
          <w:tcPr>
            <w:tcW w:w="2693" w:type="dxa"/>
          </w:tcPr>
          <w:p w:rsidR="00585B7B" w:rsidRPr="001B1189" w:rsidRDefault="00585B7B" w:rsidP="00595185">
            <w:pPr>
              <w:pStyle w:val="naiskr"/>
              <w:spacing w:before="0" w:after="0"/>
              <w:ind w:left="141" w:hanging="10"/>
              <w:rPr>
                <w:sz w:val="26"/>
                <w:szCs w:val="26"/>
              </w:rPr>
            </w:pPr>
            <w:r w:rsidRPr="001B1189">
              <w:rPr>
                <w:sz w:val="26"/>
                <w:szCs w:val="26"/>
              </w:rPr>
              <w:t>Pamatojums</w:t>
            </w:r>
          </w:p>
        </w:tc>
        <w:tc>
          <w:tcPr>
            <w:tcW w:w="6506" w:type="dxa"/>
          </w:tcPr>
          <w:p w:rsidR="00653952" w:rsidRDefault="00653952" w:rsidP="008431E8">
            <w:pPr>
              <w:ind w:left="142" w:right="127" w:firstLine="14"/>
              <w:jc w:val="both"/>
              <w:rPr>
                <w:sz w:val="26"/>
                <w:szCs w:val="26"/>
              </w:rPr>
            </w:pPr>
            <w:r>
              <w:rPr>
                <w:sz w:val="26"/>
                <w:szCs w:val="26"/>
              </w:rPr>
              <w:t xml:space="preserve">1) </w:t>
            </w:r>
            <w:r w:rsidR="00C85910">
              <w:rPr>
                <w:sz w:val="26"/>
                <w:szCs w:val="26"/>
              </w:rPr>
              <w:t xml:space="preserve">Ministru kabineta </w:t>
            </w:r>
            <w:r w:rsidR="00C85910" w:rsidRPr="008954F9">
              <w:rPr>
                <w:sz w:val="26"/>
                <w:szCs w:val="26"/>
              </w:rPr>
              <w:t>20</w:t>
            </w:r>
            <w:r w:rsidR="00C85910">
              <w:rPr>
                <w:sz w:val="26"/>
                <w:szCs w:val="26"/>
              </w:rPr>
              <w:t>12.gada</w:t>
            </w:r>
            <w:r w:rsidR="00C85910" w:rsidRPr="008954F9">
              <w:rPr>
                <w:sz w:val="26"/>
                <w:szCs w:val="26"/>
              </w:rPr>
              <w:t xml:space="preserve"> </w:t>
            </w:r>
            <w:r w:rsidR="00C85910">
              <w:rPr>
                <w:sz w:val="26"/>
                <w:szCs w:val="26"/>
              </w:rPr>
              <w:t>17.aprīļa</w:t>
            </w:r>
            <w:r w:rsidR="00C85910" w:rsidRPr="008954F9">
              <w:rPr>
                <w:sz w:val="26"/>
                <w:szCs w:val="26"/>
              </w:rPr>
              <w:t xml:space="preserve"> sēdē</w:t>
            </w:r>
            <w:r w:rsidR="00C85910">
              <w:t xml:space="preserve"> </w:t>
            </w:r>
            <w:r w:rsidR="00C85910">
              <w:rPr>
                <w:sz w:val="26"/>
                <w:szCs w:val="26"/>
              </w:rPr>
              <w:t xml:space="preserve">Izglītības un zinātnes ministrijai (turpmāk </w:t>
            </w:r>
            <w:r w:rsidR="007B2CA3">
              <w:rPr>
                <w:sz w:val="26"/>
                <w:szCs w:val="26"/>
              </w:rPr>
              <w:t xml:space="preserve">arī </w:t>
            </w:r>
            <w:r w:rsidR="00C85910">
              <w:rPr>
                <w:sz w:val="26"/>
                <w:szCs w:val="26"/>
              </w:rPr>
              <w:t xml:space="preserve">– ministrija) dotā uzdevuma </w:t>
            </w:r>
            <w:r w:rsidR="00C85910" w:rsidRPr="00C85910">
              <w:rPr>
                <w:sz w:val="26"/>
                <w:szCs w:val="26"/>
              </w:rPr>
              <w:t xml:space="preserve">(prot. Nr.20 38.§, 17.punkts) </w:t>
            </w:r>
            <w:r w:rsidR="00C85910">
              <w:rPr>
                <w:sz w:val="26"/>
                <w:szCs w:val="26"/>
              </w:rPr>
              <w:t>izpilde</w:t>
            </w:r>
            <w:r w:rsidR="0020091C">
              <w:rPr>
                <w:sz w:val="26"/>
                <w:szCs w:val="26"/>
              </w:rPr>
              <w:t>.</w:t>
            </w:r>
          </w:p>
          <w:p w:rsidR="00653952" w:rsidRDefault="00653952" w:rsidP="008431E8">
            <w:pPr>
              <w:ind w:left="142" w:right="127" w:firstLine="14"/>
              <w:jc w:val="both"/>
              <w:rPr>
                <w:sz w:val="26"/>
                <w:szCs w:val="26"/>
              </w:rPr>
            </w:pPr>
          </w:p>
          <w:p w:rsidR="0082231A" w:rsidRDefault="00653952" w:rsidP="008431E8">
            <w:pPr>
              <w:ind w:left="142" w:right="127" w:firstLine="14"/>
              <w:jc w:val="both"/>
              <w:rPr>
                <w:sz w:val="26"/>
                <w:szCs w:val="26"/>
              </w:rPr>
            </w:pPr>
            <w:r>
              <w:rPr>
                <w:sz w:val="26"/>
                <w:szCs w:val="26"/>
              </w:rPr>
              <w:t>2</w:t>
            </w:r>
            <w:r w:rsidR="00466E6C">
              <w:rPr>
                <w:sz w:val="26"/>
                <w:szCs w:val="26"/>
              </w:rPr>
              <w:t xml:space="preserve">) </w:t>
            </w:r>
            <w:r w:rsidR="008431E8" w:rsidRPr="008431E8">
              <w:rPr>
                <w:sz w:val="26"/>
                <w:szCs w:val="26"/>
              </w:rPr>
              <w:t>Ministru kabineta 2009.gada 22.decembr</w:t>
            </w:r>
            <w:r w:rsidR="008431E8">
              <w:rPr>
                <w:sz w:val="26"/>
                <w:szCs w:val="26"/>
              </w:rPr>
              <w:t>a</w:t>
            </w:r>
            <w:r w:rsidR="008431E8" w:rsidRPr="008431E8">
              <w:rPr>
                <w:sz w:val="26"/>
                <w:szCs w:val="26"/>
              </w:rPr>
              <w:t xml:space="preserve"> noteikum</w:t>
            </w:r>
            <w:r w:rsidR="008431E8">
              <w:rPr>
                <w:sz w:val="26"/>
                <w:szCs w:val="26"/>
              </w:rPr>
              <w:t>u</w:t>
            </w:r>
            <w:r w:rsidR="008431E8" w:rsidRPr="008431E8">
              <w:rPr>
                <w:sz w:val="26"/>
                <w:szCs w:val="26"/>
              </w:rPr>
              <w:t xml:space="preserve"> Nr.1644 </w:t>
            </w:r>
            <w:r w:rsidR="008431E8">
              <w:rPr>
                <w:sz w:val="26"/>
                <w:szCs w:val="26"/>
              </w:rPr>
              <w:t>„</w:t>
            </w:r>
            <w:r w:rsidR="008431E8" w:rsidRPr="008431E8">
              <w:rPr>
                <w:sz w:val="26"/>
                <w:szCs w:val="26"/>
              </w:rPr>
              <w:t>Kārtība, kādā pieprasa</w:t>
            </w:r>
            <w:r w:rsidR="008431E8">
              <w:rPr>
                <w:sz w:val="26"/>
                <w:szCs w:val="26"/>
              </w:rPr>
              <w:t xml:space="preserve"> un izlieto budžeta programmas „</w:t>
            </w:r>
            <w:r w:rsidR="008431E8" w:rsidRPr="008431E8">
              <w:rPr>
                <w:sz w:val="26"/>
                <w:szCs w:val="26"/>
              </w:rPr>
              <w:t>Līdzekļi neparedzētiem gadījumiem</w:t>
            </w:r>
            <w:r w:rsidR="00AB1ED1">
              <w:rPr>
                <w:sz w:val="26"/>
                <w:szCs w:val="26"/>
              </w:rPr>
              <w:t>”</w:t>
            </w:r>
            <w:r w:rsidR="008431E8" w:rsidRPr="008431E8">
              <w:rPr>
                <w:sz w:val="26"/>
                <w:szCs w:val="26"/>
              </w:rPr>
              <w:t xml:space="preserve"> līdzekļus</w:t>
            </w:r>
            <w:r w:rsidR="008431E8">
              <w:rPr>
                <w:sz w:val="26"/>
                <w:szCs w:val="26"/>
              </w:rPr>
              <w:t>” 2.punkts.</w:t>
            </w:r>
          </w:p>
          <w:p w:rsidR="00466E6C" w:rsidRDefault="00466E6C" w:rsidP="008431E8">
            <w:pPr>
              <w:ind w:left="142" w:right="127" w:firstLine="14"/>
              <w:jc w:val="both"/>
              <w:rPr>
                <w:sz w:val="26"/>
                <w:szCs w:val="26"/>
              </w:rPr>
            </w:pPr>
          </w:p>
          <w:p w:rsidR="00466E6C" w:rsidRPr="0062282B" w:rsidRDefault="00653952" w:rsidP="0062282B">
            <w:pPr>
              <w:ind w:left="142" w:right="127" w:firstLine="14"/>
              <w:jc w:val="both"/>
              <w:rPr>
                <w:rFonts w:eastAsia="Times New Roman"/>
                <w:color w:val="000000"/>
                <w:sz w:val="26"/>
                <w:szCs w:val="26"/>
              </w:rPr>
            </w:pPr>
            <w:r>
              <w:rPr>
                <w:sz w:val="26"/>
                <w:szCs w:val="26"/>
              </w:rPr>
              <w:t>3</w:t>
            </w:r>
            <w:r w:rsidR="00466E6C">
              <w:rPr>
                <w:sz w:val="26"/>
                <w:szCs w:val="26"/>
              </w:rPr>
              <w:t xml:space="preserve">) </w:t>
            </w:r>
            <w:r w:rsidR="0040650B">
              <w:rPr>
                <w:rFonts w:eastAsia="Times New Roman"/>
                <w:color w:val="000000"/>
                <w:sz w:val="26"/>
                <w:szCs w:val="26"/>
              </w:rPr>
              <w:t>Nepieciešamība</w:t>
            </w:r>
            <w:r w:rsidR="0040650B" w:rsidRPr="002834A0">
              <w:rPr>
                <w:rFonts w:eastAsia="Times New Roman"/>
                <w:color w:val="000000"/>
                <w:sz w:val="26"/>
                <w:szCs w:val="26"/>
              </w:rPr>
              <w:t xml:space="preserve"> </w:t>
            </w:r>
            <w:r w:rsidR="002D05F1">
              <w:t xml:space="preserve"> </w:t>
            </w:r>
            <w:r w:rsidR="002D05F1">
              <w:rPr>
                <w:rFonts w:eastAsia="Times New Roman"/>
                <w:color w:val="000000"/>
                <w:sz w:val="26"/>
                <w:szCs w:val="26"/>
              </w:rPr>
              <w:t>nodrošināt</w:t>
            </w:r>
            <w:r w:rsidR="002D05F1" w:rsidRPr="002D05F1">
              <w:rPr>
                <w:rFonts w:eastAsia="Times New Roman"/>
                <w:color w:val="000000"/>
                <w:sz w:val="26"/>
                <w:szCs w:val="26"/>
              </w:rPr>
              <w:t xml:space="preserve"> Bobsleja un kamaniņu trases „Sigulda”</w:t>
            </w:r>
            <w:r w:rsidR="002D05F1">
              <w:rPr>
                <w:rFonts w:eastAsia="Times New Roman"/>
                <w:color w:val="000000"/>
                <w:sz w:val="26"/>
                <w:szCs w:val="26"/>
              </w:rPr>
              <w:t xml:space="preserve"> (turpmāk arī – Siguldas trase)</w:t>
            </w:r>
            <w:r w:rsidR="002D05F1" w:rsidRPr="002D05F1">
              <w:rPr>
                <w:rFonts w:eastAsia="Times New Roman"/>
                <w:color w:val="000000"/>
                <w:sz w:val="26"/>
                <w:szCs w:val="26"/>
              </w:rPr>
              <w:t xml:space="preserve"> rekonstrukcijas projekta izstrādi, kā arī nodrošināt neatliekamo pasākumu īstenošanu trases drošības uzlabošanai.</w:t>
            </w:r>
          </w:p>
        </w:tc>
      </w:tr>
      <w:tr w:rsidR="00585B7B" w:rsidRPr="00DE1B77" w:rsidTr="00795000">
        <w:trPr>
          <w:trHeight w:val="1128"/>
        </w:trPr>
        <w:tc>
          <w:tcPr>
            <w:tcW w:w="998" w:type="dxa"/>
          </w:tcPr>
          <w:p w:rsidR="00585B7B" w:rsidRPr="00DE1B77" w:rsidRDefault="00585B7B" w:rsidP="00BD696A">
            <w:pPr>
              <w:pStyle w:val="naiskr"/>
              <w:spacing w:before="0" w:after="0"/>
              <w:jc w:val="center"/>
              <w:rPr>
                <w:sz w:val="26"/>
                <w:szCs w:val="26"/>
              </w:rPr>
            </w:pPr>
            <w:r w:rsidRPr="00DE1B77">
              <w:rPr>
                <w:sz w:val="26"/>
                <w:szCs w:val="26"/>
              </w:rPr>
              <w:t>2.</w:t>
            </w:r>
          </w:p>
        </w:tc>
        <w:tc>
          <w:tcPr>
            <w:tcW w:w="2693" w:type="dxa"/>
          </w:tcPr>
          <w:p w:rsidR="00585B7B" w:rsidRPr="00DE1B77" w:rsidRDefault="00585B7B" w:rsidP="00595185">
            <w:pPr>
              <w:pStyle w:val="naiskr"/>
              <w:tabs>
                <w:tab w:val="left" w:pos="170"/>
              </w:tabs>
              <w:spacing w:before="0" w:after="0"/>
              <w:ind w:left="141"/>
              <w:rPr>
                <w:sz w:val="26"/>
                <w:szCs w:val="26"/>
              </w:rPr>
            </w:pPr>
            <w:r w:rsidRPr="00DE1B77">
              <w:rPr>
                <w:sz w:val="26"/>
                <w:szCs w:val="26"/>
              </w:rPr>
              <w:t>Pašreizējā situācija un problēmas</w:t>
            </w:r>
          </w:p>
        </w:tc>
        <w:tc>
          <w:tcPr>
            <w:tcW w:w="6506" w:type="dxa"/>
          </w:tcPr>
          <w:p w:rsidR="00653952" w:rsidRDefault="007B2CA3" w:rsidP="001A290D">
            <w:pPr>
              <w:ind w:left="142" w:right="127"/>
              <w:jc w:val="both"/>
              <w:rPr>
                <w:sz w:val="26"/>
                <w:szCs w:val="26"/>
              </w:rPr>
            </w:pPr>
            <w:r w:rsidRPr="007B2CA3">
              <w:rPr>
                <w:sz w:val="26"/>
                <w:szCs w:val="26"/>
              </w:rPr>
              <w:t>Ministru kabineta 2012.gada 17.aprīļa sēdē, izskatot Finanšu ministrijas izstrādāto informatīvo ziņojumu „Par valsts budžeta bāzes izdevumiem 2013. – 2015.gadam un bāzes izdevumos neiekļautajiem ministriju un citu centrālo valsts iestāžu iesniegtajiem papildu pieprasījumiem” (TA-855-IP), ministrijai tika uzdots (prot. Nr.20 38.§, 17.punkts) sagatavot un izglītības un zinātnes ministram mēneša laikā iesniegt izskatīšanai Ministru kabinetā informatīvo ziņojumu par valsts īpašumā esošajās sporta bāzēs (t.sk. bobsleja un kamaniņu trasē „Sigulda” un Murjāņu sporta ģimnāzijā) neatliekami veicamajiem darbiem un tiem nepieciešamo finansējumu.</w:t>
            </w:r>
            <w:r w:rsidR="00AE1261">
              <w:rPr>
                <w:sz w:val="26"/>
                <w:szCs w:val="26"/>
              </w:rPr>
              <w:t xml:space="preserve"> </w:t>
            </w:r>
            <w:r w:rsidR="00AE1261">
              <w:t xml:space="preserve"> </w:t>
            </w:r>
            <w:r w:rsidR="00AE1261" w:rsidRPr="00AE1261">
              <w:rPr>
                <w:sz w:val="26"/>
                <w:szCs w:val="26"/>
              </w:rPr>
              <w:t xml:space="preserve">Ievērojot minēto, ministrija ir sagatavojusi </w:t>
            </w:r>
            <w:r w:rsidR="00AE1261">
              <w:rPr>
                <w:sz w:val="26"/>
                <w:szCs w:val="26"/>
              </w:rPr>
              <w:t>informatīvo ziņojumu „</w:t>
            </w:r>
            <w:r w:rsidR="00AE1261" w:rsidRPr="00AE1261">
              <w:rPr>
                <w:sz w:val="26"/>
                <w:szCs w:val="26"/>
              </w:rPr>
              <w:t>Par valsts īpašumā esošajās sporta bāzēs neatliekami veicamajiem darbiem un tiem nepieciešamo finansējumu</w:t>
            </w:r>
            <w:r w:rsidR="005D469E">
              <w:rPr>
                <w:sz w:val="26"/>
                <w:szCs w:val="26"/>
              </w:rPr>
              <w:t>”</w:t>
            </w:r>
            <w:r w:rsidR="006E3BEA">
              <w:rPr>
                <w:sz w:val="26"/>
                <w:szCs w:val="26"/>
              </w:rPr>
              <w:t xml:space="preserve"> (turpmāk – Ziņojums)</w:t>
            </w:r>
            <w:r w:rsidR="00A574D0">
              <w:rPr>
                <w:sz w:val="26"/>
                <w:szCs w:val="26"/>
              </w:rPr>
              <w:t>, kurš tiek virzīts vienotā paketē ar šo Ministru kabineta rīkojuma projektu.</w:t>
            </w:r>
          </w:p>
          <w:p w:rsidR="008C1076" w:rsidRDefault="008C1076" w:rsidP="001A290D">
            <w:pPr>
              <w:ind w:left="142" w:right="127"/>
              <w:jc w:val="both"/>
              <w:rPr>
                <w:sz w:val="26"/>
                <w:szCs w:val="26"/>
              </w:rPr>
            </w:pPr>
          </w:p>
          <w:p w:rsidR="008C1076" w:rsidRDefault="008C1076" w:rsidP="001A290D">
            <w:pPr>
              <w:ind w:left="142" w:right="127"/>
              <w:jc w:val="both"/>
              <w:rPr>
                <w:sz w:val="26"/>
                <w:szCs w:val="26"/>
              </w:rPr>
            </w:pPr>
            <w:r>
              <w:rPr>
                <w:sz w:val="26"/>
                <w:szCs w:val="26"/>
              </w:rPr>
              <w:t xml:space="preserve">Ņemot vērā to, ka  detalizēts esošās situācijas un problēmas apraksts ir sniegts Ziņojumā, šajā </w:t>
            </w:r>
            <w:r w:rsidRPr="008C1076">
              <w:rPr>
                <w:sz w:val="26"/>
                <w:szCs w:val="26"/>
              </w:rPr>
              <w:t>sākotnējās ietekmes novērtējuma ziņojum</w:t>
            </w:r>
            <w:r>
              <w:rPr>
                <w:sz w:val="26"/>
                <w:szCs w:val="26"/>
              </w:rPr>
              <w:t>ā</w:t>
            </w:r>
            <w:r w:rsidRPr="008C1076">
              <w:rPr>
                <w:sz w:val="26"/>
                <w:szCs w:val="26"/>
              </w:rPr>
              <w:t xml:space="preserve"> (anotācij</w:t>
            </w:r>
            <w:r>
              <w:rPr>
                <w:sz w:val="26"/>
                <w:szCs w:val="26"/>
              </w:rPr>
              <w:t>ā</w:t>
            </w:r>
            <w:r w:rsidRPr="008C1076">
              <w:rPr>
                <w:sz w:val="26"/>
                <w:szCs w:val="26"/>
              </w:rPr>
              <w:t>)</w:t>
            </w:r>
            <w:r>
              <w:rPr>
                <w:sz w:val="26"/>
                <w:szCs w:val="26"/>
              </w:rPr>
              <w:t xml:space="preserve"> </w:t>
            </w:r>
            <w:r w:rsidR="00C12691">
              <w:rPr>
                <w:sz w:val="26"/>
                <w:szCs w:val="26"/>
              </w:rPr>
              <w:t>akcentēta tikai būtiskākā informācija. Citu nepieciešamo papildu informāciju lūdzam skatīt Ziņojumā.</w:t>
            </w:r>
          </w:p>
          <w:p w:rsidR="00C12691" w:rsidRDefault="00C12691" w:rsidP="001A290D">
            <w:pPr>
              <w:ind w:left="142" w:right="127"/>
              <w:jc w:val="both"/>
              <w:rPr>
                <w:sz w:val="26"/>
                <w:szCs w:val="26"/>
              </w:rPr>
            </w:pPr>
          </w:p>
          <w:p w:rsidR="007B2CA3" w:rsidRDefault="00A2591D" w:rsidP="001A290D">
            <w:pPr>
              <w:ind w:left="142" w:right="127"/>
              <w:jc w:val="both"/>
              <w:rPr>
                <w:sz w:val="26"/>
                <w:szCs w:val="26"/>
              </w:rPr>
            </w:pPr>
            <w:r w:rsidRPr="00A2591D">
              <w:rPr>
                <w:sz w:val="26"/>
                <w:szCs w:val="26"/>
              </w:rPr>
              <w:t>Siguldas trase ar kopējo mākslīgā ledus platību 6330m</w:t>
            </w:r>
            <w:r w:rsidRPr="00E140BA">
              <w:rPr>
                <w:sz w:val="26"/>
                <w:szCs w:val="26"/>
                <w:vertAlign w:val="superscript"/>
              </w:rPr>
              <w:t>2</w:t>
            </w:r>
            <w:r w:rsidRPr="00A2591D">
              <w:rPr>
                <w:sz w:val="26"/>
                <w:szCs w:val="26"/>
              </w:rPr>
              <w:t xml:space="preserve"> ir unikāls objekts, kam Austrumeiropā nav analogu. Siguldas trasē tiek organizētas sporta sacensības un veikts </w:t>
            </w:r>
            <w:proofErr w:type="spellStart"/>
            <w:r w:rsidRPr="00A2591D">
              <w:rPr>
                <w:sz w:val="26"/>
                <w:szCs w:val="26"/>
              </w:rPr>
              <w:t>treniņprocess</w:t>
            </w:r>
            <w:proofErr w:type="spellEnd"/>
            <w:r w:rsidRPr="00A2591D">
              <w:rPr>
                <w:sz w:val="26"/>
                <w:szCs w:val="26"/>
              </w:rPr>
              <w:t xml:space="preserve"> trīs ziemas olimpiskajos sporta veidos – </w:t>
            </w:r>
            <w:r w:rsidRPr="00A2591D">
              <w:rPr>
                <w:sz w:val="26"/>
                <w:szCs w:val="26"/>
              </w:rPr>
              <w:lastRenderedPageBreak/>
              <w:t xml:space="preserve">bobslejā, skeletonā un kamaniņu sportā. Visiem minētajiem sporta veidiem ir gadiem ilgas tradīcijas, kvalificēti sporta treneri un tehniskais personāls. Siguldas trasi pamatoti uzskata par galveno olimpisko medaļu kaldinātāju Latvijai ziemas sporta veidos, jo tā ir devusi 10 olimpiskās medaļas. Siguldas trasei ir ļoti nozīmīga loma Latvijas ziemas olimpiskās komandas nodrošināšanai, ko spilgti apliecina fakts, ka 2010.gada Ziemas olimpiskajās spēlēs </w:t>
            </w:r>
            <w:proofErr w:type="spellStart"/>
            <w:r w:rsidRPr="00A2591D">
              <w:rPr>
                <w:sz w:val="26"/>
                <w:szCs w:val="26"/>
              </w:rPr>
              <w:t>Vankuverā</w:t>
            </w:r>
            <w:proofErr w:type="spellEnd"/>
            <w:r w:rsidRPr="00A2591D">
              <w:rPr>
                <w:sz w:val="26"/>
                <w:szCs w:val="26"/>
              </w:rPr>
              <w:t xml:space="preserve"> (Kanāda) no 58 Latvijas sportistiem 20 pārstāvēja Siguldas trasē attīstāmos sporta veidus. Siguldas trases nepārtrauktā atrašanās starptautiskajā apritē ir apliecinājums tās nozīmīgumam valsts attīstībā (sporta sacensību un treniņu apmeklētāji no ārvalstīm kā tūristi, to uzturēšanās laikā Latvijā patērētās preces un pakalpojumi, u.tml.) un Latvijas tēla popularizēšanā ārvalstīs (pārraides starptautiskos kanālos </w:t>
            </w:r>
            <w:proofErr w:type="spellStart"/>
            <w:r w:rsidRPr="00A2591D">
              <w:rPr>
                <w:sz w:val="26"/>
                <w:szCs w:val="26"/>
              </w:rPr>
              <w:t>Eurosport</w:t>
            </w:r>
            <w:proofErr w:type="spellEnd"/>
            <w:r w:rsidRPr="00A2591D">
              <w:rPr>
                <w:sz w:val="26"/>
                <w:szCs w:val="26"/>
              </w:rPr>
              <w:t xml:space="preserve">, ZDF, ARD u.c. ar miljonu auditoriju), ko nodrošina Latvijā notiekošās sporta sacensības, </w:t>
            </w:r>
            <w:proofErr w:type="spellStart"/>
            <w:r w:rsidRPr="00A2591D">
              <w:rPr>
                <w:sz w:val="26"/>
                <w:szCs w:val="26"/>
              </w:rPr>
              <w:t>treniņprocess</w:t>
            </w:r>
            <w:proofErr w:type="spellEnd"/>
            <w:r w:rsidRPr="00A2591D">
              <w:rPr>
                <w:sz w:val="26"/>
                <w:szCs w:val="26"/>
              </w:rPr>
              <w:t xml:space="preserve"> un Latvijas sportistu augstie rezultāti. Siguldas trase kopš tās atklāšanas nepārtraukti atrodas starptautiskajā sporta sacensību apritē un šo gadu laikā Siguldas trasē ir aizvadīts 21 pasaules kausa posms kamaniņu sportā, 3 pasaules kausa posmi skeletonā, Eiropas un pasaules čempionāti, kā arī pasaules junioru čempionāti kamaniņu sportā. Siguldas trasē pasaules mēroga sporta sacensības norisinās katru gadu. Pasaulē šobrīd ir vēl 16 analogas sporta būves, tāpēc ir jānodrošina Siguldas trases konkurētspēja, lai nepazaudētu esošo pozīciju citu trašu vidū, jo konkurējošās trasēs Eiropā pēdējos gados ir investēti ~ 10 – 20 miljoni EUR katrā. Lai to īstenotu, ir nepieciešams attīstīt Siguldas trases infrastruktūru (veikt trases rekonstrukciju), kā arī paplašināt trases piedāvātās iespējas ar jauna sporta kompleksa izveidi. Tā rezultātā tiks saglabāta un paaugstināta Siguldas trases konkurētspēja starp bobsleja un kamaniņu trasēm Eiropā un pasaulē, vienlaikus nodrošinot iespēju arī turpmāk Latvijā sarīkot visaugstākā līmeņa sporta sacensības, nodrošināta Siguldas trases izmantošanas sezonas pagarināšana un pilnvērtīga </w:t>
            </w:r>
            <w:proofErr w:type="spellStart"/>
            <w:r w:rsidRPr="00A2591D">
              <w:rPr>
                <w:sz w:val="26"/>
                <w:szCs w:val="26"/>
              </w:rPr>
              <w:t>treniņprocesa</w:t>
            </w:r>
            <w:proofErr w:type="spellEnd"/>
            <w:r w:rsidRPr="00A2591D">
              <w:rPr>
                <w:sz w:val="26"/>
                <w:szCs w:val="26"/>
              </w:rPr>
              <w:t xml:space="preserve"> iespējas kā arī radīti priekšnoteikumi, lai Latvijas sportisti bobslejā, skeletonā un kamaniņu sportā arī turpmāk varētu sasniegt augstvērtīgus rezultātus Olimpiskajās spēlēs, pasaules un Eiropas čempionātos, pasaules kausa posmos (arī kopvērtējumā) un citās starptautiskajās sporta sacensībās. Jāatzīmē, ka Siguldas trases attīstība un tās piedāvājuma paplašināšana ar sporta kompleksa iespējām ir ne tikai sportistu </w:t>
            </w:r>
            <w:proofErr w:type="spellStart"/>
            <w:r w:rsidRPr="00A2591D">
              <w:rPr>
                <w:sz w:val="26"/>
                <w:szCs w:val="26"/>
              </w:rPr>
              <w:t>treniņprocesa</w:t>
            </w:r>
            <w:proofErr w:type="spellEnd"/>
            <w:r w:rsidRPr="00A2591D">
              <w:rPr>
                <w:sz w:val="26"/>
                <w:szCs w:val="26"/>
              </w:rPr>
              <w:t xml:space="preserve"> kvalitātes jautājums, bet arī nozīmīgs faktors Latvijas ekonomikas veicināšanai. Sigulda trases rekonstrukcija </w:t>
            </w:r>
            <w:r w:rsidRPr="00A2591D">
              <w:rPr>
                <w:sz w:val="26"/>
                <w:szCs w:val="26"/>
              </w:rPr>
              <w:lastRenderedPageBreak/>
              <w:t>īpaši aktuāla ir saistībā ar faktu, ka 2015.gadā šeit norisināsies pasaules čempionāts kamaniņu sportā.</w:t>
            </w:r>
          </w:p>
          <w:p w:rsidR="00386B43" w:rsidRDefault="00386B43" w:rsidP="001A290D">
            <w:pPr>
              <w:ind w:left="142" w:right="127"/>
              <w:jc w:val="both"/>
              <w:rPr>
                <w:sz w:val="26"/>
                <w:szCs w:val="26"/>
              </w:rPr>
            </w:pPr>
          </w:p>
          <w:p w:rsidR="00386B43" w:rsidRDefault="00386B43" w:rsidP="001A290D">
            <w:pPr>
              <w:ind w:left="142" w:right="127"/>
              <w:jc w:val="both"/>
              <w:rPr>
                <w:sz w:val="26"/>
                <w:szCs w:val="26"/>
              </w:rPr>
            </w:pPr>
            <w:r w:rsidRPr="00386B43">
              <w:rPr>
                <w:sz w:val="26"/>
                <w:szCs w:val="26"/>
              </w:rPr>
              <w:t>Veicot Siguldas trases rekonstrukciju, jāņem vērā trases darbības specifika, kā rezultātā remontdarbus iespējams veikt tikai vasaras un rudens mēnešos (līdz 15.oktobrim), tāpēc projekts uzsākams iespējami drīzā laikā, lai visus darbus pabeigtu līdz 2015.gada pasaules čempionātam kamaniņu sportā. Izvērtējot Siguldas trasē neatliekami veicamos darbus, 2012.gadā būtu jāizstrādā Siguldas trases rekonstrukcijas projekts (provizoriskās izma</w:t>
            </w:r>
            <w:r>
              <w:rPr>
                <w:sz w:val="26"/>
                <w:szCs w:val="26"/>
              </w:rPr>
              <w:t xml:space="preserve">ksas ~ 50`000 latu [t.sk. PVN]), </w:t>
            </w:r>
            <w:r w:rsidRPr="00386B43">
              <w:rPr>
                <w:sz w:val="26"/>
                <w:szCs w:val="26"/>
              </w:rPr>
              <w:t>kā arī Siguldas trases rekonstrukcijas projekta ietvaros jāuzsāk atsevišķi ar trases drošības uzlabošanu saistītie darbi, šim mērķiem ieguldot vismaz 150`000 latu [t.sk. PVN 21%]. Lai gan 2012.gadā veicamo darbu saraksts vēl tiks precizēts atbilstoši iepirkuma rezultātiem un šim mērķim pieejamajam finansējumam, prioritāri veicamie darbi ir šādi – trases apskaņošanas iekārtu rekonstrukcija; amonjaka cauruļvadu izolācijas uzlikšana, amonjaka sūkņu CAM un amonjaka kompresora iegāde un uzstādīšana; DANFOSS automātikas elementu nomaiņa.</w:t>
            </w:r>
          </w:p>
          <w:p w:rsidR="00A2591D" w:rsidRDefault="00A2591D" w:rsidP="001A290D">
            <w:pPr>
              <w:ind w:left="142" w:right="127"/>
              <w:jc w:val="both"/>
              <w:rPr>
                <w:sz w:val="26"/>
                <w:szCs w:val="26"/>
              </w:rPr>
            </w:pPr>
          </w:p>
          <w:p w:rsidR="0070748C" w:rsidRDefault="0070748C" w:rsidP="001A290D">
            <w:pPr>
              <w:ind w:left="142" w:right="127"/>
              <w:jc w:val="both"/>
              <w:rPr>
                <w:sz w:val="26"/>
                <w:szCs w:val="26"/>
              </w:rPr>
            </w:pPr>
            <w:r>
              <w:rPr>
                <w:sz w:val="26"/>
                <w:szCs w:val="26"/>
              </w:rPr>
              <w:t xml:space="preserve">Aicinājumu Ministru kabinetam </w:t>
            </w:r>
            <w:r>
              <w:t xml:space="preserve"> </w:t>
            </w:r>
            <w:r w:rsidRPr="0070748C">
              <w:rPr>
                <w:sz w:val="26"/>
                <w:szCs w:val="26"/>
              </w:rPr>
              <w:t xml:space="preserve">rast iespēju jau </w:t>
            </w:r>
            <w:r w:rsidR="00081A75">
              <w:rPr>
                <w:sz w:val="26"/>
                <w:szCs w:val="26"/>
              </w:rPr>
              <w:t>2012.gadā</w:t>
            </w:r>
            <w:r w:rsidR="00081A75">
              <w:t xml:space="preserve"> </w:t>
            </w:r>
            <w:r w:rsidR="00081A75" w:rsidRPr="00081A75">
              <w:rPr>
                <w:sz w:val="26"/>
                <w:szCs w:val="26"/>
              </w:rPr>
              <w:t xml:space="preserve">piešķirt nepieciešamo finansējumu 2012.gadā obligāti veicamajiem pasākumiem </w:t>
            </w:r>
            <w:r w:rsidR="00081A75">
              <w:rPr>
                <w:sz w:val="26"/>
                <w:szCs w:val="26"/>
              </w:rPr>
              <w:t>Siguldas trasē</w:t>
            </w:r>
            <w:r>
              <w:rPr>
                <w:sz w:val="26"/>
                <w:szCs w:val="26"/>
              </w:rPr>
              <w:t xml:space="preserve"> 2012.gada 4.</w:t>
            </w:r>
            <w:r w:rsidR="00081A75">
              <w:rPr>
                <w:sz w:val="26"/>
                <w:szCs w:val="26"/>
              </w:rPr>
              <w:t xml:space="preserve">aprīļa sēdē </w:t>
            </w:r>
            <w:r>
              <w:rPr>
                <w:sz w:val="26"/>
                <w:szCs w:val="26"/>
              </w:rPr>
              <w:t xml:space="preserve">izteica arī Latvijas Nacionālā sporta padome </w:t>
            </w:r>
            <w:r w:rsidRPr="0070748C">
              <w:rPr>
                <w:sz w:val="26"/>
                <w:szCs w:val="26"/>
              </w:rPr>
              <w:t>(prot. Nr.</w:t>
            </w:r>
            <w:r w:rsidR="00081A75">
              <w:rPr>
                <w:sz w:val="26"/>
                <w:szCs w:val="26"/>
              </w:rPr>
              <w:t>2</w:t>
            </w:r>
            <w:r w:rsidRPr="0070748C">
              <w:rPr>
                <w:sz w:val="26"/>
                <w:szCs w:val="26"/>
              </w:rPr>
              <w:t xml:space="preserve"> </w:t>
            </w:r>
            <w:r w:rsidR="00081A75">
              <w:rPr>
                <w:sz w:val="26"/>
                <w:szCs w:val="26"/>
              </w:rPr>
              <w:t>3</w:t>
            </w:r>
            <w:r w:rsidRPr="0070748C">
              <w:rPr>
                <w:sz w:val="26"/>
                <w:szCs w:val="26"/>
              </w:rPr>
              <w:t>.§</w:t>
            </w:r>
            <w:r>
              <w:rPr>
                <w:sz w:val="26"/>
                <w:szCs w:val="26"/>
              </w:rPr>
              <w:t>, 3.punkts</w:t>
            </w:r>
            <w:r w:rsidRPr="0070748C">
              <w:rPr>
                <w:sz w:val="26"/>
                <w:szCs w:val="26"/>
              </w:rPr>
              <w:t>)</w:t>
            </w:r>
            <w:r>
              <w:rPr>
                <w:sz w:val="26"/>
                <w:szCs w:val="26"/>
              </w:rPr>
              <w:t xml:space="preserve">, kura saskaņā ar </w:t>
            </w:r>
            <w:r w:rsidRPr="0070748C">
              <w:rPr>
                <w:sz w:val="26"/>
                <w:szCs w:val="26"/>
              </w:rPr>
              <w:t>Sporta likuma 9.panta pirmo daļu ir sabiedriska konsultatīva institūcija, kas piedalās valsts sporta politikas izstrādē, veicina sporta attīstību un sadarbību sporta jomā, kā arī lēmumu pieņemšanu jautājumos, kas attiecas uz sportu.</w:t>
            </w:r>
          </w:p>
          <w:p w:rsidR="0070748C" w:rsidRDefault="0070748C" w:rsidP="001A290D">
            <w:pPr>
              <w:ind w:left="142" w:right="127"/>
              <w:jc w:val="both"/>
              <w:rPr>
                <w:sz w:val="26"/>
                <w:szCs w:val="26"/>
              </w:rPr>
            </w:pPr>
          </w:p>
          <w:p w:rsidR="00795000" w:rsidRPr="00AB3339" w:rsidRDefault="00795000" w:rsidP="00795000">
            <w:pPr>
              <w:ind w:left="142" w:right="127"/>
              <w:jc w:val="both"/>
              <w:rPr>
                <w:sz w:val="26"/>
                <w:szCs w:val="26"/>
              </w:rPr>
            </w:pPr>
            <w:r w:rsidRPr="00795000">
              <w:rPr>
                <w:sz w:val="26"/>
                <w:szCs w:val="26"/>
              </w:rPr>
              <w:t xml:space="preserve">Ministrija ir izvērtējusi jautājumu par </w:t>
            </w:r>
            <w:r w:rsidR="00386B43">
              <w:rPr>
                <w:sz w:val="26"/>
                <w:szCs w:val="26"/>
              </w:rPr>
              <w:t>finansējuma</w:t>
            </w:r>
            <w:r w:rsidRPr="00795000">
              <w:rPr>
                <w:sz w:val="26"/>
                <w:szCs w:val="26"/>
              </w:rPr>
              <w:t xml:space="preserve"> piešķiršanu </w:t>
            </w:r>
            <w:r w:rsidR="00386B43">
              <w:rPr>
                <w:sz w:val="26"/>
                <w:szCs w:val="26"/>
              </w:rPr>
              <w:t xml:space="preserve">SIA „Bobsleja un kamaniņu trase „Sigulda””, </w:t>
            </w:r>
            <w:r w:rsidR="00386B43" w:rsidRPr="00386B43">
              <w:rPr>
                <w:sz w:val="26"/>
                <w:szCs w:val="26"/>
              </w:rPr>
              <w:t xml:space="preserve">lai nodrošinātu </w:t>
            </w:r>
            <w:r w:rsidR="00386B43">
              <w:rPr>
                <w:sz w:val="26"/>
                <w:szCs w:val="26"/>
              </w:rPr>
              <w:t xml:space="preserve">Siguldas trases </w:t>
            </w:r>
            <w:r w:rsidR="00386B43" w:rsidRPr="00386B43">
              <w:rPr>
                <w:sz w:val="26"/>
                <w:szCs w:val="26"/>
              </w:rPr>
              <w:t>rekonstrukcijas projekta izstrādi</w:t>
            </w:r>
            <w:r w:rsidR="004523BD">
              <w:rPr>
                <w:sz w:val="26"/>
                <w:szCs w:val="26"/>
              </w:rPr>
              <w:t xml:space="preserve"> un </w:t>
            </w:r>
            <w:r w:rsidR="00386B43" w:rsidRPr="00386B43">
              <w:rPr>
                <w:sz w:val="26"/>
                <w:szCs w:val="26"/>
              </w:rPr>
              <w:t>neatliekamo pasākumu īstenošanu trases drošības uzlabošanai</w:t>
            </w:r>
            <w:r w:rsidR="004523BD">
              <w:rPr>
                <w:sz w:val="26"/>
                <w:szCs w:val="26"/>
              </w:rPr>
              <w:t>,</w:t>
            </w:r>
            <w:r w:rsidR="0070748C">
              <w:rPr>
                <w:sz w:val="26"/>
                <w:szCs w:val="26"/>
              </w:rPr>
              <w:t xml:space="preserve"> </w:t>
            </w:r>
            <w:r w:rsidRPr="00795000">
              <w:rPr>
                <w:sz w:val="26"/>
                <w:szCs w:val="26"/>
              </w:rPr>
              <w:t>un konstatējusi, ka ministrijas rīcībā nav nepieciešamie līdzekļi, jo visi finanšu līdzekļi 201</w:t>
            </w:r>
            <w:r w:rsidR="00BE3D54">
              <w:rPr>
                <w:sz w:val="26"/>
                <w:szCs w:val="26"/>
              </w:rPr>
              <w:t>2</w:t>
            </w:r>
            <w:r w:rsidRPr="00795000">
              <w:rPr>
                <w:sz w:val="26"/>
                <w:szCs w:val="26"/>
              </w:rPr>
              <w:t>.gadam valsts budžeta programmā 09.00.00 „Sports”</w:t>
            </w:r>
            <w:r w:rsidR="00BE3D54">
              <w:rPr>
                <w:sz w:val="26"/>
                <w:szCs w:val="26"/>
              </w:rPr>
              <w:t xml:space="preserve"> </w:t>
            </w:r>
            <w:r w:rsidRPr="00795000">
              <w:rPr>
                <w:sz w:val="26"/>
                <w:szCs w:val="26"/>
              </w:rPr>
              <w:t>ir sadalīti un attiecīgi noslēgti līgumi par valsts budžeta finanšu līdzekļu (dotācijas) piešķiršanu. Noslēgtie līgumi neparedz finansējuma piešķīrēja –</w:t>
            </w:r>
            <w:r w:rsidR="00DA7BE4">
              <w:rPr>
                <w:sz w:val="26"/>
                <w:szCs w:val="26"/>
              </w:rPr>
              <w:t xml:space="preserve"> </w:t>
            </w:r>
            <w:r w:rsidRPr="00795000">
              <w:rPr>
                <w:sz w:val="26"/>
                <w:szCs w:val="26"/>
              </w:rPr>
              <w:t xml:space="preserve">ministrijas – tiesības samazināt piešķirto finanšu līdzekļu apmēru līdzekļu pārdales gadījumā citām sporta </w:t>
            </w:r>
            <w:r w:rsidR="00DA7BE4">
              <w:rPr>
                <w:sz w:val="26"/>
                <w:szCs w:val="26"/>
              </w:rPr>
              <w:t>bāzēm vai sporta organizācijām</w:t>
            </w:r>
            <w:r w:rsidRPr="00795000">
              <w:rPr>
                <w:sz w:val="26"/>
                <w:szCs w:val="26"/>
              </w:rPr>
              <w:t xml:space="preserve"> (līgums paredz ministrijas tiesības</w:t>
            </w:r>
            <w:r w:rsidRPr="00AB3339">
              <w:rPr>
                <w:sz w:val="26"/>
                <w:szCs w:val="26"/>
              </w:rPr>
              <w:t xml:space="preserve"> samazināt līguma summu tikai tad, ja tiek izdarīti grozījumi likumā „Par valsts budžetu 201</w:t>
            </w:r>
            <w:r w:rsidR="00BE3D54">
              <w:rPr>
                <w:sz w:val="26"/>
                <w:szCs w:val="26"/>
              </w:rPr>
              <w:t>2</w:t>
            </w:r>
            <w:r w:rsidRPr="00AB3339">
              <w:rPr>
                <w:sz w:val="26"/>
                <w:szCs w:val="26"/>
              </w:rPr>
              <w:t>.gadam</w:t>
            </w:r>
            <w:r w:rsidRPr="00795000">
              <w:rPr>
                <w:sz w:val="26"/>
                <w:szCs w:val="26"/>
              </w:rPr>
              <w:t xml:space="preserve">”, vai </w:t>
            </w:r>
            <w:r w:rsidR="00DA7BE4">
              <w:rPr>
                <w:sz w:val="26"/>
                <w:szCs w:val="26"/>
              </w:rPr>
              <w:t>sporta bāze</w:t>
            </w:r>
            <w:r w:rsidR="00DB7AA7">
              <w:rPr>
                <w:sz w:val="26"/>
                <w:szCs w:val="26"/>
              </w:rPr>
              <w:t>,</w:t>
            </w:r>
            <w:r w:rsidR="00DA7BE4">
              <w:rPr>
                <w:sz w:val="26"/>
                <w:szCs w:val="26"/>
              </w:rPr>
              <w:t xml:space="preserve"> vai cita </w:t>
            </w:r>
            <w:r w:rsidR="00DA7BE4">
              <w:rPr>
                <w:sz w:val="26"/>
                <w:szCs w:val="26"/>
              </w:rPr>
              <w:lastRenderedPageBreak/>
              <w:t xml:space="preserve">sporta organizācija </w:t>
            </w:r>
            <w:r w:rsidRPr="00795000">
              <w:rPr>
                <w:sz w:val="26"/>
                <w:szCs w:val="26"/>
              </w:rPr>
              <w:t>neievēro pielīgtās saistības). Papildus finansējuma pārdale no citām ministrijas pamatbudžeta programmām nav iespējama, jo tādejādi finansējuma nepietiekamība izveidotos citu ministrijas nodrošināto valsts pamatfunkciju īstenošanai.</w:t>
            </w:r>
          </w:p>
          <w:p w:rsidR="002E40BB" w:rsidRDefault="002E40BB" w:rsidP="00F83581">
            <w:pPr>
              <w:ind w:left="142" w:right="127"/>
              <w:jc w:val="both"/>
              <w:rPr>
                <w:sz w:val="26"/>
                <w:szCs w:val="26"/>
              </w:rPr>
            </w:pPr>
          </w:p>
          <w:p w:rsidR="008233E7" w:rsidRDefault="00795000" w:rsidP="00AF0996">
            <w:pPr>
              <w:ind w:left="142" w:right="127"/>
              <w:jc w:val="both"/>
              <w:rPr>
                <w:sz w:val="26"/>
                <w:szCs w:val="26"/>
              </w:rPr>
            </w:pPr>
            <w:r w:rsidRPr="00AB3339">
              <w:rPr>
                <w:sz w:val="26"/>
                <w:szCs w:val="26"/>
              </w:rPr>
              <w:t xml:space="preserve">Saskaņā ar Ministru kabineta 2009.gada 22.decembra noteikumu Nr.1644 „Kārtība, kādā pieprasa un izlieto budžeta programmas „Līdzekļi neparedzētiem gadījumiem” līdzekļus” 3.punktu budžeta programmā „Līdzekļi neparedzētiem gadījumiem” paredzētos līdzekļus piešķir valsts pamatbudžeta </w:t>
            </w:r>
            <w:proofErr w:type="spellStart"/>
            <w:r w:rsidRPr="00AB3339">
              <w:rPr>
                <w:sz w:val="26"/>
                <w:szCs w:val="26"/>
              </w:rPr>
              <w:t>apropriācijās</w:t>
            </w:r>
            <w:proofErr w:type="spellEnd"/>
            <w:r w:rsidRPr="00AB3339">
              <w:rPr>
                <w:sz w:val="26"/>
                <w:szCs w:val="26"/>
              </w:rPr>
              <w:t xml:space="preserve"> neparedzētiem izdevumiem katastrofu un dabas stihiju seku novēršanai, to radīto zaudējumu kompensēšanai, </w:t>
            </w:r>
            <w:r w:rsidRPr="001D7302">
              <w:rPr>
                <w:sz w:val="26"/>
                <w:szCs w:val="26"/>
              </w:rPr>
              <w:t>citiem neparedzētiem gadījumiem un valstiski īpaši nozīmīgiem pasākumiem. Līdzekļu piešķiršanu valstiski īpaši</w:t>
            </w:r>
            <w:r w:rsidRPr="00AB3339">
              <w:rPr>
                <w:sz w:val="26"/>
                <w:szCs w:val="26"/>
              </w:rPr>
              <w:t xml:space="preserve"> nozīmīgiem pasākumiem paredz arī likuma „Par budžetu un finanšu vadību” 12.panta pirmā daļa</w:t>
            </w:r>
            <w:r w:rsidR="00D32917">
              <w:rPr>
                <w:sz w:val="26"/>
                <w:szCs w:val="26"/>
              </w:rPr>
              <w:t xml:space="preserve">. </w:t>
            </w:r>
            <w:r w:rsidR="0070748C" w:rsidRPr="00AB3339">
              <w:rPr>
                <w:sz w:val="26"/>
                <w:szCs w:val="26"/>
              </w:rPr>
              <w:t xml:space="preserve">Par </w:t>
            </w:r>
            <w:r w:rsidR="0070748C">
              <w:rPr>
                <w:sz w:val="26"/>
                <w:szCs w:val="26"/>
              </w:rPr>
              <w:t xml:space="preserve">jautājuma valstisko nozīmi liecina: (1) </w:t>
            </w:r>
            <w:r w:rsidR="00D32917">
              <w:rPr>
                <w:sz w:val="26"/>
                <w:szCs w:val="26"/>
              </w:rPr>
              <w:t xml:space="preserve">jautājuma saistība ar Siguldas trases turpmāko attīstību [Siguldas trasei ar Ministru </w:t>
            </w:r>
            <w:proofErr w:type="spellStart"/>
            <w:r w:rsidR="00D32917">
              <w:rPr>
                <w:sz w:val="26"/>
                <w:szCs w:val="26"/>
              </w:rPr>
              <w:t>kabieta</w:t>
            </w:r>
            <w:proofErr w:type="spellEnd"/>
            <w:r w:rsidR="00D32917">
              <w:rPr>
                <w:sz w:val="26"/>
                <w:szCs w:val="26"/>
              </w:rPr>
              <w:t xml:space="preserve"> 2010.gada 30.decembra rīkojumu Nr.775]</w:t>
            </w:r>
            <w:r w:rsidR="0070748C">
              <w:rPr>
                <w:sz w:val="26"/>
                <w:szCs w:val="26"/>
              </w:rPr>
              <w:t xml:space="preserve">; </w:t>
            </w:r>
            <w:r w:rsidR="008233E7">
              <w:rPr>
                <w:sz w:val="26"/>
                <w:szCs w:val="26"/>
              </w:rPr>
              <w:t>(</w:t>
            </w:r>
            <w:r w:rsidR="005A41F0">
              <w:rPr>
                <w:sz w:val="26"/>
                <w:szCs w:val="26"/>
              </w:rPr>
              <w:t>2</w:t>
            </w:r>
            <w:r w:rsidR="008233E7">
              <w:rPr>
                <w:sz w:val="26"/>
                <w:szCs w:val="26"/>
              </w:rPr>
              <w:t xml:space="preserve">) fakts, ka jautājums par </w:t>
            </w:r>
            <w:r w:rsidR="00961DB7">
              <w:rPr>
                <w:sz w:val="26"/>
                <w:szCs w:val="26"/>
              </w:rPr>
              <w:t>Siguldas trases turpmāko attīstību un Siguldas novada sporta kompleksa būvniecību</w:t>
            </w:r>
            <w:r w:rsidR="008233E7">
              <w:rPr>
                <w:sz w:val="26"/>
                <w:szCs w:val="26"/>
              </w:rPr>
              <w:t xml:space="preserve"> izskatīts  Latvijas Nacionālā sporta padomes 2012.gada 4.</w:t>
            </w:r>
            <w:r w:rsidR="00961DB7">
              <w:rPr>
                <w:sz w:val="26"/>
                <w:szCs w:val="26"/>
              </w:rPr>
              <w:t>aprīļa</w:t>
            </w:r>
            <w:r w:rsidR="008233E7">
              <w:rPr>
                <w:sz w:val="26"/>
                <w:szCs w:val="26"/>
              </w:rPr>
              <w:t xml:space="preserve"> sēdē </w:t>
            </w:r>
            <w:r w:rsidR="008233E7" w:rsidRPr="0070748C">
              <w:rPr>
                <w:sz w:val="26"/>
                <w:szCs w:val="26"/>
              </w:rPr>
              <w:t>(prot. Nr.</w:t>
            </w:r>
            <w:r w:rsidR="00961DB7">
              <w:rPr>
                <w:sz w:val="26"/>
                <w:szCs w:val="26"/>
              </w:rPr>
              <w:t>2</w:t>
            </w:r>
            <w:r w:rsidR="008233E7" w:rsidRPr="0070748C">
              <w:rPr>
                <w:sz w:val="26"/>
                <w:szCs w:val="26"/>
              </w:rPr>
              <w:t xml:space="preserve"> </w:t>
            </w:r>
            <w:r w:rsidR="00961DB7">
              <w:rPr>
                <w:sz w:val="26"/>
                <w:szCs w:val="26"/>
              </w:rPr>
              <w:t>3</w:t>
            </w:r>
            <w:r w:rsidR="008233E7" w:rsidRPr="0070748C">
              <w:rPr>
                <w:sz w:val="26"/>
                <w:szCs w:val="26"/>
              </w:rPr>
              <w:t>.§</w:t>
            </w:r>
            <w:r w:rsidR="008233E7">
              <w:rPr>
                <w:sz w:val="26"/>
                <w:szCs w:val="26"/>
              </w:rPr>
              <w:t>, 3.punkts</w:t>
            </w:r>
            <w:r w:rsidR="008233E7" w:rsidRPr="0070748C">
              <w:rPr>
                <w:sz w:val="26"/>
                <w:szCs w:val="26"/>
              </w:rPr>
              <w:t>)</w:t>
            </w:r>
            <w:r w:rsidR="008233E7">
              <w:rPr>
                <w:sz w:val="26"/>
                <w:szCs w:val="26"/>
              </w:rPr>
              <w:t>.</w:t>
            </w:r>
          </w:p>
          <w:p w:rsidR="008233E7" w:rsidRDefault="008233E7" w:rsidP="00AF0996">
            <w:pPr>
              <w:ind w:left="142" w:right="127"/>
              <w:jc w:val="both"/>
              <w:rPr>
                <w:sz w:val="26"/>
                <w:szCs w:val="26"/>
              </w:rPr>
            </w:pPr>
          </w:p>
          <w:p w:rsidR="00214413" w:rsidRPr="00DE1B77" w:rsidRDefault="001E6E40" w:rsidP="008233E7">
            <w:pPr>
              <w:ind w:left="142" w:right="127"/>
              <w:jc w:val="both"/>
              <w:rPr>
                <w:sz w:val="26"/>
                <w:szCs w:val="26"/>
              </w:rPr>
            </w:pPr>
            <w:r w:rsidRPr="001E6E40">
              <w:rPr>
                <w:sz w:val="26"/>
                <w:szCs w:val="26"/>
              </w:rPr>
              <w:t xml:space="preserve">Ņemot vērā </w:t>
            </w:r>
            <w:r w:rsidR="00795000">
              <w:rPr>
                <w:sz w:val="26"/>
                <w:szCs w:val="26"/>
              </w:rPr>
              <w:t xml:space="preserve">iepriekš minēto, </w:t>
            </w:r>
            <w:r w:rsidR="003014C2">
              <w:rPr>
                <w:sz w:val="26"/>
                <w:szCs w:val="26"/>
              </w:rPr>
              <w:t xml:space="preserve">ministrija </w:t>
            </w:r>
            <w:r w:rsidR="008233E7">
              <w:rPr>
                <w:sz w:val="26"/>
                <w:szCs w:val="26"/>
              </w:rPr>
              <w:t xml:space="preserve">ir </w:t>
            </w:r>
            <w:r w:rsidR="003014C2">
              <w:rPr>
                <w:sz w:val="26"/>
                <w:szCs w:val="26"/>
              </w:rPr>
              <w:t>sagatavoj</w:t>
            </w:r>
            <w:r w:rsidR="008233E7">
              <w:rPr>
                <w:sz w:val="26"/>
                <w:szCs w:val="26"/>
              </w:rPr>
              <w:t>usi</w:t>
            </w:r>
            <w:r w:rsidRPr="001E6E40">
              <w:rPr>
                <w:sz w:val="26"/>
                <w:szCs w:val="26"/>
              </w:rPr>
              <w:t xml:space="preserve"> Ministru kabineta rīkojuma projekt</w:t>
            </w:r>
            <w:r w:rsidR="003014C2">
              <w:rPr>
                <w:sz w:val="26"/>
                <w:szCs w:val="26"/>
              </w:rPr>
              <w:t>u</w:t>
            </w:r>
            <w:r w:rsidR="00FF19DC">
              <w:rPr>
                <w:sz w:val="26"/>
                <w:szCs w:val="26"/>
              </w:rPr>
              <w:t xml:space="preserve"> „</w:t>
            </w:r>
            <w:r w:rsidR="00FF19DC" w:rsidRPr="00FF19DC">
              <w:rPr>
                <w:sz w:val="26"/>
                <w:szCs w:val="26"/>
              </w:rPr>
              <w:t>Par finanšu līdzekļu piešķiršanu no valsts budžeta programmas „Līdzekļi neparedzētiem gadījumiem”</w:t>
            </w:r>
            <w:r w:rsidR="00FF19DC">
              <w:rPr>
                <w:sz w:val="26"/>
                <w:szCs w:val="26"/>
              </w:rPr>
              <w:t>” (turpmāk – Rīkojuma projekts)</w:t>
            </w:r>
            <w:r w:rsidR="002E40BB">
              <w:rPr>
                <w:sz w:val="26"/>
                <w:szCs w:val="26"/>
              </w:rPr>
              <w:t>.</w:t>
            </w:r>
          </w:p>
        </w:tc>
      </w:tr>
      <w:tr w:rsidR="00585B7B" w:rsidRPr="00DE1B77" w:rsidTr="002637C0">
        <w:trPr>
          <w:trHeight w:val="1071"/>
        </w:trPr>
        <w:tc>
          <w:tcPr>
            <w:tcW w:w="998" w:type="dxa"/>
          </w:tcPr>
          <w:p w:rsidR="00585B7B" w:rsidRPr="00DE1B77" w:rsidRDefault="00585B7B" w:rsidP="00BD696A">
            <w:pPr>
              <w:pStyle w:val="naiskr"/>
              <w:spacing w:before="0" w:after="0"/>
              <w:jc w:val="center"/>
              <w:rPr>
                <w:sz w:val="26"/>
                <w:szCs w:val="26"/>
              </w:rPr>
            </w:pPr>
            <w:r w:rsidRPr="00DE1B77">
              <w:rPr>
                <w:sz w:val="26"/>
                <w:szCs w:val="26"/>
              </w:rPr>
              <w:lastRenderedPageBreak/>
              <w:t>3.</w:t>
            </w:r>
          </w:p>
        </w:tc>
        <w:tc>
          <w:tcPr>
            <w:tcW w:w="2693" w:type="dxa"/>
          </w:tcPr>
          <w:p w:rsidR="00585B7B" w:rsidRPr="00DE1B77" w:rsidRDefault="00585B7B" w:rsidP="00595185">
            <w:pPr>
              <w:pStyle w:val="naiskr"/>
              <w:spacing w:before="0" w:after="0"/>
              <w:ind w:left="141"/>
              <w:rPr>
                <w:sz w:val="26"/>
                <w:szCs w:val="26"/>
              </w:rPr>
            </w:pPr>
            <w:r w:rsidRPr="00DE1B77">
              <w:rPr>
                <w:sz w:val="26"/>
                <w:szCs w:val="26"/>
              </w:rPr>
              <w:t>Saistītie politikas ietekmes novērtējumi un pētījumi</w:t>
            </w:r>
          </w:p>
        </w:tc>
        <w:tc>
          <w:tcPr>
            <w:tcW w:w="6506" w:type="dxa"/>
          </w:tcPr>
          <w:p w:rsidR="00585B7B" w:rsidRPr="00DE1B77" w:rsidRDefault="00585B7B" w:rsidP="00131A15">
            <w:pPr>
              <w:pStyle w:val="FootnoteText"/>
              <w:ind w:firstLine="82"/>
              <w:rPr>
                <w:sz w:val="26"/>
                <w:szCs w:val="26"/>
              </w:rPr>
            </w:pPr>
            <w:r w:rsidRPr="00DE1B77">
              <w:rPr>
                <w:sz w:val="26"/>
                <w:szCs w:val="26"/>
              </w:rPr>
              <w:t>Nav attiecināms</w:t>
            </w:r>
          </w:p>
        </w:tc>
      </w:tr>
      <w:tr w:rsidR="00585B7B" w:rsidRPr="00DE1B77" w:rsidTr="005F3AA1">
        <w:trPr>
          <w:trHeight w:val="410"/>
        </w:trPr>
        <w:tc>
          <w:tcPr>
            <w:tcW w:w="998" w:type="dxa"/>
          </w:tcPr>
          <w:p w:rsidR="00585B7B" w:rsidRPr="00DE1B77" w:rsidRDefault="00585B7B" w:rsidP="00BD696A">
            <w:pPr>
              <w:pStyle w:val="naiskr"/>
              <w:spacing w:before="0" w:after="0"/>
              <w:jc w:val="center"/>
              <w:rPr>
                <w:sz w:val="26"/>
                <w:szCs w:val="26"/>
              </w:rPr>
            </w:pPr>
            <w:r w:rsidRPr="00DE1B77">
              <w:rPr>
                <w:sz w:val="26"/>
                <w:szCs w:val="26"/>
              </w:rPr>
              <w:t>4.</w:t>
            </w:r>
          </w:p>
        </w:tc>
        <w:tc>
          <w:tcPr>
            <w:tcW w:w="2693" w:type="dxa"/>
          </w:tcPr>
          <w:p w:rsidR="00585B7B" w:rsidRPr="00DE1B77" w:rsidRDefault="00585B7B" w:rsidP="00595185">
            <w:pPr>
              <w:pStyle w:val="naiskr"/>
              <w:spacing w:before="0" w:after="0"/>
              <w:ind w:left="141"/>
              <w:rPr>
                <w:sz w:val="26"/>
                <w:szCs w:val="26"/>
              </w:rPr>
            </w:pPr>
            <w:r w:rsidRPr="00DE1B77">
              <w:rPr>
                <w:sz w:val="26"/>
                <w:szCs w:val="26"/>
              </w:rPr>
              <w:t>Tiesiskā regulējuma mērķis un būtība</w:t>
            </w:r>
          </w:p>
        </w:tc>
        <w:tc>
          <w:tcPr>
            <w:tcW w:w="6506" w:type="dxa"/>
          </w:tcPr>
          <w:p w:rsidR="00FE6AB9" w:rsidRDefault="00FF19DC" w:rsidP="001D7302">
            <w:pPr>
              <w:ind w:left="82" w:right="141"/>
              <w:jc w:val="both"/>
              <w:rPr>
                <w:sz w:val="26"/>
                <w:szCs w:val="26"/>
              </w:rPr>
            </w:pPr>
            <w:r w:rsidRPr="00F514B7">
              <w:rPr>
                <w:rFonts w:eastAsia="Times New Roman"/>
                <w:color w:val="000000"/>
                <w:sz w:val="26"/>
                <w:szCs w:val="26"/>
              </w:rPr>
              <w:t>R</w:t>
            </w:r>
            <w:r w:rsidR="00585B7B" w:rsidRPr="00F514B7">
              <w:rPr>
                <w:rFonts w:eastAsia="Times New Roman"/>
                <w:color w:val="000000"/>
                <w:sz w:val="26"/>
                <w:szCs w:val="26"/>
              </w:rPr>
              <w:t xml:space="preserve">īkojuma projekts paredz </w:t>
            </w:r>
            <w:r w:rsidRPr="00F514B7">
              <w:rPr>
                <w:rFonts w:eastAsia="Times New Roman"/>
                <w:color w:val="000000"/>
                <w:sz w:val="26"/>
                <w:szCs w:val="26"/>
              </w:rPr>
              <w:t xml:space="preserve">uzdevumu </w:t>
            </w:r>
            <w:r w:rsidR="00F514B7" w:rsidRPr="00F514B7">
              <w:rPr>
                <w:sz w:val="26"/>
                <w:szCs w:val="26"/>
              </w:rPr>
              <w:t>Finanšu ministrijai no valsts budžeta programmas 02.00.00 „Līdzekļi neparedzētiem gadījumiem” piešķirt Izglītības un zinātnes ministrijai līdz 200 000 latiem pārskaitīšanai sabiedrībai ar ierobežotu atbildību „Bobsleja un kamaniņu trase „Sigulda””, lai nodrošinātu Bobsleja un kamaniņu trases „Sigulda” rekonstrukcijas projekta izstrādi (līdz 50 000 latiem), kā arī nodrošinātu neatliekamo pasākumu īstenošanu trases drošības uzlabošanai (līdz 150 000 latiem) pēc tam, kad Finanšu ministrijā normatīvajos aktos noteiktā kārtībā ir saņemts saskaņots Izglītības un zinātnes ministrijas līdzekļu pieprasījums un SIA „Bobsleja un kamaniņu trase</w:t>
            </w:r>
            <w:r w:rsidR="00F514B7">
              <w:rPr>
                <w:sz w:val="26"/>
                <w:szCs w:val="26"/>
              </w:rPr>
              <w:t xml:space="preserve"> „Sigulda”</w:t>
            </w:r>
            <w:r w:rsidR="00F514B7" w:rsidRPr="00F514B7">
              <w:rPr>
                <w:sz w:val="26"/>
                <w:szCs w:val="26"/>
              </w:rPr>
              <w:t>” veikusi attiecīgas iepirkuma procedūras.</w:t>
            </w:r>
          </w:p>
          <w:p w:rsidR="00F514B7" w:rsidRPr="00F514B7" w:rsidRDefault="00F514B7" w:rsidP="001D7302">
            <w:pPr>
              <w:ind w:left="82" w:right="141"/>
              <w:jc w:val="both"/>
              <w:rPr>
                <w:rFonts w:eastAsia="Times New Roman"/>
                <w:color w:val="000000"/>
                <w:sz w:val="26"/>
                <w:szCs w:val="26"/>
              </w:rPr>
            </w:pPr>
          </w:p>
          <w:p w:rsidR="00033013" w:rsidRPr="003506B1" w:rsidRDefault="002E011D" w:rsidP="001D7302">
            <w:pPr>
              <w:ind w:left="82" w:right="141"/>
              <w:jc w:val="both"/>
              <w:rPr>
                <w:rFonts w:eastAsia="Times New Roman"/>
                <w:color w:val="000000"/>
                <w:sz w:val="26"/>
                <w:szCs w:val="26"/>
              </w:rPr>
            </w:pPr>
            <w:r w:rsidRPr="00F514B7">
              <w:rPr>
                <w:color w:val="000000"/>
                <w:sz w:val="26"/>
                <w:szCs w:val="26"/>
              </w:rPr>
              <w:t>Anotācijas I sadaļas 2.punktā</w:t>
            </w:r>
            <w:r w:rsidR="001D7302" w:rsidRPr="00F514B7">
              <w:rPr>
                <w:color w:val="000000"/>
                <w:sz w:val="26"/>
                <w:szCs w:val="26"/>
              </w:rPr>
              <w:t xml:space="preserve"> un Ziņojumā </w:t>
            </w:r>
            <w:r w:rsidR="00033013" w:rsidRPr="00F514B7">
              <w:rPr>
                <w:color w:val="000000"/>
                <w:sz w:val="26"/>
                <w:szCs w:val="26"/>
              </w:rPr>
              <w:t>minētā problēma tiks atrisināta pilnībā.</w:t>
            </w:r>
          </w:p>
        </w:tc>
      </w:tr>
      <w:tr w:rsidR="00585B7B" w:rsidRPr="00DE1B77" w:rsidTr="002637C0">
        <w:trPr>
          <w:trHeight w:val="476"/>
        </w:trPr>
        <w:tc>
          <w:tcPr>
            <w:tcW w:w="998" w:type="dxa"/>
          </w:tcPr>
          <w:p w:rsidR="00585B7B" w:rsidRPr="00DE1B77" w:rsidRDefault="00585B7B" w:rsidP="00BD696A">
            <w:pPr>
              <w:pStyle w:val="naiskr"/>
              <w:spacing w:before="0" w:after="0"/>
              <w:jc w:val="center"/>
              <w:rPr>
                <w:sz w:val="26"/>
                <w:szCs w:val="26"/>
              </w:rPr>
            </w:pPr>
            <w:r w:rsidRPr="00DE1B77">
              <w:rPr>
                <w:sz w:val="26"/>
                <w:szCs w:val="26"/>
              </w:rPr>
              <w:lastRenderedPageBreak/>
              <w:t>5.</w:t>
            </w:r>
          </w:p>
        </w:tc>
        <w:tc>
          <w:tcPr>
            <w:tcW w:w="2693" w:type="dxa"/>
          </w:tcPr>
          <w:p w:rsidR="00585B7B" w:rsidRPr="00DE1B77" w:rsidRDefault="00585B7B" w:rsidP="00595185">
            <w:pPr>
              <w:pStyle w:val="naiskr"/>
              <w:spacing w:before="0" w:after="0"/>
              <w:ind w:left="141"/>
              <w:rPr>
                <w:sz w:val="26"/>
                <w:szCs w:val="26"/>
              </w:rPr>
            </w:pPr>
            <w:r w:rsidRPr="00DE1B77">
              <w:rPr>
                <w:sz w:val="26"/>
                <w:szCs w:val="26"/>
              </w:rPr>
              <w:t>Projekta izstrādē iesaistītās institūcijas</w:t>
            </w:r>
          </w:p>
        </w:tc>
        <w:tc>
          <w:tcPr>
            <w:tcW w:w="6506" w:type="dxa"/>
          </w:tcPr>
          <w:p w:rsidR="00585B7B" w:rsidRPr="003506B1" w:rsidRDefault="00033013" w:rsidP="00FE6AB9">
            <w:pPr>
              <w:spacing w:before="75" w:after="75"/>
              <w:ind w:left="82" w:right="141"/>
              <w:jc w:val="both"/>
              <w:rPr>
                <w:sz w:val="26"/>
                <w:szCs w:val="26"/>
              </w:rPr>
            </w:pPr>
            <w:r w:rsidRPr="003506B1">
              <w:rPr>
                <w:sz w:val="26"/>
                <w:szCs w:val="26"/>
              </w:rPr>
              <w:t>Izglītības un zinātnes ministrija</w:t>
            </w:r>
            <w:r w:rsidR="00FE6AB9">
              <w:rPr>
                <w:sz w:val="26"/>
                <w:szCs w:val="26"/>
              </w:rPr>
              <w:t xml:space="preserve"> un </w:t>
            </w:r>
            <w:r w:rsidR="00E64A8E">
              <w:rPr>
                <w:sz w:val="26"/>
                <w:szCs w:val="26"/>
              </w:rPr>
              <w:t>SIA „Bobsleja un kamaniņu trase „Sigulda”</w:t>
            </w:r>
            <w:r w:rsidR="00F06077" w:rsidRPr="003506B1">
              <w:rPr>
                <w:sz w:val="26"/>
                <w:szCs w:val="26"/>
              </w:rPr>
              <w:t>.</w:t>
            </w:r>
          </w:p>
        </w:tc>
      </w:tr>
      <w:tr w:rsidR="00585B7B" w:rsidRPr="00DE1B77" w:rsidTr="002637C0">
        <w:trPr>
          <w:trHeight w:val="416"/>
        </w:trPr>
        <w:tc>
          <w:tcPr>
            <w:tcW w:w="998" w:type="dxa"/>
          </w:tcPr>
          <w:p w:rsidR="00585B7B" w:rsidRPr="00DE1B77" w:rsidRDefault="00585B7B" w:rsidP="00BD696A">
            <w:pPr>
              <w:pStyle w:val="naiskr"/>
              <w:spacing w:before="0" w:after="0"/>
              <w:jc w:val="center"/>
              <w:rPr>
                <w:sz w:val="26"/>
                <w:szCs w:val="26"/>
              </w:rPr>
            </w:pPr>
            <w:r w:rsidRPr="00DE1B77">
              <w:rPr>
                <w:sz w:val="26"/>
                <w:szCs w:val="26"/>
              </w:rPr>
              <w:t>6.</w:t>
            </w:r>
          </w:p>
        </w:tc>
        <w:tc>
          <w:tcPr>
            <w:tcW w:w="2693" w:type="dxa"/>
          </w:tcPr>
          <w:p w:rsidR="00585B7B" w:rsidRPr="00DE1B77" w:rsidRDefault="00585B7B" w:rsidP="00595185">
            <w:pPr>
              <w:pStyle w:val="naiskr"/>
              <w:spacing w:before="0" w:after="0"/>
              <w:ind w:left="141"/>
              <w:rPr>
                <w:i/>
                <w:sz w:val="26"/>
                <w:szCs w:val="26"/>
                <w:highlight w:val="yellow"/>
              </w:rPr>
            </w:pPr>
            <w:r w:rsidRPr="00DE1B77">
              <w:rPr>
                <w:sz w:val="26"/>
                <w:szCs w:val="26"/>
              </w:rPr>
              <w:t>Iemesli, kādēļ netika nodrošināta sabiedrības līdzdalība</w:t>
            </w:r>
          </w:p>
        </w:tc>
        <w:tc>
          <w:tcPr>
            <w:tcW w:w="6506" w:type="dxa"/>
          </w:tcPr>
          <w:p w:rsidR="00585B7B" w:rsidRPr="00DE1B77" w:rsidRDefault="00F24560" w:rsidP="00FE6AB9">
            <w:pPr>
              <w:pStyle w:val="FootnoteText"/>
              <w:ind w:left="142" w:right="127"/>
              <w:jc w:val="both"/>
              <w:rPr>
                <w:sz w:val="26"/>
                <w:szCs w:val="26"/>
              </w:rPr>
            </w:pPr>
            <w:r>
              <w:rPr>
                <w:sz w:val="26"/>
                <w:szCs w:val="26"/>
              </w:rPr>
              <w:t xml:space="preserve">Jautājums </w:t>
            </w:r>
            <w:r w:rsidR="00FE6AB9">
              <w:rPr>
                <w:sz w:val="26"/>
                <w:szCs w:val="26"/>
              </w:rPr>
              <w:t xml:space="preserve">Siguldas trases turpmāko attīstību un ar to saistīto nepieciešamo valsts atbalstu </w:t>
            </w:r>
            <w:r>
              <w:rPr>
                <w:sz w:val="26"/>
                <w:szCs w:val="26"/>
              </w:rPr>
              <w:t xml:space="preserve">izskatīts Latvijas Nacionālās sporta padomes </w:t>
            </w:r>
            <w:r w:rsidRPr="00F24560">
              <w:rPr>
                <w:sz w:val="26"/>
                <w:szCs w:val="26"/>
              </w:rPr>
              <w:t>2012.gada 4.aprīļa sēdē</w:t>
            </w:r>
            <w:r>
              <w:rPr>
                <w:sz w:val="26"/>
                <w:szCs w:val="26"/>
              </w:rPr>
              <w:t xml:space="preserve">, tāpēc </w:t>
            </w:r>
            <w:r w:rsidR="001B6887">
              <w:rPr>
                <w:sz w:val="26"/>
                <w:szCs w:val="26"/>
              </w:rPr>
              <w:t>atkārtota sabiedrības līdzdalība Rīkojuma projekta izstrādē nebija nepieciešama.</w:t>
            </w:r>
          </w:p>
        </w:tc>
      </w:tr>
      <w:tr w:rsidR="00585B7B" w:rsidRPr="00DE1B77" w:rsidTr="002637C0">
        <w:tc>
          <w:tcPr>
            <w:tcW w:w="998" w:type="dxa"/>
          </w:tcPr>
          <w:p w:rsidR="00585B7B" w:rsidRPr="00DE1B77" w:rsidRDefault="00585B7B" w:rsidP="00BD696A">
            <w:pPr>
              <w:pStyle w:val="naiskr"/>
              <w:spacing w:before="0" w:after="0"/>
              <w:jc w:val="center"/>
              <w:rPr>
                <w:sz w:val="26"/>
                <w:szCs w:val="26"/>
              </w:rPr>
            </w:pPr>
            <w:r w:rsidRPr="00DE1B77">
              <w:rPr>
                <w:sz w:val="26"/>
                <w:szCs w:val="26"/>
              </w:rPr>
              <w:t>7.</w:t>
            </w:r>
          </w:p>
        </w:tc>
        <w:tc>
          <w:tcPr>
            <w:tcW w:w="2693" w:type="dxa"/>
          </w:tcPr>
          <w:p w:rsidR="00585B7B" w:rsidRPr="00DE1B77" w:rsidRDefault="00585B7B" w:rsidP="00595185">
            <w:pPr>
              <w:pStyle w:val="naiskr"/>
              <w:spacing w:before="0" w:after="0"/>
              <w:ind w:left="141"/>
              <w:rPr>
                <w:sz w:val="26"/>
                <w:szCs w:val="26"/>
              </w:rPr>
            </w:pPr>
            <w:r w:rsidRPr="00DE1B77">
              <w:rPr>
                <w:sz w:val="26"/>
                <w:szCs w:val="26"/>
              </w:rPr>
              <w:t>Cita informācija</w:t>
            </w:r>
          </w:p>
        </w:tc>
        <w:tc>
          <w:tcPr>
            <w:tcW w:w="6506" w:type="dxa"/>
          </w:tcPr>
          <w:p w:rsidR="00E5461A" w:rsidRDefault="00E5461A" w:rsidP="00E5461A">
            <w:pPr>
              <w:ind w:left="142" w:right="127"/>
              <w:jc w:val="both"/>
              <w:rPr>
                <w:sz w:val="26"/>
                <w:szCs w:val="26"/>
              </w:rPr>
            </w:pPr>
            <w:r>
              <w:rPr>
                <w:sz w:val="26"/>
                <w:szCs w:val="26"/>
              </w:rPr>
              <w:t>R</w:t>
            </w:r>
            <w:r w:rsidRPr="00E5461A">
              <w:rPr>
                <w:sz w:val="26"/>
                <w:szCs w:val="26"/>
              </w:rPr>
              <w:t xml:space="preserve">īkojuma projekts </w:t>
            </w:r>
            <w:r>
              <w:rPr>
                <w:sz w:val="26"/>
                <w:szCs w:val="26"/>
              </w:rPr>
              <w:t xml:space="preserve">tiešā veidā </w:t>
            </w:r>
            <w:r w:rsidRPr="00E5461A">
              <w:rPr>
                <w:sz w:val="26"/>
                <w:szCs w:val="26"/>
              </w:rPr>
              <w:t>attiecas uz tūrisma, sporta un</w:t>
            </w:r>
            <w:r>
              <w:rPr>
                <w:sz w:val="26"/>
                <w:szCs w:val="26"/>
              </w:rPr>
              <w:t xml:space="preserve"> brīvā laika politiku.</w:t>
            </w:r>
          </w:p>
          <w:p w:rsidR="00585B7B" w:rsidRPr="00DE1B77" w:rsidRDefault="00E5461A" w:rsidP="006B76EE">
            <w:pPr>
              <w:ind w:left="142" w:right="127"/>
              <w:jc w:val="both"/>
            </w:pPr>
            <w:r>
              <w:rPr>
                <w:sz w:val="26"/>
                <w:szCs w:val="26"/>
              </w:rPr>
              <w:t>P</w:t>
            </w:r>
            <w:r w:rsidRPr="00E5461A">
              <w:rPr>
                <w:sz w:val="26"/>
                <w:szCs w:val="26"/>
              </w:rPr>
              <w:t>astarpināti</w:t>
            </w:r>
            <w:r>
              <w:rPr>
                <w:sz w:val="26"/>
                <w:szCs w:val="26"/>
              </w:rPr>
              <w:t xml:space="preserve"> Rīkojuma projekts </w:t>
            </w:r>
            <w:r w:rsidRPr="00E5461A">
              <w:rPr>
                <w:sz w:val="26"/>
                <w:szCs w:val="26"/>
              </w:rPr>
              <w:t>attiecas uz budžeta un finanšu politiku</w:t>
            </w:r>
            <w:r w:rsidR="006B76EE">
              <w:rPr>
                <w:sz w:val="26"/>
                <w:szCs w:val="26"/>
              </w:rPr>
              <w:t xml:space="preserve">, kā arī </w:t>
            </w:r>
            <w:r w:rsidR="006B76EE">
              <w:t xml:space="preserve"> p</w:t>
            </w:r>
            <w:r w:rsidR="006B76EE" w:rsidRPr="006B76EE">
              <w:rPr>
                <w:sz w:val="26"/>
                <w:szCs w:val="26"/>
              </w:rPr>
              <w:t>ubliskās pārvaldes politik</w:t>
            </w:r>
            <w:r w:rsidR="006B76EE">
              <w:rPr>
                <w:sz w:val="26"/>
                <w:szCs w:val="26"/>
              </w:rPr>
              <w:t>u.</w:t>
            </w:r>
          </w:p>
        </w:tc>
      </w:tr>
    </w:tbl>
    <w:p w:rsidR="002F25B0" w:rsidRDefault="005C3A56" w:rsidP="005C3A56">
      <w:pPr>
        <w:pStyle w:val="naisf"/>
        <w:tabs>
          <w:tab w:val="left" w:pos="3819"/>
        </w:tabs>
        <w:spacing w:before="0" w:after="0"/>
        <w:rPr>
          <w:sz w:val="26"/>
          <w:szCs w:val="26"/>
        </w:rPr>
      </w:pPr>
      <w:r>
        <w:rPr>
          <w:sz w:val="26"/>
          <w:szCs w:val="26"/>
        </w:rPr>
        <w:tab/>
      </w:r>
    </w:p>
    <w:tbl>
      <w:tblPr>
        <w:tblpPr w:leftFromText="180" w:rightFromText="180" w:vertAnchor="text" w:horzAnchor="margin" w:tblpXSpec="center" w:tblpY="149"/>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207"/>
      </w:tblGrid>
      <w:tr w:rsidR="00585B7B" w:rsidRPr="00DE1B77" w:rsidTr="00ED6681">
        <w:tc>
          <w:tcPr>
            <w:tcW w:w="10207" w:type="dxa"/>
            <w:vAlign w:val="center"/>
          </w:tcPr>
          <w:p w:rsidR="00585B7B" w:rsidRPr="00DE1B77" w:rsidRDefault="00585B7B" w:rsidP="00194A0F">
            <w:pPr>
              <w:pStyle w:val="naisnod"/>
              <w:spacing w:before="0" w:after="0"/>
              <w:rPr>
                <w:sz w:val="26"/>
                <w:szCs w:val="26"/>
              </w:rPr>
            </w:pPr>
            <w:r w:rsidRPr="00DE1B77">
              <w:rPr>
                <w:sz w:val="26"/>
                <w:szCs w:val="26"/>
              </w:rPr>
              <w:t>II. Tiesību akta projekta ietekme uz sabiedrību</w:t>
            </w:r>
          </w:p>
        </w:tc>
      </w:tr>
      <w:tr w:rsidR="00585B7B" w:rsidRPr="00DE1B77" w:rsidTr="00ED6681">
        <w:tc>
          <w:tcPr>
            <w:tcW w:w="10207" w:type="dxa"/>
            <w:vAlign w:val="center"/>
          </w:tcPr>
          <w:p w:rsidR="00585B7B" w:rsidRPr="00DE1B77" w:rsidRDefault="00585B7B" w:rsidP="00194A0F">
            <w:pPr>
              <w:pStyle w:val="naisnod"/>
              <w:spacing w:before="0" w:after="0"/>
              <w:rPr>
                <w:sz w:val="26"/>
                <w:szCs w:val="26"/>
              </w:rPr>
            </w:pPr>
            <w:r w:rsidRPr="00DE1B77">
              <w:rPr>
                <w:b w:val="0"/>
                <w:sz w:val="26"/>
                <w:szCs w:val="26"/>
              </w:rPr>
              <w:t>Nav attiecināms</w:t>
            </w:r>
          </w:p>
        </w:tc>
      </w:tr>
    </w:tbl>
    <w:p w:rsidR="00585B7B" w:rsidRPr="00DE1B77" w:rsidRDefault="00585B7B" w:rsidP="00D96FCD">
      <w:pPr>
        <w:pStyle w:val="naisf"/>
        <w:spacing w:before="0" w:after="0"/>
        <w:rPr>
          <w:sz w:val="26"/>
          <w:szCs w:val="26"/>
        </w:rPr>
      </w:pPr>
    </w:p>
    <w:tbl>
      <w:tblPr>
        <w:tblW w:w="10077" w:type="dxa"/>
        <w:jc w:val="center"/>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3"/>
        <w:gridCol w:w="1194"/>
        <w:gridCol w:w="1509"/>
        <w:gridCol w:w="1507"/>
        <w:gridCol w:w="1507"/>
        <w:gridCol w:w="1507"/>
      </w:tblGrid>
      <w:tr w:rsidR="00DA30DA" w:rsidRPr="00DE1B77" w:rsidTr="00DA30DA">
        <w:trPr>
          <w:trHeight w:val="652"/>
          <w:jc w:val="center"/>
        </w:trPr>
        <w:tc>
          <w:tcPr>
            <w:tcW w:w="10077" w:type="dxa"/>
            <w:gridSpan w:val="6"/>
          </w:tcPr>
          <w:p w:rsidR="00DA30DA" w:rsidRPr="00DE1B77" w:rsidRDefault="00DA30DA" w:rsidP="00831A72">
            <w:pPr>
              <w:pStyle w:val="naisnod"/>
              <w:spacing w:before="0" w:after="0"/>
              <w:rPr>
                <w:i/>
                <w:sz w:val="26"/>
                <w:szCs w:val="26"/>
              </w:rPr>
            </w:pPr>
            <w:r w:rsidRPr="00DE1B77">
              <w:rPr>
                <w:sz w:val="26"/>
                <w:szCs w:val="26"/>
              </w:rPr>
              <w:br w:type="page"/>
              <w:t>III. Tiesību akta projekta ietekme uz valsts budžetu un pašvaldību budžetiem</w:t>
            </w:r>
          </w:p>
        </w:tc>
      </w:tr>
      <w:tr w:rsidR="00DA30DA" w:rsidRPr="00DE1B77" w:rsidTr="00DA30DA">
        <w:trPr>
          <w:jc w:val="center"/>
        </w:trPr>
        <w:tc>
          <w:tcPr>
            <w:tcW w:w="2853" w:type="dxa"/>
            <w:vMerge w:val="restart"/>
            <w:vAlign w:val="center"/>
          </w:tcPr>
          <w:p w:rsidR="00DA30DA" w:rsidRPr="00DE1B77" w:rsidRDefault="00DA30DA" w:rsidP="00831A72">
            <w:pPr>
              <w:pStyle w:val="naisf"/>
              <w:spacing w:before="0" w:after="0"/>
              <w:ind w:firstLine="0"/>
              <w:jc w:val="center"/>
              <w:rPr>
                <w:b/>
                <w:sz w:val="26"/>
                <w:szCs w:val="26"/>
              </w:rPr>
            </w:pPr>
            <w:r w:rsidRPr="00DE1B77">
              <w:rPr>
                <w:b/>
                <w:sz w:val="26"/>
                <w:szCs w:val="26"/>
              </w:rPr>
              <w:t>Rādītāji</w:t>
            </w:r>
          </w:p>
        </w:tc>
        <w:tc>
          <w:tcPr>
            <w:tcW w:w="2703" w:type="dxa"/>
            <w:gridSpan w:val="2"/>
            <w:vMerge w:val="restart"/>
            <w:vAlign w:val="center"/>
          </w:tcPr>
          <w:p w:rsidR="00DA30DA" w:rsidRPr="00DE1B77" w:rsidRDefault="00DA30DA" w:rsidP="00942D3A">
            <w:pPr>
              <w:pStyle w:val="naisf"/>
              <w:spacing w:before="0" w:after="0"/>
              <w:ind w:firstLine="0"/>
              <w:jc w:val="center"/>
              <w:rPr>
                <w:b/>
                <w:sz w:val="26"/>
                <w:szCs w:val="26"/>
              </w:rPr>
            </w:pPr>
            <w:r w:rsidRPr="00DE1B77">
              <w:rPr>
                <w:b/>
                <w:sz w:val="26"/>
                <w:szCs w:val="26"/>
              </w:rPr>
              <w:t>201</w:t>
            </w:r>
            <w:r w:rsidR="00942D3A">
              <w:rPr>
                <w:b/>
                <w:sz w:val="26"/>
                <w:szCs w:val="26"/>
              </w:rPr>
              <w:t>2</w:t>
            </w:r>
            <w:r w:rsidRPr="00DE1B77">
              <w:rPr>
                <w:b/>
                <w:sz w:val="26"/>
                <w:szCs w:val="26"/>
              </w:rPr>
              <w:t>.gads</w:t>
            </w:r>
          </w:p>
        </w:tc>
        <w:tc>
          <w:tcPr>
            <w:tcW w:w="4521" w:type="dxa"/>
            <w:gridSpan w:val="3"/>
            <w:vAlign w:val="center"/>
          </w:tcPr>
          <w:p w:rsidR="00DA30DA" w:rsidRPr="00DE1B77" w:rsidRDefault="00DA30DA" w:rsidP="00831A72">
            <w:pPr>
              <w:pStyle w:val="naisf"/>
              <w:spacing w:before="0" w:after="0"/>
              <w:ind w:firstLine="0"/>
              <w:jc w:val="center"/>
              <w:rPr>
                <w:b/>
                <w:i/>
                <w:sz w:val="26"/>
                <w:szCs w:val="26"/>
              </w:rPr>
            </w:pPr>
            <w:r w:rsidRPr="00DE1B77">
              <w:rPr>
                <w:sz w:val="26"/>
                <w:szCs w:val="26"/>
              </w:rPr>
              <w:t>Turpmākie trīs gadi (tūkst</w:t>
            </w:r>
            <w:smartTag w:uri="schemas-tilde-lv/tildestengine" w:element="currency2">
              <w:smartTagPr>
                <w:attr w:name="currency_id" w:val="48"/>
                <w:attr w:name="currency_key" w:val="LVL"/>
                <w:attr w:name="currency_value" w:val="."/>
                <w:attr w:name="currency_text" w:val="latu"/>
              </w:smartTagPr>
              <w:r w:rsidRPr="00DE1B77">
                <w:rPr>
                  <w:sz w:val="26"/>
                  <w:szCs w:val="26"/>
                </w:rPr>
                <w:t>. latu</w:t>
              </w:r>
            </w:smartTag>
            <w:r w:rsidRPr="00DE1B77">
              <w:rPr>
                <w:sz w:val="26"/>
                <w:szCs w:val="26"/>
              </w:rPr>
              <w:t>)</w:t>
            </w:r>
          </w:p>
        </w:tc>
      </w:tr>
      <w:tr w:rsidR="00DA30DA" w:rsidRPr="00DE1B77" w:rsidTr="00DA30DA">
        <w:trPr>
          <w:jc w:val="center"/>
        </w:trPr>
        <w:tc>
          <w:tcPr>
            <w:tcW w:w="2853" w:type="dxa"/>
            <w:vMerge/>
            <w:vAlign w:val="center"/>
          </w:tcPr>
          <w:p w:rsidR="00DA30DA" w:rsidRPr="00DE1B77" w:rsidRDefault="00DA30DA" w:rsidP="00831A72">
            <w:pPr>
              <w:pStyle w:val="naisf"/>
              <w:spacing w:before="0" w:after="0"/>
              <w:ind w:firstLine="0"/>
              <w:jc w:val="center"/>
              <w:rPr>
                <w:b/>
                <w:i/>
                <w:sz w:val="26"/>
                <w:szCs w:val="26"/>
              </w:rPr>
            </w:pPr>
          </w:p>
        </w:tc>
        <w:tc>
          <w:tcPr>
            <w:tcW w:w="2703" w:type="dxa"/>
            <w:gridSpan w:val="2"/>
            <w:vMerge/>
            <w:vAlign w:val="center"/>
          </w:tcPr>
          <w:p w:rsidR="00DA30DA" w:rsidRPr="00DE1B77" w:rsidRDefault="00DA30DA" w:rsidP="00831A72">
            <w:pPr>
              <w:pStyle w:val="naisf"/>
              <w:spacing w:before="0" w:after="0"/>
              <w:ind w:firstLine="0"/>
              <w:jc w:val="center"/>
              <w:rPr>
                <w:b/>
                <w:i/>
                <w:sz w:val="26"/>
                <w:szCs w:val="26"/>
              </w:rPr>
            </w:pPr>
          </w:p>
        </w:tc>
        <w:tc>
          <w:tcPr>
            <w:tcW w:w="1507" w:type="dxa"/>
            <w:vAlign w:val="center"/>
          </w:tcPr>
          <w:p w:rsidR="00DA30DA" w:rsidRPr="00DE1B77" w:rsidRDefault="00DA30DA" w:rsidP="00942D3A">
            <w:pPr>
              <w:pStyle w:val="naisf"/>
              <w:spacing w:before="0" w:after="0"/>
              <w:ind w:firstLine="0"/>
              <w:jc w:val="center"/>
              <w:rPr>
                <w:b/>
                <w:i/>
                <w:sz w:val="26"/>
                <w:szCs w:val="26"/>
              </w:rPr>
            </w:pPr>
            <w:r w:rsidRPr="00DE1B77">
              <w:rPr>
                <w:b/>
                <w:bCs/>
                <w:sz w:val="26"/>
                <w:szCs w:val="26"/>
              </w:rPr>
              <w:t>201</w:t>
            </w:r>
            <w:r w:rsidR="00942D3A">
              <w:rPr>
                <w:b/>
                <w:bCs/>
                <w:sz w:val="26"/>
                <w:szCs w:val="26"/>
              </w:rPr>
              <w:t>3</w:t>
            </w:r>
          </w:p>
        </w:tc>
        <w:tc>
          <w:tcPr>
            <w:tcW w:w="1507" w:type="dxa"/>
            <w:vAlign w:val="center"/>
          </w:tcPr>
          <w:p w:rsidR="00DA30DA" w:rsidRPr="00DE1B77" w:rsidRDefault="00DA30DA" w:rsidP="00942D3A">
            <w:pPr>
              <w:pStyle w:val="naisf"/>
              <w:spacing w:before="0" w:after="0"/>
              <w:ind w:firstLine="0"/>
              <w:jc w:val="center"/>
              <w:rPr>
                <w:b/>
                <w:i/>
                <w:sz w:val="26"/>
                <w:szCs w:val="26"/>
              </w:rPr>
            </w:pPr>
            <w:r w:rsidRPr="00DE1B77">
              <w:rPr>
                <w:b/>
                <w:bCs/>
                <w:sz w:val="26"/>
                <w:szCs w:val="26"/>
              </w:rPr>
              <w:t>201</w:t>
            </w:r>
            <w:r w:rsidR="00942D3A">
              <w:rPr>
                <w:b/>
                <w:bCs/>
                <w:sz w:val="26"/>
                <w:szCs w:val="26"/>
              </w:rPr>
              <w:t>4</w:t>
            </w:r>
          </w:p>
        </w:tc>
        <w:tc>
          <w:tcPr>
            <w:tcW w:w="1507" w:type="dxa"/>
            <w:vAlign w:val="center"/>
          </w:tcPr>
          <w:p w:rsidR="00DA30DA" w:rsidRPr="00DE1B77" w:rsidRDefault="00DA30DA" w:rsidP="00942D3A">
            <w:pPr>
              <w:pStyle w:val="naisf"/>
              <w:spacing w:before="0" w:after="0"/>
              <w:ind w:firstLine="0"/>
              <w:jc w:val="center"/>
              <w:rPr>
                <w:b/>
                <w:i/>
                <w:sz w:val="26"/>
                <w:szCs w:val="26"/>
              </w:rPr>
            </w:pPr>
            <w:r w:rsidRPr="00DE1B77">
              <w:rPr>
                <w:b/>
                <w:bCs/>
                <w:sz w:val="26"/>
                <w:szCs w:val="26"/>
              </w:rPr>
              <w:t>201</w:t>
            </w:r>
            <w:r w:rsidR="00942D3A">
              <w:rPr>
                <w:b/>
                <w:bCs/>
                <w:sz w:val="26"/>
                <w:szCs w:val="26"/>
              </w:rPr>
              <w:t>5</w:t>
            </w:r>
          </w:p>
        </w:tc>
      </w:tr>
      <w:tr w:rsidR="00DA30DA" w:rsidRPr="00DE1B77" w:rsidTr="00DA30DA">
        <w:trPr>
          <w:jc w:val="center"/>
        </w:trPr>
        <w:tc>
          <w:tcPr>
            <w:tcW w:w="2853" w:type="dxa"/>
            <w:vMerge/>
            <w:vAlign w:val="center"/>
          </w:tcPr>
          <w:p w:rsidR="00DA30DA" w:rsidRPr="00DE1B77" w:rsidRDefault="00DA30DA" w:rsidP="00831A72">
            <w:pPr>
              <w:pStyle w:val="naisf"/>
              <w:spacing w:before="0" w:after="0"/>
              <w:ind w:firstLine="0"/>
              <w:jc w:val="center"/>
              <w:rPr>
                <w:b/>
                <w:i/>
                <w:sz w:val="26"/>
                <w:szCs w:val="26"/>
              </w:rPr>
            </w:pPr>
          </w:p>
        </w:tc>
        <w:tc>
          <w:tcPr>
            <w:tcW w:w="1194" w:type="dxa"/>
            <w:vAlign w:val="center"/>
          </w:tcPr>
          <w:p w:rsidR="00DA30DA" w:rsidRPr="00DE1B77" w:rsidRDefault="00DA30DA" w:rsidP="00831A72">
            <w:pPr>
              <w:pStyle w:val="naisf"/>
              <w:spacing w:before="0" w:after="0"/>
              <w:ind w:firstLine="0"/>
              <w:jc w:val="center"/>
              <w:rPr>
                <w:b/>
                <w:i/>
                <w:sz w:val="26"/>
                <w:szCs w:val="26"/>
              </w:rPr>
            </w:pPr>
            <w:r w:rsidRPr="00DE1B77">
              <w:rPr>
                <w:sz w:val="26"/>
                <w:szCs w:val="26"/>
              </w:rPr>
              <w:t>Saskaņā ar valsts budžetu kārtējam gadam</w:t>
            </w:r>
          </w:p>
        </w:tc>
        <w:tc>
          <w:tcPr>
            <w:tcW w:w="1509" w:type="dxa"/>
            <w:vAlign w:val="center"/>
          </w:tcPr>
          <w:p w:rsidR="00DA30DA" w:rsidRPr="00DE1B77" w:rsidRDefault="00DA30DA" w:rsidP="00831A72">
            <w:pPr>
              <w:pStyle w:val="naisf"/>
              <w:spacing w:before="0" w:after="0"/>
              <w:ind w:firstLine="0"/>
              <w:jc w:val="center"/>
              <w:rPr>
                <w:b/>
                <w:i/>
                <w:sz w:val="26"/>
                <w:szCs w:val="26"/>
              </w:rPr>
            </w:pPr>
            <w:r w:rsidRPr="00DE1B77">
              <w:rPr>
                <w:sz w:val="26"/>
                <w:szCs w:val="26"/>
              </w:rPr>
              <w:t>Izmaiņas kārtējā gadā, salīdzinot ar budžetu kārtējam gadam</w:t>
            </w:r>
          </w:p>
        </w:tc>
        <w:tc>
          <w:tcPr>
            <w:tcW w:w="1507" w:type="dxa"/>
            <w:vAlign w:val="center"/>
          </w:tcPr>
          <w:p w:rsidR="00DA30DA" w:rsidRPr="00DE1B77" w:rsidRDefault="00DA30DA" w:rsidP="00831A72">
            <w:pPr>
              <w:pStyle w:val="naisf"/>
              <w:spacing w:before="0" w:after="0"/>
              <w:ind w:firstLine="0"/>
              <w:jc w:val="center"/>
              <w:rPr>
                <w:sz w:val="26"/>
                <w:szCs w:val="26"/>
              </w:rPr>
            </w:pPr>
            <w:r w:rsidRPr="00DE1B77">
              <w:rPr>
                <w:sz w:val="26"/>
                <w:szCs w:val="26"/>
              </w:rPr>
              <w:t>Izmaiņas, salīdzinot ar kārtējo (20</w:t>
            </w:r>
            <w:r w:rsidR="00554CE1">
              <w:rPr>
                <w:sz w:val="26"/>
                <w:szCs w:val="26"/>
              </w:rPr>
              <w:t>1</w:t>
            </w:r>
            <w:r w:rsidR="00942D3A">
              <w:rPr>
                <w:sz w:val="26"/>
                <w:szCs w:val="26"/>
              </w:rPr>
              <w:t>2</w:t>
            </w:r>
            <w:r w:rsidRPr="00DE1B77">
              <w:rPr>
                <w:sz w:val="26"/>
                <w:szCs w:val="26"/>
              </w:rPr>
              <w:t>)</w:t>
            </w:r>
          </w:p>
          <w:p w:rsidR="00DA30DA" w:rsidRPr="00DE1B77" w:rsidRDefault="00DA30DA" w:rsidP="00831A72">
            <w:pPr>
              <w:pStyle w:val="naisf"/>
              <w:spacing w:before="0" w:after="0"/>
              <w:ind w:firstLine="0"/>
              <w:jc w:val="center"/>
              <w:rPr>
                <w:b/>
                <w:i/>
                <w:sz w:val="26"/>
                <w:szCs w:val="26"/>
              </w:rPr>
            </w:pPr>
            <w:r w:rsidRPr="00DE1B77">
              <w:rPr>
                <w:sz w:val="26"/>
                <w:szCs w:val="26"/>
              </w:rPr>
              <w:t>gadu</w:t>
            </w:r>
          </w:p>
        </w:tc>
        <w:tc>
          <w:tcPr>
            <w:tcW w:w="1507" w:type="dxa"/>
            <w:vAlign w:val="center"/>
          </w:tcPr>
          <w:p w:rsidR="00DA30DA" w:rsidRPr="00DE1B77" w:rsidRDefault="00DA30DA" w:rsidP="00831A72">
            <w:pPr>
              <w:pStyle w:val="naisf"/>
              <w:spacing w:before="0" w:after="0"/>
              <w:ind w:firstLine="0"/>
              <w:jc w:val="center"/>
              <w:rPr>
                <w:sz w:val="26"/>
                <w:szCs w:val="26"/>
              </w:rPr>
            </w:pPr>
            <w:r w:rsidRPr="00DE1B77">
              <w:rPr>
                <w:sz w:val="26"/>
                <w:szCs w:val="26"/>
              </w:rPr>
              <w:t>Izmaiņas, salīdzinot ar kārtējo (201</w:t>
            </w:r>
            <w:r w:rsidR="00942D3A">
              <w:rPr>
                <w:sz w:val="26"/>
                <w:szCs w:val="26"/>
              </w:rPr>
              <w:t>2</w:t>
            </w:r>
            <w:r w:rsidRPr="00DE1B77">
              <w:rPr>
                <w:sz w:val="26"/>
                <w:szCs w:val="26"/>
              </w:rPr>
              <w:t>)</w:t>
            </w:r>
          </w:p>
          <w:p w:rsidR="00DA30DA" w:rsidRPr="00DE1B77" w:rsidRDefault="00DA30DA" w:rsidP="00831A72">
            <w:pPr>
              <w:pStyle w:val="naisf"/>
              <w:spacing w:before="0" w:after="0"/>
              <w:ind w:firstLine="0"/>
              <w:jc w:val="center"/>
              <w:rPr>
                <w:b/>
                <w:i/>
                <w:sz w:val="26"/>
                <w:szCs w:val="26"/>
              </w:rPr>
            </w:pPr>
            <w:r w:rsidRPr="00DE1B77">
              <w:rPr>
                <w:sz w:val="26"/>
                <w:szCs w:val="26"/>
              </w:rPr>
              <w:t>gadu</w:t>
            </w:r>
          </w:p>
        </w:tc>
        <w:tc>
          <w:tcPr>
            <w:tcW w:w="1507" w:type="dxa"/>
            <w:vAlign w:val="center"/>
          </w:tcPr>
          <w:p w:rsidR="00DA30DA" w:rsidRPr="00DE1B77" w:rsidRDefault="00DA30DA" w:rsidP="00831A72">
            <w:pPr>
              <w:pStyle w:val="naisf"/>
              <w:spacing w:before="0" w:after="0"/>
              <w:ind w:firstLine="0"/>
              <w:jc w:val="center"/>
              <w:rPr>
                <w:sz w:val="26"/>
                <w:szCs w:val="26"/>
              </w:rPr>
            </w:pPr>
            <w:r w:rsidRPr="00DE1B77">
              <w:rPr>
                <w:sz w:val="26"/>
                <w:szCs w:val="26"/>
              </w:rPr>
              <w:t>Izmaiņas, salīdzinot ar kārtējo (201</w:t>
            </w:r>
            <w:r w:rsidR="00942D3A">
              <w:rPr>
                <w:sz w:val="26"/>
                <w:szCs w:val="26"/>
              </w:rPr>
              <w:t>2</w:t>
            </w:r>
            <w:r w:rsidRPr="00DE1B77">
              <w:rPr>
                <w:sz w:val="26"/>
                <w:szCs w:val="26"/>
              </w:rPr>
              <w:t>)</w:t>
            </w:r>
          </w:p>
          <w:p w:rsidR="00DA30DA" w:rsidRPr="00DE1B77" w:rsidRDefault="00DA30DA" w:rsidP="00831A72">
            <w:pPr>
              <w:pStyle w:val="naisf"/>
              <w:spacing w:before="0" w:after="0"/>
              <w:ind w:firstLine="0"/>
              <w:jc w:val="center"/>
              <w:rPr>
                <w:b/>
                <w:i/>
                <w:sz w:val="26"/>
                <w:szCs w:val="26"/>
              </w:rPr>
            </w:pPr>
            <w:r w:rsidRPr="00DE1B77">
              <w:rPr>
                <w:sz w:val="26"/>
                <w:szCs w:val="26"/>
              </w:rPr>
              <w:t>gadu</w:t>
            </w:r>
          </w:p>
        </w:tc>
      </w:tr>
      <w:tr w:rsidR="00DA30DA" w:rsidRPr="00DE1B77" w:rsidTr="00DA30DA">
        <w:trPr>
          <w:jc w:val="center"/>
        </w:trPr>
        <w:tc>
          <w:tcPr>
            <w:tcW w:w="2853" w:type="dxa"/>
            <w:vAlign w:val="center"/>
          </w:tcPr>
          <w:p w:rsidR="00DA30DA" w:rsidRPr="00DE1B77" w:rsidRDefault="00DA30DA" w:rsidP="00831A72">
            <w:pPr>
              <w:pStyle w:val="naisf"/>
              <w:spacing w:before="0" w:after="0"/>
              <w:ind w:firstLine="0"/>
              <w:jc w:val="center"/>
              <w:rPr>
                <w:bCs/>
                <w:sz w:val="26"/>
                <w:szCs w:val="26"/>
              </w:rPr>
            </w:pPr>
            <w:r w:rsidRPr="00DE1B77">
              <w:rPr>
                <w:bCs/>
                <w:sz w:val="26"/>
                <w:szCs w:val="26"/>
              </w:rPr>
              <w:t>1</w:t>
            </w:r>
          </w:p>
        </w:tc>
        <w:tc>
          <w:tcPr>
            <w:tcW w:w="1194" w:type="dxa"/>
            <w:vAlign w:val="center"/>
          </w:tcPr>
          <w:p w:rsidR="00DA30DA" w:rsidRPr="00DE1B77" w:rsidRDefault="00DA30DA" w:rsidP="00831A72">
            <w:pPr>
              <w:pStyle w:val="naisf"/>
              <w:spacing w:before="0" w:after="0"/>
              <w:ind w:firstLine="0"/>
              <w:jc w:val="center"/>
              <w:rPr>
                <w:bCs/>
                <w:sz w:val="26"/>
                <w:szCs w:val="26"/>
              </w:rPr>
            </w:pPr>
            <w:r w:rsidRPr="00DE1B77">
              <w:rPr>
                <w:bCs/>
                <w:sz w:val="26"/>
                <w:szCs w:val="26"/>
              </w:rPr>
              <w:t>2</w:t>
            </w:r>
          </w:p>
        </w:tc>
        <w:tc>
          <w:tcPr>
            <w:tcW w:w="1509" w:type="dxa"/>
            <w:vAlign w:val="center"/>
          </w:tcPr>
          <w:p w:rsidR="00DA30DA" w:rsidRPr="00DE1B77" w:rsidRDefault="00DA30DA" w:rsidP="00831A72">
            <w:pPr>
              <w:pStyle w:val="naisf"/>
              <w:spacing w:before="0" w:after="0"/>
              <w:ind w:firstLine="0"/>
              <w:jc w:val="center"/>
              <w:rPr>
                <w:bCs/>
                <w:sz w:val="26"/>
                <w:szCs w:val="26"/>
              </w:rPr>
            </w:pPr>
            <w:r w:rsidRPr="00DE1B77">
              <w:rPr>
                <w:bCs/>
                <w:sz w:val="26"/>
                <w:szCs w:val="26"/>
              </w:rPr>
              <w:t>3</w:t>
            </w:r>
          </w:p>
        </w:tc>
        <w:tc>
          <w:tcPr>
            <w:tcW w:w="1507" w:type="dxa"/>
            <w:vAlign w:val="center"/>
          </w:tcPr>
          <w:p w:rsidR="00DA30DA" w:rsidRPr="00DE1B77" w:rsidRDefault="00DA30DA" w:rsidP="00831A72">
            <w:pPr>
              <w:pStyle w:val="naisf"/>
              <w:spacing w:before="0" w:after="0"/>
              <w:ind w:firstLine="0"/>
              <w:jc w:val="center"/>
              <w:rPr>
                <w:bCs/>
                <w:sz w:val="26"/>
                <w:szCs w:val="26"/>
              </w:rPr>
            </w:pPr>
            <w:r w:rsidRPr="00DE1B77">
              <w:rPr>
                <w:bCs/>
                <w:sz w:val="26"/>
                <w:szCs w:val="26"/>
              </w:rPr>
              <w:t>4</w:t>
            </w:r>
          </w:p>
        </w:tc>
        <w:tc>
          <w:tcPr>
            <w:tcW w:w="1507" w:type="dxa"/>
            <w:vAlign w:val="center"/>
          </w:tcPr>
          <w:p w:rsidR="00DA30DA" w:rsidRPr="00DE1B77" w:rsidRDefault="00DA30DA" w:rsidP="00831A72">
            <w:pPr>
              <w:pStyle w:val="naisf"/>
              <w:spacing w:before="0" w:after="0"/>
              <w:ind w:firstLine="0"/>
              <w:jc w:val="center"/>
              <w:rPr>
                <w:bCs/>
                <w:sz w:val="26"/>
                <w:szCs w:val="26"/>
              </w:rPr>
            </w:pPr>
            <w:r w:rsidRPr="00DE1B77">
              <w:rPr>
                <w:bCs/>
                <w:sz w:val="26"/>
                <w:szCs w:val="26"/>
              </w:rPr>
              <w:t>5</w:t>
            </w:r>
          </w:p>
        </w:tc>
        <w:tc>
          <w:tcPr>
            <w:tcW w:w="1507" w:type="dxa"/>
            <w:vAlign w:val="center"/>
          </w:tcPr>
          <w:p w:rsidR="00DA30DA" w:rsidRPr="00DE1B77" w:rsidRDefault="00DA30DA" w:rsidP="00831A72">
            <w:pPr>
              <w:pStyle w:val="naisf"/>
              <w:spacing w:before="0" w:after="0"/>
              <w:ind w:firstLine="0"/>
              <w:jc w:val="center"/>
              <w:rPr>
                <w:bCs/>
                <w:sz w:val="26"/>
                <w:szCs w:val="26"/>
              </w:rPr>
            </w:pPr>
            <w:r w:rsidRPr="00DE1B77">
              <w:rPr>
                <w:bCs/>
                <w:sz w:val="26"/>
                <w:szCs w:val="26"/>
              </w:rPr>
              <w:t>6</w:t>
            </w:r>
          </w:p>
        </w:tc>
      </w:tr>
      <w:tr w:rsidR="00DA30DA" w:rsidRPr="00DE1B77" w:rsidTr="00DA30DA">
        <w:trPr>
          <w:jc w:val="center"/>
        </w:trPr>
        <w:tc>
          <w:tcPr>
            <w:tcW w:w="2853" w:type="dxa"/>
          </w:tcPr>
          <w:p w:rsidR="00DA30DA" w:rsidRPr="00DE1B77" w:rsidRDefault="00DA30DA" w:rsidP="00831A72">
            <w:pPr>
              <w:pStyle w:val="naisf"/>
              <w:spacing w:before="0" w:after="0"/>
              <w:ind w:firstLine="0"/>
              <w:rPr>
                <w:i/>
                <w:sz w:val="26"/>
                <w:szCs w:val="26"/>
              </w:rPr>
            </w:pPr>
            <w:r w:rsidRPr="00DE1B77">
              <w:rPr>
                <w:sz w:val="26"/>
                <w:szCs w:val="26"/>
              </w:rPr>
              <w:t>1. Budžeta ieņēmumi:</w:t>
            </w:r>
          </w:p>
        </w:tc>
        <w:tc>
          <w:tcPr>
            <w:tcW w:w="1194" w:type="dxa"/>
          </w:tcPr>
          <w:p w:rsidR="00DA30DA" w:rsidRPr="00DE1B77" w:rsidRDefault="00E05E90" w:rsidP="00E05E90">
            <w:pPr>
              <w:pStyle w:val="naisf"/>
              <w:spacing w:before="0" w:after="0"/>
              <w:ind w:firstLine="0"/>
              <w:jc w:val="center"/>
              <w:rPr>
                <w:b/>
                <w:sz w:val="26"/>
                <w:szCs w:val="26"/>
              </w:rPr>
            </w:pPr>
            <w:r>
              <w:rPr>
                <w:b/>
                <w:sz w:val="26"/>
                <w:szCs w:val="26"/>
              </w:rPr>
              <w:t>0</w:t>
            </w:r>
          </w:p>
        </w:tc>
        <w:tc>
          <w:tcPr>
            <w:tcW w:w="1509" w:type="dxa"/>
          </w:tcPr>
          <w:p w:rsidR="00DA30DA" w:rsidRPr="00DE1B77" w:rsidRDefault="00DA30DA" w:rsidP="00831A72">
            <w:pPr>
              <w:pStyle w:val="naisf"/>
              <w:spacing w:before="0" w:after="0"/>
              <w:ind w:firstLine="0"/>
              <w:jc w:val="center"/>
              <w:rPr>
                <w:b/>
                <w:sz w:val="26"/>
                <w:szCs w:val="26"/>
              </w:rPr>
            </w:pPr>
            <w:r w:rsidRPr="00DE1B77">
              <w:rPr>
                <w:b/>
                <w:sz w:val="26"/>
                <w:szCs w:val="26"/>
              </w:rPr>
              <w:t>0</w:t>
            </w:r>
          </w:p>
        </w:tc>
        <w:tc>
          <w:tcPr>
            <w:tcW w:w="1507" w:type="dxa"/>
          </w:tcPr>
          <w:p w:rsidR="00DA30DA" w:rsidRPr="00DE1B77" w:rsidRDefault="00DA30DA" w:rsidP="00831A72">
            <w:pPr>
              <w:pStyle w:val="naisf"/>
              <w:spacing w:before="0" w:after="0"/>
              <w:ind w:firstLine="0"/>
              <w:jc w:val="center"/>
              <w:rPr>
                <w:b/>
                <w:i/>
                <w:sz w:val="26"/>
                <w:szCs w:val="26"/>
              </w:rPr>
            </w:pPr>
            <w:r w:rsidRPr="00DE1B77">
              <w:rPr>
                <w:b/>
                <w:sz w:val="26"/>
                <w:szCs w:val="26"/>
              </w:rPr>
              <w:t>0</w:t>
            </w:r>
          </w:p>
        </w:tc>
        <w:tc>
          <w:tcPr>
            <w:tcW w:w="1507" w:type="dxa"/>
          </w:tcPr>
          <w:p w:rsidR="00DA30DA" w:rsidRPr="00DE1B77" w:rsidRDefault="00DA30DA" w:rsidP="00831A72">
            <w:pPr>
              <w:pStyle w:val="naisf"/>
              <w:spacing w:before="0" w:after="0"/>
              <w:ind w:firstLine="0"/>
              <w:jc w:val="center"/>
              <w:rPr>
                <w:b/>
                <w:i/>
                <w:sz w:val="26"/>
                <w:szCs w:val="26"/>
              </w:rPr>
            </w:pPr>
            <w:r w:rsidRPr="00DE1B77">
              <w:rPr>
                <w:b/>
                <w:sz w:val="26"/>
                <w:szCs w:val="26"/>
              </w:rPr>
              <w:t>0</w:t>
            </w:r>
          </w:p>
        </w:tc>
        <w:tc>
          <w:tcPr>
            <w:tcW w:w="1507" w:type="dxa"/>
          </w:tcPr>
          <w:p w:rsidR="00DA30DA" w:rsidRPr="00DE1B77" w:rsidRDefault="00DA30DA" w:rsidP="00831A72">
            <w:pPr>
              <w:pStyle w:val="naisf"/>
              <w:spacing w:before="0" w:after="0"/>
              <w:ind w:firstLine="0"/>
              <w:jc w:val="center"/>
              <w:rPr>
                <w:b/>
                <w:i/>
                <w:sz w:val="26"/>
                <w:szCs w:val="26"/>
              </w:rPr>
            </w:pPr>
            <w:r w:rsidRPr="00DE1B77">
              <w:rPr>
                <w:b/>
                <w:sz w:val="26"/>
                <w:szCs w:val="26"/>
              </w:rPr>
              <w:t>0</w:t>
            </w:r>
          </w:p>
        </w:tc>
      </w:tr>
      <w:tr w:rsidR="00DA30DA" w:rsidRPr="00DE1B77" w:rsidTr="00B06326">
        <w:trPr>
          <w:trHeight w:val="1403"/>
          <w:jc w:val="center"/>
        </w:trPr>
        <w:tc>
          <w:tcPr>
            <w:tcW w:w="2853" w:type="dxa"/>
          </w:tcPr>
          <w:p w:rsidR="00DA30DA" w:rsidRPr="00DE1B77" w:rsidRDefault="00DA30DA" w:rsidP="00B06326">
            <w:pPr>
              <w:pStyle w:val="naisf"/>
              <w:spacing w:before="0" w:after="0"/>
              <w:ind w:firstLine="0"/>
              <w:rPr>
                <w:i/>
                <w:sz w:val="26"/>
                <w:szCs w:val="26"/>
              </w:rPr>
            </w:pPr>
            <w:r w:rsidRPr="00DE1B77">
              <w:rPr>
                <w:sz w:val="26"/>
                <w:szCs w:val="26"/>
              </w:rPr>
              <w:t>1.1. valsts pamatbudžets, tai skaitā ieņēmumi no maksas pakalpojumiem un citi pašu ieņēmumi</w:t>
            </w:r>
          </w:p>
        </w:tc>
        <w:tc>
          <w:tcPr>
            <w:tcW w:w="1194" w:type="dxa"/>
          </w:tcPr>
          <w:p w:rsidR="00DA30DA" w:rsidRPr="00DE1B77" w:rsidRDefault="00DA30DA" w:rsidP="00831A72">
            <w:pPr>
              <w:pStyle w:val="naisf"/>
              <w:spacing w:before="0" w:after="0"/>
              <w:ind w:firstLine="0"/>
              <w:jc w:val="center"/>
              <w:rPr>
                <w:i/>
                <w:sz w:val="26"/>
                <w:szCs w:val="26"/>
              </w:rPr>
            </w:pPr>
          </w:p>
          <w:p w:rsidR="00DA30DA" w:rsidRPr="00DE1B77" w:rsidRDefault="00DA30DA" w:rsidP="00831A72">
            <w:pPr>
              <w:pStyle w:val="naisf"/>
              <w:spacing w:before="0" w:after="0"/>
              <w:ind w:firstLine="0"/>
              <w:jc w:val="center"/>
              <w:rPr>
                <w:i/>
                <w:sz w:val="26"/>
                <w:szCs w:val="26"/>
              </w:rPr>
            </w:pPr>
          </w:p>
          <w:p w:rsidR="00DA30DA" w:rsidRPr="00E05E90" w:rsidRDefault="00E05E90" w:rsidP="00B06326">
            <w:pPr>
              <w:pStyle w:val="naisf"/>
              <w:spacing w:before="0" w:after="0"/>
              <w:ind w:firstLine="0"/>
              <w:jc w:val="center"/>
              <w:rPr>
                <w:sz w:val="26"/>
                <w:szCs w:val="26"/>
              </w:rPr>
            </w:pPr>
            <w:r w:rsidRPr="00E05E90">
              <w:rPr>
                <w:sz w:val="26"/>
                <w:szCs w:val="26"/>
              </w:rPr>
              <w:t>0</w:t>
            </w:r>
          </w:p>
        </w:tc>
        <w:tc>
          <w:tcPr>
            <w:tcW w:w="1509" w:type="dxa"/>
          </w:tcPr>
          <w:p w:rsidR="00DA30DA" w:rsidRPr="00DE1B77" w:rsidRDefault="00DA30DA" w:rsidP="00831A72">
            <w:pPr>
              <w:jc w:val="center"/>
              <w:rPr>
                <w:i/>
                <w:sz w:val="26"/>
                <w:szCs w:val="26"/>
              </w:rPr>
            </w:pPr>
          </w:p>
          <w:p w:rsidR="00DA30DA" w:rsidRPr="00DE1B77" w:rsidRDefault="00DA30DA" w:rsidP="00831A72">
            <w:pPr>
              <w:jc w:val="center"/>
              <w:rPr>
                <w:i/>
                <w:sz w:val="26"/>
                <w:szCs w:val="26"/>
              </w:rPr>
            </w:pPr>
          </w:p>
          <w:p w:rsidR="00DA30DA" w:rsidRPr="00B06326" w:rsidRDefault="00B06326" w:rsidP="00831A72">
            <w:pPr>
              <w:jc w:val="center"/>
              <w:rPr>
                <w:sz w:val="26"/>
                <w:szCs w:val="26"/>
              </w:rPr>
            </w:pPr>
            <w:r>
              <w:rPr>
                <w:sz w:val="26"/>
                <w:szCs w:val="26"/>
              </w:rPr>
              <w:t>0</w:t>
            </w:r>
          </w:p>
        </w:tc>
        <w:tc>
          <w:tcPr>
            <w:tcW w:w="1507" w:type="dxa"/>
          </w:tcPr>
          <w:p w:rsidR="00DA30DA" w:rsidRPr="00DE1B77" w:rsidRDefault="00DA30DA" w:rsidP="00831A72">
            <w:pPr>
              <w:jc w:val="center"/>
              <w:rPr>
                <w:i/>
                <w:sz w:val="26"/>
                <w:szCs w:val="26"/>
              </w:rPr>
            </w:pPr>
          </w:p>
          <w:p w:rsidR="00DA30DA" w:rsidRDefault="00DA30DA" w:rsidP="00831A72">
            <w:pPr>
              <w:jc w:val="center"/>
              <w:rPr>
                <w:sz w:val="26"/>
                <w:szCs w:val="26"/>
              </w:rPr>
            </w:pPr>
          </w:p>
          <w:p w:rsidR="00B06326" w:rsidRPr="00DE1B77" w:rsidRDefault="00B06326" w:rsidP="00831A72">
            <w:pPr>
              <w:jc w:val="center"/>
              <w:rPr>
                <w:sz w:val="26"/>
                <w:szCs w:val="26"/>
              </w:rPr>
            </w:pPr>
            <w:r>
              <w:rPr>
                <w:sz w:val="26"/>
                <w:szCs w:val="26"/>
              </w:rPr>
              <w:t>0</w:t>
            </w:r>
          </w:p>
        </w:tc>
        <w:tc>
          <w:tcPr>
            <w:tcW w:w="1507" w:type="dxa"/>
          </w:tcPr>
          <w:p w:rsidR="00DA30DA" w:rsidRPr="00B06326" w:rsidRDefault="00DA30DA" w:rsidP="00831A72">
            <w:pPr>
              <w:jc w:val="center"/>
              <w:rPr>
                <w:sz w:val="26"/>
                <w:szCs w:val="26"/>
              </w:rPr>
            </w:pPr>
          </w:p>
          <w:p w:rsidR="00B06326" w:rsidRPr="00B06326" w:rsidRDefault="00B06326" w:rsidP="00831A72">
            <w:pPr>
              <w:jc w:val="center"/>
              <w:rPr>
                <w:sz w:val="26"/>
                <w:szCs w:val="26"/>
              </w:rPr>
            </w:pPr>
          </w:p>
          <w:p w:rsidR="00DA30DA" w:rsidRPr="00B06326" w:rsidRDefault="00B06326" w:rsidP="00831A72">
            <w:pPr>
              <w:jc w:val="center"/>
              <w:rPr>
                <w:sz w:val="26"/>
                <w:szCs w:val="26"/>
              </w:rPr>
            </w:pPr>
            <w:r w:rsidRPr="00B06326">
              <w:rPr>
                <w:sz w:val="26"/>
                <w:szCs w:val="26"/>
              </w:rPr>
              <w:t>0</w:t>
            </w:r>
          </w:p>
        </w:tc>
        <w:tc>
          <w:tcPr>
            <w:tcW w:w="1507" w:type="dxa"/>
          </w:tcPr>
          <w:p w:rsidR="00DA30DA" w:rsidRPr="00B06326" w:rsidRDefault="00DA30DA" w:rsidP="00831A72">
            <w:pPr>
              <w:jc w:val="center"/>
              <w:rPr>
                <w:sz w:val="26"/>
                <w:szCs w:val="26"/>
              </w:rPr>
            </w:pPr>
          </w:p>
          <w:p w:rsidR="00B06326" w:rsidRPr="00B06326" w:rsidRDefault="00B06326" w:rsidP="00831A72">
            <w:pPr>
              <w:jc w:val="center"/>
              <w:rPr>
                <w:sz w:val="26"/>
                <w:szCs w:val="26"/>
              </w:rPr>
            </w:pPr>
          </w:p>
          <w:p w:rsidR="00DA30DA" w:rsidRPr="00B06326" w:rsidRDefault="00B06326" w:rsidP="00831A72">
            <w:pPr>
              <w:jc w:val="center"/>
              <w:rPr>
                <w:sz w:val="26"/>
                <w:szCs w:val="26"/>
              </w:rPr>
            </w:pPr>
            <w:r w:rsidRPr="00B06326">
              <w:rPr>
                <w:sz w:val="26"/>
                <w:szCs w:val="26"/>
              </w:rPr>
              <w:t>0</w:t>
            </w:r>
          </w:p>
        </w:tc>
      </w:tr>
      <w:tr w:rsidR="00B06326" w:rsidRPr="00DE1B77" w:rsidTr="00B06326">
        <w:trPr>
          <w:jc w:val="center"/>
        </w:trPr>
        <w:tc>
          <w:tcPr>
            <w:tcW w:w="2853" w:type="dxa"/>
          </w:tcPr>
          <w:p w:rsidR="00B06326" w:rsidRPr="00DE1B77" w:rsidRDefault="00B06326" w:rsidP="00831A72">
            <w:pPr>
              <w:pStyle w:val="naisf"/>
              <w:spacing w:before="0" w:after="0"/>
              <w:ind w:firstLine="0"/>
              <w:rPr>
                <w:i/>
                <w:sz w:val="26"/>
                <w:szCs w:val="26"/>
              </w:rPr>
            </w:pPr>
            <w:r w:rsidRPr="00DE1B77">
              <w:rPr>
                <w:sz w:val="26"/>
                <w:szCs w:val="26"/>
              </w:rPr>
              <w:t>1.2. valsts speciālais budžets</w:t>
            </w:r>
          </w:p>
        </w:tc>
        <w:tc>
          <w:tcPr>
            <w:tcW w:w="1194" w:type="dxa"/>
            <w:vAlign w:val="center"/>
          </w:tcPr>
          <w:p w:rsidR="00B06326" w:rsidRPr="00DE1B77" w:rsidRDefault="00B06326" w:rsidP="00B06326">
            <w:pPr>
              <w:jc w:val="center"/>
              <w:rPr>
                <w:sz w:val="26"/>
                <w:szCs w:val="26"/>
              </w:rPr>
            </w:pPr>
            <w:r>
              <w:rPr>
                <w:sz w:val="26"/>
                <w:szCs w:val="26"/>
              </w:rPr>
              <w:t>0</w:t>
            </w:r>
          </w:p>
        </w:tc>
        <w:tc>
          <w:tcPr>
            <w:tcW w:w="1509" w:type="dxa"/>
            <w:vAlign w:val="center"/>
          </w:tcPr>
          <w:p w:rsidR="00B06326" w:rsidRPr="00B06326" w:rsidRDefault="00B06326" w:rsidP="00B06326">
            <w:pPr>
              <w:jc w:val="center"/>
              <w:rPr>
                <w:sz w:val="26"/>
                <w:szCs w:val="26"/>
              </w:rPr>
            </w:pPr>
            <w:r>
              <w:rPr>
                <w:sz w:val="26"/>
                <w:szCs w:val="26"/>
              </w:rPr>
              <w:t>0</w:t>
            </w:r>
          </w:p>
        </w:tc>
        <w:tc>
          <w:tcPr>
            <w:tcW w:w="1507" w:type="dxa"/>
            <w:vAlign w:val="center"/>
          </w:tcPr>
          <w:p w:rsidR="00B06326" w:rsidRPr="00DE1B77" w:rsidRDefault="00B06326" w:rsidP="00B06326">
            <w:pPr>
              <w:jc w:val="center"/>
              <w:rPr>
                <w:sz w:val="26"/>
                <w:szCs w:val="26"/>
              </w:rPr>
            </w:pPr>
            <w:r>
              <w:rPr>
                <w:sz w:val="26"/>
                <w:szCs w:val="26"/>
              </w:rPr>
              <w:t>0</w:t>
            </w:r>
          </w:p>
        </w:tc>
        <w:tc>
          <w:tcPr>
            <w:tcW w:w="1507" w:type="dxa"/>
            <w:vAlign w:val="center"/>
          </w:tcPr>
          <w:p w:rsidR="00B06326" w:rsidRPr="00B06326" w:rsidRDefault="00B06326" w:rsidP="00B06326">
            <w:pPr>
              <w:jc w:val="center"/>
              <w:rPr>
                <w:sz w:val="26"/>
                <w:szCs w:val="26"/>
              </w:rPr>
            </w:pPr>
            <w:r w:rsidRPr="00B06326">
              <w:rPr>
                <w:sz w:val="26"/>
                <w:szCs w:val="26"/>
              </w:rPr>
              <w:t>0</w:t>
            </w:r>
          </w:p>
        </w:tc>
        <w:tc>
          <w:tcPr>
            <w:tcW w:w="1507" w:type="dxa"/>
            <w:vAlign w:val="center"/>
          </w:tcPr>
          <w:p w:rsidR="00B06326" w:rsidRPr="00B06326" w:rsidRDefault="00B06326" w:rsidP="00B06326">
            <w:pPr>
              <w:jc w:val="center"/>
              <w:rPr>
                <w:sz w:val="26"/>
                <w:szCs w:val="26"/>
              </w:rPr>
            </w:pPr>
            <w:r w:rsidRPr="00B06326">
              <w:rPr>
                <w:sz w:val="26"/>
                <w:szCs w:val="26"/>
              </w:rPr>
              <w:t>0</w:t>
            </w:r>
          </w:p>
        </w:tc>
      </w:tr>
      <w:tr w:rsidR="00B06326" w:rsidRPr="00DE1B77" w:rsidTr="00E34D42">
        <w:trPr>
          <w:jc w:val="center"/>
        </w:trPr>
        <w:tc>
          <w:tcPr>
            <w:tcW w:w="2853" w:type="dxa"/>
          </w:tcPr>
          <w:p w:rsidR="00B06326" w:rsidRPr="00DE1B77" w:rsidRDefault="00B06326" w:rsidP="00831A72">
            <w:pPr>
              <w:pStyle w:val="naisf"/>
              <w:spacing w:before="0" w:after="0"/>
              <w:ind w:firstLine="0"/>
              <w:rPr>
                <w:i/>
                <w:sz w:val="26"/>
                <w:szCs w:val="26"/>
              </w:rPr>
            </w:pPr>
            <w:r w:rsidRPr="00DE1B77">
              <w:rPr>
                <w:sz w:val="26"/>
                <w:szCs w:val="26"/>
              </w:rPr>
              <w:t>1.3. pašvaldību budžets</w:t>
            </w:r>
          </w:p>
        </w:tc>
        <w:tc>
          <w:tcPr>
            <w:tcW w:w="1194" w:type="dxa"/>
            <w:vAlign w:val="center"/>
          </w:tcPr>
          <w:p w:rsidR="00B06326" w:rsidRPr="00DE1B77" w:rsidRDefault="00B06326" w:rsidP="00E34D42">
            <w:pPr>
              <w:jc w:val="center"/>
              <w:rPr>
                <w:sz w:val="26"/>
                <w:szCs w:val="26"/>
              </w:rPr>
            </w:pPr>
            <w:r>
              <w:rPr>
                <w:sz w:val="26"/>
                <w:szCs w:val="26"/>
              </w:rPr>
              <w:t>0</w:t>
            </w:r>
          </w:p>
        </w:tc>
        <w:tc>
          <w:tcPr>
            <w:tcW w:w="1509" w:type="dxa"/>
            <w:vAlign w:val="center"/>
          </w:tcPr>
          <w:p w:rsidR="00B06326" w:rsidRPr="00B06326" w:rsidRDefault="00B06326" w:rsidP="00E34D42">
            <w:pPr>
              <w:jc w:val="center"/>
              <w:rPr>
                <w:sz w:val="26"/>
                <w:szCs w:val="26"/>
              </w:rPr>
            </w:pPr>
            <w:r>
              <w:rPr>
                <w:sz w:val="26"/>
                <w:szCs w:val="26"/>
              </w:rPr>
              <w:t>0</w:t>
            </w:r>
          </w:p>
        </w:tc>
        <w:tc>
          <w:tcPr>
            <w:tcW w:w="1507" w:type="dxa"/>
            <w:vAlign w:val="center"/>
          </w:tcPr>
          <w:p w:rsidR="00B06326" w:rsidRPr="00DE1B77" w:rsidRDefault="00B06326" w:rsidP="00E34D42">
            <w:pPr>
              <w:jc w:val="center"/>
              <w:rPr>
                <w:sz w:val="26"/>
                <w:szCs w:val="26"/>
              </w:rPr>
            </w:pPr>
            <w:r>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r>
      <w:tr w:rsidR="00DA30DA" w:rsidRPr="00DE1B77" w:rsidTr="00DA30DA">
        <w:trPr>
          <w:jc w:val="center"/>
        </w:trPr>
        <w:tc>
          <w:tcPr>
            <w:tcW w:w="2853" w:type="dxa"/>
          </w:tcPr>
          <w:p w:rsidR="00DA30DA" w:rsidRPr="00DE1B77" w:rsidRDefault="00DA30DA" w:rsidP="00831A72">
            <w:pPr>
              <w:rPr>
                <w:sz w:val="26"/>
                <w:szCs w:val="26"/>
              </w:rPr>
            </w:pPr>
            <w:r w:rsidRPr="00DE1B77">
              <w:rPr>
                <w:sz w:val="26"/>
                <w:szCs w:val="26"/>
              </w:rPr>
              <w:t>2. Budžeta izdevumi:</w:t>
            </w:r>
          </w:p>
        </w:tc>
        <w:tc>
          <w:tcPr>
            <w:tcW w:w="1194" w:type="dxa"/>
          </w:tcPr>
          <w:p w:rsidR="00DA30DA" w:rsidRPr="00DE1B77" w:rsidRDefault="00E05E90" w:rsidP="001D7302">
            <w:pPr>
              <w:pStyle w:val="naisf"/>
              <w:spacing w:before="0" w:after="0"/>
              <w:ind w:firstLine="0"/>
              <w:jc w:val="center"/>
              <w:rPr>
                <w:b/>
                <w:sz w:val="26"/>
                <w:szCs w:val="26"/>
              </w:rPr>
            </w:pPr>
            <w:r>
              <w:rPr>
                <w:b/>
                <w:sz w:val="26"/>
                <w:szCs w:val="26"/>
              </w:rPr>
              <w:t>0</w:t>
            </w:r>
          </w:p>
        </w:tc>
        <w:tc>
          <w:tcPr>
            <w:tcW w:w="1509" w:type="dxa"/>
          </w:tcPr>
          <w:p w:rsidR="00DA30DA" w:rsidRPr="00DE1B77" w:rsidRDefault="00E5461A" w:rsidP="00764D95">
            <w:pPr>
              <w:pStyle w:val="naisf"/>
              <w:spacing w:before="0" w:after="0"/>
              <w:ind w:firstLine="0"/>
              <w:jc w:val="center"/>
              <w:rPr>
                <w:b/>
                <w:sz w:val="26"/>
                <w:szCs w:val="26"/>
              </w:rPr>
            </w:pPr>
            <w:r>
              <w:rPr>
                <w:b/>
                <w:sz w:val="26"/>
                <w:szCs w:val="26"/>
              </w:rPr>
              <w:t>+</w:t>
            </w:r>
            <w:r w:rsidR="00764D95">
              <w:rPr>
                <w:b/>
                <w:sz w:val="26"/>
                <w:szCs w:val="26"/>
              </w:rPr>
              <w:t>200</w:t>
            </w:r>
          </w:p>
        </w:tc>
        <w:tc>
          <w:tcPr>
            <w:tcW w:w="1507" w:type="dxa"/>
          </w:tcPr>
          <w:p w:rsidR="00DA30DA" w:rsidRPr="00DE1B77" w:rsidRDefault="00DA30DA" w:rsidP="00831A72">
            <w:pPr>
              <w:pStyle w:val="naisf"/>
              <w:spacing w:before="0" w:after="0"/>
              <w:ind w:firstLine="0"/>
              <w:jc w:val="center"/>
              <w:rPr>
                <w:b/>
                <w:i/>
                <w:sz w:val="26"/>
                <w:szCs w:val="26"/>
              </w:rPr>
            </w:pPr>
            <w:r w:rsidRPr="00DE1B77">
              <w:rPr>
                <w:b/>
                <w:sz w:val="26"/>
                <w:szCs w:val="26"/>
              </w:rPr>
              <w:t>0</w:t>
            </w:r>
          </w:p>
        </w:tc>
        <w:tc>
          <w:tcPr>
            <w:tcW w:w="1507" w:type="dxa"/>
          </w:tcPr>
          <w:p w:rsidR="00DA30DA" w:rsidRPr="00DE1B77" w:rsidRDefault="00DA30DA" w:rsidP="00831A72">
            <w:pPr>
              <w:pStyle w:val="naisf"/>
              <w:spacing w:before="0" w:after="0"/>
              <w:ind w:firstLine="0"/>
              <w:jc w:val="center"/>
              <w:rPr>
                <w:b/>
                <w:i/>
                <w:sz w:val="26"/>
                <w:szCs w:val="26"/>
              </w:rPr>
            </w:pPr>
            <w:r w:rsidRPr="00DE1B77">
              <w:rPr>
                <w:b/>
                <w:sz w:val="26"/>
                <w:szCs w:val="26"/>
              </w:rPr>
              <w:t>0</w:t>
            </w:r>
          </w:p>
        </w:tc>
        <w:tc>
          <w:tcPr>
            <w:tcW w:w="1507" w:type="dxa"/>
          </w:tcPr>
          <w:p w:rsidR="00DA30DA" w:rsidRPr="00DE1B77" w:rsidRDefault="00DA30DA" w:rsidP="00831A72">
            <w:pPr>
              <w:pStyle w:val="naisf"/>
              <w:spacing w:before="0" w:after="0"/>
              <w:ind w:firstLine="0"/>
              <w:jc w:val="center"/>
              <w:rPr>
                <w:b/>
                <w:i/>
                <w:sz w:val="26"/>
                <w:szCs w:val="26"/>
              </w:rPr>
            </w:pPr>
            <w:r w:rsidRPr="00DE1B77">
              <w:rPr>
                <w:b/>
                <w:sz w:val="26"/>
                <w:szCs w:val="26"/>
              </w:rPr>
              <w:t>0</w:t>
            </w:r>
          </w:p>
        </w:tc>
      </w:tr>
      <w:tr w:rsidR="00B06326" w:rsidRPr="00DE1B77" w:rsidTr="00E34D42">
        <w:trPr>
          <w:jc w:val="center"/>
        </w:trPr>
        <w:tc>
          <w:tcPr>
            <w:tcW w:w="2853" w:type="dxa"/>
          </w:tcPr>
          <w:p w:rsidR="00B06326" w:rsidRPr="00DE1B77" w:rsidRDefault="00B06326" w:rsidP="00831A72">
            <w:pPr>
              <w:rPr>
                <w:sz w:val="26"/>
                <w:szCs w:val="26"/>
              </w:rPr>
            </w:pPr>
            <w:r w:rsidRPr="00DE1B77">
              <w:rPr>
                <w:sz w:val="26"/>
                <w:szCs w:val="26"/>
              </w:rPr>
              <w:t>2.1. valsts pamatbudžets</w:t>
            </w:r>
          </w:p>
        </w:tc>
        <w:tc>
          <w:tcPr>
            <w:tcW w:w="1194" w:type="dxa"/>
          </w:tcPr>
          <w:p w:rsidR="00B06326" w:rsidRPr="00DE1B77" w:rsidRDefault="00E05E90" w:rsidP="00E05E90">
            <w:pPr>
              <w:pStyle w:val="naisf"/>
              <w:spacing w:before="0" w:after="0"/>
              <w:ind w:firstLine="0"/>
              <w:jc w:val="center"/>
              <w:rPr>
                <w:i/>
                <w:sz w:val="26"/>
                <w:szCs w:val="26"/>
              </w:rPr>
            </w:pPr>
            <w:r>
              <w:rPr>
                <w:sz w:val="26"/>
                <w:szCs w:val="26"/>
              </w:rPr>
              <w:t>0</w:t>
            </w:r>
          </w:p>
        </w:tc>
        <w:tc>
          <w:tcPr>
            <w:tcW w:w="1509" w:type="dxa"/>
          </w:tcPr>
          <w:p w:rsidR="00B06326" w:rsidRPr="00DE1B77" w:rsidRDefault="00B06326" w:rsidP="001D7302">
            <w:pPr>
              <w:pStyle w:val="naisf"/>
              <w:spacing w:before="0" w:after="0"/>
              <w:ind w:firstLine="0"/>
              <w:jc w:val="center"/>
              <w:rPr>
                <w:sz w:val="26"/>
                <w:szCs w:val="26"/>
              </w:rPr>
            </w:pPr>
            <w:r>
              <w:rPr>
                <w:sz w:val="26"/>
                <w:szCs w:val="26"/>
              </w:rPr>
              <w:t>+</w:t>
            </w:r>
            <w:r w:rsidR="00764D95">
              <w:rPr>
                <w:sz w:val="26"/>
                <w:szCs w:val="26"/>
              </w:rPr>
              <w:t>200</w:t>
            </w:r>
          </w:p>
        </w:tc>
        <w:tc>
          <w:tcPr>
            <w:tcW w:w="1507" w:type="dxa"/>
            <w:vAlign w:val="center"/>
          </w:tcPr>
          <w:p w:rsidR="00B06326" w:rsidRPr="00DE1B77" w:rsidRDefault="00B06326" w:rsidP="00E34D42">
            <w:pPr>
              <w:jc w:val="center"/>
              <w:rPr>
                <w:sz w:val="26"/>
                <w:szCs w:val="26"/>
              </w:rPr>
            </w:pPr>
            <w:r>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r>
      <w:tr w:rsidR="00B06326" w:rsidRPr="00DE1B77" w:rsidTr="00E34D42">
        <w:trPr>
          <w:jc w:val="center"/>
        </w:trPr>
        <w:tc>
          <w:tcPr>
            <w:tcW w:w="2853" w:type="dxa"/>
          </w:tcPr>
          <w:p w:rsidR="00B06326" w:rsidRPr="00DE1B77" w:rsidRDefault="00B06326" w:rsidP="00831A72">
            <w:pPr>
              <w:rPr>
                <w:sz w:val="26"/>
                <w:szCs w:val="26"/>
              </w:rPr>
            </w:pPr>
            <w:r w:rsidRPr="00DE1B77">
              <w:rPr>
                <w:sz w:val="26"/>
                <w:szCs w:val="26"/>
              </w:rPr>
              <w:t>2.2. valsts speciālais budžets</w:t>
            </w:r>
          </w:p>
        </w:tc>
        <w:tc>
          <w:tcPr>
            <w:tcW w:w="1194" w:type="dxa"/>
            <w:vAlign w:val="center"/>
          </w:tcPr>
          <w:p w:rsidR="00B06326" w:rsidRPr="00DE1B77" w:rsidRDefault="00B06326" w:rsidP="00E34D42">
            <w:pPr>
              <w:jc w:val="center"/>
              <w:rPr>
                <w:sz w:val="26"/>
                <w:szCs w:val="26"/>
              </w:rPr>
            </w:pPr>
            <w:r>
              <w:rPr>
                <w:sz w:val="26"/>
                <w:szCs w:val="26"/>
              </w:rPr>
              <w:t>0</w:t>
            </w:r>
          </w:p>
        </w:tc>
        <w:tc>
          <w:tcPr>
            <w:tcW w:w="1509" w:type="dxa"/>
            <w:vAlign w:val="center"/>
          </w:tcPr>
          <w:p w:rsidR="00B06326" w:rsidRPr="00B06326" w:rsidRDefault="00B06326" w:rsidP="00E34D42">
            <w:pPr>
              <w:jc w:val="center"/>
              <w:rPr>
                <w:sz w:val="26"/>
                <w:szCs w:val="26"/>
              </w:rPr>
            </w:pPr>
            <w:r>
              <w:rPr>
                <w:sz w:val="26"/>
                <w:szCs w:val="26"/>
              </w:rPr>
              <w:t>0</w:t>
            </w:r>
          </w:p>
        </w:tc>
        <w:tc>
          <w:tcPr>
            <w:tcW w:w="1507" w:type="dxa"/>
            <w:vAlign w:val="center"/>
          </w:tcPr>
          <w:p w:rsidR="00B06326" w:rsidRPr="00DE1B77" w:rsidRDefault="00B06326" w:rsidP="00E34D42">
            <w:pPr>
              <w:jc w:val="center"/>
              <w:rPr>
                <w:sz w:val="26"/>
                <w:szCs w:val="26"/>
              </w:rPr>
            </w:pPr>
            <w:r>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r>
      <w:tr w:rsidR="00B06326" w:rsidRPr="00DE1B77" w:rsidTr="00E34D42">
        <w:trPr>
          <w:jc w:val="center"/>
        </w:trPr>
        <w:tc>
          <w:tcPr>
            <w:tcW w:w="2853" w:type="dxa"/>
          </w:tcPr>
          <w:p w:rsidR="00B06326" w:rsidRPr="00DE1B77" w:rsidRDefault="00B06326" w:rsidP="00831A72">
            <w:pPr>
              <w:rPr>
                <w:sz w:val="26"/>
                <w:szCs w:val="26"/>
              </w:rPr>
            </w:pPr>
            <w:r w:rsidRPr="00DE1B77">
              <w:rPr>
                <w:sz w:val="26"/>
                <w:szCs w:val="26"/>
              </w:rPr>
              <w:t xml:space="preserve">2.3. pašvaldību budžets </w:t>
            </w:r>
          </w:p>
        </w:tc>
        <w:tc>
          <w:tcPr>
            <w:tcW w:w="1194" w:type="dxa"/>
            <w:vAlign w:val="center"/>
          </w:tcPr>
          <w:p w:rsidR="00B06326" w:rsidRPr="00DE1B77" w:rsidRDefault="00B06326" w:rsidP="00E34D42">
            <w:pPr>
              <w:jc w:val="center"/>
              <w:rPr>
                <w:sz w:val="26"/>
                <w:szCs w:val="26"/>
              </w:rPr>
            </w:pPr>
            <w:r>
              <w:rPr>
                <w:sz w:val="26"/>
                <w:szCs w:val="26"/>
              </w:rPr>
              <w:t>0</w:t>
            </w:r>
          </w:p>
        </w:tc>
        <w:tc>
          <w:tcPr>
            <w:tcW w:w="1509" w:type="dxa"/>
            <w:vAlign w:val="center"/>
          </w:tcPr>
          <w:p w:rsidR="00B06326" w:rsidRPr="00B06326" w:rsidRDefault="00B06326" w:rsidP="00E34D42">
            <w:pPr>
              <w:jc w:val="center"/>
              <w:rPr>
                <w:sz w:val="26"/>
                <w:szCs w:val="26"/>
              </w:rPr>
            </w:pPr>
            <w:r>
              <w:rPr>
                <w:sz w:val="26"/>
                <w:szCs w:val="26"/>
              </w:rPr>
              <w:t>0</w:t>
            </w:r>
          </w:p>
        </w:tc>
        <w:tc>
          <w:tcPr>
            <w:tcW w:w="1507" w:type="dxa"/>
            <w:vAlign w:val="center"/>
          </w:tcPr>
          <w:p w:rsidR="00B06326" w:rsidRPr="00DE1B77" w:rsidRDefault="00B06326" w:rsidP="00E34D42">
            <w:pPr>
              <w:jc w:val="center"/>
              <w:rPr>
                <w:sz w:val="26"/>
                <w:szCs w:val="26"/>
              </w:rPr>
            </w:pPr>
            <w:r>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r>
      <w:tr w:rsidR="00B06326" w:rsidRPr="00DE1B77" w:rsidTr="00E34D42">
        <w:trPr>
          <w:jc w:val="center"/>
        </w:trPr>
        <w:tc>
          <w:tcPr>
            <w:tcW w:w="2853" w:type="dxa"/>
          </w:tcPr>
          <w:p w:rsidR="00B06326" w:rsidRPr="00DE1B77" w:rsidRDefault="00B06326" w:rsidP="00831A72">
            <w:pPr>
              <w:rPr>
                <w:sz w:val="26"/>
                <w:szCs w:val="26"/>
              </w:rPr>
            </w:pPr>
            <w:r w:rsidRPr="00DE1B77">
              <w:rPr>
                <w:sz w:val="26"/>
                <w:szCs w:val="26"/>
              </w:rPr>
              <w:t>3. Finansiālā ietekme:</w:t>
            </w:r>
          </w:p>
        </w:tc>
        <w:tc>
          <w:tcPr>
            <w:tcW w:w="1194" w:type="dxa"/>
            <w:shd w:val="clear" w:color="auto" w:fill="auto"/>
            <w:vAlign w:val="center"/>
          </w:tcPr>
          <w:p w:rsidR="00B06326" w:rsidRPr="00DE1B77" w:rsidRDefault="00B06326" w:rsidP="00E34D42">
            <w:pPr>
              <w:jc w:val="center"/>
              <w:rPr>
                <w:sz w:val="26"/>
                <w:szCs w:val="26"/>
              </w:rPr>
            </w:pPr>
            <w:r>
              <w:rPr>
                <w:sz w:val="26"/>
                <w:szCs w:val="26"/>
              </w:rPr>
              <w:t>0</w:t>
            </w:r>
          </w:p>
        </w:tc>
        <w:tc>
          <w:tcPr>
            <w:tcW w:w="1509" w:type="dxa"/>
            <w:vAlign w:val="center"/>
          </w:tcPr>
          <w:p w:rsidR="00B06326" w:rsidRPr="00F469E7" w:rsidRDefault="00B06326" w:rsidP="00764D95">
            <w:pPr>
              <w:jc w:val="center"/>
              <w:rPr>
                <w:b/>
                <w:sz w:val="26"/>
                <w:szCs w:val="26"/>
              </w:rPr>
            </w:pPr>
            <w:r w:rsidRPr="00F469E7">
              <w:rPr>
                <w:b/>
                <w:sz w:val="26"/>
                <w:szCs w:val="26"/>
              </w:rPr>
              <w:t>-</w:t>
            </w:r>
            <w:r w:rsidR="00764D95">
              <w:rPr>
                <w:b/>
                <w:sz w:val="26"/>
                <w:szCs w:val="26"/>
              </w:rPr>
              <w:t>200</w:t>
            </w:r>
          </w:p>
        </w:tc>
        <w:tc>
          <w:tcPr>
            <w:tcW w:w="1507" w:type="dxa"/>
            <w:vAlign w:val="center"/>
          </w:tcPr>
          <w:p w:rsidR="00B06326" w:rsidRPr="00DE1B77" w:rsidRDefault="00B06326" w:rsidP="00E34D42">
            <w:pPr>
              <w:jc w:val="center"/>
              <w:rPr>
                <w:sz w:val="26"/>
                <w:szCs w:val="26"/>
              </w:rPr>
            </w:pPr>
            <w:r>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r>
      <w:tr w:rsidR="00B06326" w:rsidRPr="00DE1B77" w:rsidTr="00E34D42">
        <w:trPr>
          <w:jc w:val="center"/>
        </w:trPr>
        <w:tc>
          <w:tcPr>
            <w:tcW w:w="2853" w:type="dxa"/>
          </w:tcPr>
          <w:p w:rsidR="00B06326" w:rsidRPr="00DE1B77" w:rsidRDefault="00B06326" w:rsidP="00831A72">
            <w:pPr>
              <w:rPr>
                <w:sz w:val="26"/>
                <w:szCs w:val="26"/>
              </w:rPr>
            </w:pPr>
            <w:r w:rsidRPr="00DE1B77">
              <w:rPr>
                <w:sz w:val="26"/>
                <w:szCs w:val="26"/>
              </w:rPr>
              <w:t>3.1. valsts pamatbudžets</w:t>
            </w:r>
          </w:p>
        </w:tc>
        <w:tc>
          <w:tcPr>
            <w:tcW w:w="1194" w:type="dxa"/>
            <w:shd w:val="clear" w:color="auto" w:fill="auto"/>
            <w:vAlign w:val="center"/>
          </w:tcPr>
          <w:p w:rsidR="00B06326" w:rsidRPr="00DE1B77" w:rsidRDefault="00B06326" w:rsidP="00E34D42">
            <w:pPr>
              <w:jc w:val="center"/>
              <w:rPr>
                <w:sz w:val="26"/>
                <w:szCs w:val="26"/>
              </w:rPr>
            </w:pPr>
            <w:r>
              <w:rPr>
                <w:sz w:val="26"/>
                <w:szCs w:val="26"/>
              </w:rPr>
              <w:t>0</w:t>
            </w:r>
          </w:p>
        </w:tc>
        <w:tc>
          <w:tcPr>
            <w:tcW w:w="1509" w:type="dxa"/>
            <w:vAlign w:val="center"/>
          </w:tcPr>
          <w:p w:rsidR="00B06326" w:rsidRPr="00B06326" w:rsidRDefault="00B06326" w:rsidP="001D7302">
            <w:pPr>
              <w:jc w:val="center"/>
              <w:rPr>
                <w:sz w:val="26"/>
                <w:szCs w:val="26"/>
              </w:rPr>
            </w:pPr>
            <w:r>
              <w:rPr>
                <w:sz w:val="26"/>
                <w:szCs w:val="26"/>
              </w:rPr>
              <w:t>-</w:t>
            </w:r>
            <w:r w:rsidR="00764D95">
              <w:rPr>
                <w:sz w:val="26"/>
                <w:szCs w:val="26"/>
              </w:rPr>
              <w:t>200</w:t>
            </w:r>
          </w:p>
        </w:tc>
        <w:tc>
          <w:tcPr>
            <w:tcW w:w="1507" w:type="dxa"/>
            <w:vAlign w:val="center"/>
          </w:tcPr>
          <w:p w:rsidR="00B06326" w:rsidRPr="00DE1B77" w:rsidRDefault="00B06326" w:rsidP="00E34D42">
            <w:pPr>
              <w:jc w:val="center"/>
              <w:rPr>
                <w:sz w:val="26"/>
                <w:szCs w:val="26"/>
              </w:rPr>
            </w:pPr>
            <w:r>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r>
      <w:tr w:rsidR="00B06326" w:rsidRPr="00DE1B77" w:rsidTr="00E34D42">
        <w:trPr>
          <w:jc w:val="center"/>
        </w:trPr>
        <w:tc>
          <w:tcPr>
            <w:tcW w:w="2853" w:type="dxa"/>
          </w:tcPr>
          <w:p w:rsidR="00B06326" w:rsidRPr="00DE1B77" w:rsidRDefault="00B06326" w:rsidP="00831A72">
            <w:pPr>
              <w:rPr>
                <w:sz w:val="26"/>
                <w:szCs w:val="26"/>
              </w:rPr>
            </w:pPr>
            <w:r w:rsidRPr="00DE1B77">
              <w:rPr>
                <w:sz w:val="26"/>
                <w:szCs w:val="26"/>
              </w:rPr>
              <w:t>3.2. speciālais budžets</w:t>
            </w:r>
          </w:p>
        </w:tc>
        <w:tc>
          <w:tcPr>
            <w:tcW w:w="1194" w:type="dxa"/>
            <w:shd w:val="clear" w:color="auto" w:fill="auto"/>
            <w:vAlign w:val="center"/>
          </w:tcPr>
          <w:p w:rsidR="00B06326" w:rsidRPr="00DE1B77" w:rsidRDefault="00B06326" w:rsidP="00E34D42">
            <w:pPr>
              <w:jc w:val="center"/>
              <w:rPr>
                <w:sz w:val="26"/>
                <w:szCs w:val="26"/>
              </w:rPr>
            </w:pPr>
            <w:r>
              <w:rPr>
                <w:sz w:val="26"/>
                <w:szCs w:val="26"/>
              </w:rPr>
              <w:t>0</w:t>
            </w:r>
          </w:p>
        </w:tc>
        <w:tc>
          <w:tcPr>
            <w:tcW w:w="1509" w:type="dxa"/>
            <w:vAlign w:val="center"/>
          </w:tcPr>
          <w:p w:rsidR="00B06326" w:rsidRPr="00B06326" w:rsidRDefault="00B06326" w:rsidP="00E34D42">
            <w:pPr>
              <w:jc w:val="center"/>
              <w:rPr>
                <w:sz w:val="26"/>
                <w:szCs w:val="26"/>
              </w:rPr>
            </w:pPr>
            <w:r>
              <w:rPr>
                <w:sz w:val="26"/>
                <w:szCs w:val="26"/>
              </w:rPr>
              <w:t>0</w:t>
            </w:r>
          </w:p>
        </w:tc>
        <w:tc>
          <w:tcPr>
            <w:tcW w:w="1507" w:type="dxa"/>
            <w:vAlign w:val="center"/>
          </w:tcPr>
          <w:p w:rsidR="00B06326" w:rsidRPr="00DE1B77" w:rsidRDefault="00B06326" w:rsidP="00E34D42">
            <w:pPr>
              <w:jc w:val="center"/>
              <w:rPr>
                <w:sz w:val="26"/>
                <w:szCs w:val="26"/>
              </w:rPr>
            </w:pPr>
            <w:r>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r>
      <w:tr w:rsidR="00B06326" w:rsidRPr="00DE1B77" w:rsidTr="00E34D42">
        <w:trPr>
          <w:jc w:val="center"/>
        </w:trPr>
        <w:tc>
          <w:tcPr>
            <w:tcW w:w="2853" w:type="dxa"/>
          </w:tcPr>
          <w:p w:rsidR="00B06326" w:rsidRPr="00DE1B77" w:rsidRDefault="00B06326" w:rsidP="00831A72">
            <w:pPr>
              <w:rPr>
                <w:sz w:val="26"/>
                <w:szCs w:val="26"/>
              </w:rPr>
            </w:pPr>
            <w:r w:rsidRPr="00DE1B77">
              <w:rPr>
                <w:sz w:val="26"/>
                <w:szCs w:val="26"/>
              </w:rPr>
              <w:lastRenderedPageBreak/>
              <w:t xml:space="preserve">3.3. pašvaldību budžets </w:t>
            </w:r>
          </w:p>
        </w:tc>
        <w:tc>
          <w:tcPr>
            <w:tcW w:w="1194" w:type="dxa"/>
            <w:shd w:val="clear" w:color="auto" w:fill="auto"/>
            <w:vAlign w:val="center"/>
          </w:tcPr>
          <w:p w:rsidR="00B06326" w:rsidRPr="00DE1B77" w:rsidRDefault="00B06326" w:rsidP="00E34D42">
            <w:pPr>
              <w:jc w:val="center"/>
              <w:rPr>
                <w:sz w:val="26"/>
                <w:szCs w:val="26"/>
              </w:rPr>
            </w:pPr>
            <w:r>
              <w:rPr>
                <w:sz w:val="26"/>
                <w:szCs w:val="26"/>
              </w:rPr>
              <w:t>0</w:t>
            </w:r>
          </w:p>
        </w:tc>
        <w:tc>
          <w:tcPr>
            <w:tcW w:w="1509" w:type="dxa"/>
            <w:vAlign w:val="center"/>
          </w:tcPr>
          <w:p w:rsidR="00B06326" w:rsidRPr="00B06326" w:rsidRDefault="00B06326" w:rsidP="00E34D42">
            <w:pPr>
              <w:jc w:val="center"/>
              <w:rPr>
                <w:sz w:val="26"/>
                <w:szCs w:val="26"/>
              </w:rPr>
            </w:pPr>
            <w:r>
              <w:rPr>
                <w:sz w:val="26"/>
                <w:szCs w:val="26"/>
              </w:rPr>
              <w:t>0</w:t>
            </w:r>
          </w:p>
        </w:tc>
        <w:tc>
          <w:tcPr>
            <w:tcW w:w="1507" w:type="dxa"/>
            <w:vAlign w:val="center"/>
          </w:tcPr>
          <w:p w:rsidR="00B06326" w:rsidRPr="00DE1B77" w:rsidRDefault="00B06326" w:rsidP="00E34D42">
            <w:pPr>
              <w:jc w:val="center"/>
              <w:rPr>
                <w:sz w:val="26"/>
                <w:szCs w:val="26"/>
              </w:rPr>
            </w:pPr>
            <w:r>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r>
      <w:tr w:rsidR="00B06326" w:rsidRPr="00DE1B77" w:rsidTr="00E34D42">
        <w:trPr>
          <w:jc w:val="center"/>
        </w:trPr>
        <w:tc>
          <w:tcPr>
            <w:tcW w:w="2853" w:type="dxa"/>
            <w:vMerge w:val="restart"/>
          </w:tcPr>
          <w:p w:rsidR="00B06326" w:rsidRPr="00DE1B77" w:rsidRDefault="00B06326" w:rsidP="00831A72">
            <w:pPr>
              <w:rPr>
                <w:sz w:val="26"/>
                <w:szCs w:val="26"/>
              </w:rPr>
            </w:pPr>
            <w:r w:rsidRPr="00DE1B77">
              <w:rPr>
                <w:sz w:val="26"/>
                <w:szCs w:val="26"/>
              </w:rPr>
              <w:t>4. Finanšu līdzekļi papildu izde</w:t>
            </w:r>
            <w:r w:rsidRPr="00DE1B77">
              <w:rPr>
                <w:sz w:val="26"/>
                <w:szCs w:val="26"/>
              </w:rPr>
              <w:softHyphen/>
              <w:t>vumu finansēšanai (kompensējošu izdevumu samazinājumu norāda ar "+" zīmi)</w:t>
            </w:r>
          </w:p>
        </w:tc>
        <w:tc>
          <w:tcPr>
            <w:tcW w:w="1194" w:type="dxa"/>
            <w:vMerge w:val="restart"/>
          </w:tcPr>
          <w:p w:rsidR="00B06326" w:rsidRPr="00DE1B77" w:rsidRDefault="00B06326" w:rsidP="00831A72">
            <w:pPr>
              <w:pStyle w:val="naisf"/>
              <w:spacing w:before="0" w:after="0"/>
              <w:ind w:firstLine="0"/>
              <w:jc w:val="center"/>
              <w:rPr>
                <w:i/>
                <w:sz w:val="26"/>
                <w:szCs w:val="26"/>
              </w:rPr>
            </w:pPr>
            <w:r w:rsidRPr="00DE1B77">
              <w:rPr>
                <w:sz w:val="26"/>
                <w:szCs w:val="26"/>
              </w:rPr>
              <w:t>X</w:t>
            </w:r>
          </w:p>
        </w:tc>
        <w:tc>
          <w:tcPr>
            <w:tcW w:w="1509" w:type="dxa"/>
            <w:vAlign w:val="center"/>
          </w:tcPr>
          <w:p w:rsidR="00B06326" w:rsidRPr="00B06326" w:rsidRDefault="00B06326" w:rsidP="00764D95">
            <w:pPr>
              <w:jc w:val="center"/>
              <w:rPr>
                <w:b/>
                <w:sz w:val="26"/>
                <w:szCs w:val="26"/>
              </w:rPr>
            </w:pPr>
            <w:r w:rsidRPr="00B06326">
              <w:rPr>
                <w:b/>
                <w:sz w:val="26"/>
                <w:szCs w:val="26"/>
              </w:rPr>
              <w:t>+</w:t>
            </w:r>
            <w:r w:rsidR="00764D95">
              <w:rPr>
                <w:b/>
                <w:sz w:val="26"/>
                <w:szCs w:val="26"/>
              </w:rPr>
              <w:t>200</w:t>
            </w:r>
          </w:p>
        </w:tc>
        <w:tc>
          <w:tcPr>
            <w:tcW w:w="1507" w:type="dxa"/>
            <w:vAlign w:val="center"/>
          </w:tcPr>
          <w:p w:rsidR="00B06326" w:rsidRPr="00DE1B77" w:rsidRDefault="00B06326" w:rsidP="00E34D42">
            <w:pPr>
              <w:jc w:val="center"/>
              <w:rPr>
                <w:sz w:val="26"/>
                <w:szCs w:val="26"/>
              </w:rPr>
            </w:pPr>
            <w:r>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r>
      <w:tr w:rsidR="00B06326" w:rsidRPr="00DE1B77" w:rsidTr="00E34D42">
        <w:trPr>
          <w:jc w:val="center"/>
        </w:trPr>
        <w:tc>
          <w:tcPr>
            <w:tcW w:w="2853" w:type="dxa"/>
            <w:vMerge/>
          </w:tcPr>
          <w:p w:rsidR="00B06326" w:rsidRPr="00DE1B77" w:rsidRDefault="00B06326" w:rsidP="00831A72">
            <w:pPr>
              <w:rPr>
                <w:sz w:val="26"/>
                <w:szCs w:val="26"/>
              </w:rPr>
            </w:pPr>
          </w:p>
        </w:tc>
        <w:tc>
          <w:tcPr>
            <w:tcW w:w="1194" w:type="dxa"/>
            <w:vMerge/>
          </w:tcPr>
          <w:p w:rsidR="00B06326" w:rsidRPr="00DE1B77" w:rsidRDefault="00B06326" w:rsidP="00831A72">
            <w:pPr>
              <w:pStyle w:val="naisf"/>
              <w:spacing w:before="0" w:after="0"/>
              <w:ind w:firstLine="0"/>
              <w:jc w:val="center"/>
              <w:rPr>
                <w:i/>
                <w:sz w:val="26"/>
                <w:szCs w:val="26"/>
              </w:rPr>
            </w:pPr>
          </w:p>
        </w:tc>
        <w:tc>
          <w:tcPr>
            <w:tcW w:w="1509" w:type="dxa"/>
            <w:vAlign w:val="center"/>
          </w:tcPr>
          <w:p w:rsidR="00B06326" w:rsidRPr="00B06326" w:rsidRDefault="00B06326" w:rsidP="00E34D42">
            <w:pPr>
              <w:jc w:val="center"/>
              <w:rPr>
                <w:sz w:val="26"/>
                <w:szCs w:val="26"/>
              </w:rPr>
            </w:pPr>
            <w:r>
              <w:rPr>
                <w:sz w:val="26"/>
                <w:szCs w:val="26"/>
              </w:rPr>
              <w:t>0</w:t>
            </w:r>
          </w:p>
        </w:tc>
        <w:tc>
          <w:tcPr>
            <w:tcW w:w="1507" w:type="dxa"/>
            <w:vAlign w:val="center"/>
          </w:tcPr>
          <w:p w:rsidR="00B06326" w:rsidRPr="00DE1B77" w:rsidRDefault="00B06326" w:rsidP="00E34D42">
            <w:pPr>
              <w:jc w:val="center"/>
              <w:rPr>
                <w:sz w:val="26"/>
                <w:szCs w:val="26"/>
              </w:rPr>
            </w:pPr>
            <w:r>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r>
      <w:tr w:rsidR="00B06326" w:rsidRPr="00DE1B77" w:rsidTr="00E34D42">
        <w:trPr>
          <w:jc w:val="center"/>
        </w:trPr>
        <w:tc>
          <w:tcPr>
            <w:tcW w:w="2853" w:type="dxa"/>
            <w:vMerge/>
          </w:tcPr>
          <w:p w:rsidR="00B06326" w:rsidRPr="00DE1B77" w:rsidRDefault="00B06326" w:rsidP="00831A72">
            <w:pPr>
              <w:rPr>
                <w:sz w:val="26"/>
                <w:szCs w:val="26"/>
              </w:rPr>
            </w:pPr>
          </w:p>
        </w:tc>
        <w:tc>
          <w:tcPr>
            <w:tcW w:w="1194" w:type="dxa"/>
            <w:vMerge/>
          </w:tcPr>
          <w:p w:rsidR="00B06326" w:rsidRPr="00DE1B77" w:rsidRDefault="00B06326" w:rsidP="00831A72">
            <w:pPr>
              <w:pStyle w:val="naisf"/>
              <w:spacing w:before="0" w:after="0"/>
              <w:ind w:firstLine="0"/>
              <w:jc w:val="center"/>
              <w:rPr>
                <w:i/>
                <w:sz w:val="26"/>
                <w:szCs w:val="26"/>
              </w:rPr>
            </w:pPr>
          </w:p>
        </w:tc>
        <w:tc>
          <w:tcPr>
            <w:tcW w:w="1509" w:type="dxa"/>
            <w:vAlign w:val="center"/>
          </w:tcPr>
          <w:p w:rsidR="00B06326" w:rsidRPr="00B06326" w:rsidRDefault="00B06326" w:rsidP="00E34D42">
            <w:pPr>
              <w:jc w:val="center"/>
              <w:rPr>
                <w:sz w:val="26"/>
                <w:szCs w:val="26"/>
              </w:rPr>
            </w:pPr>
            <w:r>
              <w:rPr>
                <w:sz w:val="26"/>
                <w:szCs w:val="26"/>
              </w:rPr>
              <w:t>0</w:t>
            </w:r>
          </w:p>
        </w:tc>
        <w:tc>
          <w:tcPr>
            <w:tcW w:w="1507" w:type="dxa"/>
            <w:vAlign w:val="center"/>
          </w:tcPr>
          <w:p w:rsidR="00B06326" w:rsidRPr="00DE1B77" w:rsidRDefault="00B06326" w:rsidP="00E34D42">
            <w:pPr>
              <w:jc w:val="center"/>
              <w:rPr>
                <w:sz w:val="26"/>
                <w:szCs w:val="26"/>
              </w:rPr>
            </w:pPr>
            <w:r>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r>
      <w:tr w:rsidR="00B06326" w:rsidRPr="00DE1B77" w:rsidTr="00E34D42">
        <w:trPr>
          <w:jc w:val="center"/>
        </w:trPr>
        <w:tc>
          <w:tcPr>
            <w:tcW w:w="2853" w:type="dxa"/>
          </w:tcPr>
          <w:p w:rsidR="00B06326" w:rsidRPr="00DE1B77" w:rsidRDefault="00B06326" w:rsidP="00831A72">
            <w:pPr>
              <w:rPr>
                <w:sz w:val="26"/>
                <w:szCs w:val="26"/>
              </w:rPr>
            </w:pPr>
            <w:r w:rsidRPr="00DE1B77">
              <w:rPr>
                <w:sz w:val="26"/>
                <w:szCs w:val="26"/>
              </w:rPr>
              <w:t>5. Precizēta finansiālā ietekme:</w:t>
            </w:r>
          </w:p>
        </w:tc>
        <w:tc>
          <w:tcPr>
            <w:tcW w:w="1194" w:type="dxa"/>
            <w:vMerge w:val="restart"/>
          </w:tcPr>
          <w:p w:rsidR="00B06326" w:rsidRPr="00DE1B77" w:rsidRDefault="00B06326" w:rsidP="00831A72">
            <w:pPr>
              <w:pStyle w:val="naisf"/>
              <w:spacing w:before="0" w:after="0"/>
              <w:ind w:firstLine="0"/>
              <w:jc w:val="center"/>
              <w:rPr>
                <w:i/>
                <w:sz w:val="26"/>
                <w:szCs w:val="26"/>
              </w:rPr>
            </w:pPr>
            <w:r w:rsidRPr="00DE1B77">
              <w:rPr>
                <w:sz w:val="26"/>
                <w:szCs w:val="26"/>
              </w:rPr>
              <w:t>X</w:t>
            </w:r>
          </w:p>
        </w:tc>
        <w:tc>
          <w:tcPr>
            <w:tcW w:w="1509" w:type="dxa"/>
            <w:vAlign w:val="center"/>
          </w:tcPr>
          <w:p w:rsidR="00B06326" w:rsidRPr="00B06326" w:rsidRDefault="00B06326" w:rsidP="00E34D42">
            <w:pPr>
              <w:jc w:val="center"/>
              <w:rPr>
                <w:sz w:val="26"/>
                <w:szCs w:val="26"/>
              </w:rPr>
            </w:pPr>
            <w:r>
              <w:rPr>
                <w:sz w:val="26"/>
                <w:szCs w:val="26"/>
              </w:rPr>
              <w:t>0</w:t>
            </w:r>
          </w:p>
        </w:tc>
        <w:tc>
          <w:tcPr>
            <w:tcW w:w="1507" w:type="dxa"/>
            <w:vAlign w:val="center"/>
          </w:tcPr>
          <w:p w:rsidR="00B06326" w:rsidRPr="00DE1B77" w:rsidRDefault="00B06326" w:rsidP="00E34D42">
            <w:pPr>
              <w:jc w:val="center"/>
              <w:rPr>
                <w:sz w:val="26"/>
                <w:szCs w:val="26"/>
              </w:rPr>
            </w:pPr>
            <w:r>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r>
      <w:tr w:rsidR="00B06326" w:rsidRPr="00DE1B77" w:rsidTr="00E34D42">
        <w:trPr>
          <w:jc w:val="center"/>
        </w:trPr>
        <w:tc>
          <w:tcPr>
            <w:tcW w:w="2853" w:type="dxa"/>
          </w:tcPr>
          <w:p w:rsidR="00B06326" w:rsidRPr="00DE1B77" w:rsidRDefault="00B06326" w:rsidP="00831A72">
            <w:pPr>
              <w:rPr>
                <w:sz w:val="26"/>
                <w:szCs w:val="26"/>
              </w:rPr>
            </w:pPr>
            <w:r w:rsidRPr="00DE1B77">
              <w:rPr>
                <w:sz w:val="26"/>
                <w:szCs w:val="26"/>
              </w:rPr>
              <w:t>5.1. valsts pamatbudžets</w:t>
            </w:r>
          </w:p>
        </w:tc>
        <w:tc>
          <w:tcPr>
            <w:tcW w:w="1194" w:type="dxa"/>
            <w:vMerge/>
            <w:vAlign w:val="center"/>
          </w:tcPr>
          <w:p w:rsidR="00B06326" w:rsidRPr="00DE1B77" w:rsidRDefault="00B06326" w:rsidP="00831A72">
            <w:pPr>
              <w:pStyle w:val="naisf"/>
              <w:spacing w:before="0" w:after="0"/>
              <w:ind w:firstLine="0"/>
              <w:jc w:val="center"/>
              <w:rPr>
                <w:i/>
                <w:sz w:val="26"/>
                <w:szCs w:val="26"/>
              </w:rPr>
            </w:pPr>
          </w:p>
        </w:tc>
        <w:tc>
          <w:tcPr>
            <w:tcW w:w="1509" w:type="dxa"/>
            <w:vAlign w:val="center"/>
          </w:tcPr>
          <w:p w:rsidR="00B06326" w:rsidRPr="00B06326" w:rsidRDefault="00B06326" w:rsidP="00E34D42">
            <w:pPr>
              <w:jc w:val="center"/>
              <w:rPr>
                <w:sz w:val="26"/>
                <w:szCs w:val="26"/>
              </w:rPr>
            </w:pPr>
            <w:r>
              <w:rPr>
                <w:sz w:val="26"/>
                <w:szCs w:val="26"/>
              </w:rPr>
              <w:t>0</w:t>
            </w:r>
          </w:p>
        </w:tc>
        <w:tc>
          <w:tcPr>
            <w:tcW w:w="1507" w:type="dxa"/>
            <w:vAlign w:val="center"/>
          </w:tcPr>
          <w:p w:rsidR="00B06326" w:rsidRPr="00DE1B77" w:rsidRDefault="00B06326" w:rsidP="00E34D42">
            <w:pPr>
              <w:jc w:val="center"/>
              <w:rPr>
                <w:sz w:val="26"/>
                <w:szCs w:val="26"/>
              </w:rPr>
            </w:pPr>
            <w:r>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r>
      <w:tr w:rsidR="00B06326" w:rsidRPr="00DE1B77" w:rsidTr="00E34D42">
        <w:trPr>
          <w:jc w:val="center"/>
        </w:trPr>
        <w:tc>
          <w:tcPr>
            <w:tcW w:w="2853" w:type="dxa"/>
          </w:tcPr>
          <w:p w:rsidR="00B06326" w:rsidRPr="00DE1B77" w:rsidRDefault="00B06326" w:rsidP="00831A72">
            <w:pPr>
              <w:rPr>
                <w:sz w:val="26"/>
                <w:szCs w:val="26"/>
              </w:rPr>
            </w:pPr>
            <w:r w:rsidRPr="00DE1B77">
              <w:rPr>
                <w:sz w:val="26"/>
                <w:szCs w:val="26"/>
              </w:rPr>
              <w:t>5.2. speciālais budžets</w:t>
            </w:r>
          </w:p>
        </w:tc>
        <w:tc>
          <w:tcPr>
            <w:tcW w:w="1194" w:type="dxa"/>
            <w:vMerge/>
            <w:vAlign w:val="center"/>
          </w:tcPr>
          <w:p w:rsidR="00B06326" w:rsidRPr="00DE1B77" w:rsidRDefault="00B06326" w:rsidP="00831A72">
            <w:pPr>
              <w:pStyle w:val="naisf"/>
              <w:spacing w:before="0" w:after="0"/>
              <w:ind w:firstLine="0"/>
              <w:jc w:val="center"/>
              <w:rPr>
                <w:i/>
                <w:sz w:val="26"/>
                <w:szCs w:val="26"/>
              </w:rPr>
            </w:pPr>
          </w:p>
        </w:tc>
        <w:tc>
          <w:tcPr>
            <w:tcW w:w="1509" w:type="dxa"/>
            <w:vAlign w:val="center"/>
          </w:tcPr>
          <w:p w:rsidR="00B06326" w:rsidRPr="00B06326" w:rsidRDefault="00B06326" w:rsidP="00E34D42">
            <w:pPr>
              <w:jc w:val="center"/>
              <w:rPr>
                <w:sz w:val="26"/>
                <w:szCs w:val="26"/>
              </w:rPr>
            </w:pPr>
            <w:r>
              <w:rPr>
                <w:sz w:val="26"/>
                <w:szCs w:val="26"/>
              </w:rPr>
              <w:t>0</w:t>
            </w:r>
          </w:p>
        </w:tc>
        <w:tc>
          <w:tcPr>
            <w:tcW w:w="1507" w:type="dxa"/>
            <w:vAlign w:val="center"/>
          </w:tcPr>
          <w:p w:rsidR="00B06326" w:rsidRPr="00DE1B77" w:rsidRDefault="00B06326" w:rsidP="00E34D42">
            <w:pPr>
              <w:jc w:val="center"/>
              <w:rPr>
                <w:sz w:val="26"/>
                <w:szCs w:val="26"/>
              </w:rPr>
            </w:pPr>
            <w:r>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r>
      <w:tr w:rsidR="00B06326" w:rsidRPr="00DE1B77" w:rsidTr="00E34D42">
        <w:trPr>
          <w:jc w:val="center"/>
        </w:trPr>
        <w:tc>
          <w:tcPr>
            <w:tcW w:w="2853" w:type="dxa"/>
          </w:tcPr>
          <w:p w:rsidR="00B06326" w:rsidRPr="00DE1B77" w:rsidRDefault="00B06326" w:rsidP="00831A72">
            <w:pPr>
              <w:rPr>
                <w:sz w:val="26"/>
                <w:szCs w:val="26"/>
              </w:rPr>
            </w:pPr>
            <w:r w:rsidRPr="00DE1B77">
              <w:rPr>
                <w:sz w:val="26"/>
                <w:szCs w:val="26"/>
              </w:rPr>
              <w:t xml:space="preserve">5.3. pašvaldību budžets </w:t>
            </w:r>
          </w:p>
        </w:tc>
        <w:tc>
          <w:tcPr>
            <w:tcW w:w="1194" w:type="dxa"/>
            <w:vMerge/>
            <w:vAlign w:val="center"/>
          </w:tcPr>
          <w:p w:rsidR="00B06326" w:rsidRPr="00DE1B77" w:rsidRDefault="00B06326" w:rsidP="00831A72">
            <w:pPr>
              <w:pStyle w:val="naisf"/>
              <w:spacing w:before="0" w:after="0"/>
              <w:ind w:firstLine="0"/>
              <w:jc w:val="center"/>
              <w:rPr>
                <w:i/>
                <w:sz w:val="26"/>
                <w:szCs w:val="26"/>
              </w:rPr>
            </w:pPr>
          </w:p>
        </w:tc>
        <w:tc>
          <w:tcPr>
            <w:tcW w:w="1509" w:type="dxa"/>
            <w:vAlign w:val="center"/>
          </w:tcPr>
          <w:p w:rsidR="00B06326" w:rsidRPr="00B06326" w:rsidRDefault="00B06326" w:rsidP="00E34D42">
            <w:pPr>
              <w:jc w:val="center"/>
              <w:rPr>
                <w:sz w:val="26"/>
                <w:szCs w:val="26"/>
              </w:rPr>
            </w:pPr>
            <w:r>
              <w:rPr>
                <w:sz w:val="26"/>
                <w:szCs w:val="26"/>
              </w:rPr>
              <w:t>0</w:t>
            </w:r>
          </w:p>
        </w:tc>
        <w:tc>
          <w:tcPr>
            <w:tcW w:w="1507" w:type="dxa"/>
            <w:vAlign w:val="center"/>
          </w:tcPr>
          <w:p w:rsidR="00B06326" w:rsidRPr="00DE1B77" w:rsidRDefault="00B06326" w:rsidP="00E34D42">
            <w:pPr>
              <w:jc w:val="center"/>
              <w:rPr>
                <w:sz w:val="26"/>
                <w:szCs w:val="26"/>
              </w:rPr>
            </w:pPr>
            <w:r>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c>
          <w:tcPr>
            <w:tcW w:w="1507" w:type="dxa"/>
            <w:vAlign w:val="center"/>
          </w:tcPr>
          <w:p w:rsidR="00B06326" w:rsidRPr="00B06326" w:rsidRDefault="00B06326" w:rsidP="00E34D42">
            <w:pPr>
              <w:jc w:val="center"/>
              <w:rPr>
                <w:sz w:val="26"/>
                <w:szCs w:val="26"/>
              </w:rPr>
            </w:pPr>
            <w:r w:rsidRPr="00B06326">
              <w:rPr>
                <w:sz w:val="26"/>
                <w:szCs w:val="26"/>
              </w:rPr>
              <w:t>0</w:t>
            </w:r>
          </w:p>
        </w:tc>
      </w:tr>
      <w:tr w:rsidR="00DA30DA" w:rsidRPr="00DE1B77" w:rsidTr="00DA30DA">
        <w:trPr>
          <w:jc w:val="center"/>
        </w:trPr>
        <w:tc>
          <w:tcPr>
            <w:tcW w:w="2853" w:type="dxa"/>
          </w:tcPr>
          <w:p w:rsidR="00DA30DA" w:rsidRPr="00DE1B77" w:rsidRDefault="00DA30DA" w:rsidP="00831A72">
            <w:pPr>
              <w:rPr>
                <w:sz w:val="26"/>
                <w:szCs w:val="26"/>
              </w:rPr>
            </w:pPr>
            <w:r w:rsidRPr="00DE1B77">
              <w:rPr>
                <w:sz w:val="26"/>
                <w:szCs w:val="26"/>
              </w:rPr>
              <w:t>6. Detalizēts ieņēmumu un izdevu</w:t>
            </w:r>
            <w:r w:rsidRPr="00DE1B77">
              <w:rPr>
                <w:sz w:val="26"/>
                <w:szCs w:val="26"/>
              </w:rPr>
              <w:softHyphen/>
              <w:t>mu aprēķins (ja nepieciešams, detalizētu ieņēmumu un izdevumu aprēķinu var pievienot anotācijas pielikumā):</w:t>
            </w:r>
          </w:p>
        </w:tc>
        <w:tc>
          <w:tcPr>
            <w:tcW w:w="7224" w:type="dxa"/>
            <w:gridSpan w:val="5"/>
            <w:vMerge w:val="restart"/>
          </w:tcPr>
          <w:p w:rsidR="00276C12" w:rsidRPr="0012460A" w:rsidRDefault="00276C12" w:rsidP="00276C12">
            <w:pPr>
              <w:pStyle w:val="naisf"/>
              <w:ind w:firstLine="0"/>
              <w:rPr>
                <w:sz w:val="26"/>
                <w:szCs w:val="26"/>
              </w:rPr>
            </w:pPr>
            <w:r w:rsidRPr="0012460A">
              <w:rPr>
                <w:sz w:val="26"/>
                <w:szCs w:val="26"/>
              </w:rPr>
              <w:t>Papildus pieprasītā finansējuma (2</w:t>
            </w:r>
            <w:r>
              <w:rPr>
                <w:sz w:val="26"/>
                <w:szCs w:val="26"/>
              </w:rPr>
              <w:t>00</w:t>
            </w:r>
            <w:r w:rsidRPr="0012460A">
              <w:rPr>
                <w:sz w:val="26"/>
                <w:szCs w:val="26"/>
              </w:rPr>
              <w:t>`</w:t>
            </w:r>
            <w:r>
              <w:rPr>
                <w:sz w:val="26"/>
                <w:szCs w:val="26"/>
              </w:rPr>
              <w:t>000</w:t>
            </w:r>
            <w:r w:rsidRPr="0012460A">
              <w:rPr>
                <w:sz w:val="26"/>
                <w:szCs w:val="26"/>
              </w:rPr>
              <w:t xml:space="preserve"> latu apmērā) sadalījums atbilstoši tam paredzētam mērķim:</w:t>
            </w:r>
          </w:p>
          <w:p w:rsidR="00276C12" w:rsidRDefault="00276C12" w:rsidP="00276C12">
            <w:pPr>
              <w:pStyle w:val="naisf"/>
              <w:numPr>
                <w:ilvl w:val="0"/>
                <w:numId w:val="4"/>
              </w:numPr>
              <w:rPr>
                <w:sz w:val="26"/>
                <w:szCs w:val="26"/>
              </w:rPr>
            </w:pPr>
            <w:r>
              <w:rPr>
                <w:sz w:val="26"/>
                <w:szCs w:val="26"/>
              </w:rPr>
              <w:t xml:space="preserve">Siguldas trases </w:t>
            </w:r>
            <w:r w:rsidRPr="00276C12">
              <w:rPr>
                <w:sz w:val="26"/>
                <w:szCs w:val="26"/>
              </w:rPr>
              <w:t>rekonstrukcijas projekta izstrād</w:t>
            </w:r>
            <w:r>
              <w:rPr>
                <w:sz w:val="26"/>
                <w:szCs w:val="26"/>
              </w:rPr>
              <w:t xml:space="preserve">e – </w:t>
            </w:r>
            <w:r w:rsidRPr="00276C12">
              <w:rPr>
                <w:sz w:val="26"/>
                <w:szCs w:val="26"/>
              </w:rPr>
              <w:t>50</w:t>
            </w:r>
            <w:r w:rsidR="00866042">
              <w:rPr>
                <w:sz w:val="26"/>
                <w:szCs w:val="26"/>
              </w:rPr>
              <w:t>`</w:t>
            </w:r>
            <w:r w:rsidRPr="00276C12">
              <w:rPr>
                <w:sz w:val="26"/>
                <w:szCs w:val="26"/>
              </w:rPr>
              <w:t>000 lat</w:t>
            </w:r>
            <w:r>
              <w:rPr>
                <w:sz w:val="26"/>
                <w:szCs w:val="26"/>
              </w:rPr>
              <w:t>i;</w:t>
            </w:r>
          </w:p>
          <w:p w:rsidR="00276C12" w:rsidRPr="00276C12" w:rsidRDefault="00276C12" w:rsidP="00276C12">
            <w:pPr>
              <w:pStyle w:val="naisf"/>
              <w:numPr>
                <w:ilvl w:val="0"/>
                <w:numId w:val="4"/>
              </w:numPr>
              <w:rPr>
                <w:sz w:val="26"/>
                <w:szCs w:val="26"/>
              </w:rPr>
            </w:pPr>
            <w:r w:rsidRPr="00276C12">
              <w:rPr>
                <w:sz w:val="26"/>
                <w:szCs w:val="26"/>
              </w:rPr>
              <w:t>neatliekam</w:t>
            </w:r>
            <w:r>
              <w:rPr>
                <w:sz w:val="26"/>
                <w:szCs w:val="26"/>
              </w:rPr>
              <w:t>o</w:t>
            </w:r>
            <w:r w:rsidRPr="00276C12">
              <w:rPr>
                <w:sz w:val="26"/>
                <w:szCs w:val="26"/>
              </w:rPr>
              <w:t xml:space="preserve"> pasākum</w:t>
            </w:r>
            <w:r>
              <w:rPr>
                <w:sz w:val="26"/>
                <w:szCs w:val="26"/>
              </w:rPr>
              <w:t>u</w:t>
            </w:r>
            <w:r w:rsidRPr="00276C12">
              <w:rPr>
                <w:sz w:val="26"/>
                <w:szCs w:val="26"/>
              </w:rPr>
              <w:t xml:space="preserve"> īstenošan</w:t>
            </w:r>
            <w:r>
              <w:rPr>
                <w:sz w:val="26"/>
                <w:szCs w:val="26"/>
              </w:rPr>
              <w:t>a</w:t>
            </w:r>
            <w:r w:rsidRPr="00276C12">
              <w:rPr>
                <w:sz w:val="26"/>
                <w:szCs w:val="26"/>
              </w:rPr>
              <w:t xml:space="preserve"> trases drošības uzlabošanai</w:t>
            </w:r>
            <w:r>
              <w:rPr>
                <w:sz w:val="26"/>
                <w:szCs w:val="26"/>
              </w:rPr>
              <w:t xml:space="preserve"> – </w:t>
            </w:r>
            <w:r w:rsidRPr="00276C12">
              <w:rPr>
                <w:sz w:val="26"/>
                <w:szCs w:val="26"/>
              </w:rPr>
              <w:t>150</w:t>
            </w:r>
            <w:r w:rsidR="00866042">
              <w:rPr>
                <w:sz w:val="26"/>
                <w:szCs w:val="26"/>
              </w:rPr>
              <w:t>`</w:t>
            </w:r>
            <w:r w:rsidRPr="00276C12">
              <w:rPr>
                <w:sz w:val="26"/>
                <w:szCs w:val="26"/>
              </w:rPr>
              <w:t>000 lat</w:t>
            </w:r>
            <w:r w:rsidR="005956E5">
              <w:rPr>
                <w:sz w:val="26"/>
                <w:szCs w:val="26"/>
              </w:rPr>
              <w:t>i</w:t>
            </w:r>
            <w:r w:rsidRPr="00276C12">
              <w:rPr>
                <w:sz w:val="26"/>
                <w:szCs w:val="26"/>
              </w:rPr>
              <w:t>.</w:t>
            </w:r>
          </w:p>
          <w:p w:rsidR="002B1084" w:rsidRDefault="002B1084" w:rsidP="002B1084">
            <w:pPr>
              <w:pStyle w:val="naisf"/>
              <w:ind w:firstLine="0"/>
              <w:rPr>
                <w:sz w:val="26"/>
                <w:szCs w:val="26"/>
              </w:rPr>
            </w:pPr>
          </w:p>
          <w:p w:rsidR="00276C12" w:rsidRPr="00E05125" w:rsidRDefault="00866042" w:rsidP="00506DD7">
            <w:pPr>
              <w:pStyle w:val="naisf"/>
              <w:ind w:firstLine="0"/>
              <w:rPr>
                <w:sz w:val="26"/>
                <w:szCs w:val="26"/>
              </w:rPr>
            </w:pPr>
            <w:r>
              <w:rPr>
                <w:sz w:val="26"/>
                <w:szCs w:val="26"/>
              </w:rPr>
              <w:t>N</w:t>
            </w:r>
            <w:r w:rsidR="00276C12">
              <w:rPr>
                <w:sz w:val="26"/>
                <w:szCs w:val="26"/>
              </w:rPr>
              <w:t xml:space="preserve">eatliekamo pasākumu </w:t>
            </w:r>
            <w:r w:rsidR="00276C12" w:rsidRPr="00386B43">
              <w:rPr>
                <w:sz w:val="26"/>
                <w:szCs w:val="26"/>
              </w:rPr>
              <w:t xml:space="preserve">saraksts </w:t>
            </w:r>
            <w:r>
              <w:rPr>
                <w:sz w:val="26"/>
                <w:szCs w:val="26"/>
              </w:rPr>
              <w:t xml:space="preserve">šim mērķim </w:t>
            </w:r>
            <w:r w:rsidR="002B1084">
              <w:rPr>
                <w:sz w:val="26"/>
                <w:szCs w:val="26"/>
              </w:rPr>
              <w:t>paredzēt</w:t>
            </w:r>
            <w:r w:rsidR="00506DD7">
              <w:rPr>
                <w:sz w:val="26"/>
                <w:szCs w:val="26"/>
              </w:rPr>
              <w:t xml:space="preserve">o līdzekļu </w:t>
            </w:r>
            <w:r w:rsidR="002B1084">
              <w:rPr>
                <w:sz w:val="26"/>
                <w:szCs w:val="26"/>
              </w:rPr>
              <w:t xml:space="preserve">ietvaros (150`000 lati) </w:t>
            </w:r>
            <w:r w:rsidR="00276C12" w:rsidRPr="00386B43">
              <w:rPr>
                <w:sz w:val="26"/>
                <w:szCs w:val="26"/>
              </w:rPr>
              <w:t>tiks precizēts atbilstoši iepirkuma rezultātiem</w:t>
            </w:r>
            <w:r w:rsidR="00276C12">
              <w:rPr>
                <w:sz w:val="26"/>
                <w:szCs w:val="26"/>
              </w:rPr>
              <w:t>.</w:t>
            </w:r>
          </w:p>
        </w:tc>
      </w:tr>
      <w:tr w:rsidR="00DA30DA" w:rsidRPr="00DE1B77" w:rsidTr="00DA30DA">
        <w:trPr>
          <w:jc w:val="center"/>
        </w:trPr>
        <w:tc>
          <w:tcPr>
            <w:tcW w:w="2853" w:type="dxa"/>
          </w:tcPr>
          <w:p w:rsidR="00DA30DA" w:rsidRPr="00DE1B77" w:rsidRDefault="00DA30DA" w:rsidP="00831A72">
            <w:pPr>
              <w:rPr>
                <w:sz w:val="26"/>
                <w:szCs w:val="26"/>
              </w:rPr>
            </w:pPr>
            <w:r w:rsidRPr="00DE1B77">
              <w:rPr>
                <w:sz w:val="26"/>
                <w:szCs w:val="26"/>
              </w:rPr>
              <w:t>6.1. detalizēts ieņēmumu aprēķins</w:t>
            </w:r>
          </w:p>
        </w:tc>
        <w:tc>
          <w:tcPr>
            <w:tcW w:w="7224" w:type="dxa"/>
            <w:gridSpan w:val="5"/>
            <w:vMerge/>
          </w:tcPr>
          <w:p w:rsidR="00DA30DA" w:rsidRPr="00DE1B77" w:rsidRDefault="00DA30DA" w:rsidP="00831A72">
            <w:pPr>
              <w:pStyle w:val="naisf"/>
              <w:spacing w:before="0" w:after="0"/>
              <w:ind w:firstLine="0"/>
              <w:rPr>
                <w:b/>
                <w:i/>
                <w:sz w:val="26"/>
                <w:szCs w:val="26"/>
              </w:rPr>
            </w:pPr>
          </w:p>
        </w:tc>
      </w:tr>
      <w:tr w:rsidR="00DA30DA" w:rsidRPr="00DE1B77" w:rsidTr="00DA30DA">
        <w:trPr>
          <w:jc w:val="center"/>
        </w:trPr>
        <w:tc>
          <w:tcPr>
            <w:tcW w:w="2853" w:type="dxa"/>
          </w:tcPr>
          <w:p w:rsidR="00DA30DA" w:rsidRPr="00DE1B77" w:rsidRDefault="00DA30DA" w:rsidP="00831A72">
            <w:pPr>
              <w:rPr>
                <w:sz w:val="26"/>
                <w:szCs w:val="26"/>
              </w:rPr>
            </w:pPr>
            <w:r w:rsidRPr="00DE1B77">
              <w:rPr>
                <w:sz w:val="26"/>
                <w:szCs w:val="26"/>
              </w:rPr>
              <w:t>6.2. detalizēts izdevumu aprēķins</w:t>
            </w:r>
          </w:p>
        </w:tc>
        <w:tc>
          <w:tcPr>
            <w:tcW w:w="7224" w:type="dxa"/>
            <w:gridSpan w:val="5"/>
            <w:vMerge/>
          </w:tcPr>
          <w:p w:rsidR="00DA30DA" w:rsidRPr="00DE1B77" w:rsidRDefault="00DA30DA" w:rsidP="00831A72">
            <w:pPr>
              <w:pStyle w:val="naisf"/>
              <w:spacing w:before="0" w:after="0"/>
              <w:ind w:firstLine="0"/>
              <w:rPr>
                <w:b/>
                <w:i/>
                <w:sz w:val="26"/>
                <w:szCs w:val="26"/>
              </w:rPr>
            </w:pPr>
          </w:p>
        </w:tc>
      </w:tr>
      <w:tr w:rsidR="00DA30DA" w:rsidRPr="00DE1B77" w:rsidTr="00DA30DA">
        <w:trPr>
          <w:jc w:val="center"/>
        </w:trPr>
        <w:tc>
          <w:tcPr>
            <w:tcW w:w="2853" w:type="dxa"/>
          </w:tcPr>
          <w:p w:rsidR="00DA30DA" w:rsidRPr="00DE1B77" w:rsidRDefault="00DA30DA" w:rsidP="00831A72">
            <w:pPr>
              <w:rPr>
                <w:sz w:val="26"/>
                <w:szCs w:val="26"/>
              </w:rPr>
            </w:pPr>
            <w:r w:rsidRPr="00DE1B77">
              <w:rPr>
                <w:sz w:val="26"/>
                <w:szCs w:val="26"/>
              </w:rPr>
              <w:t>7. Cita informācija</w:t>
            </w:r>
          </w:p>
        </w:tc>
        <w:tc>
          <w:tcPr>
            <w:tcW w:w="7224" w:type="dxa"/>
            <w:gridSpan w:val="5"/>
          </w:tcPr>
          <w:p w:rsidR="00DA30DA" w:rsidRDefault="0054456F" w:rsidP="00707D91">
            <w:pPr>
              <w:pStyle w:val="naisf"/>
              <w:tabs>
                <w:tab w:val="left" w:pos="4644"/>
              </w:tabs>
              <w:spacing w:before="0" w:after="0"/>
              <w:ind w:firstLine="0"/>
              <w:rPr>
                <w:color w:val="000000"/>
                <w:sz w:val="26"/>
                <w:szCs w:val="26"/>
              </w:rPr>
            </w:pPr>
            <w:r>
              <w:rPr>
                <w:color w:val="000000"/>
                <w:sz w:val="26"/>
                <w:szCs w:val="26"/>
              </w:rPr>
              <w:t>I</w:t>
            </w:r>
            <w:r w:rsidR="00272248" w:rsidRPr="00DE1B77">
              <w:rPr>
                <w:color w:val="000000"/>
                <w:sz w:val="26"/>
                <w:szCs w:val="26"/>
              </w:rPr>
              <w:t xml:space="preserve">zdevumus sedz no </w:t>
            </w:r>
            <w:r w:rsidRPr="0054456F">
              <w:rPr>
                <w:color w:val="000000"/>
                <w:sz w:val="26"/>
                <w:szCs w:val="26"/>
              </w:rPr>
              <w:t>valsts budžeta programmas 02.00.00 „Līdzekļi neparedzētiem gadījumiem”</w:t>
            </w:r>
            <w:r w:rsidR="00272248" w:rsidRPr="00DE1B77">
              <w:rPr>
                <w:color w:val="000000"/>
                <w:sz w:val="26"/>
                <w:szCs w:val="26"/>
              </w:rPr>
              <w:t>.</w:t>
            </w:r>
          </w:p>
          <w:p w:rsidR="00380954" w:rsidRDefault="00380954" w:rsidP="00707D91">
            <w:pPr>
              <w:pStyle w:val="naisf"/>
              <w:tabs>
                <w:tab w:val="left" w:pos="4644"/>
              </w:tabs>
              <w:spacing w:before="0" w:after="0"/>
              <w:ind w:firstLine="0"/>
              <w:rPr>
                <w:color w:val="000000"/>
                <w:sz w:val="26"/>
                <w:szCs w:val="26"/>
              </w:rPr>
            </w:pPr>
          </w:p>
          <w:p w:rsidR="00380954" w:rsidRPr="00DE1B77" w:rsidRDefault="00380954" w:rsidP="00707D91">
            <w:pPr>
              <w:pStyle w:val="naisf"/>
              <w:tabs>
                <w:tab w:val="left" w:pos="4644"/>
              </w:tabs>
              <w:spacing w:before="0" w:after="0"/>
              <w:ind w:firstLine="0"/>
              <w:rPr>
                <w:sz w:val="26"/>
                <w:szCs w:val="26"/>
              </w:rPr>
            </w:pPr>
            <w:r>
              <w:rPr>
                <w:sz w:val="26"/>
                <w:szCs w:val="26"/>
              </w:rPr>
              <w:t>I</w:t>
            </w:r>
            <w:r w:rsidRPr="008E4D15">
              <w:rPr>
                <w:sz w:val="26"/>
                <w:szCs w:val="26"/>
              </w:rPr>
              <w:t>nformāciju par apropriācijas izmaiņām likuma par valsts budžet</w:t>
            </w:r>
            <w:r>
              <w:rPr>
                <w:sz w:val="26"/>
                <w:szCs w:val="26"/>
              </w:rPr>
              <w:t>u attiecīgajam gadam pielikumā „</w:t>
            </w:r>
            <w:r w:rsidRPr="008E4D15">
              <w:rPr>
                <w:sz w:val="26"/>
                <w:szCs w:val="26"/>
              </w:rPr>
              <w:t>Valsts pamatbudžeta ieņēmumu un izdevumu atšifrējums pa programmām un apakšprogrammām</w:t>
            </w:r>
            <w:r>
              <w:rPr>
                <w:sz w:val="26"/>
                <w:szCs w:val="26"/>
              </w:rPr>
              <w:t>”</w:t>
            </w:r>
            <w:r w:rsidRPr="008E4D15">
              <w:rPr>
                <w:sz w:val="26"/>
                <w:szCs w:val="26"/>
              </w:rPr>
              <w:t xml:space="preserve"> (veidlapa APRO)</w:t>
            </w:r>
            <w:r>
              <w:rPr>
                <w:sz w:val="26"/>
                <w:szCs w:val="26"/>
              </w:rPr>
              <w:t xml:space="preserve"> ministrija iesniegs Finanšu ministrijā pēc Rīkojuma projekta pieņemšanas Ministru kabinetā.</w:t>
            </w:r>
          </w:p>
        </w:tc>
      </w:tr>
    </w:tbl>
    <w:p w:rsidR="00DA30DA" w:rsidRDefault="00DA30DA" w:rsidP="00D96FCD">
      <w:pPr>
        <w:pStyle w:val="naisf"/>
        <w:spacing w:before="0" w:after="0"/>
        <w:rPr>
          <w:sz w:val="26"/>
          <w:szCs w:val="26"/>
        </w:rPr>
      </w:pPr>
    </w:p>
    <w:p w:rsidR="00CF7C34" w:rsidRDefault="00CF7C34" w:rsidP="00CF7C34">
      <w:pPr>
        <w:rPr>
          <w:sz w:val="26"/>
          <w:szCs w:val="26"/>
        </w:rPr>
      </w:pPr>
      <w:r w:rsidRPr="00CF7C34">
        <w:rPr>
          <w:sz w:val="26"/>
          <w:szCs w:val="26"/>
        </w:rPr>
        <w:t>Anotācijas IV</w:t>
      </w:r>
      <w:r w:rsidR="00F24560">
        <w:rPr>
          <w:sz w:val="26"/>
          <w:szCs w:val="26"/>
        </w:rPr>
        <w:t xml:space="preserve"> – </w:t>
      </w:r>
      <w:r w:rsidRPr="00CF7C34">
        <w:rPr>
          <w:sz w:val="26"/>
          <w:szCs w:val="26"/>
        </w:rPr>
        <w:t>V</w:t>
      </w:r>
      <w:r w:rsidR="00F24560">
        <w:rPr>
          <w:sz w:val="26"/>
          <w:szCs w:val="26"/>
        </w:rPr>
        <w:t>II</w:t>
      </w:r>
      <w:r w:rsidRPr="00CF7C34">
        <w:rPr>
          <w:sz w:val="26"/>
          <w:szCs w:val="26"/>
        </w:rPr>
        <w:t xml:space="preserve"> sadaļa – </w:t>
      </w:r>
      <w:r>
        <w:rPr>
          <w:sz w:val="26"/>
          <w:szCs w:val="26"/>
        </w:rPr>
        <w:t>Rīkojuma p</w:t>
      </w:r>
      <w:r w:rsidRPr="00CF7C34">
        <w:rPr>
          <w:sz w:val="26"/>
          <w:szCs w:val="26"/>
        </w:rPr>
        <w:t>rojekts šīs jomas neskar.</w:t>
      </w:r>
    </w:p>
    <w:p w:rsidR="00585B7B" w:rsidRDefault="00585B7B" w:rsidP="00D96FCD"/>
    <w:p w:rsidR="00F24560" w:rsidRDefault="00F24560" w:rsidP="00D96FCD"/>
    <w:p w:rsidR="00587C74" w:rsidRPr="001B1189" w:rsidRDefault="008F245F" w:rsidP="00C7220E">
      <w:pPr>
        <w:pStyle w:val="BodyText2"/>
        <w:spacing w:after="0" w:line="240" w:lineRule="auto"/>
        <w:ind w:firstLine="720"/>
        <w:jc w:val="both"/>
        <w:rPr>
          <w:sz w:val="26"/>
          <w:szCs w:val="26"/>
        </w:rPr>
      </w:pPr>
      <w:r w:rsidRPr="001B1189">
        <w:rPr>
          <w:sz w:val="26"/>
          <w:szCs w:val="26"/>
        </w:rPr>
        <w:t>Izglītības un zinātnes ministr</w:t>
      </w:r>
      <w:r w:rsidR="008431E8">
        <w:rPr>
          <w:sz w:val="26"/>
          <w:szCs w:val="26"/>
        </w:rPr>
        <w:t>s</w:t>
      </w:r>
      <w:r w:rsidR="0059354C" w:rsidRPr="001B1189">
        <w:rPr>
          <w:sz w:val="26"/>
          <w:szCs w:val="26"/>
        </w:rPr>
        <w:tab/>
      </w:r>
      <w:r w:rsidR="0059354C" w:rsidRPr="001B1189">
        <w:rPr>
          <w:sz w:val="26"/>
          <w:szCs w:val="26"/>
        </w:rPr>
        <w:tab/>
      </w:r>
      <w:r w:rsidR="0059354C" w:rsidRPr="001B1189">
        <w:rPr>
          <w:sz w:val="26"/>
          <w:szCs w:val="26"/>
        </w:rPr>
        <w:tab/>
      </w:r>
      <w:r w:rsidR="0059354C" w:rsidRPr="001B1189">
        <w:rPr>
          <w:sz w:val="26"/>
          <w:szCs w:val="26"/>
        </w:rPr>
        <w:tab/>
      </w:r>
      <w:r w:rsidR="00991790">
        <w:rPr>
          <w:sz w:val="26"/>
          <w:szCs w:val="26"/>
        </w:rPr>
        <w:tab/>
      </w:r>
      <w:r w:rsidR="008431E8">
        <w:rPr>
          <w:sz w:val="26"/>
          <w:szCs w:val="26"/>
        </w:rPr>
        <w:t>R.</w:t>
      </w:r>
      <w:r w:rsidR="00893CD2">
        <w:rPr>
          <w:sz w:val="26"/>
          <w:szCs w:val="26"/>
        </w:rPr>
        <w:t>Ķīlis</w:t>
      </w:r>
    </w:p>
    <w:p w:rsidR="00585B7B" w:rsidRPr="001B1189" w:rsidRDefault="00585B7B" w:rsidP="00D96FCD">
      <w:pPr>
        <w:rPr>
          <w:sz w:val="26"/>
          <w:szCs w:val="26"/>
        </w:rPr>
      </w:pPr>
    </w:p>
    <w:p w:rsidR="004560F5" w:rsidRPr="001B1189" w:rsidRDefault="004560F5" w:rsidP="00D96FCD">
      <w:pPr>
        <w:rPr>
          <w:sz w:val="26"/>
          <w:szCs w:val="26"/>
        </w:rPr>
      </w:pPr>
    </w:p>
    <w:p w:rsidR="00195FD9" w:rsidRPr="008F54FB" w:rsidRDefault="00195FD9" w:rsidP="00195FD9">
      <w:pPr>
        <w:autoSpaceDE w:val="0"/>
        <w:autoSpaceDN w:val="0"/>
        <w:adjustRightInd w:val="0"/>
        <w:ind w:left="720"/>
        <w:rPr>
          <w:color w:val="000000"/>
          <w:sz w:val="26"/>
          <w:szCs w:val="26"/>
        </w:rPr>
      </w:pPr>
      <w:r w:rsidRPr="008F54FB">
        <w:rPr>
          <w:color w:val="000000"/>
          <w:sz w:val="26"/>
          <w:szCs w:val="26"/>
        </w:rPr>
        <w:t xml:space="preserve">Vizē: </w:t>
      </w:r>
      <w:r w:rsidRPr="008F54FB">
        <w:rPr>
          <w:color w:val="000000"/>
          <w:sz w:val="26"/>
          <w:szCs w:val="26"/>
        </w:rPr>
        <w:tab/>
      </w:r>
      <w:r w:rsidRPr="008F54FB">
        <w:rPr>
          <w:color w:val="000000"/>
          <w:sz w:val="26"/>
          <w:szCs w:val="26"/>
        </w:rPr>
        <w:tab/>
      </w:r>
    </w:p>
    <w:p w:rsidR="00195FD9" w:rsidRPr="008F54FB" w:rsidRDefault="00195FD9" w:rsidP="00195FD9">
      <w:pPr>
        <w:autoSpaceDE w:val="0"/>
        <w:autoSpaceDN w:val="0"/>
        <w:adjustRightInd w:val="0"/>
        <w:ind w:left="720"/>
        <w:rPr>
          <w:color w:val="000000"/>
          <w:sz w:val="26"/>
          <w:szCs w:val="26"/>
        </w:rPr>
      </w:pPr>
      <w:r w:rsidRPr="008F54FB">
        <w:rPr>
          <w:color w:val="000000"/>
          <w:sz w:val="26"/>
          <w:szCs w:val="26"/>
        </w:rPr>
        <w:t>Valsts sekretāra vietniece,</w:t>
      </w:r>
    </w:p>
    <w:p w:rsidR="00195FD9" w:rsidRPr="008F54FB" w:rsidRDefault="00195FD9" w:rsidP="00195FD9">
      <w:pPr>
        <w:autoSpaceDE w:val="0"/>
        <w:autoSpaceDN w:val="0"/>
        <w:adjustRightInd w:val="0"/>
        <w:ind w:left="720"/>
        <w:rPr>
          <w:color w:val="000000"/>
          <w:sz w:val="26"/>
          <w:szCs w:val="26"/>
        </w:rPr>
      </w:pPr>
      <w:r w:rsidRPr="008F54FB">
        <w:rPr>
          <w:color w:val="000000"/>
          <w:sz w:val="26"/>
          <w:szCs w:val="26"/>
        </w:rPr>
        <w:t>valsts sekretāra pienākumu izpildītāja</w:t>
      </w:r>
      <w:r w:rsidRPr="008F54FB">
        <w:rPr>
          <w:color w:val="000000"/>
          <w:sz w:val="26"/>
          <w:szCs w:val="26"/>
        </w:rPr>
        <w:tab/>
      </w:r>
      <w:r w:rsidRPr="008F54FB">
        <w:rPr>
          <w:color w:val="000000"/>
          <w:sz w:val="26"/>
          <w:szCs w:val="26"/>
        </w:rPr>
        <w:tab/>
      </w:r>
      <w:r w:rsidRPr="008F54FB">
        <w:rPr>
          <w:color w:val="000000"/>
          <w:sz w:val="26"/>
          <w:szCs w:val="26"/>
        </w:rPr>
        <w:tab/>
      </w:r>
      <w:r w:rsidRPr="008F54FB">
        <w:rPr>
          <w:color w:val="000000"/>
          <w:sz w:val="26"/>
          <w:szCs w:val="26"/>
        </w:rPr>
        <w:tab/>
        <w:t>L.Sīka</w:t>
      </w:r>
    </w:p>
    <w:p w:rsidR="00195FD9" w:rsidRDefault="00195FD9" w:rsidP="00195FD9">
      <w:pPr>
        <w:ind w:left="720"/>
        <w:rPr>
          <w:color w:val="000000"/>
          <w:szCs w:val="28"/>
        </w:rPr>
      </w:pPr>
    </w:p>
    <w:p w:rsidR="00EC555C" w:rsidRDefault="00EC555C" w:rsidP="00195FD9">
      <w:pPr>
        <w:ind w:left="720"/>
        <w:rPr>
          <w:color w:val="000000"/>
          <w:szCs w:val="28"/>
        </w:rPr>
      </w:pPr>
    </w:p>
    <w:p w:rsidR="00195FD9" w:rsidRPr="008F54FB" w:rsidRDefault="00195FD9" w:rsidP="00195FD9">
      <w:pPr>
        <w:ind w:left="720"/>
        <w:rPr>
          <w:sz w:val="22"/>
          <w:szCs w:val="22"/>
        </w:rPr>
      </w:pPr>
      <w:r w:rsidRPr="008F54FB">
        <w:rPr>
          <w:sz w:val="22"/>
          <w:szCs w:val="22"/>
        </w:rPr>
        <w:t>2</w:t>
      </w:r>
      <w:r w:rsidR="00A7391F">
        <w:rPr>
          <w:sz w:val="22"/>
          <w:szCs w:val="22"/>
        </w:rPr>
        <w:t>6</w:t>
      </w:r>
      <w:r w:rsidRPr="008F54FB">
        <w:rPr>
          <w:sz w:val="22"/>
          <w:szCs w:val="22"/>
        </w:rPr>
        <w:t xml:space="preserve">.06.2012 </w:t>
      </w:r>
      <w:r w:rsidR="00F379EA">
        <w:rPr>
          <w:sz w:val="22"/>
          <w:szCs w:val="22"/>
        </w:rPr>
        <w:t>09</w:t>
      </w:r>
      <w:r w:rsidRPr="008F54FB">
        <w:rPr>
          <w:sz w:val="22"/>
          <w:szCs w:val="22"/>
        </w:rPr>
        <w:t>:</w:t>
      </w:r>
      <w:r w:rsidR="00F514B7">
        <w:rPr>
          <w:sz w:val="22"/>
          <w:szCs w:val="22"/>
        </w:rPr>
        <w:t>22</w:t>
      </w:r>
    </w:p>
    <w:p w:rsidR="00195FD9" w:rsidRPr="008F54FB" w:rsidRDefault="007C79BC" w:rsidP="00195FD9">
      <w:pPr>
        <w:ind w:left="720"/>
        <w:rPr>
          <w:sz w:val="22"/>
          <w:szCs w:val="22"/>
        </w:rPr>
      </w:pPr>
      <w:fldSimple w:instr=" NUMWORDS   \* MERGEFORMAT ">
        <w:r w:rsidR="00604A41" w:rsidRPr="00604A41">
          <w:rPr>
            <w:noProof/>
            <w:sz w:val="22"/>
            <w:szCs w:val="22"/>
          </w:rPr>
          <w:t>1655</w:t>
        </w:r>
      </w:fldSimple>
      <w:bookmarkStart w:id="3" w:name="_GoBack"/>
      <w:bookmarkEnd w:id="3"/>
    </w:p>
    <w:p w:rsidR="00195FD9" w:rsidRPr="008F54FB" w:rsidRDefault="00195FD9" w:rsidP="00195FD9">
      <w:pPr>
        <w:ind w:left="720"/>
        <w:rPr>
          <w:sz w:val="22"/>
          <w:szCs w:val="22"/>
        </w:rPr>
      </w:pPr>
      <w:bookmarkStart w:id="4" w:name="OLE_LINK7"/>
      <w:r w:rsidRPr="008F54FB">
        <w:rPr>
          <w:sz w:val="22"/>
          <w:szCs w:val="22"/>
        </w:rPr>
        <w:t>Izglītības un zinātnes ministrijas</w:t>
      </w:r>
    </w:p>
    <w:p w:rsidR="00195FD9" w:rsidRPr="008F54FB" w:rsidRDefault="00195FD9" w:rsidP="00195FD9">
      <w:pPr>
        <w:ind w:left="720"/>
        <w:rPr>
          <w:sz w:val="22"/>
          <w:szCs w:val="22"/>
        </w:rPr>
      </w:pPr>
      <w:r w:rsidRPr="008F54FB">
        <w:rPr>
          <w:sz w:val="22"/>
          <w:szCs w:val="22"/>
        </w:rPr>
        <w:t>Sporta un jaunatnes departamenta</w:t>
      </w:r>
    </w:p>
    <w:p w:rsidR="00195FD9" w:rsidRPr="008F54FB" w:rsidRDefault="00195FD9" w:rsidP="00195FD9">
      <w:pPr>
        <w:ind w:left="720"/>
        <w:rPr>
          <w:sz w:val="22"/>
          <w:szCs w:val="22"/>
        </w:rPr>
      </w:pPr>
      <w:r w:rsidRPr="008F54FB">
        <w:rPr>
          <w:sz w:val="22"/>
          <w:szCs w:val="22"/>
        </w:rPr>
        <w:t>vecākais eksperts E.Severs</w:t>
      </w:r>
    </w:p>
    <w:p w:rsidR="00585B7B" w:rsidRPr="00055608" w:rsidRDefault="00195FD9" w:rsidP="00A7391F">
      <w:pPr>
        <w:ind w:left="720"/>
        <w:rPr>
          <w:sz w:val="22"/>
          <w:szCs w:val="22"/>
        </w:rPr>
      </w:pPr>
      <w:r w:rsidRPr="008F54FB">
        <w:rPr>
          <w:sz w:val="22"/>
          <w:szCs w:val="22"/>
        </w:rPr>
        <w:t>67047935, edgars.severs@izm.gov.lv</w:t>
      </w:r>
      <w:bookmarkEnd w:id="4"/>
    </w:p>
    <w:sectPr w:rsidR="00585B7B" w:rsidRPr="00055608" w:rsidSect="00832668">
      <w:headerReference w:type="default" r:id="rId7"/>
      <w:footerReference w:type="default" r:id="rId8"/>
      <w:footerReference w:type="first" r:id="rId9"/>
      <w:pgSz w:w="11906" w:h="16838" w:code="9"/>
      <w:pgMar w:top="1134" w:right="1134" w:bottom="1134" w:left="1701" w:header="567" w:footer="6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994" w:rsidRDefault="00C91994" w:rsidP="00123E9B">
      <w:r>
        <w:separator/>
      </w:r>
    </w:p>
  </w:endnote>
  <w:endnote w:type="continuationSeparator" w:id="0">
    <w:p w:rsidR="00C91994" w:rsidRDefault="00C91994" w:rsidP="00123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51" w:rsidRPr="00DE1B77" w:rsidRDefault="00750E51" w:rsidP="00750E51">
    <w:pPr>
      <w:ind w:left="-360" w:right="-262"/>
      <w:jc w:val="both"/>
      <w:rPr>
        <w:sz w:val="22"/>
        <w:szCs w:val="22"/>
      </w:rPr>
    </w:pPr>
    <w:r w:rsidRPr="00DE1B77">
      <w:rPr>
        <w:sz w:val="22"/>
        <w:szCs w:val="22"/>
      </w:rPr>
      <w:t>IZMAnot_</w:t>
    </w:r>
    <w:r w:rsidR="00195FD9">
      <w:rPr>
        <w:sz w:val="22"/>
        <w:szCs w:val="22"/>
      </w:rPr>
      <w:t>2</w:t>
    </w:r>
    <w:r w:rsidR="00A7391F">
      <w:rPr>
        <w:sz w:val="22"/>
        <w:szCs w:val="22"/>
      </w:rPr>
      <w:t>6</w:t>
    </w:r>
    <w:r>
      <w:rPr>
        <w:sz w:val="22"/>
        <w:szCs w:val="22"/>
      </w:rPr>
      <w:t>0612</w:t>
    </w:r>
    <w:r w:rsidRPr="00DE1B77">
      <w:rPr>
        <w:sz w:val="22"/>
        <w:szCs w:val="22"/>
      </w:rPr>
      <w:t>_</w:t>
    </w:r>
    <w:r>
      <w:rPr>
        <w:sz w:val="22"/>
        <w:szCs w:val="22"/>
      </w:rPr>
      <w:t>trase</w:t>
    </w:r>
    <w:r w:rsidRPr="00DE1B77">
      <w:rPr>
        <w:sz w:val="22"/>
        <w:szCs w:val="22"/>
      </w:rPr>
      <w:t>; Ministru kabineta rīkojuma projekta „Par finanšu līdzekļu piešķiršanu no valsts budžeta programmas „Līdzekļi neparedzētiem gadījumiem”” sākotnējās ietekmes novērtējuma ziņojums (anotācija)</w:t>
    </w:r>
  </w:p>
  <w:p w:rsidR="00893CD2" w:rsidRPr="00750E51" w:rsidRDefault="00893CD2" w:rsidP="00750E51">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D2" w:rsidRPr="00DE1B77" w:rsidRDefault="00893CD2" w:rsidP="00055608">
    <w:pPr>
      <w:ind w:left="-360" w:right="-262"/>
      <w:jc w:val="both"/>
      <w:rPr>
        <w:sz w:val="22"/>
        <w:szCs w:val="22"/>
      </w:rPr>
    </w:pPr>
    <w:r w:rsidRPr="00DE1B77">
      <w:rPr>
        <w:sz w:val="22"/>
        <w:szCs w:val="22"/>
      </w:rPr>
      <w:t>IZMAnot_</w:t>
    </w:r>
    <w:r w:rsidR="00195FD9">
      <w:rPr>
        <w:sz w:val="22"/>
        <w:szCs w:val="22"/>
      </w:rPr>
      <w:t>2</w:t>
    </w:r>
    <w:r w:rsidR="00A7391F">
      <w:rPr>
        <w:sz w:val="22"/>
        <w:szCs w:val="22"/>
      </w:rPr>
      <w:t>6</w:t>
    </w:r>
    <w:r w:rsidR="003727D6">
      <w:rPr>
        <w:sz w:val="22"/>
        <w:szCs w:val="22"/>
      </w:rPr>
      <w:t>0612</w:t>
    </w:r>
    <w:r w:rsidRPr="00DE1B77">
      <w:rPr>
        <w:sz w:val="22"/>
        <w:szCs w:val="22"/>
      </w:rPr>
      <w:t>_</w:t>
    </w:r>
    <w:r w:rsidR="00750E51">
      <w:rPr>
        <w:sz w:val="22"/>
        <w:szCs w:val="22"/>
      </w:rPr>
      <w:t>trase</w:t>
    </w:r>
    <w:r w:rsidRPr="00DE1B77">
      <w:rPr>
        <w:sz w:val="22"/>
        <w:szCs w:val="22"/>
      </w:rPr>
      <w:t>; Ministru kabineta rīkojuma projekta „Par finanšu līdzekļu piešķiršanu no valsts budžeta programmas „Līdzekļi neparedzētiem gadījumiem””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994" w:rsidRDefault="00C91994" w:rsidP="00123E9B">
      <w:r>
        <w:separator/>
      </w:r>
    </w:p>
  </w:footnote>
  <w:footnote w:type="continuationSeparator" w:id="0">
    <w:p w:rsidR="00C91994" w:rsidRDefault="00C91994" w:rsidP="00123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CD2" w:rsidRDefault="007C79BC">
    <w:pPr>
      <w:pStyle w:val="Header"/>
      <w:jc w:val="center"/>
    </w:pPr>
    <w:r>
      <w:fldChar w:fldCharType="begin"/>
    </w:r>
    <w:r w:rsidR="003B571B">
      <w:instrText xml:space="preserve"> PAGE   \* MERGEFORMAT </w:instrText>
    </w:r>
    <w:r>
      <w:fldChar w:fldCharType="separate"/>
    </w:r>
    <w:r w:rsidR="00832668">
      <w:rPr>
        <w:noProof/>
      </w:rPr>
      <w:t>6</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D96FCD"/>
    <w:rsid w:val="00000DEA"/>
    <w:rsid w:val="0000524B"/>
    <w:rsid w:val="00010590"/>
    <w:rsid w:val="000120DA"/>
    <w:rsid w:val="00012EAE"/>
    <w:rsid w:val="00033013"/>
    <w:rsid w:val="00034AA4"/>
    <w:rsid w:val="0003640B"/>
    <w:rsid w:val="00037B73"/>
    <w:rsid w:val="000401D9"/>
    <w:rsid w:val="00040D4E"/>
    <w:rsid w:val="0004297E"/>
    <w:rsid w:val="000454C3"/>
    <w:rsid w:val="000463EE"/>
    <w:rsid w:val="00046CDE"/>
    <w:rsid w:val="00047FE8"/>
    <w:rsid w:val="000541F8"/>
    <w:rsid w:val="00055608"/>
    <w:rsid w:val="00055F70"/>
    <w:rsid w:val="000577FD"/>
    <w:rsid w:val="00063C13"/>
    <w:rsid w:val="0006651A"/>
    <w:rsid w:val="00070F02"/>
    <w:rsid w:val="00071C49"/>
    <w:rsid w:val="00072B98"/>
    <w:rsid w:val="00074405"/>
    <w:rsid w:val="00074B8C"/>
    <w:rsid w:val="00076F56"/>
    <w:rsid w:val="00080CC1"/>
    <w:rsid w:val="00081A75"/>
    <w:rsid w:val="00081CEB"/>
    <w:rsid w:val="000849C2"/>
    <w:rsid w:val="00090BFF"/>
    <w:rsid w:val="000934D5"/>
    <w:rsid w:val="00094F13"/>
    <w:rsid w:val="00095EBB"/>
    <w:rsid w:val="00097B46"/>
    <w:rsid w:val="000A3258"/>
    <w:rsid w:val="000A4403"/>
    <w:rsid w:val="000B3B3C"/>
    <w:rsid w:val="000C0BAF"/>
    <w:rsid w:val="000C36BE"/>
    <w:rsid w:val="000D00F8"/>
    <w:rsid w:val="000D5C99"/>
    <w:rsid w:val="000E0815"/>
    <w:rsid w:val="000E2489"/>
    <w:rsid w:val="000E3B94"/>
    <w:rsid w:val="000E4A2A"/>
    <w:rsid w:val="000E5FDF"/>
    <w:rsid w:val="000F7A8F"/>
    <w:rsid w:val="0010198A"/>
    <w:rsid w:val="00103760"/>
    <w:rsid w:val="00111709"/>
    <w:rsid w:val="00116669"/>
    <w:rsid w:val="0012123A"/>
    <w:rsid w:val="00123E9B"/>
    <w:rsid w:val="0012448A"/>
    <w:rsid w:val="0012704D"/>
    <w:rsid w:val="0012791B"/>
    <w:rsid w:val="00131A15"/>
    <w:rsid w:val="00132D10"/>
    <w:rsid w:val="001350A6"/>
    <w:rsid w:val="001376F8"/>
    <w:rsid w:val="00137FAC"/>
    <w:rsid w:val="001413A9"/>
    <w:rsid w:val="0014582E"/>
    <w:rsid w:val="00147D9A"/>
    <w:rsid w:val="00150D62"/>
    <w:rsid w:val="00156760"/>
    <w:rsid w:val="00157F12"/>
    <w:rsid w:val="00172A25"/>
    <w:rsid w:val="00174AEB"/>
    <w:rsid w:val="00181D00"/>
    <w:rsid w:val="001824F8"/>
    <w:rsid w:val="0018329D"/>
    <w:rsid w:val="00186DF5"/>
    <w:rsid w:val="001904B3"/>
    <w:rsid w:val="00194A0F"/>
    <w:rsid w:val="00195FD9"/>
    <w:rsid w:val="001A142F"/>
    <w:rsid w:val="001A290D"/>
    <w:rsid w:val="001A2EC1"/>
    <w:rsid w:val="001A31E1"/>
    <w:rsid w:val="001A34F0"/>
    <w:rsid w:val="001A45C8"/>
    <w:rsid w:val="001A6E9C"/>
    <w:rsid w:val="001B1189"/>
    <w:rsid w:val="001B32BB"/>
    <w:rsid w:val="001B6887"/>
    <w:rsid w:val="001C15CD"/>
    <w:rsid w:val="001C2FDE"/>
    <w:rsid w:val="001C403D"/>
    <w:rsid w:val="001C4BA3"/>
    <w:rsid w:val="001C60B1"/>
    <w:rsid w:val="001D17EA"/>
    <w:rsid w:val="001D4A15"/>
    <w:rsid w:val="001D7302"/>
    <w:rsid w:val="001D7C74"/>
    <w:rsid w:val="001E6E40"/>
    <w:rsid w:val="001F0A3C"/>
    <w:rsid w:val="002005CA"/>
    <w:rsid w:val="0020083C"/>
    <w:rsid w:val="0020091C"/>
    <w:rsid w:val="00201CA6"/>
    <w:rsid w:val="002054CB"/>
    <w:rsid w:val="002056DD"/>
    <w:rsid w:val="0021163A"/>
    <w:rsid w:val="00214413"/>
    <w:rsid w:val="0021458D"/>
    <w:rsid w:val="00214AE5"/>
    <w:rsid w:val="00224F0F"/>
    <w:rsid w:val="00232B87"/>
    <w:rsid w:val="002339F0"/>
    <w:rsid w:val="00244807"/>
    <w:rsid w:val="00246FEA"/>
    <w:rsid w:val="0025457B"/>
    <w:rsid w:val="0025500E"/>
    <w:rsid w:val="002637C0"/>
    <w:rsid w:val="00266356"/>
    <w:rsid w:val="00270E39"/>
    <w:rsid w:val="00272248"/>
    <w:rsid w:val="00273D63"/>
    <w:rsid w:val="002761F4"/>
    <w:rsid w:val="00276C12"/>
    <w:rsid w:val="002819CC"/>
    <w:rsid w:val="002834A0"/>
    <w:rsid w:val="0028791A"/>
    <w:rsid w:val="00290940"/>
    <w:rsid w:val="0029164A"/>
    <w:rsid w:val="002918AC"/>
    <w:rsid w:val="00291A48"/>
    <w:rsid w:val="00295345"/>
    <w:rsid w:val="002975AC"/>
    <w:rsid w:val="002A1E5B"/>
    <w:rsid w:val="002A41DA"/>
    <w:rsid w:val="002B03B2"/>
    <w:rsid w:val="002B1084"/>
    <w:rsid w:val="002B5C0B"/>
    <w:rsid w:val="002B6351"/>
    <w:rsid w:val="002B6933"/>
    <w:rsid w:val="002C0946"/>
    <w:rsid w:val="002C2590"/>
    <w:rsid w:val="002C50CA"/>
    <w:rsid w:val="002D05F1"/>
    <w:rsid w:val="002E011D"/>
    <w:rsid w:val="002E0B47"/>
    <w:rsid w:val="002E0BB9"/>
    <w:rsid w:val="002E40BB"/>
    <w:rsid w:val="002E6A3D"/>
    <w:rsid w:val="002F25B0"/>
    <w:rsid w:val="002F5EAC"/>
    <w:rsid w:val="003014C2"/>
    <w:rsid w:val="0031483B"/>
    <w:rsid w:val="00326649"/>
    <w:rsid w:val="003268E2"/>
    <w:rsid w:val="00326FFD"/>
    <w:rsid w:val="00335F59"/>
    <w:rsid w:val="003478B4"/>
    <w:rsid w:val="003506B1"/>
    <w:rsid w:val="00350D8D"/>
    <w:rsid w:val="00351AA0"/>
    <w:rsid w:val="0035463A"/>
    <w:rsid w:val="00357A2C"/>
    <w:rsid w:val="003727D6"/>
    <w:rsid w:val="00380954"/>
    <w:rsid w:val="00383F46"/>
    <w:rsid w:val="00386B43"/>
    <w:rsid w:val="00386F10"/>
    <w:rsid w:val="003906FF"/>
    <w:rsid w:val="00390EDA"/>
    <w:rsid w:val="00397AA4"/>
    <w:rsid w:val="003A0BA4"/>
    <w:rsid w:val="003A193D"/>
    <w:rsid w:val="003A6F5B"/>
    <w:rsid w:val="003B0922"/>
    <w:rsid w:val="003B1A4F"/>
    <w:rsid w:val="003B2B5A"/>
    <w:rsid w:val="003B465C"/>
    <w:rsid w:val="003B571B"/>
    <w:rsid w:val="003C691E"/>
    <w:rsid w:val="003D4908"/>
    <w:rsid w:val="003D5508"/>
    <w:rsid w:val="003F43C8"/>
    <w:rsid w:val="003F75A6"/>
    <w:rsid w:val="003F786B"/>
    <w:rsid w:val="00401E98"/>
    <w:rsid w:val="004020E4"/>
    <w:rsid w:val="00404DD8"/>
    <w:rsid w:val="0040650B"/>
    <w:rsid w:val="00406BFE"/>
    <w:rsid w:val="00411191"/>
    <w:rsid w:val="00411CF0"/>
    <w:rsid w:val="00412E8E"/>
    <w:rsid w:val="00416FC9"/>
    <w:rsid w:val="004177B4"/>
    <w:rsid w:val="0041793F"/>
    <w:rsid w:val="00424E6F"/>
    <w:rsid w:val="0042540D"/>
    <w:rsid w:val="004310C7"/>
    <w:rsid w:val="004331E9"/>
    <w:rsid w:val="00443FE3"/>
    <w:rsid w:val="00451063"/>
    <w:rsid w:val="004513C2"/>
    <w:rsid w:val="004523BD"/>
    <w:rsid w:val="00453435"/>
    <w:rsid w:val="00454E29"/>
    <w:rsid w:val="004560F5"/>
    <w:rsid w:val="004569F4"/>
    <w:rsid w:val="00456BC1"/>
    <w:rsid w:val="00463FD8"/>
    <w:rsid w:val="00466E6C"/>
    <w:rsid w:val="00472637"/>
    <w:rsid w:val="0047336E"/>
    <w:rsid w:val="00476508"/>
    <w:rsid w:val="004804CE"/>
    <w:rsid w:val="0048376B"/>
    <w:rsid w:val="00486A8A"/>
    <w:rsid w:val="004910F7"/>
    <w:rsid w:val="004925F7"/>
    <w:rsid w:val="004940B7"/>
    <w:rsid w:val="0049673D"/>
    <w:rsid w:val="004A1976"/>
    <w:rsid w:val="004A2074"/>
    <w:rsid w:val="004A5933"/>
    <w:rsid w:val="004B0198"/>
    <w:rsid w:val="004B617C"/>
    <w:rsid w:val="004C6E14"/>
    <w:rsid w:val="004C7662"/>
    <w:rsid w:val="004D202D"/>
    <w:rsid w:val="004F14C5"/>
    <w:rsid w:val="00504DBF"/>
    <w:rsid w:val="00506DD7"/>
    <w:rsid w:val="00512A78"/>
    <w:rsid w:val="00514C25"/>
    <w:rsid w:val="0052259E"/>
    <w:rsid w:val="0052372C"/>
    <w:rsid w:val="00524879"/>
    <w:rsid w:val="0052503E"/>
    <w:rsid w:val="00526BBC"/>
    <w:rsid w:val="00530EBE"/>
    <w:rsid w:val="00533BE9"/>
    <w:rsid w:val="005344F2"/>
    <w:rsid w:val="005416B2"/>
    <w:rsid w:val="005431CC"/>
    <w:rsid w:val="0054456F"/>
    <w:rsid w:val="005511F9"/>
    <w:rsid w:val="005517DE"/>
    <w:rsid w:val="00551AA8"/>
    <w:rsid w:val="00554CE1"/>
    <w:rsid w:val="00556898"/>
    <w:rsid w:val="00557E2F"/>
    <w:rsid w:val="005637B7"/>
    <w:rsid w:val="00564A7F"/>
    <w:rsid w:val="00565777"/>
    <w:rsid w:val="00570C93"/>
    <w:rsid w:val="00573C60"/>
    <w:rsid w:val="00585B7B"/>
    <w:rsid w:val="00587C74"/>
    <w:rsid w:val="00590DD0"/>
    <w:rsid w:val="0059354C"/>
    <w:rsid w:val="00594DEF"/>
    <w:rsid w:val="00595185"/>
    <w:rsid w:val="005956E5"/>
    <w:rsid w:val="005A02DC"/>
    <w:rsid w:val="005A077D"/>
    <w:rsid w:val="005A0EAC"/>
    <w:rsid w:val="005A41F0"/>
    <w:rsid w:val="005A7608"/>
    <w:rsid w:val="005B1E9C"/>
    <w:rsid w:val="005B4B22"/>
    <w:rsid w:val="005B5C5C"/>
    <w:rsid w:val="005C1641"/>
    <w:rsid w:val="005C1BC7"/>
    <w:rsid w:val="005C278A"/>
    <w:rsid w:val="005C3A56"/>
    <w:rsid w:val="005C3D31"/>
    <w:rsid w:val="005C5513"/>
    <w:rsid w:val="005C5DB9"/>
    <w:rsid w:val="005D2C19"/>
    <w:rsid w:val="005D469E"/>
    <w:rsid w:val="005D4A0C"/>
    <w:rsid w:val="005D64B0"/>
    <w:rsid w:val="005D6B8A"/>
    <w:rsid w:val="005E4159"/>
    <w:rsid w:val="005F22A7"/>
    <w:rsid w:val="005F3AA1"/>
    <w:rsid w:val="005F6A42"/>
    <w:rsid w:val="00602CC7"/>
    <w:rsid w:val="00604A41"/>
    <w:rsid w:val="00605A33"/>
    <w:rsid w:val="00610FD8"/>
    <w:rsid w:val="00615FD8"/>
    <w:rsid w:val="00616477"/>
    <w:rsid w:val="00620CAE"/>
    <w:rsid w:val="0062282B"/>
    <w:rsid w:val="0062334B"/>
    <w:rsid w:val="006234D3"/>
    <w:rsid w:val="00624591"/>
    <w:rsid w:val="00632290"/>
    <w:rsid w:val="006337E8"/>
    <w:rsid w:val="00640C60"/>
    <w:rsid w:val="00642ABF"/>
    <w:rsid w:val="0064591A"/>
    <w:rsid w:val="006502FA"/>
    <w:rsid w:val="00653952"/>
    <w:rsid w:val="00654274"/>
    <w:rsid w:val="0065692E"/>
    <w:rsid w:val="0066504D"/>
    <w:rsid w:val="00666844"/>
    <w:rsid w:val="00672827"/>
    <w:rsid w:val="00676573"/>
    <w:rsid w:val="00685380"/>
    <w:rsid w:val="00693071"/>
    <w:rsid w:val="00693E2C"/>
    <w:rsid w:val="006A20B2"/>
    <w:rsid w:val="006A5B29"/>
    <w:rsid w:val="006A7A10"/>
    <w:rsid w:val="006B2095"/>
    <w:rsid w:val="006B232C"/>
    <w:rsid w:val="006B76EE"/>
    <w:rsid w:val="006C1D18"/>
    <w:rsid w:val="006D531B"/>
    <w:rsid w:val="006D5A81"/>
    <w:rsid w:val="006D6BB4"/>
    <w:rsid w:val="006D740F"/>
    <w:rsid w:val="006D759A"/>
    <w:rsid w:val="006D7BDE"/>
    <w:rsid w:val="006E2009"/>
    <w:rsid w:val="006E3BEA"/>
    <w:rsid w:val="006E6160"/>
    <w:rsid w:val="006E768C"/>
    <w:rsid w:val="006F3DD2"/>
    <w:rsid w:val="00700411"/>
    <w:rsid w:val="007018B6"/>
    <w:rsid w:val="007052C3"/>
    <w:rsid w:val="00706CAC"/>
    <w:rsid w:val="0070748C"/>
    <w:rsid w:val="00707D91"/>
    <w:rsid w:val="00710206"/>
    <w:rsid w:val="00714715"/>
    <w:rsid w:val="007213F1"/>
    <w:rsid w:val="00721827"/>
    <w:rsid w:val="007247C1"/>
    <w:rsid w:val="00724AF2"/>
    <w:rsid w:val="007263F1"/>
    <w:rsid w:val="00726C59"/>
    <w:rsid w:val="00732686"/>
    <w:rsid w:val="00732A32"/>
    <w:rsid w:val="00733E34"/>
    <w:rsid w:val="007351BE"/>
    <w:rsid w:val="00735338"/>
    <w:rsid w:val="007442E2"/>
    <w:rsid w:val="0075045D"/>
    <w:rsid w:val="00750E51"/>
    <w:rsid w:val="00754101"/>
    <w:rsid w:val="0075513E"/>
    <w:rsid w:val="00762F8F"/>
    <w:rsid w:val="00764D95"/>
    <w:rsid w:val="0076557F"/>
    <w:rsid w:val="00765AA8"/>
    <w:rsid w:val="0077133D"/>
    <w:rsid w:val="00773B13"/>
    <w:rsid w:val="00774453"/>
    <w:rsid w:val="00775647"/>
    <w:rsid w:val="00775682"/>
    <w:rsid w:val="00776B8D"/>
    <w:rsid w:val="00776EE1"/>
    <w:rsid w:val="007816D3"/>
    <w:rsid w:val="00781BCE"/>
    <w:rsid w:val="00783B51"/>
    <w:rsid w:val="00791E64"/>
    <w:rsid w:val="00792CC2"/>
    <w:rsid w:val="0079317A"/>
    <w:rsid w:val="00795000"/>
    <w:rsid w:val="0079616C"/>
    <w:rsid w:val="00797264"/>
    <w:rsid w:val="007A4B92"/>
    <w:rsid w:val="007A51FA"/>
    <w:rsid w:val="007A70F7"/>
    <w:rsid w:val="007A7D3A"/>
    <w:rsid w:val="007A7E67"/>
    <w:rsid w:val="007B1544"/>
    <w:rsid w:val="007B2CA3"/>
    <w:rsid w:val="007B3D22"/>
    <w:rsid w:val="007B47C2"/>
    <w:rsid w:val="007C05FF"/>
    <w:rsid w:val="007C0F2C"/>
    <w:rsid w:val="007C221B"/>
    <w:rsid w:val="007C231C"/>
    <w:rsid w:val="007C2908"/>
    <w:rsid w:val="007C34AD"/>
    <w:rsid w:val="007C5877"/>
    <w:rsid w:val="007C79BC"/>
    <w:rsid w:val="007E2464"/>
    <w:rsid w:val="007E6314"/>
    <w:rsid w:val="007E7F9D"/>
    <w:rsid w:val="007F1F1C"/>
    <w:rsid w:val="007F3911"/>
    <w:rsid w:val="008034B4"/>
    <w:rsid w:val="00803645"/>
    <w:rsid w:val="00804094"/>
    <w:rsid w:val="00804959"/>
    <w:rsid w:val="00804B8C"/>
    <w:rsid w:val="00807C8D"/>
    <w:rsid w:val="0081704B"/>
    <w:rsid w:val="008212A7"/>
    <w:rsid w:val="0082231A"/>
    <w:rsid w:val="008233E7"/>
    <w:rsid w:val="00831A72"/>
    <w:rsid w:val="00832668"/>
    <w:rsid w:val="00833325"/>
    <w:rsid w:val="00833D7A"/>
    <w:rsid w:val="00834B1C"/>
    <w:rsid w:val="0084066D"/>
    <w:rsid w:val="00842544"/>
    <w:rsid w:val="008431E8"/>
    <w:rsid w:val="00844660"/>
    <w:rsid w:val="00853066"/>
    <w:rsid w:val="00854DCF"/>
    <w:rsid w:val="0086173C"/>
    <w:rsid w:val="008634F5"/>
    <w:rsid w:val="00866042"/>
    <w:rsid w:val="008736C0"/>
    <w:rsid w:val="00873AFB"/>
    <w:rsid w:val="0088273C"/>
    <w:rsid w:val="00887353"/>
    <w:rsid w:val="00892CEB"/>
    <w:rsid w:val="00892DC2"/>
    <w:rsid w:val="00893CD2"/>
    <w:rsid w:val="008A17E9"/>
    <w:rsid w:val="008A4829"/>
    <w:rsid w:val="008A4BED"/>
    <w:rsid w:val="008A60A4"/>
    <w:rsid w:val="008B2367"/>
    <w:rsid w:val="008B53EA"/>
    <w:rsid w:val="008B546D"/>
    <w:rsid w:val="008C06F7"/>
    <w:rsid w:val="008C1076"/>
    <w:rsid w:val="008C28CD"/>
    <w:rsid w:val="008D1C7C"/>
    <w:rsid w:val="008D28DE"/>
    <w:rsid w:val="008D2C97"/>
    <w:rsid w:val="008D4380"/>
    <w:rsid w:val="008D7D52"/>
    <w:rsid w:val="008E08B5"/>
    <w:rsid w:val="008E2F5F"/>
    <w:rsid w:val="008E4430"/>
    <w:rsid w:val="008F245F"/>
    <w:rsid w:val="008F62DB"/>
    <w:rsid w:val="008F643F"/>
    <w:rsid w:val="00901B63"/>
    <w:rsid w:val="009063BF"/>
    <w:rsid w:val="00907E6F"/>
    <w:rsid w:val="009102E3"/>
    <w:rsid w:val="00910FB5"/>
    <w:rsid w:val="009122A7"/>
    <w:rsid w:val="00913388"/>
    <w:rsid w:val="009179FA"/>
    <w:rsid w:val="00920AFE"/>
    <w:rsid w:val="009212E2"/>
    <w:rsid w:val="00921F54"/>
    <w:rsid w:val="009254BE"/>
    <w:rsid w:val="00930905"/>
    <w:rsid w:val="009343C2"/>
    <w:rsid w:val="00942D3A"/>
    <w:rsid w:val="00943700"/>
    <w:rsid w:val="00943C3C"/>
    <w:rsid w:val="00944333"/>
    <w:rsid w:val="00944E24"/>
    <w:rsid w:val="0095432B"/>
    <w:rsid w:val="00954B67"/>
    <w:rsid w:val="0095616A"/>
    <w:rsid w:val="00961DB7"/>
    <w:rsid w:val="0096294C"/>
    <w:rsid w:val="009629C7"/>
    <w:rsid w:val="00962C97"/>
    <w:rsid w:val="009631D8"/>
    <w:rsid w:val="009667F8"/>
    <w:rsid w:val="00976291"/>
    <w:rsid w:val="00991790"/>
    <w:rsid w:val="00991DA0"/>
    <w:rsid w:val="0099370A"/>
    <w:rsid w:val="009950B3"/>
    <w:rsid w:val="00995D97"/>
    <w:rsid w:val="009A117E"/>
    <w:rsid w:val="009B49A0"/>
    <w:rsid w:val="009C4A7C"/>
    <w:rsid w:val="009C69D5"/>
    <w:rsid w:val="009D45E8"/>
    <w:rsid w:val="009D482E"/>
    <w:rsid w:val="009D5CF1"/>
    <w:rsid w:val="009E4529"/>
    <w:rsid w:val="009E5842"/>
    <w:rsid w:val="009F0A4C"/>
    <w:rsid w:val="009F1F3A"/>
    <w:rsid w:val="009F41FE"/>
    <w:rsid w:val="009F5B27"/>
    <w:rsid w:val="009F641D"/>
    <w:rsid w:val="009F6AC7"/>
    <w:rsid w:val="00A03DED"/>
    <w:rsid w:val="00A07D34"/>
    <w:rsid w:val="00A10BB0"/>
    <w:rsid w:val="00A13CB9"/>
    <w:rsid w:val="00A15252"/>
    <w:rsid w:val="00A2036F"/>
    <w:rsid w:val="00A208FB"/>
    <w:rsid w:val="00A21DDA"/>
    <w:rsid w:val="00A22F12"/>
    <w:rsid w:val="00A24920"/>
    <w:rsid w:val="00A2591D"/>
    <w:rsid w:val="00A36173"/>
    <w:rsid w:val="00A43A10"/>
    <w:rsid w:val="00A43A41"/>
    <w:rsid w:val="00A444EC"/>
    <w:rsid w:val="00A45BBB"/>
    <w:rsid w:val="00A46C40"/>
    <w:rsid w:val="00A51F07"/>
    <w:rsid w:val="00A524B8"/>
    <w:rsid w:val="00A574D0"/>
    <w:rsid w:val="00A631A3"/>
    <w:rsid w:val="00A6630D"/>
    <w:rsid w:val="00A7391F"/>
    <w:rsid w:val="00A739AB"/>
    <w:rsid w:val="00A877FE"/>
    <w:rsid w:val="00A9391C"/>
    <w:rsid w:val="00AA0527"/>
    <w:rsid w:val="00AA2CC8"/>
    <w:rsid w:val="00AA3C68"/>
    <w:rsid w:val="00AB1ED1"/>
    <w:rsid w:val="00AB3339"/>
    <w:rsid w:val="00AB7122"/>
    <w:rsid w:val="00AB7722"/>
    <w:rsid w:val="00AC6713"/>
    <w:rsid w:val="00AD02C1"/>
    <w:rsid w:val="00AD0645"/>
    <w:rsid w:val="00AD1E01"/>
    <w:rsid w:val="00AD4674"/>
    <w:rsid w:val="00AE1261"/>
    <w:rsid w:val="00AE3049"/>
    <w:rsid w:val="00AE38F5"/>
    <w:rsid w:val="00AE4B54"/>
    <w:rsid w:val="00AE5461"/>
    <w:rsid w:val="00AF0996"/>
    <w:rsid w:val="00AF3580"/>
    <w:rsid w:val="00B039A9"/>
    <w:rsid w:val="00B06326"/>
    <w:rsid w:val="00B106F1"/>
    <w:rsid w:val="00B10B0B"/>
    <w:rsid w:val="00B1425E"/>
    <w:rsid w:val="00B244D4"/>
    <w:rsid w:val="00B2782A"/>
    <w:rsid w:val="00B336D8"/>
    <w:rsid w:val="00B34BFA"/>
    <w:rsid w:val="00B356A4"/>
    <w:rsid w:val="00B411EC"/>
    <w:rsid w:val="00B45F3D"/>
    <w:rsid w:val="00B61F69"/>
    <w:rsid w:val="00B6216C"/>
    <w:rsid w:val="00B80083"/>
    <w:rsid w:val="00B80C47"/>
    <w:rsid w:val="00B81322"/>
    <w:rsid w:val="00B9267E"/>
    <w:rsid w:val="00B94951"/>
    <w:rsid w:val="00B96CA3"/>
    <w:rsid w:val="00B97591"/>
    <w:rsid w:val="00BA006C"/>
    <w:rsid w:val="00BB302C"/>
    <w:rsid w:val="00BB7E9D"/>
    <w:rsid w:val="00BC0D9F"/>
    <w:rsid w:val="00BD1AD6"/>
    <w:rsid w:val="00BD41A8"/>
    <w:rsid w:val="00BD5205"/>
    <w:rsid w:val="00BD696A"/>
    <w:rsid w:val="00BE072E"/>
    <w:rsid w:val="00BE13F2"/>
    <w:rsid w:val="00BE2B40"/>
    <w:rsid w:val="00BE3D54"/>
    <w:rsid w:val="00BE70E1"/>
    <w:rsid w:val="00BF0C10"/>
    <w:rsid w:val="00BF1719"/>
    <w:rsid w:val="00BF29D7"/>
    <w:rsid w:val="00BF4049"/>
    <w:rsid w:val="00BF482E"/>
    <w:rsid w:val="00BF4B8B"/>
    <w:rsid w:val="00BF7C57"/>
    <w:rsid w:val="00C12691"/>
    <w:rsid w:val="00C221FB"/>
    <w:rsid w:val="00C25CDA"/>
    <w:rsid w:val="00C301CF"/>
    <w:rsid w:val="00C31183"/>
    <w:rsid w:val="00C31C0D"/>
    <w:rsid w:val="00C33847"/>
    <w:rsid w:val="00C41BA9"/>
    <w:rsid w:val="00C42121"/>
    <w:rsid w:val="00C54F66"/>
    <w:rsid w:val="00C54FEB"/>
    <w:rsid w:val="00C55762"/>
    <w:rsid w:val="00C60214"/>
    <w:rsid w:val="00C61A99"/>
    <w:rsid w:val="00C7220E"/>
    <w:rsid w:val="00C769CD"/>
    <w:rsid w:val="00C77DF4"/>
    <w:rsid w:val="00C8314D"/>
    <w:rsid w:val="00C8437F"/>
    <w:rsid w:val="00C84C2B"/>
    <w:rsid w:val="00C85910"/>
    <w:rsid w:val="00C91994"/>
    <w:rsid w:val="00C91F41"/>
    <w:rsid w:val="00C92FD7"/>
    <w:rsid w:val="00C93F04"/>
    <w:rsid w:val="00C94CAC"/>
    <w:rsid w:val="00C9721C"/>
    <w:rsid w:val="00C979E0"/>
    <w:rsid w:val="00CA6985"/>
    <w:rsid w:val="00CB15EC"/>
    <w:rsid w:val="00CB483C"/>
    <w:rsid w:val="00CB5545"/>
    <w:rsid w:val="00CB7A72"/>
    <w:rsid w:val="00CB7D0C"/>
    <w:rsid w:val="00CC49D6"/>
    <w:rsid w:val="00CD5A79"/>
    <w:rsid w:val="00CD7C93"/>
    <w:rsid w:val="00CE0B01"/>
    <w:rsid w:val="00CE2B81"/>
    <w:rsid w:val="00CF04D1"/>
    <w:rsid w:val="00CF4589"/>
    <w:rsid w:val="00CF465D"/>
    <w:rsid w:val="00CF60BA"/>
    <w:rsid w:val="00CF7601"/>
    <w:rsid w:val="00CF7C34"/>
    <w:rsid w:val="00D048D2"/>
    <w:rsid w:val="00D0513F"/>
    <w:rsid w:val="00D06790"/>
    <w:rsid w:val="00D152FB"/>
    <w:rsid w:val="00D20A6D"/>
    <w:rsid w:val="00D215ED"/>
    <w:rsid w:val="00D323CD"/>
    <w:rsid w:val="00D32917"/>
    <w:rsid w:val="00D32A64"/>
    <w:rsid w:val="00D34CD2"/>
    <w:rsid w:val="00D364D3"/>
    <w:rsid w:val="00D50C0B"/>
    <w:rsid w:val="00D51380"/>
    <w:rsid w:val="00D551F2"/>
    <w:rsid w:val="00D714BA"/>
    <w:rsid w:val="00D75260"/>
    <w:rsid w:val="00D75B70"/>
    <w:rsid w:val="00D820D1"/>
    <w:rsid w:val="00D82401"/>
    <w:rsid w:val="00D8245D"/>
    <w:rsid w:val="00D82AE2"/>
    <w:rsid w:val="00D850A4"/>
    <w:rsid w:val="00D85715"/>
    <w:rsid w:val="00D934BA"/>
    <w:rsid w:val="00D93950"/>
    <w:rsid w:val="00D96230"/>
    <w:rsid w:val="00D96853"/>
    <w:rsid w:val="00D96FCD"/>
    <w:rsid w:val="00DA20D6"/>
    <w:rsid w:val="00DA30DA"/>
    <w:rsid w:val="00DA3B0C"/>
    <w:rsid w:val="00DA77B4"/>
    <w:rsid w:val="00DA7BE4"/>
    <w:rsid w:val="00DB16B2"/>
    <w:rsid w:val="00DB6BB3"/>
    <w:rsid w:val="00DB7AA7"/>
    <w:rsid w:val="00DC11F3"/>
    <w:rsid w:val="00DC4DFE"/>
    <w:rsid w:val="00DC5E40"/>
    <w:rsid w:val="00DC7BFF"/>
    <w:rsid w:val="00DD07FE"/>
    <w:rsid w:val="00DD162F"/>
    <w:rsid w:val="00DE1B77"/>
    <w:rsid w:val="00DE3025"/>
    <w:rsid w:val="00DE463E"/>
    <w:rsid w:val="00DE56CB"/>
    <w:rsid w:val="00DE7C0F"/>
    <w:rsid w:val="00DF0660"/>
    <w:rsid w:val="00DF44D5"/>
    <w:rsid w:val="00DF5003"/>
    <w:rsid w:val="00DF5932"/>
    <w:rsid w:val="00E0121F"/>
    <w:rsid w:val="00E05125"/>
    <w:rsid w:val="00E05E90"/>
    <w:rsid w:val="00E1182B"/>
    <w:rsid w:val="00E140BA"/>
    <w:rsid w:val="00E167E0"/>
    <w:rsid w:val="00E16A35"/>
    <w:rsid w:val="00E216EA"/>
    <w:rsid w:val="00E21B4B"/>
    <w:rsid w:val="00E34D42"/>
    <w:rsid w:val="00E3681A"/>
    <w:rsid w:val="00E4679A"/>
    <w:rsid w:val="00E469D4"/>
    <w:rsid w:val="00E51029"/>
    <w:rsid w:val="00E5461A"/>
    <w:rsid w:val="00E54F65"/>
    <w:rsid w:val="00E55027"/>
    <w:rsid w:val="00E55A62"/>
    <w:rsid w:val="00E5667A"/>
    <w:rsid w:val="00E56F6B"/>
    <w:rsid w:val="00E578D1"/>
    <w:rsid w:val="00E60466"/>
    <w:rsid w:val="00E608C5"/>
    <w:rsid w:val="00E64A8E"/>
    <w:rsid w:val="00E64BB6"/>
    <w:rsid w:val="00E65992"/>
    <w:rsid w:val="00E72113"/>
    <w:rsid w:val="00E73AE3"/>
    <w:rsid w:val="00E86C41"/>
    <w:rsid w:val="00E91DF4"/>
    <w:rsid w:val="00EB53D5"/>
    <w:rsid w:val="00EB7D72"/>
    <w:rsid w:val="00EC0598"/>
    <w:rsid w:val="00EC0869"/>
    <w:rsid w:val="00EC44B4"/>
    <w:rsid w:val="00EC555C"/>
    <w:rsid w:val="00EC6941"/>
    <w:rsid w:val="00EC7BBC"/>
    <w:rsid w:val="00ED29EB"/>
    <w:rsid w:val="00ED6681"/>
    <w:rsid w:val="00EE47BE"/>
    <w:rsid w:val="00EE676B"/>
    <w:rsid w:val="00EE7D3E"/>
    <w:rsid w:val="00F01660"/>
    <w:rsid w:val="00F03A50"/>
    <w:rsid w:val="00F04465"/>
    <w:rsid w:val="00F06077"/>
    <w:rsid w:val="00F06483"/>
    <w:rsid w:val="00F1205C"/>
    <w:rsid w:val="00F20699"/>
    <w:rsid w:val="00F20B34"/>
    <w:rsid w:val="00F24560"/>
    <w:rsid w:val="00F3157C"/>
    <w:rsid w:val="00F326C8"/>
    <w:rsid w:val="00F379EA"/>
    <w:rsid w:val="00F4276E"/>
    <w:rsid w:val="00F432AB"/>
    <w:rsid w:val="00F43A06"/>
    <w:rsid w:val="00F458C8"/>
    <w:rsid w:val="00F463E3"/>
    <w:rsid w:val="00F469E7"/>
    <w:rsid w:val="00F47AD8"/>
    <w:rsid w:val="00F514B7"/>
    <w:rsid w:val="00F52A24"/>
    <w:rsid w:val="00F535A5"/>
    <w:rsid w:val="00F5649E"/>
    <w:rsid w:val="00F57B67"/>
    <w:rsid w:val="00F6047E"/>
    <w:rsid w:val="00F63024"/>
    <w:rsid w:val="00F70A6B"/>
    <w:rsid w:val="00F71637"/>
    <w:rsid w:val="00F77A44"/>
    <w:rsid w:val="00F83581"/>
    <w:rsid w:val="00F85AF0"/>
    <w:rsid w:val="00F85BE4"/>
    <w:rsid w:val="00F862B1"/>
    <w:rsid w:val="00F8736F"/>
    <w:rsid w:val="00F951E3"/>
    <w:rsid w:val="00FA1C8C"/>
    <w:rsid w:val="00FA3C12"/>
    <w:rsid w:val="00FB6841"/>
    <w:rsid w:val="00FC6855"/>
    <w:rsid w:val="00FC73D9"/>
    <w:rsid w:val="00FD681B"/>
    <w:rsid w:val="00FD7331"/>
    <w:rsid w:val="00FE3414"/>
    <w:rsid w:val="00FE6591"/>
    <w:rsid w:val="00FE6AB9"/>
    <w:rsid w:val="00FF17AA"/>
    <w:rsid w:val="00FF19D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s>
</file>

<file path=word/webSettings.xml><?xml version="1.0" encoding="utf-8"?>
<w:webSettings xmlns:r="http://schemas.openxmlformats.org/officeDocument/2006/relationships" xmlns:w="http://schemas.openxmlformats.org/wordprocessingml/2006/main">
  <w:divs>
    <w:div w:id="504125426">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1673</Words>
  <Characters>11384</Characters>
  <Application>Microsoft Office Word</Application>
  <DocSecurity>0</DocSecurity>
  <Lines>474</Lines>
  <Paragraphs>214</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Company/>
  <LinksUpToDate>false</LinksUpToDate>
  <CharactersWithSpaces>12843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Sākotnējās ietekmes novērtējuma ziņojums (anotācija)</dc:subject>
  <dc:creator>Edgars Severs</dc:creator>
  <dc:description>Izglītības un zinātnes ministrijas Sporta un jaunatnes departamenta vecākais eksperts E.Severs
Tel: 67047935
e-pasts: edgars.severs@izm.gov.lv
Fakss: 67047929</dc:description>
  <cp:lastModifiedBy>Edgars Severs</cp:lastModifiedBy>
  <cp:revision>12</cp:revision>
  <cp:lastPrinted>2012-05-15T10:00:00Z</cp:lastPrinted>
  <dcterms:created xsi:type="dcterms:W3CDTF">2012-06-26T01:11:00Z</dcterms:created>
  <dcterms:modified xsi:type="dcterms:W3CDTF">2012-06-26T07:11:00Z</dcterms:modified>
</cp:coreProperties>
</file>