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CFA" w:rsidRPr="003042B3" w:rsidRDefault="00464CFA" w:rsidP="00D146E9">
      <w:pPr>
        <w:spacing w:before="0" w:after="0"/>
        <w:jc w:val="center"/>
        <w:rPr>
          <w:b/>
          <w:bCs/>
          <w:sz w:val="28"/>
          <w:szCs w:val="28"/>
        </w:rPr>
      </w:pPr>
      <w:bookmarkStart w:id="0" w:name="OLE_LINK3"/>
      <w:bookmarkStart w:id="1" w:name="OLE_LINK4"/>
      <w:r w:rsidRPr="003042B3">
        <w:rPr>
          <w:b/>
          <w:bCs/>
          <w:sz w:val="28"/>
          <w:szCs w:val="28"/>
        </w:rPr>
        <w:t xml:space="preserve">Ministru kabineta noteikumu </w:t>
      </w:r>
    </w:p>
    <w:p w:rsidR="003B7748" w:rsidRPr="003042B3" w:rsidRDefault="005A5162" w:rsidP="00D146E9">
      <w:pPr>
        <w:spacing w:before="0" w:after="0"/>
        <w:jc w:val="center"/>
        <w:rPr>
          <w:b/>
          <w:bCs/>
          <w:sz w:val="28"/>
          <w:szCs w:val="28"/>
        </w:rPr>
      </w:pPr>
      <w:r w:rsidRPr="003042B3">
        <w:rPr>
          <w:b/>
          <w:bCs/>
          <w:sz w:val="28"/>
          <w:szCs w:val="28"/>
        </w:rPr>
        <w:t>„</w:t>
      </w:r>
      <w:r w:rsidR="00374EE0" w:rsidRPr="003042B3">
        <w:rPr>
          <w:b/>
          <w:bCs/>
          <w:sz w:val="28"/>
          <w:szCs w:val="28"/>
        </w:rPr>
        <w:t>Grozījum</w:t>
      </w:r>
      <w:r w:rsidR="0005377C" w:rsidRPr="003042B3">
        <w:rPr>
          <w:b/>
          <w:bCs/>
          <w:sz w:val="28"/>
          <w:szCs w:val="28"/>
        </w:rPr>
        <w:t>s</w:t>
      </w:r>
      <w:r w:rsidR="00374EE0" w:rsidRPr="003042B3">
        <w:rPr>
          <w:b/>
          <w:bCs/>
          <w:sz w:val="28"/>
          <w:szCs w:val="28"/>
        </w:rPr>
        <w:t xml:space="preserve"> Ministru kabineta 2009.gada 28.jūlija noteikumos Nr.836 „Pedagogu darba samaksas noteikumi”</w:t>
      </w:r>
      <w:r w:rsidR="002D593E" w:rsidRPr="003042B3">
        <w:rPr>
          <w:b/>
          <w:bCs/>
          <w:sz w:val="28"/>
          <w:szCs w:val="28"/>
        </w:rPr>
        <w:t>”</w:t>
      </w:r>
      <w:r w:rsidR="00374EE0" w:rsidRPr="003042B3">
        <w:rPr>
          <w:b/>
          <w:bCs/>
          <w:sz w:val="28"/>
          <w:szCs w:val="28"/>
        </w:rPr>
        <w:t xml:space="preserve"> </w:t>
      </w:r>
      <w:r w:rsidR="002E39D7" w:rsidRPr="003042B3">
        <w:rPr>
          <w:b/>
          <w:bCs/>
          <w:sz w:val="28"/>
          <w:szCs w:val="28"/>
        </w:rPr>
        <w:t>projekta</w:t>
      </w:r>
      <w:r w:rsidR="003563C9" w:rsidRPr="003042B3">
        <w:rPr>
          <w:b/>
          <w:bCs/>
          <w:sz w:val="28"/>
          <w:szCs w:val="28"/>
        </w:rPr>
        <w:t xml:space="preserve"> </w:t>
      </w:r>
      <w:r w:rsidR="002D593E" w:rsidRPr="003042B3">
        <w:rPr>
          <w:b/>
          <w:bCs/>
          <w:sz w:val="28"/>
          <w:szCs w:val="28"/>
        </w:rPr>
        <w:t>sākotnējās ietekmes novērtējuma ziņojums (anotācija)</w:t>
      </w:r>
    </w:p>
    <w:p w:rsidR="003B7748" w:rsidRPr="003042B3" w:rsidRDefault="003B7748" w:rsidP="00D146E9">
      <w:pPr>
        <w:spacing w:before="0" w:after="0"/>
        <w:jc w:val="center"/>
        <w:rPr>
          <w:b/>
          <w:bCs/>
          <w:sz w:val="28"/>
          <w:szCs w:val="28"/>
        </w:rPr>
      </w:pPr>
    </w:p>
    <w:tbl>
      <w:tblPr>
        <w:tblpPr w:leftFromText="180" w:rightFromText="180" w:vertAnchor="text" w:horzAnchor="margin" w:tblpXSpec="center" w:tblpY="149"/>
        <w:tblW w:w="970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550"/>
        <w:gridCol w:w="3345"/>
        <w:gridCol w:w="5811"/>
      </w:tblGrid>
      <w:tr w:rsidR="00CA79FB" w:rsidRPr="003042B3" w:rsidTr="00A57C47">
        <w:trPr>
          <w:tblCellSpacing w:w="0" w:type="dxa"/>
        </w:trPr>
        <w:tc>
          <w:tcPr>
            <w:tcW w:w="9706" w:type="dxa"/>
            <w:gridSpan w:val="3"/>
            <w:vAlign w:val="center"/>
          </w:tcPr>
          <w:bookmarkEnd w:id="0"/>
          <w:bookmarkEnd w:id="1"/>
          <w:p w:rsidR="00CA79FB" w:rsidRPr="003042B3" w:rsidRDefault="00CA79FB" w:rsidP="00D146E9">
            <w:pPr>
              <w:pStyle w:val="naisnod"/>
              <w:spacing w:before="0" w:after="0"/>
              <w:rPr>
                <w:sz w:val="28"/>
                <w:szCs w:val="28"/>
              </w:rPr>
            </w:pPr>
            <w:r w:rsidRPr="003042B3">
              <w:rPr>
                <w:sz w:val="28"/>
                <w:szCs w:val="28"/>
              </w:rPr>
              <w:t> I</w:t>
            </w:r>
            <w:r w:rsidR="002B1FA6" w:rsidRPr="003042B3">
              <w:rPr>
                <w:sz w:val="28"/>
                <w:szCs w:val="28"/>
              </w:rPr>
              <w:t>.</w:t>
            </w:r>
            <w:r w:rsidRPr="003042B3">
              <w:rPr>
                <w:sz w:val="28"/>
                <w:szCs w:val="28"/>
              </w:rPr>
              <w:t xml:space="preserve"> Tiesību akta projekta izstrādes nepieciešamība</w:t>
            </w:r>
          </w:p>
        </w:tc>
      </w:tr>
      <w:tr w:rsidR="00CA79FB" w:rsidRPr="003042B3" w:rsidTr="00A57C47">
        <w:trPr>
          <w:trHeight w:val="630"/>
          <w:tblCellSpacing w:w="0" w:type="dxa"/>
        </w:trPr>
        <w:tc>
          <w:tcPr>
            <w:tcW w:w="550" w:type="dxa"/>
            <w:vAlign w:val="center"/>
          </w:tcPr>
          <w:p w:rsidR="00CA79FB" w:rsidRPr="003042B3" w:rsidRDefault="00CA79FB" w:rsidP="00D146E9">
            <w:pPr>
              <w:pStyle w:val="naiskr"/>
              <w:spacing w:before="0" w:after="0"/>
              <w:ind w:left="180" w:hanging="180"/>
              <w:rPr>
                <w:sz w:val="28"/>
                <w:szCs w:val="28"/>
              </w:rPr>
            </w:pPr>
            <w:r w:rsidRPr="003042B3">
              <w:rPr>
                <w:sz w:val="28"/>
                <w:szCs w:val="28"/>
              </w:rPr>
              <w:t>1.</w:t>
            </w:r>
          </w:p>
        </w:tc>
        <w:tc>
          <w:tcPr>
            <w:tcW w:w="3345" w:type="dxa"/>
            <w:vAlign w:val="center"/>
          </w:tcPr>
          <w:p w:rsidR="00CA79FB" w:rsidRPr="003042B3" w:rsidRDefault="00CA79FB" w:rsidP="00D146E9">
            <w:pPr>
              <w:pStyle w:val="naiskr"/>
              <w:spacing w:before="0" w:after="0"/>
              <w:ind w:left="17"/>
              <w:rPr>
                <w:sz w:val="28"/>
                <w:szCs w:val="28"/>
              </w:rPr>
            </w:pPr>
            <w:r w:rsidRPr="003042B3">
              <w:rPr>
                <w:sz w:val="28"/>
                <w:szCs w:val="28"/>
              </w:rPr>
              <w:t>Pamatojums</w:t>
            </w:r>
          </w:p>
        </w:tc>
        <w:tc>
          <w:tcPr>
            <w:tcW w:w="5811" w:type="dxa"/>
            <w:vAlign w:val="center"/>
          </w:tcPr>
          <w:p w:rsidR="00CA79FB" w:rsidRPr="003042B3" w:rsidRDefault="003C52AE" w:rsidP="00110B63">
            <w:pPr>
              <w:spacing w:before="0" w:after="0"/>
              <w:rPr>
                <w:bCs/>
                <w:sz w:val="28"/>
                <w:szCs w:val="28"/>
              </w:rPr>
            </w:pPr>
            <w:r w:rsidRPr="003042B3">
              <w:rPr>
                <w:bCs/>
                <w:sz w:val="28"/>
                <w:szCs w:val="28"/>
              </w:rPr>
              <w:t xml:space="preserve">Ministru kabineta noteikumu </w:t>
            </w:r>
            <w:r w:rsidR="002D593E" w:rsidRPr="003042B3">
              <w:rPr>
                <w:bCs/>
                <w:sz w:val="28"/>
                <w:szCs w:val="28"/>
              </w:rPr>
              <w:t>„</w:t>
            </w:r>
            <w:r w:rsidRPr="003042B3">
              <w:rPr>
                <w:bCs/>
                <w:sz w:val="28"/>
                <w:szCs w:val="28"/>
              </w:rPr>
              <w:t>Grozījum</w:t>
            </w:r>
            <w:r w:rsidR="0005377C" w:rsidRPr="003042B3">
              <w:rPr>
                <w:bCs/>
                <w:sz w:val="28"/>
                <w:szCs w:val="28"/>
              </w:rPr>
              <w:t>s</w:t>
            </w:r>
            <w:r w:rsidRPr="003042B3">
              <w:rPr>
                <w:bCs/>
                <w:sz w:val="28"/>
                <w:szCs w:val="28"/>
              </w:rPr>
              <w:t xml:space="preserve"> Ministru kabineta 2009.gada 28.jūlija noteikumos Nr.836 „Pedagogu darba samaksas noteikumi”</w:t>
            </w:r>
            <w:r w:rsidR="002D593E" w:rsidRPr="003042B3">
              <w:rPr>
                <w:bCs/>
                <w:sz w:val="28"/>
                <w:szCs w:val="28"/>
              </w:rPr>
              <w:t xml:space="preserve">” </w:t>
            </w:r>
            <w:r w:rsidR="002E39D7" w:rsidRPr="003042B3">
              <w:rPr>
                <w:bCs/>
                <w:sz w:val="28"/>
                <w:szCs w:val="28"/>
              </w:rPr>
              <w:t>projekts</w:t>
            </w:r>
            <w:r w:rsidR="002B1FA6" w:rsidRPr="003042B3">
              <w:rPr>
                <w:bCs/>
                <w:sz w:val="28"/>
                <w:szCs w:val="28"/>
              </w:rPr>
              <w:t xml:space="preserve"> </w:t>
            </w:r>
            <w:r w:rsidR="002E39D7" w:rsidRPr="003042B3">
              <w:rPr>
                <w:sz w:val="28"/>
                <w:szCs w:val="28"/>
              </w:rPr>
              <w:t>(turpmāk -</w:t>
            </w:r>
            <w:r w:rsidR="00B24F6A" w:rsidRPr="003042B3">
              <w:rPr>
                <w:sz w:val="28"/>
                <w:szCs w:val="28"/>
              </w:rPr>
              <w:t xml:space="preserve"> noteikumu projekts) izstrādāts</w:t>
            </w:r>
            <w:r w:rsidR="005317FA" w:rsidRPr="003042B3">
              <w:rPr>
                <w:sz w:val="28"/>
                <w:szCs w:val="28"/>
              </w:rPr>
              <w:t>, lai nodrošinātu</w:t>
            </w:r>
            <w:r w:rsidR="006C4A9C" w:rsidRPr="003042B3">
              <w:rPr>
                <w:iCs/>
                <w:sz w:val="28"/>
                <w:szCs w:val="28"/>
              </w:rPr>
              <w:t xml:space="preserve"> </w:t>
            </w:r>
            <w:r w:rsidR="003B454A" w:rsidRPr="003042B3">
              <w:rPr>
                <w:sz w:val="28"/>
                <w:szCs w:val="28"/>
              </w:rPr>
              <w:t xml:space="preserve">Profesionālās izglītības likuma </w:t>
            </w:r>
            <w:r w:rsidR="003B454A" w:rsidRPr="003042B3">
              <w:rPr>
                <w:bCs/>
                <w:sz w:val="28"/>
                <w:szCs w:val="28"/>
              </w:rPr>
              <w:t>15.</w:t>
            </w:r>
            <w:r w:rsidR="003B454A" w:rsidRPr="003042B3">
              <w:rPr>
                <w:bCs/>
                <w:sz w:val="28"/>
                <w:szCs w:val="28"/>
                <w:vertAlign w:val="superscript"/>
              </w:rPr>
              <w:t>1</w:t>
            </w:r>
            <w:r w:rsidR="003B454A" w:rsidRPr="003042B3">
              <w:rPr>
                <w:bCs/>
                <w:sz w:val="28"/>
                <w:szCs w:val="28"/>
              </w:rPr>
              <w:t xml:space="preserve"> pantā un </w:t>
            </w:r>
            <w:r w:rsidR="003B454A" w:rsidRPr="003042B3">
              <w:rPr>
                <w:sz w:val="28"/>
                <w:szCs w:val="28"/>
              </w:rPr>
              <w:t>31.panta 2.</w:t>
            </w:r>
            <w:r w:rsidR="003B454A" w:rsidRPr="003042B3">
              <w:rPr>
                <w:sz w:val="28"/>
                <w:szCs w:val="28"/>
                <w:vertAlign w:val="superscript"/>
              </w:rPr>
              <w:t xml:space="preserve">1 </w:t>
            </w:r>
            <w:r w:rsidR="003B454A" w:rsidRPr="003042B3">
              <w:rPr>
                <w:sz w:val="28"/>
                <w:szCs w:val="28"/>
              </w:rPr>
              <w:t xml:space="preserve">daļā </w:t>
            </w:r>
            <w:r w:rsidR="003B454A" w:rsidRPr="003042B3">
              <w:rPr>
                <w:bCs/>
                <w:sz w:val="28"/>
                <w:szCs w:val="28"/>
              </w:rPr>
              <w:t>noteikto.</w:t>
            </w:r>
          </w:p>
        </w:tc>
      </w:tr>
      <w:tr w:rsidR="00CA79FB" w:rsidRPr="003042B3" w:rsidTr="00A57C47">
        <w:trPr>
          <w:trHeight w:val="706"/>
          <w:tblCellSpacing w:w="0" w:type="dxa"/>
        </w:trPr>
        <w:tc>
          <w:tcPr>
            <w:tcW w:w="550" w:type="dxa"/>
            <w:vAlign w:val="center"/>
          </w:tcPr>
          <w:p w:rsidR="00CA79FB" w:rsidRPr="003042B3" w:rsidRDefault="00CA79FB" w:rsidP="00D146E9">
            <w:pPr>
              <w:pStyle w:val="naiskr"/>
              <w:spacing w:before="0" w:after="0"/>
              <w:rPr>
                <w:sz w:val="28"/>
                <w:szCs w:val="28"/>
              </w:rPr>
            </w:pPr>
            <w:r w:rsidRPr="003042B3">
              <w:rPr>
                <w:sz w:val="28"/>
                <w:szCs w:val="28"/>
              </w:rPr>
              <w:t>2.</w:t>
            </w:r>
          </w:p>
        </w:tc>
        <w:tc>
          <w:tcPr>
            <w:tcW w:w="3345" w:type="dxa"/>
            <w:vAlign w:val="center"/>
          </w:tcPr>
          <w:p w:rsidR="00CA79FB" w:rsidRPr="003042B3" w:rsidRDefault="00CA79FB" w:rsidP="00D146E9">
            <w:pPr>
              <w:pStyle w:val="naiskr"/>
              <w:tabs>
                <w:tab w:val="left" w:pos="170"/>
              </w:tabs>
              <w:spacing w:before="0" w:after="0"/>
              <w:rPr>
                <w:sz w:val="28"/>
                <w:szCs w:val="28"/>
              </w:rPr>
            </w:pPr>
            <w:r w:rsidRPr="003042B3">
              <w:rPr>
                <w:sz w:val="28"/>
                <w:szCs w:val="28"/>
              </w:rPr>
              <w:t>Pašreizējā situācija un problēmas</w:t>
            </w:r>
          </w:p>
        </w:tc>
        <w:tc>
          <w:tcPr>
            <w:tcW w:w="5811" w:type="dxa"/>
            <w:vAlign w:val="center"/>
          </w:tcPr>
          <w:p w:rsidR="001D00A9" w:rsidRPr="003042B3" w:rsidRDefault="005B7EAD" w:rsidP="00110B63">
            <w:pPr>
              <w:spacing w:before="0" w:after="0"/>
              <w:rPr>
                <w:sz w:val="28"/>
                <w:szCs w:val="28"/>
              </w:rPr>
            </w:pPr>
            <w:r w:rsidRPr="003042B3">
              <w:rPr>
                <w:bCs/>
                <w:sz w:val="28"/>
                <w:szCs w:val="28"/>
              </w:rPr>
              <w:t>Ministru kabineta 2009.gada 28.jūlija noteikumi Nr.836 „Pedagogu darba samaksas noteikumi</w:t>
            </w:r>
            <w:r w:rsidR="002D593E" w:rsidRPr="003042B3">
              <w:rPr>
                <w:bCs/>
                <w:sz w:val="28"/>
                <w:szCs w:val="28"/>
              </w:rPr>
              <w:t>”</w:t>
            </w:r>
            <w:r w:rsidRPr="003042B3">
              <w:rPr>
                <w:bCs/>
                <w:sz w:val="28"/>
                <w:szCs w:val="28"/>
              </w:rPr>
              <w:t xml:space="preserve"> </w:t>
            </w:r>
            <w:r w:rsidR="007836EB" w:rsidRPr="003042B3">
              <w:rPr>
                <w:bCs/>
                <w:sz w:val="28"/>
                <w:szCs w:val="28"/>
              </w:rPr>
              <w:t xml:space="preserve">(turpmāk — </w:t>
            </w:r>
            <w:r w:rsidR="002F1E1C" w:rsidRPr="003042B3">
              <w:rPr>
                <w:bCs/>
                <w:sz w:val="28"/>
                <w:szCs w:val="28"/>
              </w:rPr>
              <w:t xml:space="preserve">spēkā esošie </w:t>
            </w:r>
            <w:r w:rsidR="0085428D" w:rsidRPr="003042B3">
              <w:rPr>
                <w:bCs/>
                <w:sz w:val="28"/>
                <w:szCs w:val="28"/>
              </w:rPr>
              <w:t xml:space="preserve">noteikumi) </w:t>
            </w:r>
            <w:r w:rsidR="00053387" w:rsidRPr="003042B3">
              <w:rPr>
                <w:bCs/>
                <w:sz w:val="28"/>
                <w:szCs w:val="28"/>
              </w:rPr>
              <w:t xml:space="preserve">nosaka </w:t>
            </w:r>
            <w:r w:rsidR="009A6FA3" w:rsidRPr="003042B3">
              <w:rPr>
                <w:sz w:val="28"/>
                <w:szCs w:val="28"/>
              </w:rPr>
              <w:t xml:space="preserve">pedagogiem valsts ģimnāzijās piemaksu 10 procentu apmērā </w:t>
            </w:r>
            <w:r w:rsidR="003B454A" w:rsidRPr="003042B3">
              <w:rPr>
                <w:sz w:val="28"/>
                <w:szCs w:val="28"/>
              </w:rPr>
              <w:t xml:space="preserve">no </w:t>
            </w:r>
            <w:r w:rsidR="00521236" w:rsidRPr="003042B3">
              <w:rPr>
                <w:bCs/>
                <w:sz w:val="28"/>
                <w:szCs w:val="28"/>
              </w:rPr>
              <w:t xml:space="preserve">mēneša </w:t>
            </w:r>
            <w:r w:rsidR="004C5A3C" w:rsidRPr="003042B3">
              <w:rPr>
                <w:bCs/>
                <w:sz w:val="28"/>
                <w:szCs w:val="28"/>
              </w:rPr>
              <w:t xml:space="preserve">darba algas </w:t>
            </w:r>
            <w:r w:rsidR="001D00A9" w:rsidRPr="003042B3">
              <w:rPr>
                <w:bCs/>
                <w:sz w:val="28"/>
                <w:szCs w:val="28"/>
              </w:rPr>
              <w:t>likmes</w:t>
            </w:r>
            <w:r w:rsidR="00521236" w:rsidRPr="003042B3">
              <w:rPr>
                <w:bCs/>
                <w:sz w:val="28"/>
                <w:szCs w:val="28"/>
              </w:rPr>
              <w:t>.</w:t>
            </w:r>
            <w:r w:rsidR="004B29AB" w:rsidRPr="003042B3">
              <w:rPr>
                <w:bCs/>
                <w:sz w:val="28"/>
                <w:szCs w:val="28"/>
              </w:rPr>
              <w:t xml:space="preserve"> </w:t>
            </w:r>
            <w:r w:rsidR="00D2761B" w:rsidRPr="003042B3">
              <w:rPr>
                <w:bCs/>
                <w:sz w:val="28"/>
                <w:szCs w:val="28"/>
              </w:rPr>
              <w:t>P</w:t>
            </w:r>
            <w:r w:rsidR="0027518A" w:rsidRPr="003042B3">
              <w:rPr>
                <w:bCs/>
                <w:sz w:val="28"/>
                <w:szCs w:val="28"/>
              </w:rPr>
              <w:t xml:space="preserve">amatojoties uz Ministru kabineta </w:t>
            </w:r>
            <w:r w:rsidR="0027518A" w:rsidRPr="003042B3">
              <w:rPr>
                <w:sz w:val="28"/>
                <w:szCs w:val="28"/>
              </w:rPr>
              <w:t>2001.gada 20.marta noteikumiem Nr.129 „Ģimnāzijas un valsts ģimnāzijas statusa piešķiršanas un anulēšanas kārtība un kritēriji”</w:t>
            </w:r>
            <w:r w:rsidR="002D593E" w:rsidRPr="003042B3">
              <w:rPr>
                <w:sz w:val="28"/>
                <w:szCs w:val="28"/>
              </w:rPr>
              <w:t>,</w:t>
            </w:r>
            <w:r w:rsidR="0027518A" w:rsidRPr="003042B3">
              <w:rPr>
                <w:sz w:val="28"/>
                <w:szCs w:val="28"/>
              </w:rPr>
              <w:t xml:space="preserve"> </w:t>
            </w:r>
            <w:bookmarkStart w:id="2" w:name="OLE_LINK1"/>
            <w:bookmarkStart w:id="3" w:name="OLE_LINK2"/>
            <w:r w:rsidR="0027518A" w:rsidRPr="003042B3">
              <w:rPr>
                <w:sz w:val="28"/>
                <w:szCs w:val="28"/>
              </w:rPr>
              <w:t>valsts ģimnāzija</w:t>
            </w:r>
            <w:r w:rsidR="003B454A" w:rsidRPr="003042B3">
              <w:rPr>
                <w:sz w:val="28"/>
                <w:szCs w:val="28"/>
              </w:rPr>
              <w:t>s</w:t>
            </w:r>
            <w:r w:rsidR="0027518A" w:rsidRPr="003042B3">
              <w:rPr>
                <w:sz w:val="28"/>
                <w:szCs w:val="28"/>
              </w:rPr>
              <w:t xml:space="preserve"> piedalās pedagogu tālākizglītības un metodiskā darba pilnveidē, kā arī veic pedagogu tālākizglītības centra un reģionālā metodiskā centra funkcijas.</w:t>
            </w:r>
            <w:bookmarkEnd w:id="2"/>
            <w:bookmarkEnd w:id="3"/>
            <w:r w:rsidR="0027518A" w:rsidRPr="003042B3">
              <w:rPr>
                <w:sz w:val="28"/>
                <w:szCs w:val="28"/>
              </w:rPr>
              <w:t xml:space="preserve"> </w:t>
            </w:r>
            <w:r w:rsidR="009A6FA3" w:rsidRPr="003042B3">
              <w:rPr>
                <w:sz w:val="28"/>
                <w:szCs w:val="28"/>
              </w:rPr>
              <w:t xml:space="preserve"> </w:t>
            </w:r>
          </w:p>
          <w:p w:rsidR="007D69B1" w:rsidRPr="003042B3" w:rsidRDefault="00B1126B" w:rsidP="00110B63">
            <w:pPr>
              <w:spacing w:before="0" w:after="0"/>
              <w:rPr>
                <w:sz w:val="28"/>
                <w:szCs w:val="28"/>
              </w:rPr>
            </w:pPr>
            <w:r w:rsidRPr="003042B3">
              <w:rPr>
                <w:sz w:val="28"/>
                <w:szCs w:val="28"/>
              </w:rPr>
              <w:t xml:space="preserve">Saskaņā ar </w:t>
            </w:r>
            <w:r w:rsidR="005653C3" w:rsidRPr="003042B3">
              <w:rPr>
                <w:sz w:val="28"/>
                <w:szCs w:val="28"/>
              </w:rPr>
              <w:t>P</w:t>
            </w:r>
            <w:r w:rsidRPr="003042B3">
              <w:rPr>
                <w:sz w:val="28"/>
                <w:szCs w:val="28"/>
              </w:rPr>
              <w:t>rofesionālās izglītības likuma</w:t>
            </w:r>
            <w:r w:rsidR="005653C3" w:rsidRPr="003042B3">
              <w:rPr>
                <w:sz w:val="28"/>
                <w:szCs w:val="28"/>
              </w:rPr>
              <w:t xml:space="preserve"> </w:t>
            </w:r>
            <w:r w:rsidR="005653C3" w:rsidRPr="003042B3">
              <w:rPr>
                <w:bCs/>
                <w:sz w:val="28"/>
                <w:szCs w:val="28"/>
              </w:rPr>
              <w:t>15.</w:t>
            </w:r>
            <w:r w:rsidR="005653C3" w:rsidRPr="003042B3">
              <w:rPr>
                <w:bCs/>
                <w:sz w:val="28"/>
                <w:szCs w:val="28"/>
                <w:vertAlign w:val="superscript"/>
              </w:rPr>
              <w:t>1</w:t>
            </w:r>
            <w:r w:rsidR="005653C3" w:rsidRPr="003042B3">
              <w:rPr>
                <w:bCs/>
                <w:sz w:val="28"/>
                <w:szCs w:val="28"/>
              </w:rPr>
              <w:t xml:space="preserve"> pantā noteikto</w:t>
            </w:r>
            <w:r w:rsidR="005653C3" w:rsidRPr="003042B3">
              <w:rPr>
                <w:sz w:val="28"/>
                <w:szCs w:val="28"/>
              </w:rPr>
              <w:t xml:space="preserve"> </w:t>
            </w:r>
            <w:r w:rsidRPr="003042B3">
              <w:rPr>
                <w:sz w:val="28"/>
                <w:szCs w:val="28"/>
              </w:rPr>
              <w:t xml:space="preserve"> </w:t>
            </w:r>
            <w:r w:rsidR="009A6ECE" w:rsidRPr="003042B3">
              <w:rPr>
                <w:sz w:val="28"/>
                <w:szCs w:val="28"/>
              </w:rPr>
              <w:t xml:space="preserve">profesionālās izglītības iestāde, kura īsteno profesionālās  vidējās izglītības programmas, kas dod iespēju iegūt trešo profesionālās kvalifikācijas līmeni, un </w:t>
            </w:r>
            <w:r w:rsidR="005653C3" w:rsidRPr="003042B3">
              <w:rPr>
                <w:sz w:val="28"/>
                <w:szCs w:val="28"/>
              </w:rPr>
              <w:t>papildus veic reģionālā vai nozares metodiskā centra, pedagogu tālākizglītības centra un ārpus formālās izglītības sistēmas iegūtās profesionālās kompetences novērtēšanas funkcijas</w:t>
            </w:r>
            <w:r w:rsidR="009A6ECE" w:rsidRPr="003042B3">
              <w:rPr>
                <w:sz w:val="28"/>
                <w:szCs w:val="28"/>
              </w:rPr>
              <w:t>, ir tiesīga iegūt  profesionālās izglītības kompetences centra statusu</w:t>
            </w:r>
            <w:r w:rsidR="007D69B1" w:rsidRPr="003042B3">
              <w:rPr>
                <w:sz w:val="28"/>
                <w:szCs w:val="28"/>
              </w:rPr>
              <w:t xml:space="preserve">. </w:t>
            </w:r>
          </w:p>
          <w:p w:rsidR="007D69B1" w:rsidRPr="003042B3" w:rsidRDefault="005653C3" w:rsidP="00110B63">
            <w:pPr>
              <w:spacing w:before="0" w:after="0"/>
              <w:rPr>
                <w:sz w:val="28"/>
                <w:szCs w:val="28"/>
              </w:rPr>
            </w:pPr>
            <w:r w:rsidRPr="003042B3">
              <w:rPr>
                <w:sz w:val="28"/>
                <w:szCs w:val="28"/>
              </w:rPr>
              <w:t>Savukārt</w:t>
            </w:r>
            <w:r w:rsidR="009A6FA3" w:rsidRPr="003042B3">
              <w:rPr>
                <w:sz w:val="28"/>
                <w:szCs w:val="28"/>
              </w:rPr>
              <w:t xml:space="preserve"> </w:t>
            </w:r>
            <w:r w:rsidR="007D69B1" w:rsidRPr="003042B3">
              <w:rPr>
                <w:sz w:val="28"/>
                <w:szCs w:val="28"/>
              </w:rPr>
              <w:t>minētā likuma 31.panta 2.</w:t>
            </w:r>
            <w:r w:rsidR="007D69B1" w:rsidRPr="003042B3">
              <w:rPr>
                <w:sz w:val="28"/>
                <w:szCs w:val="28"/>
                <w:vertAlign w:val="superscript"/>
              </w:rPr>
              <w:t xml:space="preserve">1 </w:t>
            </w:r>
            <w:r w:rsidR="007D69B1" w:rsidRPr="003042B3">
              <w:rPr>
                <w:sz w:val="28"/>
                <w:szCs w:val="28"/>
              </w:rPr>
              <w:t>daļa nosaka to, ka profesionālās izglītības iestāde, kura ieguvusi profesionālās izglītības kompetences centra statusu</w:t>
            </w:r>
            <w:r w:rsidR="003042B3">
              <w:rPr>
                <w:sz w:val="28"/>
                <w:szCs w:val="28"/>
              </w:rPr>
              <w:t xml:space="preserve"> (</w:t>
            </w:r>
            <w:r w:rsidR="009A6ECE" w:rsidRPr="003042B3">
              <w:rPr>
                <w:sz w:val="28"/>
                <w:szCs w:val="28"/>
              </w:rPr>
              <w:t>turpmāk - profesionālās izglītības kompetences centrs)</w:t>
            </w:r>
            <w:r w:rsidR="007D69B1" w:rsidRPr="003042B3">
              <w:rPr>
                <w:sz w:val="28"/>
                <w:szCs w:val="28"/>
              </w:rPr>
              <w:t xml:space="preserve">, saņem valsts budžeta finansējumu reģionālā vai nozares metodiskā centra, pedagogu tālākizglītības centra un ārpus </w:t>
            </w:r>
            <w:r w:rsidR="007D69B1" w:rsidRPr="003042B3">
              <w:rPr>
                <w:sz w:val="28"/>
                <w:szCs w:val="28"/>
              </w:rPr>
              <w:lastRenderedPageBreak/>
              <w:t>formālās izglītības sistēmas iegūtās profesionālās kompetences novērtēšanas funkciju veikšanai.</w:t>
            </w:r>
          </w:p>
          <w:p w:rsidR="00671161" w:rsidRPr="003042B3" w:rsidRDefault="00F47A65" w:rsidP="00110B63">
            <w:pPr>
              <w:spacing w:before="0" w:after="0"/>
              <w:rPr>
                <w:sz w:val="28"/>
                <w:szCs w:val="28"/>
              </w:rPr>
            </w:pPr>
            <w:r w:rsidRPr="003042B3">
              <w:rPr>
                <w:sz w:val="28"/>
                <w:szCs w:val="28"/>
              </w:rPr>
              <w:t>Tādēļ</w:t>
            </w:r>
            <w:r w:rsidR="0027518A" w:rsidRPr="003042B3">
              <w:rPr>
                <w:sz w:val="28"/>
                <w:szCs w:val="28"/>
              </w:rPr>
              <w:t xml:space="preserve"> </w:t>
            </w:r>
            <w:r w:rsidR="009A6ECE" w:rsidRPr="003042B3">
              <w:rPr>
                <w:sz w:val="28"/>
                <w:szCs w:val="28"/>
              </w:rPr>
              <w:t>p</w:t>
            </w:r>
            <w:r w:rsidR="008475D2" w:rsidRPr="003042B3">
              <w:rPr>
                <w:sz w:val="28"/>
                <w:szCs w:val="28"/>
              </w:rPr>
              <w:t>rofesionālās izglītības kompetences centros strādājošajiem pedagogiem</w:t>
            </w:r>
            <w:r w:rsidR="007E4B1E" w:rsidRPr="003042B3">
              <w:rPr>
                <w:sz w:val="28"/>
                <w:szCs w:val="28"/>
              </w:rPr>
              <w:t xml:space="preserve"> </w:t>
            </w:r>
            <w:r w:rsidR="007E4B1E" w:rsidRPr="003042B3">
              <w:rPr>
                <w:color w:val="000000"/>
                <w:sz w:val="28"/>
                <w:szCs w:val="28"/>
              </w:rPr>
              <w:t xml:space="preserve">(izņemot pedagogus, kuri īsteno pirmā līmeņa profesionālās augstākās izglītības programmas) </w:t>
            </w:r>
            <w:r w:rsidR="008475D2" w:rsidRPr="003042B3">
              <w:rPr>
                <w:sz w:val="28"/>
                <w:szCs w:val="28"/>
              </w:rPr>
              <w:t>būtu jā</w:t>
            </w:r>
            <w:r w:rsidR="007D69B1" w:rsidRPr="003042B3">
              <w:rPr>
                <w:sz w:val="28"/>
                <w:szCs w:val="28"/>
              </w:rPr>
              <w:t>nosaka</w:t>
            </w:r>
            <w:r w:rsidR="008475D2" w:rsidRPr="003042B3">
              <w:rPr>
                <w:sz w:val="28"/>
                <w:szCs w:val="28"/>
              </w:rPr>
              <w:t xml:space="preserve"> piemaksa 10 procentu apmērā no mēneša </w:t>
            </w:r>
            <w:r w:rsidR="004C5A3C" w:rsidRPr="003042B3">
              <w:rPr>
                <w:sz w:val="28"/>
                <w:szCs w:val="28"/>
              </w:rPr>
              <w:t>darba algas</w:t>
            </w:r>
            <w:r w:rsidR="00C14E81" w:rsidRPr="003042B3">
              <w:rPr>
                <w:sz w:val="28"/>
                <w:szCs w:val="28"/>
              </w:rPr>
              <w:t xml:space="preserve"> likmes</w:t>
            </w:r>
            <w:r w:rsidR="008475D2" w:rsidRPr="003042B3">
              <w:rPr>
                <w:sz w:val="28"/>
                <w:szCs w:val="28"/>
              </w:rPr>
              <w:t xml:space="preserve"> </w:t>
            </w:r>
            <w:r w:rsidR="009A6FA3" w:rsidRPr="003042B3">
              <w:rPr>
                <w:sz w:val="28"/>
                <w:szCs w:val="28"/>
              </w:rPr>
              <w:t>t</w:t>
            </w:r>
            <w:r w:rsidR="008475D2" w:rsidRPr="003042B3">
              <w:rPr>
                <w:sz w:val="28"/>
                <w:szCs w:val="28"/>
              </w:rPr>
              <w:t>āpa</w:t>
            </w:r>
            <w:r w:rsidR="009A6FA3" w:rsidRPr="003042B3">
              <w:rPr>
                <w:sz w:val="28"/>
                <w:szCs w:val="28"/>
              </w:rPr>
              <w:t>t kā valsts ģimnāziju pedagogiem</w:t>
            </w:r>
            <w:r w:rsidR="008475D2" w:rsidRPr="003042B3">
              <w:rPr>
                <w:sz w:val="28"/>
                <w:szCs w:val="28"/>
              </w:rPr>
              <w:t>.</w:t>
            </w:r>
          </w:p>
        </w:tc>
      </w:tr>
      <w:tr w:rsidR="00CA79FB" w:rsidRPr="003042B3" w:rsidTr="00A57C47">
        <w:trPr>
          <w:trHeight w:val="578"/>
          <w:tblCellSpacing w:w="0" w:type="dxa"/>
        </w:trPr>
        <w:tc>
          <w:tcPr>
            <w:tcW w:w="550" w:type="dxa"/>
            <w:vAlign w:val="center"/>
          </w:tcPr>
          <w:p w:rsidR="00CA79FB" w:rsidRPr="003042B3" w:rsidRDefault="00CA79FB" w:rsidP="00D146E9">
            <w:pPr>
              <w:pStyle w:val="naiskr"/>
              <w:spacing w:before="0" w:after="0"/>
              <w:jc w:val="center"/>
              <w:rPr>
                <w:sz w:val="28"/>
                <w:szCs w:val="28"/>
              </w:rPr>
            </w:pPr>
            <w:r w:rsidRPr="003042B3">
              <w:rPr>
                <w:sz w:val="28"/>
                <w:szCs w:val="28"/>
              </w:rPr>
              <w:lastRenderedPageBreak/>
              <w:t>3.</w:t>
            </w:r>
          </w:p>
        </w:tc>
        <w:tc>
          <w:tcPr>
            <w:tcW w:w="3345" w:type="dxa"/>
            <w:vAlign w:val="center"/>
          </w:tcPr>
          <w:p w:rsidR="00CA79FB" w:rsidRPr="003042B3" w:rsidRDefault="00CA79FB" w:rsidP="00D146E9">
            <w:pPr>
              <w:pStyle w:val="naiskr"/>
              <w:spacing w:before="0" w:after="0"/>
              <w:rPr>
                <w:sz w:val="28"/>
                <w:szCs w:val="28"/>
              </w:rPr>
            </w:pPr>
            <w:r w:rsidRPr="003042B3">
              <w:rPr>
                <w:sz w:val="28"/>
                <w:szCs w:val="28"/>
              </w:rPr>
              <w:t>Saistītie politikas ietekmes novērtējumi un pētījumi</w:t>
            </w:r>
          </w:p>
        </w:tc>
        <w:tc>
          <w:tcPr>
            <w:tcW w:w="5811" w:type="dxa"/>
            <w:vAlign w:val="center"/>
          </w:tcPr>
          <w:p w:rsidR="00CA79FB" w:rsidRPr="003042B3" w:rsidRDefault="00B93843" w:rsidP="00D146E9">
            <w:pPr>
              <w:pStyle w:val="naiskr"/>
              <w:spacing w:before="0" w:after="0"/>
              <w:rPr>
                <w:sz w:val="28"/>
                <w:szCs w:val="28"/>
              </w:rPr>
            </w:pPr>
            <w:r w:rsidRPr="003042B3">
              <w:rPr>
                <w:sz w:val="28"/>
                <w:szCs w:val="28"/>
              </w:rPr>
              <w:t>Projekts šo jomu neskar.</w:t>
            </w:r>
          </w:p>
        </w:tc>
      </w:tr>
      <w:tr w:rsidR="00CA79FB" w:rsidRPr="003042B3" w:rsidTr="00A57C47">
        <w:trPr>
          <w:trHeight w:val="281"/>
          <w:tblCellSpacing w:w="0" w:type="dxa"/>
        </w:trPr>
        <w:tc>
          <w:tcPr>
            <w:tcW w:w="550" w:type="dxa"/>
            <w:vAlign w:val="center"/>
          </w:tcPr>
          <w:p w:rsidR="00CA79FB" w:rsidRPr="003042B3" w:rsidRDefault="00CA79FB" w:rsidP="00D146E9">
            <w:pPr>
              <w:pStyle w:val="naiskr"/>
              <w:spacing w:before="0" w:after="0"/>
              <w:jc w:val="center"/>
              <w:rPr>
                <w:sz w:val="28"/>
                <w:szCs w:val="28"/>
              </w:rPr>
            </w:pPr>
            <w:r w:rsidRPr="003042B3">
              <w:rPr>
                <w:sz w:val="28"/>
                <w:szCs w:val="28"/>
              </w:rPr>
              <w:t>4.</w:t>
            </w:r>
          </w:p>
        </w:tc>
        <w:tc>
          <w:tcPr>
            <w:tcW w:w="3345" w:type="dxa"/>
            <w:vAlign w:val="center"/>
          </w:tcPr>
          <w:p w:rsidR="007E4B1E" w:rsidRPr="003042B3" w:rsidRDefault="007E4B1E" w:rsidP="00D146E9">
            <w:pPr>
              <w:pStyle w:val="naiskr"/>
              <w:spacing w:before="0" w:after="0"/>
              <w:ind w:left="170"/>
              <w:rPr>
                <w:sz w:val="28"/>
                <w:szCs w:val="28"/>
              </w:rPr>
            </w:pPr>
          </w:p>
          <w:p w:rsidR="00CA79FB" w:rsidRPr="003042B3" w:rsidRDefault="00CA79FB" w:rsidP="00D146E9">
            <w:pPr>
              <w:pStyle w:val="naiskr"/>
              <w:spacing w:before="0" w:after="0"/>
              <w:rPr>
                <w:sz w:val="28"/>
                <w:szCs w:val="28"/>
              </w:rPr>
            </w:pPr>
            <w:r w:rsidRPr="003042B3">
              <w:rPr>
                <w:sz w:val="28"/>
                <w:szCs w:val="28"/>
              </w:rPr>
              <w:t>Tiesiskā regulējuma mērķis un būtība</w:t>
            </w:r>
          </w:p>
          <w:p w:rsidR="00CA79FB" w:rsidRPr="003042B3" w:rsidRDefault="00CA79FB" w:rsidP="00D146E9">
            <w:pPr>
              <w:pStyle w:val="naiskr"/>
              <w:spacing w:before="0" w:after="0"/>
              <w:ind w:left="360" w:hanging="360"/>
              <w:rPr>
                <w:sz w:val="28"/>
                <w:szCs w:val="28"/>
              </w:rPr>
            </w:pPr>
          </w:p>
          <w:p w:rsidR="00CA79FB" w:rsidRPr="003042B3" w:rsidRDefault="00CA79FB" w:rsidP="00D146E9">
            <w:pPr>
              <w:pStyle w:val="naiskr"/>
              <w:spacing w:before="0" w:after="0"/>
              <w:ind w:left="170"/>
              <w:rPr>
                <w:sz w:val="28"/>
                <w:szCs w:val="28"/>
              </w:rPr>
            </w:pPr>
          </w:p>
        </w:tc>
        <w:tc>
          <w:tcPr>
            <w:tcW w:w="5811" w:type="dxa"/>
            <w:vAlign w:val="center"/>
          </w:tcPr>
          <w:p w:rsidR="008E426A" w:rsidRPr="003042B3" w:rsidRDefault="00C407D5" w:rsidP="00110B63">
            <w:pPr>
              <w:spacing w:before="0" w:after="0"/>
              <w:rPr>
                <w:bCs/>
                <w:sz w:val="28"/>
                <w:szCs w:val="28"/>
              </w:rPr>
            </w:pPr>
            <w:r w:rsidRPr="003042B3">
              <w:rPr>
                <w:bCs/>
                <w:sz w:val="28"/>
                <w:szCs w:val="28"/>
              </w:rPr>
              <w:t>Noteikumu projekts salīdzinājumā ar spēkā esošajiem noteikumiem paredz</w:t>
            </w:r>
            <w:r w:rsidR="00FD0389" w:rsidRPr="003042B3">
              <w:rPr>
                <w:bCs/>
                <w:sz w:val="28"/>
                <w:szCs w:val="28"/>
              </w:rPr>
              <w:t xml:space="preserve"> </w:t>
            </w:r>
            <w:r w:rsidRPr="003042B3">
              <w:rPr>
                <w:bCs/>
                <w:sz w:val="28"/>
                <w:szCs w:val="28"/>
              </w:rPr>
              <w:t xml:space="preserve">noteikt </w:t>
            </w:r>
            <w:r w:rsidR="00E55D84" w:rsidRPr="003042B3">
              <w:rPr>
                <w:sz w:val="28"/>
                <w:szCs w:val="28"/>
              </w:rPr>
              <w:t xml:space="preserve">Profesionālās izglītības kompetences centros strādājošajiem pedagogiem piemaksu 10 procentu apmērā no mēneša </w:t>
            </w:r>
            <w:r w:rsidR="004C5A3C" w:rsidRPr="003042B3">
              <w:rPr>
                <w:sz w:val="28"/>
                <w:szCs w:val="28"/>
              </w:rPr>
              <w:t>darba algas</w:t>
            </w:r>
            <w:r w:rsidR="00C14E81" w:rsidRPr="003042B3">
              <w:rPr>
                <w:sz w:val="28"/>
                <w:szCs w:val="28"/>
              </w:rPr>
              <w:t xml:space="preserve"> likmes</w:t>
            </w:r>
            <w:r w:rsidR="00C22AA5" w:rsidRPr="003042B3">
              <w:rPr>
                <w:sz w:val="28"/>
                <w:szCs w:val="28"/>
              </w:rPr>
              <w:t xml:space="preserve"> </w:t>
            </w:r>
            <w:r w:rsidR="00C22AA5" w:rsidRPr="003042B3">
              <w:rPr>
                <w:color w:val="000000"/>
                <w:sz w:val="28"/>
                <w:szCs w:val="28"/>
              </w:rPr>
              <w:t>(izņemot pedagogus, kuri īsteno pirmā līmeņa profesionālās augstākās izglītības programmas)</w:t>
            </w:r>
            <w:r w:rsidR="003B454A" w:rsidRPr="003042B3">
              <w:rPr>
                <w:sz w:val="28"/>
                <w:szCs w:val="28"/>
              </w:rPr>
              <w:t>.</w:t>
            </w:r>
          </w:p>
        </w:tc>
      </w:tr>
      <w:tr w:rsidR="00CA79FB" w:rsidRPr="003042B3" w:rsidTr="00A57C47">
        <w:trPr>
          <w:trHeight w:val="476"/>
          <w:tblCellSpacing w:w="0" w:type="dxa"/>
        </w:trPr>
        <w:tc>
          <w:tcPr>
            <w:tcW w:w="550" w:type="dxa"/>
            <w:vAlign w:val="center"/>
          </w:tcPr>
          <w:p w:rsidR="00CA79FB" w:rsidRPr="003042B3" w:rsidRDefault="00CA79FB" w:rsidP="00D146E9">
            <w:pPr>
              <w:pStyle w:val="naiskr"/>
              <w:spacing w:before="0" w:after="0"/>
              <w:jc w:val="center"/>
              <w:rPr>
                <w:sz w:val="28"/>
                <w:szCs w:val="28"/>
              </w:rPr>
            </w:pPr>
            <w:r w:rsidRPr="003042B3">
              <w:rPr>
                <w:sz w:val="28"/>
                <w:szCs w:val="28"/>
              </w:rPr>
              <w:t>5.</w:t>
            </w:r>
          </w:p>
        </w:tc>
        <w:tc>
          <w:tcPr>
            <w:tcW w:w="3345" w:type="dxa"/>
            <w:vAlign w:val="center"/>
          </w:tcPr>
          <w:p w:rsidR="00CA79FB" w:rsidRPr="003042B3" w:rsidRDefault="00CA79FB" w:rsidP="00D146E9">
            <w:pPr>
              <w:pStyle w:val="naiskr"/>
              <w:spacing w:before="0" w:after="0"/>
              <w:ind w:left="17"/>
              <w:rPr>
                <w:sz w:val="28"/>
                <w:szCs w:val="28"/>
              </w:rPr>
            </w:pPr>
            <w:r w:rsidRPr="003042B3">
              <w:rPr>
                <w:sz w:val="28"/>
                <w:szCs w:val="28"/>
              </w:rPr>
              <w:t xml:space="preserve">Projekta izstrādē iesaistītās institūcijas </w:t>
            </w:r>
          </w:p>
        </w:tc>
        <w:tc>
          <w:tcPr>
            <w:tcW w:w="5811" w:type="dxa"/>
            <w:vAlign w:val="center"/>
          </w:tcPr>
          <w:p w:rsidR="00CA79FB" w:rsidRPr="003042B3" w:rsidRDefault="00B93843" w:rsidP="00D146E9">
            <w:pPr>
              <w:pStyle w:val="naiskr"/>
              <w:spacing w:before="0" w:after="0"/>
              <w:rPr>
                <w:b/>
                <w:sz w:val="28"/>
                <w:szCs w:val="28"/>
              </w:rPr>
            </w:pPr>
            <w:r w:rsidRPr="003042B3">
              <w:rPr>
                <w:sz w:val="28"/>
                <w:szCs w:val="28"/>
              </w:rPr>
              <w:t>Projekts šo jomu neskar.</w:t>
            </w:r>
          </w:p>
        </w:tc>
      </w:tr>
      <w:tr w:rsidR="00CA79FB" w:rsidRPr="003042B3" w:rsidTr="00A57C47">
        <w:trPr>
          <w:trHeight w:val="577"/>
          <w:tblCellSpacing w:w="0" w:type="dxa"/>
        </w:trPr>
        <w:tc>
          <w:tcPr>
            <w:tcW w:w="550" w:type="dxa"/>
            <w:vAlign w:val="center"/>
          </w:tcPr>
          <w:p w:rsidR="00CA79FB" w:rsidRPr="003042B3" w:rsidRDefault="00CA79FB" w:rsidP="00D146E9">
            <w:pPr>
              <w:pStyle w:val="naiskr"/>
              <w:spacing w:before="0" w:after="0"/>
              <w:jc w:val="center"/>
              <w:rPr>
                <w:sz w:val="28"/>
                <w:szCs w:val="28"/>
              </w:rPr>
            </w:pPr>
            <w:r w:rsidRPr="003042B3">
              <w:rPr>
                <w:sz w:val="28"/>
                <w:szCs w:val="28"/>
              </w:rPr>
              <w:t>6.</w:t>
            </w:r>
          </w:p>
        </w:tc>
        <w:tc>
          <w:tcPr>
            <w:tcW w:w="3345" w:type="dxa"/>
            <w:vAlign w:val="center"/>
          </w:tcPr>
          <w:p w:rsidR="00CA79FB" w:rsidRPr="003042B3" w:rsidRDefault="00CA79FB" w:rsidP="00D146E9">
            <w:pPr>
              <w:pStyle w:val="naiskr"/>
              <w:spacing w:before="0" w:after="0"/>
              <w:rPr>
                <w:sz w:val="28"/>
                <w:szCs w:val="28"/>
              </w:rPr>
            </w:pPr>
            <w:r w:rsidRPr="003042B3">
              <w:rPr>
                <w:sz w:val="28"/>
                <w:szCs w:val="28"/>
              </w:rPr>
              <w:t>Iemesli, kādēļ netika nodrošināta sabiedrības līdzdalība</w:t>
            </w:r>
          </w:p>
        </w:tc>
        <w:tc>
          <w:tcPr>
            <w:tcW w:w="5811" w:type="dxa"/>
            <w:vAlign w:val="center"/>
          </w:tcPr>
          <w:p w:rsidR="00CA79FB" w:rsidRPr="003042B3" w:rsidRDefault="00B93843" w:rsidP="00D146E9">
            <w:pPr>
              <w:pStyle w:val="naiskr"/>
              <w:spacing w:before="0" w:after="0"/>
              <w:rPr>
                <w:sz w:val="28"/>
                <w:szCs w:val="28"/>
              </w:rPr>
            </w:pPr>
            <w:r w:rsidRPr="003042B3">
              <w:rPr>
                <w:sz w:val="28"/>
                <w:szCs w:val="28"/>
              </w:rPr>
              <w:t>Projekts šo jomu neskar.</w:t>
            </w:r>
          </w:p>
        </w:tc>
      </w:tr>
      <w:tr w:rsidR="00CA79FB" w:rsidRPr="003042B3" w:rsidTr="00A57C47">
        <w:trPr>
          <w:tblCellSpacing w:w="0" w:type="dxa"/>
        </w:trPr>
        <w:tc>
          <w:tcPr>
            <w:tcW w:w="550" w:type="dxa"/>
            <w:vAlign w:val="center"/>
          </w:tcPr>
          <w:p w:rsidR="00CA79FB" w:rsidRPr="003042B3" w:rsidRDefault="00CA79FB" w:rsidP="00D146E9">
            <w:pPr>
              <w:pStyle w:val="naiskr"/>
              <w:spacing w:before="0" w:after="0"/>
              <w:jc w:val="center"/>
              <w:rPr>
                <w:sz w:val="28"/>
                <w:szCs w:val="28"/>
              </w:rPr>
            </w:pPr>
            <w:r w:rsidRPr="003042B3">
              <w:rPr>
                <w:sz w:val="28"/>
                <w:szCs w:val="28"/>
              </w:rPr>
              <w:t>7.</w:t>
            </w:r>
          </w:p>
        </w:tc>
        <w:tc>
          <w:tcPr>
            <w:tcW w:w="3345" w:type="dxa"/>
            <w:vAlign w:val="center"/>
          </w:tcPr>
          <w:p w:rsidR="00CA79FB" w:rsidRPr="003042B3" w:rsidRDefault="00CA79FB" w:rsidP="00D146E9">
            <w:pPr>
              <w:pStyle w:val="naiskr"/>
              <w:spacing w:before="0" w:after="0"/>
              <w:ind w:firstLine="17"/>
              <w:rPr>
                <w:sz w:val="28"/>
                <w:szCs w:val="28"/>
              </w:rPr>
            </w:pPr>
            <w:r w:rsidRPr="003042B3">
              <w:rPr>
                <w:sz w:val="28"/>
                <w:szCs w:val="28"/>
              </w:rPr>
              <w:t>Cita informācija</w:t>
            </w:r>
          </w:p>
        </w:tc>
        <w:tc>
          <w:tcPr>
            <w:tcW w:w="5811" w:type="dxa"/>
            <w:vAlign w:val="center"/>
          </w:tcPr>
          <w:p w:rsidR="00CA79FB" w:rsidRPr="003042B3" w:rsidRDefault="007C710C" w:rsidP="00D146E9">
            <w:pPr>
              <w:pStyle w:val="naiskr"/>
              <w:spacing w:before="0" w:after="0"/>
              <w:rPr>
                <w:sz w:val="28"/>
                <w:szCs w:val="28"/>
              </w:rPr>
            </w:pPr>
            <w:r w:rsidRPr="003042B3">
              <w:rPr>
                <w:sz w:val="28"/>
                <w:szCs w:val="28"/>
              </w:rPr>
              <w:t>Nav</w:t>
            </w:r>
            <w:r w:rsidR="00CB3303" w:rsidRPr="003042B3">
              <w:rPr>
                <w:sz w:val="28"/>
                <w:szCs w:val="28"/>
              </w:rPr>
              <w:t>.</w:t>
            </w:r>
          </w:p>
        </w:tc>
      </w:tr>
    </w:tbl>
    <w:p w:rsidR="00211433" w:rsidRPr="003042B3" w:rsidRDefault="00211433" w:rsidP="00D146E9">
      <w:pPr>
        <w:pStyle w:val="naisf"/>
        <w:spacing w:before="0" w:after="0"/>
        <w:ind w:firstLine="0"/>
        <w:rPr>
          <w:sz w:val="28"/>
          <w:szCs w:val="28"/>
        </w:rPr>
      </w:pPr>
    </w:p>
    <w:tbl>
      <w:tblPr>
        <w:tblpPr w:leftFromText="180" w:rightFromText="180" w:vertAnchor="text" w:horzAnchor="margin" w:tblpXSpec="center" w:tblpY="149"/>
        <w:tblW w:w="975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634"/>
        <w:gridCol w:w="3261"/>
        <w:gridCol w:w="5859"/>
      </w:tblGrid>
      <w:tr w:rsidR="00CA79FB" w:rsidRPr="003042B3" w:rsidTr="00A57C47">
        <w:trPr>
          <w:tblCellSpacing w:w="0" w:type="dxa"/>
        </w:trPr>
        <w:tc>
          <w:tcPr>
            <w:tcW w:w="9754" w:type="dxa"/>
            <w:gridSpan w:val="3"/>
            <w:vAlign w:val="center"/>
          </w:tcPr>
          <w:p w:rsidR="00CA79FB" w:rsidRPr="003042B3" w:rsidRDefault="00CA79FB" w:rsidP="00D146E9">
            <w:pPr>
              <w:pStyle w:val="naisnod"/>
              <w:spacing w:before="0" w:after="0"/>
              <w:rPr>
                <w:sz w:val="28"/>
                <w:szCs w:val="28"/>
              </w:rPr>
            </w:pPr>
            <w:r w:rsidRPr="003042B3">
              <w:rPr>
                <w:sz w:val="28"/>
                <w:szCs w:val="28"/>
              </w:rPr>
              <w:t>II</w:t>
            </w:r>
            <w:r w:rsidR="002B1FA6" w:rsidRPr="003042B3">
              <w:rPr>
                <w:sz w:val="28"/>
                <w:szCs w:val="28"/>
              </w:rPr>
              <w:t>.</w:t>
            </w:r>
            <w:r w:rsidRPr="003042B3">
              <w:rPr>
                <w:sz w:val="28"/>
                <w:szCs w:val="28"/>
              </w:rPr>
              <w:t xml:space="preserve"> Tiesību akta projekta ietekme uz sabiedrību</w:t>
            </w:r>
          </w:p>
        </w:tc>
      </w:tr>
      <w:tr w:rsidR="00E55D84" w:rsidRPr="003042B3" w:rsidTr="00A57C47">
        <w:trPr>
          <w:trHeight w:val="467"/>
          <w:tblCellSpacing w:w="0" w:type="dxa"/>
        </w:trPr>
        <w:tc>
          <w:tcPr>
            <w:tcW w:w="634" w:type="dxa"/>
            <w:vAlign w:val="center"/>
          </w:tcPr>
          <w:p w:rsidR="00E55D84" w:rsidRPr="003042B3" w:rsidRDefault="00E55D84" w:rsidP="00D146E9">
            <w:pPr>
              <w:pStyle w:val="naiskr"/>
              <w:spacing w:before="0" w:after="0"/>
              <w:ind w:left="180" w:hanging="180"/>
              <w:jc w:val="center"/>
              <w:rPr>
                <w:sz w:val="28"/>
                <w:szCs w:val="28"/>
              </w:rPr>
            </w:pPr>
            <w:r w:rsidRPr="003042B3">
              <w:rPr>
                <w:sz w:val="28"/>
                <w:szCs w:val="28"/>
              </w:rPr>
              <w:t>1.</w:t>
            </w:r>
          </w:p>
        </w:tc>
        <w:tc>
          <w:tcPr>
            <w:tcW w:w="3261" w:type="dxa"/>
            <w:vAlign w:val="center"/>
          </w:tcPr>
          <w:p w:rsidR="00E55D84" w:rsidRPr="003042B3" w:rsidRDefault="00E55D84" w:rsidP="00D146E9">
            <w:pPr>
              <w:pStyle w:val="naiskr"/>
              <w:spacing w:before="0" w:after="0"/>
              <w:rPr>
                <w:sz w:val="28"/>
                <w:szCs w:val="28"/>
              </w:rPr>
            </w:pPr>
            <w:r w:rsidRPr="003042B3">
              <w:rPr>
                <w:sz w:val="28"/>
                <w:szCs w:val="28"/>
              </w:rPr>
              <w:t>Sabiedrības mērķgrupa</w:t>
            </w:r>
          </w:p>
        </w:tc>
        <w:tc>
          <w:tcPr>
            <w:tcW w:w="5859" w:type="dxa"/>
          </w:tcPr>
          <w:p w:rsidR="00E55D84" w:rsidRPr="003042B3" w:rsidRDefault="00E55D84" w:rsidP="00110B63">
            <w:pPr>
              <w:spacing w:before="0" w:after="0"/>
              <w:rPr>
                <w:sz w:val="28"/>
                <w:szCs w:val="28"/>
              </w:rPr>
            </w:pPr>
            <w:r w:rsidRPr="003042B3">
              <w:rPr>
                <w:sz w:val="28"/>
                <w:szCs w:val="28"/>
              </w:rPr>
              <w:t>Projekta tiesiskais regulējums attiecas uz</w:t>
            </w:r>
            <w:r w:rsidR="003B454A" w:rsidRPr="003042B3">
              <w:rPr>
                <w:sz w:val="28"/>
                <w:szCs w:val="28"/>
              </w:rPr>
              <w:t xml:space="preserve"> </w:t>
            </w:r>
            <w:r w:rsidR="00095943" w:rsidRPr="003042B3">
              <w:rPr>
                <w:sz w:val="28"/>
                <w:szCs w:val="28"/>
              </w:rPr>
              <w:t>tiem</w:t>
            </w:r>
            <w:r w:rsidRPr="003042B3">
              <w:rPr>
                <w:sz w:val="28"/>
                <w:szCs w:val="28"/>
              </w:rPr>
              <w:t xml:space="preserve"> Latvijas reģioniem, Latvijas pilsētām, </w:t>
            </w:r>
            <w:r w:rsidR="00095943" w:rsidRPr="003042B3">
              <w:rPr>
                <w:sz w:val="28"/>
                <w:szCs w:val="28"/>
              </w:rPr>
              <w:t>kuros tiks veidoti</w:t>
            </w:r>
            <w:r w:rsidRPr="003042B3">
              <w:rPr>
                <w:sz w:val="28"/>
                <w:szCs w:val="28"/>
              </w:rPr>
              <w:t xml:space="preserve">  profesionālās izglītības kompetences centri, ievērojot nozaru vajadzības</w:t>
            </w:r>
            <w:r w:rsidR="003B454A" w:rsidRPr="003042B3">
              <w:rPr>
                <w:sz w:val="28"/>
                <w:szCs w:val="28"/>
              </w:rPr>
              <w:t>.</w:t>
            </w:r>
          </w:p>
        </w:tc>
      </w:tr>
      <w:tr w:rsidR="00E55D84" w:rsidRPr="003042B3" w:rsidTr="00A57C47">
        <w:trPr>
          <w:trHeight w:val="523"/>
          <w:tblCellSpacing w:w="0" w:type="dxa"/>
        </w:trPr>
        <w:tc>
          <w:tcPr>
            <w:tcW w:w="634" w:type="dxa"/>
            <w:vAlign w:val="center"/>
          </w:tcPr>
          <w:p w:rsidR="00E55D84" w:rsidRPr="003042B3" w:rsidRDefault="00E55D84" w:rsidP="00D146E9">
            <w:pPr>
              <w:pStyle w:val="naiskr"/>
              <w:spacing w:before="0" w:after="0"/>
              <w:jc w:val="center"/>
              <w:rPr>
                <w:sz w:val="28"/>
                <w:szCs w:val="28"/>
              </w:rPr>
            </w:pPr>
            <w:r w:rsidRPr="003042B3">
              <w:rPr>
                <w:sz w:val="28"/>
                <w:szCs w:val="28"/>
              </w:rPr>
              <w:t>2.</w:t>
            </w:r>
          </w:p>
        </w:tc>
        <w:tc>
          <w:tcPr>
            <w:tcW w:w="3261" w:type="dxa"/>
            <w:vAlign w:val="center"/>
          </w:tcPr>
          <w:p w:rsidR="00E55D84" w:rsidRPr="003042B3" w:rsidRDefault="00E55D84" w:rsidP="00D146E9">
            <w:pPr>
              <w:pStyle w:val="naiskr"/>
              <w:spacing w:before="0" w:after="0"/>
              <w:rPr>
                <w:sz w:val="28"/>
                <w:szCs w:val="28"/>
              </w:rPr>
            </w:pPr>
            <w:r w:rsidRPr="003042B3">
              <w:rPr>
                <w:sz w:val="28"/>
                <w:szCs w:val="28"/>
              </w:rPr>
              <w:t>Citas sabiedrības grupas (bez mērķgrupas), kuras tiesiskais regulējums arī ietekmē vai varētu ietekmēt</w:t>
            </w:r>
          </w:p>
        </w:tc>
        <w:tc>
          <w:tcPr>
            <w:tcW w:w="5859" w:type="dxa"/>
            <w:vAlign w:val="center"/>
          </w:tcPr>
          <w:p w:rsidR="00E55D84" w:rsidRPr="003042B3" w:rsidRDefault="00B93843" w:rsidP="00D146E9">
            <w:pPr>
              <w:pStyle w:val="naiskr"/>
              <w:spacing w:before="0" w:after="0"/>
              <w:rPr>
                <w:sz w:val="28"/>
                <w:szCs w:val="28"/>
              </w:rPr>
            </w:pPr>
            <w:r w:rsidRPr="003042B3">
              <w:rPr>
                <w:sz w:val="28"/>
                <w:szCs w:val="28"/>
              </w:rPr>
              <w:t>Projekts šo jomu neskar.</w:t>
            </w:r>
          </w:p>
        </w:tc>
      </w:tr>
      <w:tr w:rsidR="00E55D84" w:rsidRPr="003042B3" w:rsidTr="00A57C47">
        <w:trPr>
          <w:trHeight w:val="517"/>
          <w:tblCellSpacing w:w="0" w:type="dxa"/>
        </w:trPr>
        <w:tc>
          <w:tcPr>
            <w:tcW w:w="634" w:type="dxa"/>
            <w:vAlign w:val="center"/>
          </w:tcPr>
          <w:p w:rsidR="00E55D84" w:rsidRPr="003042B3" w:rsidRDefault="00E55D84" w:rsidP="00D146E9">
            <w:pPr>
              <w:pStyle w:val="naiskr"/>
              <w:spacing w:before="0" w:after="0"/>
              <w:jc w:val="center"/>
              <w:rPr>
                <w:sz w:val="28"/>
                <w:szCs w:val="28"/>
              </w:rPr>
            </w:pPr>
            <w:r w:rsidRPr="003042B3">
              <w:rPr>
                <w:sz w:val="28"/>
                <w:szCs w:val="28"/>
              </w:rPr>
              <w:t>3.</w:t>
            </w:r>
          </w:p>
        </w:tc>
        <w:tc>
          <w:tcPr>
            <w:tcW w:w="3261" w:type="dxa"/>
            <w:vAlign w:val="center"/>
          </w:tcPr>
          <w:p w:rsidR="00E55D84" w:rsidRPr="003042B3" w:rsidRDefault="00E55D84" w:rsidP="00D146E9">
            <w:pPr>
              <w:pStyle w:val="naiskr"/>
              <w:spacing w:before="0" w:after="0"/>
              <w:rPr>
                <w:sz w:val="28"/>
                <w:szCs w:val="28"/>
              </w:rPr>
            </w:pPr>
            <w:r w:rsidRPr="003042B3">
              <w:rPr>
                <w:sz w:val="28"/>
                <w:szCs w:val="28"/>
              </w:rPr>
              <w:t xml:space="preserve">Tiesiskā regulējuma finansiālā ietekme </w:t>
            </w:r>
          </w:p>
        </w:tc>
        <w:tc>
          <w:tcPr>
            <w:tcW w:w="5859" w:type="dxa"/>
            <w:vAlign w:val="center"/>
          </w:tcPr>
          <w:p w:rsidR="00E55D84" w:rsidRPr="003042B3" w:rsidRDefault="00E55D84" w:rsidP="00110B63">
            <w:pPr>
              <w:pStyle w:val="naiskr"/>
              <w:spacing w:before="0" w:after="0"/>
              <w:rPr>
                <w:i/>
                <w:sz w:val="28"/>
                <w:szCs w:val="28"/>
              </w:rPr>
            </w:pPr>
            <w:r w:rsidRPr="003042B3">
              <w:rPr>
                <w:sz w:val="28"/>
                <w:szCs w:val="28"/>
              </w:rPr>
              <w:t>Profesionālās izglītības kompetences centru</w:t>
            </w:r>
            <w:r w:rsidRPr="003042B3">
              <w:rPr>
                <w:bCs/>
                <w:sz w:val="28"/>
                <w:szCs w:val="28"/>
              </w:rPr>
              <w:t xml:space="preserve"> pedagogiem tiks nodrošināta 10% piemaksa pie darba algas</w:t>
            </w:r>
            <w:r w:rsidR="001D00A9" w:rsidRPr="003042B3">
              <w:rPr>
                <w:bCs/>
                <w:sz w:val="28"/>
                <w:szCs w:val="28"/>
              </w:rPr>
              <w:t xml:space="preserve"> likmes</w:t>
            </w:r>
            <w:r w:rsidR="00C22AA5" w:rsidRPr="003042B3">
              <w:rPr>
                <w:bCs/>
                <w:sz w:val="28"/>
                <w:szCs w:val="28"/>
              </w:rPr>
              <w:t xml:space="preserve"> </w:t>
            </w:r>
            <w:r w:rsidR="00C22AA5" w:rsidRPr="003042B3">
              <w:rPr>
                <w:color w:val="000000"/>
                <w:sz w:val="28"/>
                <w:szCs w:val="28"/>
              </w:rPr>
              <w:t>(izņemot pedagogus, kuri īsteno pirmā līmeņa profesionālās augstākās izglītības programmas)</w:t>
            </w:r>
            <w:r w:rsidRPr="003042B3">
              <w:rPr>
                <w:bCs/>
                <w:sz w:val="28"/>
                <w:szCs w:val="28"/>
              </w:rPr>
              <w:t xml:space="preserve">. </w:t>
            </w:r>
          </w:p>
        </w:tc>
      </w:tr>
      <w:tr w:rsidR="00E55D84" w:rsidRPr="003042B3" w:rsidTr="00A57C47">
        <w:trPr>
          <w:trHeight w:val="517"/>
          <w:tblCellSpacing w:w="0" w:type="dxa"/>
        </w:trPr>
        <w:tc>
          <w:tcPr>
            <w:tcW w:w="634" w:type="dxa"/>
            <w:vAlign w:val="center"/>
          </w:tcPr>
          <w:p w:rsidR="00E55D84" w:rsidRPr="003042B3" w:rsidRDefault="00E55D84" w:rsidP="00D146E9">
            <w:pPr>
              <w:pStyle w:val="naiskr"/>
              <w:spacing w:before="0" w:after="0"/>
              <w:jc w:val="center"/>
              <w:rPr>
                <w:sz w:val="28"/>
                <w:szCs w:val="28"/>
              </w:rPr>
            </w:pPr>
            <w:r w:rsidRPr="003042B3">
              <w:rPr>
                <w:sz w:val="28"/>
                <w:szCs w:val="28"/>
              </w:rPr>
              <w:t>4.</w:t>
            </w:r>
          </w:p>
        </w:tc>
        <w:tc>
          <w:tcPr>
            <w:tcW w:w="3261" w:type="dxa"/>
            <w:vAlign w:val="center"/>
          </w:tcPr>
          <w:p w:rsidR="00E55D84" w:rsidRPr="003042B3" w:rsidRDefault="00E55D84" w:rsidP="00D146E9">
            <w:pPr>
              <w:pStyle w:val="naiskr"/>
              <w:spacing w:before="0" w:after="0"/>
              <w:rPr>
                <w:sz w:val="28"/>
                <w:szCs w:val="28"/>
              </w:rPr>
            </w:pPr>
            <w:r w:rsidRPr="003042B3">
              <w:rPr>
                <w:sz w:val="28"/>
                <w:szCs w:val="28"/>
              </w:rPr>
              <w:t>Tiesiskā regulējuma nefinansiālā ietekme</w:t>
            </w:r>
          </w:p>
        </w:tc>
        <w:tc>
          <w:tcPr>
            <w:tcW w:w="5859" w:type="dxa"/>
            <w:vAlign w:val="center"/>
          </w:tcPr>
          <w:p w:rsidR="00E55D84" w:rsidRPr="003042B3" w:rsidRDefault="00B93843" w:rsidP="00D146E9">
            <w:pPr>
              <w:pStyle w:val="naiskr"/>
              <w:spacing w:before="0" w:after="0"/>
              <w:rPr>
                <w:sz w:val="28"/>
                <w:szCs w:val="28"/>
              </w:rPr>
            </w:pPr>
            <w:r w:rsidRPr="003042B3">
              <w:rPr>
                <w:sz w:val="28"/>
                <w:szCs w:val="28"/>
              </w:rPr>
              <w:t>Projekts šo jomu neskar.</w:t>
            </w:r>
          </w:p>
        </w:tc>
      </w:tr>
      <w:tr w:rsidR="00E55D84" w:rsidRPr="003042B3" w:rsidTr="00A57C47">
        <w:trPr>
          <w:trHeight w:val="645"/>
          <w:tblCellSpacing w:w="0" w:type="dxa"/>
        </w:trPr>
        <w:tc>
          <w:tcPr>
            <w:tcW w:w="634" w:type="dxa"/>
            <w:vAlign w:val="center"/>
          </w:tcPr>
          <w:p w:rsidR="00E55D84" w:rsidRPr="003042B3" w:rsidRDefault="00E55D84" w:rsidP="00D146E9">
            <w:pPr>
              <w:pStyle w:val="naiskr"/>
              <w:spacing w:before="0" w:after="0"/>
              <w:jc w:val="center"/>
              <w:rPr>
                <w:sz w:val="28"/>
                <w:szCs w:val="28"/>
              </w:rPr>
            </w:pPr>
            <w:r w:rsidRPr="003042B3">
              <w:rPr>
                <w:sz w:val="28"/>
                <w:szCs w:val="28"/>
              </w:rPr>
              <w:lastRenderedPageBreak/>
              <w:t>5.</w:t>
            </w:r>
          </w:p>
        </w:tc>
        <w:tc>
          <w:tcPr>
            <w:tcW w:w="3261" w:type="dxa"/>
            <w:vAlign w:val="center"/>
          </w:tcPr>
          <w:p w:rsidR="00E55D84" w:rsidRPr="003042B3" w:rsidRDefault="00E55D84" w:rsidP="00D146E9">
            <w:pPr>
              <w:pStyle w:val="naiskr"/>
              <w:spacing w:before="0" w:after="0"/>
              <w:rPr>
                <w:sz w:val="28"/>
                <w:szCs w:val="28"/>
              </w:rPr>
            </w:pPr>
            <w:r w:rsidRPr="003042B3">
              <w:rPr>
                <w:sz w:val="28"/>
                <w:szCs w:val="28"/>
              </w:rPr>
              <w:t>Administratīvās procedūras raksturojums</w:t>
            </w:r>
          </w:p>
        </w:tc>
        <w:tc>
          <w:tcPr>
            <w:tcW w:w="5859" w:type="dxa"/>
            <w:vAlign w:val="center"/>
          </w:tcPr>
          <w:p w:rsidR="00E55D84" w:rsidRPr="003042B3" w:rsidRDefault="00B93843" w:rsidP="00D146E9">
            <w:pPr>
              <w:pStyle w:val="naiskr"/>
              <w:spacing w:before="0" w:after="0"/>
              <w:rPr>
                <w:i/>
                <w:sz w:val="28"/>
                <w:szCs w:val="28"/>
              </w:rPr>
            </w:pPr>
            <w:r w:rsidRPr="003042B3">
              <w:rPr>
                <w:sz w:val="28"/>
                <w:szCs w:val="28"/>
              </w:rPr>
              <w:t>Projekts šo jomu neskar.</w:t>
            </w:r>
          </w:p>
        </w:tc>
      </w:tr>
      <w:tr w:rsidR="00E55D84" w:rsidRPr="003042B3" w:rsidTr="00A57C47">
        <w:trPr>
          <w:trHeight w:val="709"/>
          <w:tblCellSpacing w:w="0" w:type="dxa"/>
        </w:trPr>
        <w:tc>
          <w:tcPr>
            <w:tcW w:w="634" w:type="dxa"/>
            <w:vAlign w:val="center"/>
          </w:tcPr>
          <w:p w:rsidR="00E55D84" w:rsidRPr="003042B3" w:rsidRDefault="00E55D84" w:rsidP="00D146E9">
            <w:pPr>
              <w:pStyle w:val="naiskr"/>
              <w:spacing w:before="0" w:after="0"/>
              <w:jc w:val="center"/>
              <w:rPr>
                <w:sz w:val="28"/>
                <w:szCs w:val="28"/>
              </w:rPr>
            </w:pPr>
            <w:r w:rsidRPr="003042B3">
              <w:rPr>
                <w:sz w:val="28"/>
                <w:szCs w:val="28"/>
              </w:rPr>
              <w:t>6.</w:t>
            </w:r>
          </w:p>
        </w:tc>
        <w:tc>
          <w:tcPr>
            <w:tcW w:w="3261" w:type="dxa"/>
            <w:vAlign w:val="center"/>
          </w:tcPr>
          <w:p w:rsidR="00E55D84" w:rsidRPr="003042B3" w:rsidRDefault="00E55D84" w:rsidP="00D146E9">
            <w:pPr>
              <w:pStyle w:val="naiskr"/>
              <w:spacing w:before="0" w:after="0"/>
              <w:rPr>
                <w:sz w:val="28"/>
                <w:szCs w:val="28"/>
              </w:rPr>
            </w:pPr>
            <w:r w:rsidRPr="003042B3">
              <w:rPr>
                <w:sz w:val="28"/>
                <w:szCs w:val="28"/>
              </w:rPr>
              <w:t>Administratīvo izmaksu monetārs novērtējums</w:t>
            </w:r>
          </w:p>
        </w:tc>
        <w:tc>
          <w:tcPr>
            <w:tcW w:w="5859" w:type="dxa"/>
            <w:vAlign w:val="center"/>
          </w:tcPr>
          <w:p w:rsidR="00E55D84" w:rsidRPr="003042B3" w:rsidRDefault="00B93843" w:rsidP="00D146E9">
            <w:pPr>
              <w:pStyle w:val="naiskr"/>
              <w:spacing w:before="0" w:after="0"/>
              <w:rPr>
                <w:i/>
                <w:sz w:val="28"/>
                <w:szCs w:val="28"/>
              </w:rPr>
            </w:pPr>
            <w:r w:rsidRPr="003042B3">
              <w:rPr>
                <w:sz w:val="28"/>
                <w:szCs w:val="28"/>
              </w:rPr>
              <w:t>Projekts šo jomu neskar.</w:t>
            </w:r>
          </w:p>
        </w:tc>
      </w:tr>
      <w:tr w:rsidR="00E55D84" w:rsidRPr="003042B3" w:rsidTr="00A57C47">
        <w:trPr>
          <w:tblCellSpacing w:w="0" w:type="dxa"/>
        </w:trPr>
        <w:tc>
          <w:tcPr>
            <w:tcW w:w="634" w:type="dxa"/>
            <w:vAlign w:val="center"/>
          </w:tcPr>
          <w:p w:rsidR="00E55D84" w:rsidRPr="003042B3" w:rsidRDefault="00E55D84" w:rsidP="00D146E9">
            <w:pPr>
              <w:pStyle w:val="naiskr"/>
              <w:spacing w:before="0" w:after="0"/>
              <w:jc w:val="center"/>
              <w:rPr>
                <w:sz w:val="28"/>
                <w:szCs w:val="28"/>
              </w:rPr>
            </w:pPr>
            <w:r w:rsidRPr="003042B3">
              <w:rPr>
                <w:sz w:val="28"/>
                <w:szCs w:val="28"/>
              </w:rPr>
              <w:t>7.</w:t>
            </w:r>
          </w:p>
        </w:tc>
        <w:tc>
          <w:tcPr>
            <w:tcW w:w="3261" w:type="dxa"/>
            <w:vAlign w:val="center"/>
          </w:tcPr>
          <w:p w:rsidR="00E55D84" w:rsidRPr="003042B3" w:rsidRDefault="00E55D84" w:rsidP="00D146E9">
            <w:pPr>
              <w:pStyle w:val="naiskr"/>
              <w:spacing w:before="0" w:after="0"/>
              <w:rPr>
                <w:sz w:val="28"/>
                <w:szCs w:val="28"/>
              </w:rPr>
            </w:pPr>
            <w:r w:rsidRPr="003042B3">
              <w:rPr>
                <w:sz w:val="28"/>
                <w:szCs w:val="28"/>
              </w:rPr>
              <w:t>Cita informācija.</w:t>
            </w:r>
          </w:p>
        </w:tc>
        <w:tc>
          <w:tcPr>
            <w:tcW w:w="5859" w:type="dxa"/>
            <w:vAlign w:val="center"/>
          </w:tcPr>
          <w:p w:rsidR="00E55D84" w:rsidRPr="003042B3" w:rsidRDefault="00E55D84" w:rsidP="00D146E9">
            <w:pPr>
              <w:pStyle w:val="naiskr"/>
              <w:spacing w:before="0" w:after="0"/>
              <w:rPr>
                <w:sz w:val="28"/>
                <w:szCs w:val="28"/>
              </w:rPr>
            </w:pPr>
            <w:r w:rsidRPr="003042B3">
              <w:rPr>
                <w:sz w:val="28"/>
                <w:szCs w:val="28"/>
              </w:rPr>
              <w:t>Nav.</w:t>
            </w:r>
          </w:p>
        </w:tc>
      </w:tr>
    </w:tbl>
    <w:p w:rsidR="00A449F3" w:rsidRPr="003042B3" w:rsidRDefault="00A449F3" w:rsidP="00D146E9">
      <w:pPr>
        <w:pStyle w:val="naisf"/>
        <w:spacing w:before="0" w:after="0"/>
        <w:ind w:firstLine="0"/>
        <w:rPr>
          <w:sz w:val="28"/>
          <w:szCs w:val="28"/>
        </w:rPr>
      </w:pPr>
    </w:p>
    <w:tbl>
      <w:tblPr>
        <w:tblW w:w="526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8"/>
        <w:gridCol w:w="1281"/>
        <w:gridCol w:w="1307"/>
        <w:gridCol w:w="1370"/>
        <w:gridCol w:w="1370"/>
        <w:gridCol w:w="1507"/>
      </w:tblGrid>
      <w:tr w:rsidR="00A449F3" w:rsidRPr="003042B3" w:rsidTr="00A57C47">
        <w:tc>
          <w:tcPr>
            <w:tcW w:w="5000" w:type="pct"/>
            <w:gridSpan w:val="6"/>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jc w:val="center"/>
              <w:rPr>
                <w:b/>
                <w:sz w:val="28"/>
                <w:szCs w:val="28"/>
              </w:rPr>
            </w:pPr>
            <w:r w:rsidRPr="003042B3">
              <w:rPr>
                <w:b/>
                <w:sz w:val="28"/>
                <w:szCs w:val="28"/>
              </w:rPr>
              <w:t>III. Tiesību akta projekta ietekme uz valsts budžetu un pašvaldību budžetiem</w:t>
            </w:r>
          </w:p>
        </w:tc>
      </w:tr>
      <w:tr w:rsidR="00A449F3" w:rsidRPr="003042B3" w:rsidTr="00A57C47">
        <w:tc>
          <w:tcPr>
            <w:tcW w:w="1507" w:type="pct"/>
            <w:vMerge w:val="restar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jc w:val="center"/>
              <w:rPr>
                <w:sz w:val="28"/>
                <w:szCs w:val="28"/>
              </w:rPr>
            </w:pPr>
            <w:r w:rsidRPr="003042B3">
              <w:rPr>
                <w:sz w:val="28"/>
                <w:szCs w:val="28"/>
              </w:rPr>
              <w:t> </w:t>
            </w:r>
            <w:r w:rsidRPr="003042B3">
              <w:rPr>
                <w:b/>
                <w:bCs/>
                <w:sz w:val="28"/>
                <w:szCs w:val="28"/>
              </w:rPr>
              <w:t>Rādītāji</w:t>
            </w:r>
          </w:p>
        </w:tc>
        <w:tc>
          <w:tcPr>
            <w:tcW w:w="1323" w:type="pct"/>
            <w:gridSpan w:val="2"/>
            <w:vMerge w:val="restart"/>
            <w:tcBorders>
              <w:top w:val="single" w:sz="12" w:space="0" w:color="auto"/>
              <w:left w:val="single" w:sz="12" w:space="0" w:color="auto"/>
              <w:bottom w:val="single" w:sz="12" w:space="0" w:color="auto"/>
              <w:right w:val="single" w:sz="12" w:space="0" w:color="auto"/>
            </w:tcBorders>
            <w:vAlign w:val="center"/>
          </w:tcPr>
          <w:p w:rsidR="00A449F3" w:rsidRPr="003042B3" w:rsidRDefault="00A449F3" w:rsidP="00D146E9">
            <w:pPr>
              <w:spacing w:before="0" w:after="0"/>
              <w:jc w:val="center"/>
              <w:rPr>
                <w:sz w:val="28"/>
                <w:szCs w:val="28"/>
              </w:rPr>
            </w:pPr>
            <w:r w:rsidRPr="003042B3">
              <w:rPr>
                <w:b/>
                <w:bCs/>
                <w:sz w:val="28"/>
                <w:szCs w:val="28"/>
              </w:rPr>
              <w:t>2011.gads</w:t>
            </w:r>
          </w:p>
        </w:tc>
        <w:tc>
          <w:tcPr>
            <w:tcW w:w="2170" w:type="pct"/>
            <w:gridSpan w:val="3"/>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jc w:val="center"/>
              <w:rPr>
                <w:sz w:val="28"/>
                <w:szCs w:val="28"/>
              </w:rPr>
            </w:pPr>
            <w:r w:rsidRPr="003042B3">
              <w:rPr>
                <w:sz w:val="28"/>
                <w:szCs w:val="28"/>
              </w:rPr>
              <w:t> Turpmākie trīs gadi (tūkst</w:t>
            </w:r>
            <w:smartTag w:uri="schemas-tilde-lv/tildestengine" w:element="currency2">
              <w:smartTagPr>
                <w:attr w:name="currency_text" w:val="latu"/>
                <w:attr w:name="currency_value" w:val="."/>
                <w:attr w:name="currency_key" w:val="LVL"/>
                <w:attr w:name="currency_id" w:val="48"/>
              </w:smartTagPr>
              <w:r w:rsidRPr="003042B3">
                <w:rPr>
                  <w:sz w:val="28"/>
                  <w:szCs w:val="28"/>
                </w:rPr>
                <w:t>. latu</w:t>
              </w:r>
            </w:smartTag>
            <w:r w:rsidRPr="003042B3">
              <w:rPr>
                <w:sz w:val="28"/>
                <w:szCs w:val="28"/>
              </w:rPr>
              <w:t>)</w:t>
            </w:r>
          </w:p>
        </w:tc>
      </w:tr>
      <w:tr w:rsidR="00A449F3" w:rsidRPr="003042B3" w:rsidTr="00A57C47">
        <w:tc>
          <w:tcPr>
            <w:tcW w:w="1507" w:type="pct"/>
            <w:vMerge/>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rPr>
                <w:sz w:val="28"/>
                <w:szCs w:val="28"/>
              </w:rPr>
            </w:pPr>
          </w:p>
        </w:tc>
        <w:tc>
          <w:tcPr>
            <w:tcW w:w="1323" w:type="pct"/>
            <w:gridSpan w:val="2"/>
            <w:vMerge/>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rPr>
                <w:sz w:val="28"/>
                <w:szCs w:val="28"/>
              </w:rPr>
            </w:pPr>
          </w:p>
        </w:tc>
        <w:tc>
          <w:tcPr>
            <w:tcW w:w="700"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jc w:val="center"/>
              <w:rPr>
                <w:b/>
                <w:bCs/>
                <w:sz w:val="28"/>
                <w:szCs w:val="28"/>
              </w:rPr>
            </w:pPr>
            <w:r w:rsidRPr="003042B3">
              <w:rPr>
                <w:b/>
                <w:bCs/>
                <w:sz w:val="28"/>
                <w:szCs w:val="28"/>
              </w:rPr>
              <w:t> 2012.</w:t>
            </w:r>
          </w:p>
        </w:tc>
        <w:tc>
          <w:tcPr>
            <w:tcW w:w="700"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jc w:val="center"/>
              <w:rPr>
                <w:b/>
                <w:bCs/>
                <w:sz w:val="28"/>
                <w:szCs w:val="28"/>
              </w:rPr>
            </w:pPr>
            <w:r w:rsidRPr="003042B3">
              <w:rPr>
                <w:b/>
                <w:bCs/>
                <w:sz w:val="28"/>
                <w:szCs w:val="28"/>
              </w:rPr>
              <w:t> 2013.</w:t>
            </w:r>
          </w:p>
        </w:tc>
        <w:tc>
          <w:tcPr>
            <w:tcW w:w="770"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jc w:val="center"/>
              <w:rPr>
                <w:b/>
                <w:bCs/>
                <w:sz w:val="28"/>
                <w:szCs w:val="28"/>
              </w:rPr>
            </w:pPr>
            <w:r w:rsidRPr="003042B3">
              <w:rPr>
                <w:b/>
                <w:bCs/>
                <w:sz w:val="28"/>
                <w:szCs w:val="28"/>
              </w:rPr>
              <w:t> 2014.</w:t>
            </w:r>
          </w:p>
        </w:tc>
      </w:tr>
      <w:tr w:rsidR="00A449F3" w:rsidRPr="003042B3" w:rsidTr="00A57C47">
        <w:tc>
          <w:tcPr>
            <w:tcW w:w="1507" w:type="pct"/>
            <w:vMerge/>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rPr>
                <w:sz w:val="28"/>
                <w:szCs w:val="28"/>
              </w:rPr>
            </w:pPr>
          </w:p>
        </w:tc>
        <w:tc>
          <w:tcPr>
            <w:tcW w:w="655"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jc w:val="center"/>
              <w:rPr>
                <w:sz w:val="28"/>
                <w:szCs w:val="28"/>
              </w:rPr>
            </w:pPr>
            <w:r w:rsidRPr="003042B3">
              <w:rPr>
                <w:sz w:val="28"/>
                <w:szCs w:val="28"/>
              </w:rPr>
              <w:t> Saskaņā ar valsts budžetu kārtējam gadam</w:t>
            </w:r>
          </w:p>
        </w:tc>
        <w:tc>
          <w:tcPr>
            <w:tcW w:w="668"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jc w:val="center"/>
              <w:rPr>
                <w:sz w:val="28"/>
                <w:szCs w:val="28"/>
              </w:rPr>
            </w:pPr>
            <w:r w:rsidRPr="003042B3">
              <w:rPr>
                <w:sz w:val="28"/>
                <w:szCs w:val="28"/>
              </w:rPr>
              <w:t> Izmaiņas kārtējā gadā, salīdzinot ar budžetu kārtējam gadam</w:t>
            </w:r>
          </w:p>
        </w:tc>
        <w:tc>
          <w:tcPr>
            <w:tcW w:w="700"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jc w:val="center"/>
              <w:rPr>
                <w:sz w:val="28"/>
                <w:szCs w:val="28"/>
              </w:rPr>
            </w:pPr>
            <w:r w:rsidRPr="003042B3">
              <w:rPr>
                <w:sz w:val="28"/>
                <w:szCs w:val="28"/>
              </w:rPr>
              <w:t> Izmaiņas, salīdzinot ar kārtējo (2011) gadu</w:t>
            </w:r>
          </w:p>
        </w:tc>
        <w:tc>
          <w:tcPr>
            <w:tcW w:w="700"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jc w:val="center"/>
              <w:rPr>
                <w:sz w:val="28"/>
                <w:szCs w:val="28"/>
              </w:rPr>
            </w:pPr>
            <w:r w:rsidRPr="003042B3">
              <w:rPr>
                <w:sz w:val="28"/>
                <w:szCs w:val="28"/>
              </w:rPr>
              <w:t> Izmaiņas, salīdzinot ar kārtējo (2011) gadu</w:t>
            </w:r>
          </w:p>
        </w:tc>
        <w:tc>
          <w:tcPr>
            <w:tcW w:w="770"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jc w:val="center"/>
              <w:rPr>
                <w:sz w:val="28"/>
                <w:szCs w:val="28"/>
              </w:rPr>
            </w:pPr>
            <w:r w:rsidRPr="003042B3">
              <w:rPr>
                <w:sz w:val="28"/>
                <w:szCs w:val="28"/>
              </w:rPr>
              <w:t> Izmaiņas, salīdzinot ar kārtējo (2011) gadu</w:t>
            </w:r>
          </w:p>
        </w:tc>
      </w:tr>
      <w:tr w:rsidR="00A449F3" w:rsidRPr="003042B3" w:rsidTr="00A57C47">
        <w:tc>
          <w:tcPr>
            <w:tcW w:w="1507"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jc w:val="center"/>
              <w:rPr>
                <w:sz w:val="28"/>
                <w:szCs w:val="28"/>
              </w:rPr>
            </w:pPr>
            <w:r w:rsidRPr="003042B3">
              <w:rPr>
                <w:sz w:val="28"/>
                <w:szCs w:val="28"/>
              </w:rPr>
              <w:t> 1</w:t>
            </w:r>
          </w:p>
        </w:tc>
        <w:tc>
          <w:tcPr>
            <w:tcW w:w="655"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jc w:val="center"/>
              <w:rPr>
                <w:sz w:val="28"/>
                <w:szCs w:val="28"/>
              </w:rPr>
            </w:pPr>
            <w:r w:rsidRPr="003042B3">
              <w:rPr>
                <w:sz w:val="28"/>
                <w:szCs w:val="28"/>
              </w:rPr>
              <w:t> 2</w:t>
            </w:r>
          </w:p>
        </w:tc>
        <w:tc>
          <w:tcPr>
            <w:tcW w:w="668"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jc w:val="center"/>
              <w:rPr>
                <w:sz w:val="28"/>
                <w:szCs w:val="28"/>
              </w:rPr>
            </w:pPr>
            <w:r w:rsidRPr="003042B3">
              <w:rPr>
                <w:sz w:val="28"/>
                <w:szCs w:val="28"/>
              </w:rPr>
              <w:t> 3</w:t>
            </w:r>
          </w:p>
        </w:tc>
        <w:tc>
          <w:tcPr>
            <w:tcW w:w="700"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jc w:val="center"/>
              <w:rPr>
                <w:sz w:val="28"/>
                <w:szCs w:val="28"/>
              </w:rPr>
            </w:pPr>
            <w:r w:rsidRPr="003042B3">
              <w:rPr>
                <w:sz w:val="28"/>
                <w:szCs w:val="28"/>
              </w:rPr>
              <w:t> 4</w:t>
            </w:r>
          </w:p>
        </w:tc>
        <w:tc>
          <w:tcPr>
            <w:tcW w:w="700"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jc w:val="center"/>
              <w:rPr>
                <w:sz w:val="28"/>
                <w:szCs w:val="28"/>
              </w:rPr>
            </w:pPr>
            <w:r w:rsidRPr="003042B3">
              <w:rPr>
                <w:sz w:val="28"/>
                <w:szCs w:val="28"/>
              </w:rPr>
              <w:t> 5</w:t>
            </w:r>
          </w:p>
        </w:tc>
        <w:tc>
          <w:tcPr>
            <w:tcW w:w="770"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jc w:val="center"/>
              <w:rPr>
                <w:sz w:val="28"/>
                <w:szCs w:val="28"/>
              </w:rPr>
            </w:pPr>
            <w:r w:rsidRPr="003042B3">
              <w:rPr>
                <w:sz w:val="28"/>
                <w:szCs w:val="28"/>
              </w:rPr>
              <w:t> 6</w:t>
            </w:r>
          </w:p>
        </w:tc>
      </w:tr>
      <w:tr w:rsidR="00A449F3" w:rsidRPr="003042B3" w:rsidTr="00A57C47">
        <w:tc>
          <w:tcPr>
            <w:tcW w:w="1507"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rPr>
                <w:b/>
                <w:sz w:val="28"/>
                <w:szCs w:val="28"/>
              </w:rPr>
            </w:pPr>
            <w:r w:rsidRPr="003042B3">
              <w:rPr>
                <w:b/>
                <w:sz w:val="28"/>
                <w:szCs w:val="28"/>
              </w:rPr>
              <w:t> 1. Budžeta ieņēmumi:</w:t>
            </w:r>
          </w:p>
        </w:tc>
        <w:tc>
          <w:tcPr>
            <w:tcW w:w="655"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jc w:val="center"/>
              <w:rPr>
                <w:sz w:val="28"/>
                <w:szCs w:val="28"/>
              </w:rPr>
            </w:pPr>
            <w:r w:rsidRPr="003042B3">
              <w:rPr>
                <w:sz w:val="28"/>
                <w:szCs w:val="28"/>
              </w:rPr>
              <w:t>8 683,5</w:t>
            </w:r>
          </w:p>
        </w:tc>
        <w:tc>
          <w:tcPr>
            <w:tcW w:w="668"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ind w:firstLine="250"/>
              <w:jc w:val="center"/>
              <w:rPr>
                <w:b/>
                <w:sz w:val="28"/>
                <w:szCs w:val="28"/>
              </w:rPr>
            </w:pPr>
          </w:p>
        </w:tc>
        <w:tc>
          <w:tcPr>
            <w:tcW w:w="700"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ind w:firstLine="250"/>
              <w:jc w:val="center"/>
              <w:rPr>
                <w:b/>
                <w:sz w:val="28"/>
                <w:szCs w:val="28"/>
              </w:rPr>
            </w:pPr>
          </w:p>
        </w:tc>
        <w:tc>
          <w:tcPr>
            <w:tcW w:w="700"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ind w:firstLine="250"/>
              <w:jc w:val="center"/>
              <w:rPr>
                <w:b/>
                <w:sz w:val="28"/>
                <w:szCs w:val="28"/>
              </w:rPr>
            </w:pPr>
          </w:p>
        </w:tc>
        <w:tc>
          <w:tcPr>
            <w:tcW w:w="770"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ind w:firstLine="250"/>
              <w:jc w:val="center"/>
              <w:rPr>
                <w:b/>
                <w:sz w:val="28"/>
                <w:szCs w:val="28"/>
              </w:rPr>
            </w:pPr>
          </w:p>
        </w:tc>
      </w:tr>
      <w:tr w:rsidR="00A449F3" w:rsidRPr="003042B3" w:rsidTr="00A57C47">
        <w:tc>
          <w:tcPr>
            <w:tcW w:w="1507"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rPr>
                <w:sz w:val="28"/>
                <w:szCs w:val="28"/>
              </w:rPr>
            </w:pPr>
            <w:r w:rsidRPr="003042B3">
              <w:rPr>
                <w:sz w:val="28"/>
                <w:szCs w:val="28"/>
              </w:rPr>
              <w:t> 1.1. valsts pamatbudžets, tai skaitā ieņēmumi no maksas pakalpojumiem un citi pašu ieņēmumi</w:t>
            </w:r>
          </w:p>
        </w:tc>
        <w:tc>
          <w:tcPr>
            <w:tcW w:w="655"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jc w:val="center"/>
              <w:rPr>
                <w:sz w:val="28"/>
                <w:szCs w:val="28"/>
              </w:rPr>
            </w:pPr>
            <w:r w:rsidRPr="003042B3">
              <w:rPr>
                <w:sz w:val="28"/>
                <w:szCs w:val="28"/>
              </w:rPr>
              <w:t>8 683,5</w:t>
            </w:r>
          </w:p>
          <w:p w:rsidR="00A449F3" w:rsidRPr="003042B3" w:rsidRDefault="00A449F3" w:rsidP="00D146E9">
            <w:pPr>
              <w:spacing w:before="0" w:after="0"/>
              <w:jc w:val="center"/>
              <w:rPr>
                <w:sz w:val="28"/>
                <w:szCs w:val="28"/>
              </w:rPr>
            </w:pPr>
          </w:p>
          <w:p w:rsidR="00A449F3" w:rsidRPr="003042B3" w:rsidRDefault="00A449F3" w:rsidP="00D146E9">
            <w:pPr>
              <w:spacing w:before="0" w:after="0"/>
              <w:jc w:val="center"/>
              <w:rPr>
                <w:sz w:val="28"/>
                <w:szCs w:val="28"/>
              </w:rPr>
            </w:pPr>
            <w:r w:rsidRPr="003042B3">
              <w:rPr>
                <w:sz w:val="28"/>
                <w:szCs w:val="28"/>
              </w:rPr>
              <w:t>893,6</w:t>
            </w:r>
          </w:p>
        </w:tc>
        <w:tc>
          <w:tcPr>
            <w:tcW w:w="668"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jc w:val="center"/>
              <w:rPr>
                <w:sz w:val="28"/>
                <w:szCs w:val="28"/>
              </w:rPr>
            </w:pPr>
            <w:r w:rsidRPr="003042B3">
              <w:rPr>
                <w:sz w:val="28"/>
                <w:szCs w:val="28"/>
              </w:rPr>
              <w:t>0</w:t>
            </w:r>
          </w:p>
        </w:tc>
        <w:tc>
          <w:tcPr>
            <w:tcW w:w="700"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jc w:val="center"/>
              <w:rPr>
                <w:sz w:val="28"/>
                <w:szCs w:val="28"/>
              </w:rPr>
            </w:pPr>
            <w:r w:rsidRPr="003042B3">
              <w:rPr>
                <w:sz w:val="28"/>
                <w:szCs w:val="28"/>
              </w:rPr>
              <w:t>0</w:t>
            </w:r>
          </w:p>
        </w:tc>
        <w:tc>
          <w:tcPr>
            <w:tcW w:w="700"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jc w:val="center"/>
              <w:rPr>
                <w:sz w:val="28"/>
                <w:szCs w:val="28"/>
              </w:rPr>
            </w:pPr>
            <w:r w:rsidRPr="003042B3">
              <w:rPr>
                <w:sz w:val="28"/>
                <w:szCs w:val="28"/>
              </w:rPr>
              <w:t>0</w:t>
            </w:r>
          </w:p>
        </w:tc>
        <w:tc>
          <w:tcPr>
            <w:tcW w:w="770"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jc w:val="center"/>
              <w:rPr>
                <w:sz w:val="28"/>
                <w:szCs w:val="28"/>
              </w:rPr>
            </w:pPr>
            <w:r w:rsidRPr="003042B3">
              <w:rPr>
                <w:sz w:val="28"/>
                <w:szCs w:val="28"/>
              </w:rPr>
              <w:t>0</w:t>
            </w:r>
          </w:p>
        </w:tc>
      </w:tr>
      <w:tr w:rsidR="00A449F3" w:rsidRPr="003042B3" w:rsidTr="00A57C47">
        <w:tc>
          <w:tcPr>
            <w:tcW w:w="1507"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rPr>
                <w:sz w:val="28"/>
                <w:szCs w:val="28"/>
              </w:rPr>
            </w:pPr>
            <w:r w:rsidRPr="003042B3">
              <w:rPr>
                <w:sz w:val="28"/>
                <w:szCs w:val="28"/>
              </w:rPr>
              <w:t> 1.2. valsts speciālais budžets</w:t>
            </w:r>
          </w:p>
        </w:tc>
        <w:tc>
          <w:tcPr>
            <w:tcW w:w="655"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jc w:val="center"/>
              <w:rPr>
                <w:sz w:val="28"/>
                <w:szCs w:val="28"/>
              </w:rPr>
            </w:pPr>
            <w:r w:rsidRPr="003042B3">
              <w:rPr>
                <w:sz w:val="28"/>
                <w:szCs w:val="28"/>
              </w:rPr>
              <w:t>0</w:t>
            </w:r>
          </w:p>
        </w:tc>
        <w:tc>
          <w:tcPr>
            <w:tcW w:w="668"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jc w:val="center"/>
              <w:rPr>
                <w:sz w:val="28"/>
                <w:szCs w:val="28"/>
              </w:rPr>
            </w:pPr>
            <w:r w:rsidRPr="003042B3">
              <w:rPr>
                <w:sz w:val="28"/>
                <w:szCs w:val="28"/>
              </w:rPr>
              <w:t>0</w:t>
            </w:r>
          </w:p>
        </w:tc>
        <w:tc>
          <w:tcPr>
            <w:tcW w:w="700"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jc w:val="center"/>
              <w:rPr>
                <w:sz w:val="28"/>
                <w:szCs w:val="28"/>
              </w:rPr>
            </w:pPr>
            <w:r w:rsidRPr="003042B3">
              <w:rPr>
                <w:sz w:val="28"/>
                <w:szCs w:val="28"/>
              </w:rPr>
              <w:t>0</w:t>
            </w:r>
          </w:p>
        </w:tc>
        <w:tc>
          <w:tcPr>
            <w:tcW w:w="700"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jc w:val="center"/>
              <w:rPr>
                <w:sz w:val="28"/>
                <w:szCs w:val="28"/>
              </w:rPr>
            </w:pPr>
            <w:r w:rsidRPr="003042B3">
              <w:rPr>
                <w:sz w:val="28"/>
                <w:szCs w:val="28"/>
              </w:rPr>
              <w:t>0</w:t>
            </w:r>
          </w:p>
        </w:tc>
        <w:tc>
          <w:tcPr>
            <w:tcW w:w="770"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jc w:val="center"/>
              <w:rPr>
                <w:sz w:val="28"/>
                <w:szCs w:val="28"/>
              </w:rPr>
            </w:pPr>
            <w:r w:rsidRPr="003042B3">
              <w:rPr>
                <w:sz w:val="28"/>
                <w:szCs w:val="28"/>
              </w:rPr>
              <w:t>0</w:t>
            </w:r>
          </w:p>
        </w:tc>
      </w:tr>
      <w:tr w:rsidR="00A449F3" w:rsidRPr="003042B3" w:rsidTr="00A57C47">
        <w:tc>
          <w:tcPr>
            <w:tcW w:w="1507"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rPr>
                <w:sz w:val="28"/>
                <w:szCs w:val="28"/>
              </w:rPr>
            </w:pPr>
            <w:r w:rsidRPr="003042B3">
              <w:rPr>
                <w:sz w:val="28"/>
                <w:szCs w:val="28"/>
              </w:rPr>
              <w:t> 1.3. pašvaldību budžets</w:t>
            </w:r>
          </w:p>
        </w:tc>
        <w:tc>
          <w:tcPr>
            <w:tcW w:w="655"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ind w:firstLine="41"/>
              <w:jc w:val="center"/>
              <w:rPr>
                <w:sz w:val="28"/>
                <w:szCs w:val="28"/>
              </w:rPr>
            </w:pPr>
            <w:r w:rsidRPr="003042B3">
              <w:rPr>
                <w:sz w:val="28"/>
                <w:szCs w:val="28"/>
              </w:rPr>
              <w:t>0</w:t>
            </w:r>
          </w:p>
        </w:tc>
        <w:tc>
          <w:tcPr>
            <w:tcW w:w="668"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ind w:firstLine="41"/>
              <w:jc w:val="center"/>
              <w:rPr>
                <w:sz w:val="28"/>
                <w:szCs w:val="28"/>
              </w:rPr>
            </w:pPr>
            <w:r w:rsidRPr="003042B3">
              <w:rPr>
                <w:sz w:val="28"/>
                <w:szCs w:val="28"/>
              </w:rPr>
              <w:t>0</w:t>
            </w:r>
          </w:p>
        </w:tc>
        <w:tc>
          <w:tcPr>
            <w:tcW w:w="700"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ind w:firstLine="41"/>
              <w:jc w:val="center"/>
              <w:rPr>
                <w:sz w:val="28"/>
                <w:szCs w:val="28"/>
              </w:rPr>
            </w:pPr>
            <w:r w:rsidRPr="003042B3">
              <w:rPr>
                <w:sz w:val="28"/>
                <w:szCs w:val="28"/>
              </w:rPr>
              <w:t>0</w:t>
            </w:r>
          </w:p>
        </w:tc>
        <w:tc>
          <w:tcPr>
            <w:tcW w:w="700"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ind w:firstLine="41"/>
              <w:jc w:val="center"/>
              <w:rPr>
                <w:sz w:val="28"/>
                <w:szCs w:val="28"/>
              </w:rPr>
            </w:pPr>
            <w:r w:rsidRPr="003042B3">
              <w:rPr>
                <w:sz w:val="28"/>
                <w:szCs w:val="28"/>
              </w:rPr>
              <w:t>0</w:t>
            </w:r>
          </w:p>
        </w:tc>
        <w:tc>
          <w:tcPr>
            <w:tcW w:w="770"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ind w:firstLine="41"/>
              <w:jc w:val="center"/>
              <w:rPr>
                <w:sz w:val="28"/>
                <w:szCs w:val="28"/>
              </w:rPr>
            </w:pPr>
            <w:r w:rsidRPr="003042B3">
              <w:rPr>
                <w:sz w:val="28"/>
                <w:szCs w:val="28"/>
              </w:rPr>
              <w:t>0</w:t>
            </w:r>
          </w:p>
        </w:tc>
      </w:tr>
      <w:tr w:rsidR="00A449F3" w:rsidRPr="003042B3" w:rsidTr="00A57C47">
        <w:tc>
          <w:tcPr>
            <w:tcW w:w="1507"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rPr>
                <w:b/>
                <w:sz w:val="28"/>
                <w:szCs w:val="28"/>
              </w:rPr>
            </w:pPr>
            <w:r w:rsidRPr="003042B3">
              <w:rPr>
                <w:b/>
                <w:sz w:val="28"/>
                <w:szCs w:val="28"/>
              </w:rPr>
              <w:t> 2. Budžeta izdevumi:</w:t>
            </w:r>
          </w:p>
        </w:tc>
        <w:tc>
          <w:tcPr>
            <w:tcW w:w="655"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ind w:left="-42" w:firstLine="83"/>
              <w:jc w:val="center"/>
              <w:rPr>
                <w:b/>
                <w:sz w:val="28"/>
                <w:szCs w:val="28"/>
              </w:rPr>
            </w:pPr>
            <w:r w:rsidRPr="003042B3">
              <w:rPr>
                <w:sz w:val="28"/>
                <w:szCs w:val="28"/>
              </w:rPr>
              <w:t>8 731,6</w:t>
            </w:r>
          </w:p>
        </w:tc>
        <w:tc>
          <w:tcPr>
            <w:tcW w:w="668"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ind w:firstLine="41"/>
              <w:jc w:val="center"/>
              <w:rPr>
                <w:b/>
                <w:sz w:val="28"/>
                <w:szCs w:val="28"/>
              </w:rPr>
            </w:pPr>
          </w:p>
        </w:tc>
        <w:tc>
          <w:tcPr>
            <w:tcW w:w="700"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ind w:firstLine="41"/>
              <w:jc w:val="center"/>
              <w:rPr>
                <w:b/>
                <w:sz w:val="28"/>
                <w:szCs w:val="28"/>
              </w:rPr>
            </w:pPr>
          </w:p>
        </w:tc>
        <w:tc>
          <w:tcPr>
            <w:tcW w:w="700"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ind w:firstLine="41"/>
              <w:jc w:val="center"/>
              <w:rPr>
                <w:b/>
                <w:sz w:val="28"/>
                <w:szCs w:val="28"/>
              </w:rPr>
            </w:pPr>
          </w:p>
        </w:tc>
        <w:tc>
          <w:tcPr>
            <w:tcW w:w="770"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ind w:firstLine="41"/>
              <w:jc w:val="center"/>
              <w:rPr>
                <w:b/>
                <w:sz w:val="28"/>
                <w:szCs w:val="28"/>
              </w:rPr>
            </w:pPr>
          </w:p>
        </w:tc>
      </w:tr>
      <w:tr w:rsidR="00A449F3" w:rsidRPr="003042B3" w:rsidTr="00A57C47">
        <w:tc>
          <w:tcPr>
            <w:tcW w:w="1507"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rPr>
                <w:sz w:val="28"/>
                <w:szCs w:val="28"/>
              </w:rPr>
            </w:pPr>
            <w:r w:rsidRPr="003042B3">
              <w:rPr>
                <w:sz w:val="28"/>
                <w:szCs w:val="28"/>
              </w:rPr>
              <w:t> 2.1. valsts pamatbudžets</w:t>
            </w:r>
          </w:p>
        </w:tc>
        <w:tc>
          <w:tcPr>
            <w:tcW w:w="655"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ind w:firstLine="41"/>
              <w:jc w:val="center"/>
              <w:rPr>
                <w:sz w:val="28"/>
                <w:szCs w:val="28"/>
              </w:rPr>
            </w:pPr>
            <w:r w:rsidRPr="003042B3">
              <w:rPr>
                <w:sz w:val="28"/>
                <w:szCs w:val="28"/>
              </w:rPr>
              <w:t>8 731,6</w:t>
            </w:r>
          </w:p>
        </w:tc>
        <w:tc>
          <w:tcPr>
            <w:tcW w:w="668"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ind w:firstLine="41"/>
              <w:jc w:val="center"/>
              <w:rPr>
                <w:sz w:val="28"/>
                <w:szCs w:val="28"/>
              </w:rPr>
            </w:pPr>
            <w:r w:rsidRPr="003042B3">
              <w:rPr>
                <w:sz w:val="28"/>
                <w:szCs w:val="28"/>
              </w:rPr>
              <w:t>0</w:t>
            </w:r>
          </w:p>
        </w:tc>
        <w:tc>
          <w:tcPr>
            <w:tcW w:w="700"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ind w:firstLine="41"/>
              <w:jc w:val="center"/>
              <w:rPr>
                <w:sz w:val="28"/>
                <w:szCs w:val="28"/>
              </w:rPr>
            </w:pPr>
            <w:r w:rsidRPr="003042B3">
              <w:rPr>
                <w:sz w:val="28"/>
                <w:szCs w:val="28"/>
              </w:rPr>
              <w:t>0</w:t>
            </w:r>
          </w:p>
        </w:tc>
        <w:tc>
          <w:tcPr>
            <w:tcW w:w="700"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ind w:firstLine="41"/>
              <w:jc w:val="center"/>
              <w:rPr>
                <w:sz w:val="28"/>
                <w:szCs w:val="28"/>
              </w:rPr>
            </w:pPr>
            <w:r w:rsidRPr="003042B3">
              <w:rPr>
                <w:sz w:val="28"/>
                <w:szCs w:val="28"/>
              </w:rPr>
              <w:t>0</w:t>
            </w:r>
          </w:p>
        </w:tc>
        <w:tc>
          <w:tcPr>
            <w:tcW w:w="770"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ind w:firstLine="41"/>
              <w:jc w:val="center"/>
              <w:rPr>
                <w:sz w:val="28"/>
                <w:szCs w:val="28"/>
              </w:rPr>
            </w:pPr>
            <w:r w:rsidRPr="003042B3">
              <w:rPr>
                <w:sz w:val="28"/>
                <w:szCs w:val="28"/>
              </w:rPr>
              <w:t>0</w:t>
            </w:r>
          </w:p>
        </w:tc>
      </w:tr>
      <w:tr w:rsidR="00A449F3" w:rsidRPr="003042B3" w:rsidTr="00A57C47">
        <w:tc>
          <w:tcPr>
            <w:tcW w:w="1507"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rPr>
                <w:sz w:val="28"/>
                <w:szCs w:val="28"/>
              </w:rPr>
            </w:pPr>
            <w:r w:rsidRPr="003042B3">
              <w:rPr>
                <w:sz w:val="28"/>
                <w:szCs w:val="28"/>
              </w:rPr>
              <w:t> 2.2. valsts speciālais budžets</w:t>
            </w:r>
          </w:p>
        </w:tc>
        <w:tc>
          <w:tcPr>
            <w:tcW w:w="655"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ind w:firstLine="41"/>
              <w:jc w:val="center"/>
              <w:rPr>
                <w:sz w:val="28"/>
                <w:szCs w:val="28"/>
              </w:rPr>
            </w:pPr>
            <w:r w:rsidRPr="003042B3">
              <w:rPr>
                <w:sz w:val="28"/>
                <w:szCs w:val="28"/>
              </w:rPr>
              <w:t>0</w:t>
            </w:r>
          </w:p>
        </w:tc>
        <w:tc>
          <w:tcPr>
            <w:tcW w:w="668"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ind w:firstLine="41"/>
              <w:jc w:val="center"/>
              <w:rPr>
                <w:sz w:val="28"/>
                <w:szCs w:val="28"/>
              </w:rPr>
            </w:pPr>
            <w:r w:rsidRPr="003042B3">
              <w:rPr>
                <w:sz w:val="28"/>
                <w:szCs w:val="28"/>
              </w:rPr>
              <w:t>0</w:t>
            </w:r>
          </w:p>
        </w:tc>
        <w:tc>
          <w:tcPr>
            <w:tcW w:w="700"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ind w:firstLine="41"/>
              <w:jc w:val="center"/>
              <w:rPr>
                <w:sz w:val="28"/>
                <w:szCs w:val="28"/>
              </w:rPr>
            </w:pPr>
            <w:r w:rsidRPr="003042B3">
              <w:rPr>
                <w:sz w:val="28"/>
                <w:szCs w:val="28"/>
              </w:rPr>
              <w:t>0</w:t>
            </w:r>
          </w:p>
        </w:tc>
        <w:tc>
          <w:tcPr>
            <w:tcW w:w="700"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ind w:firstLine="41"/>
              <w:jc w:val="center"/>
              <w:rPr>
                <w:sz w:val="28"/>
                <w:szCs w:val="28"/>
              </w:rPr>
            </w:pPr>
            <w:r w:rsidRPr="003042B3">
              <w:rPr>
                <w:sz w:val="28"/>
                <w:szCs w:val="28"/>
              </w:rPr>
              <w:t>0</w:t>
            </w:r>
          </w:p>
        </w:tc>
        <w:tc>
          <w:tcPr>
            <w:tcW w:w="770"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ind w:firstLine="41"/>
              <w:jc w:val="center"/>
              <w:rPr>
                <w:sz w:val="28"/>
                <w:szCs w:val="28"/>
              </w:rPr>
            </w:pPr>
            <w:r w:rsidRPr="003042B3">
              <w:rPr>
                <w:sz w:val="28"/>
                <w:szCs w:val="28"/>
              </w:rPr>
              <w:t>0</w:t>
            </w:r>
          </w:p>
        </w:tc>
      </w:tr>
      <w:tr w:rsidR="00A449F3" w:rsidRPr="003042B3" w:rsidTr="00A57C47">
        <w:tc>
          <w:tcPr>
            <w:tcW w:w="1507"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rPr>
                <w:sz w:val="28"/>
                <w:szCs w:val="28"/>
              </w:rPr>
            </w:pPr>
            <w:r w:rsidRPr="003042B3">
              <w:rPr>
                <w:sz w:val="28"/>
                <w:szCs w:val="28"/>
              </w:rPr>
              <w:t> 2.3. pašvaldību budžets</w:t>
            </w:r>
          </w:p>
        </w:tc>
        <w:tc>
          <w:tcPr>
            <w:tcW w:w="655"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ind w:firstLine="41"/>
              <w:jc w:val="center"/>
              <w:rPr>
                <w:b/>
                <w:sz w:val="28"/>
                <w:szCs w:val="28"/>
              </w:rPr>
            </w:pPr>
            <w:r w:rsidRPr="003042B3">
              <w:rPr>
                <w:sz w:val="28"/>
                <w:szCs w:val="28"/>
              </w:rPr>
              <w:t>0</w:t>
            </w:r>
          </w:p>
        </w:tc>
        <w:tc>
          <w:tcPr>
            <w:tcW w:w="668"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ind w:firstLine="41"/>
              <w:jc w:val="center"/>
              <w:rPr>
                <w:sz w:val="28"/>
                <w:szCs w:val="28"/>
              </w:rPr>
            </w:pPr>
            <w:r w:rsidRPr="003042B3">
              <w:rPr>
                <w:sz w:val="28"/>
                <w:szCs w:val="28"/>
              </w:rPr>
              <w:t>0</w:t>
            </w:r>
          </w:p>
        </w:tc>
        <w:tc>
          <w:tcPr>
            <w:tcW w:w="700"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ind w:firstLine="41"/>
              <w:jc w:val="center"/>
              <w:rPr>
                <w:sz w:val="28"/>
                <w:szCs w:val="28"/>
              </w:rPr>
            </w:pPr>
            <w:r w:rsidRPr="003042B3">
              <w:rPr>
                <w:sz w:val="28"/>
                <w:szCs w:val="28"/>
              </w:rPr>
              <w:t>0</w:t>
            </w:r>
          </w:p>
        </w:tc>
        <w:tc>
          <w:tcPr>
            <w:tcW w:w="700"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ind w:firstLine="41"/>
              <w:jc w:val="center"/>
              <w:rPr>
                <w:sz w:val="28"/>
                <w:szCs w:val="28"/>
              </w:rPr>
            </w:pPr>
            <w:r w:rsidRPr="003042B3">
              <w:rPr>
                <w:sz w:val="28"/>
                <w:szCs w:val="28"/>
              </w:rPr>
              <w:t>0</w:t>
            </w:r>
          </w:p>
        </w:tc>
        <w:tc>
          <w:tcPr>
            <w:tcW w:w="770"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ind w:firstLine="41"/>
              <w:jc w:val="center"/>
              <w:rPr>
                <w:sz w:val="28"/>
                <w:szCs w:val="28"/>
              </w:rPr>
            </w:pPr>
            <w:r w:rsidRPr="003042B3">
              <w:rPr>
                <w:sz w:val="28"/>
                <w:szCs w:val="28"/>
              </w:rPr>
              <w:t>0</w:t>
            </w:r>
          </w:p>
        </w:tc>
      </w:tr>
      <w:tr w:rsidR="00A449F3" w:rsidRPr="003042B3" w:rsidTr="00A57C47">
        <w:tc>
          <w:tcPr>
            <w:tcW w:w="1507"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rPr>
                <w:b/>
                <w:sz w:val="28"/>
                <w:szCs w:val="28"/>
              </w:rPr>
            </w:pPr>
            <w:r w:rsidRPr="003042B3">
              <w:rPr>
                <w:b/>
                <w:sz w:val="28"/>
                <w:szCs w:val="28"/>
              </w:rPr>
              <w:t> 3. Finansiālā ietekme:</w:t>
            </w:r>
          </w:p>
        </w:tc>
        <w:tc>
          <w:tcPr>
            <w:tcW w:w="655"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ind w:firstLine="41"/>
              <w:jc w:val="center"/>
              <w:rPr>
                <w:b/>
                <w:sz w:val="28"/>
                <w:szCs w:val="28"/>
              </w:rPr>
            </w:pPr>
          </w:p>
        </w:tc>
        <w:tc>
          <w:tcPr>
            <w:tcW w:w="668"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ind w:firstLine="41"/>
              <w:jc w:val="center"/>
              <w:rPr>
                <w:b/>
                <w:sz w:val="28"/>
                <w:szCs w:val="28"/>
              </w:rPr>
            </w:pPr>
          </w:p>
        </w:tc>
        <w:tc>
          <w:tcPr>
            <w:tcW w:w="700"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ind w:firstLine="41"/>
              <w:jc w:val="center"/>
              <w:rPr>
                <w:b/>
                <w:sz w:val="28"/>
                <w:szCs w:val="28"/>
              </w:rPr>
            </w:pPr>
          </w:p>
        </w:tc>
        <w:tc>
          <w:tcPr>
            <w:tcW w:w="700"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ind w:firstLine="41"/>
              <w:jc w:val="center"/>
              <w:rPr>
                <w:b/>
                <w:sz w:val="28"/>
                <w:szCs w:val="28"/>
              </w:rPr>
            </w:pPr>
          </w:p>
        </w:tc>
        <w:tc>
          <w:tcPr>
            <w:tcW w:w="770"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ind w:firstLine="41"/>
              <w:jc w:val="center"/>
              <w:rPr>
                <w:b/>
                <w:sz w:val="28"/>
                <w:szCs w:val="28"/>
              </w:rPr>
            </w:pPr>
          </w:p>
        </w:tc>
      </w:tr>
      <w:tr w:rsidR="00A449F3" w:rsidRPr="003042B3" w:rsidTr="00A57C47">
        <w:tc>
          <w:tcPr>
            <w:tcW w:w="1507"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rPr>
                <w:sz w:val="28"/>
                <w:szCs w:val="28"/>
              </w:rPr>
            </w:pPr>
            <w:r w:rsidRPr="003042B3">
              <w:rPr>
                <w:sz w:val="28"/>
                <w:szCs w:val="28"/>
              </w:rPr>
              <w:t> 3.1. valsts pamatbudžets</w:t>
            </w:r>
          </w:p>
        </w:tc>
        <w:tc>
          <w:tcPr>
            <w:tcW w:w="655"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pStyle w:val="ListParagraph"/>
              <w:spacing w:before="0" w:after="0"/>
              <w:ind w:left="401" w:hanging="401"/>
              <w:jc w:val="center"/>
              <w:rPr>
                <w:sz w:val="28"/>
                <w:szCs w:val="28"/>
              </w:rPr>
            </w:pPr>
            <w:r w:rsidRPr="003042B3">
              <w:rPr>
                <w:sz w:val="28"/>
                <w:szCs w:val="28"/>
              </w:rPr>
              <w:t>- 48,0</w:t>
            </w:r>
          </w:p>
        </w:tc>
        <w:tc>
          <w:tcPr>
            <w:tcW w:w="668"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ind w:firstLine="41"/>
              <w:jc w:val="center"/>
              <w:rPr>
                <w:sz w:val="28"/>
                <w:szCs w:val="28"/>
              </w:rPr>
            </w:pPr>
            <w:r w:rsidRPr="003042B3">
              <w:rPr>
                <w:sz w:val="28"/>
                <w:szCs w:val="28"/>
              </w:rPr>
              <w:t>0</w:t>
            </w:r>
          </w:p>
        </w:tc>
        <w:tc>
          <w:tcPr>
            <w:tcW w:w="700"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ind w:firstLine="41"/>
              <w:jc w:val="center"/>
              <w:rPr>
                <w:sz w:val="28"/>
                <w:szCs w:val="28"/>
              </w:rPr>
            </w:pPr>
            <w:r w:rsidRPr="003042B3">
              <w:rPr>
                <w:sz w:val="28"/>
                <w:szCs w:val="28"/>
              </w:rPr>
              <w:t>0</w:t>
            </w:r>
          </w:p>
        </w:tc>
        <w:tc>
          <w:tcPr>
            <w:tcW w:w="700"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ind w:firstLine="41"/>
              <w:jc w:val="center"/>
              <w:rPr>
                <w:sz w:val="28"/>
                <w:szCs w:val="28"/>
              </w:rPr>
            </w:pPr>
            <w:r w:rsidRPr="003042B3">
              <w:rPr>
                <w:sz w:val="28"/>
                <w:szCs w:val="28"/>
              </w:rPr>
              <w:t>0</w:t>
            </w:r>
          </w:p>
        </w:tc>
        <w:tc>
          <w:tcPr>
            <w:tcW w:w="770"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ind w:firstLine="41"/>
              <w:jc w:val="center"/>
              <w:rPr>
                <w:sz w:val="28"/>
                <w:szCs w:val="28"/>
              </w:rPr>
            </w:pPr>
            <w:r w:rsidRPr="003042B3">
              <w:rPr>
                <w:sz w:val="28"/>
                <w:szCs w:val="28"/>
              </w:rPr>
              <w:t>0</w:t>
            </w:r>
          </w:p>
        </w:tc>
      </w:tr>
      <w:tr w:rsidR="00A449F3" w:rsidRPr="003042B3" w:rsidTr="00A57C47">
        <w:tc>
          <w:tcPr>
            <w:tcW w:w="1507"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rPr>
                <w:sz w:val="28"/>
                <w:szCs w:val="28"/>
              </w:rPr>
            </w:pPr>
            <w:r w:rsidRPr="003042B3">
              <w:rPr>
                <w:sz w:val="28"/>
                <w:szCs w:val="28"/>
              </w:rPr>
              <w:t> 3.2. speciālais budžets</w:t>
            </w:r>
          </w:p>
        </w:tc>
        <w:tc>
          <w:tcPr>
            <w:tcW w:w="655"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ind w:firstLine="41"/>
              <w:jc w:val="center"/>
              <w:rPr>
                <w:sz w:val="28"/>
                <w:szCs w:val="28"/>
              </w:rPr>
            </w:pPr>
            <w:r w:rsidRPr="003042B3">
              <w:rPr>
                <w:sz w:val="28"/>
                <w:szCs w:val="28"/>
              </w:rPr>
              <w:t>0</w:t>
            </w:r>
          </w:p>
        </w:tc>
        <w:tc>
          <w:tcPr>
            <w:tcW w:w="668"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ind w:firstLine="41"/>
              <w:jc w:val="center"/>
              <w:rPr>
                <w:sz w:val="28"/>
                <w:szCs w:val="28"/>
              </w:rPr>
            </w:pPr>
            <w:r w:rsidRPr="003042B3">
              <w:rPr>
                <w:sz w:val="28"/>
                <w:szCs w:val="28"/>
              </w:rPr>
              <w:t>0</w:t>
            </w:r>
          </w:p>
        </w:tc>
        <w:tc>
          <w:tcPr>
            <w:tcW w:w="700"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ind w:firstLine="41"/>
              <w:jc w:val="center"/>
              <w:rPr>
                <w:sz w:val="28"/>
                <w:szCs w:val="28"/>
              </w:rPr>
            </w:pPr>
            <w:r w:rsidRPr="003042B3">
              <w:rPr>
                <w:sz w:val="28"/>
                <w:szCs w:val="28"/>
              </w:rPr>
              <w:t>0</w:t>
            </w:r>
          </w:p>
        </w:tc>
        <w:tc>
          <w:tcPr>
            <w:tcW w:w="700"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ind w:firstLine="41"/>
              <w:jc w:val="center"/>
              <w:rPr>
                <w:sz w:val="28"/>
                <w:szCs w:val="28"/>
              </w:rPr>
            </w:pPr>
            <w:r w:rsidRPr="003042B3">
              <w:rPr>
                <w:sz w:val="28"/>
                <w:szCs w:val="28"/>
              </w:rPr>
              <w:t>0</w:t>
            </w:r>
          </w:p>
        </w:tc>
        <w:tc>
          <w:tcPr>
            <w:tcW w:w="770"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ind w:firstLine="41"/>
              <w:jc w:val="center"/>
              <w:rPr>
                <w:sz w:val="28"/>
                <w:szCs w:val="28"/>
              </w:rPr>
            </w:pPr>
            <w:r w:rsidRPr="003042B3">
              <w:rPr>
                <w:sz w:val="28"/>
                <w:szCs w:val="28"/>
              </w:rPr>
              <w:t>0</w:t>
            </w:r>
          </w:p>
        </w:tc>
      </w:tr>
      <w:tr w:rsidR="00A449F3" w:rsidRPr="003042B3" w:rsidTr="00A57C47">
        <w:tc>
          <w:tcPr>
            <w:tcW w:w="1507"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rPr>
                <w:sz w:val="28"/>
                <w:szCs w:val="28"/>
              </w:rPr>
            </w:pPr>
            <w:r w:rsidRPr="003042B3">
              <w:rPr>
                <w:sz w:val="28"/>
                <w:szCs w:val="28"/>
              </w:rPr>
              <w:t> 3.3. pašvaldību budžets</w:t>
            </w:r>
          </w:p>
        </w:tc>
        <w:tc>
          <w:tcPr>
            <w:tcW w:w="655"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ind w:firstLine="41"/>
              <w:jc w:val="center"/>
              <w:rPr>
                <w:sz w:val="28"/>
                <w:szCs w:val="28"/>
              </w:rPr>
            </w:pPr>
            <w:r w:rsidRPr="003042B3">
              <w:rPr>
                <w:sz w:val="28"/>
                <w:szCs w:val="28"/>
              </w:rPr>
              <w:t>0</w:t>
            </w:r>
          </w:p>
        </w:tc>
        <w:tc>
          <w:tcPr>
            <w:tcW w:w="668"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ind w:firstLine="41"/>
              <w:jc w:val="center"/>
              <w:rPr>
                <w:sz w:val="28"/>
                <w:szCs w:val="28"/>
              </w:rPr>
            </w:pPr>
            <w:r w:rsidRPr="003042B3">
              <w:rPr>
                <w:sz w:val="28"/>
                <w:szCs w:val="28"/>
              </w:rPr>
              <w:t>0</w:t>
            </w:r>
          </w:p>
        </w:tc>
        <w:tc>
          <w:tcPr>
            <w:tcW w:w="700"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ind w:firstLine="41"/>
              <w:jc w:val="center"/>
              <w:rPr>
                <w:sz w:val="28"/>
                <w:szCs w:val="28"/>
              </w:rPr>
            </w:pPr>
            <w:r w:rsidRPr="003042B3">
              <w:rPr>
                <w:sz w:val="28"/>
                <w:szCs w:val="28"/>
              </w:rPr>
              <w:t>0</w:t>
            </w:r>
          </w:p>
        </w:tc>
        <w:tc>
          <w:tcPr>
            <w:tcW w:w="700"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ind w:firstLine="41"/>
              <w:jc w:val="center"/>
              <w:rPr>
                <w:sz w:val="28"/>
                <w:szCs w:val="28"/>
              </w:rPr>
            </w:pPr>
            <w:r w:rsidRPr="003042B3">
              <w:rPr>
                <w:sz w:val="28"/>
                <w:szCs w:val="28"/>
              </w:rPr>
              <w:t>0</w:t>
            </w:r>
          </w:p>
        </w:tc>
        <w:tc>
          <w:tcPr>
            <w:tcW w:w="770"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ind w:firstLine="41"/>
              <w:jc w:val="center"/>
              <w:rPr>
                <w:sz w:val="28"/>
                <w:szCs w:val="28"/>
              </w:rPr>
            </w:pPr>
            <w:r w:rsidRPr="003042B3">
              <w:rPr>
                <w:sz w:val="28"/>
                <w:szCs w:val="28"/>
              </w:rPr>
              <w:t>0</w:t>
            </w:r>
          </w:p>
        </w:tc>
      </w:tr>
      <w:tr w:rsidR="00A449F3" w:rsidRPr="003042B3" w:rsidTr="00A57C47">
        <w:tc>
          <w:tcPr>
            <w:tcW w:w="1507" w:type="pct"/>
            <w:vMerge w:val="restar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rPr>
                <w:sz w:val="28"/>
                <w:szCs w:val="28"/>
              </w:rPr>
            </w:pPr>
            <w:r w:rsidRPr="003042B3">
              <w:rPr>
                <w:sz w:val="28"/>
                <w:szCs w:val="28"/>
              </w:rPr>
              <w:t xml:space="preserve"> 4. Finanšu līdzekļi papildu izdevumu finansēšanai </w:t>
            </w:r>
            <w:r w:rsidRPr="003042B3">
              <w:rPr>
                <w:sz w:val="28"/>
                <w:szCs w:val="28"/>
              </w:rPr>
              <w:lastRenderedPageBreak/>
              <w:t>(kompensējošu izdevumu samazinājumu norāda ar "+" zīmi)</w:t>
            </w:r>
          </w:p>
        </w:tc>
        <w:tc>
          <w:tcPr>
            <w:tcW w:w="655" w:type="pct"/>
            <w:vMerge w:val="restar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ind w:firstLine="41"/>
              <w:jc w:val="center"/>
              <w:rPr>
                <w:sz w:val="28"/>
                <w:szCs w:val="28"/>
              </w:rPr>
            </w:pPr>
            <w:r w:rsidRPr="003042B3">
              <w:rPr>
                <w:sz w:val="28"/>
                <w:szCs w:val="28"/>
              </w:rPr>
              <w:lastRenderedPageBreak/>
              <w:t>X</w:t>
            </w:r>
          </w:p>
        </w:tc>
        <w:tc>
          <w:tcPr>
            <w:tcW w:w="668"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ind w:firstLine="41"/>
              <w:jc w:val="center"/>
              <w:rPr>
                <w:sz w:val="28"/>
                <w:szCs w:val="28"/>
              </w:rPr>
            </w:pPr>
            <w:r w:rsidRPr="003042B3">
              <w:rPr>
                <w:sz w:val="28"/>
                <w:szCs w:val="28"/>
              </w:rPr>
              <w:t>0</w:t>
            </w:r>
          </w:p>
        </w:tc>
        <w:tc>
          <w:tcPr>
            <w:tcW w:w="700"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ind w:firstLine="41"/>
              <w:jc w:val="center"/>
              <w:rPr>
                <w:sz w:val="28"/>
                <w:szCs w:val="28"/>
              </w:rPr>
            </w:pPr>
            <w:r w:rsidRPr="003042B3">
              <w:rPr>
                <w:sz w:val="28"/>
                <w:szCs w:val="28"/>
              </w:rPr>
              <w:t>0</w:t>
            </w:r>
          </w:p>
        </w:tc>
        <w:tc>
          <w:tcPr>
            <w:tcW w:w="700"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ind w:firstLine="41"/>
              <w:jc w:val="center"/>
              <w:rPr>
                <w:sz w:val="28"/>
                <w:szCs w:val="28"/>
              </w:rPr>
            </w:pPr>
            <w:r w:rsidRPr="003042B3">
              <w:rPr>
                <w:sz w:val="28"/>
                <w:szCs w:val="28"/>
              </w:rPr>
              <w:t>0</w:t>
            </w:r>
          </w:p>
        </w:tc>
        <w:tc>
          <w:tcPr>
            <w:tcW w:w="770"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ind w:firstLine="41"/>
              <w:jc w:val="center"/>
              <w:rPr>
                <w:sz w:val="28"/>
                <w:szCs w:val="28"/>
              </w:rPr>
            </w:pPr>
            <w:r w:rsidRPr="003042B3">
              <w:rPr>
                <w:sz w:val="28"/>
                <w:szCs w:val="28"/>
              </w:rPr>
              <w:t>0</w:t>
            </w:r>
          </w:p>
        </w:tc>
      </w:tr>
      <w:tr w:rsidR="00A449F3" w:rsidRPr="003042B3" w:rsidTr="00A57C47">
        <w:tc>
          <w:tcPr>
            <w:tcW w:w="1507" w:type="pct"/>
            <w:vMerge/>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rPr>
                <w:sz w:val="28"/>
                <w:szCs w:val="28"/>
              </w:rPr>
            </w:pPr>
          </w:p>
        </w:tc>
        <w:tc>
          <w:tcPr>
            <w:tcW w:w="655" w:type="pct"/>
            <w:vMerge/>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ind w:firstLine="41"/>
              <w:jc w:val="center"/>
              <w:rPr>
                <w:sz w:val="28"/>
                <w:szCs w:val="28"/>
              </w:rPr>
            </w:pPr>
          </w:p>
        </w:tc>
        <w:tc>
          <w:tcPr>
            <w:tcW w:w="668"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ind w:firstLine="41"/>
              <w:jc w:val="center"/>
              <w:rPr>
                <w:sz w:val="28"/>
                <w:szCs w:val="28"/>
              </w:rPr>
            </w:pPr>
            <w:r w:rsidRPr="003042B3">
              <w:rPr>
                <w:sz w:val="28"/>
                <w:szCs w:val="28"/>
              </w:rPr>
              <w:t>0</w:t>
            </w:r>
          </w:p>
        </w:tc>
        <w:tc>
          <w:tcPr>
            <w:tcW w:w="700"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ind w:firstLine="41"/>
              <w:jc w:val="center"/>
              <w:rPr>
                <w:sz w:val="28"/>
                <w:szCs w:val="28"/>
              </w:rPr>
            </w:pPr>
            <w:r w:rsidRPr="003042B3">
              <w:rPr>
                <w:sz w:val="28"/>
                <w:szCs w:val="28"/>
              </w:rPr>
              <w:t>0</w:t>
            </w:r>
          </w:p>
        </w:tc>
        <w:tc>
          <w:tcPr>
            <w:tcW w:w="700"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ind w:firstLine="41"/>
              <w:jc w:val="center"/>
              <w:rPr>
                <w:sz w:val="28"/>
                <w:szCs w:val="28"/>
              </w:rPr>
            </w:pPr>
            <w:r w:rsidRPr="003042B3">
              <w:rPr>
                <w:sz w:val="28"/>
                <w:szCs w:val="28"/>
              </w:rPr>
              <w:t>0</w:t>
            </w:r>
          </w:p>
        </w:tc>
        <w:tc>
          <w:tcPr>
            <w:tcW w:w="770"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ind w:firstLine="41"/>
              <w:jc w:val="center"/>
              <w:rPr>
                <w:sz w:val="28"/>
                <w:szCs w:val="28"/>
              </w:rPr>
            </w:pPr>
            <w:r w:rsidRPr="003042B3">
              <w:rPr>
                <w:sz w:val="28"/>
                <w:szCs w:val="28"/>
              </w:rPr>
              <w:t>0</w:t>
            </w:r>
          </w:p>
        </w:tc>
      </w:tr>
      <w:tr w:rsidR="00A449F3" w:rsidRPr="003042B3" w:rsidTr="00A57C47">
        <w:tc>
          <w:tcPr>
            <w:tcW w:w="1507" w:type="pct"/>
            <w:vMerge/>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rPr>
                <w:sz w:val="28"/>
                <w:szCs w:val="28"/>
              </w:rPr>
            </w:pPr>
          </w:p>
        </w:tc>
        <w:tc>
          <w:tcPr>
            <w:tcW w:w="655" w:type="pct"/>
            <w:vMerge/>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ind w:firstLine="41"/>
              <w:jc w:val="center"/>
              <w:rPr>
                <w:sz w:val="28"/>
                <w:szCs w:val="28"/>
              </w:rPr>
            </w:pPr>
          </w:p>
        </w:tc>
        <w:tc>
          <w:tcPr>
            <w:tcW w:w="668"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ind w:firstLine="41"/>
              <w:jc w:val="center"/>
              <w:rPr>
                <w:sz w:val="28"/>
                <w:szCs w:val="28"/>
              </w:rPr>
            </w:pPr>
            <w:r w:rsidRPr="003042B3">
              <w:rPr>
                <w:sz w:val="28"/>
                <w:szCs w:val="28"/>
              </w:rPr>
              <w:t>0</w:t>
            </w:r>
          </w:p>
        </w:tc>
        <w:tc>
          <w:tcPr>
            <w:tcW w:w="700"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ind w:firstLine="41"/>
              <w:jc w:val="center"/>
              <w:rPr>
                <w:sz w:val="28"/>
                <w:szCs w:val="28"/>
              </w:rPr>
            </w:pPr>
            <w:r w:rsidRPr="003042B3">
              <w:rPr>
                <w:sz w:val="28"/>
                <w:szCs w:val="28"/>
              </w:rPr>
              <w:t>0</w:t>
            </w:r>
          </w:p>
        </w:tc>
        <w:tc>
          <w:tcPr>
            <w:tcW w:w="700"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ind w:firstLine="41"/>
              <w:jc w:val="center"/>
              <w:rPr>
                <w:sz w:val="28"/>
                <w:szCs w:val="28"/>
              </w:rPr>
            </w:pPr>
            <w:r w:rsidRPr="003042B3">
              <w:rPr>
                <w:sz w:val="28"/>
                <w:szCs w:val="28"/>
              </w:rPr>
              <w:t>0</w:t>
            </w:r>
          </w:p>
        </w:tc>
        <w:tc>
          <w:tcPr>
            <w:tcW w:w="770"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ind w:firstLine="41"/>
              <w:jc w:val="center"/>
              <w:rPr>
                <w:sz w:val="28"/>
                <w:szCs w:val="28"/>
              </w:rPr>
            </w:pPr>
            <w:r w:rsidRPr="003042B3">
              <w:rPr>
                <w:sz w:val="28"/>
                <w:szCs w:val="28"/>
              </w:rPr>
              <w:t>0</w:t>
            </w:r>
          </w:p>
        </w:tc>
      </w:tr>
      <w:tr w:rsidR="00A449F3" w:rsidRPr="003042B3" w:rsidTr="00A57C47">
        <w:tc>
          <w:tcPr>
            <w:tcW w:w="1507"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rPr>
                <w:sz w:val="28"/>
                <w:szCs w:val="28"/>
              </w:rPr>
            </w:pPr>
            <w:r w:rsidRPr="003042B3">
              <w:rPr>
                <w:sz w:val="28"/>
                <w:szCs w:val="28"/>
              </w:rPr>
              <w:lastRenderedPageBreak/>
              <w:t> 5. Precizēta finansiālā ietekme:</w:t>
            </w:r>
          </w:p>
        </w:tc>
        <w:tc>
          <w:tcPr>
            <w:tcW w:w="655" w:type="pct"/>
            <w:vMerge w:val="restar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ind w:firstLine="41"/>
              <w:jc w:val="center"/>
              <w:rPr>
                <w:sz w:val="28"/>
                <w:szCs w:val="28"/>
              </w:rPr>
            </w:pPr>
            <w:r w:rsidRPr="003042B3">
              <w:rPr>
                <w:sz w:val="28"/>
                <w:szCs w:val="28"/>
              </w:rPr>
              <w:t>X</w:t>
            </w:r>
          </w:p>
        </w:tc>
        <w:tc>
          <w:tcPr>
            <w:tcW w:w="668"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ind w:firstLine="41"/>
              <w:jc w:val="center"/>
              <w:rPr>
                <w:sz w:val="28"/>
                <w:szCs w:val="28"/>
              </w:rPr>
            </w:pPr>
          </w:p>
        </w:tc>
        <w:tc>
          <w:tcPr>
            <w:tcW w:w="700"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ind w:firstLine="41"/>
              <w:jc w:val="center"/>
              <w:rPr>
                <w:sz w:val="28"/>
                <w:szCs w:val="28"/>
              </w:rPr>
            </w:pPr>
          </w:p>
        </w:tc>
        <w:tc>
          <w:tcPr>
            <w:tcW w:w="700"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ind w:firstLine="41"/>
              <w:jc w:val="center"/>
              <w:rPr>
                <w:sz w:val="28"/>
                <w:szCs w:val="28"/>
              </w:rPr>
            </w:pPr>
          </w:p>
        </w:tc>
        <w:tc>
          <w:tcPr>
            <w:tcW w:w="770"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ind w:firstLine="41"/>
              <w:jc w:val="center"/>
              <w:rPr>
                <w:sz w:val="28"/>
                <w:szCs w:val="28"/>
              </w:rPr>
            </w:pPr>
          </w:p>
        </w:tc>
      </w:tr>
      <w:tr w:rsidR="00A449F3" w:rsidRPr="003042B3" w:rsidTr="00A57C47">
        <w:tc>
          <w:tcPr>
            <w:tcW w:w="1507"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rPr>
                <w:sz w:val="28"/>
                <w:szCs w:val="28"/>
              </w:rPr>
            </w:pPr>
            <w:r w:rsidRPr="003042B3">
              <w:rPr>
                <w:sz w:val="28"/>
                <w:szCs w:val="28"/>
              </w:rPr>
              <w:t> 5.1. valsts pamatbudžets</w:t>
            </w:r>
          </w:p>
        </w:tc>
        <w:tc>
          <w:tcPr>
            <w:tcW w:w="655" w:type="pct"/>
            <w:vMerge/>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ind w:firstLine="41"/>
              <w:jc w:val="center"/>
              <w:rPr>
                <w:sz w:val="28"/>
                <w:szCs w:val="28"/>
              </w:rPr>
            </w:pPr>
          </w:p>
        </w:tc>
        <w:tc>
          <w:tcPr>
            <w:tcW w:w="668"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ind w:firstLine="41"/>
              <w:jc w:val="center"/>
              <w:rPr>
                <w:sz w:val="28"/>
                <w:szCs w:val="28"/>
              </w:rPr>
            </w:pPr>
            <w:r w:rsidRPr="003042B3">
              <w:rPr>
                <w:sz w:val="28"/>
                <w:szCs w:val="28"/>
              </w:rPr>
              <w:t>0</w:t>
            </w:r>
          </w:p>
        </w:tc>
        <w:tc>
          <w:tcPr>
            <w:tcW w:w="700"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ind w:firstLine="41"/>
              <w:jc w:val="center"/>
              <w:rPr>
                <w:sz w:val="28"/>
                <w:szCs w:val="28"/>
              </w:rPr>
            </w:pPr>
            <w:r w:rsidRPr="003042B3">
              <w:rPr>
                <w:sz w:val="28"/>
                <w:szCs w:val="28"/>
              </w:rPr>
              <w:t>0</w:t>
            </w:r>
          </w:p>
        </w:tc>
        <w:tc>
          <w:tcPr>
            <w:tcW w:w="700"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ind w:firstLine="41"/>
              <w:jc w:val="center"/>
              <w:rPr>
                <w:sz w:val="28"/>
                <w:szCs w:val="28"/>
              </w:rPr>
            </w:pPr>
            <w:r w:rsidRPr="003042B3">
              <w:rPr>
                <w:sz w:val="28"/>
                <w:szCs w:val="28"/>
              </w:rPr>
              <w:t>0</w:t>
            </w:r>
          </w:p>
        </w:tc>
        <w:tc>
          <w:tcPr>
            <w:tcW w:w="770"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ind w:firstLine="41"/>
              <w:jc w:val="center"/>
              <w:rPr>
                <w:sz w:val="28"/>
                <w:szCs w:val="28"/>
              </w:rPr>
            </w:pPr>
            <w:r w:rsidRPr="003042B3">
              <w:rPr>
                <w:sz w:val="28"/>
                <w:szCs w:val="28"/>
              </w:rPr>
              <w:t>0</w:t>
            </w:r>
          </w:p>
        </w:tc>
      </w:tr>
      <w:tr w:rsidR="00A449F3" w:rsidRPr="003042B3" w:rsidTr="00A57C47">
        <w:tc>
          <w:tcPr>
            <w:tcW w:w="1507"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rPr>
                <w:sz w:val="28"/>
                <w:szCs w:val="28"/>
              </w:rPr>
            </w:pPr>
            <w:r w:rsidRPr="003042B3">
              <w:rPr>
                <w:sz w:val="28"/>
                <w:szCs w:val="28"/>
              </w:rPr>
              <w:t> 5.2. speciālais budžets</w:t>
            </w:r>
          </w:p>
        </w:tc>
        <w:tc>
          <w:tcPr>
            <w:tcW w:w="655"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jc w:val="center"/>
              <w:rPr>
                <w:sz w:val="28"/>
                <w:szCs w:val="28"/>
              </w:rPr>
            </w:pPr>
            <w:r w:rsidRPr="003042B3">
              <w:rPr>
                <w:sz w:val="28"/>
                <w:szCs w:val="28"/>
              </w:rPr>
              <w:t>0</w:t>
            </w:r>
          </w:p>
        </w:tc>
        <w:tc>
          <w:tcPr>
            <w:tcW w:w="668"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jc w:val="center"/>
              <w:rPr>
                <w:sz w:val="28"/>
                <w:szCs w:val="28"/>
              </w:rPr>
            </w:pPr>
            <w:r w:rsidRPr="003042B3">
              <w:rPr>
                <w:sz w:val="28"/>
                <w:szCs w:val="28"/>
              </w:rPr>
              <w:t>0</w:t>
            </w:r>
          </w:p>
        </w:tc>
        <w:tc>
          <w:tcPr>
            <w:tcW w:w="700"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jc w:val="center"/>
              <w:rPr>
                <w:sz w:val="28"/>
                <w:szCs w:val="28"/>
              </w:rPr>
            </w:pPr>
            <w:r w:rsidRPr="003042B3">
              <w:rPr>
                <w:sz w:val="28"/>
                <w:szCs w:val="28"/>
              </w:rPr>
              <w:t>0</w:t>
            </w:r>
          </w:p>
        </w:tc>
        <w:tc>
          <w:tcPr>
            <w:tcW w:w="700"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jc w:val="center"/>
              <w:rPr>
                <w:sz w:val="28"/>
                <w:szCs w:val="28"/>
              </w:rPr>
            </w:pPr>
            <w:r w:rsidRPr="003042B3">
              <w:rPr>
                <w:sz w:val="28"/>
                <w:szCs w:val="28"/>
              </w:rPr>
              <w:t>0</w:t>
            </w:r>
          </w:p>
        </w:tc>
        <w:tc>
          <w:tcPr>
            <w:tcW w:w="770"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jc w:val="center"/>
              <w:rPr>
                <w:sz w:val="28"/>
                <w:szCs w:val="28"/>
              </w:rPr>
            </w:pPr>
            <w:r w:rsidRPr="003042B3">
              <w:rPr>
                <w:sz w:val="28"/>
                <w:szCs w:val="28"/>
              </w:rPr>
              <w:t>0</w:t>
            </w:r>
          </w:p>
        </w:tc>
      </w:tr>
      <w:tr w:rsidR="00A449F3" w:rsidRPr="003042B3" w:rsidTr="00A57C47">
        <w:tc>
          <w:tcPr>
            <w:tcW w:w="1507"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rPr>
                <w:sz w:val="28"/>
                <w:szCs w:val="28"/>
              </w:rPr>
            </w:pPr>
            <w:r w:rsidRPr="003042B3">
              <w:rPr>
                <w:sz w:val="28"/>
                <w:szCs w:val="28"/>
              </w:rPr>
              <w:t> 5.3. pašvaldību budžets</w:t>
            </w:r>
          </w:p>
        </w:tc>
        <w:tc>
          <w:tcPr>
            <w:tcW w:w="655" w:type="pct"/>
            <w:tcBorders>
              <w:top w:val="single" w:sz="12" w:space="0" w:color="auto"/>
              <w:left w:val="single" w:sz="12" w:space="0" w:color="auto"/>
              <w:bottom w:val="single" w:sz="12" w:space="0" w:color="auto"/>
              <w:right w:val="single" w:sz="12" w:space="0" w:color="auto"/>
            </w:tcBorders>
            <w:vAlign w:val="center"/>
          </w:tcPr>
          <w:p w:rsidR="00A449F3" w:rsidRPr="003042B3" w:rsidRDefault="00A449F3" w:rsidP="00D146E9">
            <w:pPr>
              <w:spacing w:before="0" w:after="0"/>
              <w:jc w:val="center"/>
              <w:rPr>
                <w:sz w:val="28"/>
                <w:szCs w:val="28"/>
              </w:rPr>
            </w:pPr>
            <w:r w:rsidRPr="003042B3">
              <w:rPr>
                <w:sz w:val="28"/>
                <w:szCs w:val="28"/>
              </w:rPr>
              <w:t>0</w:t>
            </w:r>
          </w:p>
        </w:tc>
        <w:tc>
          <w:tcPr>
            <w:tcW w:w="668" w:type="pct"/>
            <w:tcBorders>
              <w:top w:val="single" w:sz="12" w:space="0" w:color="auto"/>
              <w:left w:val="single" w:sz="12" w:space="0" w:color="auto"/>
              <w:bottom w:val="single" w:sz="12" w:space="0" w:color="auto"/>
              <w:right w:val="single" w:sz="12" w:space="0" w:color="auto"/>
            </w:tcBorders>
            <w:vAlign w:val="center"/>
          </w:tcPr>
          <w:p w:rsidR="00A449F3" w:rsidRPr="003042B3" w:rsidRDefault="00A449F3" w:rsidP="00D146E9">
            <w:pPr>
              <w:spacing w:before="0" w:after="0"/>
              <w:jc w:val="center"/>
              <w:rPr>
                <w:sz w:val="28"/>
                <w:szCs w:val="28"/>
              </w:rPr>
            </w:pPr>
            <w:r w:rsidRPr="003042B3">
              <w:rPr>
                <w:sz w:val="28"/>
                <w:szCs w:val="28"/>
              </w:rPr>
              <w:t>0</w:t>
            </w:r>
          </w:p>
        </w:tc>
        <w:tc>
          <w:tcPr>
            <w:tcW w:w="700"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jc w:val="center"/>
              <w:rPr>
                <w:sz w:val="28"/>
                <w:szCs w:val="28"/>
              </w:rPr>
            </w:pPr>
            <w:r w:rsidRPr="003042B3">
              <w:rPr>
                <w:sz w:val="28"/>
                <w:szCs w:val="28"/>
              </w:rPr>
              <w:t>0</w:t>
            </w:r>
          </w:p>
        </w:tc>
        <w:tc>
          <w:tcPr>
            <w:tcW w:w="700"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jc w:val="center"/>
              <w:rPr>
                <w:sz w:val="28"/>
                <w:szCs w:val="28"/>
              </w:rPr>
            </w:pPr>
            <w:r w:rsidRPr="003042B3">
              <w:rPr>
                <w:sz w:val="28"/>
                <w:szCs w:val="28"/>
              </w:rPr>
              <w:t>0</w:t>
            </w:r>
          </w:p>
        </w:tc>
        <w:tc>
          <w:tcPr>
            <w:tcW w:w="770"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jc w:val="center"/>
              <w:rPr>
                <w:sz w:val="28"/>
                <w:szCs w:val="28"/>
              </w:rPr>
            </w:pPr>
            <w:r w:rsidRPr="003042B3">
              <w:rPr>
                <w:sz w:val="28"/>
                <w:szCs w:val="28"/>
              </w:rPr>
              <w:t>0</w:t>
            </w:r>
          </w:p>
        </w:tc>
      </w:tr>
      <w:tr w:rsidR="00A449F3" w:rsidRPr="003042B3" w:rsidTr="00A57C47">
        <w:tc>
          <w:tcPr>
            <w:tcW w:w="1507"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rPr>
                <w:sz w:val="28"/>
                <w:szCs w:val="28"/>
              </w:rPr>
            </w:pPr>
            <w:r w:rsidRPr="003042B3">
              <w:rPr>
                <w:sz w:val="28"/>
                <w:szCs w:val="28"/>
              </w:rPr>
              <w:t> 6. Detalizēts ieņēmumu un izdevu</w:t>
            </w:r>
            <w:r w:rsidRPr="003042B3">
              <w:rPr>
                <w:sz w:val="28"/>
                <w:szCs w:val="28"/>
              </w:rPr>
              <w:softHyphen/>
              <w:t>mu aprēķins (ja nepieciešams, detalizētu ieņēmumu un izdevumu aprēķinu var pievienot anotācijas pielikumā):</w:t>
            </w:r>
          </w:p>
        </w:tc>
        <w:tc>
          <w:tcPr>
            <w:tcW w:w="3493" w:type="pct"/>
            <w:gridSpan w:val="5"/>
            <w:vMerge w:val="restart"/>
            <w:tcBorders>
              <w:top w:val="single" w:sz="12" w:space="0" w:color="auto"/>
              <w:left w:val="single" w:sz="12" w:space="0" w:color="auto"/>
              <w:bottom w:val="single" w:sz="12" w:space="0" w:color="auto"/>
              <w:right w:val="single" w:sz="12" w:space="0" w:color="auto"/>
            </w:tcBorders>
          </w:tcPr>
          <w:p w:rsidR="00941900" w:rsidRPr="00941900" w:rsidRDefault="00941900" w:rsidP="00941900">
            <w:pPr>
              <w:spacing w:before="0" w:after="0"/>
              <w:rPr>
                <w:sz w:val="28"/>
                <w:szCs w:val="28"/>
              </w:rPr>
            </w:pPr>
            <w:r w:rsidRPr="00941900">
              <w:rPr>
                <w:sz w:val="28"/>
                <w:szCs w:val="28"/>
              </w:rPr>
              <w:t xml:space="preserve">2011.gadā plānots izveidot sešus profesionālās izglītības kompetences centrus. 2011.gadā saskaņā ar valsts budžetu kārtējam gadam izglītības iestāžu, kuras paredzētas izveidot kā profesionālās izglītības kompetences centrus, ieņēmumi sastāda    8 683,5 tūkst. latu, savukārt izdevumi 8 731,6 tūkst. latu. Finansiālā ietekme ir negatīva - 48,0 tūkst. latu, ko veido papildu izdevumu finansēšanai novirzītais maksas pakalpojumu un citu pašu ieņēmumu naudas līdzekļu atlikums uz 2011.gada sākumu. </w:t>
            </w:r>
          </w:p>
          <w:p w:rsidR="00941900" w:rsidRPr="00941900" w:rsidRDefault="00941900" w:rsidP="00941900">
            <w:pPr>
              <w:spacing w:before="0" w:after="0"/>
              <w:rPr>
                <w:sz w:val="28"/>
                <w:szCs w:val="28"/>
              </w:rPr>
            </w:pPr>
            <w:r w:rsidRPr="00941900">
              <w:rPr>
                <w:sz w:val="28"/>
                <w:szCs w:val="28"/>
              </w:rPr>
              <w:t xml:space="preserve">Izveidojot profesionālās izglītības kompetences centrus, kuri papildus izglītības programmu īstenošanai pildīs reģionālā vai nozares metodiskā centra, pedagogu tālākizglītības centra un ārpus formālās izglītības sistēmas apgūtās profesionālās kompetences novērtēšanas  funkcijas, plānots kompetences centra īstenotajās profesionālās izglītības programmās (izņemot </w:t>
            </w:r>
            <w:r w:rsidRPr="00941900">
              <w:rPr>
                <w:rFonts w:eastAsia="Calibri"/>
                <w:color w:val="000000"/>
                <w:sz w:val="28"/>
                <w:szCs w:val="28"/>
              </w:rPr>
              <w:t>pirmā līmeņa profesionālās augstākās izglītības programm</w:t>
            </w:r>
            <w:r w:rsidRPr="00941900">
              <w:rPr>
                <w:color w:val="000000"/>
                <w:sz w:val="28"/>
                <w:szCs w:val="28"/>
              </w:rPr>
              <w:t>ā</w:t>
            </w:r>
            <w:r w:rsidRPr="00941900">
              <w:rPr>
                <w:rFonts w:eastAsia="Calibri"/>
                <w:color w:val="000000"/>
                <w:sz w:val="28"/>
                <w:szCs w:val="28"/>
              </w:rPr>
              <w:t>s</w:t>
            </w:r>
            <w:r w:rsidRPr="00941900">
              <w:rPr>
                <w:sz w:val="28"/>
                <w:szCs w:val="28"/>
              </w:rPr>
              <w:t>) nodarbināto pedagogu darba samaksai atbilstoši audzēkņu skaitam piemērot 10% piemaksu no pedagoga mēneša darba algas likmes.</w:t>
            </w:r>
          </w:p>
          <w:p w:rsidR="00941900" w:rsidRPr="00941900" w:rsidRDefault="00941900" w:rsidP="00941900">
            <w:pPr>
              <w:spacing w:before="0" w:after="0"/>
              <w:rPr>
                <w:color w:val="FF0000"/>
                <w:sz w:val="28"/>
                <w:szCs w:val="28"/>
              </w:rPr>
            </w:pPr>
            <w:r>
              <w:rPr>
                <w:sz w:val="28"/>
                <w:szCs w:val="28"/>
              </w:rPr>
              <w:t>V</w:t>
            </w:r>
            <w:r w:rsidRPr="00941900">
              <w:rPr>
                <w:sz w:val="28"/>
                <w:szCs w:val="28"/>
              </w:rPr>
              <w:t>idējais audzēkņu skaits sešos profesionālās izglītības kompetences centros gadā ir 6704 audzēkņi. Atbilstoši Ministru kabineta 2007.gada 2.oktobra noteikumiem Nr.655 „Noteikumi par profesionālās izglītības programmu īstenošanas izmaksu minimumu uz vienu izglītojamo” pedagogu darba samaksa uz vienu izglītojamo profesionālās izglītības programmās ar izglītojamo skaitu 25 - 30 mācību grupā ir 572,05 lati (tai skaitā valsts sociālās apdrošināšanas obligātās iemaksas), kas gadā kopā sastāda 3 835 tūkst. latus. Piemērojot piemaksu 10%, 2011.gadā (sākot ar 2011.gada 1.septembri) papildus nepieciešami 127,8 tūkst. latu.</w:t>
            </w:r>
          </w:p>
          <w:p w:rsidR="00941900" w:rsidRPr="00941900" w:rsidRDefault="00941900" w:rsidP="00941900">
            <w:pPr>
              <w:spacing w:before="0" w:after="0"/>
              <w:rPr>
                <w:sz w:val="28"/>
                <w:szCs w:val="28"/>
              </w:rPr>
            </w:pPr>
            <w:r w:rsidRPr="00941900">
              <w:rPr>
                <w:sz w:val="28"/>
                <w:szCs w:val="28"/>
              </w:rPr>
              <w:t>Tiek plānots</w:t>
            </w:r>
            <w:r w:rsidRPr="00941900">
              <w:rPr>
                <w:rFonts w:eastAsia="Calibri"/>
                <w:sz w:val="28"/>
                <w:szCs w:val="28"/>
              </w:rPr>
              <w:t xml:space="preserve">, ka salīdzinājumā ar iepriekšējo mācību gadu, </w:t>
            </w:r>
            <w:r w:rsidRPr="00941900">
              <w:rPr>
                <w:rFonts w:eastAsia="Calibri"/>
                <w:sz w:val="28"/>
                <w:szCs w:val="28"/>
              </w:rPr>
              <w:lastRenderedPageBreak/>
              <w:t>lielāks pamatskolu absolventu skaits turpinās izglītības iegūšanu profesionālajās izglītības iestādēs</w:t>
            </w:r>
            <w:r w:rsidRPr="00941900">
              <w:rPr>
                <w:sz w:val="28"/>
                <w:szCs w:val="28"/>
              </w:rPr>
              <w:t xml:space="preserve">, līdz ar ko pieaug nepieciešamais finansējums </w:t>
            </w:r>
            <w:r w:rsidRPr="00941900">
              <w:rPr>
                <w:rFonts w:eastAsia="Calibri"/>
                <w:sz w:val="28"/>
                <w:szCs w:val="28"/>
              </w:rPr>
              <w:t>profesionālo izglītības iestāžu</w:t>
            </w:r>
            <w:r w:rsidRPr="00941900">
              <w:rPr>
                <w:sz w:val="28"/>
                <w:szCs w:val="28"/>
              </w:rPr>
              <w:t xml:space="preserve"> uzturēšanas izdevumu segšanai.</w:t>
            </w:r>
          </w:p>
          <w:p w:rsidR="00941900" w:rsidRPr="00941900" w:rsidRDefault="00941900" w:rsidP="00941900">
            <w:pPr>
              <w:spacing w:before="0" w:after="0"/>
              <w:rPr>
                <w:sz w:val="28"/>
                <w:szCs w:val="28"/>
              </w:rPr>
            </w:pPr>
            <w:r w:rsidRPr="00941900">
              <w:rPr>
                <w:color w:val="000000" w:themeColor="text1"/>
                <w:sz w:val="28"/>
                <w:szCs w:val="28"/>
              </w:rPr>
              <w:t>Vienlaikus, lai optimizētu izglītības procesu, IZM ir atļāvusi profesionālajās izglītības iestādēs palielināt audzēkņu skaitu grupā, līdz ar to palielinoties audzēkņu skaitam, grupu skaits samazinās. Grupu skaita samazināšanās rezultātā profesionālajās izglītības iestādēs atbrīvojas 72,85</w:t>
            </w:r>
            <w:r w:rsidR="00DD179D">
              <w:rPr>
                <w:color w:val="000000" w:themeColor="text1"/>
                <w:sz w:val="28"/>
                <w:szCs w:val="28"/>
              </w:rPr>
              <w:t xml:space="preserve"> pedagoģiskās</w:t>
            </w:r>
            <w:r w:rsidRPr="00941900">
              <w:rPr>
                <w:color w:val="000000" w:themeColor="text1"/>
                <w:sz w:val="28"/>
                <w:szCs w:val="28"/>
              </w:rPr>
              <w:t xml:space="preserve"> likmes, kas </w:t>
            </w:r>
            <w:r w:rsidRPr="00941900">
              <w:rPr>
                <w:b/>
                <w:color w:val="000000" w:themeColor="text1"/>
                <w:sz w:val="28"/>
                <w:szCs w:val="28"/>
              </w:rPr>
              <w:t>naudas izteiksmē ir 72,85 (</w:t>
            </w:r>
            <w:r w:rsidR="00DD179D">
              <w:rPr>
                <w:b/>
                <w:color w:val="000000" w:themeColor="text1"/>
                <w:sz w:val="28"/>
                <w:szCs w:val="28"/>
              </w:rPr>
              <w:t xml:space="preserve"> pedagoģisko </w:t>
            </w:r>
            <w:r w:rsidRPr="00941900">
              <w:rPr>
                <w:b/>
                <w:color w:val="000000" w:themeColor="text1"/>
                <w:sz w:val="28"/>
                <w:szCs w:val="28"/>
              </w:rPr>
              <w:t>likmju skaits) *</w:t>
            </w:r>
            <w:r w:rsidR="001305B1">
              <w:rPr>
                <w:b/>
                <w:color w:val="000000" w:themeColor="text1"/>
                <w:sz w:val="28"/>
                <w:szCs w:val="28"/>
              </w:rPr>
              <w:t xml:space="preserve"> </w:t>
            </w:r>
            <w:r w:rsidRPr="00941900">
              <w:rPr>
                <w:b/>
                <w:color w:val="000000" w:themeColor="text1"/>
                <w:sz w:val="28"/>
                <w:szCs w:val="28"/>
              </w:rPr>
              <w:t>9,2 (audzēkņa skaita attiecība pret vienu pedagoga mēneša darba algas likmi)</w:t>
            </w:r>
            <w:r w:rsidR="001305B1">
              <w:rPr>
                <w:b/>
                <w:color w:val="000000" w:themeColor="text1"/>
                <w:sz w:val="28"/>
                <w:szCs w:val="28"/>
              </w:rPr>
              <w:t xml:space="preserve"> </w:t>
            </w:r>
            <w:r w:rsidRPr="00941900">
              <w:rPr>
                <w:b/>
                <w:color w:val="000000" w:themeColor="text1"/>
                <w:sz w:val="28"/>
                <w:szCs w:val="28"/>
              </w:rPr>
              <w:t>* 572,05 (pedagogu darba samaksa uz</w:t>
            </w:r>
            <w:r w:rsidRPr="00941900">
              <w:rPr>
                <w:b/>
                <w:sz w:val="28"/>
                <w:szCs w:val="28"/>
              </w:rPr>
              <w:t xml:space="preserve"> vienu izglītojamo profesionālās izglītības programmās ar izglītojamo skaitu 25 - 30 mācību grupā) /</w:t>
            </w:r>
            <w:r w:rsidR="001305B1">
              <w:rPr>
                <w:b/>
                <w:sz w:val="28"/>
                <w:szCs w:val="28"/>
              </w:rPr>
              <w:t xml:space="preserve"> </w:t>
            </w:r>
            <w:r w:rsidRPr="00941900">
              <w:rPr>
                <w:b/>
                <w:sz w:val="28"/>
                <w:szCs w:val="28"/>
              </w:rPr>
              <w:t>3 (4 mēnešiem) = 127,8 tūkst. latu.</w:t>
            </w:r>
            <w:r w:rsidRPr="00941900">
              <w:rPr>
                <w:sz w:val="28"/>
                <w:szCs w:val="28"/>
              </w:rPr>
              <w:t xml:space="preserve"> Tas ir pietiekami, lai segtu piemaksu pedagogu darba samaksai 10% apmērā 2011.gada četriem mēnešiem (septembrim – decembrim), kas sastāda 127,8 tūkst. latu.</w:t>
            </w:r>
          </w:p>
          <w:p w:rsidR="00A449F3" w:rsidRPr="00941900" w:rsidRDefault="00941900" w:rsidP="00941900">
            <w:pPr>
              <w:spacing w:before="0" w:after="0"/>
              <w:rPr>
                <w:sz w:val="26"/>
                <w:szCs w:val="26"/>
              </w:rPr>
            </w:pPr>
            <w:r w:rsidRPr="00941900">
              <w:rPr>
                <w:sz w:val="28"/>
                <w:szCs w:val="28"/>
              </w:rPr>
              <w:t>Ņemot vērā minēto, 2011.gadā un turpmākajos gados papildu finanšu līdzekļi nav nepieciešami, jo finansējums</w:t>
            </w:r>
            <w:r w:rsidRPr="00941900">
              <w:rPr>
                <w:rFonts w:eastAsia="Calibri"/>
                <w:sz w:val="28"/>
                <w:szCs w:val="28"/>
              </w:rPr>
              <w:t xml:space="preserve"> ir paredzēts apstiprinātā kārtējā valsts budžeta līdzekļu ietvaros.</w:t>
            </w:r>
          </w:p>
        </w:tc>
      </w:tr>
      <w:tr w:rsidR="00A449F3" w:rsidRPr="003042B3" w:rsidTr="00A57C47">
        <w:tc>
          <w:tcPr>
            <w:tcW w:w="1507"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rPr>
                <w:sz w:val="28"/>
                <w:szCs w:val="28"/>
              </w:rPr>
            </w:pPr>
            <w:r w:rsidRPr="003042B3">
              <w:rPr>
                <w:sz w:val="28"/>
                <w:szCs w:val="28"/>
              </w:rPr>
              <w:t> 6.1. detalizēts ieņēmumu aprēķins</w:t>
            </w:r>
          </w:p>
        </w:tc>
        <w:tc>
          <w:tcPr>
            <w:tcW w:w="3493" w:type="pct"/>
            <w:gridSpan w:val="5"/>
            <w:vMerge/>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rPr>
                <w:sz w:val="28"/>
                <w:szCs w:val="28"/>
              </w:rPr>
            </w:pPr>
          </w:p>
        </w:tc>
      </w:tr>
      <w:tr w:rsidR="00A449F3" w:rsidRPr="003042B3" w:rsidTr="00A57C47">
        <w:tc>
          <w:tcPr>
            <w:tcW w:w="1507"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rPr>
                <w:sz w:val="28"/>
                <w:szCs w:val="28"/>
              </w:rPr>
            </w:pPr>
            <w:r w:rsidRPr="003042B3">
              <w:rPr>
                <w:sz w:val="28"/>
                <w:szCs w:val="28"/>
              </w:rPr>
              <w:t> 6.2. detalizēts izdevumu aprēķins</w:t>
            </w:r>
          </w:p>
        </w:tc>
        <w:tc>
          <w:tcPr>
            <w:tcW w:w="3493" w:type="pct"/>
            <w:gridSpan w:val="5"/>
            <w:vMerge/>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rPr>
                <w:sz w:val="28"/>
                <w:szCs w:val="28"/>
              </w:rPr>
            </w:pPr>
          </w:p>
        </w:tc>
      </w:tr>
      <w:tr w:rsidR="00A449F3" w:rsidRPr="003042B3" w:rsidTr="00A57C47">
        <w:tc>
          <w:tcPr>
            <w:tcW w:w="1507" w:type="pct"/>
            <w:tcBorders>
              <w:top w:val="single" w:sz="12" w:space="0" w:color="auto"/>
              <w:left w:val="single" w:sz="12" w:space="0" w:color="auto"/>
              <w:bottom w:val="single" w:sz="12" w:space="0" w:color="auto"/>
              <w:right w:val="single" w:sz="12" w:space="0" w:color="auto"/>
            </w:tcBorders>
          </w:tcPr>
          <w:p w:rsidR="00A449F3" w:rsidRPr="003042B3" w:rsidRDefault="00A449F3" w:rsidP="00D146E9">
            <w:pPr>
              <w:spacing w:before="0" w:after="0"/>
              <w:rPr>
                <w:sz w:val="28"/>
                <w:szCs w:val="28"/>
              </w:rPr>
            </w:pPr>
            <w:r w:rsidRPr="003042B3">
              <w:rPr>
                <w:sz w:val="28"/>
                <w:szCs w:val="28"/>
              </w:rPr>
              <w:lastRenderedPageBreak/>
              <w:t> 7. Cita informācija</w:t>
            </w:r>
          </w:p>
        </w:tc>
        <w:tc>
          <w:tcPr>
            <w:tcW w:w="3493" w:type="pct"/>
            <w:gridSpan w:val="5"/>
            <w:tcBorders>
              <w:top w:val="single" w:sz="12" w:space="0" w:color="auto"/>
              <w:left w:val="single" w:sz="12" w:space="0" w:color="auto"/>
              <w:bottom w:val="single" w:sz="12" w:space="0" w:color="auto"/>
              <w:right w:val="single" w:sz="12" w:space="0" w:color="auto"/>
            </w:tcBorders>
          </w:tcPr>
          <w:p w:rsidR="00A449F3" w:rsidRPr="003042B3" w:rsidRDefault="00A449F3" w:rsidP="00602A83">
            <w:pPr>
              <w:spacing w:before="0" w:after="0"/>
              <w:rPr>
                <w:sz w:val="28"/>
                <w:szCs w:val="28"/>
              </w:rPr>
            </w:pPr>
            <w:r w:rsidRPr="003042B3">
              <w:rPr>
                <w:sz w:val="28"/>
                <w:szCs w:val="28"/>
              </w:rPr>
              <w:t xml:space="preserve">2011.gadā un turpmākajos gados finansējums ir paredzēts apstiprinātā gadskārtējā valsts budžeta ietvaros. </w:t>
            </w:r>
          </w:p>
        </w:tc>
      </w:tr>
    </w:tbl>
    <w:p w:rsidR="00095943" w:rsidRPr="003042B3" w:rsidRDefault="00095943" w:rsidP="00D146E9">
      <w:pPr>
        <w:pStyle w:val="naisf"/>
        <w:spacing w:before="0" w:after="0"/>
        <w:rPr>
          <w:b/>
          <w:sz w:val="28"/>
          <w:szCs w:val="28"/>
        </w:rPr>
      </w:pPr>
    </w:p>
    <w:p w:rsidR="00F63D62" w:rsidRPr="003042B3" w:rsidRDefault="006D3BB9" w:rsidP="00D146E9">
      <w:pPr>
        <w:pStyle w:val="naisf"/>
        <w:spacing w:before="0" w:after="0"/>
        <w:jc w:val="center"/>
        <w:rPr>
          <w:sz w:val="28"/>
          <w:szCs w:val="28"/>
        </w:rPr>
      </w:pPr>
      <w:r w:rsidRPr="003042B3">
        <w:rPr>
          <w:sz w:val="28"/>
          <w:szCs w:val="28"/>
        </w:rPr>
        <w:t xml:space="preserve">Anotācijas </w:t>
      </w:r>
      <w:r w:rsidR="003B7748" w:rsidRPr="003042B3">
        <w:rPr>
          <w:sz w:val="28"/>
          <w:szCs w:val="28"/>
        </w:rPr>
        <w:t>IV, V</w:t>
      </w:r>
      <w:r w:rsidR="00095943" w:rsidRPr="003042B3">
        <w:rPr>
          <w:sz w:val="28"/>
          <w:szCs w:val="28"/>
        </w:rPr>
        <w:t>, VI</w:t>
      </w:r>
      <w:r w:rsidR="003B7748" w:rsidRPr="003042B3">
        <w:rPr>
          <w:sz w:val="28"/>
          <w:szCs w:val="28"/>
        </w:rPr>
        <w:t xml:space="preserve"> sadaļa – </w:t>
      </w:r>
      <w:r w:rsidR="00B93843" w:rsidRPr="003042B3">
        <w:rPr>
          <w:sz w:val="28"/>
          <w:szCs w:val="28"/>
        </w:rPr>
        <w:t>projekts šo jomu neskar.</w:t>
      </w:r>
    </w:p>
    <w:tbl>
      <w:tblPr>
        <w:tblpPr w:leftFromText="180" w:rightFromText="180" w:vertAnchor="text" w:horzAnchor="margin" w:tblpXSpec="center" w:tblpY="385"/>
        <w:tblW w:w="984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344"/>
        <w:gridCol w:w="4509"/>
        <w:gridCol w:w="4995"/>
      </w:tblGrid>
      <w:tr w:rsidR="003042B3" w:rsidRPr="003042B3" w:rsidTr="00A57C47">
        <w:trPr>
          <w:tblCellSpacing w:w="0" w:type="dxa"/>
        </w:trPr>
        <w:tc>
          <w:tcPr>
            <w:tcW w:w="9848" w:type="dxa"/>
            <w:gridSpan w:val="3"/>
            <w:vAlign w:val="center"/>
          </w:tcPr>
          <w:p w:rsidR="003042B3" w:rsidRPr="003042B3" w:rsidRDefault="003042B3" w:rsidP="00A57C47">
            <w:pPr>
              <w:pStyle w:val="naisnod"/>
              <w:spacing w:before="0" w:after="0"/>
              <w:jc w:val="both"/>
              <w:rPr>
                <w:sz w:val="28"/>
                <w:szCs w:val="28"/>
              </w:rPr>
            </w:pPr>
            <w:r w:rsidRPr="003042B3">
              <w:rPr>
                <w:sz w:val="28"/>
                <w:szCs w:val="28"/>
              </w:rPr>
              <w:t>VII. Tiesību akta projekta izpildes nodrošināšana un tās ietekme uz institūcijām</w:t>
            </w:r>
          </w:p>
        </w:tc>
      </w:tr>
      <w:tr w:rsidR="003042B3" w:rsidRPr="003042B3" w:rsidTr="00A57C47">
        <w:trPr>
          <w:trHeight w:val="834"/>
          <w:tblCellSpacing w:w="0" w:type="dxa"/>
        </w:trPr>
        <w:tc>
          <w:tcPr>
            <w:tcW w:w="344" w:type="dxa"/>
            <w:vAlign w:val="center"/>
          </w:tcPr>
          <w:p w:rsidR="003042B3" w:rsidRPr="003042B3" w:rsidRDefault="003042B3" w:rsidP="00A57C47">
            <w:pPr>
              <w:pStyle w:val="naisnod"/>
              <w:spacing w:before="0" w:after="0"/>
              <w:ind w:left="180" w:hanging="180"/>
              <w:jc w:val="both"/>
              <w:rPr>
                <w:b w:val="0"/>
                <w:sz w:val="28"/>
                <w:szCs w:val="28"/>
              </w:rPr>
            </w:pPr>
            <w:r w:rsidRPr="003042B3">
              <w:rPr>
                <w:b w:val="0"/>
                <w:sz w:val="28"/>
                <w:szCs w:val="28"/>
              </w:rPr>
              <w:t>1.</w:t>
            </w:r>
          </w:p>
        </w:tc>
        <w:tc>
          <w:tcPr>
            <w:tcW w:w="4509" w:type="dxa"/>
            <w:vAlign w:val="center"/>
          </w:tcPr>
          <w:p w:rsidR="003042B3" w:rsidRPr="003042B3" w:rsidRDefault="003042B3" w:rsidP="00A57C47">
            <w:pPr>
              <w:pStyle w:val="naisf"/>
              <w:spacing w:before="0" w:after="0"/>
              <w:ind w:firstLine="0"/>
              <w:rPr>
                <w:sz w:val="28"/>
                <w:szCs w:val="28"/>
              </w:rPr>
            </w:pPr>
            <w:r w:rsidRPr="003042B3">
              <w:rPr>
                <w:sz w:val="28"/>
                <w:szCs w:val="28"/>
              </w:rPr>
              <w:t xml:space="preserve">Projekta izpildē iesaistītās institūcijas </w:t>
            </w:r>
          </w:p>
        </w:tc>
        <w:tc>
          <w:tcPr>
            <w:tcW w:w="4995" w:type="dxa"/>
            <w:vAlign w:val="center"/>
          </w:tcPr>
          <w:p w:rsidR="003042B3" w:rsidRPr="003042B3" w:rsidRDefault="003042B3" w:rsidP="00A57C47">
            <w:pPr>
              <w:pStyle w:val="naisnod"/>
              <w:spacing w:before="0" w:after="0"/>
              <w:jc w:val="both"/>
              <w:rPr>
                <w:b w:val="0"/>
                <w:sz w:val="28"/>
                <w:szCs w:val="28"/>
              </w:rPr>
            </w:pPr>
            <w:r w:rsidRPr="003042B3">
              <w:rPr>
                <w:b w:val="0"/>
                <w:sz w:val="28"/>
                <w:szCs w:val="28"/>
              </w:rPr>
              <w:t>Izglītības un zinātnes ministrija un novadu un republikas pilsētu pašvaldības.</w:t>
            </w:r>
          </w:p>
        </w:tc>
      </w:tr>
      <w:tr w:rsidR="003042B3" w:rsidRPr="003042B3" w:rsidTr="00A57C47">
        <w:trPr>
          <w:trHeight w:val="879"/>
          <w:tblCellSpacing w:w="0" w:type="dxa"/>
        </w:trPr>
        <w:tc>
          <w:tcPr>
            <w:tcW w:w="344" w:type="dxa"/>
            <w:vAlign w:val="center"/>
          </w:tcPr>
          <w:p w:rsidR="003042B3" w:rsidRPr="003042B3" w:rsidRDefault="003042B3" w:rsidP="00A57C47">
            <w:pPr>
              <w:pStyle w:val="naisnod"/>
              <w:spacing w:before="0" w:after="0"/>
              <w:jc w:val="both"/>
              <w:rPr>
                <w:b w:val="0"/>
                <w:sz w:val="28"/>
                <w:szCs w:val="28"/>
              </w:rPr>
            </w:pPr>
            <w:r w:rsidRPr="003042B3">
              <w:rPr>
                <w:b w:val="0"/>
                <w:sz w:val="28"/>
                <w:szCs w:val="28"/>
              </w:rPr>
              <w:t>2.</w:t>
            </w:r>
          </w:p>
        </w:tc>
        <w:tc>
          <w:tcPr>
            <w:tcW w:w="4509" w:type="dxa"/>
            <w:vAlign w:val="center"/>
          </w:tcPr>
          <w:p w:rsidR="003042B3" w:rsidRPr="003042B3" w:rsidRDefault="003042B3" w:rsidP="00A57C47">
            <w:pPr>
              <w:pStyle w:val="naisf"/>
              <w:spacing w:before="0" w:after="0"/>
              <w:ind w:firstLine="0"/>
              <w:rPr>
                <w:sz w:val="28"/>
                <w:szCs w:val="28"/>
              </w:rPr>
            </w:pPr>
            <w:r w:rsidRPr="003042B3">
              <w:rPr>
                <w:sz w:val="28"/>
                <w:szCs w:val="28"/>
              </w:rPr>
              <w:t xml:space="preserve">Projekta izpildes ietekme uz pārvaldes funkcijām </w:t>
            </w:r>
          </w:p>
        </w:tc>
        <w:tc>
          <w:tcPr>
            <w:tcW w:w="4995" w:type="dxa"/>
            <w:vAlign w:val="center"/>
          </w:tcPr>
          <w:p w:rsidR="003042B3" w:rsidRPr="003042B3" w:rsidRDefault="003042B3" w:rsidP="00A57C47">
            <w:pPr>
              <w:pStyle w:val="naisnod"/>
              <w:spacing w:before="0" w:after="0"/>
              <w:jc w:val="both"/>
              <w:rPr>
                <w:b w:val="0"/>
                <w:sz w:val="28"/>
                <w:szCs w:val="28"/>
              </w:rPr>
            </w:pPr>
            <w:r w:rsidRPr="003042B3">
              <w:rPr>
                <w:b w:val="0"/>
                <w:sz w:val="28"/>
                <w:szCs w:val="28"/>
              </w:rPr>
              <w:t>Projekts šo jomu neskar.</w:t>
            </w:r>
          </w:p>
        </w:tc>
      </w:tr>
      <w:tr w:rsidR="003042B3" w:rsidRPr="003042B3" w:rsidTr="00A57C47">
        <w:trPr>
          <w:trHeight w:val="725"/>
          <w:tblCellSpacing w:w="0" w:type="dxa"/>
        </w:trPr>
        <w:tc>
          <w:tcPr>
            <w:tcW w:w="344" w:type="dxa"/>
            <w:vAlign w:val="center"/>
          </w:tcPr>
          <w:p w:rsidR="003042B3" w:rsidRPr="003042B3" w:rsidRDefault="003042B3" w:rsidP="00A57C47">
            <w:pPr>
              <w:pStyle w:val="naisnod"/>
              <w:spacing w:before="0" w:after="0"/>
              <w:jc w:val="both"/>
              <w:rPr>
                <w:b w:val="0"/>
                <w:sz w:val="28"/>
                <w:szCs w:val="28"/>
              </w:rPr>
            </w:pPr>
            <w:r w:rsidRPr="003042B3">
              <w:rPr>
                <w:b w:val="0"/>
                <w:sz w:val="28"/>
                <w:szCs w:val="28"/>
              </w:rPr>
              <w:t>3.</w:t>
            </w:r>
          </w:p>
        </w:tc>
        <w:tc>
          <w:tcPr>
            <w:tcW w:w="4509" w:type="dxa"/>
            <w:vAlign w:val="center"/>
          </w:tcPr>
          <w:p w:rsidR="003042B3" w:rsidRPr="003042B3" w:rsidRDefault="003042B3" w:rsidP="00A57C47">
            <w:pPr>
              <w:pStyle w:val="naisf"/>
              <w:spacing w:before="0" w:after="0"/>
              <w:ind w:firstLine="0"/>
              <w:rPr>
                <w:sz w:val="28"/>
                <w:szCs w:val="28"/>
              </w:rPr>
            </w:pPr>
            <w:r w:rsidRPr="003042B3">
              <w:rPr>
                <w:sz w:val="28"/>
                <w:szCs w:val="28"/>
              </w:rPr>
              <w:t>Projekta izpildes ietekme uz pārvaldes institucionālo struktūru. Jaunu institūciju izveide.</w:t>
            </w:r>
          </w:p>
        </w:tc>
        <w:tc>
          <w:tcPr>
            <w:tcW w:w="4995" w:type="dxa"/>
            <w:vAlign w:val="center"/>
          </w:tcPr>
          <w:p w:rsidR="003042B3" w:rsidRPr="003042B3" w:rsidRDefault="003042B3" w:rsidP="00A57C47">
            <w:pPr>
              <w:pStyle w:val="naisnod"/>
              <w:spacing w:before="0" w:after="0"/>
              <w:jc w:val="both"/>
              <w:rPr>
                <w:b w:val="0"/>
                <w:sz w:val="28"/>
                <w:szCs w:val="28"/>
              </w:rPr>
            </w:pPr>
            <w:r w:rsidRPr="003042B3">
              <w:rPr>
                <w:b w:val="0"/>
                <w:sz w:val="28"/>
                <w:szCs w:val="28"/>
              </w:rPr>
              <w:t>Normatīvā akta izpilde tiks nodrošināta esošo institūciju ietvaros.</w:t>
            </w:r>
          </w:p>
        </w:tc>
      </w:tr>
      <w:tr w:rsidR="003042B3" w:rsidRPr="003042B3" w:rsidTr="00A57C47">
        <w:trPr>
          <w:trHeight w:val="1210"/>
          <w:tblCellSpacing w:w="0" w:type="dxa"/>
        </w:trPr>
        <w:tc>
          <w:tcPr>
            <w:tcW w:w="344" w:type="dxa"/>
            <w:vAlign w:val="center"/>
          </w:tcPr>
          <w:p w:rsidR="003042B3" w:rsidRPr="003042B3" w:rsidRDefault="003042B3" w:rsidP="00A57C47">
            <w:pPr>
              <w:pStyle w:val="naisnod"/>
              <w:spacing w:before="0" w:after="0"/>
              <w:jc w:val="both"/>
              <w:rPr>
                <w:b w:val="0"/>
                <w:sz w:val="28"/>
                <w:szCs w:val="28"/>
              </w:rPr>
            </w:pPr>
            <w:r w:rsidRPr="003042B3">
              <w:rPr>
                <w:b w:val="0"/>
                <w:sz w:val="28"/>
                <w:szCs w:val="28"/>
              </w:rPr>
              <w:t>4.</w:t>
            </w:r>
          </w:p>
        </w:tc>
        <w:tc>
          <w:tcPr>
            <w:tcW w:w="4509" w:type="dxa"/>
            <w:vAlign w:val="center"/>
          </w:tcPr>
          <w:p w:rsidR="003042B3" w:rsidRPr="003042B3" w:rsidRDefault="003042B3" w:rsidP="00A57C47">
            <w:pPr>
              <w:pStyle w:val="naisf"/>
              <w:spacing w:before="0" w:after="0"/>
              <w:ind w:firstLine="0"/>
              <w:rPr>
                <w:sz w:val="28"/>
                <w:szCs w:val="28"/>
              </w:rPr>
            </w:pPr>
            <w:r w:rsidRPr="003042B3">
              <w:rPr>
                <w:sz w:val="28"/>
                <w:szCs w:val="28"/>
              </w:rPr>
              <w:t>Projekta izpildes ietekme uz pārvaldes institucionālo struktūru. Esošu institūciju likvidācija.</w:t>
            </w:r>
          </w:p>
        </w:tc>
        <w:tc>
          <w:tcPr>
            <w:tcW w:w="4995" w:type="dxa"/>
            <w:vAlign w:val="center"/>
          </w:tcPr>
          <w:p w:rsidR="003042B3" w:rsidRPr="003042B3" w:rsidRDefault="003042B3" w:rsidP="00A57C47">
            <w:pPr>
              <w:pStyle w:val="naisnod"/>
              <w:spacing w:before="0" w:after="0"/>
              <w:jc w:val="both"/>
              <w:rPr>
                <w:b w:val="0"/>
                <w:sz w:val="28"/>
                <w:szCs w:val="28"/>
              </w:rPr>
            </w:pPr>
            <w:r w:rsidRPr="003042B3">
              <w:rPr>
                <w:b w:val="0"/>
                <w:sz w:val="28"/>
                <w:szCs w:val="28"/>
              </w:rPr>
              <w:t>Projekts šo jomu neskar.</w:t>
            </w:r>
          </w:p>
        </w:tc>
      </w:tr>
      <w:tr w:rsidR="003042B3" w:rsidRPr="003042B3" w:rsidTr="00A57C47">
        <w:trPr>
          <w:trHeight w:val="1255"/>
          <w:tblCellSpacing w:w="0" w:type="dxa"/>
        </w:trPr>
        <w:tc>
          <w:tcPr>
            <w:tcW w:w="344" w:type="dxa"/>
            <w:vAlign w:val="center"/>
          </w:tcPr>
          <w:p w:rsidR="003042B3" w:rsidRPr="003042B3" w:rsidRDefault="003042B3" w:rsidP="00A57C47">
            <w:pPr>
              <w:pStyle w:val="naisnod"/>
              <w:spacing w:before="0" w:after="0"/>
              <w:jc w:val="both"/>
              <w:rPr>
                <w:b w:val="0"/>
                <w:sz w:val="28"/>
                <w:szCs w:val="28"/>
              </w:rPr>
            </w:pPr>
            <w:r w:rsidRPr="003042B3">
              <w:rPr>
                <w:b w:val="0"/>
                <w:sz w:val="28"/>
                <w:szCs w:val="28"/>
              </w:rPr>
              <w:lastRenderedPageBreak/>
              <w:t>5.</w:t>
            </w:r>
          </w:p>
        </w:tc>
        <w:tc>
          <w:tcPr>
            <w:tcW w:w="4509" w:type="dxa"/>
            <w:vAlign w:val="center"/>
          </w:tcPr>
          <w:p w:rsidR="003042B3" w:rsidRPr="003042B3" w:rsidRDefault="003042B3" w:rsidP="00A57C47">
            <w:pPr>
              <w:pStyle w:val="naisf"/>
              <w:spacing w:before="0" w:after="0"/>
              <w:ind w:firstLine="0"/>
              <w:rPr>
                <w:sz w:val="28"/>
                <w:szCs w:val="28"/>
              </w:rPr>
            </w:pPr>
            <w:r w:rsidRPr="003042B3">
              <w:rPr>
                <w:sz w:val="28"/>
                <w:szCs w:val="28"/>
              </w:rPr>
              <w:t>Projekta izpildes ietekme uz pārvaldes institucionālo struktūru. Esošu institūciju reorganizācija.</w:t>
            </w:r>
          </w:p>
        </w:tc>
        <w:tc>
          <w:tcPr>
            <w:tcW w:w="4995" w:type="dxa"/>
            <w:vAlign w:val="center"/>
          </w:tcPr>
          <w:p w:rsidR="003042B3" w:rsidRPr="003042B3" w:rsidRDefault="003042B3" w:rsidP="00A57C47">
            <w:pPr>
              <w:pStyle w:val="naisnod"/>
              <w:spacing w:before="0" w:after="0"/>
              <w:jc w:val="both"/>
              <w:rPr>
                <w:b w:val="0"/>
                <w:sz w:val="28"/>
                <w:szCs w:val="28"/>
              </w:rPr>
            </w:pPr>
            <w:r w:rsidRPr="003042B3">
              <w:rPr>
                <w:b w:val="0"/>
                <w:sz w:val="28"/>
                <w:szCs w:val="28"/>
              </w:rPr>
              <w:t>Projekts šo jomu neskar.</w:t>
            </w:r>
          </w:p>
        </w:tc>
      </w:tr>
      <w:tr w:rsidR="003042B3" w:rsidRPr="003042B3" w:rsidTr="00A57C47">
        <w:trPr>
          <w:trHeight w:val="476"/>
          <w:tblCellSpacing w:w="0" w:type="dxa"/>
        </w:trPr>
        <w:tc>
          <w:tcPr>
            <w:tcW w:w="344" w:type="dxa"/>
            <w:vAlign w:val="center"/>
          </w:tcPr>
          <w:p w:rsidR="003042B3" w:rsidRPr="003042B3" w:rsidRDefault="003042B3" w:rsidP="00A57C47">
            <w:pPr>
              <w:pStyle w:val="naiskr"/>
              <w:spacing w:before="0" w:after="0"/>
              <w:rPr>
                <w:sz w:val="28"/>
                <w:szCs w:val="28"/>
              </w:rPr>
            </w:pPr>
            <w:r w:rsidRPr="003042B3">
              <w:rPr>
                <w:sz w:val="28"/>
                <w:szCs w:val="28"/>
              </w:rPr>
              <w:t>7.</w:t>
            </w:r>
          </w:p>
        </w:tc>
        <w:tc>
          <w:tcPr>
            <w:tcW w:w="4509" w:type="dxa"/>
            <w:vAlign w:val="center"/>
          </w:tcPr>
          <w:p w:rsidR="003042B3" w:rsidRPr="003042B3" w:rsidRDefault="003042B3" w:rsidP="00A57C47">
            <w:pPr>
              <w:pStyle w:val="naiskr"/>
              <w:spacing w:before="0" w:after="0"/>
              <w:rPr>
                <w:sz w:val="28"/>
                <w:szCs w:val="28"/>
              </w:rPr>
            </w:pPr>
            <w:r w:rsidRPr="003042B3">
              <w:rPr>
                <w:sz w:val="28"/>
                <w:szCs w:val="28"/>
              </w:rPr>
              <w:t>Cita informācija.</w:t>
            </w:r>
          </w:p>
        </w:tc>
        <w:tc>
          <w:tcPr>
            <w:tcW w:w="4995" w:type="dxa"/>
            <w:vAlign w:val="center"/>
          </w:tcPr>
          <w:p w:rsidR="003042B3" w:rsidRPr="003042B3" w:rsidRDefault="003042B3" w:rsidP="00A57C47">
            <w:pPr>
              <w:pStyle w:val="naiskr"/>
              <w:spacing w:before="0" w:after="0"/>
              <w:rPr>
                <w:sz w:val="28"/>
                <w:szCs w:val="28"/>
              </w:rPr>
            </w:pPr>
            <w:r w:rsidRPr="003042B3">
              <w:rPr>
                <w:sz w:val="28"/>
                <w:szCs w:val="28"/>
              </w:rPr>
              <w:t>Nav.</w:t>
            </w:r>
          </w:p>
        </w:tc>
      </w:tr>
    </w:tbl>
    <w:p w:rsidR="00CA79FB" w:rsidRPr="003042B3" w:rsidRDefault="00CA79FB" w:rsidP="00D146E9">
      <w:pPr>
        <w:spacing w:before="0" w:after="0"/>
        <w:rPr>
          <w:b/>
          <w:sz w:val="28"/>
          <w:szCs w:val="28"/>
        </w:rPr>
      </w:pPr>
    </w:p>
    <w:p w:rsidR="00B93843" w:rsidRPr="003042B3" w:rsidRDefault="00B93843" w:rsidP="00D146E9">
      <w:pPr>
        <w:autoSpaceDE w:val="0"/>
        <w:autoSpaceDN w:val="0"/>
        <w:adjustRightInd w:val="0"/>
        <w:spacing w:before="0" w:after="0"/>
        <w:rPr>
          <w:color w:val="000000"/>
          <w:sz w:val="28"/>
          <w:szCs w:val="28"/>
        </w:rPr>
      </w:pPr>
    </w:p>
    <w:p w:rsidR="00FA378A" w:rsidRPr="003042B3" w:rsidRDefault="00560D10" w:rsidP="00D146E9">
      <w:pPr>
        <w:autoSpaceDE w:val="0"/>
        <w:autoSpaceDN w:val="0"/>
        <w:adjustRightInd w:val="0"/>
        <w:spacing w:before="0" w:after="0"/>
        <w:rPr>
          <w:color w:val="000000"/>
          <w:sz w:val="28"/>
          <w:szCs w:val="28"/>
        </w:rPr>
      </w:pPr>
      <w:r w:rsidRPr="003042B3">
        <w:rPr>
          <w:color w:val="000000"/>
          <w:sz w:val="28"/>
          <w:szCs w:val="28"/>
        </w:rPr>
        <w:t>Izglītības un zinātnes ministr</w:t>
      </w:r>
      <w:r w:rsidR="00D27C4D" w:rsidRPr="003042B3">
        <w:rPr>
          <w:color w:val="000000"/>
          <w:sz w:val="28"/>
          <w:szCs w:val="28"/>
        </w:rPr>
        <w:t>s</w:t>
      </w:r>
      <w:r w:rsidR="00FA378A" w:rsidRPr="003042B3">
        <w:rPr>
          <w:color w:val="000000"/>
          <w:sz w:val="28"/>
          <w:szCs w:val="28"/>
        </w:rPr>
        <w:t xml:space="preserve"> </w:t>
      </w:r>
      <w:r w:rsidR="00D27C4D" w:rsidRPr="003042B3">
        <w:rPr>
          <w:color w:val="000000"/>
          <w:sz w:val="28"/>
          <w:szCs w:val="28"/>
        </w:rPr>
        <w:t xml:space="preserve">                                                        </w:t>
      </w:r>
      <w:r w:rsidR="00147B0D">
        <w:rPr>
          <w:color w:val="000000"/>
          <w:sz w:val="28"/>
          <w:szCs w:val="28"/>
        </w:rPr>
        <w:t xml:space="preserve"> </w:t>
      </w:r>
      <w:proofErr w:type="spellStart"/>
      <w:r w:rsidR="00D27C4D" w:rsidRPr="003042B3">
        <w:rPr>
          <w:color w:val="000000"/>
          <w:sz w:val="28"/>
          <w:szCs w:val="28"/>
        </w:rPr>
        <w:t>R.Broks</w:t>
      </w:r>
      <w:proofErr w:type="spellEnd"/>
    </w:p>
    <w:p w:rsidR="00560D10" w:rsidRPr="003042B3" w:rsidRDefault="00560D10" w:rsidP="00D146E9">
      <w:pPr>
        <w:pStyle w:val="naisf"/>
        <w:spacing w:before="0" w:after="0"/>
        <w:ind w:firstLine="0"/>
        <w:rPr>
          <w:color w:val="000000"/>
          <w:sz w:val="28"/>
          <w:szCs w:val="28"/>
        </w:rPr>
      </w:pPr>
    </w:p>
    <w:p w:rsidR="00B93843" w:rsidRPr="003042B3" w:rsidRDefault="00B93843" w:rsidP="00D146E9">
      <w:pPr>
        <w:pStyle w:val="naisf"/>
        <w:spacing w:before="0" w:after="0"/>
        <w:ind w:firstLine="0"/>
        <w:rPr>
          <w:color w:val="000000"/>
          <w:sz w:val="28"/>
          <w:szCs w:val="28"/>
        </w:rPr>
      </w:pPr>
    </w:p>
    <w:p w:rsidR="00D27C4D" w:rsidRPr="003042B3" w:rsidRDefault="00C02331" w:rsidP="00D146E9">
      <w:pPr>
        <w:pStyle w:val="naisf"/>
        <w:spacing w:before="0" w:after="0"/>
        <w:ind w:firstLine="0"/>
        <w:rPr>
          <w:color w:val="000000"/>
          <w:sz w:val="28"/>
          <w:szCs w:val="28"/>
        </w:rPr>
      </w:pPr>
      <w:r>
        <w:rPr>
          <w:color w:val="000000"/>
          <w:sz w:val="28"/>
          <w:szCs w:val="28"/>
        </w:rPr>
        <w:t>Vizē</w:t>
      </w:r>
      <w:r w:rsidR="00560D10" w:rsidRPr="003042B3">
        <w:rPr>
          <w:color w:val="000000"/>
          <w:sz w:val="28"/>
          <w:szCs w:val="28"/>
        </w:rPr>
        <w:t xml:space="preserve">: </w:t>
      </w:r>
    </w:p>
    <w:p w:rsidR="00FD0389" w:rsidRPr="003042B3" w:rsidRDefault="00E60026" w:rsidP="00D146E9">
      <w:pPr>
        <w:pStyle w:val="naisf"/>
        <w:spacing w:before="0" w:after="0"/>
        <w:ind w:firstLine="0"/>
        <w:rPr>
          <w:sz w:val="28"/>
          <w:szCs w:val="28"/>
        </w:rPr>
      </w:pPr>
      <w:r>
        <w:rPr>
          <w:color w:val="000000"/>
          <w:sz w:val="28"/>
          <w:szCs w:val="28"/>
        </w:rPr>
        <w:t xml:space="preserve">Valsts sekretārs                             </w:t>
      </w:r>
      <w:r w:rsidR="008E4170" w:rsidRPr="003042B3">
        <w:rPr>
          <w:color w:val="000000"/>
          <w:sz w:val="28"/>
          <w:szCs w:val="28"/>
        </w:rPr>
        <w:t xml:space="preserve">                          </w:t>
      </w:r>
      <w:r>
        <w:rPr>
          <w:color w:val="000000"/>
          <w:sz w:val="28"/>
          <w:szCs w:val="28"/>
        </w:rPr>
        <w:t xml:space="preserve">                     </w:t>
      </w:r>
      <w:proofErr w:type="spellStart"/>
      <w:r>
        <w:rPr>
          <w:color w:val="000000"/>
          <w:sz w:val="28"/>
          <w:szCs w:val="28"/>
        </w:rPr>
        <w:t>M.Gruškevics</w:t>
      </w:r>
      <w:proofErr w:type="spellEnd"/>
      <w:r w:rsidR="00560D10" w:rsidRPr="003042B3">
        <w:rPr>
          <w:color w:val="000000"/>
          <w:sz w:val="28"/>
          <w:szCs w:val="28"/>
        </w:rPr>
        <w:tab/>
      </w:r>
    </w:p>
    <w:p w:rsidR="001D5209" w:rsidRPr="003042B3" w:rsidRDefault="001D5209" w:rsidP="00D146E9">
      <w:pPr>
        <w:pStyle w:val="naisf"/>
        <w:spacing w:before="0" w:after="0"/>
        <w:ind w:firstLine="0"/>
        <w:rPr>
          <w:sz w:val="28"/>
          <w:szCs w:val="28"/>
        </w:rPr>
      </w:pPr>
    </w:p>
    <w:p w:rsidR="00560D10" w:rsidRPr="003042B3" w:rsidRDefault="00B93843" w:rsidP="00D146E9">
      <w:pPr>
        <w:pStyle w:val="naisf"/>
        <w:spacing w:before="0" w:after="0"/>
        <w:ind w:firstLine="0"/>
      </w:pPr>
      <w:r w:rsidRPr="003042B3">
        <w:t>2</w:t>
      </w:r>
      <w:r w:rsidR="00E60026">
        <w:t>9</w:t>
      </w:r>
      <w:r w:rsidRPr="003042B3">
        <w:t>.07</w:t>
      </w:r>
      <w:r w:rsidR="00560D10" w:rsidRPr="003042B3">
        <w:t>.201</w:t>
      </w:r>
      <w:r w:rsidR="007D69B1" w:rsidRPr="003042B3">
        <w:t>1</w:t>
      </w:r>
      <w:r w:rsidR="00560D10" w:rsidRPr="003042B3">
        <w:t>.</w:t>
      </w:r>
    </w:p>
    <w:p w:rsidR="001D5209" w:rsidRPr="003042B3" w:rsidRDefault="00941900" w:rsidP="00D146E9">
      <w:pPr>
        <w:pStyle w:val="naisf"/>
        <w:spacing w:before="0" w:after="0"/>
        <w:ind w:firstLine="0"/>
      </w:pPr>
      <w:r>
        <w:t>1</w:t>
      </w:r>
      <w:r w:rsidR="00FE1B78">
        <w:t xml:space="preserve"> </w:t>
      </w:r>
      <w:r w:rsidR="001305B1">
        <w:t>17</w:t>
      </w:r>
      <w:r w:rsidR="00E60026">
        <w:t>1</w:t>
      </w:r>
    </w:p>
    <w:p w:rsidR="00B93843" w:rsidRPr="003042B3" w:rsidRDefault="001E5B4C" w:rsidP="00D146E9">
      <w:pPr>
        <w:pStyle w:val="naisf"/>
        <w:spacing w:before="0" w:after="0"/>
        <w:ind w:firstLine="0"/>
      </w:pPr>
      <w:r>
        <w:t>A.Koleda</w:t>
      </w:r>
    </w:p>
    <w:p w:rsidR="001A5A29" w:rsidRPr="003042B3" w:rsidRDefault="001E5B4C" w:rsidP="00D146E9">
      <w:pPr>
        <w:pStyle w:val="naisf"/>
        <w:spacing w:before="0" w:after="0"/>
        <w:ind w:firstLine="0"/>
      </w:pPr>
      <w:r>
        <w:t>67047841</w:t>
      </w:r>
      <w:r w:rsidR="00B93843" w:rsidRPr="003042B3">
        <w:t xml:space="preserve">, </w:t>
      </w:r>
      <w:hyperlink r:id="rId7" w:history="1">
        <w:r w:rsidR="00FE1B78" w:rsidRPr="00262471">
          <w:rPr>
            <w:rStyle w:val="Hyperlink"/>
          </w:rPr>
          <w:t>alise.koleda@izm.gov.lv</w:t>
        </w:r>
      </w:hyperlink>
      <w:r w:rsidR="00B93843" w:rsidRPr="003042B3">
        <w:t xml:space="preserve"> </w:t>
      </w:r>
    </w:p>
    <w:sectPr w:rsidR="001A5A29" w:rsidRPr="003042B3" w:rsidSect="00560D10">
      <w:headerReference w:type="even" r:id="rId8"/>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54D" w:rsidRDefault="0036654D" w:rsidP="00550FDB">
      <w:r>
        <w:separator/>
      </w:r>
    </w:p>
  </w:endnote>
  <w:endnote w:type="continuationSeparator" w:id="0">
    <w:p w:rsidR="0036654D" w:rsidRDefault="0036654D" w:rsidP="00550F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2B3" w:rsidRDefault="003042B3" w:rsidP="003042B3">
    <w:pPr>
      <w:spacing w:before="0" w:after="0"/>
      <w:jc w:val="both"/>
      <w:rPr>
        <w:bCs/>
      </w:rPr>
    </w:pPr>
    <w:r w:rsidRPr="003042B3">
      <w:rPr>
        <w:sz w:val="22"/>
        <w:szCs w:val="22"/>
      </w:rPr>
      <w:t xml:space="preserve">IZMAnot_260711_pedsam; </w:t>
    </w:r>
    <w:r w:rsidRPr="003042B3">
      <w:rPr>
        <w:bCs/>
      </w:rPr>
      <w:t>Ministru kabineta noteikumu „Grozījums Ministru kabineta 2009.gada 28.jūlija noteikumos Nr.836 „Pedagogu darba samaksas noteikumi”” projekta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9D7" w:rsidRPr="003042B3" w:rsidRDefault="00560D10" w:rsidP="003042B3">
    <w:pPr>
      <w:spacing w:before="0" w:after="0"/>
      <w:jc w:val="both"/>
      <w:rPr>
        <w:bCs/>
      </w:rPr>
    </w:pPr>
    <w:r w:rsidRPr="003042B3">
      <w:rPr>
        <w:sz w:val="22"/>
        <w:szCs w:val="22"/>
      </w:rPr>
      <w:t>IZMAnot_</w:t>
    </w:r>
    <w:r w:rsidR="003042B3" w:rsidRPr="003042B3">
      <w:rPr>
        <w:sz w:val="22"/>
        <w:szCs w:val="22"/>
      </w:rPr>
      <w:t>2607</w:t>
    </w:r>
    <w:r w:rsidR="00A428F8" w:rsidRPr="003042B3">
      <w:rPr>
        <w:sz w:val="22"/>
        <w:szCs w:val="22"/>
      </w:rPr>
      <w:t>1</w:t>
    </w:r>
    <w:r w:rsidR="007D69B1" w:rsidRPr="003042B3">
      <w:rPr>
        <w:sz w:val="22"/>
        <w:szCs w:val="22"/>
      </w:rPr>
      <w:t>1</w:t>
    </w:r>
    <w:r w:rsidR="00A428F8" w:rsidRPr="003042B3">
      <w:rPr>
        <w:sz w:val="22"/>
        <w:szCs w:val="22"/>
      </w:rPr>
      <w:t>_</w:t>
    </w:r>
    <w:r w:rsidR="003159A5" w:rsidRPr="003042B3">
      <w:rPr>
        <w:sz w:val="22"/>
        <w:szCs w:val="22"/>
      </w:rPr>
      <w:t>pedsam</w:t>
    </w:r>
    <w:r w:rsidRPr="003042B3">
      <w:rPr>
        <w:sz w:val="22"/>
        <w:szCs w:val="22"/>
      </w:rPr>
      <w:t xml:space="preserve">; </w:t>
    </w:r>
    <w:r w:rsidR="003042B3" w:rsidRPr="003042B3">
      <w:rPr>
        <w:bCs/>
      </w:rPr>
      <w:t>Ministru kabineta noteikumu „Grozījums Ministru kabineta 2009.gada 28.jūlija noteikumos Nr.836 „Pedagogu darba samaksas noteikumi”” projekta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54D" w:rsidRDefault="0036654D" w:rsidP="00550FDB">
      <w:r>
        <w:separator/>
      </w:r>
    </w:p>
  </w:footnote>
  <w:footnote w:type="continuationSeparator" w:id="0">
    <w:p w:rsidR="0036654D" w:rsidRDefault="0036654D" w:rsidP="00550F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9D7" w:rsidRDefault="00735597" w:rsidP="001E3AF5">
    <w:pPr>
      <w:pStyle w:val="Header"/>
      <w:framePr w:wrap="around" w:vAnchor="text" w:hAnchor="margin" w:xAlign="center" w:y="1"/>
      <w:rPr>
        <w:rStyle w:val="PageNumber"/>
      </w:rPr>
    </w:pPr>
    <w:r>
      <w:rPr>
        <w:rStyle w:val="PageNumber"/>
      </w:rPr>
      <w:fldChar w:fldCharType="begin"/>
    </w:r>
    <w:r w:rsidR="002E39D7">
      <w:rPr>
        <w:rStyle w:val="PageNumber"/>
      </w:rPr>
      <w:instrText xml:space="preserve">PAGE  </w:instrText>
    </w:r>
    <w:r>
      <w:rPr>
        <w:rStyle w:val="PageNumber"/>
      </w:rPr>
      <w:fldChar w:fldCharType="end"/>
    </w:r>
  </w:p>
  <w:p w:rsidR="002E39D7" w:rsidRDefault="002E39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9D7" w:rsidRPr="00DB073B" w:rsidRDefault="00735597" w:rsidP="001E3AF5">
    <w:pPr>
      <w:pStyle w:val="Header"/>
      <w:framePr w:wrap="around" w:vAnchor="text" w:hAnchor="margin" w:xAlign="center" w:y="1"/>
      <w:rPr>
        <w:rStyle w:val="PageNumber"/>
        <w:sz w:val="20"/>
        <w:szCs w:val="20"/>
      </w:rPr>
    </w:pPr>
    <w:r w:rsidRPr="00DB073B">
      <w:rPr>
        <w:rStyle w:val="PageNumber"/>
        <w:sz w:val="20"/>
        <w:szCs w:val="20"/>
      </w:rPr>
      <w:fldChar w:fldCharType="begin"/>
    </w:r>
    <w:r w:rsidR="002E39D7" w:rsidRPr="00DB073B">
      <w:rPr>
        <w:rStyle w:val="PageNumber"/>
        <w:sz w:val="20"/>
        <w:szCs w:val="20"/>
      </w:rPr>
      <w:instrText xml:space="preserve">PAGE  </w:instrText>
    </w:r>
    <w:r w:rsidRPr="00DB073B">
      <w:rPr>
        <w:rStyle w:val="PageNumber"/>
        <w:sz w:val="20"/>
        <w:szCs w:val="20"/>
      </w:rPr>
      <w:fldChar w:fldCharType="separate"/>
    </w:r>
    <w:r w:rsidR="00147B0D">
      <w:rPr>
        <w:rStyle w:val="PageNumber"/>
        <w:noProof/>
        <w:sz w:val="20"/>
        <w:szCs w:val="20"/>
      </w:rPr>
      <w:t>6</w:t>
    </w:r>
    <w:r w:rsidRPr="00DB073B">
      <w:rPr>
        <w:rStyle w:val="PageNumber"/>
        <w:sz w:val="20"/>
        <w:szCs w:val="20"/>
      </w:rPr>
      <w:fldChar w:fldCharType="end"/>
    </w:r>
  </w:p>
  <w:p w:rsidR="002E39D7" w:rsidRDefault="002E39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6AFC"/>
    <w:multiLevelType w:val="hybridMultilevel"/>
    <w:tmpl w:val="1B60AA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D930159"/>
    <w:multiLevelType w:val="hybridMultilevel"/>
    <w:tmpl w:val="1B60AA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E4A2B6D"/>
    <w:multiLevelType w:val="multilevel"/>
    <w:tmpl w:val="5E2A0F76"/>
    <w:lvl w:ilvl="0">
      <w:start w:val="1"/>
      <w:numFmt w:val="decimal"/>
      <w:lvlText w:val="%1."/>
      <w:lvlJc w:val="left"/>
      <w:pPr>
        <w:ind w:left="420" w:hanging="420"/>
      </w:pPr>
      <w:rPr>
        <w:rFonts w:hint="default"/>
      </w:rPr>
    </w:lvl>
    <w:lvl w:ilvl="1">
      <w:start w:val="1"/>
      <w:numFmt w:val="decimal"/>
      <w:lvlText w:val="%1.%2."/>
      <w:lvlJc w:val="left"/>
      <w:pPr>
        <w:ind w:left="465" w:hanging="4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
    <w:nsid w:val="7CC310A7"/>
    <w:multiLevelType w:val="hybridMultilevel"/>
    <w:tmpl w:val="86E80C94"/>
    <w:lvl w:ilvl="0" w:tplc="B86E0E00">
      <w:start w:val="3"/>
      <w:numFmt w:val="bullet"/>
      <w:lvlText w:val="-"/>
      <w:lvlJc w:val="left"/>
      <w:pPr>
        <w:ind w:left="405" w:hanging="360"/>
      </w:pPr>
      <w:rPr>
        <w:rFonts w:ascii="Times New Roman" w:eastAsia="Times New Roman" w:hAnsi="Times New Roman" w:cs="Times New Roman" w:hint="default"/>
        <w:color w:val="auto"/>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CA79FB"/>
    <w:rsid w:val="000004B2"/>
    <w:rsid w:val="00002AA6"/>
    <w:rsid w:val="00004FA1"/>
    <w:rsid w:val="00017056"/>
    <w:rsid w:val="00023CF7"/>
    <w:rsid w:val="00031026"/>
    <w:rsid w:val="0003150A"/>
    <w:rsid w:val="000322F3"/>
    <w:rsid w:val="000332C6"/>
    <w:rsid w:val="00037283"/>
    <w:rsid w:val="00037FE3"/>
    <w:rsid w:val="00044A4F"/>
    <w:rsid w:val="00047FDD"/>
    <w:rsid w:val="00052539"/>
    <w:rsid w:val="00052F14"/>
    <w:rsid w:val="00053387"/>
    <w:rsid w:val="0005377C"/>
    <w:rsid w:val="00054C71"/>
    <w:rsid w:val="000556AB"/>
    <w:rsid w:val="00064613"/>
    <w:rsid w:val="00066CDE"/>
    <w:rsid w:val="00070D78"/>
    <w:rsid w:val="00077FBC"/>
    <w:rsid w:val="0008236D"/>
    <w:rsid w:val="00087DD0"/>
    <w:rsid w:val="0009206B"/>
    <w:rsid w:val="00092956"/>
    <w:rsid w:val="00093180"/>
    <w:rsid w:val="00095943"/>
    <w:rsid w:val="000C05AB"/>
    <w:rsid w:val="000C6184"/>
    <w:rsid w:val="000D00A3"/>
    <w:rsid w:val="000D6473"/>
    <w:rsid w:val="000D6EEE"/>
    <w:rsid w:val="000E46B6"/>
    <w:rsid w:val="000F2372"/>
    <w:rsid w:val="00110B63"/>
    <w:rsid w:val="001305B1"/>
    <w:rsid w:val="00142C81"/>
    <w:rsid w:val="001463BA"/>
    <w:rsid w:val="00147B0D"/>
    <w:rsid w:val="0015153C"/>
    <w:rsid w:val="00156C24"/>
    <w:rsid w:val="00157B9C"/>
    <w:rsid w:val="0016280B"/>
    <w:rsid w:val="00173A91"/>
    <w:rsid w:val="00176E07"/>
    <w:rsid w:val="00190620"/>
    <w:rsid w:val="00192609"/>
    <w:rsid w:val="00195FD2"/>
    <w:rsid w:val="001A5A29"/>
    <w:rsid w:val="001B0D40"/>
    <w:rsid w:val="001B241B"/>
    <w:rsid w:val="001B3FB6"/>
    <w:rsid w:val="001C37CF"/>
    <w:rsid w:val="001C7530"/>
    <w:rsid w:val="001D00A9"/>
    <w:rsid w:val="001D5209"/>
    <w:rsid w:val="001D7C3F"/>
    <w:rsid w:val="001E3AF5"/>
    <w:rsid w:val="001E5B4C"/>
    <w:rsid w:val="001F209E"/>
    <w:rsid w:val="001F5329"/>
    <w:rsid w:val="001F7548"/>
    <w:rsid w:val="00204FA4"/>
    <w:rsid w:val="002112F2"/>
    <w:rsid w:val="00211433"/>
    <w:rsid w:val="00255D21"/>
    <w:rsid w:val="00271523"/>
    <w:rsid w:val="0027518A"/>
    <w:rsid w:val="00275C7F"/>
    <w:rsid w:val="00290325"/>
    <w:rsid w:val="002942D6"/>
    <w:rsid w:val="0029720A"/>
    <w:rsid w:val="002A0391"/>
    <w:rsid w:val="002A3A64"/>
    <w:rsid w:val="002B1FA6"/>
    <w:rsid w:val="002B2ED8"/>
    <w:rsid w:val="002C12C0"/>
    <w:rsid w:val="002C2291"/>
    <w:rsid w:val="002C359A"/>
    <w:rsid w:val="002D1253"/>
    <w:rsid w:val="002D4AAC"/>
    <w:rsid w:val="002D593E"/>
    <w:rsid w:val="002E201C"/>
    <w:rsid w:val="002E39D7"/>
    <w:rsid w:val="002E4C5F"/>
    <w:rsid w:val="002F15A0"/>
    <w:rsid w:val="002F1E1C"/>
    <w:rsid w:val="002F755C"/>
    <w:rsid w:val="00301B87"/>
    <w:rsid w:val="00303CAA"/>
    <w:rsid w:val="003042B3"/>
    <w:rsid w:val="0030795B"/>
    <w:rsid w:val="00310792"/>
    <w:rsid w:val="00313250"/>
    <w:rsid w:val="003159A5"/>
    <w:rsid w:val="00317810"/>
    <w:rsid w:val="00321DAD"/>
    <w:rsid w:val="0032715D"/>
    <w:rsid w:val="003279AF"/>
    <w:rsid w:val="00330A21"/>
    <w:rsid w:val="003563C9"/>
    <w:rsid w:val="0036654D"/>
    <w:rsid w:val="003666D1"/>
    <w:rsid w:val="00374EE0"/>
    <w:rsid w:val="00375ACE"/>
    <w:rsid w:val="00376E92"/>
    <w:rsid w:val="003869B4"/>
    <w:rsid w:val="003A4338"/>
    <w:rsid w:val="003A48DE"/>
    <w:rsid w:val="003B454A"/>
    <w:rsid w:val="003B7748"/>
    <w:rsid w:val="003C52AE"/>
    <w:rsid w:val="003D1BB3"/>
    <w:rsid w:val="003D2E15"/>
    <w:rsid w:val="00402568"/>
    <w:rsid w:val="004157B1"/>
    <w:rsid w:val="004166E1"/>
    <w:rsid w:val="004222BF"/>
    <w:rsid w:val="00422780"/>
    <w:rsid w:val="00432E50"/>
    <w:rsid w:val="00447013"/>
    <w:rsid w:val="0044740C"/>
    <w:rsid w:val="00462E0E"/>
    <w:rsid w:val="00464493"/>
    <w:rsid w:val="00464CFA"/>
    <w:rsid w:val="0046733C"/>
    <w:rsid w:val="00473620"/>
    <w:rsid w:val="00475596"/>
    <w:rsid w:val="00476CF0"/>
    <w:rsid w:val="004809E4"/>
    <w:rsid w:val="00495853"/>
    <w:rsid w:val="004A0CEF"/>
    <w:rsid w:val="004B29AB"/>
    <w:rsid w:val="004B3CCF"/>
    <w:rsid w:val="004C5A3C"/>
    <w:rsid w:val="004D058F"/>
    <w:rsid w:val="004D1035"/>
    <w:rsid w:val="004D4B35"/>
    <w:rsid w:val="00505361"/>
    <w:rsid w:val="0051629C"/>
    <w:rsid w:val="00521236"/>
    <w:rsid w:val="00522C07"/>
    <w:rsid w:val="00526E21"/>
    <w:rsid w:val="00530AE2"/>
    <w:rsid w:val="005317FA"/>
    <w:rsid w:val="00535374"/>
    <w:rsid w:val="00542ED6"/>
    <w:rsid w:val="00544417"/>
    <w:rsid w:val="00547427"/>
    <w:rsid w:val="00550FDB"/>
    <w:rsid w:val="00553AD9"/>
    <w:rsid w:val="005566D9"/>
    <w:rsid w:val="00560D10"/>
    <w:rsid w:val="00562262"/>
    <w:rsid w:val="005653C3"/>
    <w:rsid w:val="00583A36"/>
    <w:rsid w:val="005A1D8C"/>
    <w:rsid w:val="005A5162"/>
    <w:rsid w:val="005A55CA"/>
    <w:rsid w:val="005B17B7"/>
    <w:rsid w:val="005B7EAD"/>
    <w:rsid w:val="005C2F6B"/>
    <w:rsid w:val="005D1603"/>
    <w:rsid w:val="005F08E9"/>
    <w:rsid w:val="005F5BE9"/>
    <w:rsid w:val="005F789B"/>
    <w:rsid w:val="00602A83"/>
    <w:rsid w:val="00603F9A"/>
    <w:rsid w:val="00604654"/>
    <w:rsid w:val="00613D4A"/>
    <w:rsid w:val="006141C6"/>
    <w:rsid w:val="00627677"/>
    <w:rsid w:val="006346F7"/>
    <w:rsid w:val="00636586"/>
    <w:rsid w:val="00642F2E"/>
    <w:rsid w:val="00651987"/>
    <w:rsid w:val="00652580"/>
    <w:rsid w:val="00654BFA"/>
    <w:rsid w:val="0065572A"/>
    <w:rsid w:val="0066354B"/>
    <w:rsid w:val="00671161"/>
    <w:rsid w:val="006751C3"/>
    <w:rsid w:val="00677FF6"/>
    <w:rsid w:val="00681382"/>
    <w:rsid w:val="006836B0"/>
    <w:rsid w:val="00687615"/>
    <w:rsid w:val="00695A0C"/>
    <w:rsid w:val="006A0EF7"/>
    <w:rsid w:val="006A486A"/>
    <w:rsid w:val="006A4DCF"/>
    <w:rsid w:val="006A693C"/>
    <w:rsid w:val="006A73FE"/>
    <w:rsid w:val="006B1AEC"/>
    <w:rsid w:val="006B7DAA"/>
    <w:rsid w:val="006C26D3"/>
    <w:rsid w:val="006C4A9C"/>
    <w:rsid w:val="006C5833"/>
    <w:rsid w:val="006C696C"/>
    <w:rsid w:val="006D3BB9"/>
    <w:rsid w:val="006E00F0"/>
    <w:rsid w:val="006E5271"/>
    <w:rsid w:val="006E7E2C"/>
    <w:rsid w:val="006F2811"/>
    <w:rsid w:val="006F4FAC"/>
    <w:rsid w:val="00700C6C"/>
    <w:rsid w:val="007050F0"/>
    <w:rsid w:val="00705C63"/>
    <w:rsid w:val="0070778F"/>
    <w:rsid w:val="007120B4"/>
    <w:rsid w:val="00722703"/>
    <w:rsid w:val="00735597"/>
    <w:rsid w:val="00736D0F"/>
    <w:rsid w:val="007437BC"/>
    <w:rsid w:val="00757A77"/>
    <w:rsid w:val="00763D61"/>
    <w:rsid w:val="00765ADC"/>
    <w:rsid w:val="007667F4"/>
    <w:rsid w:val="00770631"/>
    <w:rsid w:val="00782871"/>
    <w:rsid w:val="007836EB"/>
    <w:rsid w:val="00784B43"/>
    <w:rsid w:val="0079164A"/>
    <w:rsid w:val="007A4CB5"/>
    <w:rsid w:val="007A6F89"/>
    <w:rsid w:val="007B0C95"/>
    <w:rsid w:val="007B3F05"/>
    <w:rsid w:val="007C710C"/>
    <w:rsid w:val="007D69B1"/>
    <w:rsid w:val="007D7430"/>
    <w:rsid w:val="007E4001"/>
    <w:rsid w:val="007E4B1E"/>
    <w:rsid w:val="007F0DFE"/>
    <w:rsid w:val="00800A7A"/>
    <w:rsid w:val="00805E8D"/>
    <w:rsid w:val="00831453"/>
    <w:rsid w:val="0084583A"/>
    <w:rsid w:val="008475D2"/>
    <w:rsid w:val="0085428D"/>
    <w:rsid w:val="008607D7"/>
    <w:rsid w:val="00863857"/>
    <w:rsid w:val="00863994"/>
    <w:rsid w:val="00867BE8"/>
    <w:rsid w:val="00870287"/>
    <w:rsid w:val="00881836"/>
    <w:rsid w:val="008856B7"/>
    <w:rsid w:val="0088667A"/>
    <w:rsid w:val="0088671B"/>
    <w:rsid w:val="008900B7"/>
    <w:rsid w:val="0089043D"/>
    <w:rsid w:val="008C3E9A"/>
    <w:rsid w:val="008C7513"/>
    <w:rsid w:val="008D1B97"/>
    <w:rsid w:val="008D1F72"/>
    <w:rsid w:val="008D25BD"/>
    <w:rsid w:val="008D2AEF"/>
    <w:rsid w:val="008E0192"/>
    <w:rsid w:val="008E3553"/>
    <w:rsid w:val="008E4170"/>
    <w:rsid w:val="008E426A"/>
    <w:rsid w:val="008E4532"/>
    <w:rsid w:val="008F483A"/>
    <w:rsid w:val="008F5E0A"/>
    <w:rsid w:val="008F7D36"/>
    <w:rsid w:val="00902608"/>
    <w:rsid w:val="00902729"/>
    <w:rsid w:val="00907F03"/>
    <w:rsid w:val="009123DF"/>
    <w:rsid w:val="0091684B"/>
    <w:rsid w:val="00924823"/>
    <w:rsid w:val="00927082"/>
    <w:rsid w:val="00937C67"/>
    <w:rsid w:val="00941900"/>
    <w:rsid w:val="00950D01"/>
    <w:rsid w:val="009510F8"/>
    <w:rsid w:val="009653DE"/>
    <w:rsid w:val="00980C0F"/>
    <w:rsid w:val="00982DEA"/>
    <w:rsid w:val="009975F4"/>
    <w:rsid w:val="009A5CAD"/>
    <w:rsid w:val="009A5CDF"/>
    <w:rsid w:val="009A6ECE"/>
    <w:rsid w:val="009A6FA3"/>
    <w:rsid w:val="009B37F6"/>
    <w:rsid w:val="009B590E"/>
    <w:rsid w:val="009D1FEA"/>
    <w:rsid w:val="009D5082"/>
    <w:rsid w:val="009F1CE4"/>
    <w:rsid w:val="009F24E3"/>
    <w:rsid w:val="009F2819"/>
    <w:rsid w:val="009F6C69"/>
    <w:rsid w:val="00A0399F"/>
    <w:rsid w:val="00A10AAF"/>
    <w:rsid w:val="00A13588"/>
    <w:rsid w:val="00A13DBB"/>
    <w:rsid w:val="00A146CC"/>
    <w:rsid w:val="00A14BDE"/>
    <w:rsid w:val="00A22B72"/>
    <w:rsid w:val="00A25B95"/>
    <w:rsid w:val="00A41908"/>
    <w:rsid w:val="00A428F8"/>
    <w:rsid w:val="00A42F73"/>
    <w:rsid w:val="00A449F3"/>
    <w:rsid w:val="00A46BA8"/>
    <w:rsid w:val="00A47B4A"/>
    <w:rsid w:val="00A57C47"/>
    <w:rsid w:val="00A67293"/>
    <w:rsid w:val="00A7200D"/>
    <w:rsid w:val="00A7492C"/>
    <w:rsid w:val="00A819F6"/>
    <w:rsid w:val="00A8599A"/>
    <w:rsid w:val="00A9216C"/>
    <w:rsid w:val="00AA24C3"/>
    <w:rsid w:val="00AB3AC0"/>
    <w:rsid w:val="00AC2DD0"/>
    <w:rsid w:val="00AD2EAF"/>
    <w:rsid w:val="00AD744B"/>
    <w:rsid w:val="00AD7FE9"/>
    <w:rsid w:val="00AF11B5"/>
    <w:rsid w:val="00AF3D27"/>
    <w:rsid w:val="00AF42A9"/>
    <w:rsid w:val="00AF733E"/>
    <w:rsid w:val="00B0471F"/>
    <w:rsid w:val="00B04B26"/>
    <w:rsid w:val="00B1126B"/>
    <w:rsid w:val="00B14BF1"/>
    <w:rsid w:val="00B24F6A"/>
    <w:rsid w:val="00B34740"/>
    <w:rsid w:val="00B35FEB"/>
    <w:rsid w:val="00B41D66"/>
    <w:rsid w:val="00B47A6F"/>
    <w:rsid w:val="00B5268F"/>
    <w:rsid w:val="00B5570C"/>
    <w:rsid w:val="00B61E66"/>
    <w:rsid w:val="00B65D65"/>
    <w:rsid w:val="00B675AC"/>
    <w:rsid w:val="00B75A83"/>
    <w:rsid w:val="00B76FA4"/>
    <w:rsid w:val="00B819A7"/>
    <w:rsid w:val="00B93843"/>
    <w:rsid w:val="00B978EA"/>
    <w:rsid w:val="00B97916"/>
    <w:rsid w:val="00BA2088"/>
    <w:rsid w:val="00BA42F2"/>
    <w:rsid w:val="00BC0847"/>
    <w:rsid w:val="00BE4F5B"/>
    <w:rsid w:val="00BF22FA"/>
    <w:rsid w:val="00BF2D50"/>
    <w:rsid w:val="00C02331"/>
    <w:rsid w:val="00C04D95"/>
    <w:rsid w:val="00C07BF3"/>
    <w:rsid w:val="00C1392C"/>
    <w:rsid w:val="00C14E81"/>
    <w:rsid w:val="00C21844"/>
    <w:rsid w:val="00C22AA5"/>
    <w:rsid w:val="00C239A3"/>
    <w:rsid w:val="00C245ED"/>
    <w:rsid w:val="00C3205C"/>
    <w:rsid w:val="00C363EA"/>
    <w:rsid w:val="00C407D5"/>
    <w:rsid w:val="00C40E6C"/>
    <w:rsid w:val="00C4323C"/>
    <w:rsid w:val="00C45557"/>
    <w:rsid w:val="00C475F6"/>
    <w:rsid w:val="00C5145C"/>
    <w:rsid w:val="00C52590"/>
    <w:rsid w:val="00C55850"/>
    <w:rsid w:val="00C62B3F"/>
    <w:rsid w:val="00C7368C"/>
    <w:rsid w:val="00C868E1"/>
    <w:rsid w:val="00C876AB"/>
    <w:rsid w:val="00C92C3B"/>
    <w:rsid w:val="00CA34EC"/>
    <w:rsid w:val="00CA4EF3"/>
    <w:rsid w:val="00CA79FB"/>
    <w:rsid w:val="00CB3303"/>
    <w:rsid w:val="00CB567E"/>
    <w:rsid w:val="00CC053F"/>
    <w:rsid w:val="00CC284F"/>
    <w:rsid w:val="00CC639B"/>
    <w:rsid w:val="00CE4039"/>
    <w:rsid w:val="00D00B3C"/>
    <w:rsid w:val="00D03385"/>
    <w:rsid w:val="00D11474"/>
    <w:rsid w:val="00D146E9"/>
    <w:rsid w:val="00D24909"/>
    <w:rsid w:val="00D26A72"/>
    <w:rsid w:val="00D2761B"/>
    <w:rsid w:val="00D27C4D"/>
    <w:rsid w:val="00D35052"/>
    <w:rsid w:val="00D4394A"/>
    <w:rsid w:val="00D52502"/>
    <w:rsid w:val="00D538C2"/>
    <w:rsid w:val="00D53987"/>
    <w:rsid w:val="00D5677A"/>
    <w:rsid w:val="00D8015C"/>
    <w:rsid w:val="00D8528D"/>
    <w:rsid w:val="00D8696C"/>
    <w:rsid w:val="00DA6C0F"/>
    <w:rsid w:val="00DB3FCF"/>
    <w:rsid w:val="00DB7230"/>
    <w:rsid w:val="00DC1919"/>
    <w:rsid w:val="00DC2ADD"/>
    <w:rsid w:val="00DC623A"/>
    <w:rsid w:val="00DD179D"/>
    <w:rsid w:val="00E01E9B"/>
    <w:rsid w:val="00E01F6B"/>
    <w:rsid w:val="00E026E6"/>
    <w:rsid w:val="00E22942"/>
    <w:rsid w:val="00E26B2C"/>
    <w:rsid w:val="00E26CD1"/>
    <w:rsid w:val="00E302B3"/>
    <w:rsid w:val="00E41D3D"/>
    <w:rsid w:val="00E45858"/>
    <w:rsid w:val="00E5304D"/>
    <w:rsid w:val="00E55D84"/>
    <w:rsid w:val="00E60026"/>
    <w:rsid w:val="00E603FF"/>
    <w:rsid w:val="00E60C7C"/>
    <w:rsid w:val="00E67D8D"/>
    <w:rsid w:val="00E73DA8"/>
    <w:rsid w:val="00E75143"/>
    <w:rsid w:val="00E83C86"/>
    <w:rsid w:val="00E92E68"/>
    <w:rsid w:val="00E95F73"/>
    <w:rsid w:val="00EA4BC8"/>
    <w:rsid w:val="00EB080F"/>
    <w:rsid w:val="00EB781A"/>
    <w:rsid w:val="00EC01E3"/>
    <w:rsid w:val="00EC04DA"/>
    <w:rsid w:val="00EC3C68"/>
    <w:rsid w:val="00EC4809"/>
    <w:rsid w:val="00EC6305"/>
    <w:rsid w:val="00ED2FDC"/>
    <w:rsid w:val="00ED5749"/>
    <w:rsid w:val="00ED5EFD"/>
    <w:rsid w:val="00EE059B"/>
    <w:rsid w:val="00EE2F8C"/>
    <w:rsid w:val="00EF471B"/>
    <w:rsid w:val="00EF4FBF"/>
    <w:rsid w:val="00F05E7D"/>
    <w:rsid w:val="00F2297D"/>
    <w:rsid w:val="00F30C02"/>
    <w:rsid w:val="00F3340A"/>
    <w:rsid w:val="00F376A2"/>
    <w:rsid w:val="00F37A5B"/>
    <w:rsid w:val="00F41C33"/>
    <w:rsid w:val="00F42E72"/>
    <w:rsid w:val="00F4362B"/>
    <w:rsid w:val="00F47A65"/>
    <w:rsid w:val="00F50B39"/>
    <w:rsid w:val="00F52EA7"/>
    <w:rsid w:val="00F547C5"/>
    <w:rsid w:val="00F63D62"/>
    <w:rsid w:val="00F744D4"/>
    <w:rsid w:val="00F81DC6"/>
    <w:rsid w:val="00F87406"/>
    <w:rsid w:val="00F90422"/>
    <w:rsid w:val="00F967CF"/>
    <w:rsid w:val="00FA378A"/>
    <w:rsid w:val="00FB50BC"/>
    <w:rsid w:val="00FB77D0"/>
    <w:rsid w:val="00FC116F"/>
    <w:rsid w:val="00FC6C28"/>
    <w:rsid w:val="00FC7126"/>
    <w:rsid w:val="00FD0389"/>
    <w:rsid w:val="00FD1967"/>
    <w:rsid w:val="00FD676D"/>
    <w:rsid w:val="00FE1B78"/>
    <w:rsid w:val="00FE6E4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v-LV" w:eastAsia="en-US" w:bidi="ar-SA"/>
      </w:rPr>
    </w:rPrDefault>
    <w:pPrDefault>
      <w:pPr>
        <w:spacing w:before="75" w:after="7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9FB"/>
    <w:pPr>
      <w:jc w:val="left"/>
    </w:pPr>
    <w:rPr>
      <w:rFonts w:eastAsia="Times New Roman" w:cs="Times New Roman"/>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79FB"/>
    <w:pPr>
      <w:tabs>
        <w:tab w:val="center" w:pos="4153"/>
        <w:tab w:val="right" w:pos="8306"/>
      </w:tabs>
    </w:pPr>
  </w:style>
  <w:style w:type="character" w:customStyle="1" w:styleId="HeaderChar">
    <w:name w:val="Header Char"/>
    <w:basedOn w:val="DefaultParagraphFont"/>
    <w:link w:val="Header"/>
    <w:rsid w:val="00CA79FB"/>
    <w:rPr>
      <w:rFonts w:eastAsia="Times New Roman" w:cs="Times New Roman"/>
      <w:szCs w:val="24"/>
      <w:lang w:eastAsia="lv-LV"/>
    </w:rPr>
  </w:style>
  <w:style w:type="character" w:styleId="PageNumber">
    <w:name w:val="page number"/>
    <w:basedOn w:val="DefaultParagraphFont"/>
    <w:rsid w:val="00CA79FB"/>
  </w:style>
  <w:style w:type="paragraph" w:customStyle="1" w:styleId="naisf">
    <w:name w:val="naisf"/>
    <w:basedOn w:val="Normal"/>
    <w:rsid w:val="00CA79FB"/>
    <w:pPr>
      <w:ind w:firstLine="375"/>
      <w:jc w:val="both"/>
    </w:pPr>
  </w:style>
  <w:style w:type="paragraph" w:customStyle="1" w:styleId="naisnod">
    <w:name w:val="naisnod"/>
    <w:basedOn w:val="Normal"/>
    <w:uiPriority w:val="99"/>
    <w:rsid w:val="00CA79FB"/>
    <w:pPr>
      <w:spacing w:before="150" w:after="150"/>
      <w:jc w:val="center"/>
    </w:pPr>
    <w:rPr>
      <w:b/>
      <w:bCs/>
    </w:rPr>
  </w:style>
  <w:style w:type="paragraph" w:customStyle="1" w:styleId="naislab">
    <w:name w:val="naislab"/>
    <w:basedOn w:val="Normal"/>
    <w:rsid w:val="00CA79FB"/>
    <w:pPr>
      <w:jc w:val="right"/>
    </w:pPr>
  </w:style>
  <w:style w:type="paragraph" w:customStyle="1" w:styleId="naiskr">
    <w:name w:val="naiskr"/>
    <w:basedOn w:val="Normal"/>
    <w:rsid w:val="00CA79FB"/>
  </w:style>
  <w:style w:type="paragraph" w:styleId="FootnoteText">
    <w:name w:val="footnote text"/>
    <w:basedOn w:val="Normal"/>
    <w:link w:val="FootnoteTextChar"/>
    <w:semiHidden/>
    <w:rsid w:val="00CA79FB"/>
    <w:rPr>
      <w:sz w:val="20"/>
      <w:szCs w:val="20"/>
    </w:rPr>
  </w:style>
  <w:style w:type="character" w:customStyle="1" w:styleId="FootnoteTextChar">
    <w:name w:val="Footnote Text Char"/>
    <w:basedOn w:val="DefaultParagraphFont"/>
    <w:link w:val="FootnoteText"/>
    <w:semiHidden/>
    <w:rsid w:val="00CA79FB"/>
    <w:rPr>
      <w:rFonts w:eastAsia="Times New Roman" w:cs="Times New Roman"/>
      <w:sz w:val="20"/>
      <w:szCs w:val="20"/>
      <w:lang w:eastAsia="lv-LV"/>
    </w:rPr>
  </w:style>
  <w:style w:type="paragraph" w:styleId="Footer">
    <w:name w:val="footer"/>
    <w:basedOn w:val="Normal"/>
    <w:link w:val="FooterChar"/>
    <w:rsid w:val="00CA79FB"/>
    <w:pPr>
      <w:tabs>
        <w:tab w:val="center" w:pos="4153"/>
        <w:tab w:val="right" w:pos="8306"/>
      </w:tabs>
    </w:pPr>
  </w:style>
  <w:style w:type="character" w:customStyle="1" w:styleId="FooterChar">
    <w:name w:val="Footer Char"/>
    <w:basedOn w:val="DefaultParagraphFont"/>
    <w:link w:val="Footer"/>
    <w:rsid w:val="00CA79FB"/>
    <w:rPr>
      <w:rFonts w:eastAsia="Times New Roman" w:cs="Times New Roman"/>
      <w:szCs w:val="24"/>
      <w:lang w:eastAsia="lv-LV"/>
    </w:rPr>
  </w:style>
  <w:style w:type="character" w:styleId="Hyperlink">
    <w:name w:val="Hyperlink"/>
    <w:basedOn w:val="DefaultParagraphFont"/>
    <w:rsid w:val="00CA79FB"/>
    <w:rPr>
      <w:color w:val="0000FF"/>
      <w:u w:val="single"/>
    </w:rPr>
  </w:style>
  <w:style w:type="paragraph" w:styleId="BalloonText">
    <w:name w:val="Balloon Text"/>
    <w:basedOn w:val="Normal"/>
    <w:link w:val="BalloonTextChar"/>
    <w:uiPriority w:val="99"/>
    <w:semiHidden/>
    <w:unhideWhenUsed/>
    <w:rsid w:val="00CA79FB"/>
    <w:rPr>
      <w:rFonts w:ascii="Tahoma" w:hAnsi="Tahoma" w:cs="Tahoma"/>
      <w:sz w:val="16"/>
      <w:szCs w:val="16"/>
    </w:rPr>
  </w:style>
  <w:style w:type="character" w:customStyle="1" w:styleId="BalloonTextChar">
    <w:name w:val="Balloon Text Char"/>
    <w:basedOn w:val="DefaultParagraphFont"/>
    <w:link w:val="BalloonText"/>
    <w:uiPriority w:val="99"/>
    <w:semiHidden/>
    <w:rsid w:val="00CA79FB"/>
    <w:rPr>
      <w:rFonts w:ascii="Tahoma" w:eastAsia="Times New Roman" w:hAnsi="Tahoma" w:cs="Tahoma"/>
      <w:sz w:val="16"/>
      <w:szCs w:val="16"/>
      <w:lang w:eastAsia="lv-LV"/>
    </w:rPr>
  </w:style>
  <w:style w:type="paragraph" w:styleId="Subtitle">
    <w:name w:val="Subtitle"/>
    <w:basedOn w:val="Normal"/>
    <w:link w:val="SubtitleChar"/>
    <w:qFormat/>
    <w:rsid w:val="00CA79FB"/>
    <w:pPr>
      <w:jc w:val="center"/>
    </w:pPr>
    <w:rPr>
      <w:b/>
      <w:bCs/>
      <w:sz w:val="28"/>
      <w:szCs w:val="28"/>
      <w:lang w:eastAsia="en-US"/>
    </w:rPr>
  </w:style>
  <w:style w:type="character" w:customStyle="1" w:styleId="SubtitleChar">
    <w:name w:val="Subtitle Char"/>
    <w:basedOn w:val="DefaultParagraphFont"/>
    <w:link w:val="Subtitle"/>
    <w:rsid w:val="00CA79FB"/>
    <w:rPr>
      <w:rFonts w:eastAsia="Times New Roman" w:cs="Times New Roman"/>
      <w:b/>
      <w:bCs/>
      <w:sz w:val="28"/>
      <w:szCs w:val="28"/>
    </w:rPr>
  </w:style>
  <w:style w:type="paragraph" w:customStyle="1" w:styleId="MKNormal">
    <w:name w:val="MKNormal"/>
    <w:basedOn w:val="Normal"/>
    <w:link w:val="MKNormalChar"/>
    <w:autoRedefine/>
    <w:rsid w:val="00FE6E4C"/>
    <w:pPr>
      <w:framePr w:hSpace="180" w:wrap="around" w:vAnchor="text" w:hAnchor="margin" w:xAlign="center" w:y="149"/>
      <w:ind w:firstLine="720"/>
      <w:jc w:val="both"/>
    </w:pPr>
  </w:style>
  <w:style w:type="character" w:customStyle="1" w:styleId="MKNormalChar">
    <w:name w:val="MKNormal Char"/>
    <w:basedOn w:val="DefaultParagraphFont"/>
    <w:link w:val="MKNormal"/>
    <w:rsid w:val="00FE6E4C"/>
    <w:rPr>
      <w:rFonts w:eastAsia="Times New Roman" w:cs="Times New Roman"/>
      <w:szCs w:val="24"/>
      <w:lang w:eastAsia="lv-LV"/>
    </w:rPr>
  </w:style>
  <w:style w:type="character" w:styleId="Strong">
    <w:name w:val="Strong"/>
    <w:basedOn w:val="DefaultParagraphFont"/>
    <w:uiPriority w:val="22"/>
    <w:qFormat/>
    <w:rsid w:val="006B1AEC"/>
    <w:rPr>
      <w:b/>
      <w:bCs/>
    </w:rPr>
  </w:style>
  <w:style w:type="paragraph" w:styleId="DocumentMap">
    <w:name w:val="Document Map"/>
    <w:basedOn w:val="Normal"/>
    <w:link w:val="DocumentMapChar"/>
    <w:uiPriority w:val="99"/>
    <w:semiHidden/>
    <w:unhideWhenUsed/>
    <w:rsid w:val="003A4338"/>
    <w:rPr>
      <w:rFonts w:ascii="Tahoma" w:hAnsi="Tahoma" w:cs="Tahoma"/>
      <w:sz w:val="16"/>
      <w:szCs w:val="16"/>
    </w:rPr>
  </w:style>
  <w:style w:type="character" w:customStyle="1" w:styleId="DocumentMapChar">
    <w:name w:val="Document Map Char"/>
    <w:basedOn w:val="DefaultParagraphFont"/>
    <w:link w:val="DocumentMap"/>
    <w:uiPriority w:val="99"/>
    <w:semiHidden/>
    <w:rsid w:val="003A4338"/>
    <w:rPr>
      <w:rFonts w:ascii="Tahoma" w:eastAsia="Times New Roman" w:hAnsi="Tahoma" w:cs="Tahoma"/>
      <w:sz w:val="16"/>
      <w:szCs w:val="16"/>
      <w:lang w:eastAsia="lv-LV"/>
    </w:rPr>
  </w:style>
  <w:style w:type="paragraph" w:customStyle="1" w:styleId="Pamatteksts21">
    <w:name w:val="Pamatteksts 21"/>
    <w:basedOn w:val="Normal"/>
    <w:rsid w:val="00303CAA"/>
    <w:pPr>
      <w:suppressAutoHyphens/>
      <w:spacing w:before="0" w:after="0"/>
      <w:jc w:val="both"/>
    </w:pPr>
    <w:rPr>
      <w:sz w:val="20"/>
      <w:szCs w:val="20"/>
      <w:lang w:eastAsia="ar-SA"/>
    </w:rPr>
  </w:style>
  <w:style w:type="paragraph" w:styleId="NormalWeb">
    <w:name w:val="Normal (Web)"/>
    <w:basedOn w:val="Normal"/>
    <w:uiPriority w:val="99"/>
    <w:semiHidden/>
    <w:unhideWhenUsed/>
    <w:rsid w:val="006C4A9C"/>
  </w:style>
  <w:style w:type="paragraph" w:styleId="ListParagraph">
    <w:name w:val="List Paragraph"/>
    <w:basedOn w:val="Normal"/>
    <w:uiPriority w:val="34"/>
    <w:qFormat/>
    <w:rsid w:val="00F547C5"/>
    <w:pPr>
      <w:ind w:left="720"/>
      <w:contextualSpacing/>
    </w:pPr>
  </w:style>
  <w:style w:type="character" w:styleId="CommentReference">
    <w:name w:val="annotation reference"/>
    <w:basedOn w:val="DefaultParagraphFont"/>
    <w:uiPriority w:val="99"/>
    <w:semiHidden/>
    <w:unhideWhenUsed/>
    <w:rsid w:val="00B675AC"/>
    <w:rPr>
      <w:sz w:val="16"/>
      <w:szCs w:val="16"/>
    </w:rPr>
  </w:style>
  <w:style w:type="paragraph" w:styleId="CommentText">
    <w:name w:val="annotation text"/>
    <w:basedOn w:val="Normal"/>
    <w:link w:val="CommentTextChar"/>
    <w:uiPriority w:val="99"/>
    <w:semiHidden/>
    <w:unhideWhenUsed/>
    <w:rsid w:val="00B675AC"/>
    <w:rPr>
      <w:sz w:val="20"/>
      <w:szCs w:val="20"/>
    </w:rPr>
  </w:style>
  <w:style w:type="character" w:customStyle="1" w:styleId="CommentTextChar">
    <w:name w:val="Comment Text Char"/>
    <w:basedOn w:val="DefaultParagraphFont"/>
    <w:link w:val="CommentText"/>
    <w:uiPriority w:val="99"/>
    <w:semiHidden/>
    <w:rsid w:val="00B675AC"/>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675AC"/>
    <w:rPr>
      <w:b/>
      <w:bCs/>
    </w:rPr>
  </w:style>
  <w:style w:type="character" w:customStyle="1" w:styleId="CommentSubjectChar">
    <w:name w:val="Comment Subject Char"/>
    <w:basedOn w:val="CommentTextChar"/>
    <w:link w:val="CommentSubject"/>
    <w:uiPriority w:val="99"/>
    <w:semiHidden/>
    <w:rsid w:val="00B675A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lise.koleda@iz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6</Pages>
  <Words>5970</Words>
  <Characters>3403</Characters>
  <Application>Microsoft Office Word</Application>
  <DocSecurity>0</DocSecurity>
  <Lines>28</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vt:lpstr>
      <vt:lpstr>Ministru kabineta noteikumu projekts</vt:lpstr>
    </vt:vector>
  </TitlesOfParts>
  <Company>Tieslietu Ministrija</Company>
  <LinksUpToDate>false</LinksUpToDate>
  <CharactersWithSpaces>9355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dc:title>
  <dc:subject>Ministru kabineta noteikumu „Grozījums Ministru kabineta 2009.gada 28.jūlija noteikumos Nr.836 „Pedagogu darba samaksas noteikumi” ” projekta sākotnējās ietekmes novērtējuma ziņojums (anotācija) </dc:subject>
  <dc:creator>Alise Koleda</dc:creator>
  <cp:keywords/>
  <dc:description>alise.koleda@izm.gov.lv; tālr.67047841</dc:description>
  <cp:lastModifiedBy>akoleda</cp:lastModifiedBy>
  <cp:revision>24</cp:revision>
  <cp:lastPrinted>2011-06-28T05:30:00Z</cp:lastPrinted>
  <dcterms:created xsi:type="dcterms:W3CDTF">2011-06-29T06:17:00Z</dcterms:created>
  <dcterms:modified xsi:type="dcterms:W3CDTF">2011-07-29T08:21:00Z</dcterms:modified>
  <cp:contentStatus>IZM</cp:contentStatus>
</cp:coreProperties>
</file>