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C" w:rsidRPr="00AF581D" w:rsidRDefault="00751F8C" w:rsidP="00751F8C">
      <w:pPr>
        <w:pStyle w:val="naislab"/>
        <w:spacing w:before="0" w:after="0"/>
        <w:jc w:val="center"/>
        <w:rPr>
          <w:b/>
        </w:rPr>
      </w:pPr>
      <w:bookmarkStart w:id="0" w:name="OLE_LINK1"/>
      <w:bookmarkStart w:id="1" w:name="OLE_LINK2"/>
      <w:r w:rsidRPr="00AF581D">
        <w:rPr>
          <w:b/>
        </w:rPr>
        <w:t>Ministru kabineta noteikumu projekta</w:t>
      </w:r>
    </w:p>
    <w:p w:rsidR="00751F8C" w:rsidRDefault="00751F8C" w:rsidP="00751F8C">
      <w:pPr>
        <w:jc w:val="center"/>
        <w:rPr>
          <w:b/>
          <w:bCs/>
        </w:rPr>
      </w:pPr>
      <w:r w:rsidRPr="00AF581D">
        <w:rPr>
          <w:b/>
        </w:rPr>
        <w:t>„Grozījumi Ministru kabineta 200</w:t>
      </w:r>
      <w:r>
        <w:rPr>
          <w:b/>
        </w:rPr>
        <w:t>7</w:t>
      </w:r>
      <w:r w:rsidRPr="00AF581D">
        <w:rPr>
          <w:b/>
        </w:rPr>
        <w:t>.gada 2</w:t>
      </w:r>
      <w:r>
        <w:rPr>
          <w:b/>
        </w:rPr>
        <w:t>7.februāra</w:t>
      </w:r>
      <w:r w:rsidRPr="00AF581D">
        <w:rPr>
          <w:b/>
        </w:rPr>
        <w:t xml:space="preserve"> noteikumos Nr.</w:t>
      </w:r>
      <w:r>
        <w:rPr>
          <w:b/>
        </w:rPr>
        <w:t>147</w:t>
      </w:r>
      <w:r w:rsidRPr="00AF581D">
        <w:rPr>
          <w:b/>
        </w:rPr>
        <w:t xml:space="preserve"> „</w:t>
      </w:r>
      <w:r>
        <w:rPr>
          <w:b/>
        </w:rPr>
        <w:t>Rīgas Tehniskās koledžas nolikums</w:t>
      </w:r>
      <w:r w:rsidRPr="00AF581D">
        <w:rPr>
          <w:b/>
          <w:bCs/>
        </w:rPr>
        <w:t>””</w:t>
      </w:r>
      <w:r>
        <w:rPr>
          <w:b/>
          <w:bCs/>
        </w:rPr>
        <w:t xml:space="preserve"> </w:t>
      </w:r>
      <w:r w:rsidRPr="00AF581D">
        <w:rPr>
          <w:b/>
          <w:bCs/>
        </w:rPr>
        <w:t>sākotnējās ietekmes novērtējuma ziņojums (anotācija)</w:t>
      </w:r>
      <w:bookmarkEnd w:id="0"/>
      <w:bookmarkEnd w:id="1"/>
    </w:p>
    <w:p w:rsidR="00751F8C" w:rsidRPr="0050047E" w:rsidRDefault="00751F8C" w:rsidP="00751F8C">
      <w:pPr>
        <w:jc w:val="center"/>
        <w:rPr>
          <w:b/>
          <w:bCs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8"/>
        <w:gridCol w:w="3866"/>
        <w:gridCol w:w="283"/>
        <w:gridCol w:w="4961"/>
      </w:tblGrid>
      <w:tr w:rsidR="00751F8C" w:rsidRPr="00917D09" w:rsidTr="00592FE2">
        <w:trPr>
          <w:tblCellSpacing w:w="0" w:type="dxa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F8C" w:rsidRPr="00917D09" w:rsidRDefault="00751F8C" w:rsidP="00592FE2">
            <w:pPr>
              <w:rPr>
                <w:b/>
                <w:bCs/>
              </w:rPr>
            </w:pPr>
            <w:r w:rsidRPr="00917D09">
              <w:rPr>
                <w:b/>
                <w:bCs/>
              </w:rPr>
              <w:t> </w:t>
            </w:r>
          </w:p>
          <w:p w:rsidR="00751F8C" w:rsidRPr="0050047E" w:rsidRDefault="00751F8C" w:rsidP="00592FE2">
            <w:pPr>
              <w:jc w:val="center"/>
              <w:rPr>
                <w:b/>
                <w:bCs/>
              </w:rPr>
            </w:pPr>
            <w:r w:rsidRPr="00917D09">
              <w:rPr>
                <w:b/>
                <w:bCs/>
              </w:rPr>
              <w:t>I. Tiesību akta projekta izstrādes nepieciešamība</w:t>
            </w:r>
          </w:p>
        </w:tc>
      </w:tr>
      <w:tr w:rsidR="00751F8C" w:rsidRPr="00917D09" w:rsidTr="00592FE2">
        <w:trPr>
          <w:trHeight w:val="630"/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1.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r w:rsidRPr="00917D09">
              <w:t> Pamatojums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Default="00DA7CDE" w:rsidP="007967B5">
            <w:pPr>
              <w:ind w:left="113"/>
              <w:jc w:val="both"/>
              <w:rPr>
                <w:b/>
                <w:bCs/>
              </w:rPr>
            </w:pPr>
            <w:r w:rsidRPr="00DA7CDE">
              <w:t>Ministru kabineta noteikumu projekts „Grozījum</w:t>
            </w:r>
            <w:r>
              <w:t>i</w:t>
            </w:r>
            <w:r w:rsidRPr="00DA7CDE">
              <w:t xml:space="preserve"> Ministru kabineta 2007.gada 27.februāra noteikumos Nr.147 „Rīgas Tehniskās koledžas nolikums””</w:t>
            </w:r>
            <w:r>
              <w:t xml:space="preserve"> (turpmāk – </w:t>
            </w:r>
            <w:r w:rsidR="003E7E12">
              <w:t>noteikumu projekts</w:t>
            </w:r>
            <w:r>
              <w:t>)</w:t>
            </w:r>
            <w:r w:rsidRPr="00DA7CDE">
              <w:t xml:space="preserve"> ir izstrādāts pamatojoties uz Ministru kabineta 2011.gada 18.augusta</w:t>
            </w:r>
            <w:r w:rsidRPr="00DA7CDE">
              <w:rPr>
                <w:b/>
                <w:bCs/>
              </w:rPr>
              <w:t xml:space="preserve"> </w:t>
            </w:r>
            <w:r>
              <w:rPr>
                <w:bCs/>
              </w:rPr>
              <w:t>rīkojuma</w:t>
            </w:r>
            <w:r w:rsidRPr="00DA7CDE">
              <w:rPr>
                <w:bCs/>
              </w:rPr>
              <w:t xml:space="preserve"> Nr.389</w:t>
            </w:r>
            <w:r w:rsidRPr="00DA7CDE">
              <w:t xml:space="preserve"> </w:t>
            </w:r>
            <w:r>
              <w:t>„</w:t>
            </w:r>
            <w:r w:rsidRPr="00DA7CDE">
              <w:t>Par profesionālās izglītības kompetences centra statusa piešķiršanu Rīgas Tehniskajai koledžai</w:t>
            </w:r>
            <w:r>
              <w:t xml:space="preserve">” </w:t>
            </w:r>
            <w:r w:rsidR="00D1401A">
              <w:t xml:space="preserve">  </w:t>
            </w:r>
            <w:r>
              <w:t xml:space="preserve">(koledža) </w:t>
            </w:r>
            <w:r w:rsidRPr="00DA7CDE">
              <w:t>2.punkt</w:t>
            </w:r>
            <w:r>
              <w:t>u, kas</w:t>
            </w:r>
            <w:r w:rsidRPr="00DA7CDE">
              <w:t xml:space="preserve"> nosaka, ka ar 2011.gada 1.s</w:t>
            </w:r>
            <w:r w:rsidR="00D1401A">
              <w:t xml:space="preserve">eptembri koledžas nosaukums ir </w:t>
            </w:r>
            <w:r w:rsidR="00D1401A" w:rsidRPr="00DA7CDE">
              <w:t>„</w:t>
            </w:r>
            <w:r w:rsidRPr="00DA7CDE">
              <w:t xml:space="preserve">Profesionālās izglītības kompetences </w:t>
            </w:r>
            <w:r w:rsidR="00D1401A">
              <w:t xml:space="preserve">centrs </w:t>
            </w:r>
            <w:r w:rsidR="00D1401A" w:rsidRPr="00DA7CDE">
              <w:t>„</w:t>
            </w:r>
            <w:r w:rsidRPr="00DA7CDE">
              <w:t xml:space="preserve">Rīgas Tehniskā koledža"". </w:t>
            </w:r>
            <w:r w:rsidRPr="00DA7CDE">
              <w:rPr>
                <w:b/>
                <w:bCs/>
              </w:rPr>
              <w:t xml:space="preserve">  </w:t>
            </w:r>
          </w:p>
          <w:p w:rsidR="007D1D48" w:rsidRPr="007D1D48" w:rsidRDefault="00EC4411" w:rsidP="00EC4411">
            <w:pPr>
              <w:pStyle w:val="BodyText"/>
              <w:ind w:left="113"/>
              <w:jc w:val="both"/>
            </w:pPr>
            <w:r>
              <w:rPr>
                <w:color w:val="000000"/>
              </w:rPr>
              <w:t xml:space="preserve">Nepieciešamība izstrādāt noteikumu projektu izriet arī no Ministru kabineta 2011.gada 22.februāra noteikumu Nr.148 </w:t>
            </w:r>
            <w:r w:rsidRPr="007D1D48">
              <w:rPr>
                <w:color w:val="000000"/>
              </w:rPr>
              <w:t>„Profesionālās izglītības kompetences centra statusa piešķiršanas un anulēšanas kārtība”</w:t>
            </w:r>
            <w:r>
              <w:rPr>
                <w:color w:val="000000"/>
              </w:rPr>
              <w:t xml:space="preserve"> 2.6.apakšpunktā noteiktā, proti, izglītības iestādei kompetences centra statusu var piešķirt tad, ja izglītības iestāde sadarbībā ar nozares organizācijām un komersantiem veic reģionālā vai nozares metodiskā centra, </w:t>
            </w:r>
            <w:r w:rsidRPr="00094DFA">
              <w:t xml:space="preserve">pedagogu </w:t>
            </w:r>
            <w:proofErr w:type="spellStart"/>
            <w:r w:rsidRPr="00094DFA">
              <w:t>tālākizglītības</w:t>
            </w:r>
            <w:proofErr w:type="spellEnd"/>
            <w:r w:rsidRPr="00094DFA">
              <w:t xml:space="preserve"> centra un ārpus formālās izglītības sistēmas apgūtās profesionālās kompetences novērtēšanas funkcijas</w:t>
            </w:r>
            <w:r>
              <w:t xml:space="preserve"> atbilstošajās nozarēs.</w:t>
            </w:r>
          </w:p>
        </w:tc>
      </w:tr>
      <w:tr w:rsidR="00751F8C" w:rsidRPr="00917D09" w:rsidTr="00592FE2">
        <w:trPr>
          <w:trHeight w:val="472"/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2.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r w:rsidRPr="00917D09">
              <w:t> Pašreizējā situācija un problēmas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249" w:rsidRDefault="003E7E12" w:rsidP="005A6C6C">
            <w:pPr>
              <w:ind w:left="125" w:right="125"/>
              <w:jc w:val="both"/>
            </w:pPr>
            <w:r>
              <w:t>Ministru kabineta 2007.gada 27.februāra noteikumos Nr.147 „Rīgas Tehniskās koledžas nolikums</w:t>
            </w:r>
            <w:r w:rsidR="0035259B">
              <w:t>”</w:t>
            </w:r>
            <w:r>
              <w:t xml:space="preserve"> (turpmāk – nolikums) </w:t>
            </w:r>
            <w:r w:rsidR="0035259B">
              <w:t xml:space="preserve">koledžas nosaukums </w:t>
            </w:r>
            <w:r>
              <w:t>a</w:t>
            </w:r>
            <w:r w:rsidR="005A6C6C">
              <w:t xml:space="preserve">r 2011.gada 1.septembri </w:t>
            </w:r>
            <w:r w:rsidR="006F38F0">
              <w:t xml:space="preserve">vairs neatbilst </w:t>
            </w:r>
            <w:r w:rsidR="005A6C6C" w:rsidRPr="00DA7CDE">
              <w:t>Ministru kabineta 2011.gada 18.augusta</w:t>
            </w:r>
            <w:r w:rsidR="005A6C6C" w:rsidRPr="00DA7CDE">
              <w:rPr>
                <w:b/>
                <w:bCs/>
              </w:rPr>
              <w:t xml:space="preserve"> </w:t>
            </w:r>
            <w:r w:rsidR="005A6C6C">
              <w:rPr>
                <w:bCs/>
              </w:rPr>
              <w:t>rīkojuma</w:t>
            </w:r>
            <w:r w:rsidR="005A6C6C" w:rsidRPr="00DA7CDE">
              <w:rPr>
                <w:bCs/>
              </w:rPr>
              <w:t xml:space="preserve"> Nr.389</w:t>
            </w:r>
            <w:r w:rsidR="005A6C6C" w:rsidRPr="00DA7CDE">
              <w:t xml:space="preserve"> </w:t>
            </w:r>
            <w:r w:rsidR="005A6C6C">
              <w:t>„</w:t>
            </w:r>
            <w:r w:rsidR="005A6C6C" w:rsidRPr="00DA7CDE">
              <w:t>Par profesionālās izglītības kompetences centra statusa piešķiršanu Rīgas Tehniskajai koledžai</w:t>
            </w:r>
            <w:r w:rsidR="005A6C6C">
              <w:t xml:space="preserve">” </w:t>
            </w:r>
            <w:r w:rsidR="006F38F0">
              <w:t>2.punktā noteikt</w:t>
            </w:r>
            <w:r w:rsidR="005B14DA">
              <w:t>ajam</w:t>
            </w:r>
            <w:r w:rsidR="006F38F0">
              <w:t xml:space="preserve"> izglītības iest</w:t>
            </w:r>
            <w:r w:rsidR="005B14DA">
              <w:t>ādes nosaukumam</w:t>
            </w:r>
            <w:r w:rsidR="006F38F0">
              <w:t>.</w:t>
            </w:r>
          </w:p>
          <w:p w:rsidR="005A6C6C" w:rsidRDefault="00791404" w:rsidP="005A6C6C">
            <w:pPr>
              <w:ind w:left="125" w:right="125"/>
              <w:jc w:val="both"/>
              <w:rPr>
                <w:bCs/>
              </w:rPr>
            </w:pPr>
            <w:r>
              <w:t xml:space="preserve"> </w:t>
            </w:r>
            <w:r w:rsidR="00050CC0">
              <w:t>Izglītības iestādes nosaukuma maiņa atbilstoši</w:t>
            </w:r>
            <w:r w:rsidR="00050CC0" w:rsidRPr="00DA7CDE">
              <w:t xml:space="preserve"> </w:t>
            </w:r>
            <w:r w:rsidR="0035259B">
              <w:t>statusam</w:t>
            </w:r>
            <w:r w:rsidR="00050CC0">
              <w:rPr>
                <w:bCs/>
              </w:rPr>
              <w:t xml:space="preserve"> nepieciešama</w:t>
            </w:r>
            <w:r w:rsidR="00500450">
              <w:rPr>
                <w:bCs/>
              </w:rPr>
              <w:t xml:space="preserve"> tās saimnieciskās un izglītojošās darbības </w:t>
            </w:r>
            <w:r w:rsidR="00921B6D">
              <w:rPr>
                <w:bCs/>
              </w:rPr>
              <w:t>nodrošināšanai</w:t>
            </w:r>
            <w:r w:rsidR="00050CC0">
              <w:rPr>
                <w:bCs/>
              </w:rPr>
              <w:t xml:space="preserve">, </w:t>
            </w:r>
            <w:r w:rsidR="00500450">
              <w:rPr>
                <w:bCs/>
              </w:rPr>
              <w:t>kā arī</w:t>
            </w:r>
            <w:r w:rsidR="00835249">
              <w:rPr>
                <w:bCs/>
              </w:rPr>
              <w:t>,</w:t>
            </w:r>
            <w:r w:rsidR="00500450">
              <w:rPr>
                <w:bCs/>
              </w:rPr>
              <w:t xml:space="preserve"> </w:t>
            </w:r>
            <w:r w:rsidR="00050CC0">
              <w:rPr>
                <w:bCs/>
              </w:rPr>
              <w:t>lai neradītu problēmas tās absolventiem, stājoties darba tiesiskajās attiecībās pie darba devējiem.</w:t>
            </w:r>
          </w:p>
          <w:p w:rsidR="00751F8C" w:rsidRPr="004F4704" w:rsidRDefault="00835249" w:rsidP="00AE4831">
            <w:pPr>
              <w:ind w:left="125" w:right="125"/>
              <w:jc w:val="both"/>
            </w:pPr>
            <w:r>
              <w:rPr>
                <w:bCs/>
              </w:rPr>
              <w:t xml:space="preserve">Izglītības iestādes statusa maiņa rada nepieciešamību veikt grozījumus attiecībā arī uz </w:t>
            </w:r>
            <w:r>
              <w:rPr>
                <w:bCs/>
              </w:rPr>
              <w:lastRenderedPageBreak/>
              <w:t xml:space="preserve">tās veicamajām funkcijām. Tāpēc </w:t>
            </w:r>
            <w:r w:rsidR="00AE4831">
              <w:rPr>
                <w:bCs/>
              </w:rPr>
              <w:t>nolikumu nepieciešams papildināt</w:t>
            </w:r>
            <w:r>
              <w:rPr>
                <w:bCs/>
              </w:rPr>
              <w:t xml:space="preserve"> ar 6.4.apakšpunktu</w:t>
            </w:r>
            <w:r w:rsidR="00AE4831">
              <w:rPr>
                <w:bCs/>
              </w:rPr>
              <w:t>. Vienlaikus, ievērojot</w:t>
            </w:r>
            <w:r>
              <w:rPr>
                <w:bCs/>
              </w:rPr>
              <w:t xml:space="preserve"> </w:t>
            </w:r>
            <w:r w:rsidR="00542240" w:rsidRPr="007D1D48">
              <w:rPr>
                <w:color w:val="000000"/>
              </w:rPr>
              <w:t>M</w:t>
            </w:r>
            <w:r w:rsidR="00542240">
              <w:rPr>
                <w:color w:val="000000"/>
              </w:rPr>
              <w:t>inistru kabineta</w:t>
            </w:r>
            <w:r w:rsidR="00542240" w:rsidRPr="007D1D48">
              <w:rPr>
                <w:color w:val="000000"/>
              </w:rPr>
              <w:t xml:space="preserve"> 2011.gada </w:t>
            </w:r>
            <w:r w:rsidR="00542240">
              <w:rPr>
                <w:color w:val="000000"/>
              </w:rPr>
              <w:t>22.februāra noteikumos</w:t>
            </w:r>
            <w:r w:rsidR="00542240" w:rsidRPr="007D1D48">
              <w:rPr>
                <w:color w:val="000000"/>
              </w:rPr>
              <w:t xml:space="preserve"> Nr.148 „Profesionālās izglītības kompetences centra statusa piešķiršanas un anulēšanas kārtība”</w:t>
            </w:r>
            <w:r w:rsidR="00542240">
              <w:rPr>
                <w:color w:val="000000"/>
              </w:rPr>
              <w:t xml:space="preserve"> noteikt</w:t>
            </w:r>
            <w:r w:rsidR="00AE4831">
              <w:rPr>
                <w:color w:val="000000"/>
              </w:rPr>
              <w:t>os kritērijus, jaunā redakcijā nepieciešams izteikt  nolikuma 7.1.apakšpunktu.</w:t>
            </w:r>
          </w:p>
        </w:tc>
      </w:tr>
      <w:tr w:rsidR="00751F8C" w:rsidRPr="00917D09" w:rsidTr="00592FE2">
        <w:trPr>
          <w:trHeight w:val="511"/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lastRenderedPageBreak/>
              <w:t>3.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23"/>
              <w:jc w:val="both"/>
            </w:pPr>
            <w:r w:rsidRPr="00917D09">
              <w:t>Saistītie politikas ietekmes novērtējumi un pētījumi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112" w:right="126"/>
            </w:pPr>
            <w:r w:rsidRPr="00917D09">
              <w:t>Nav.</w:t>
            </w:r>
          </w:p>
        </w:tc>
      </w:tr>
      <w:tr w:rsidR="00751F8C" w:rsidRPr="00917D09" w:rsidTr="00592FE2">
        <w:trPr>
          <w:trHeight w:val="65"/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4.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23"/>
              <w:jc w:val="both"/>
            </w:pPr>
            <w:r w:rsidRPr="00917D09">
              <w:t>Tiesiskā regulējuma mērķis un būtība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4F4704" w:rsidRDefault="00C1123F" w:rsidP="00C1123F">
            <w:pPr>
              <w:pStyle w:val="BodyText"/>
              <w:ind w:left="113"/>
              <w:jc w:val="both"/>
              <w:rPr>
                <w:rStyle w:val="Strong"/>
                <w:b w:val="0"/>
              </w:rPr>
            </w:pPr>
            <w:r>
              <w:t>N</w:t>
            </w:r>
            <w:r w:rsidR="003E7E12">
              <w:t>oteikumu projekta</w:t>
            </w:r>
            <w:r w:rsidR="003E7E12" w:rsidRPr="00DA7CDE">
              <w:t xml:space="preserve"> </w:t>
            </w:r>
            <w:r w:rsidR="003E7E12" w:rsidRPr="003E7E12">
              <w:t>mērķis ir noteikt koledžas nosaukumu atbilstoši Ministru kabineta 2011.gada 18.augusta</w:t>
            </w:r>
            <w:r w:rsidR="003E7E12" w:rsidRPr="003E7E12">
              <w:rPr>
                <w:b/>
                <w:bCs/>
              </w:rPr>
              <w:t xml:space="preserve"> </w:t>
            </w:r>
            <w:r w:rsidR="003E7E12" w:rsidRPr="003E7E12">
              <w:rPr>
                <w:bCs/>
              </w:rPr>
              <w:t>rīkojuma Nr.389</w:t>
            </w:r>
            <w:r w:rsidR="003E7E12" w:rsidRPr="003E7E12">
              <w:t xml:space="preserve"> „Par profesionālās izglītības kompetences centra statusa piešķiršanu Rīgas Tehniskajai koledžai” 2.punktā noteiktajam, kā arī iekļaut nolikumā  profesionālās izglītības kompetences centra </w:t>
            </w:r>
            <w:r w:rsidR="00DF5814">
              <w:t xml:space="preserve">funkcijas. </w:t>
            </w:r>
          </w:p>
        </w:tc>
      </w:tr>
      <w:tr w:rsidR="00751F8C" w:rsidRPr="00917D09" w:rsidTr="00592FE2">
        <w:trPr>
          <w:trHeight w:val="476"/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5.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23"/>
            </w:pPr>
            <w:r w:rsidRPr="00917D09">
              <w:t>Projekta izstrādē iesaistītās institūcijas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150274" w:rsidP="00150274">
            <w:pPr>
              <w:ind w:left="127"/>
              <w:jc w:val="both"/>
              <w:rPr>
                <w:rStyle w:val="Strong"/>
                <w:b w:val="0"/>
                <w:bCs w:val="0"/>
              </w:rPr>
            </w:pPr>
            <w:r w:rsidRPr="00917D09">
              <w:rPr>
                <w:color w:val="000000"/>
              </w:rPr>
              <w:t>Noteikumu projekts šo jomu neskar</w:t>
            </w:r>
            <w:r>
              <w:rPr>
                <w:rStyle w:val="Strong"/>
                <w:b w:val="0"/>
              </w:rPr>
              <w:t>.</w:t>
            </w:r>
          </w:p>
        </w:tc>
      </w:tr>
      <w:tr w:rsidR="00751F8C" w:rsidRPr="00917D09" w:rsidTr="00592FE2">
        <w:trPr>
          <w:trHeight w:val="526"/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6.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23" w:right="126"/>
              <w:jc w:val="both"/>
            </w:pPr>
            <w:r w:rsidRPr="00917D09">
              <w:t>Iemesli, kādēļ netika nodrošināta  sabiedrības līdzdalība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F00F59" w:rsidP="00F00F59">
            <w:pPr>
              <w:ind w:left="113"/>
              <w:jc w:val="both"/>
            </w:pPr>
            <w:r>
              <w:t>N</w:t>
            </w:r>
            <w:r w:rsidR="00150274" w:rsidRPr="00150274">
              <w:t xml:space="preserve">oteikumu projekts </w:t>
            </w:r>
            <w:r>
              <w:t>skar</w:t>
            </w:r>
            <w:r w:rsidR="00150274" w:rsidRPr="00150274">
              <w:t xml:space="preserve"> tehniskus grozījumus un neatstāj ietekmi uz sabiedrību.</w:t>
            </w:r>
          </w:p>
        </w:tc>
      </w:tr>
      <w:tr w:rsidR="00751F8C" w:rsidRPr="00917D09" w:rsidTr="00592FE2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7.</w:t>
            </w:r>
          </w:p>
        </w:tc>
        <w:tc>
          <w:tcPr>
            <w:tcW w:w="4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r w:rsidRPr="00917D09">
              <w:t>Cita informācija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r w:rsidRPr="00917D09">
              <w:t>  Nav.</w:t>
            </w:r>
          </w:p>
        </w:tc>
      </w:tr>
      <w:tr w:rsidR="00751F8C" w:rsidRPr="00917D09" w:rsidTr="00592FE2">
        <w:trPr>
          <w:tblCellSpacing w:w="0" w:type="dxa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F8C" w:rsidRPr="00917D09" w:rsidRDefault="00751F8C" w:rsidP="00592FE2">
            <w:pPr>
              <w:rPr>
                <w:b/>
                <w:bCs/>
              </w:rPr>
            </w:pPr>
          </w:p>
          <w:p w:rsidR="00751F8C" w:rsidRPr="00917D09" w:rsidRDefault="00751F8C" w:rsidP="00592FE2">
            <w:pPr>
              <w:jc w:val="center"/>
              <w:rPr>
                <w:b/>
                <w:bCs/>
              </w:rPr>
            </w:pPr>
            <w:r w:rsidRPr="00917D09">
              <w:rPr>
                <w:b/>
                <w:bCs/>
              </w:rPr>
              <w:t>II. Tiesību akta projekta ietekme uz sabiedrību</w:t>
            </w:r>
          </w:p>
        </w:tc>
      </w:tr>
      <w:tr w:rsidR="00751F8C" w:rsidRPr="00917D09" w:rsidTr="00592FE2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1.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/>
              <w:jc w:val="both"/>
            </w:pPr>
            <w:r w:rsidRPr="00917D09">
              <w:t xml:space="preserve">Sabiedrības </w:t>
            </w:r>
            <w:proofErr w:type="spellStart"/>
            <w:r w:rsidRPr="00917D09">
              <w:t>mērķgrupa</w:t>
            </w:r>
            <w:proofErr w:type="spellEnd"/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BD3E5A" w:rsidRDefault="00BD3E5A" w:rsidP="00BD3E5A">
            <w:pPr>
              <w:ind w:left="127" w:right="126"/>
              <w:jc w:val="both"/>
            </w:pPr>
            <w:r w:rsidRPr="00BD3E5A">
              <w:t>Personas, k</w:t>
            </w:r>
            <w:r>
              <w:t>uras</w:t>
            </w:r>
            <w:r w:rsidRPr="00BD3E5A">
              <w:t xml:space="preserve"> plāno iegūt profesionālo izglītību vai apgūt profesionālās </w:t>
            </w:r>
            <w:proofErr w:type="spellStart"/>
            <w:r w:rsidRPr="00BD3E5A">
              <w:t>tālākizglītības</w:t>
            </w:r>
            <w:proofErr w:type="spellEnd"/>
            <w:r w:rsidRPr="00BD3E5A">
              <w:t xml:space="preserve"> vai profesionālās pilnveides programmas Profesionālās izglītības kompetences centrā </w:t>
            </w:r>
            <w:r w:rsidR="001A2053" w:rsidRPr="003E7E12">
              <w:t>„</w:t>
            </w:r>
            <w:r>
              <w:t>Rīgas Tehniskā koledža"</w:t>
            </w:r>
            <w:r w:rsidRPr="00BD3E5A">
              <w:t>, vai arī veikt ārpus formālās izglītības sistēmas apgūtās profesionālās kompetences novērtēšanu.</w:t>
            </w:r>
          </w:p>
        </w:tc>
      </w:tr>
      <w:tr w:rsidR="00751F8C" w:rsidRPr="00917D09" w:rsidTr="00592FE2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2.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 w:right="126"/>
              <w:jc w:val="both"/>
            </w:pPr>
            <w:r w:rsidRPr="00917D09">
              <w:t xml:space="preserve">Citas sabiedrības grupas (bez </w:t>
            </w:r>
            <w:proofErr w:type="spellStart"/>
            <w:r w:rsidRPr="00917D09">
              <w:t>mērķgrupas</w:t>
            </w:r>
            <w:proofErr w:type="spellEnd"/>
            <w:r w:rsidRPr="00917D09">
              <w:t>), kuras tiesiskais regulējums arī ietekmē vai varētu ietekmēt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9B6490" w:rsidP="00592FE2">
            <w:r>
              <w:rPr>
                <w:color w:val="000000"/>
              </w:rPr>
              <w:t xml:space="preserve"> </w:t>
            </w:r>
            <w:r w:rsidR="00751F8C" w:rsidRPr="00917D09">
              <w:rPr>
                <w:color w:val="000000"/>
              </w:rPr>
              <w:t>Noteikumu projekts šo jomu neskar.</w:t>
            </w:r>
          </w:p>
        </w:tc>
      </w:tr>
      <w:tr w:rsidR="00751F8C" w:rsidRPr="00917D09" w:rsidTr="00592FE2">
        <w:trPr>
          <w:trHeight w:val="378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3.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 w:right="126"/>
              <w:jc w:val="both"/>
            </w:pPr>
            <w:r w:rsidRPr="00917D09">
              <w:t>Tiesiskā regulējuma finansiālā ietekme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9B6490" w:rsidP="00592FE2">
            <w:r>
              <w:rPr>
                <w:color w:val="000000"/>
              </w:rPr>
              <w:t xml:space="preserve"> </w:t>
            </w:r>
            <w:r w:rsidR="00751F8C" w:rsidRPr="00917D09">
              <w:rPr>
                <w:color w:val="000000"/>
              </w:rPr>
              <w:t>Noteikumu projekts šo jomu neskar.</w:t>
            </w:r>
          </w:p>
        </w:tc>
      </w:tr>
      <w:tr w:rsidR="00751F8C" w:rsidRPr="00917D09" w:rsidTr="00592FE2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4.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 w:right="126"/>
              <w:jc w:val="both"/>
            </w:pPr>
            <w:r w:rsidRPr="00917D09">
              <w:t>Tiesiskā regulējuma nefinansiālā ietekme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9B6490" w:rsidP="00592FE2">
            <w:r>
              <w:rPr>
                <w:color w:val="000000"/>
              </w:rPr>
              <w:t xml:space="preserve"> </w:t>
            </w:r>
            <w:r w:rsidR="00751F8C" w:rsidRPr="00917D09">
              <w:rPr>
                <w:color w:val="000000"/>
              </w:rPr>
              <w:t>Noteikumu projekts šo jomu neskar.</w:t>
            </w:r>
          </w:p>
        </w:tc>
      </w:tr>
      <w:tr w:rsidR="00751F8C" w:rsidRPr="00917D09" w:rsidTr="00592FE2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5.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 w:right="126"/>
              <w:jc w:val="both"/>
            </w:pPr>
            <w:r w:rsidRPr="00917D09">
              <w:t>Administratīvās procedūras raksturojums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9B6490" w:rsidP="00592FE2">
            <w:r>
              <w:rPr>
                <w:color w:val="000000"/>
              </w:rPr>
              <w:t xml:space="preserve"> </w:t>
            </w:r>
            <w:r w:rsidR="00751F8C" w:rsidRPr="00917D09">
              <w:rPr>
                <w:color w:val="000000"/>
              </w:rPr>
              <w:t>Noteikumu projekts šo jomu neskar.</w:t>
            </w:r>
          </w:p>
        </w:tc>
      </w:tr>
      <w:tr w:rsidR="00751F8C" w:rsidRPr="00917D09" w:rsidTr="00592FE2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6.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 w:right="126"/>
              <w:jc w:val="both"/>
            </w:pPr>
            <w:r w:rsidRPr="00917D09">
              <w:t>Administratīvo izmaksu monetārs  novērtējums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9B6490" w:rsidP="00592FE2">
            <w:r>
              <w:rPr>
                <w:color w:val="000000"/>
              </w:rPr>
              <w:t xml:space="preserve"> </w:t>
            </w:r>
            <w:r w:rsidR="00751F8C" w:rsidRPr="00917D09">
              <w:rPr>
                <w:color w:val="000000"/>
              </w:rPr>
              <w:t>Noteikumu projekts šo jomu neskar.</w:t>
            </w:r>
          </w:p>
        </w:tc>
      </w:tr>
      <w:tr w:rsidR="00751F8C" w:rsidRPr="00917D09" w:rsidTr="00592FE2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jc w:val="center"/>
            </w:pPr>
            <w:r w:rsidRPr="00917D09">
              <w:t>7.</w:t>
            </w:r>
          </w:p>
        </w:tc>
        <w:tc>
          <w:tcPr>
            <w:tcW w:w="3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31" w:right="126"/>
              <w:jc w:val="both"/>
            </w:pPr>
            <w:r w:rsidRPr="00917D09">
              <w:t>Cita informācija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8C" w:rsidRPr="00917D09" w:rsidRDefault="00751F8C" w:rsidP="00592FE2">
            <w:pPr>
              <w:ind w:left="95"/>
              <w:jc w:val="both"/>
            </w:pPr>
            <w:r w:rsidRPr="00917D09">
              <w:t>Nav.</w:t>
            </w:r>
          </w:p>
        </w:tc>
      </w:tr>
    </w:tbl>
    <w:p w:rsidR="00751F8C" w:rsidRDefault="00751F8C" w:rsidP="00751F8C">
      <w:pPr>
        <w:pStyle w:val="Footer"/>
        <w:tabs>
          <w:tab w:val="clear" w:pos="4153"/>
          <w:tab w:val="clear" w:pos="8306"/>
        </w:tabs>
        <w:jc w:val="both"/>
        <w:rPr>
          <w:b/>
        </w:rPr>
      </w:pPr>
    </w:p>
    <w:p w:rsidR="00751F8C" w:rsidRPr="00917D09" w:rsidRDefault="001A2053" w:rsidP="006550B7">
      <w:pPr>
        <w:pStyle w:val="Footer"/>
        <w:tabs>
          <w:tab w:val="clear" w:pos="4153"/>
          <w:tab w:val="clear" w:pos="8306"/>
        </w:tabs>
        <w:jc w:val="both"/>
        <w:rPr>
          <w:bCs/>
        </w:rPr>
      </w:pPr>
      <w:r>
        <w:rPr>
          <w:b/>
        </w:rPr>
        <w:t>Anotācijas III, IV, V, VI un VII sadaļa – projekts šīs jomas neskar</w:t>
      </w:r>
      <w:r w:rsidR="006550B7">
        <w:rPr>
          <w:b/>
        </w:rPr>
        <w:t>.</w:t>
      </w:r>
      <w:r w:rsidR="00751F8C" w:rsidRPr="00917D09">
        <w:rPr>
          <w:b/>
        </w:rPr>
        <w:t xml:space="preserve"> </w:t>
      </w:r>
    </w:p>
    <w:p w:rsidR="00751F8C" w:rsidRDefault="00751F8C" w:rsidP="00751F8C">
      <w:pPr>
        <w:jc w:val="both"/>
        <w:rPr>
          <w:bCs/>
        </w:rPr>
      </w:pPr>
    </w:p>
    <w:p w:rsidR="00751F8C" w:rsidRPr="00917D09" w:rsidRDefault="006550B7" w:rsidP="00751F8C">
      <w:pPr>
        <w:jc w:val="both"/>
        <w:rPr>
          <w:bCs/>
        </w:rPr>
      </w:pPr>
      <w:r>
        <w:rPr>
          <w:bCs/>
        </w:rPr>
        <w:t>Izglītības un zinātnes ministrs</w:t>
      </w:r>
      <w:r w:rsidR="00751F8C" w:rsidRPr="00917D09">
        <w:rPr>
          <w:bCs/>
        </w:rPr>
        <w:t xml:space="preserve">                    </w:t>
      </w:r>
      <w:r w:rsidR="00751F8C" w:rsidRPr="00917D09">
        <w:rPr>
          <w:bCs/>
        </w:rPr>
        <w:tab/>
      </w:r>
      <w:r w:rsidR="00751F8C" w:rsidRPr="00917D09">
        <w:rPr>
          <w:bCs/>
        </w:rPr>
        <w:tab/>
      </w:r>
      <w:r w:rsidR="00751F8C" w:rsidRPr="00917D09">
        <w:rPr>
          <w:bCs/>
        </w:rPr>
        <w:tab/>
      </w:r>
      <w:r w:rsidR="00751F8C" w:rsidRPr="00917D09">
        <w:rPr>
          <w:bCs/>
        </w:rPr>
        <w:tab/>
        <w:t xml:space="preserve"> </w:t>
      </w:r>
      <w:r w:rsidR="00751F8C" w:rsidRPr="00917D09">
        <w:rPr>
          <w:bCs/>
        </w:rPr>
        <w:tab/>
        <w:t xml:space="preserve"> </w:t>
      </w:r>
      <w:r w:rsidR="00751F8C" w:rsidRPr="00917D09">
        <w:rPr>
          <w:bCs/>
        </w:rPr>
        <w:tab/>
      </w:r>
      <w:r>
        <w:rPr>
          <w:bCs/>
        </w:rPr>
        <w:t>R.Ķīlis</w:t>
      </w:r>
    </w:p>
    <w:p w:rsidR="00751F8C" w:rsidRPr="00917D09" w:rsidRDefault="00751F8C" w:rsidP="00751F8C">
      <w:pPr>
        <w:jc w:val="both"/>
        <w:rPr>
          <w:bCs/>
        </w:rPr>
      </w:pPr>
    </w:p>
    <w:p w:rsidR="00751F8C" w:rsidRPr="00917D09" w:rsidRDefault="00751F8C" w:rsidP="00751F8C">
      <w:pPr>
        <w:jc w:val="both"/>
        <w:rPr>
          <w:bCs/>
        </w:rPr>
      </w:pPr>
    </w:p>
    <w:p w:rsidR="00751F8C" w:rsidRPr="00917D09" w:rsidRDefault="00751F8C" w:rsidP="00751F8C">
      <w:pPr>
        <w:jc w:val="both"/>
        <w:rPr>
          <w:bCs/>
        </w:rPr>
      </w:pPr>
      <w:r w:rsidRPr="00917D09">
        <w:rPr>
          <w:bCs/>
        </w:rPr>
        <w:t>V</w:t>
      </w:r>
      <w:r w:rsidR="006443CE">
        <w:rPr>
          <w:bCs/>
        </w:rPr>
        <w:t>izē</w:t>
      </w:r>
      <w:r w:rsidRPr="00917D09">
        <w:rPr>
          <w:bCs/>
        </w:rPr>
        <w:t xml:space="preserve">: Valsts sekretārs                           </w:t>
      </w:r>
      <w:r w:rsidRPr="00917D09">
        <w:rPr>
          <w:bCs/>
        </w:rPr>
        <w:tab/>
      </w:r>
      <w:r w:rsidRPr="00917D09">
        <w:rPr>
          <w:bCs/>
        </w:rPr>
        <w:tab/>
      </w:r>
      <w:r w:rsidRPr="00917D09">
        <w:rPr>
          <w:bCs/>
        </w:rPr>
        <w:tab/>
      </w:r>
      <w:r w:rsidRPr="00917D09">
        <w:rPr>
          <w:bCs/>
        </w:rPr>
        <w:tab/>
      </w:r>
      <w:r w:rsidRPr="00917D09">
        <w:rPr>
          <w:bCs/>
        </w:rPr>
        <w:tab/>
      </w:r>
      <w:r w:rsidR="006550B7">
        <w:rPr>
          <w:bCs/>
        </w:rPr>
        <w:t xml:space="preserve">       </w:t>
      </w:r>
      <w:proofErr w:type="spellStart"/>
      <w:r w:rsidR="006550B7">
        <w:rPr>
          <w:bCs/>
        </w:rPr>
        <w:t>M.Gruškevics</w:t>
      </w:r>
      <w:proofErr w:type="spellEnd"/>
    </w:p>
    <w:p w:rsidR="00751F8C" w:rsidRPr="00917D09" w:rsidRDefault="00751F8C" w:rsidP="00751F8C">
      <w:pPr>
        <w:pStyle w:val="Header"/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751F8C" w:rsidRDefault="00751F8C" w:rsidP="00751F8C">
      <w:pPr>
        <w:pStyle w:val="Header"/>
        <w:rPr>
          <w:sz w:val="20"/>
        </w:rPr>
      </w:pPr>
    </w:p>
    <w:p w:rsidR="001A2053" w:rsidRDefault="001A2053" w:rsidP="00751F8C">
      <w:pPr>
        <w:pStyle w:val="Header"/>
        <w:rPr>
          <w:sz w:val="20"/>
        </w:rPr>
      </w:pPr>
    </w:p>
    <w:p w:rsidR="001A2053" w:rsidRDefault="001A2053" w:rsidP="00751F8C">
      <w:pPr>
        <w:pStyle w:val="Header"/>
        <w:rPr>
          <w:sz w:val="20"/>
        </w:rPr>
      </w:pPr>
    </w:p>
    <w:p w:rsidR="001A2053" w:rsidRDefault="001A2053" w:rsidP="00751F8C">
      <w:pPr>
        <w:pStyle w:val="Header"/>
        <w:rPr>
          <w:sz w:val="20"/>
        </w:rPr>
      </w:pPr>
    </w:p>
    <w:p w:rsidR="001A2053" w:rsidRDefault="001A2053" w:rsidP="00751F8C">
      <w:pPr>
        <w:pStyle w:val="Header"/>
        <w:rPr>
          <w:sz w:val="20"/>
        </w:rPr>
      </w:pPr>
    </w:p>
    <w:p w:rsidR="001A2053" w:rsidRDefault="001A2053" w:rsidP="00751F8C">
      <w:pPr>
        <w:pStyle w:val="Header"/>
        <w:rPr>
          <w:sz w:val="20"/>
        </w:rPr>
      </w:pPr>
    </w:p>
    <w:p w:rsidR="001A2053" w:rsidRDefault="001A2053" w:rsidP="00751F8C">
      <w:pPr>
        <w:pStyle w:val="Header"/>
        <w:rPr>
          <w:sz w:val="20"/>
        </w:rPr>
      </w:pPr>
    </w:p>
    <w:p w:rsidR="00C22A99" w:rsidRDefault="00C22A99" w:rsidP="00C22A99">
      <w:pPr>
        <w:rPr>
          <w:sz w:val="26"/>
          <w:szCs w:val="26"/>
        </w:rPr>
      </w:pPr>
    </w:p>
    <w:p w:rsidR="00C22A99" w:rsidRPr="00DF0865" w:rsidRDefault="00C22A99" w:rsidP="00C94A7E">
      <w:pPr>
        <w:rPr>
          <w:sz w:val="26"/>
          <w:szCs w:val="26"/>
        </w:rPr>
      </w:pPr>
    </w:p>
    <w:p w:rsidR="00F957DA" w:rsidRPr="00DF0865" w:rsidRDefault="001A2053" w:rsidP="00F957DA">
      <w:pPr>
        <w:outlineLvl w:val="0"/>
        <w:rPr>
          <w:sz w:val="22"/>
          <w:szCs w:val="22"/>
        </w:rPr>
      </w:pPr>
      <w:r>
        <w:rPr>
          <w:sz w:val="22"/>
          <w:szCs w:val="22"/>
        </w:rPr>
        <w:t>27</w:t>
      </w:r>
      <w:r w:rsidR="00E57913" w:rsidRPr="00DF0865">
        <w:rPr>
          <w:sz w:val="22"/>
          <w:szCs w:val="22"/>
        </w:rPr>
        <w:t>.</w:t>
      </w:r>
      <w:r w:rsidR="00F77572">
        <w:rPr>
          <w:sz w:val="22"/>
          <w:szCs w:val="22"/>
        </w:rPr>
        <w:t>10</w:t>
      </w:r>
      <w:r w:rsidR="00F957DA" w:rsidRPr="00DF0865">
        <w:rPr>
          <w:sz w:val="22"/>
          <w:szCs w:val="22"/>
        </w:rPr>
        <w:t>.20</w:t>
      </w:r>
      <w:r w:rsidR="00DF0865" w:rsidRPr="00DF0865">
        <w:rPr>
          <w:sz w:val="22"/>
          <w:szCs w:val="22"/>
        </w:rPr>
        <w:t>1</w:t>
      </w:r>
      <w:r w:rsidR="00C90504">
        <w:rPr>
          <w:sz w:val="22"/>
          <w:szCs w:val="22"/>
        </w:rPr>
        <w:t>1</w:t>
      </w:r>
      <w:r w:rsidR="00F957DA" w:rsidRPr="00DF0865">
        <w:rPr>
          <w:sz w:val="22"/>
          <w:szCs w:val="22"/>
        </w:rPr>
        <w:t xml:space="preserve">. </w:t>
      </w:r>
      <w:r>
        <w:rPr>
          <w:sz w:val="22"/>
          <w:szCs w:val="22"/>
        </w:rPr>
        <w:t>16:06</w:t>
      </w:r>
      <w:r w:rsidR="00E57913" w:rsidRPr="00DF0865">
        <w:rPr>
          <w:sz w:val="22"/>
          <w:szCs w:val="22"/>
        </w:rPr>
        <w:t xml:space="preserve"> </w:t>
      </w:r>
    </w:p>
    <w:p w:rsidR="00247C3D" w:rsidRDefault="001A2053" w:rsidP="00B35B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475</w:t>
      </w:r>
    </w:p>
    <w:p w:rsidR="00B35B88" w:rsidRDefault="00F77572" w:rsidP="00B35B88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I.Rotberga</w:t>
      </w:r>
      <w:proofErr w:type="spellEnd"/>
      <w:r>
        <w:rPr>
          <w:sz w:val="20"/>
          <w:szCs w:val="20"/>
        </w:rPr>
        <w:t>, 67047824</w:t>
      </w:r>
    </w:p>
    <w:p w:rsidR="00F77572" w:rsidRDefault="00F77572" w:rsidP="00B35B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Izolde.rotberga@izm.gov.lv</w:t>
      </w:r>
    </w:p>
    <w:sectPr w:rsidR="00F77572" w:rsidSect="00DF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701" w:header="709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D7" w:rsidRDefault="007835D7" w:rsidP="00F450E7">
      <w:r>
        <w:separator/>
      </w:r>
    </w:p>
  </w:endnote>
  <w:endnote w:type="continuationSeparator" w:id="0">
    <w:p w:rsidR="007835D7" w:rsidRDefault="007835D7" w:rsidP="00F4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53" w:rsidRDefault="001A2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2" w:rsidRPr="00247C3D" w:rsidRDefault="001A2053" w:rsidP="00F77572">
    <w:pPr>
      <w:jc w:val="both"/>
      <w:rPr>
        <w:b/>
        <w:sz w:val="20"/>
        <w:szCs w:val="20"/>
      </w:rPr>
    </w:pPr>
    <w:r>
      <w:rPr>
        <w:sz w:val="20"/>
        <w:szCs w:val="20"/>
      </w:rPr>
      <w:t>IZMAnot</w:t>
    </w:r>
    <w:r w:rsidR="00F77572" w:rsidRPr="00247C3D">
      <w:rPr>
        <w:sz w:val="20"/>
        <w:szCs w:val="20"/>
      </w:rPr>
      <w:t>_</w:t>
    </w:r>
    <w:r>
      <w:rPr>
        <w:sz w:val="20"/>
        <w:szCs w:val="20"/>
      </w:rPr>
      <w:t>271011_RTKnolgr</w:t>
    </w:r>
    <w:r w:rsidR="00F77572" w:rsidRPr="00247C3D">
      <w:rPr>
        <w:sz w:val="20"/>
        <w:szCs w:val="20"/>
      </w:rPr>
      <w:t xml:space="preserve">; Ministru kabineta noteikumu </w:t>
    </w:r>
    <w:r w:rsidR="00F77572">
      <w:rPr>
        <w:sz w:val="20"/>
        <w:szCs w:val="20"/>
      </w:rPr>
      <w:t>projekts</w:t>
    </w:r>
    <w:r>
      <w:rPr>
        <w:sz w:val="20"/>
        <w:szCs w:val="20"/>
      </w:rPr>
      <w:t xml:space="preserve"> </w:t>
    </w:r>
    <w:r w:rsidRPr="003E7E12">
      <w:t>„</w:t>
    </w:r>
    <w:r w:rsidR="00F77572" w:rsidRPr="00247C3D">
      <w:rPr>
        <w:sz w:val="20"/>
        <w:szCs w:val="20"/>
      </w:rPr>
      <w:t>Grozījumi Ministru kabineta 2007.gada</w:t>
    </w:r>
    <w:r>
      <w:rPr>
        <w:sz w:val="20"/>
        <w:szCs w:val="20"/>
      </w:rPr>
      <w:t xml:space="preserve"> 27.februāra noteikumos Nr.147 </w:t>
    </w:r>
    <w:r w:rsidRPr="003E7E12">
      <w:t>„</w:t>
    </w:r>
    <w:r w:rsidR="00F77572" w:rsidRPr="00247C3D">
      <w:rPr>
        <w:sz w:val="20"/>
        <w:szCs w:val="20"/>
      </w:rPr>
      <w:t xml:space="preserve">Rīgas Tehniskās koledžas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="00F77572" w:rsidRPr="00247C3D">
        <w:rPr>
          <w:sz w:val="20"/>
          <w:szCs w:val="20"/>
        </w:rPr>
        <w:t>nolikums</w:t>
      </w:r>
    </w:smartTag>
    <w:r w:rsidR="00F77572" w:rsidRPr="00247C3D">
      <w:rPr>
        <w:sz w:val="20"/>
        <w:szCs w:val="20"/>
      </w:rPr>
      <w:t>"” (anotācija)</w:t>
    </w:r>
  </w:p>
  <w:p w:rsidR="005E7559" w:rsidRPr="00DF6EDF" w:rsidRDefault="005E7559" w:rsidP="00DF6EDF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53" w:rsidRPr="00247C3D" w:rsidRDefault="001A2053" w:rsidP="001A2053">
    <w:pPr>
      <w:jc w:val="both"/>
      <w:rPr>
        <w:b/>
        <w:sz w:val="20"/>
        <w:szCs w:val="20"/>
      </w:rPr>
    </w:pPr>
    <w:r>
      <w:rPr>
        <w:sz w:val="20"/>
        <w:szCs w:val="20"/>
      </w:rPr>
      <w:t>IZMAnot</w:t>
    </w:r>
    <w:r w:rsidRPr="00247C3D">
      <w:rPr>
        <w:sz w:val="20"/>
        <w:szCs w:val="20"/>
      </w:rPr>
      <w:t>_</w:t>
    </w:r>
    <w:r>
      <w:rPr>
        <w:sz w:val="20"/>
        <w:szCs w:val="20"/>
      </w:rPr>
      <w:t>261011_RTKnolgr</w:t>
    </w:r>
    <w:r w:rsidRPr="00247C3D">
      <w:rPr>
        <w:sz w:val="20"/>
        <w:szCs w:val="20"/>
      </w:rPr>
      <w:t xml:space="preserve">; Ministru kabineta noteikumu </w:t>
    </w:r>
    <w:r>
      <w:rPr>
        <w:sz w:val="20"/>
        <w:szCs w:val="20"/>
      </w:rPr>
      <w:t xml:space="preserve">projekts </w:t>
    </w:r>
    <w:r w:rsidRPr="003E7E12">
      <w:t>„</w:t>
    </w:r>
    <w:r w:rsidRPr="00247C3D">
      <w:rPr>
        <w:sz w:val="20"/>
        <w:szCs w:val="20"/>
      </w:rPr>
      <w:t>Grozījumi Ministru kabineta 2007.gada</w:t>
    </w:r>
    <w:r>
      <w:rPr>
        <w:sz w:val="20"/>
        <w:szCs w:val="20"/>
      </w:rPr>
      <w:t xml:space="preserve"> 27.februāra noteikumos Nr.147 </w:t>
    </w:r>
    <w:r w:rsidRPr="003E7E12">
      <w:t>„</w:t>
    </w:r>
    <w:r w:rsidRPr="00247C3D">
      <w:rPr>
        <w:sz w:val="20"/>
        <w:szCs w:val="20"/>
      </w:rPr>
      <w:t xml:space="preserve">Rīgas Tehniskās koledžas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Pr="00247C3D">
        <w:rPr>
          <w:sz w:val="20"/>
          <w:szCs w:val="20"/>
        </w:rPr>
        <w:t>nolikums</w:t>
      </w:r>
    </w:smartTag>
    <w:r w:rsidRPr="00247C3D">
      <w:rPr>
        <w:sz w:val="20"/>
        <w:szCs w:val="20"/>
      </w:rPr>
      <w:t>"” (anotācija)</w:t>
    </w:r>
  </w:p>
  <w:p w:rsidR="00DF6EDF" w:rsidRPr="00DF6EDF" w:rsidRDefault="00DF6EDF" w:rsidP="00DF6EDF">
    <w:pPr>
      <w:pStyle w:val="Footer"/>
    </w:pPr>
  </w:p>
  <w:p w:rsidR="005E7559" w:rsidRPr="00C90504" w:rsidRDefault="005E7559" w:rsidP="006272AD">
    <w:pPr>
      <w:jc w:val="both"/>
      <w:rPr>
        <w:sz w:val="20"/>
        <w:szCs w:val="20"/>
      </w:rPr>
    </w:pPr>
  </w:p>
  <w:p w:rsidR="005E7559" w:rsidRPr="005C6650" w:rsidRDefault="005E7559" w:rsidP="005C6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D7" w:rsidRDefault="007835D7" w:rsidP="00F450E7">
      <w:r>
        <w:separator/>
      </w:r>
    </w:p>
  </w:footnote>
  <w:footnote w:type="continuationSeparator" w:id="0">
    <w:p w:rsidR="007835D7" w:rsidRDefault="007835D7" w:rsidP="00F4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53" w:rsidRDefault="001A2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59" w:rsidRDefault="00DE1AAF">
    <w:pPr>
      <w:pStyle w:val="Header"/>
      <w:jc w:val="center"/>
    </w:pPr>
    <w:r>
      <w:fldChar w:fldCharType="begin"/>
    </w:r>
    <w:r w:rsidR="00E5368D">
      <w:instrText xml:space="preserve"> PAGE   \* MERGEFORMAT </w:instrText>
    </w:r>
    <w:r>
      <w:fldChar w:fldCharType="separate"/>
    </w:r>
    <w:r w:rsidR="001A2053">
      <w:rPr>
        <w:noProof/>
      </w:rPr>
      <w:t>3</w:t>
    </w:r>
    <w:r>
      <w:fldChar w:fldCharType="end"/>
    </w:r>
  </w:p>
  <w:p w:rsidR="005E7559" w:rsidRDefault="005E75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53" w:rsidRDefault="001A2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841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28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625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94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3E5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E9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41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7EC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FE4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80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257573"/>
    <w:multiLevelType w:val="hybridMultilevel"/>
    <w:tmpl w:val="65E2EE92"/>
    <w:lvl w:ilvl="0" w:tplc="5186EF14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>
    <w:nsid w:val="3F640DE8"/>
    <w:multiLevelType w:val="hybridMultilevel"/>
    <w:tmpl w:val="DBB675C4"/>
    <w:lvl w:ilvl="0" w:tplc="55E0F9B4">
      <w:start w:val="1"/>
      <w:numFmt w:val="decimal"/>
      <w:lvlText w:val="%1)"/>
      <w:lvlJc w:val="left"/>
      <w:pPr>
        <w:ind w:left="659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379" w:hanging="360"/>
      </w:pPr>
    </w:lvl>
    <w:lvl w:ilvl="2" w:tplc="0426001B" w:tentative="1">
      <w:start w:val="1"/>
      <w:numFmt w:val="lowerRoman"/>
      <w:lvlText w:val="%3."/>
      <w:lvlJc w:val="right"/>
      <w:pPr>
        <w:ind w:left="2099" w:hanging="180"/>
      </w:pPr>
    </w:lvl>
    <w:lvl w:ilvl="3" w:tplc="0426000F" w:tentative="1">
      <w:start w:val="1"/>
      <w:numFmt w:val="decimal"/>
      <w:lvlText w:val="%4."/>
      <w:lvlJc w:val="left"/>
      <w:pPr>
        <w:ind w:left="2819" w:hanging="360"/>
      </w:pPr>
    </w:lvl>
    <w:lvl w:ilvl="4" w:tplc="04260019" w:tentative="1">
      <w:start w:val="1"/>
      <w:numFmt w:val="lowerLetter"/>
      <w:lvlText w:val="%5."/>
      <w:lvlJc w:val="left"/>
      <w:pPr>
        <w:ind w:left="3539" w:hanging="360"/>
      </w:pPr>
    </w:lvl>
    <w:lvl w:ilvl="5" w:tplc="0426001B" w:tentative="1">
      <w:start w:val="1"/>
      <w:numFmt w:val="lowerRoman"/>
      <w:lvlText w:val="%6."/>
      <w:lvlJc w:val="right"/>
      <w:pPr>
        <w:ind w:left="4259" w:hanging="180"/>
      </w:pPr>
    </w:lvl>
    <w:lvl w:ilvl="6" w:tplc="0426000F" w:tentative="1">
      <w:start w:val="1"/>
      <w:numFmt w:val="decimal"/>
      <w:lvlText w:val="%7."/>
      <w:lvlJc w:val="left"/>
      <w:pPr>
        <w:ind w:left="4979" w:hanging="360"/>
      </w:pPr>
    </w:lvl>
    <w:lvl w:ilvl="7" w:tplc="04260019" w:tentative="1">
      <w:start w:val="1"/>
      <w:numFmt w:val="lowerLetter"/>
      <w:lvlText w:val="%8."/>
      <w:lvlJc w:val="left"/>
      <w:pPr>
        <w:ind w:left="5699" w:hanging="360"/>
      </w:pPr>
    </w:lvl>
    <w:lvl w:ilvl="8" w:tplc="0426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>
    <w:nsid w:val="4ED868A9"/>
    <w:multiLevelType w:val="hybridMultilevel"/>
    <w:tmpl w:val="BE2650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DD"/>
    <w:rsid w:val="00013E66"/>
    <w:rsid w:val="000174AB"/>
    <w:rsid w:val="0002181F"/>
    <w:rsid w:val="00027A06"/>
    <w:rsid w:val="000323B3"/>
    <w:rsid w:val="00041440"/>
    <w:rsid w:val="000426A1"/>
    <w:rsid w:val="00050CC0"/>
    <w:rsid w:val="00052725"/>
    <w:rsid w:val="0005348C"/>
    <w:rsid w:val="00062C17"/>
    <w:rsid w:val="00067070"/>
    <w:rsid w:val="000855E1"/>
    <w:rsid w:val="000B2517"/>
    <w:rsid w:val="000B7B92"/>
    <w:rsid w:val="000C013B"/>
    <w:rsid w:val="000C0825"/>
    <w:rsid w:val="000C2A3E"/>
    <w:rsid w:val="000C30A5"/>
    <w:rsid w:val="000D023E"/>
    <w:rsid w:val="000D5DB9"/>
    <w:rsid w:val="000F24BD"/>
    <w:rsid w:val="000F2CED"/>
    <w:rsid w:val="001014CB"/>
    <w:rsid w:val="00105C7D"/>
    <w:rsid w:val="00107552"/>
    <w:rsid w:val="00110F4F"/>
    <w:rsid w:val="001255E1"/>
    <w:rsid w:val="0013337C"/>
    <w:rsid w:val="0013664D"/>
    <w:rsid w:val="00150274"/>
    <w:rsid w:val="001602A5"/>
    <w:rsid w:val="00170728"/>
    <w:rsid w:val="001720A1"/>
    <w:rsid w:val="001778D7"/>
    <w:rsid w:val="00196C79"/>
    <w:rsid w:val="001A02CE"/>
    <w:rsid w:val="001A2053"/>
    <w:rsid w:val="001B0962"/>
    <w:rsid w:val="001B4D6B"/>
    <w:rsid w:val="001C0D22"/>
    <w:rsid w:val="001C1B2F"/>
    <w:rsid w:val="001D4215"/>
    <w:rsid w:val="001F43F6"/>
    <w:rsid w:val="001F7FD1"/>
    <w:rsid w:val="002031EB"/>
    <w:rsid w:val="00211994"/>
    <w:rsid w:val="0023170A"/>
    <w:rsid w:val="00233EA0"/>
    <w:rsid w:val="002476C5"/>
    <w:rsid w:val="00247938"/>
    <w:rsid w:val="00247C3D"/>
    <w:rsid w:val="00263899"/>
    <w:rsid w:val="0027398B"/>
    <w:rsid w:val="00273D67"/>
    <w:rsid w:val="00273FF1"/>
    <w:rsid w:val="002743C5"/>
    <w:rsid w:val="002774A4"/>
    <w:rsid w:val="00293CC2"/>
    <w:rsid w:val="002A28EF"/>
    <w:rsid w:val="002A42BB"/>
    <w:rsid w:val="002A6DB0"/>
    <w:rsid w:val="002B349D"/>
    <w:rsid w:val="002B7A4F"/>
    <w:rsid w:val="002E03EC"/>
    <w:rsid w:val="00306807"/>
    <w:rsid w:val="00307F23"/>
    <w:rsid w:val="00312B15"/>
    <w:rsid w:val="00321786"/>
    <w:rsid w:val="003309C0"/>
    <w:rsid w:val="00335307"/>
    <w:rsid w:val="00336594"/>
    <w:rsid w:val="003507E8"/>
    <w:rsid w:val="0035259B"/>
    <w:rsid w:val="0036318E"/>
    <w:rsid w:val="003676E7"/>
    <w:rsid w:val="00370532"/>
    <w:rsid w:val="00391E7A"/>
    <w:rsid w:val="0039397A"/>
    <w:rsid w:val="00394B47"/>
    <w:rsid w:val="00397A56"/>
    <w:rsid w:val="003A41C0"/>
    <w:rsid w:val="003A6E50"/>
    <w:rsid w:val="003B2021"/>
    <w:rsid w:val="003B6AFE"/>
    <w:rsid w:val="003C0C91"/>
    <w:rsid w:val="003D6B7D"/>
    <w:rsid w:val="003D78E6"/>
    <w:rsid w:val="003E2D40"/>
    <w:rsid w:val="003E59B0"/>
    <w:rsid w:val="003E7E12"/>
    <w:rsid w:val="003F35F2"/>
    <w:rsid w:val="003F7913"/>
    <w:rsid w:val="00404877"/>
    <w:rsid w:val="0041034C"/>
    <w:rsid w:val="00416C15"/>
    <w:rsid w:val="0041772D"/>
    <w:rsid w:val="00423CAA"/>
    <w:rsid w:val="00424EE1"/>
    <w:rsid w:val="0044493F"/>
    <w:rsid w:val="00453BF5"/>
    <w:rsid w:val="00464A9B"/>
    <w:rsid w:val="00482C33"/>
    <w:rsid w:val="00484032"/>
    <w:rsid w:val="0048573C"/>
    <w:rsid w:val="00490AF5"/>
    <w:rsid w:val="00491313"/>
    <w:rsid w:val="004940EF"/>
    <w:rsid w:val="004A0771"/>
    <w:rsid w:val="004B0016"/>
    <w:rsid w:val="004B5452"/>
    <w:rsid w:val="004B773E"/>
    <w:rsid w:val="004C06A7"/>
    <w:rsid w:val="004C7F2E"/>
    <w:rsid w:val="004D0308"/>
    <w:rsid w:val="004D294C"/>
    <w:rsid w:val="004D7864"/>
    <w:rsid w:val="004D7C5C"/>
    <w:rsid w:val="004E2F8B"/>
    <w:rsid w:val="004E39F6"/>
    <w:rsid w:val="004E72FA"/>
    <w:rsid w:val="004F3C64"/>
    <w:rsid w:val="00500450"/>
    <w:rsid w:val="00520A3F"/>
    <w:rsid w:val="00523699"/>
    <w:rsid w:val="0052533B"/>
    <w:rsid w:val="005314B6"/>
    <w:rsid w:val="00541E15"/>
    <w:rsid w:val="00542240"/>
    <w:rsid w:val="0054384A"/>
    <w:rsid w:val="00567EB4"/>
    <w:rsid w:val="00573D38"/>
    <w:rsid w:val="00584886"/>
    <w:rsid w:val="005951BC"/>
    <w:rsid w:val="005A2A0B"/>
    <w:rsid w:val="005A6C6C"/>
    <w:rsid w:val="005B14DA"/>
    <w:rsid w:val="005B48B9"/>
    <w:rsid w:val="005C51D7"/>
    <w:rsid w:val="005C6650"/>
    <w:rsid w:val="005D4E0C"/>
    <w:rsid w:val="005E1B53"/>
    <w:rsid w:val="005E4462"/>
    <w:rsid w:val="005E7559"/>
    <w:rsid w:val="0060297E"/>
    <w:rsid w:val="006138DE"/>
    <w:rsid w:val="00614E7A"/>
    <w:rsid w:val="00615189"/>
    <w:rsid w:val="0062580D"/>
    <w:rsid w:val="006272AD"/>
    <w:rsid w:val="006443CE"/>
    <w:rsid w:val="00644559"/>
    <w:rsid w:val="006550B7"/>
    <w:rsid w:val="00655FAB"/>
    <w:rsid w:val="00656702"/>
    <w:rsid w:val="00656762"/>
    <w:rsid w:val="006623D0"/>
    <w:rsid w:val="006627B5"/>
    <w:rsid w:val="00667C6F"/>
    <w:rsid w:val="00675C29"/>
    <w:rsid w:val="00681EA1"/>
    <w:rsid w:val="00687767"/>
    <w:rsid w:val="006A47ED"/>
    <w:rsid w:val="006A7F0E"/>
    <w:rsid w:val="006C21D4"/>
    <w:rsid w:val="006C29AF"/>
    <w:rsid w:val="006D79A4"/>
    <w:rsid w:val="006F38F0"/>
    <w:rsid w:val="006F6FEA"/>
    <w:rsid w:val="00707ED7"/>
    <w:rsid w:val="00712ACF"/>
    <w:rsid w:val="007210B7"/>
    <w:rsid w:val="007461BC"/>
    <w:rsid w:val="00746D1A"/>
    <w:rsid w:val="007476CA"/>
    <w:rsid w:val="00751F8C"/>
    <w:rsid w:val="00756268"/>
    <w:rsid w:val="0076117D"/>
    <w:rsid w:val="00764ED0"/>
    <w:rsid w:val="007835D7"/>
    <w:rsid w:val="00791404"/>
    <w:rsid w:val="007967B5"/>
    <w:rsid w:val="007974F8"/>
    <w:rsid w:val="007A4F60"/>
    <w:rsid w:val="007B552D"/>
    <w:rsid w:val="007C00B1"/>
    <w:rsid w:val="007C099C"/>
    <w:rsid w:val="007C4C77"/>
    <w:rsid w:val="007C4D95"/>
    <w:rsid w:val="007D1D48"/>
    <w:rsid w:val="007D29E3"/>
    <w:rsid w:val="007E596E"/>
    <w:rsid w:val="007F2336"/>
    <w:rsid w:val="0080532A"/>
    <w:rsid w:val="00813125"/>
    <w:rsid w:val="00816E7B"/>
    <w:rsid w:val="008305EE"/>
    <w:rsid w:val="0083118F"/>
    <w:rsid w:val="00835249"/>
    <w:rsid w:val="00837273"/>
    <w:rsid w:val="008455D4"/>
    <w:rsid w:val="00853451"/>
    <w:rsid w:val="008538BA"/>
    <w:rsid w:val="00855EE8"/>
    <w:rsid w:val="0085612B"/>
    <w:rsid w:val="00857F51"/>
    <w:rsid w:val="00861145"/>
    <w:rsid w:val="00867425"/>
    <w:rsid w:val="00876804"/>
    <w:rsid w:val="00877B2E"/>
    <w:rsid w:val="00880B16"/>
    <w:rsid w:val="008813F7"/>
    <w:rsid w:val="00885B61"/>
    <w:rsid w:val="00887B93"/>
    <w:rsid w:val="008A5A9F"/>
    <w:rsid w:val="008A7095"/>
    <w:rsid w:val="008B3440"/>
    <w:rsid w:val="008C6D19"/>
    <w:rsid w:val="008E5221"/>
    <w:rsid w:val="00902465"/>
    <w:rsid w:val="00905CF9"/>
    <w:rsid w:val="00907431"/>
    <w:rsid w:val="009107B8"/>
    <w:rsid w:val="00921B6D"/>
    <w:rsid w:val="00937CAF"/>
    <w:rsid w:val="0095768A"/>
    <w:rsid w:val="00963183"/>
    <w:rsid w:val="009734B1"/>
    <w:rsid w:val="0097725D"/>
    <w:rsid w:val="00992521"/>
    <w:rsid w:val="009A11D6"/>
    <w:rsid w:val="009B6490"/>
    <w:rsid w:val="009C3E0A"/>
    <w:rsid w:val="009C4FBA"/>
    <w:rsid w:val="009D7210"/>
    <w:rsid w:val="009E3331"/>
    <w:rsid w:val="00A060FE"/>
    <w:rsid w:val="00A11A4C"/>
    <w:rsid w:val="00A27429"/>
    <w:rsid w:val="00A27B2C"/>
    <w:rsid w:val="00A300E9"/>
    <w:rsid w:val="00A573E5"/>
    <w:rsid w:val="00A57415"/>
    <w:rsid w:val="00A74716"/>
    <w:rsid w:val="00A7677C"/>
    <w:rsid w:val="00A826E2"/>
    <w:rsid w:val="00AA4D48"/>
    <w:rsid w:val="00AA6E98"/>
    <w:rsid w:val="00AC0ED5"/>
    <w:rsid w:val="00AC1384"/>
    <w:rsid w:val="00AC2B12"/>
    <w:rsid w:val="00AD37DB"/>
    <w:rsid w:val="00AD7D90"/>
    <w:rsid w:val="00AE0D56"/>
    <w:rsid w:val="00AE4831"/>
    <w:rsid w:val="00AF073B"/>
    <w:rsid w:val="00AF27DD"/>
    <w:rsid w:val="00AF44F7"/>
    <w:rsid w:val="00AF60B4"/>
    <w:rsid w:val="00B073BF"/>
    <w:rsid w:val="00B20CF6"/>
    <w:rsid w:val="00B316DD"/>
    <w:rsid w:val="00B31B99"/>
    <w:rsid w:val="00B3268C"/>
    <w:rsid w:val="00B35B88"/>
    <w:rsid w:val="00B37D4A"/>
    <w:rsid w:val="00B40A5A"/>
    <w:rsid w:val="00B47A3A"/>
    <w:rsid w:val="00B57408"/>
    <w:rsid w:val="00B65DA1"/>
    <w:rsid w:val="00B73776"/>
    <w:rsid w:val="00B76BF2"/>
    <w:rsid w:val="00B77105"/>
    <w:rsid w:val="00B84474"/>
    <w:rsid w:val="00B90D56"/>
    <w:rsid w:val="00B94D0D"/>
    <w:rsid w:val="00B96F37"/>
    <w:rsid w:val="00BD09C6"/>
    <w:rsid w:val="00BD177B"/>
    <w:rsid w:val="00BD2FA9"/>
    <w:rsid w:val="00BD3E5A"/>
    <w:rsid w:val="00C1123F"/>
    <w:rsid w:val="00C15595"/>
    <w:rsid w:val="00C16040"/>
    <w:rsid w:val="00C17760"/>
    <w:rsid w:val="00C22A99"/>
    <w:rsid w:val="00C3155C"/>
    <w:rsid w:val="00C50209"/>
    <w:rsid w:val="00C50CE8"/>
    <w:rsid w:val="00C51E36"/>
    <w:rsid w:val="00C52583"/>
    <w:rsid w:val="00C52CBF"/>
    <w:rsid w:val="00C55259"/>
    <w:rsid w:val="00C608D8"/>
    <w:rsid w:val="00C62DE1"/>
    <w:rsid w:val="00C708AB"/>
    <w:rsid w:val="00C808F5"/>
    <w:rsid w:val="00C90504"/>
    <w:rsid w:val="00C932EE"/>
    <w:rsid w:val="00C942AB"/>
    <w:rsid w:val="00C94A7E"/>
    <w:rsid w:val="00CB25D6"/>
    <w:rsid w:val="00CB7038"/>
    <w:rsid w:val="00CC5B70"/>
    <w:rsid w:val="00CC5E2E"/>
    <w:rsid w:val="00CD14DE"/>
    <w:rsid w:val="00CF0695"/>
    <w:rsid w:val="00CF1E54"/>
    <w:rsid w:val="00D10F9E"/>
    <w:rsid w:val="00D12648"/>
    <w:rsid w:val="00D1401A"/>
    <w:rsid w:val="00D3409D"/>
    <w:rsid w:val="00D47B61"/>
    <w:rsid w:val="00D518D4"/>
    <w:rsid w:val="00D56CF1"/>
    <w:rsid w:val="00D607E4"/>
    <w:rsid w:val="00D63252"/>
    <w:rsid w:val="00D676A4"/>
    <w:rsid w:val="00D740AE"/>
    <w:rsid w:val="00D90192"/>
    <w:rsid w:val="00DA7CDE"/>
    <w:rsid w:val="00DC3076"/>
    <w:rsid w:val="00DC6C79"/>
    <w:rsid w:val="00DD3CDC"/>
    <w:rsid w:val="00DE1AAF"/>
    <w:rsid w:val="00DE1B27"/>
    <w:rsid w:val="00DF0865"/>
    <w:rsid w:val="00DF265F"/>
    <w:rsid w:val="00DF5814"/>
    <w:rsid w:val="00DF6EDF"/>
    <w:rsid w:val="00E175A6"/>
    <w:rsid w:val="00E230A9"/>
    <w:rsid w:val="00E24751"/>
    <w:rsid w:val="00E25137"/>
    <w:rsid w:val="00E5368D"/>
    <w:rsid w:val="00E57913"/>
    <w:rsid w:val="00E621FA"/>
    <w:rsid w:val="00E6313D"/>
    <w:rsid w:val="00E712E0"/>
    <w:rsid w:val="00E81DE0"/>
    <w:rsid w:val="00E84830"/>
    <w:rsid w:val="00E86DE6"/>
    <w:rsid w:val="00EA177E"/>
    <w:rsid w:val="00EA6E1C"/>
    <w:rsid w:val="00EB2811"/>
    <w:rsid w:val="00EB6DF1"/>
    <w:rsid w:val="00EC1D45"/>
    <w:rsid w:val="00EC4411"/>
    <w:rsid w:val="00EC5465"/>
    <w:rsid w:val="00ED3B76"/>
    <w:rsid w:val="00ED79A6"/>
    <w:rsid w:val="00EE1B80"/>
    <w:rsid w:val="00EF7E12"/>
    <w:rsid w:val="00F00AF4"/>
    <w:rsid w:val="00F00CF0"/>
    <w:rsid w:val="00F00F59"/>
    <w:rsid w:val="00F01A43"/>
    <w:rsid w:val="00F02B63"/>
    <w:rsid w:val="00F07B1A"/>
    <w:rsid w:val="00F12176"/>
    <w:rsid w:val="00F450E7"/>
    <w:rsid w:val="00F50CE5"/>
    <w:rsid w:val="00F52120"/>
    <w:rsid w:val="00F537DB"/>
    <w:rsid w:val="00F54188"/>
    <w:rsid w:val="00F61ADF"/>
    <w:rsid w:val="00F635C5"/>
    <w:rsid w:val="00F75137"/>
    <w:rsid w:val="00F75198"/>
    <w:rsid w:val="00F77572"/>
    <w:rsid w:val="00F80EBE"/>
    <w:rsid w:val="00F8197D"/>
    <w:rsid w:val="00F940BE"/>
    <w:rsid w:val="00F957DA"/>
    <w:rsid w:val="00FB7732"/>
    <w:rsid w:val="00FD64A6"/>
    <w:rsid w:val="00FE2598"/>
    <w:rsid w:val="00FE51E4"/>
    <w:rsid w:val="00F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D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73E"/>
    <w:pPr>
      <w:keepNext/>
      <w:jc w:val="right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F27D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F27D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AF27D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F27D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F27D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B545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4B545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64A9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64A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0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0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E7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95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57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F957DA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F95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811"/>
    <w:pPr>
      <w:ind w:left="720"/>
      <w:contextualSpacing/>
    </w:pPr>
  </w:style>
  <w:style w:type="paragraph" w:customStyle="1" w:styleId="CharCharRakstzCharChar1RakstzCharChar1">
    <w:name w:val="Char Char Rakstz. Char Char1 Rakstz. Char Char1"/>
    <w:basedOn w:val="Normal"/>
    <w:next w:val="BlockText"/>
    <w:rsid w:val="00F751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F7519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DokChampa"/>
      <w:i/>
      <w:iCs/>
      <w:color w:val="4F81BD"/>
    </w:rPr>
  </w:style>
  <w:style w:type="paragraph" w:styleId="NoSpacing">
    <w:name w:val="No Spacing"/>
    <w:uiPriority w:val="1"/>
    <w:qFormat/>
    <w:rsid w:val="0087680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CE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B773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A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A9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B6DF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B6DF1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EB6DF1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customStyle="1" w:styleId="RakstzCharCharRakstzCharCharRakstz">
    <w:name w:val="Rakstz. Char Char Rakstz. Char Char Rakstz."/>
    <w:basedOn w:val="Normal"/>
    <w:rsid w:val="006258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751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2007.gada 27.februāra noteikumos Nr.147 " Rīgas Tehniskās koledžas nolikums""</vt:lpstr>
    </vt:vector>
  </TitlesOfParts>
  <Company>Izglītības un zinātnes ministrija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2007.gada 27.februāra noteikumos Nr.147 " Rīgas Tehniskās koledžas nolikums""</dc:title>
  <dc:subject> anotācija</dc:subject>
  <dc:creator>Izolde Rotberga</dc:creator>
  <cp:keywords>kompetences centrs, Rīgas Tehniskā koledža</cp:keywords>
  <dc:description>izolde.rotberga, 67047824, fakss 67243126,
izolde.rotberga@izm.gov.lv</dc:description>
  <cp:lastModifiedBy>irotberga</cp:lastModifiedBy>
  <cp:revision>20</cp:revision>
  <cp:lastPrinted>2011-10-26T09:03:00Z</cp:lastPrinted>
  <dcterms:created xsi:type="dcterms:W3CDTF">2011-10-26T06:19:00Z</dcterms:created>
  <dcterms:modified xsi:type="dcterms:W3CDTF">2011-10-27T13:05:00Z</dcterms:modified>
</cp:coreProperties>
</file>