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Pr="008559E7" w:rsidRDefault="003A5E20" w:rsidP="00846994">
      <w:pPr>
        <w:pStyle w:val="naislab"/>
        <w:jc w:val="center"/>
        <w:outlineLvl w:val="0"/>
        <w:rPr>
          <w:b/>
        </w:rPr>
      </w:pPr>
      <w:r w:rsidRPr="008559E7">
        <w:rPr>
          <w:b/>
        </w:rPr>
        <w:t>Minist</w:t>
      </w:r>
      <w:r w:rsidR="003C4AA8" w:rsidRPr="008559E7">
        <w:rPr>
          <w:b/>
        </w:rPr>
        <w:t>ru kabineta</w:t>
      </w:r>
      <w:r w:rsidR="00E43442" w:rsidRPr="008559E7">
        <w:rPr>
          <w:b/>
        </w:rPr>
        <w:t xml:space="preserve"> </w:t>
      </w:r>
      <w:r w:rsidR="00AB320B" w:rsidRPr="008559E7">
        <w:rPr>
          <w:b/>
        </w:rPr>
        <w:t xml:space="preserve">noteikumu </w:t>
      </w:r>
      <w:r w:rsidR="00E43442" w:rsidRPr="008559E7">
        <w:rPr>
          <w:b/>
        </w:rPr>
        <w:t xml:space="preserve">projekta </w:t>
      </w:r>
      <w:r w:rsidR="00DF1645" w:rsidRPr="008559E7">
        <w:rPr>
          <w:b/>
        </w:rPr>
        <w:t>„</w:t>
      </w:r>
      <w:r w:rsidR="00C64F01" w:rsidRPr="008559E7">
        <w:rPr>
          <w:b/>
          <w:bCs/>
        </w:rPr>
        <w:t xml:space="preserve">Grozījumi Ministru kabineta </w:t>
      </w:r>
      <w:r w:rsidR="003F7564">
        <w:rPr>
          <w:b/>
        </w:rPr>
        <w:t>2010</w:t>
      </w:r>
      <w:r w:rsidR="009C22ED">
        <w:rPr>
          <w:b/>
        </w:rPr>
        <w:t>.gada 6.aprīļa noteikumos Nr.334</w:t>
      </w:r>
      <w:r w:rsidR="00C64F01" w:rsidRPr="008559E7">
        <w:rPr>
          <w:b/>
        </w:rPr>
        <w:t xml:space="preserve"> „</w:t>
      </w:r>
      <w:r w:rsidR="003F7564">
        <w:rPr>
          <w:b/>
          <w:bCs/>
        </w:rPr>
        <w:t xml:space="preserve">Noteikumi par </w:t>
      </w:r>
      <w:r w:rsidR="009C22ED">
        <w:rPr>
          <w:b/>
          <w:bCs/>
        </w:rPr>
        <w:t xml:space="preserve">valsts pārbaudījumu </w:t>
      </w:r>
      <w:r w:rsidR="003F7564">
        <w:rPr>
          <w:b/>
          <w:bCs/>
        </w:rPr>
        <w:t>norises kārtību</w:t>
      </w:r>
      <w:r w:rsidR="00D0387B">
        <w:rPr>
          <w:b/>
        </w:rPr>
        <w:t>”</w:t>
      </w:r>
      <w:r w:rsidR="00E82D42" w:rsidRPr="008559E7">
        <w:rPr>
          <w:b/>
        </w:rPr>
        <w:t>”</w:t>
      </w:r>
      <w:r w:rsidRPr="008559E7">
        <w:rPr>
          <w:b/>
        </w:rPr>
        <w:t xml:space="preserve"> </w:t>
      </w:r>
      <w:r w:rsidR="00852042" w:rsidRPr="008559E7">
        <w:rPr>
          <w:b/>
        </w:rPr>
        <w:t>sākotnējā</w:t>
      </w:r>
      <w:r w:rsidR="002D3306" w:rsidRPr="008559E7">
        <w:rPr>
          <w:b/>
        </w:rPr>
        <w:t>s</w:t>
      </w:r>
      <w:r w:rsidR="00852042" w:rsidRPr="008559E7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8559E7">
          <w:rPr>
            <w:b/>
          </w:rPr>
          <w:t>ziņojums</w:t>
        </w:r>
      </w:smartTag>
      <w:r w:rsidR="00852042" w:rsidRPr="008559E7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9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967"/>
        <w:gridCol w:w="5395"/>
      </w:tblGrid>
      <w:tr w:rsidR="00852042" w:rsidRPr="008559E7" w:rsidTr="006B3698">
        <w:trPr>
          <w:tblCellSpacing w:w="0" w:type="dxa"/>
        </w:trPr>
        <w:tc>
          <w:tcPr>
            <w:tcW w:w="8939" w:type="dxa"/>
            <w:gridSpan w:val="3"/>
            <w:vAlign w:val="center"/>
          </w:tcPr>
          <w:p w:rsidR="00852042" w:rsidRPr="008559E7" w:rsidRDefault="00852042" w:rsidP="00917532">
            <w:pPr>
              <w:pStyle w:val="naisnod"/>
            </w:pPr>
            <w:r w:rsidRPr="008559E7">
              <w:t xml:space="preserve"> I Tiesību akta </w:t>
            </w:r>
            <w:r w:rsidR="002E3FF4" w:rsidRPr="008559E7">
              <w:t xml:space="preserve">projekta </w:t>
            </w:r>
            <w:r w:rsidRPr="008559E7">
              <w:t>izstrādes nepieciešamība</w:t>
            </w:r>
          </w:p>
        </w:tc>
      </w:tr>
      <w:tr w:rsidR="00262E2B" w:rsidRPr="008559E7" w:rsidTr="006B3698">
        <w:trPr>
          <w:trHeight w:val="630"/>
          <w:tblCellSpacing w:w="0" w:type="dxa"/>
        </w:trPr>
        <w:tc>
          <w:tcPr>
            <w:tcW w:w="577" w:type="dxa"/>
          </w:tcPr>
          <w:p w:rsidR="00262E2B" w:rsidRPr="008559E7" w:rsidRDefault="00262E2B" w:rsidP="001B6029">
            <w:pPr>
              <w:pStyle w:val="naiskr"/>
              <w:spacing w:before="0"/>
              <w:ind w:left="181" w:hanging="181"/>
              <w:jc w:val="center"/>
            </w:pPr>
            <w:r w:rsidRPr="008559E7">
              <w:t>1.</w:t>
            </w:r>
          </w:p>
        </w:tc>
        <w:tc>
          <w:tcPr>
            <w:tcW w:w="2967" w:type="dxa"/>
          </w:tcPr>
          <w:p w:rsidR="00262E2B" w:rsidRPr="008559E7" w:rsidRDefault="002D7F54" w:rsidP="001B6029">
            <w:pPr>
              <w:pStyle w:val="naiskr"/>
              <w:spacing w:before="0" w:after="0"/>
              <w:ind w:left="17" w:hanging="17"/>
            </w:pPr>
            <w:r w:rsidRPr="008559E7">
              <w:t>Pamatojums</w:t>
            </w:r>
          </w:p>
        </w:tc>
        <w:tc>
          <w:tcPr>
            <w:tcW w:w="5395" w:type="dxa"/>
          </w:tcPr>
          <w:p w:rsidR="00E70F17" w:rsidRPr="008559E7" w:rsidRDefault="005C59CD" w:rsidP="00F663EE">
            <w:pPr>
              <w:jc w:val="both"/>
            </w:pPr>
            <w:r w:rsidRPr="008559E7">
              <w:t xml:space="preserve">Ministru kabineta noteikumu projekta </w:t>
            </w:r>
            <w:r w:rsidRPr="008559E7">
              <w:rPr>
                <w:bCs/>
                <w:color w:val="000000"/>
              </w:rPr>
              <w:t>„</w:t>
            </w:r>
            <w:r w:rsidR="00C64F01" w:rsidRPr="008559E7">
              <w:rPr>
                <w:bCs/>
              </w:rPr>
              <w:t xml:space="preserve">Grozījumi Ministru kabineta </w:t>
            </w:r>
            <w:r w:rsidR="003F7564">
              <w:t>2010</w:t>
            </w:r>
            <w:r w:rsidR="00F663EE">
              <w:t>.gada 6.aprīļa noteikumos Nr.334</w:t>
            </w:r>
            <w:r w:rsidR="00C64F01" w:rsidRPr="008559E7">
              <w:t xml:space="preserve"> „</w:t>
            </w:r>
            <w:r w:rsidR="003F7564">
              <w:rPr>
                <w:bCs/>
              </w:rPr>
              <w:t xml:space="preserve">Noteikumi par </w:t>
            </w:r>
            <w:r w:rsidR="00F663EE">
              <w:rPr>
                <w:bCs/>
              </w:rPr>
              <w:t>valsts pārbaudījumu</w:t>
            </w:r>
            <w:r w:rsidR="003F7564">
              <w:rPr>
                <w:bCs/>
              </w:rPr>
              <w:t xml:space="preserve"> norises kārtību</w:t>
            </w:r>
            <w:r w:rsidRPr="008559E7">
              <w:t xml:space="preserve">”” </w:t>
            </w:r>
            <w:r w:rsidR="00285D29" w:rsidRPr="008559E7">
              <w:t>(</w:t>
            </w:r>
            <w:r w:rsidR="006576DE" w:rsidRPr="008559E7">
              <w:t xml:space="preserve">turpmāk – </w:t>
            </w:r>
            <w:r w:rsidRPr="008559E7">
              <w:t>noteikumu projek</w:t>
            </w:r>
            <w:r w:rsidRPr="008559E7">
              <w:rPr>
                <w:color w:val="000000"/>
              </w:rPr>
              <w:t xml:space="preserve">ts) </w:t>
            </w:r>
            <w:r w:rsidRPr="008559E7">
              <w:t>izs</w:t>
            </w:r>
            <w:r w:rsidR="006A78AC" w:rsidRPr="008559E7">
              <w:t>trādes nepiecieš</w:t>
            </w:r>
            <w:r w:rsidR="003F7564">
              <w:t>amība i</w:t>
            </w:r>
            <w:r w:rsidR="00F663EE">
              <w:t>zriet no izstrādātā</w:t>
            </w:r>
            <w:r w:rsidR="003F7564">
              <w:t xml:space="preserve"> </w:t>
            </w:r>
            <w:r w:rsidR="006A78AC" w:rsidRPr="008559E7">
              <w:rPr>
                <w:bCs/>
                <w:color w:val="000000"/>
              </w:rPr>
              <w:t xml:space="preserve">Ministru kabineta </w:t>
            </w:r>
            <w:r w:rsidR="003F7564">
              <w:rPr>
                <w:bCs/>
                <w:color w:val="000000"/>
              </w:rPr>
              <w:t xml:space="preserve">noteikumu projekta </w:t>
            </w:r>
            <w:r w:rsidR="003F7564">
              <w:t xml:space="preserve">„Noteikumi par </w:t>
            </w:r>
            <w:r w:rsidR="003F7564" w:rsidRPr="00435535">
              <w:t>valsts pā</w:t>
            </w:r>
            <w:r w:rsidR="003F7564">
              <w:t>rbaudes darbu norises laiku 2012./2013</w:t>
            </w:r>
            <w:r w:rsidR="003F7564" w:rsidRPr="00435535">
              <w:t>.mācību gadā”</w:t>
            </w:r>
            <w:r w:rsidR="003F7564">
              <w:t xml:space="preserve"> (turpmāk – noteikumu projekts par pārbaudes darbu norises laiku)</w:t>
            </w:r>
            <w:r w:rsidR="00F663EE">
              <w:t xml:space="preserve"> un </w:t>
            </w:r>
            <w:r w:rsidR="00F663EE" w:rsidRPr="008559E7">
              <w:t xml:space="preserve">Ministru kabineta noteikumu projekta </w:t>
            </w:r>
            <w:r w:rsidR="00F663EE" w:rsidRPr="008559E7">
              <w:rPr>
                <w:bCs/>
                <w:color w:val="000000"/>
              </w:rPr>
              <w:t>„</w:t>
            </w:r>
            <w:r w:rsidR="00F663EE" w:rsidRPr="008559E7">
              <w:rPr>
                <w:bCs/>
              </w:rPr>
              <w:t xml:space="preserve">Grozījumi Ministru kabineta </w:t>
            </w:r>
            <w:r w:rsidR="00F663EE">
              <w:t>2010.gada 6.aprīļa noteikumos Nr.335</w:t>
            </w:r>
            <w:r w:rsidR="00F663EE" w:rsidRPr="008559E7">
              <w:t xml:space="preserve"> „</w:t>
            </w:r>
            <w:r w:rsidR="00F663EE">
              <w:rPr>
                <w:bCs/>
              </w:rPr>
              <w:t>Noteikumi par centralizēto eksāmenu saturu un norises kārtību</w:t>
            </w:r>
            <w:r w:rsidR="00F663EE" w:rsidRPr="008559E7">
              <w:t>””</w:t>
            </w:r>
            <w:r w:rsidR="003F7564">
              <w:t>.</w:t>
            </w:r>
          </w:p>
        </w:tc>
      </w:tr>
      <w:tr w:rsidR="00262E2B" w:rsidRPr="008559E7" w:rsidTr="00CA2305">
        <w:trPr>
          <w:trHeight w:val="416"/>
          <w:tblCellSpacing w:w="0" w:type="dxa"/>
        </w:trPr>
        <w:tc>
          <w:tcPr>
            <w:tcW w:w="577" w:type="dxa"/>
          </w:tcPr>
          <w:p w:rsidR="00262E2B" w:rsidRPr="008559E7" w:rsidRDefault="00262E2B" w:rsidP="001B6029">
            <w:pPr>
              <w:pStyle w:val="naiskr"/>
              <w:spacing w:before="0"/>
              <w:jc w:val="center"/>
            </w:pPr>
            <w:r w:rsidRPr="008559E7">
              <w:t>2.</w:t>
            </w:r>
          </w:p>
        </w:tc>
        <w:tc>
          <w:tcPr>
            <w:tcW w:w="2967" w:type="dxa"/>
          </w:tcPr>
          <w:p w:rsidR="00262E2B" w:rsidRPr="008559E7" w:rsidRDefault="00262E2B" w:rsidP="001B6029">
            <w:pPr>
              <w:pStyle w:val="naiskr"/>
              <w:spacing w:before="0" w:after="0"/>
              <w:ind w:left="17"/>
            </w:pPr>
            <w:r w:rsidRPr="008559E7">
              <w:t>Pašreizējā situācija</w:t>
            </w:r>
            <w:r w:rsidR="001F5CD6" w:rsidRPr="008559E7">
              <w:t xml:space="preserve"> un problēmas</w:t>
            </w:r>
          </w:p>
        </w:tc>
        <w:tc>
          <w:tcPr>
            <w:tcW w:w="5395" w:type="dxa"/>
            <w:vAlign w:val="center"/>
          </w:tcPr>
          <w:p w:rsidR="00CE5276" w:rsidRPr="00377111" w:rsidRDefault="00CE5276" w:rsidP="008703F7">
            <w:pPr>
              <w:ind w:left="8" w:firstLine="8"/>
              <w:jc w:val="both"/>
              <w:rPr>
                <w:bCs/>
              </w:rPr>
            </w:pPr>
            <w:r w:rsidRPr="00377111">
              <w:t>Ņemot vērā</w:t>
            </w:r>
            <w:r w:rsidR="00130EF0" w:rsidRPr="00377111">
              <w:t xml:space="preserve"> arodbiedrības „Latvijas izglītības vadītāju asociācija” </w:t>
            </w:r>
            <w:r w:rsidR="004B6266" w:rsidRPr="006A7E07">
              <w:t>atbalstu iecerei</w:t>
            </w:r>
            <w:r w:rsidRPr="00377111">
              <w:t xml:space="preserve"> samazināt </w:t>
            </w:r>
            <w:r w:rsidR="00BA05AD" w:rsidRPr="00377111">
              <w:t>vispārējās vidējās izglītības izglītojamo</w:t>
            </w:r>
            <w:r w:rsidRPr="00377111">
              <w:t xml:space="preserve"> slodzi </w:t>
            </w:r>
            <w:r w:rsidR="00BA05AD" w:rsidRPr="00377111">
              <w:t xml:space="preserve">un spriedzi </w:t>
            </w:r>
            <w:r w:rsidRPr="00377111">
              <w:t>valsts pārbaudījumu laikā</w:t>
            </w:r>
            <w:r w:rsidR="00BA05AD" w:rsidRPr="00377111">
              <w:t xml:space="preserve"> maija beigās un jūnijā</w:t>
            </w:r>
            <w:r w:rsidRPr="00377111">
              <w:t>, noteikumu projekts par pārbaudes darbu norises laiku paredz pirmā eksāmena – angļu valodas centralizētā eksāmena (turpmāk – eksāmens) norisi jau mācību gada otrā semestra laikā</w:t>
            </w:r>
            <w:r w:rsidRPr="00377111">
              <w:rPr>
                <w:bCs/>
              </w:rPr>
              <w:t>. Līdz ar to ir nepieciešams veikt grozījumus normatīvajos aktos, kas nosaka valsts pārbaudījumu norises kārtību.</w:t>
            </w:r>
          </w:p>
          <w:p w:rsidR="00357450" w:rsidRDefault="003F7564" w:rsidP="008703F7">
            <w:pPr>
              <w:ind w:left="8" w:firstLine="8"/>
              <w:jc w:val="both"/>
              <w:rPr>
                <w:bCs/>
              </w:rPr>
            </w:pPr>
            <w:r w:rsidRPr="008559E7">
              <w:rPr>
                <w:bCs/>
              </w:rPr>
              <w:t xml:space="preserve">Ministru kabineta </w:t>
            </w:r>
            <w:r>
              <w:t>2010</w:t>
            </w:r>
            <w:r w:rsidR="00F663EE">
              <w:t>.gada 6.aprīļa noteikumos Nr.334</w:t>
            </w:r>
            <w:r w:rsidRPr="008559E7">
              <w:t xml:space="preserve"> „</w:t>
            </w:r>
            <w:r>
              <w:rPr>
                <w:bCs/>
              </w:rPr>
              <w:t xml:space="preserve">Noteikumi par </w:t>
            </w:r>
            <w:r w:rsidR="00F663EE">
              <w:rPr>
                <w:bCs/>
              </w:rPr>
              <w:t xml:space="preserve">valsts pārbaudījumu </w:t>
            </w:r>
            <w:r>
              <w:rPr>
                <w:bCs/>
              </w:rPr>
              <w:t>norises kārtību</w:t>
            </w:r>
            <w:r w:rsidRPr="008559E7">
              <w:t>”</w:t>
            </w:r>
            <w:r w:rsidR="00F663EE">
              <w:t xml:space="preserve"> (turpmāk – noteikumi Nr.334</w:t>
            </w:r>
            <w:r>
              <w:t xml:space="preserve">) </w:t>
            </w:r>
            <w:r w:rsidR="00F663EE">
              <w:t>valsts pārbaudījumu</w:t>
            </w:r>
            <w:r>
              <w:t xml:space="preserve"> </w:t>
            </w:r>
            <w:r w:rsidR="008B3548">
              <w:t xml:space="preserve">organizēšanai norādītie termiņi ir </w:t>
            </w:r>
            <w:r w:rsidR="008703F7">
              <w:t>saistīti ar termiņiem, kas noteik</w:t>
            </w:r>
            <w:r w:rsidR="00CE5276">
              <w:t>ti centralizētajiem eksāmeniem.</w:t>
            </w:r>
          </w:p>
          <w:p w:rsidR="002F215B" w:rsidRDefault="0050669E" w:rsidP="008703F7">
            <w:pPr>
              <w:ind w:left="8" w:firstLine="8"/>
              <w:jc w:val="both"/>
            </w:pPr>
            <w:r>
              <w:rPr>
                <w:bCs/>
              </w:rPr>
              <w:t>A</w:t>
            </w:r>
            <w:r w:rsidR="000D4F91">
              <w:rPr>
                <w:bCs/>
              </w:rPr>
              <w:t xml:space="preserve">tbilstoši nepieciešams veikt grozījumus </w:t>
            </w:r>
            <w:r w:rsidR="008703F7" w:rsidRPr="008559E7">
              <w:rPr>
                <w:bCs/>
              </w:rPr>
              <w:t xml:space="preserve">Ministru kabineta </w:t>
            </w:r>
            <w:r w:rsidR="008703F7">
              <w:t>2010.gada 6.aprīļa noteikumos Nr.335</w:t>
            </w:r>
            <w:r w:rsidR="008703F7" w:rsidRPr="008559E7">
              <w:t xml:space="preserve"> „</w:t>
            </w:r>
            <w:r w:rsidR="008703F7">
              <w:rPr>
                <w:bCs/>
              </w:rPr>
              <w:t>Noteikumi par centralizēto eksāmenu saturu un norises kārtību</w:t>
            </w:r>
            <w:r w:rsidR="008703F7" w:rsidRPr="008559E7">
              <w:t>”</w:t>
            </w:r>
            <w:r w:rsidR="00746FF5">
              <w:t xml:space="preserve"> (turpmāk – noteikumi Nr.335)</w:t>
            </w:r>
            <w:r w:rsidR="008703F7">
              <w:t xml:space="preserve"> un </w:t>
            </w:r>
            <w:r w:rsidR="008703F7">
              <w:rPr>
                <w:bCs/>
              </w:rPr>
              <w:t>noteikumos Nr.334</w:t>
            </w:r>
            <w:r w:rsidR="000D4F91">
              <w:rPr>
                <w:bCs/>
              </w:rPr>
              <w:t xml:space="preserve"> noteiktajiem </w:t>
            </w:r>
            <w:r w:rsidR="008703F7">
              <w:rPr>
                <w:bCs/>
              </w:rPr>
              <w:t>valsts pārbaudījumu</w:t>
            </w:r>
            <w:r w:rsidR="000D4F91">
              <w:rPr>
                <w:bCs/>
              </w:rPr>
              <w:t xml:space="preserve"> organizēšanas procesa termiņiem</w:t>
            </w:r>
            <w:r w:rsidR="00275C79" w:rsidRPr="008559E7">
              <w:t>.</w:t>
            </w:r>
          </w:p>
          <w:p w:rsidR="004A7ADE" w:rsidRPr="004A7ADE" w:rsidRDefault="004A7ADE" w:rsidP="00C8475F">
            <w:pPr>
              <w:ind w:left="8" w:firstLine="8"/>
              <w:jc w:val="both"/>
              <w:rPr>
                <w:color w:val="FF0000"/>
              </w:rPr>
            </w:pPr>
            <w:r w:rsidRPr="00377111">
              <w:t xml:space="preserve">Šobrīd </w:t>
            </w:r>
            <w:r w:rsidR="00746FF5" w:rsidRPr="00377111">
              <w:t>noteikumos Nr.335 un noteikumos Nr.334 tiek lietoti atšķirīgi nosaukumi vienai un tai pašai inform</w:t>
            </w:r>
            <w:r w:rsidR="00C8475F" w:rsidRPr="00377111">
              <w:t xml:space="preserve">ācijas sistēmai. Grozījumi noteikumos Nr.334 paredz abos normatīvajos aktos </w:t>
            </w:r>
            <w:r w:rsidR="00746FF5" w:rsidRPr="00377111">
              <w:t>šos nosaukumus vienādot.</w:t>
            </w:r>
          </w:p>
        </w:tc>
      </w:tr>
      <w:tr w:rsidR="00262E2B" w:rsidRPr="008559E7" w:rsidTr="006B3698">
        <w:trPr>
          <w:trHeight w:val="735"/>
          <w:tblCellSpacing w:w="0" w:type="dxa"/>
        </w:trPr>
        <w:tc>
          <w:tcPr>
            <w:tcW w:w="577" w:type="dxa"/>
          </w:tcPr>
          <w:p w:rsidR="00262E2B" w:rsidRPr="008559E7" w:rsidRDefault="00262E2B" w:rsidP="001B6029">
            <w:pPr>
              <w:pStyle w:val="naiskr"/>
              <w:spacing w:before="0"/>
              <w:jc w:val="center"/>
            </w:pPr>
            <w:r w:rsidRPr="008559E7">
              <w:t>3.</w:t>
            </w:r>
          </w:p>
        </w:tc>
        <w:tc>
          <w:tcPr>
            <w:tcW w:w="2967" w:type="dxa"/>
          </w:tcPr>
          <w:p w:rsidR="00262E2B" w:rsidRPr="008559E7" w:rsidRDefault="00420870" w:rsidP="001B6029">
            <w:pPr>
              <w:pStyle w:val="naiskr"/>
              <w:spacing w:before="0" w:after="0"/>
              <w:ind w:left="17"/>
            </w:pPr>
            <w:r w:rsidRPr="008559E7">
              <w:t>S</w:t>
            </w:r>
            <w:r w:rsidR="000B69CF" w:rsidRPr="008559E7">
              <w:t xml:space="preserve">aistītie </w:t>
            </w:r>
            <w:r w:rsidR="001A6AE4" w:rsidRPr="008559E7">
              <w:t>politikas ietekmes novērtējumi</w:t>
            </w:r>
            <w:r w:rsidR="00CB0247" w:rsidRPr="008559E7">
              <w:t xml:space="preserve"> un</w:t>
            </w:r>
            <w:r w:rsidR="001A6AE4" w:rsidRPr="008559E7">
              <w:t xml:space="preserve"> </w:t>
            </w:r>
            <w:r w:rsidR="000B69CF" w:rsidRPr="008559E7">
              <w:t>pētījumi</w:t>
            </w:r>
          </w:p>
        </w:tc>
        <w:tc>
          <w:tcPr>
            <w:tcW w:w="5395" w:type="dxa"/>
          </w:tcPr>
          <w:p w:rsidR="00D20FF4" w:rsidRPr="008559E7" w:rsidRDefault="00534418" w:rsidP="006B3698">
            <w:pPr>
              <w:pStyle w:val="naiskr"/>
              <w:spacing w:before="0"/>
            </w:pPr>
            <w:r w:rsidRPr="008559E7">
              <w:rPr>
                <w:i/>
                <w:iCs/>
              </w:rPr>
              <w:t xml:space="preserve"> </w:t>
            </w:r>
            <w:r w:rsidR="00D67C01" w:rsidRPr="008559E7">
              <w:rPr>
                <w:iCs/>
              </w:rPr>
              <w:t>Noteikumu p</w:t>
            </w:r>
            <w:r w:rsidR="00755855" w:rsidRPr="008559E7">
              <w:rPr>
                <w:iCs/>
              </w:rPr>
              <w:t>rojekts šo jomu neskar</w:t>
            </w:r>
            <w:r w:rsidR="00795EEE" w:rsidRPr="008559E7">
              <w:rPr>
                <w:iCs/>
              </w:rPr>
              <w:t>.</w:t>
            </w:r>
          </w:p>
        </w:tc>
      </w:tr>
      <w:tr w:rsidR="00262E2B" w:rsidRPr="008559E7" w:rsidTr="006B3698">
        <w:trPr>
          <w:trHeight w:val="725"/>
          <w:tblCellSpacing w:w="0" w:type="dxa"/>
        </w:trPr>
        <w:tc>
          <w:tcPr>
            <w:tcW w:w="577" w:type="dxa"/>
          </w:tcPr>
          <w:p w:rsidR="00262E2B" w:rsidRPr="008559E7" w:rsidRDefault="00262E2B" w:rsidP="001B6029">
            <w:pPr>
              <w:pStyle w:val="naiskr"/>
              <w:spacing w:before="0"/>
              <w:jc w:val="center"/>
            </w:pPr>
            <w:r w:rsidRPr="008559E7">
              <w:t>4.</w:t>
            </w:r>
          </w:p>
        </w:tc>
        <w:tc>
          <w:tcPr>
            <w:tcW w:w="2967" w:type="dxa"/>
          </w:tcPr>
          <w:p w:rsidR="00262E2B" w:rsidRPr="008559E7" w:rsidRDefault="000C790C" w:rsidP="001B6029">
            <w:pPr>
              <w:pStyle w:val="naiskr"/>
              <w:spacing w:before="0" w:after="0"/>
              <w:ind w:left="17"/>
            </w:pPr>
            <w:r w:rsidRPr="008559E7">
              <w:t>Tiesiskā r</w:t>
            </w:r>
            <w:r w:rsidR="00400032" w:rsidRPr="008559E7">
              <w:t xml:space="preserve">egulējuma </w:t>
            </w:r>
            <w:r w:rsidR="00262E2B" w:rsidRPr="008559E7">
              <w:t>mērķis un būtība</w:t>
            </w:r>
          </w:p>
          <w:p w:rsidR="00262E2B" w:rsidRPr="008559E7" w:rsidRDefault="00262E2B" w:rsidP="001B6029">
            <w:pPr>
              <w:pStyle w:val="naiskr"/>
              <w:spacing w:before="0" w:after="0"/>
              <w:ind w:left="360" w:hanging="360"/>
            </w:pPr>
          </w:p>
          <w:p w:rsidR="00262E2B" w:rsidRPr="008559E7" w:rsidRDefault="00262E2B" w:rsidP="001B6029">
            <w:pPr>
              <w:pStyle w:val="naiskr"/>
              <w:spacing w:before="0" w:after="0"/>
              <w:ind w:left="170"/>
            </w:pPr>
          </w:p>
        </w:tc>
        <w:tc>
          <w:tcPr>
            <w:tcW w:w="5395" w:type="dxa"/>
          </w:tcPr>
          <w:p w:rsidR="000D4F91" w:rsidRPr="00377111" w:rsidRDefault="00D02202" w:rsidP="000D4F91">
            <w:pPr>
              <w:pStyle w:val="naiskr"/>
              <w:spacing w:before="0" w:after="0"/>
              <w:jc w:val="both"/>
            </w:pPr>
            <w:r w:rsidRPr="008559E7">
              <w:lastRenderedPageBreak/>
              <w:t>G</w:t>
            </w:r>
            <w:r w:rsidR="00B8547D" w:rsidRPr="008559E7">
              <w:t>roz</w:t>
            </w:r>
            <w:r w:rsidR="008703F7">
              <w:t>ījumi noteikumos Nr.334</w:t>
            </w:r>
            <w:r w:rsidR="00A850F2" w:rsidRPr="008559E7">
              <w:t xml:space="preserve"> paredz </w:t>
            </w:r>
            <w:r w:rsidR="000D4F91" w:rsidRPr="009F3E38">
              <w:t xml:space="preserve">veikt izmaiņas </w:t>
            </w:r>
            <w:r w:rsidR="0087021D">
              <w:t xml:space="preserve">izglītojamo pieteikšanās </w:t>
            </w:r>
            <w:r w:rsidR="00D65718">
              <w:t>valsts pārbaudījumu</w:t>
            </w:r>
            <w:r w:rsidR="0087021D">
              <w:t xml:space="preserve"> kārtošanai termiņā, </w:t>
            </w:r>
            <w:r w:rsidR="00D65718">
              <w:t xml:space="preserve">valsts pārbaudījuma komisijas izveidošanas </w:t>
            </w:r>
            <w:r w:rsidR="00D65718">
              <w:lastRenderedPageBreak/>
              <w:t xml:space="preserve">termiņā, valsts pārbaudījuma vadītāja </w:t>
            </w:r>
            <w:r w:rsidR="0087021D">
              <w:t>u</w:t>
            </w:r>
            <w:r w:rsidR="00D65718">
              <w:t>n vērtētāja norīkošanas termiņā</w:t>
            </w:r>
            <w:r w:rsidR="00746FF5" w:rsidRPr="00377111">
              <w:t>, kā arī mainīt nosaukumu informācijas sistēmai</w:t>
            </w:r>
            <w:r w:rsidR="00C05B8B" w:rsidRPr="00377111">
              <w:t xml:space="preserve"> atbilstoši nosaukumam noteikumos Nr.335.</w:t>
            </w:r>
          </w:p>
          <w:p w:rsidR="00A73A7E" w:rsidRPr="008559E7" w:rsidRDefault="000D4F91" w:rsidP="0050669E">
            <w:pPr>
              <w:jc w:val="both"/>
            </w:pPr>
            <w:r>
              <w:t>N</w:t>
            </w:r>
            <w:r w:rsidR="0087021D">
              <w:t>oteikumu pr</w:t>
            </w:r>
            <w:r w:rsidR="0050669E">
              <w:t>ojekts būtiski paplašina izglītojamā iespējas mainīt iepriekš izvēlētos eksāmenus vai kārtot papildu eksāmenu.</w:t>
            </w:r>
          </w:p>
        </w:tc>
      </w:tr>
      <w:tr w:rsidR="00046EE0" w:rsidRPr="008559E7" w:rsidTr="006B3698">
        <w:trPr>
          <w:trHeight w:val="725"/>
          <w:tblCellSpacing w:w="0" w:type="dxa"/>
        </w:trPr>
        <w:tc>
          <w:tcPr>
            <w:tcW w:w="577" w:type="dxa"/>
          </w:tcPr>
          <w:p w:rsidR="00046EE0" w:rsidRPr="008559E7" w:rsidRDefault="00046EE0" w:rsidP="001B6029">
            <w:pPr>
              <w:pStyle w:val="naiskr"/>
              <w:spacing w:before="0"/>
              <w:jc w:val="center"/>
            </w:pPr>
            <w:r w:rsidRPr="008559E7">
              <w:lastRenderedPageBreak/>
              <w:t>5.</w:t>
            </w:r>
          </w:p>
        </w:tc>
        <w:tc>
          <w:tcPr>
            <w:tcW w:w="2967" w:type="dxa"/>
          </w:tcPr>
          <w:p w:rsidR="00046EE0" w:rsidRPr="008559E7" w:rsidRDefault="00046EE0" w:rsidP="001B6029">
            <w:pPr>
              <w:pStyle w:val="naiskr"/>
              <w:spacing w:before="0" w:after="0"/>
              <w:ind w:left="17"/>
            </w:pPr>
            <w:r w:rsidRPr="008559E7">
              <w:t xml:space="preserve">Projekta izstrādē iesaistītās institūcijas </w:t>
            </w:r>
          </w:p>
        </w:tc>
        <w:tc>
          <w:tcPr>
            <w:tcW w:w="5395" w:type="dxa"/>
          </w:tcPr>
          <w:p w:rsidR="00046EE0" w:rsidRPr="00BE34D9" w:rsidRDefault="00BE34D9" w:rsidP="006B3698">
            <w:pPr>
              <w:pStyle w:val="naiskr"/>
              <w:spacing w:before="0"/>
            </w:pPr>
            <w:r>
              <w:t>Valsts izglītības satura centrs.</w:t>
            </w:r>
          </w:p>
        </w:tc>
      </w:tr>
      <w:tr w:rsidR="00046EE0" w:rsidRPr="008559E7" w:rsidTr="006B3698">
        <w:trPr>
          <w:trHeight w:val="274"/>
          <w:tblCellSpacing w:w="0" w:type="dxa"/>
        </w:trPr>
        <w:tc>
          <w:tcPr>
            <w:tcW w:w="577" w:type="dxa"/>
          </w:tcPr>
          <w:p w:rsidR="00046EE0" w:rsidRPr="008559E7" w:rsidRDefault="00046EE0" w:rsidP="001B6029">
            <w:pPr>
              <w:pStyle w:val="naiskr"/>
              <w:spacing w:before="0"/>
              <w:jc w:val="center"/>
            </w:pPr>
            <w:r w:rsidRPr="008559E7">
              <w:t>6.</w:t>
            </w:r>
          </w:p>
        </w:tc>
        <w:tc>
          <w:tcPr>
            <w:tcW w:w="2967" w:type="dxa"/>
          </w:tcPr>
          <w:p w:rsidR="00046EE0" w:rsidRPr="008559E7" w:rsidRDefault="00046EE0" w:rsidP="001B6029">
            <w:pPr>
              <w:pStyle w:val="naiskr"/>
              <w:spacing w:before="0" w:after="0"/>
              <w:ind w:left="17"/>
              <w:rPr>
                <w:i/>
                <w:highlight w:val="yellow"/>
              </w:rPr>
            </w:pPr>
            <w:r w:rsidRPr="008559E7">
              <w:t>Iemesli, kādēļ netika nodrošināta sabiedrības līdzdalība</w:t>
            </w:r>
          </w:p>
        </w:tc>
        <w:tc>
          <w:tcPr>
            <w:tcW w:w="5395" w:type="dxa"/>
            <w:vAlign w:val="center"/>
          </w:tcPr>
          <w:p w:rsidR="00046EE0" w:rsidRPr="008559E7" w:rsidRDefault="00DC6ECB" w:rsidP="00DC6ECB">
            <w:pPr>
              <w:pStyle w:val="naiskr"/>
              <w:spacing w:before="0" w:after="0"/>
              <w:jc w:val="both"/>
            </w:pPr>
            <w:r w:rsidRPr="008559E7">
              <w:rPr>
                <w:bCs/>
              </w:rPr>
              <w:t>Sabiedrības līdzdalība nav</w:t>
            </w:r>
            <w:r w:rsidR="007A4FBF" w:rsidRPr="008559E7">
              <w:rPr>
                <w:bCs/>
              </w:rPr>
              <w:t xml:space="preserve"> nodrošināta, jo noteikumu projekts </w:t>
            </w:r>
            <w:r w:rsidRPr="008559E7">
              <w:rPr>
                <w:bCs/>
              </w:rPr>
              <w:t>nekādā veidā</w:t>
            </w:r>
            <w:r w:rsidR="00DD5654" w:rsidRPr="008559E7">
              <w:t xml:space="preserve"> neierobežo </w:t>
            </w:r>
            <w:r w:rsidRPr="008559E7">
              <w:t xml:space="preserve">nevienas personu grupas vai indivīda </w:t>
            </w:r>
            <w:r w:rsidR="00DD5654" w:rsidRPr="008559E7">
              <w:t>tiesības.</w:t>
            </w:r>
          </w:p>
        </w:tc>
      </w:tr>
      <w:tr w:rsidR="00046EE0" w:rsidRPr="008559E7" w:rsidTr="006B3698">
        <w:trPr>
          <w:trHeight w:val="398"/>
          <w:tblCellSpacing w:w="0" w:type="dxa"/>
        </w:trPr>
        <w:tc>
          <w:tcPr>
            <w:tcW w:w="577" w:type="dxa"/>
          </w:tcPr>
          <w:p w:rsidR="00046EE0" w:rsidRPr="008559E7" w:rsidRDefault="00046EE0" w:rsidP="006B3698">
            <w:pPr>
              <w:pStyle w:val="naiskr"/>
              <w:spacing w:before="0"/>
              <w:jc w:val="center"/>
            </w:pPr>
            <w:r w:rsidRPr="008559E7">
              <w:t>7.</w:t>
            </w:r>
          </w:p>
        </w:tc>
        <w:tc>
          <w:tcPr>
            <w:tcW w:w="2967" w:type="dxa"/>
          </w:tcPr>
          <w:p w:rsidR="00046EE0" w:rsidRPr="008559E7" w:rsidRDefault="00046EE0" w:rsidP="0079516B">
            <w:pPr>
              <w:pStyle w:val="naiskr"/>
              <w:spacing w:before="0"/>
            </w:pPr>
            <w:r w:rsidRPr="008559E7">
              <w:t>Cita informācija</w:t>
            </w:r>
          </w:p>
        </w:tc>
        <w:tc>
          <w:tcPr>
            <w:tcW w:w="5395" w:type="dxa"/>
          </w:tcPr>
          <w:p w:rsidR="00046EE0" w:rsidRPr="008559E7" w:rsidRDefault="00046EE0" w:rsidP="001B6029">
            <w:pPr>
              <w:pStyle w:val="naiskr"/>
              <w:spacing w:before="0"/>
              <w:rPr>
                <w:i/>
              </w:rPr>
            </w:pPr>
            <w:r w:rsidRPr="008559E7">
              <w:rPr>
                <w:iCs/>
              </w:rPr>
              <w:t>Nav</w:t>
            </w:r>
            <w:r w:rsidR="00795EEE" w:rsidRPr="008559E7">
              <w:rPr>
                <w:iCs/>
              </w:rPr>
              <w:t>.</w:t>
            </w:r>
          </w:p>
        </w:tc>
      </w:tr>
    </w:tbl>
    <w:p w:rsidR="00A7167D" w:rsidRPr="008559E7" w:rsidRDefault="00A7167D" w:rsidP="00B5625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Y="202"/>
        <w:tblW w:w="89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5395"/>
      </w:tblGrid>
      <w:tr w:rsidR="00C1213A" w:rsidRPr="008559E7">
        <w:trPr>
          <w:tblCellSpacing w:w="0" w:type="dxa"/>
        </w:trPr>
        <w:tc>
          <w:tcPr>
            <w:tcW w:w="8949" w:type="dxa"/>
            <w:gridSpan w:val="3"/>
            <w:vAlign w:val="center"/>
          </w:tcPr>
          <w:p w:rsidR="00C1213A" w:rsidRPr="008559E7" w:rsidRDefault="00C1213A" w:rsidP="00C1213A">
            <w:pPr>
              <w:pStyle w:val="naisnod"/>
            </w:pPr>
            <w:r w:rsidRPr="008559E7">
              <w:t>II Tiesību akta projekta ietekme uz sabiedrību</w:t>
            </w:r>
          </w:p>
        </w:tc>
      </w:tr>
      <w:tr w:rsidR="00C1213A" w:rsidRPr="008559E7" w:rsidTr="006B3698">
        <w:trPr>
          <w:trHeight w:val="467"/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 w:after="0"/>
              <w:ind w:left="180" w:hanging="180"/>
              <w:jc w:val="center"/>
            </w:pPr>
            <w:r w:rsidRPr="008559E7">
              <w:t>1.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 w:after="0"/>
              <w:ind w:firstLine="17"/>
            </w:pPr>
            <w:r w:rsidRPr="008559E7">
              <w:t>Sabiedrības mērķgrupa</w:t>
            </w:r>
          </w:p>
        </w:tc>
        <w:tc>
          <w:tcPr>
            <w:tcW w:w="5395" w:type="dxa"/>
            <w:vAlign w:val="center"/>
          </w:tcPr>
          <w:p w:rsidR="00C1213A" w:rsidRPr="008559E7" w:rsidRDefault="00B97E14" w:rsidP="00B97E14">
            <w:pPr>
              <w:pStyle w:val="naiskr"/>
              <w:spacing w:before="0" w:after="0"/>
              <w:jc w:val="both"/>
            </w:pPr>
            <w:r w:rsidRPr="008559E7">
              <w:rPr>
                <w:iCs/>
              </w:rPr>
              <w:t xml:space="preserve">Izglītības iestādes </w:t>
            </w:r>
            <w:r w:rsidR="0018343B">
              <w:rPr>
                <w:iCs/>
              </w:rPr>
              <w:t>– 924</w:t>
            </w:r>
            <w:r w:rsidR="007E09B1">
              <w:rPr>
                <w:iCs/>
              </w:rPr>
              <w:t xml:space="preserve"> </w:t>
            </w:r>
            <w:r w:rsidRPr="008559E7">
              <w:rPr>
                <w:iCs/>
              </w:rPr>
              <w:t>(t.sk. pamatskolas, vidusskolas un profe</w:t>
            </w:r>
            <w:r w:rsidR="00637589">
              <w:rPr>
                <w:iCs/>
              </w:rPr>
              <w:t>sionālās izglītības iestādes)</w:t>
            </w:r>
            <w:r w:rsidR="00E524CE" w:rsidRPr="008559E7">
              <w:t>.</w:t>
            </w:r>
          </w:p>
        </w:tc>
      </w:tr>
      <w:tr w:rsidR="00C1213A" w:rsidRPr="008559E7" w:rsidTr="006B3698">
        <w:trPr>
          <w:trHeight w:val="523"/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/>
              <w:jc w:val="center"/>
            </w:pPr>
            <w:r w:rsidRPr="008559E7">
              <w:t>2.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/>
              <w:ind w:firstLine="17"/>
            </w:pPr>
            <w:r w:rsidRPr="008559E7">
              <w:t>Citas sabiedrības grupas (bez mērķgrupas), kuras tiesiskais regulējums arī ietekmē vai varētu ietekmēt</w:t>
            </w:r>
          </w:p>
        </w:tc>
        <w:tc>
          <w:tcPr>
            <w:tcW w:w="5395" w:type="dxa"/>
          </w:tcPr>
          <w:p w:rsidR="00C1213A" w:rsidRPr="008559E7" w:rsidRDefault="00D67C01" w:rsidP="006B3698">
            <w:pPr>
              <w:pStyle w:val="naiskr"/>
              <w:spacing w:before="0" w:after="0"/>
              <w:jc w:val="both"/>
            </w:pPr>
            <w:r w:rsidRPr="008559E7">
              <w:rPr>
                <w:iCs/>
              </w:rPr>
              <w:t>Noteikumu projekts šo jomu neskar</w:t>
            </w:r>
            <w:r w:rsidR="00DD5654" w:rsidRPr="008559E7">
              <w:rPr>
                <w:iCs/>
              </w:rPr>
              <w:t>.</w:t>
            </w:r>
          </w:p>
        </w:tc>
      </w:tr>
      <w:tr w:rsidR="00C1213A" w:rsidRPr="008559E7" w:rsidTr="006B3698">
        <w:trPr>
          <w:trHeight w:val="517"/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/>
              <w:jc w:val="center"/>
            </w:pPr>
            <w:r w:rsidRPr="008559E7">
              <w:t>3.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/>
              <w:ind w:firstLine="17"/>
            </w:pPr>
            <w:r w:rsidRPr="008559E7">
              <w:t xml:space="preserve">Tiesiskā regulējuma finansiālā ietekme </w:t>
            </w:r>
          </w:p>
        </w:tc>
        <w:tc>
          <w:tcPr>
            <w:tcW w:w="5395" w:type="dxa"/>
          </w:tcPr>
          <w:p w:rsidR="00C1213A" w:rsidRPr="008559E7" w:rsidRDefault="00C1213A" w:rsidP="006B3698">
            <w:pPr>
              <w:pStyle w:val="naiskr"/>
              <w:spacing w:before="0"/>
              <w:jc w:val="both"/>
              <w:rPr>
                <w:i/>
              </w:rPr>
            </w:pPr>
            <w:r w:rsidRPr="008559E7">
              <w:t>Piešķirto budžeta līdzekļu ietvaros</w:t>
            </w:r>
            <w:r w:rsidR="00795EEE" w:rsidRPr="008559E7">
              <w:t>.</w:t>
            </w:r>
          </w:p>
        </w:tc>
      </w:tr>
      <w:tr w:rsidR="00C1213A" w:rsidRPr="008559E7" w:rsidTr="006B3698">
        <w:trPr>
          <w:trHeight w:val="517"/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/>
              <w:jc w:val="center"/>
            </w:pPr>
            <w:r w:rsidRPr="008559E7">
              <w:t>4.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/>
              <w:ind w:firstLine="17"/>
            </w:pPr>
            <w:r w:rsidRPr="008559E7">
              <w:t>Tiesiskā regulējuma nefinansiālā ietekme</w:t>
            </w:r>
          </w:p>
        </w:tc>
        <w:tc>
          <w:tcPr>
            <w:tcW w:w="5395" w:type="dxa"/>
          </w:tcPr>
          <w:p w:rsidR="00C1213A" w:rsidRPr="008559E7" w:rsidRDefault="00BE34D9" w:rsidP="00BE34D9">
            <w:pPr>
              <w:pStyle w:val="naiskr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Noteikumu projekts paredz noteikt vienādus termiņus valsts pārbaudījumu organizācijas procesā atbilstoši grozījumiem noteikumos Nr.335.</w:t>
            </w:r>
          </w:p>
        </w:tc>
      </w:tr>
      <w:tr w:rsidR="00C1213A" w:rsidRPr="008559E7" w:rsidTr="006B3698">
        <w:trPr>
          <w:trHeight w:val="716"/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/>
              <w:jc w:val="center"/>
            </w:pPr>
            <w:r w:rsidRPr="008559E7">
              <w:t>5.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/>
              <w:ind w:firstLine="17"/>
            </w:pPr>
            <w:r w:rsidRPr="008559E7">
              <w:t>Administratīvās procedūras raksturojums</w:t>
            </w:r>
          </w:p>
        </w:tc>
        <w:tc>
          <w:tcPr>
            <w:tcW w:w="5395" w:type="dxa"/>
          </w:tcPr>
          <w:p w:rsidR="00C1213A" w:rsidRPr="008559E7" w:rsidRDefault="00D67C01" w:rsidP="006B3698">
            <w:pPr>
              <w:pStyle w:val="naiskr"/>
              <w:spacing w:before="0"/>
              <w:rPr>
                <w:i/>
              </w:rPr>
            </w:pPr>
            <w:r w:rsidRPr="008559E7">
              <w:rPr>
                <w:iCs/>
              </w:rPr>
              <w:t>Noteikumu p</w:t>
            </w:r>
            <w:r w:rsidR="006B3698" w:rsidRPr="008559E7">
              <w:rPr>
                <w:iCs/>
              </w:rPr>
              <w:t>rojekts šo jomu neskar</w:t>
            </w:r>
            <w:r w:rsidR="00795EEE" w:rsidRPr="008559E7">
              <w:rPr>
                <w:iCs/>
              </w:rPr>
              <w:t>.</w:t>
            </w:r>
          </w:p>
        </w:tc>
      </w:tr>
      <w:tr w:rsidR="00C1213A" w:rsidRPr="008559E7" w:rsidTr="006B3698">
        <w:trPr>
          <w:trHeight w:val="709"/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/>
              <w:jc w:val="center"/>
            </w:pPr>
            <w:r w:rsidRPr="008559E7">
              <w:t>6.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/>
              <w:ind w:firstLine="17"/>
            </w:pPr>
            <w:r w:rsidRPr="008559E7">
              <w:t>Administratīvo izmaksu monetārs novērtējums</w:t>
            </w:r>
          </w:p>
        </w:tc>
        <w:tc>
          <w:tcPr>
            <w:tcW w:w="5395" w:type="dxa"/>
          </w:tcPr>
          <w:p w:rsidR="00C1213A" w:rsidRPr="008559E7" w:rsidRDefault="00D67C01" w:rsidP="006B3698">
            <w:pPr>
              <w:pStyle w:val="naiskr"/>
              <w:spacing w:before="0"/>
              <w:jc w:val="both"/>
            </w:pPr>
            <w:r w:rsidRPr="008559E7">
              <w:rPr>
                <w:iCs/>
              </w:rPr>
              <w:t>Noteikumu p</w:t>
            </w:r>
            <w:r w:rsidR="006B3698" w:rsidRPr="008559E7">
              <w:rPr>
                <w:iCs/>
              </w:rPr>
              <w:t>rojekts šo jomu neskar</w:t>
            </w:r>
            <w:r w:rsidR="00795EEE" w:rsidRPr="008559E7">
              <w:rPr>
                <w:iCs/>
              </w:rPr>
              <w:t>.</w:t>
            </w:r>
          </w:p>
        </w:tc>
      </w:tr>
      <w:tr w:rsidR="00C1213A" w:rsidRPr="008559E7" w:rsidTr="006B3698">
        <w:trPr>
          <w:tblCellSpacing w:w="0" w:type="dxa"/>
        </w:trPr>
        <w:tc>
          <w:tcPr>
            <w:tcW w:w="550" w:type="dxa"/>
          </w:tcPr>
          <w:p w:rsidR="00C1213A" w:rsidRPr="008559E7" w:rsidRDefault="00C1213A" w:rsidP="006B3698">
            <w:pPr>
              <w:pStyle w:val="naiskr"/>
              <w:spacing w:before="0"/>
              <w:jc w:val="center"/>
            </w:pPr>
            <w:r w:rsidRPr="008559E7">
              <w:t>7.</w:t>
            </w:r>
          </w:p>
        </w:tc>
        <w:tc>
          <w:tcPr>
            <w:tcW w:w="3004" w:type="dxa"/>
          </w:tcPr>
          <w:p w:rsidR="00C1213A" w:rsidRPr="008559E7" w:rsidRDefault="00C1213A" w:rsidP="006B3698">
            <w:pPr>
              <w:pStyle w:val="naiskr"/>
              <w:spacing w:before="0"/>
              <w:ind w:firstLine="17"/>
            </w:pPr>
            <w:r w:rsidRPr="008559E7">
              <w:t>Cita informācija</w:t>
            </w:r>
          </w:p>
        </w:tc>
        <w:tc>
          <w:tcPr>
            <w:tcW w:w="5395" w:type="dxa"/>
          </w:tcPr>
          <w:p w:rsidR="00C1213A" w:rsidRPr="008559E7" w:rsidRDefault="00C1213A" w:rsidP="006B3698">
            <w:pPr>
              <w:pStyle w:val="naiskr"/>
              <w:spacing w:before="0"/>
              <w:rPr>
                <w:i/>
              </w:rPr>
            </w:pPr>
            <w:r w:rsidRPr="008559E7">
              <w:rPr>
                <w:iCs/>
              </w:rPr>
              <w:t>Nav</w:t>
            </w:r>
            <w:r w:rsidR="00795EEE" w:rsidRPr="008559E7">
              <w:rPr>
                <w:iCs/>
              </w:rPr>
              <w:t>.</w:t>
            </w:r>
          </w:p>
        </w:tc>
      </w:tr>
    </w:tbl>
    <w:p w:rsidR="00641527" w:rsidRPr="008559E7" w:rsidRDefault="00641527" w:rsidP="00744F3C">
      <w:pPr>
        <w:jc w:val="center"/>
      </w:pPr>
    </w:p>
    <w:p w:rsidR="00B06F5B" w:rsidRPr="008559E7" w:rsidRDefault="00641527" w:rsidP="003817E6">
      <w:r w:rsidRPr="008559E7">
        <w:t xml:space="preserve">Anotācijas </w:t>
      </w:r>
      <w:r w:rsidR="00B06F5B" w:rsidRPr="008559E7">
        <w:t xml:space="preserve">III sadaļa – </w:t>
      </w:r>
      <w:r w:rsidR="00D67C01" w:rsidRPr="008559E7">
        <w:t xml:space="preserve">noteikumu </w:t>
      </w:r>
      <w:r w:rsidR="00CD48CE" w:rsidRPr="008559E7">
        <w:rPr>
          <w:iCs/>
        </w:rPr>
        <w:t>projekts šo jomu neskar</w:t>
      </w:r>
      <w:r w:rsidR="00B06F5B" w:rsidRPr="008559E7">
        <w:t>.</w:t>
      </w:r>
    </w:p>
    <w:tbl>
      <w:tblPr>
        <w:tblpPr w:leftFromText="180" w:rightFromText="180" w:vertAnchor="text" w:horzAnchor="margin" w:tblpXSpec="center" w:tblpY="366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903E80" w:rsidRPr="008559E7" w:rsidTr="00903E80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903E80" w:rsidRPr="008559E7" w:rsidRDefault="00903E80" w:rsidP="00903E80">
            <w:pPr>
              <w:pStyle w:val="naisnod"/>
            </w:pPr>
            <w:r w:rsidRPr="008559E7">
              <w:t>   IV  Tiesību akta projekta ietekme uz</w:t>
            </w:r>
            <w:r w:rsidRPr="008559E7">
              <w:br/>
              <w:t>spēkā esošo tiesību normu sistēmu</w:t>
            </w:r>
          </w:p>
        </w:tc>
      </w:tr>
      <w:tr w:rsidR="00903E80" w:rsidRPr="008559E7" w:rsidTr="00CD48CE">
        <w:trPr>
          <w:trHeight w:val="903"/>
          <w:tblCellSpacing w:w="0" w:type="dxa"/>
        </w:trPr>
        <w:tc>
          <w:tcPr>
            <w:tcW w:w="550" w:type="dxa"/>
          </w:tcPr>
          <w:p w:rsidR="00903E80" w:rsidRPr="008559E7" w:rsidRDefault="00903E80" w:rsidP="00CD48CE">
            <w:pPr>
              <w:pStyle w:val="naiskr"/>
              <w:spacing w:before="0"/>
              <w:ind w:left="181" w:hanging="181"/>
              <w:jc w:val="center"/>
            </w:pPr>
            <w:r w:rsidRPr="008559E7">
              <w:t>1.</w:t>
            </w:r>
          </w:p>
        </w:tc>
        <w:tc>
          <w:tcPr>
            <w:tcW w:w="2880" w:type="dxa"/>
            <w:shd w:val="clear" w:color="auto" w:fill="auto"/>
          </w:tcPr>
          <w:p w:rsidR="00903E80" w:rsidRPr="008559E7" w:rsidRDefault="00903E80" w:rsidP="00CD48CE">
            <w:pPr>
              <w:pStyle w:val="naiskr"/>
              <w:spacing w:before="0" w:after="0"/>
              <w:ind w:left="180" w:hanging="10"/>
            </w:pPr>
            <w:r w:rsidRPr="008559E7">
              <w:t>Nepieciešamie saistītie tiesību akta projekti</w:t>
            </w:r>
          </w:p>
        </w:tc>
        <w:tc>
          <w:tcPr>
            <w:tcW w:w="5652" w:type="dxa"/>
            <w:shd w:val="clear" w:color="auto" w:fill="auto"/>
          </w:tcPr>
          <w:p w:rsidR="008A4AB1" w:rsidRPr="00377111" w:rsidRDefault="008A4AB1" w:rsidP="008265E9">
            <w:pPr>
              <w:pStyle w:val="naiskr"/>
              <w:spacing w:before="0" w:after="0"/>
              <w:jc w:val="both"/>
            </w:pPr>
            <w:r w:rsidRPr="008A4AB1">
              <w:t>Lai saglabātu vienotu valsts pārbaudījumu organizācijas sistēmu un noteiktu kopīgus atsevišķu darbību izpildes laikus, Izglītības un zinātnes ministrija</w:t>
            </w:r>
            <w:r w:rsidR="00C8475F">
              <w:t xml:space="preserve"> (turpmāk – ministrija)</w:t>
            </w:r>
            <w:r w:rsidRPr="008A4AB1">
              <w:t xml:space="preserve"> </w:t>
            </w:r>
            <w:r w:rsidR="00EF7618" w:rsidRPr="008A4AB1">
              <w:t xml:space="preserve">vienlaikus </w:t>
            </w:r>
            <w:r w:rsidR="00EF7618">
              <w:t>ir izstrādājusi</w:t>
            </w:r>
            <w:r w:rsidRPr="008A4AB1">
              <w:t xml:space="preserve"> Ministru kabineta noteikumu projektu</w:t>
            </w:r>
            <w:r w:rsidR="00C8475F">
              <w:t xml:space="preserve"> </w:t>
            </w:r>
            <w:r w:rsidRPr="008A4AB1">
              <w:t>„Grozījumi Ministru kabineta 2010.gada 6.aprīļa noteikumos Nr.335 „Noteikumi par centralizēto eksāmenu saturu un norises kārtību””</w:t>
            </w:r>
            <w:r w:rsidR="0070141B">
              <w:t>,</w:t>
            </w:r>
            <w:proofErr w:type="gramStart"/>
            <w:r w:rsidR="0070141B">
              <w:t xml:space="preserve">  </w:t>
            </w:r>
            <w:proofErr w:type="gramEnd"/>
            <w:r w:rsidR="0070141B" w:rsidRPr="00377111">
              <w:t xml:space="preserve">izsludināts </w:t>
            </w:r>
            <w:r w:rsidR="002A5D8A" w:rsidRPr="00377111">
              <w:t xml:space="preserve">2012.gada 4.oktobrī </w:t>
            </w:r>
            <w:r w:rsidR="0070141B" w:rsidRPr="00377111">
              <w:t xml:space="preserve">Valsts sekretāru sanāksmē </w:t>
            </w:r>
            <w:r w:rsidR="0070141B" w:rsidRPr="00377111">
              <w:lastRenderedPageBreak/>
              <w:t>(VSS-1002</w:t>
            </w:r>
            <w:r w:rsidR="002A5D8A" w:rsidRPr="00377111">
              <w:t>, protokols Nr.40, 9.§</w:t>
            </w:r>
            <w:r w:rsidR="0070141B" w:rsidRPr="00377111">
              <w:t>)</w:t>
            </w:r>
            <w:r w:rsidRPr="00377111">
              <w:t>.</w:t>
            </w:r>
            <w:r w:rsidR="008265E9">
              <w:t xml:space="preserve">  Noteikumu projekts </w:t>
            </w:r>
            <w:r w:rsidR="008265E9" w:rsidRPr="008559E7">
              <w:t xml:space="preserve">paredz </w:t>
            </w:r>
            <w:r w:rsidR="008265E9" w:rsidRPr="009F3E38">
              <w:t xml:space="preserve">veikt izmaiņas </w:t>
            </w:r>
            <w:r w:rsidR="008265E9">
              <w:t xml:space="preserve">izglītojamo pieteikšanās centralizēto eksāmenu kārtošanai termiņā, </w:t>
            </w:r>
            <w:r w:rsidR="008265E9" w:rsidRPr="009F3E38">
              <w:t xml:space="preserve">apvienoto eksāmenu reģistrācijas termiņā, </w:t>
            </w:r>
            <w:r w:rsidR="008265E9">
              <w:t xml:space="preserve">eksāmena vadītāja, novērotāja, mutvārdu daļas intervētāja un vērtētāja norīkošanas termiņā, </w:t>
            </w:r>
            <w:r w:rsidR="008265E9" w:rsidRPr="009F3E38">
              <w:t>izglītojamo darbu vērtētāju pieteikšanās termiņā un termiņam, līdz kuram izglītības iestādes vadītājam jāizveido centralizētā eksāmena mutvārdu daļ</w:t>
            </w:r>
            <w:r w:rsidR="008265E9">
              <w:t>u</w:t>
            </w:r>
            <w:r w:rsidR="008265E9" w:rsidRPr="009F3E38">
              <w:t xml:space="preserve"> </w:t>
            </w:r>
            <w:r w:rsidR="008265E9" w:rsidRPr="001529C2">
              <w:t>kārtojošo izglītojamo</w:t>
            </w:r>
            <w:r w:rsidR="008265E9" w:rsidRPr="009F3E38">
              <w:t xml:space="preserve"> saraksts.</w:t>
            </w:r>
            <w:r w:rsidR="008265E9">
              <w:t xml:space="preserve"> Noteikumu projekts būtiski paplašina izglītojamā iespējas mainīt iepriekš izvēlētos eksāmenus vai kārtot papildu eksāmenu.</w:t>
            </w:r>
          </w:p>
          <w:p w:rsidR="002A5D8A" w:rsidRPr="00377111" w:rsidRDefault="002A5D8A" w:rsidP="002A5D8A">
            <w:pPr>
              <w:pStyle w:val="naiskr"/>
              <w:spacing w:before="0" w:after="0"/>
              <w:jc w:val="both"/>
            </w:pPr>
            <w:r w:rsidRPr="00377111">
              <w:t>Ņemot vērā, ka noteikumu projektā ietvertais tiesiska</w:t>
            </w:r>
            <w:r w:rsidR="00BA05AD" w:rsidRPr="00377111">
              <w:t xml:space="preserve">is regulējums ir </w:t>
            </w:r>
            <w:r w:rsidR="00834C6C" w:rsidRPr="00377111">
              <w:t>saistīts ar</w:t>
            </w:r>
            <w:r w:rsidRPr="00377111">
              <w:t xml:space="preserve"> citiem normatīvajiem aktiem un t</w:t>
            </w:r>
            <w:r w:rsidR="00834C6C" w:rsidRPr="00377111">
              <w:t>ajos ietverto</w:t>
            </w:r>
            <w:r w:rsidRPr="00377111">
              <w:t xml:space="preserve"> tiesisko regulējumu, ministrija ir izstrādājusi Ministru kabineta noteikumu projektus:</w:t>
            </w:r>
          </w:p>
          <w:p w:rsidR="002A5D8A" w:rsidRPr="00377111" w:rsidRDefault="00EF7618" w:rsidP="002A5D8A">
            <w:pPr>
              <w:pStyle w:val="naiskr"/>
              <w:spacing w:before="0" w:after="0"/>
              <w:jc w:val="both"/>
            </w:pPr>
            <w:r w:rsidRPr="00377111">
              <w:t>„Noteikumi par valsts pārbaudes darbu norises laiku 2012./2013.mācību gadā”</w:t>
            </w:r>
            <w:r w:rsidR="0070141B" w:rsidRPr="00377111">
              <w:t xml:space="preserve">, izsludināts </w:t>
            </w:r>
            <w:r w:rsidR="002A5D8A" w:rsidRPr="00377111">
              <w:t xml:space="preserve">2012.gada 4.oktobra </w:t>
            </w:r>
            <w:r w:rsidR="0070141B" w:rsidRPr="00377111">
              <w:t>Valsts sekretāru sanāksm</w:t>
            </w:r>
            <w:r w:rsidR="00ED0D6C" w:rsidRPr="00377111">
              <w:t>ē (VSS-1003</w:t>
            </w:r>
            <w:r w:rsidR="002A5D8A" w:rsidRPr="00377111">
              <w:t>, protokols Nr.40, 10.§</w:t>
            </w:r>
            <w:r w:rsidR="0070141B" w:rsidRPr="00377111">
              <w:t>)</w:t>
            </w:r>
            <w:r w:rsidR="002A5D8A" w:rsidRPr="00377111">
              <w:t>;</w:t>
            </w:r>
            <w:r w:rsidR="008265E9">
              <w:t xml:space="preserve"> noteikumu projekts nosaka </w:t>
            </w:r>
            <w:r w:rsidR="008265E9" w:rsidRPr="00435535">
              <w:t>valsts pārbaudes darbu norises laiku</w:t>
            </w:r>
            <w:r w:rsidR="008265E9">
              <w:t xml:space="preserve"> </w:t>
            </w:r>
            <w:r w:rsidR="008265E9" w:rsidRPr="00C674D5">
              <w:t>un kārtību</w:t>
            </w:r>
            <w:r w:rsidR="008265E9">
              <w:t xml:space="preserve"> 2012./2013.mācību gadā;</w:t>
            </w:r>
          </w:p>
          <w:p w:rsidR="002A5D8A" w:rsidRPr="00377111" w:rsidRDefault="00EF7618" w:rsidP="002A5D8A">
            <w:pPr>
              <w:pStyle w:val="naiskr"/>
              <w:spacing w:before="0" w:after="0"/>
              <w:jc w:val="both"/>
            </w:pPr>
            <w:r w:rsidRPr="00377111">
              <w:t>„Grozījumi Ministru kabineta 2012.gada 10.aprīļa noteikumos Nr.259 „Noteikumi par 2012./2013.mācību gada un mācību semestru sākuma un beigu laiku””</w:t>
            </w:r>
            <w:r w:rsidR="0070141B" w:rsidRPr="00377111">
              <w:t>,</w:t>
            </w:r>
            <w:r w:rsidR="002A5D8A" w:rsidRPr="00377111">
              <w:t xml:space="preserve"> </w:t>
            </w:r>
            <w:r w:rsidR="00E60041" w:rsidRPr="00377111">
              <w:t>piemērojot saīsinātu izsludināšanas un saskaņošanas</w:t>
            </w:r>
            <w:r w:rsidR="002A5D8A" w:rsidRPr="00377111">
              <w:t xml:space="preserve"> kārtību.</w:t>
            </w:r>
            <w:r w:rsidR="008265E9">
              <w:t xml:space="preserve"> Noteikumu projekts nosaka 2012./2013.mācību gada pavasara brīvdienu laiku 12.klases izglītojamajiem.</w:t>
            </w:r>
          </w:p>
          <w:p w:rsidR="00D67C01" w:rsidRPr="008559E7" w:rsidRDefault="002A5D8A" w:rsidP="002A5D8A">
            <w:pPr>
              <w:pStyle w:val="naiskr"/>
              <w:spacing w:before="0" w:after="0"/>
              <w:jc w:val="both"/>
            </w:pPr>
            <w:r w:rsidRPr="00377111">
              <w:t>Š</w:t>
            </w:r>
            <w:r w:rsidR="00EF7618" w:rsidRPr="00377111">
              <w:t>ajā sadaļā minētie normatīvie akti Ministru kabinetā ir jāizskata vienlaikus.</w:t>
            </w:r>
          </w:p>
        </w:tc>
      </w:tr>
      <w:tr w:rsidR="00903E80" w:rsidRPr="008559E7" w:rsidTr="00CD48CE">
        <w:trPr>
          <w:trHeight w:val="903"/>
          <w:tblCellSpacing w:w="0" w:type="dxa"/>
        </w:trPr>
        <w:tc>
          <w:tcPr>
            <w:tcW w:w="550" w:type="dxa"/>
          </w:tcPr>
          <w:p w:rsidR="00903E80" w:rsidRPr="008559E7" w:rsidRDefault="00903E80" w:rsidP="00CD48CE">
            <w:pPr>
              <w:pStyle w:val="naiskr"/>
              <w:spacing w:before="0"/>
              <w:ind w:left="181" w:hanging="181"/>
              <w:jc w:val="center"/>
            </w:pPr>
            <w:r w:rsidRPr="008559E7">
              <w:lastRenderedPageBreak/>
              <w:t>2.</w:t>
            </w:r>
          </w:p>
        </w:tc>
        <w:tc>
          <w:tcPr>
            <w:tcW w:w="2880" w:type="dxa"/>
            <w:shd w:val="clear" w:color="auto" w:fill="auto"/>
          </w:tcPr>
          <w:p w:rsidR="00903E80" w:rsidRPr="008559E7" w:rsidRDefault="00903E80" w:rsidP="00CD48CE">
            <w:pPr>
              <w:pStyle w:val="naiskr"/>
              <w:spacing w:before="0" w:after="0"/>
              <w:ind w:left="180" w:hanging="10"/>
            </w:pPr>
            <w:r w:rsidRPr="008559E7">
              <w:t>Cita informācija</w:t>
            </w:r>
          </w:p>
        </w:tc>
        <w:tc>
          <w:tcPr>
            <w:tcW w:w="5652" w:type="dxa"/>
            <w:shd w:val="clear" w:color="auto" w:fill="auto"/>
          </w:tcPr>
          <w:p w:rsidR="00903E80" w:rsidRPr="008559E7" w:rsidRDefault="00AB14B5" w:rsidP="00CD48CE">
            <w:pPr>
              <w:pStyle w:val="naiskr"/>
              <w:spacing w:before="0" w:after="0"/>
              <w:jc w:val="both"/>
            </w:pPr>
            <w:r w:rsidRPr="008559E7">
              <w:t>Nav.</w:t>
            </w:r>
          </w:p>
        </w:tc>
      </w:tr>
    </w:tbl>
    <w:p w:rsidR="002476D4" w:rsidRDefault="002476D4" w:rsidP="00CD48CE">
      <w:pPr>
        <w:pStyle w:val="naisf"/>
        <w:spacing w:before="0" w:after="0"/>
        <w:ind w:firstLine="0"/>
      </w:pPr>
    </w:p>
    <w:p w:rsidR="00721755" w:rsidRDefault="00AE3C3E" w:rsidP="00CD48CE">
      <w:pPr>
        <w:pStyle w:val="naisf"/>
        <w:spacing w:before="0" w:after="0"/>
        <w:ind w:firstLine="0"/>
      </w:pPr>
      <w:r>
        <w:t>Anotācijas V</w:t>
      </w:r>
      <w:r w:rsidR="00A43C81" w:rsidRPr="008559E7">
        <w:t xml:space="preserve"> </w:t>
      </w:r>
      <w:r w:rsidR="00CD48CE" w:rsidRPr="008559E7">
        <w:t xml:space="preserve">sadaļa – </w:t>
      </w:r>
      <w:r w:rsidR="00CD48CE" w:rsidRPr="008559E7">
        <w:rPr>
          <w:iCs/>
        </w:rPr>
        <w:t>projekts šo jomu neskar</w:t>
      </w:r>
      <w:r w:rsidR="00CD48CE" w:rsidRPr="008559E7">
        <w:t>.</w:t>
      </w:r>
    </w:p>
    <w:tbl>
      <w:tblPr>
        <w:tblpPr w:leftFromText="180" w:rightFromText="180" w:vertAnchor="text" w:horzAnchor="margin" w:tblpY="302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840ABF" w:rsidRPr="00840ABF" w:rsidTr="00BA29C7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AE3C3E" w:rsidRPr="00840ABF" w:rsidRDefault="00AE3C3E" w:rsidP="00BA29C7">
            <w:pPr>
              <w:pStyle w:val="naisnod"/>
            </w:pPr>
            <w:r w:rsidRPr="00840ABF">
              <w:t>VI Sabiedrības līdzdalība un šīs līdzdalības rezultāti</w:t>
            </w:r>
          </w:p>
        </w:tc>
      </w:tr>
      <w:tr w:rsidR="00840ABF" w:rsidRPr="00840ABF" w:rsidTr="00BA29C7">
        <w:trPr>
          <w:trHeight w:val="557"/>
          <w:tblCellSpacing w:w="0" w:type="dxa"/>
        </w:trPr>
        <w:tc>
          <w:tcPr>
            <w:tcW w:w="550" w:type="dxa"/>
          </w:tcPr>
          <w:p w:rsidR="00AE3C3E" w:rsidRPr="00840ABF" w:rsidRDefault="00AE3C3E" w:rsidP="00BA29C7">
            <w:pPr>
              <w:pStyle w:val="naiskr"/>
              <w:ind w:left="180" w:hanging="180"/>
              <w:jc w:val="center"/>
            </w:pPr>
            <w:r w:rsidRPr="00840ABF"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C3E" w:rsidRPr="00840ABF" w:rsidRDefault="00AE3C3E" w:rsidP="00BA29C7">
            <w:pPr>
              <w:pStyle w:val="naiskr"/>
              <w:ind w:left="180" w:hanging="10"/>
            </w:pPr>
            <w:r w:rsidRPr="00840ABF">
              <w:t>Sabiedrības informēšana par projekta izstrādes uzsākšanu</w:t>
            </w:r>
          </w:p>
        </w:tc>
        <w:tc>
          <w:tcPr>
            <w:tcW w:w="5652" w:type="dxa"/>
            <w:shd w:val="clear" w:color="auto" w:fill="auto"/>
          </w:tcPr>
          <w:p w:rsidR="00AE3C3E" w:rsidRPr="00840ABF" w:rsidRDefault="00E16560" w:rsidP="00BA29C7">
            <w:pPr>
              <w:pStyle w:val="naiskr"/>
              <w:jc w:val="both"/>
            </w:pPr>
            <w:r>
              <w:rPr>
                <w:iCs/>
              </w:rPr>
              <w:t>Nav</w:t>
            </w:r>
            <w:r w:rsidR="00AE3C3E" w:rsidRPr="00840ABF">
              <w:rPr>
                <w:iCs/>
              </w:rPr>
              <w:t>.</w:t>
            </w:r>
          </w:p>
        </w:tc>
      </w:tr>
      <w:tr w:rsidR="00840ABF" w:rsidRPr="00840ABF" w:rsidTr="00BA29C7">
        <w:trPr>
          <w:trHeight w:val="903"/>
          <w:tblCellSpacing w:w="0" w:type="dxa"/>
        </w:trPr>
        <w:tc>
          <w:tcPr>
            <w:tcW w:w="550" w:type="dxa"/>
          </w:tcPr>
          <w:p w:rsidR="00AE3C3E" w:rsidRPr="00377111" w:rsidRDefault="00AE3C3E" w:rsidP="00BA29C7">
            <w:pPr>
              <w:pStyle w:val="naiskr"/>
              <w:ind w:left="180" w:hanging="180"/>
              <w:jc w:val="center"/>
            </w:pPr>
            <w:r w:rsidRPr="00377111">
              <w:t>2.</w:t>
            </w:r>
          </w:p>
        </w:tc>
        <w:tc>
          <w:tcPr>
            <w:tcW w:w="2880" w:type="dxa"/>
            <w:shd w:val="clear" w:color="auto" w:fill="auto"/>
          </w:tcPr>
          <w:p w:rsidR="00AE3C3E" w:rsidRPr="00377111" w:rsidRDefault="00AE3C3E" w:rsidP="00BA29C7">
            <w:pPr>
              <w:pStyle w:val="naiskr"/>
              <w:ind w:left="180" w:hanging="10"/>
            </w:pPr>
            <w:r w:rsidRPr="00377111">
              <w:t>Sabiedrības līdzdalība projekta izstrādē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AE3C3E" w:rsidRPr="00377111" w:rsidRDefault="00AE3C3E" w:rsidP="00840ABF">
            <w:pPr>
              <w:pStyle w:val="naiskr"/>
              <w:jc w:val="both"/>
            </w:pPr>
            <w:r w:rsidRPr="00377111">
              <w:t xml:space="preserve">Noteikumu projekts 2012.gada </w:t>
            </w:r>
            <w:r w:rsidR="00840ABF" w:rsidRPr="00377111">
              <w:t>28</w:t>
            </w:r>
            <w:r w:rsidRPr="00377111">
              <w:t>.</w:t>
            </w:r>
            <w:r w:rsidR="00840ABF" w:rsidRPr="00377111">
              <w:t>augustā</w:t>
            </w:r>
            <w:r w:rsidRPr="00377111">
              <w:t xml:space="preserve"> tika izsūtīts </w:t>
            </w:r>
            <w:r w:rsidR="00840ABF" w:rsidRPr="00377111">
              <w:t xml:space="preserve">pašvaldību izglītības pārvaldēm, </w:t>
            </w:r>
            <w:r w:rsidRPr="00377111">
              <w:t>izglītības iestādēm,</w:t>
            </w:r>
            <w:r w:rsidR="00840ABF" w:rsidRPr="00377111">
              <w:t xml:space="preserve"> arodbiedrībai</w:t>
            </w:r>
            <w:r w:rsidRPr="00377111">
              <w:t xml:space="preserve"> „Latvijas</w:t>
            </w:r>
            <w:r w:rsidR="00130EF0" w:rsidRPr="00377111">
              <w:t xml:space="preserve"> izglītības vadītāju asociācija</w:t>
            </w:r>
            <w:r w:rsidRPr="00377111">
              <w:t xml:space="preserve">” (turpmāk – LIVA) </w:t>
            </w:r>
            <w:r w:rsidR="00840ABF" w:rsidRPr="00377111">
              <w:t>atzinumu sniegšanai</w:t>
            </w:r>
            <w:r w:rsidRPr="00377111">
              <w:t>.</w:t>
            </w:r>
          </w:p>
        </w:tc>
      </w:tr>
      <w:tr w:rsidR="00840ABF" w:rsidRPr="00840ABF" w:rsidTr="00BA29C7">
        <w:trPr>
          <w:trHeight w:val="903"/>
          <w:tblCellSpacing w:w="0" w:type="dxa"/>
        </w:trPr>
        <w:tc>
          <w:tcPr>
            <w:tcW w:w="550" w:type="dxa"/>
          </w:tcPr>
          <w:p w:rsidR="00AE3C3E" w:rsidRPr="00377111" w:rsidRDefault="00AE3C3E" w:rsidP="00BA29C7">
            <w:pPr>
              <w:pStyle w:val="naiskr"/>
              <w:ind w:left="180" w:hanging="180"/>
              <w:jc w:val="center"/>
            </w:pPr>
            <w:r w:rsidRPr="00377111">
              <w:t>3.</w:t>
            </w:r>
          </w:p>
        </w:tc>
        <w:tc>
          <w:tcPr>
            <w:tcW w:w="2880" w:type="dxa"/>
            <w:shd w:val="clear" w:color="auto" w:fill="auto"/>
          </w:tcPr>
          <w:p w:rsidR="00AE3C3E" w:rsidRPr="00377111" w:rsidRDefault="00AE3C3E" w:rsidP="00BA29C7">
            <w:pPr>
              <w:pStyle w:val="naiskr"/>
              <w:ind w:left="180" w:hanging="10"/>
            </w:pPr>
            <w:r w:rsidRPr="00377111">
              <w:t>Sabiedrības līdzdalības rezultāti</w:t>
            </w:r>
          </w:p>
        </w:tc>
        <w:tc>
          <w:tcPr>
            <w:tcW w:w="5652" w:type="dxa"/>
            <w:shd w:val="clear" w:color="auto" w:fill="auto"/>
          </w:tcPr>
          <w:p w:rsidR="00AE3C3E" w:rsidRDefault="00840ABF" w:rsidP="00BA29C7">
            <w:pPr>
              <w:pStyle w:val="naiskr"/>
              <w:jc w:val="both"/>
            </w:pPr>
            <w:r w:rsidRPr="00377111">
              <w:t>Iebildumi no izglītības iestādēm un pašvaldību izglītības pārvaldēm nav saņemti.</w:t>
            </w:r>
          </w:p>
          <w:p w:rsidR="00E70454" w:rsidRPr="00377111" w:rsidRDefault="00E70454" w:rsidP="00E70454">
            <w:pPr>
              <w:pStyle w:val="naiskr"/>
              <w:jc w:val="both"/>
              <w:rPr>
                <w:iCs/>
              </w:rPr>
            </w:pPr>
            <w:r>
              <w:t>LIVA atbalsta noteikumu projektu.</w:t>
            </w:r>
          </w:p>
        </w:tc>
      </w:tr>
      <w:tr w:rsidR="00840ABF" w:rsidRPr="00840ABF" w:rsidTr="00BA29C7">
        <w:trPr>
          <w:trHeight w:val="631"/>
          <w:tblCellSpacing w:w="0" w:type="dxa"/>
        </w:trPr>
        <w:tc>
          <w:tcPr>
            <w:tcW w:w="550" w:type="dxa"/>
          </w:tcPr>
          <w:p w:rsidR="00AE3C3E" w:rsidRPr="00840ABF" w:rsidRDefault="00AE3C3E" w:rsidP="00BA29C7">
            <w:pPr>
              <w:pStyle w:val="naiskr"/>
              <w:ind w:left="180" w:hanging="180"/>
              <w:jc w:val="center"/>
            </w:pPr>
            <w:r w:rsidRPr="00840ABF">
              <w:lastRenderedPageBreak/>
              <w:t>4.</w:t>
            </w:r>
          </w:p>
        </w:tc>
        <w:tc>
          <w:tcPr>
            <w:tcW w:w="2880" w:type="dxa"/>
            <w:shd w:val="clear" w:color="auto" w:fill="auto"/>
          </w:tcPr>
          <w:p w:rsidR="00AE3C3E" w:rsidRPr="00840ABF" w:rsidRDefault="00AE3C3E" w:rsidP="00BA29C7">
            <w:pPr>
              <w:pStyle w:val="naiskr"/>
              <w:ind w:left="180" w:hanging="10"/>
            </w:pPr>
            <w:r w:rsidRPr="00840ABF">
              <w:t>Saeimas un ekspertu līdzdalība</w:t>
            </w:r>
          </w:p>
        </w:tc>
        <w:tc>
          <w:tcPr>
            <w:tcW w:w="5652" w:type="dxa"/>
            <w:shd w:val="clear" w:color="auto" w:fill="auto"/>
          </w:tcPr>
          <w:p w:rsidR="00AE3C3E" w:rsidRPr="00840ABF" w:rsidRDefault="00AE3C3E" w:rsidP="00BA29C7">
            <w:pPr>
              <w:pStyle w:val="naiskr"/>
              <w:rPr>
                <w:iCs/>
              </w:rPr>
            </w:pPr>
            <w:r w:rsidRPr="00840ABF">
              <w:rPr>
                <w:iCs/>
              </w:rPr>
              <w:t>Noteikumu projekts šo jomu neskar.</w:t>
            </w:r>
          </w:p>
        </w:tc>
      </w:tr>
      <w:tr w:rsidR="00840ABF" w:rsidRPr="00840ABF" w:rsidTr="00BA29C7">
        <w:trPr>
          <w:trHeight w:val="613"/>
          <w:tblCellSpacing w:w="0" w:type="dxa"/>
        </w:trPr>
        <w:tc>
          <w:tcPr>
            <w:tcW w:w="550" w:type="dxa"/>
          </w:tcPr>
          <w:p w:rsidR="00AE3C3E" w:rsidRPr="00840ABF" w:rsidRDefault="00AE3C3E" w:rsidP="00BA29C7">
            <w:pPr>
              <w:pStyle w:val="naiskr"/>
              <w:ind w:left="180" w:hanging="180"/>
              <w:jc w:val="center"/>
            </w:pPr>
            <w:r w:rsidRPr="00840ABF">
              <w:t>5.</w:t>
            </w:r>
          </w:p>
        </w:tc>
        <w:tc>
          <w:tcPr>
            <w:tcW w:w="2880" w:type="dxa"/>
            <w:shd w:val="clear" w:color="auto" w:fill="auto"/>
          </w:tcPr>
          <w:p w:rsidR="00AE3C3E" w:rsidRPr="00840ABF" w:rsidRDefault="00AE3C3E" w:rsidP="00BA29C7">
            <w:pPr>
              <w:pStyle w:val="naiskr"/>
              <w:ind w:left="180" w:hanging="10"/>
            </w:pPr>
            <w:r w:rsidRPr="00840ABF">
              <w:t>Cita informācija</w:t>
            </w:r>
          </w:p>
        </w:tc>
        <w:tc>
          <w:tcPr>
            <w:tcW w:w="5652" w:type="dxa"/>
            <w:shd w:val="clear" w:color="auto" w:fill="auto"/>
          </w:tcPr>
          <w:p w:rsidR="00AE3C3E" w:rsidRPr="00840ABF" w:rsidRDefault="00AE3C3E" w:rsidP="00BA29C7">
            <w:pPr>
              <w:pStyle w:val="naiskr"/>
              <w:rPr>
                <w:iCs/>
              </w:rPr>
            </w:pPr>
            <w:r w:rsidRPr="00840ABF">
              <w:rPr>
                <w:iCs/>
              </w:rPr>
              <w:t>Nav.</w:t>
            </w:r>
          </w:p>
        </w:tc>
      </w:tr>
    </w:tbl>
    <w:p w:rsidR="002476D4" w:rsidRDefault="002476D4" w:rsidP="00CD48CE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Y="53"/>
        <w:tblW w:w="90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04"/>
      </w:tblGrid>
      <w:tr w:rsidR="00721755" w:rsidRPr="00435535" w:rsidTr="006E7EB2">
        <w:trPr>
          <w:tblCellSpacing w:w="0" w:type="dxa"/>
        </w:trPr>
        <w:tc>
          <w:tcPr>
            <w:tcW w:w="9034" w:type="dxa"/>
            <w:gridSpan w:val="3"/>
            <w:vAlign w:val="center"/>
          </w:tcPr>
          <w:p w:rsidR="00721755" w:rsidRPr="00435535" w:rsidRDefault="00721755" w:rsidP="006E7EB2">
            <w:pPr>
              <w:pStyle w:val="naisnod"/>
            </w:pPr>
            <w:r w:rsidRPr="00435535">
              <w:t>VII Tiesību akta projekta izpildes nodrošināšana un tās ietekme uz institūcijām</w:t>
            </w:r>
          </w:p>
        </w:tc>
      </w:tr>
      <w:tr w:rsidR="00721755" w:rsidRPr="00435535" w:rsidTr="00721755">
        <w:trPr>
          <w:trHeight w:val="834"/>
          <w:tblCellSpacing w:w="0" w:type="dxa"/>
        </w:trPr>
        <w:tc>
          <w:tcPr>
            <w:tcW w:w="550" w:type="dxa"/>
            <w:vAlign w:val="center"/>
          </w:tcPr>
          <w:p w:rsidR="00721755" w:rsidRPr="00435535" w:rsidRDefault="00721755" w:rsidP="006E7EB2">
            <w:pPr>
              <w:pStyle w:val="naisnod"/>
              <w:ind w:left="180" w:hanging="180"/>
              <w:rPr>
                <w:b w:val="0"/>
              </w:rPr>
            </w:pPr>
            <w:r w:rsidRPr="00435535">
              <w:rPr>
                <w:b w:val="0"/>
              </w:rPr>
              <w:t>1.</w:t>
            </w:r>
          </w:p>
        </w:tc>
        <w:tc>
          <w:tcPr>
            <w:tcW w:w="2880" w:type="dxa"/>
          </w:tcPr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 w:rsidRPr="00435535">
              <w:t xml:space="preserve">Projekta izpildē iesaistītās institūcijas </w:t>
            </w:r>
          </w:p>
        </w:tc>
        <w:tc>
          <w:tcPr>
            <w:tcW w:w="5604" w:type="dxa"/>
            <w:vAlign w:val="center"/>
          </w:tcPr>
          <w:p w:rsidR="00721755" w:rsidRPr="00435535" w:rsidRDefault="00D337B8" w:rsidP="00D337B8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377111">
              <w:rPr>
                <w:b w:val="0"/>
                <w:iCs/>
              </w:rPr>
              <w:t>Izglītības iestādes</w:t>
            </w:r>
            <w:r w:rsidR="00BA05AD" w:rsidRPr="00377111">
              <w:rPr>
                <w:b w:val="0"/>
                <w:iCs/>
              </w:rPr>
              <w:t xml:space="preserve"> – 924</w:t>
            </w:r>
            <w:r w:rsidRPr="00377111">
              <w:rPr>
                <w:b w:val="0"/>
                <w:iCs/>
              </w:rPr>
              <w:t>, kuras īsteno vispārējās pamatizglītības programmas, vispārējās vidējās izglītības programmas, profesionālās vidējās izglītības un arodizglītības programmas, p</w:t>
            </w:r>
            <w:r w:rsidRPr="00377111">
              <w:rPr>
                <w:b w:val="0"/>
              </w:rPr>
              <w:t>ašvaldības izglītības speciālisti vai izglītības pārvaldes iestādes – 109.</w:t>
            </w:r>
          </w:p>
        </w:tc>
      </w:tr>
      <w:tr w:rsidR="00721755" w:rsidRPr="00435535" w:rsidTr="006E7EB2">
        <w:trPr>
          <w:trHeight w:val="357"/>
          <w:tblCellSpacing w:w="0" w:type="dxa"/>
        </w:trPr>
        <w:tc>
          <w:tcPr>
            <w:tcW w:w="550" w:type="dxa"/>
            <w:vAlign w:val="center"/>
          </w:tcPr>
          <w:p w:rsidR="00721755" w:rsidRPr="00435535" w:rsidRDefault="00721755" w:rsidP="006E7EB2">
            <w:pPr>
              <w:pStyle w:val="naisnod"/>
              <w:rPr>
                <w:b w:val="0"/>
              </w:rPr>
            </w:pPr>
            <w:r w:rsidRPr="00435535">
              <w:rPr>
                <w:b w:val="0"/>
              </w:rPr>
              <w:t>2.</w:t>
            </w:r>
          </w:p>
        </w:tc>
        <w:tc>
          <w:tcPr>
            <w:tcW w:w="2880" w:type="dxa"/>
            <w:vAlign w:val="center"/>
          </w:tcPr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 w:rsidRPr="00435535">
              <w:t xml:space="preserve">Projekta izpildes ietekme uz pārvaldes funkcijām </w:t>
            </w:r>
          </w:p>
        </w:tc>
        <w:tc>
          <w:tcPr>
            <w:tcW w:w="5604" w:type="dxa"/>
            <w:vAlign w:val="center"/>
          </w:tcPr>
          <w:p w:rsidR="00721755" w:rsidRPr="00435535" w:rsidRDefault="00721755" w:rsidP="00721755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t xml:space="preserve">Institūciju funkcijas un uzdevumi ar šo noteikumu projektu </w:t>
            </w:r>
            <w:r w:rsidR="008265E9">
              <w:rPr>
                <w:b w:val="0"/>
                <w:iCs/>
              </w:rPr>
              <w:t>netiek sašaurināti</w:t>
            </w:r>
            <w:r w:rsidR="003357C4">
              <w:rPr>
                <w:b w:val="0"/>
                <w:iCs/>
              </w:rPr>
              <w:t xml:space="preserve"> vai </w:t>
            </w:r>
            <w:r w:rsidR="008265E9">
              <w:rPr>
                <w:b w:val="0"/>
                <w:iCs/>
              </w:rPr>
              <w:t>paplašināti</w:t>
            </w:r>
            <w:r>
              <w:rPr>
                <w:b w:val="0"/>
                <w:iCs/>
              </w:rPr>
              <w:t>.</w:t>
            </w:r>
          </w:p>
        </w:tc>
      </w:tr>
      <w:tr w:rsidR="00721755" w:rsidRPr="00435535" w:rsidTr="00721755">
        <w:trPr>
          <w:trHeight w:val="725"/>
          <w:tblCellSpacing w:w="0" w:type="dxa"/>
        </w:trPr>
        <w:tc>
          <w:tcPr>
            <w:tcW w:w="550" w:type="dxa"/>
            <w:vAlign w:val="center"/>
          </w:tcPr>
          <w:p w:rsidR="00721755" w:rsidRPr="00435535" w:rsidRDefault="00721755" w:rsidP="006E7EB2">
            <w:pPr>
              <w:pStyle w:val="naisnod"/>
              <w:rPr>
                <w:b w:val="0"/>
              </w:rPr>
            </w:pPr>
            <w:r w:rsidRPr="00435535">
              <w:rPr>
                <w:b w:val="0"/>
              </w:rPr>
              <w:t>3.</w:t>
            </w:r>
          </w:p>
        </w:tc>
        <w:tc>
          <w:tcPr>
            <w:tcW w:w="2880" w:type="dxa"/>
            <w:vAlign w:val="center"/>
          </w:tcPr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 w:rsidRPr="00435535">
              <w:t>Projekta izpildes ietekme uz pārvaldes institucionālo struktūru.</w:t>
            </w:r>
          </w:p>
          <w:p w:rsidR="00721755" w:rsidRPr="00435535" w:rsidRDefault="00721755" w:rsidP="00A95A64">
            <w:pPr>
              <w:pStyle w:val="naisf"/>
              <w:spacing w:before="0" w:after="0"/>
              <w:ind w:left="350" w:hanging="180"/>
              <w:jc w:val="left"/>
            </w:pPr>
            <w:r>
              <w:t>Jaunu institūciju izveide</w:t>
            </w:r>
          </w:p>
        </w:tc>
        <w:tc>
          <w:tcPr>
            <w:tcW w:w="5604" w:type="dxa"/>
          </w:tcPr>
          <w:p w:rsidR="00721755" w:rsidRPr="00D6652F" w:rsidRDefault="00937653" w:rsidP="00721755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CB3303">
              <w:rPr>
                <w:b w:val="0"/>
              </w:rPr>
              <w:t>Normatīvā akta izpilde tiks nodrošināta esošo institūciju ietvaros.</w:t>
            </w:r>
          </w:p>
        </w:tc>
      </w:tr>
      <w:tr w:rsidR="00721755" w:rsidRPr="00435535" w:rsidTr="00721755">
        <w:trPr>
          <w:trHeight w:val="671"/>
          <w:tblCellSpacing w:w="0" w:type="dxa"/>
        </w:trPr>
        <w:tc>
          <w:tcPr>
            <w:tcW w:w="550" w:type="dxa"/>
            <w:vAlign w:val="center"/>
          </w:tcPr>
          <w:p w:rsidR="00721755" w:rsidRPr="00435535" w:rsidRDefault="00721755" w:rsidP="006E7EB2">
            <w:pPr>
              <w:pStyle w:val="naisnod"/>
              <w:rPr>
                <w:b w:val="0"/>
              </w:rPr>
            </w:pPr>
            <w:r w:rsidRPr="00435535">
              <w:rPr>
                <w:b w:val="0"/>
              </w:rPr>
              <w:t>4.</w:t>
            </w:r>
          </w:p>
        </w:tc>
        <w:tc>
          <w:tcPr>
            <w:tcW w:w="2880" w:type="dxa"/>
            <w:vAlign w:val="center"/>
          </w:tcPr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 w:rsidRPr="00435535">
              <w:t>Projekta izpildes ietekme uz pārvaldes institucionālo strukt</w:t>
            </w:r>
            <w:r>
              <w:t>ūru.</w:t>
            </w:r>
          </w:p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>
              <w:t>Esošu institūciju likvidācija</w:t>
            </w:r>
          </w:p>
        </w:tc>
        <w:tc>
          <w:tcPr>
            <w:tcW w:w="5604" w:type="dxa"/>
          </w:tcPr>
          <w:p w:rsidR="00721755" w:rsidRPr="00D6652F" w:rsidRDefault="00937653" w:rsidP="00937653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52AEF">
              <w:rPr>
                <w:b w:val="0"/>
                <w:iCs/>
              </w:rPr>
              <w:t>Projekts šo jomu neskar</w:t>
            </w:r>
            <w:r>
              <w:rPr>
                <w:b w:val="0"/>
                <w:iCs/>
              </w:rPr>
              <w:t>.</w:t>
            </w:r>
          </w:p>
        </w:tc>
      </w:tr>
      <w:tr w:rsidR="00721755" w:rsidRPr="00435535" w:rsidTr="00721755">
        <w:trPr>
          <w:trHeight w:val="939"/>
          <w:tblCellSpacing w:w="0" w:type="dxa"/>
        </w:trPr>
        <w:tc>
          <w:tcPr>
            <w:tcW w:w="550" w:type="dxa"/>
            <w:vAlign w:val="center"/>
          </w:tcPr>
          <w:p w:rsidR="00721755" w:rsidRPr="00435535" w:rsidRDefault="00721755" w:rsidP="006E7EB2">
            <w:pPr>
              <w:pStyle w:val="naisnod"/>
              <w:rPr>
                <w:b w:val="0"/>
              </w:rPr>
            </w:pPr>
            <w:r w:rsidRPr="00435535">
              <w:rPr>
                <w:b w:val="0"/>
              </w:rPr>
              <w:t>5.</w:t>
            </w:r>
          </w:p>
        </w:tc>
        <w:tc>
          <w:tcPr>
            <w:tcW w:w="2880" w:type="dxa"/>
            <w:vAlign w:val="center"/>
          </w:tcPr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 w:rsidRPr="00435535">
              <w:t>Projekta izpildes ietekme uz pār</w:t>
            </w:r>
            <w:r>
              <w:t>valdes institucionālo struktūru.</w:t>
            </w:r>
          </w:p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>
              <w:t>Esošu institūciju reorganizācija</w:t>
            </w:r>
          </w:p>
        </w:tc>
        <w:tc>
          <w:tcPr>
            <w:tcW w:w="5604" w:type="dxa"/>
          </w:tcPr>
          <w:p w:rsidR="00721755" w:rsidRPr="00D6652F" w:rsidRDefault="00937653" w:rsidP="00937653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52AEF">
              <w:rPr>
                <w:b w:val="0"/>
                <w:iCs/>
              </w:rPr>
              <w:t>Projekts šo jomu neskar</w:t>
            </w:r>
            <w:r>
              <w:rPr>
                <w:b w:val="0"/>
                <w:iCs/>
              </w:rPr>
              <w:t>.</w:t>
            </w:r>
          </w:p>
        </w:tc>
      </w:tr>
      <w:tr w:rsidR="00721755" w:rsidRPr="00435535" w:rsidTr="006E7EB2">
        <w:trPr>
          <w:trHeight w:val="476"/>
          <w:tblCellSpacing w:w="0" w:type="dxa"/>
        </w:trPr>
        <w:tc>
          <w:tcPr>
            <w:tcW w:w="550" w:type="dxa"/>
            <w:vAlign w:val="center"/>
          </w:tcPr>
          <w:p w:rsidR="00721755" w:rsidRPr="00435535" w:rsidRDefault="00721755" w:rsidP="006E7EB2">
            <w:pPr>
              <w:pStyle w:val="naiskr"/>
              <w:jc w:val="center"/>
            </w:pPr>
            <w:r>
              <w:t>6</w:t>
            </w:r>
            <w:r w:rsidRPr="00435535">
              <w:t>.</w:t>
            </w:r>
          </w:p>
        </w:tc>
        <w:tc>
          <w:tcPr>
            <w:tcW w:w="2880" w:type="dxa"/>
            <w:vAlign w:val="center"/>
          </w:tcPr>
          <w:p w:rsidR="00721755" w:rsidRPr="00435535" w:rsidRDefault="00721755" w:rsidP="00A95A64">
            <w:pPr>
              <w:pStyle w:val="naisf"/>
              <w:spacing w:before="0" w:after="0"/>
              <w:ind w:left="170" w:firstLine="0"/>
              <w:jc w:val="left"/>
            </w:pPr>
            <w:r w:rsidRPr="00435535">
              <w:t>Cita informācija.</w:t>
            </w:r>
          </w:p>
        </w:tc>
        <w:tc>
          <w:tcPr>
            <w:tcW w:w="5604" w:type="dxa"/>
            <w:vAlign w:val="center"/>
          </w:tcPr>
          <w:p w:rsidR="00721755" w:rsidRPr="00435535" w:rsidRDefault="00721755" w:rsidP="00721755">
            <w:pPr>
              <w:pStyle w:val="naiskr"/>
              <w:spacing w:before="0" w:after="0"/>
            </w:pPr>
            <w:r w:rsidRPr="00435535">
              <w:t>Nav</w:t>
            </w:r>
            <w:r w:rsidR="00A95A64">
              <w:t>.</w:t>
            </w:r>
          </w:p>
        </w:tc>
      </w:tr>
    </w:tbl>
    <w:p w:rsidR="008559E7" w:rsidRDefault="008559E7" w:rsidP="00DA5755">
      <w:pPr>
        <w:rPr>
          <w:lang w:eastAsia="en-US"/>
        </w:rPr>
      </w:pPr>
    </w:p>
    <w:p w:rsidR="00BA0ABC" w:rsidRDefault="00BA0ABC" w:rsidP="00DA5755">
      <w:pPr>
        <w:rPr>
          <w:lang w:eastAsia="en-US"/>
        </w:rPr>
      </w:pPr>
    </w:p>
    <w:p w:rsidR="008559E7" w:rsidRPr="008559E7" w:rsidRDefault="008559E7" w:rsidP="00DA5755">
      <w:pPr>
        <w:rPr>
          <w:lang w:eastAsia="en-US"/>
        </w:rPr>
      </w:pPr>
    </w:p>
    <w:p w:rsidR="0059158F" w:rsidRPr="008559E7" w:rsidRDefault="0059158F" w:rsidP="0059158F">
      <w:pPr>
        <w:pStyle w:val="Heading5"/>
        <w:tabs>
          <w:tab w:val="left" w:pos="6663"/>
        </w:tabs>
        <w:ind w:firstLine="426"/>
        <w:rPr>
          <w:sz w:val="24"/>
          <w:szCs w:val="24"/>
          <w:lang w:val="lv-LV"/>
        </w:rPr>
      </w:pPr>
      <w:r w:rsidRPr="008559E7">
        <w:rPr>
          <w:sz w:val="24"/>
          <w:szCs w:val="24"/>
          <w:lang w:val="lv-LV"/>
        </w:rPr>
        <w:t>Izglītī</w:t>
      </w:r>
      <w:r w:rsidR="003F6EA0">
        <w:rPr>
          <w:sz w:val="24"/>
          <w:szCs w:val="24"/>
          <w:lang w:val="lv-LV"/>
        </w:rPr>
        <w:t>bas un zinātnes ministrs</w:t>
      </w:r>
      <w:r w:rsidR="003F6EA0">
        <w:rPr>
          <w:sz w:val="24"/>
          <w:szCs w:val="24"/>
          <w:lang w:val="lv-LV"/>
        </w:rPr>
        <w:tab/>
        <w:t>R.Ķīlis</w:t>
      </w:r>
    </w:p>
    <w:p w:rsidR="0059158F" w:rsidRPr="008559E7" w:rsidRDefault="0059158F" w:rsidP="0059158F">
      <w:pPr>
        <w:tabs>
          <w:tab w:val="left" w:pos="6663"/>
        </w:tabs>
      </w:pPr>
    </w:p>
    <w:p w:rsidR="0059158F" w:rsidRPr="008559E7" w:rsidRDefault="0059158F" w:rsidP="0059158F">
      <w:pPr>
        <w:tabs>
          <w:tab w:val="left" w:pos="6663"/>
        </w:tabs>
      </w:pPr>
    </w:p>
    <w:p w:rsidR="00FE0DA1" w:rsidRPr="00944324" w:rsidRDefault="00FE0DA1" w:rsidP="00FE0DA1">
      <w:pPr>
        <w:tabs>
          <w:tab w:val="left" w:pos="5580"/>
        </w:tabs>
        <w:ind w:firstLine="426"/>
      </w:pPr>
      <w:r w:rsidRPr="00944324">
        <w:t>Vizē: Valsts sekretāra vietniece –</w:t>
      </w:r>
    </w:p>
    <w:p w:rsidR="00FD3985" w:rsidRDefault="00FD3985" w:rsidP="00FD3985">
      <w:pPr>
        <w:tabs>
          <w:tab w:val="left" w:pos="6840"/>
        </w:tabs>
        <w:ind w:firstLine="426"/>
      </w:pPr>
      <w:r>
        <w:t>Nodrošinājuma un finanšu</w:t>
      </w:r>
    </w:p>
    <w:p w:rsidR="00FD3985" w:rsidRDefault="00FD3985" w:rsidP="00FD3985">
      <w:pPr>
        <w:tabs>
          <w:tab w:val="left" w:pos="6840"/>
        </w:tabs>
        <w:ind w:firstLine="426"/>
      </w:pPr>
      <w:r>
        <w:t>departamenta direktore,</w:t>
      </w:r>
    </w:p>
    <w:p w:rsidR="00FE0DA1" w:rsidRPr="00944324" w:rsidRDefault="00FD3985" w:rsidP="00FD3985">
      <w:pPr>
        <w:tabs>
          <w:tab w:val="left" w:pos="6840"/>
        </w:tabs>
        <w:ind w:firstLine="426"/>
      </w:pPr>
      <w:r>
        <w:t>valsts sekretāra pienākumu izpildītāja</w:t>
      </w:r>
      <w:r>
        <w:tab/>
      </w:r>
      <w:proofErr w:type="spellStart"/>
      <w:r>
        <w:t>S.Batare</w:t>
      </w:r>
      <w:proofErr w:type="spellEnd"/>
    </w:p>
    <w:p w:rsidR="00BA0ABC" w:rsidRDefault="00BA0ABC" w:rsidP="005A34CD"/>
    <w:p w:rsidR="00BA0ABC" w:rsidRDefault="00BA0ABC" w:rsidP="005A34CD"/>
    <w:p w:rsidR="00377111" w:rsidRDefault="00377111" w:rsidP="005A34CD"/>
    <w:p w:rsidR="00377111" w:rsidRDefault="00377111" w:rsidP="005A34CD"/>
    <w:p w:rsidR="00BA0ABC" w:rsidRDefault="00BA0ABC" w:rsidP="005A34CD"/>
    <w:p w:rsidR="008265E9" w:rsidRDefault="008265E9" w:rsidP="005A34CD"/>
    <w:p w:rsidR="00A95A64" w:rsidRPr="00A95A64" w:rsidRDefault="00A95A64" w:rsidP="005A34CD">
      <w:pPr>
        <w:rPr>
          <w:sz w:val="20"/>
          <w:szCs w:val="20"/>
        </w:rPr>
      </w:pPr>
      <w:bookmarkStart w:id="0" w:name="_GoBack"/>
      <w:bookmarkEnd w:id="0"/>
    </w:p>
    <w:p w:rsidR="00A66ED1" w:rsidRPr="00A95A64" w:rsidRDefault="00FC4E78" w:rsidP="005A34CD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FE0DA1">
        <w:rPr>
          <w:sz w:val="20"/>
          <w:szCs w:val="20"/>
        </w:rPr>
        <w:t>.10</w:t>
      </w:r>
      <w:r w:rsidR="003E5E77">
        <w:rPr>
          <w:sz w:val="20"/>
          <w:szCs w:val="20"/>
        </w:rPr>
        <w:t>.2012.</w:t>
      </w:r>
      <w:r>
        <w:rPr>
          <w:sz w:val="20"/>
          <w:szCs w:val="20"/>
        </w:rPr>
        <w:t xml:space="preserve"> 16</w:t>
      </w:r>
      <w:r w:rsidR="00417171">
        <w:rPr>
          <w:sz w:val="20"/>
          <w:szCs w:val="20"/>
        </w:rPr>
        <w:t>:35</w:t>
      </w:r>
    </w:p>
    <w:p w:rsidR="00AE52BF" w:rsidRDefault="00FD3985" w:rsidP="005A34CD">
      <w:pPr>
        <w:rPr>
          <w:sz w:val="20"/>
          <w:szCs w:val="20"/>
        </w:rPr>
      </w:pPr>
      <w:r>
        <w:rPr>
          <w:sz w:val="20"/>
          <w:szCs w:val="20"/>
        </w:rPr>
        <w:t>897</w:t>
      </w:r>
    </w:p>
    <w:p w:rsidR="005A34CD" w:rsidRPr="00A95A64" w:rsidRDefault="00461A90" w:rsidP="005A34CD">
      <w:pPr>
        <w:rPr>
          <w:sz w:val="20"/>
          <w:szCs w:val="20"/>
        </w:rPr>
      </w:pPr>
      <w:r w:rsidRPr="00A95A64">
        <w:rPr>
          <w:sz w:val="20"/>
          <w:szCs w:val="20"/>
        </w:rPr>
        <w:t>I.Kamarūte</w:t>
      </w:r>
    </w:p>
    <w:p w:rsidR="00E30A7D" w:rsidRPr="00A95A64" w:rsidRDefault="00461A90" w:rsidP="00C177C5">
      <w:pPr>
        <w:rPr>
          <w:sz w:val="20"/>
          <w:szCs w:val="20"/>
        </w:rPr>
      </w:pPr>
      <w:r w:rsidRPr="00A95A64">
        <w:rPr>
          <w:sz w:val="20"/>
          <w:szCs w:val="20"/>
        </w:rPr>
        <w:t>67814478,</w:t>
      </w:r>
      <w:r w:rsidR="00435535" w:rsidRPr="00A95A64">
        <w:rPr>
          <w:sz w:val="20"/>
          <w:szCs w:val="20"/>
        </w:rPr>
        <w:t>i</w:t>
      </w:r>
      <w:r w:rsidRPr="00A95A64">
        <w:rPr>
          <w:sz w:val="20"/>
          <w:szCs w:val="20"/>
        </w:rPr>
        <w:t>ngrida.kamarute</w:t>
      </w:r>
      <w:r w:rsidR="005A34CD" w:rsidRPr="00A95A64">
        <w:rPr>
          <w:sz w:val="20"/>
          <w:szCs w:val="20"/>
        </w:rPr>
        <w:t>@visc.gov.lv</w:t>
      </w:r>
    </w:p>
    <w:sectPr w:rsidR="00E30A7D" w:rsidRPr="00A95A64" w:rsidSect="00220AA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1" w:rsidRDefault="00ED7541">
      <w:r>
        <w:separator/>
      </w:r>
    </w:p>
  </w:endnote>
  <w:endnote w:type="continuationSeparator" w:id="0">
    <w:p w:rsidR="00ED7541" w:rsidRDefault="00ED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87" w:rsidRPr="00640F51" w:rsidRDefault="00B56259" w:rsidP="007C6B87">
    <w:pPr>
      <w:pStyle w:val="naislab"/>
      <w:jc w:val="both"/>
      <w:outlineLvl w:val="0"/>
      <w:rPr>
        <w:sz w:val="22"/>
        <w:szCs w:val="22"/>
      </w:rPr>
    </w:pPr>
    <w:r w:rsidRPr="00640F51">
      <w:rPr>
        <w:sz w:val="22"/>
        <w:szCs w:val="22"/>
      </w:rPr>
      <w:t>IZMAnot_</w:t>
    </w:r>
    <w:r w:rsidR="00E70454">
      <w:rPr>
        <w:sz w:val="22"/>
        <w:szCs w:val="22"/>
      </w:rPr>
      <w:t>26</w:t>
    </w:r>
    <w:r w:rsidR="00FE0DA1">
      <w:rPr>
        <w:sz w:val="22"/>
        <w:szCs w:val="22"/>
      </w:rPr>
      <w:t>10</w:t>
    </w:r>
    <w:r w:rsidR="00637589">
      <w:rPr>
        <w:sz w:val="22"/>
        <w:szCs w:val="22"/>
      </w:rPr>
      <w:t>12_groz_334</w:t>
    </w:r>
    <w:r w:rsidRPr="00640F51">
      <w:rPr>
        <w:sz w:val="22"/>
        <w:szCs w:val="22"/>
      </w:rPr>
      <w:t>; Ministru kabineta noteikumu projekta „</w:t>
    </w:r>
    <w:r w:rsidRPr="00640F51">
      <w:rPr>
        <w:bCs/>
        <w:sz w:val="22"/>
        <w:szCs w:val="22"/>
      </w:rPr>
      <w:t xml:space="preserve">Grozījumi Ministru kabineta </w:t>
    </w:r>
    <w:r w:rsidR="003E5E77">
      <w:rPr>
        <w:sz w:val="22"/>
        <w:szCs w:val="22"/>
      </w:rPr>
      <w:t>2010.gada 6.a</w:t>
    </w:r>
    <w:r w:rsidR="00637589">
      <w:rPr>
        <w:sz w:val="22"/>
        <w:szCs w:val="22"/>
      </w:rPr>
      <w:t>prīļa noteikumos Nr.334</w:t>
    </w:r>
    <w:r w:rsidRPr="00640F51">
      <w:rPr>
        <w:sz w:val="22"/>
        <w:szCs w:val="22"/>
      </w:rPr>
      <w:t xml:space="preserve"> „</w:t>
    </w:r>
    <w:r w:rsidR="003E5E77">
      <w:rPr>
        <w:sz w:val="22"/>
        <w:szCs w:val="22"/>
      </w:rPr>
      <w:t xml:space="preserve">Noteikumi par </w:t>
    </w:r>
    <w:r w:rsidR="00637589">
      <w:rPr>
        <w:sz w:val="22"/>
        <w:szCs w:val="22"/>
      </w:rPr>
      <w:t>valsts pārbaudījumu</w:t>
    </w:r>
    <w:r w:rsidR="003E5E77">
      <w:rPr>
        <w:sz w:val="22"/>
        <w:szCs w:val="22"/>
      </w:rPr>
      <w:t xml:space="preserve"> norises kārtību</w:t>
    </w:r>
    <w:r w:rsidRPr="00640F51">
      <w:rPr>
        <w:sz w:val="22"/>
        <w:szCs w:val="22"/>
      </w:rPr>
      <w:t>””</w:t>
    </w:r>
    <w:r w:rsidR="00F67174" w:rsidRPr="00640F51">
      <w:rPr>
        <w:sz w:val="22"/>
        <w:szCs w:val="22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F67174" w:rsidRPr="00640F51">
        <w:rPr>
          <w:sz w:val="22"/>
          <w:szCs w:val="22"/>
        </w:rPr>
        <w:t>ziņojums</w:t>
      </w:r>
    </w:smartTag>
    <w:r w:rsidR="00F67174" w:rsidRPr="00640F51">
      <w:rPr>
        <w:sz w:val="22"/>
        <w:szCs w:val="22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7D" w:rsidRPr="00640F51" w:rsidRDefault="00637589" w:rsidP="00DF1645">
    <w:pPr>
      <w:pStyle w:val="naislab"/>
      <w:jc w:val="both"/>
      <w:outlineLvl w:val="0"/>
      <w:rPr>
        <w:sz w:val="22"/>
        <w:szCs w:val="22"/>
      </w:rPr>
    </w:pPr>
    <w:r w:rsidRPr="00640F51">
      <w:rPr>
        <w:sz w:val="22"/>
        <w:szCs w:val="22"/>
      </w:rPr>
      <w:t>IZMAnot_</w:t>
    </w:r>
    <w:r w:rsidR="00FC4E78">
      <w:rPr>
        <w:sz w:val="22"/>
        <w:szCs w:val="22"/>
      </w:rPr>
      <w:t>26</w:t>
    </w:r>
    <w:r w:rsidR="00FE0DA1">
      <w:rPr>
        <w:sz w:val="22"/>
        <w:szCs w:val="22"/>
      </w:rPr>
      <w:t>10</w:t>
    </w:r>
    <w:r>
      <w:rPr>
        <w:sz w:val="22"/>
        <w:szCs w:val="22"/>
      </w:rPr>
      <w:t>12_groz_334</w:t>
    </w:r>
    <w:r w:rsidRPr="00640F51">
      <w:rPr>
        <w:sz w:val="22"/>
        <w:szCs w:val="22"/>
      </w:rPr>
      <w:t>; Ministru kabineta noteikumu projekta „</w:t>
    </w:r>
    <w:r w:rsidRPr="00640F51">
      <w:rPr>
        <w:bCs/>
        <w:sz w:val="22"/>
        <w:szCs w:val="22"/>
      </w:rPr>
      <w:t xml:space="preserve">Grozījumi Ministru kabineta </w:t>
    </w:r>
    <w:r>
      <w:rPr>
        <w:sz w:val="22"/>
        <w:szCs w:val="22"/>
      </w:rPr>
      <w:t>2010.gada 6.aprīļa noteikumos Nr.334</w:t>
    </w:r>
    <w:r w:rsidRPr="00640F51">
      <w:rPr>
        <w:sz w:val="22"/>
        <w:szCs w:val="22"/>
      </w:rPr>
      <w:t xml:space="preserve"> „</w:t>
    </w:r>
    <w:r>
      <w:rPr>
        <w:sz w:val="22"/>
        <w:szCs w:val="22"/>
      </w:rPr>
      <w:t>Noteikumi par valsts pārbaudījumu norises kārtību</w:t>
    </w:r>
    <w:r w:rsidRPr="00640F51">
      <w:rPr>
        <w:sz w:val="22"/>
        <w:szCs w:val="22"/>
      </w:rPr>
      <w:t xml:space="preserve">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40F51">
        <w:rPr>
          <w:sz w:val="22"/>
          <w:szCs w:val="22"/>
        </w:rPr>
        <w:t>ziņojums</w:t>
      </w:r>
    </w:smartTag>
    <w:r w:rsidRPr="00640F51">
      <w:rPr>
        <w:sz w:val="22"/>
        <w:szCs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1" w:rsidRDefault="00ED7541">
      <w:r>
        <w:separator/>
      </w:r>
    </w:p>
  </w:footnote>
  <w:footnote w:type="continuationSeparator" w:id="0">
    <w:p w:rsidR="00ED7541" w:rsidRDefault="00ED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7D" w:rsidRDefault="00327B0C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1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67D">
      <w:rPr>
        <w:rStyle w:val="PageNumber"/>
        <w:noProof/>
      </w:rPr>
      <w:t>1</w:t>
    </w:r>
    <w:r>
      <w:rPr>
        <w:rStyle w:val="PageNumber"/>
      </w:rPr>
      <w:fldChar w:fldCharType="end"/>
    </w:r>
  </w:p>
  <w:p w:rsidR="00A7167D" w:rsidRDefault="00A71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7D" w:rsidRPr="00DB073B" w:rsidRDefault="00327B0C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A7167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FD3985">
      <w:rPr>
        <w:rStyle w:val="PageNumber"/>
        <w:noProof/>
        <w:sz w:val="20"/>
        <w:szCs w:val="20"/>
      </w:rPr>
      <w:t>4</w:t>
    </w:r>
    <w:r w:rsidRPr="00DB073B">
      <w:rPr>
        <w:rStyle w:val="PageNumber"/>
        <w:sz w:val="20"/>
        <w:szCs w:val="20"/>
      </w:rPr>
      <w:fldChar w:fldCharType="end"/>
    </w:r>
  </w:p>
  <w:p w:rsidR="00A7167D" w:rsidRDefault="00A71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6B0"/>
    <w:multiLevelType w:val="hybridMultilevel"/>
    <w:tmpl w:val="C494F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21C5"/>
    <w:multiLevelType w:val="hybridMultilevel"/>
    <w:tmpl w:val="BC12A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4071DFE"/>
    <w:multiLevelType w:val="hybridMultilevel"/>
    <w:tmpl w:val="7CD47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36C9"/>
    <w:multiLevelType w:val="hybridMultilevel"/>
    <w:tmpl w:val="1F78B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4119FE"/>
    <w:multiLevelType w:val="hybridMultilevel"/>
    <w:tmpl w:val="3D543B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8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62A0"/>
    <w:rsid w:val="00011D24"/>
    <w:rsid w:val="000130AB"/>
    <w:rsid w:val="00013FF4"/>
    <w:rsid w:val="00014EE3"/>
    <w:rsid w:val="000161D4"/>
    <w:rsid w:val="00020850"/>
    <w:rsid w:val="00020FE1"/>
    <w:rsid w:val="00022E13"/>
    <w:rsid w:val="00032388"/>
    <w:rsid w:val="00032984"/>
    <w:rsid w:val="00035CE2"/>
    <w:rsid w:val="000424B3"/>
    <w:rsid w:val="00046EE0"/>
    <w:rsid w:val="000542A0"/>
    <w:rsid w:val="00054FF0"/>
    <w:rsid w:val="0005553B"/>
    <w:rsid w:val="000604D2"/>
    <w:rsid w:val="00065B07"/>
    <w:rsid w:val="00074244"/>
    <w:rsid w:val="0007505A"/>
    <w:rsid w:val="00077886"/>
    <w:rsid w:val="00080C12"/>
    <w:rsid w:val="0009005E"/>
    <w:rsid w:val="000A03A8"/>
    <w:rsid w:val="000A4F29"/>
    <w:rsid w:val="000A5B53"/>
    <w:rsid w:val="000A6451"/>
    <w:rsid w:val="000A6E0F"/>
    <w:rsid w:val="000B064E"/>
    <w:rsid w:val="000B1605"/>
    <w:rsid w:val="000B69CF"/>
    <w:rsid w:val="000C2424"/>
    <w:rsid w:val="000C790C"/>
    <w:rsid w:val="000D4F91"/>
    <w:rsid w:val="000D6EA7"/>
    <w:rsid w:val="000F061D"/>
    <w:rsid w:val="000F7140"/>
    <w:rsid w:val="00107FF9"/>
    <w:rsid w:val="0012157A"/>
    <w:rsid w:val="00122F2C"/>
    <w:rsid w:val="00124F12"/>
    <w:rsid w:val="00130EF0"/>
    <w:rsid w:val="00131FB7"/>
    <w:rsid w:val="00144CB5"/>
    <w:rsid w:val="00144E3A"/>
    <w:rsid w:val="0015060C"/>
    <w:rsid w:val="001529C2"/>
    <w:rsid w:val="00153766"/>
    <w:rsid w:val="0016018A"/>
    <w:rsid w:val="00161F0E"/>
    <w:rsid w:val="00166CAA"/>
    <w:rsid w:val="00170E2A"/>
    <w:rsid w:val="00175774"/>
    <w:rsid w:val="00176798"/>
    <w:rsid w:val="001814C0"/>
    <w:rsid w:val="001815EB"/>
    <w:rsid w:val="0018343B"/>
    <w:rsid w:val="00183CC2"/>
    <w:rsid w:val="00186392"/>
    <w:rsid w:val="00187B0C"/>
    <w:rsid w:val="001900E4"/>
    <w:rsid w:val="00190F88"/>
    <w:rsid w:val="001A1F7F"/>
    <w:rsid w:val="001A4066"/>
    <w:rsid w:val="001A6AE4"/>
    <w:rsid w:val="001B01FD"/>
    <w:rsid w:val="001B4A71"/>
    <w:rsid w:val="001B6029"/>
    <w:rsid w:val="001D28AB"/>
    <w:rsid w:val="001D5B54"/>
    <w:rsid w:val="001E1DBF"/>
    <w:rsid w:val="001E4639"/>
    <w:rsid w:val="001E4A7D"/>
    <w:rsid w:val="001E5CA3"/>
    <w:rsid w:val="001F43A8"/>
    <w:rsid w:val="001F5CD6"/>
    <w:rsid w:val="00204F3B"/>
    <w:rsid w:val="00205865"/>
    <w:rsid w:val="0021263D"/>
    <w:rsid w:val="00212A97"/>
    <w:rsid w:val="00213F0C"/>
    <w:rsid w:val="00215091"/>
    <w:rsid w:val="0021592D"/>
    <w:rsid w:val="00220AA1"/>
    <w:rsid w:val="00220E01"/>
    <w:rsid w:val="00222D76"/>
    <w:rsid w:val="00223EB1"/>
    <w:rsid w:val="00224437"/>
    <w:rsid w:val="00231344"/>
    <w:rsid w:val="002338B6"/>
    <w:rsid w:val="0023436E"/>
    <w:rsid w:val="002347C0"/>
    <w:rsid w:val="00241A6C"/>
    <w:rsid w:val="00242D2B"/>
    <w:rsid w:val="00245467"/>
    <w:rsid w:val="002476D4"/>
    <w:rsid w:val="00253188"/>
    <w:rsid w:val="00262E2B"/>
    <w:rsid w:val="002661FC"/>
    <w:rsid w:val="00270429"/>
    <w:rsid w:val="00272363"/>
    <w:rsid w:val="002723E9"/>
    <w:rsid w:val="00275C79"/>
    <w:rsid w:val="00277929"/>
    <w:rsid w:val="00283B82"/>
    <w:rsid w:val="002846E9"/>
    <w:rsid w:val="00284C34"/>
    <w:rsid w:val="00285D29"/>
    <w:rsid w:val="0029066C"/>
    <w:rsid w:val="002A5D8A"/>
    <w:rsid w:val="002B50DB"/>
    <w:rsid w:val="002C12AB"/>
    <w:rsid w:val="002C12C0"/>
    <w:rsid w:val="002C1D08"/>
    <w:rsid w:val="002C276A"/>
    <w:rsid w:val="002C7CAC"/>
    <w:rsid w:val="002D09E7"/>
    <w:rsid w:val="002D0F7F"/>
    <w:rsid w:val="002D3306"/>
    <w:rsid w:val="002D3845"/>
    <w:rsid w:val="002D48AA"/>
    <w:rsid w:val="002D7BAA"/>
    <w:rsid w:val="002D7F54"/>
    <w:rsid w:val="002E0EAC"/>
    <w:rsid w:val="002E2D52"/>
    <w:rsid w:val="002E3FF4"/>
    <w:rsid w:val="002E44E8"/>
    <w:rsid w:val="002E4979"/>
    <w:rsid w:val="002E4BAA"/>
    <w:rsid w:val="002F215B"/>
    <w:rsid w:val="002F229D"/>
    <w:rsid w:val="002F238A"/>
    <w:rsid w:val="002F3C39"/>
    <w:rsid w:val="002F78C8"/>
    <w:rsid w:val="003016E4"/>
    <w:rsid w:val="00301CF3"/>
    <w:rsid w:val="00307D90"/>
    <w:rsid w:val="0031053A"/>
    <w:rsid w:val="00325CD0"/>
    <w:rsid w:val="0032715C"/>
    <w:rsid w:val="00327B0C"/>
    <w:rsid w:val="003357C4"/>
    <w:rsid w:val="00337CA5"/>
    <w:rsid w:val="00342DAE"/>
    <w:rsid w:val="003532DC"/>
    <w:rsid w:val="00357450"/>
    <w:rsid w:val="00362478"/>
    <w:rsid w:val="003653A8"/>
    <w:rsid w:val="00373B51"/>
    <w:rsid w:val="00375B25"/>
    <w:rsid w:val="00377111"/>
    <w:rsid w:val="00377EC0"/>
    <w:rsid w:val="003817E6"/>
    <w:rsid w:val="00382EB2"/>
    <w:rsid w:val="0039017D"/>
    <w:rsid w:val="00396542"/>
    <w:rsid w:val="0039685B"/>
    <w:rsid w:val="003A01FB"/>
    <w:rsid w:val="003A10DA"/>
    <w:rsid w:val="003A24D4"/>
    <w:rsid w:val="003A2F72"/>
    <w:rsid w:val="003A4BA0"/>
    <w:rsid w:val="003A5E20"/>
    <w:rsid w:val="003A7F0C"/>
    <w:rsid w:val="003A7F79"/>
    <w:rsid w:val="003B03F6"/>
    <w:rsid w:val="003B1F1A"/>
    <w:rsid w:val="003B6404"/>
    <w:rsid w:val="003C1AFE"/>
    <w:rsid w:val="003C4AA8"/>
    <w:rsid w:val="003D2133"/>
    <w:rsid w:val="003D21FF"/>
    <w:rsid w:val="003D3992"/>
    <w:rsid w:val="003E59C2"/>
    <w:rsid w:val="003E5E77"/>
    <w:rsid w:val="003F0112"/>
    <w:rsid w:val="003F071A"/>
    <w:rsid w:val="003F160B"/>
    <w:rsid w:val="003F29A0"/>
    <w:rsid w:val="003F6EA0"/>
    <w:rsid w:val="003F7564"/>
    <w:rsid w:val="00400032"/>
    <w:rsid w:val="00400B5B"/>
    <w:rsid w:val="00405A00"/>
    <w:rsid w:val="00410DA3"/>
    <w:rsid w:val="00417171"/>
    <w:rsid w:val="0041798D"/>
    <w:rsid w:val="00420870"/>
    <w:rsid w:val="00421EF3"/>
    <w:rsid w:val="00435535"/>
    <w:rsid w:val="00441483"/>
    <w:rsid w:val="00441BCB"/>
    <w:rsid w:val="00444E4B"/>
    <w:rsid w:val="0045176A"/>
    <w:rsid w:val="00453A9D"/>
    <w:rsid w:val="004558CC"/>
    <w:rsid w:val="00456332"/>
    <w:rsid w:val="00461856"/>
    <w:rsid w:val="00461A90"/>
    <w:rsid w:val="00462305"/>
    <w:rsid w:val="004646C6"/>
    <w:rsid w:val="00464DD8"/>
    <w:rsid w:val="004800F9"/>
    <w:rsid w:val="0049134A"/>
    <w:rsid w:val="00496FC6"/>
    <w:rsid w:val="00497690"/>
    <w:rsid w:val="004A19A0"/>
    <w:rsid w:val="004A3AC4"/>
    <w:rsid w:val="004A58CB"/>
    <w:rsid w:val="004A5A06"/>
    <w:rsid w:val="004A5D8F"/>
    <w:rsid w:val="004A74AE"/>
    <w:rsid w:val="004A7ADE"/>
    <w:rsid w:val="004B1795"/>
    <w:rsid w:val="004B56DD"/>
    <w:rsid w:val="004B6266"/>
    <w:rsid w:val="004B6F36"/>
    <w:rsid w:val="004C1AFD"/>
    <w:rsid w:val="004C558B"/>
    <w:rsid w:val="004C7A8A"/>
    <w:rsid w:val="004D01CC"/>
    <w:rsid w:val="004D3788"/>
    <w:rsid w:val="004D603E"/>
    <w:rsid w:val="004F1F88"/>
    <w:rsid w:val="004F5F1B"/>
    <w:rsid w:val="00502374"/>
    <w:rsid w:val="0050669E"/>
    <w:rsid w:val="005112F7"/>
    <w:rsid w:val="0051503E"/>
    <w:rsid w:val="00516072"/>
    <w:rsid w:val="00524473"/>
    <w:rsid w:val="005332EC"/>
    <w:rsid w:val="00534418"/>
    <w:rsid w:val="005353AB"/>
    <w:rsid w:val="00536968"/>
    <w:rsid w:val="00536C25"/>
    <w:rsid w:val="005409DA"/>
    <w:rsid w:val="005429FD"/>
    <w:rsid w:val="00553B7B"/>
    <w:rsid w:val="00554AA9"/>
    <w:rsid w:val="005550D8"/>
    <w:rsid w:val="005560BC"/>
    <w:rsid w:val="005573BE"/>
    <w:rsid w:val="00562965"/>
    <w:rsid w:val="005654B4"/>
    <w:rsid w:val="00566911"/>
    <w:rsid w:val="00567198"/>
    <w:rsid w:val="00567355"/>
    <w:rsid w:val="00572700"/>
    <w:rsid w:val="00574E69"/>
    <w:rsid w:val="00580468"/>
    <w:rsid w:val="00580D98"/>
    <w:rsid w:val="00583713"/>
    <w:rsid w:val="005855F3"/>
    <w:rsid w:val="0058603B"/>
    <w:rsid w:val="00590D5C"/>
    <w:rsid w:val="0059158F"/>
    <w:rsid w:val="00592F6C"/>
    <w:rsid w:val="0059431B"/>
    <w:rsid w:val="005976F0"/>
    <w:rsid w:val="005A34CD"/>
    <w:rsid w:val="005A39CC"/>
    <w:rsid w:val="005A7CE2"/>
    <w:rsid w:val="005B028E"/>
    <w:rsid w:val="005B4730"/>
    <w:rsid w:val="005B7E84"/>
    <w:rsid w:val="005C40D9"/>
    <w:rsid w:val="005C59CD"/>
    <w:rsid w:val="005E05D7"/>
    <w:rsid w:val="005E41E7"/>
    <w:rsid w:val="005E450F"/>
    <w:rsid w:val="005E79C2"/>
    <w:rsid w:val="005F1703"/>
    <w:rsid w:val="00600439"/>
    <w:rsid w:val="0060708A"/>
    <w:rsid w:val="00610A1B"/>
    <w:rsid w:val="00621D20"/>
    <w:rsid w:val="0062298A"/>
    <w:rsid w:val="00626514"/>
    <w:rsid w:val="00626589"/>
    <w:rsid w:val="00626FE9"/>
    <w:rsid w:val="006272EB"/>
    <w:rsid w:val="0063081E"/>
    <w:rsid w:val="006339A0"/>
    <w:rsid w:val="006343B6"/>
    <w:rsid w:val="00637589"/>
    <w:rsid w:val="00640F51"/>
    <w:rsid w:val="006413A8"/>
    <w:rsid w:val="00641527"/>
    <w:rsid w:val="00642E56"/>
    <w:rsid w:val="00651E00"/>
    <w:rsid w:val="006576DE"/>
    <w:rsid w:val="0066109D"/>
    <w:rsid w:val="00672721"/>
    <w:rsid w:val="00674572"/>
    <w:rsid w:val="00677C93"/>
    <w:rsid w:val="00687763"/>
    <w:rsid w:val="00690C72"/>
    <w:rsid w:val="00691E3D"/>
    <w:rsid w:val="00692B0D"/>
    <w:rsid w:val="00693E0E"/>
    <w:rsid w:val="00696D74"/>
    <w:rsid w:val="006A1AE3"/>
    <w:rsid w:val="006A65D1"/>
    <w:rsid w:val="006A78AC"/>
    <w:rsid w:val="006A7E07"/>
    <w:rsid w:val="006B3698"/>
    <w:rsid w:val="006B4B07"/>
    <w:rsid w:val="006B6027"/>
    <w:rsid w:val="006B7238"/>
    <w:rsid w:val="006C30E1"/>
    <w:rsid w:val="006D28AA"/>
    <w:rsid w:val="006D428F"/>
    <w:rsid w:val="006D45AD"/>
    <w:rsid w:val="006D48F1"/>
    <w:rsid w:val="006D63B4"/>
    <w:rsid w:val="006E2D76"/>
    <w:rsid w:val="006E44AC"/>
    <w:rsid w:val="006E7EB2"/>
    <w:rsid w:val="006F45BE"/>
    <w:rsid w:val="00700232"/>
    <w:rsid w:val="007004FC"/>
    <w:rsid w:val="0070141B"/>
    <w:rsid w:val="00706670"/>
    <w:rsid w:val="00710539"/>
    <w:rsid w:val="007200F1"/>
    <w:rsid w:val="00721755"/>
    <w:rsid w:val="00723E2C"/>
    <w:rsid w:val="0072417C"/>
    <w:rsid w:val="00734450"/>
    <w:rsid w:val="00734867"/>
    <w:rsid w:val="00744F3C"/>
    <w:rsid w:val="00745F67"/>
    <w:rsid w:val="00746FF5"/>
    <w:rsid w:val="00752D9D"/>
    <w:rsid w:val="00754784"/>
    <w:rsid w:val="00755855"/>
    <w:rsid w:val="00757C6E"/>
    <w:rsid w:val="00762BDA"/>
    <w:rsid w:val="00762F0A"/>
    <w:rsid w:val="00764AD4"/>
    <w:rsid w:val="007805FD"/>
    <w:rsid w:val="00784422"/>
    <w:rsid w:val="007926F1"/>
    <w:rsid w:val="007938B4"/>
    <w:rsid w:val="0079516B"/>
    <w:rsid w:val="00795492"/>
    <w:rsid w:val="007954FD"/>
    <w:rsid w:val="00795EEE"/>
    <w:rsid w:val="007A4FBF"/>
    <w:rsid w:val="007A6EA1"/>
    <w:rsid w:val="007B223A"/>
    <w:rsid w:val="007B28EC"/>
    <w:rsid w:val="007B3B54"/>
    <w:rsid w:val="007B3FA0"/>
    <w:rsid w:val="007B7DEF"/>
    <w:rsid w:val="007C0BCE"/>
    <w:rsid w:val="007C12F1"/>
    <w:rsid w:val="007C2BCC"/>
    <w:rsid w:val="007C4167"/>
    <w:rsid w:val="007C4EF0"/>
    <w:rsid w:val="007C553D"/>
    <w:rsid w:val="007C6250"/>
    <w:rsid w:val="007C6B87"/>
    <w:rsid w:val="007E09B1"/>
    <w:rsid w:val="007E2664"/>
    <w:rsid w:val="007E3ABF"/>
    <w:rsid w:val="007E5BFA"/>
    <w:rsid w:val="007E6689"/>
    <w:rsid w:val="007E731C"/>
    <w:rsid w:val="007F0367"/>
    <w:rsid w:val="007F0A03"/>
    <w:rsid w:val="007F0FE7"/>
    <w:rsid w:val="00802724"/>
    <w:rsid w:val="0080739F"/>
    <w:rsid w:val="00810040"/>
    <w:rsid w:val="008141A0"/>
    <w:rsid w:val="0082023A"/>
    <w:rsid w:val="00821A7A"/>
    <w:rsid w:val="008253F8"/>
    <w:rsid w:val="008265E9"/>
    <w:rsid w:val="00832A2B"/>
    <w:rsid w:val="00834092"/>
    <w:rsid w:val="00834C6C"/>
    <w:rsid w:val="00836D9B"/>
    <w:rsid w:val="00840ABF"/>
    <w:rsid w:val="00842DCC"/>
    <w:rsid w:val="00844537"/>
    <w:rsid w:val="00846994"/>
    <w:rsid w:val="00850451"/>
    <w:rsid w:val="00851ABA"/>
    <w:rsid w:val="00851E7F"/>
    <w:rsid w:val="00852042"/>
    <w:rsid w:val="008534C9"/>
    <w:rsid w:val="00853881"/>
    <w:rsid w:val="00854C4B"/>
    <w:rsid w:val="0085599D"/>
    <w:rsid w:val="008559E7"/>
    <w:rsid w:val="008575F1"/>
    <w:rsid w:val="00861879"/>
    <w:rsid w:val="00864752"/>
    <w:rsid w:val="00866D72"/>
    <w:rsid w:val="0087021D"/>
    <w:rsid w:val="008703F7"/>
    <w:rsid w:val="0087510C"/>
    <w:rsid w:val="00876F41"/>
    <w:rsid w:val="00882DFF"/>
    <w:rsid w:val="008876C9"/>
    <w:rsid w:val="00896FF9"/>
    <w:rsid w:val="0089738E"/>
    <w:rsid w:val="008A2075"/>
    <w:rsid w:val="008A4AB1"/>
    <w:rsid w:val="008A75A0"/>
    <w:rsid w:val="008B1727"/>
    <w:rsid w:val="008B3548"/>
    <w:rsid w:val="008B3966"/>
    <w:rsid w:val="008B5FDB"/>
    <w:rsid w:val="008C189C"/>
    <w:rsid w:val="008C2295"/>
    <w:rsid w:val="008C4716"/>
    <w:rsid w:val="008C5649"/>
    <w:rsid w:val="008C5FDF"/>
    <w:rsid w:val="008D5981"/>
    <w:rsid w:val="008D6001"/>
    <w:rsid w:val="008E44A2"/>
    <w:rsid w:val="008E697D"/>
    <w:rsid w:val="008E70DC"/>
    <w:rsid w:val="008F0A6A"/>
    <w:rsid w:val="00903263"/>
    <w:rsid w:val="00903E80"/>
    <w:rsid w:val="00906A21"/>
    <w:rsid w:val="009079C3"/>
    <w:rsid w:val="00907A8B"/>
    <w:rsid w:val="00910462"/>
    <w:rsid w:val="00911EB6"/>
    <w:rsid w:val="00911FA5"/>
    <w:rsid w:val="00915AB1"/>
    <w:rsid w:val="00917532"/>
    <w:rsid w:val="009235BA"/>
    <w:rsid w:val="00924CE2"/>
    <w:rsid w:val="00925B9F"/>
    <w:rsid w:val="00930A9D"/>
    <w:rsid w:val="00931AED"/>
    <w:rsid w:val="009343A9"/>
    <w:rsid w:val="00937017"/>
    <w:rsid w:val="00937653"/>
    <w:rsid w:val="00947626"/>
    <w:rsid w:val="009476A3"/>
    <w:rsid w:val="00952763"/>
    <w:rsid w:val="0095334F"/>
    <w:rsid w:val="0095758E"/>
    <w:rsid w:val="00965897"/>
    <w:rsid w:val="009664D6"/>
    <w:rsid w:val="0096765C"/>
    <w:rsid w:val="00971366"/>
    <w:rsid w:val="009727E4"/>
    <w:rsid w:val="00972EF8"/>
    <w:rsid w:val="00980303"/>
    <w:rsid w:val="009820C4"/>
    <w:rsid w:val="009934C5"/>
    <w:rsid w:val="00994C0F"/>
    <w:rsid w:val="009A0AE3"/>
    <w:rsid w:val="009A1B13"/>
    <w:rsid w:val="009A30FF"/>
    <w:rsid w:val="009A59BF"/>
    <w:rsid w:val="009B22D7"/>
    <w:rsid w:val="009B4A95"/>
    <w:rsid w:val="009B72ED"/>
    <w:rsid w:val="009C22ED"/>
    <w:rsid w:val="009C335E"/>
    <w:rsid w:val="009C59BB"/>
    <w:rsid w:val="009C6DEB"/>
    <w:rsid w:val="009D6504"/>
    <w:rsid w:val="009E1453"/>
    <w:rsid w:val="009E3A83"/>
    <w:rsid w:val="009E3C70"/>
    <w:rsid w:val="009E661A"/>
    <w:rsid w:val="009F3E38"/>
    <w:rsid w:val="00A007CC"/>
    <w:rsid w:val="00A04DD2"/>
    <w:rsid w:val="00A05DD6"/>
    <w:rsid w:val="00A061D1"/>
    <w:rsid w:val="00A06781"/>
    <w:rsid w:val="00A1193D"/>
    <w:rsid w:val="00A12BEE"/>
    <w:rsid w:val="00A1509C"/>
    <w:rsid w:val="00A22D14"/>
    <w:rsid w:val="00A31B61"/>
    <w:rsid w:val="00A32101"/>
    <w:rsid w:val="00A34260"/>
    <w:rsid w:val="00A36FD9"/>
    <w:rsid w:val="00A43C81"/>
    <w:rsid w:val="00A55479"/>
    <w:rsid w:val="00A56F1A"/>
    <w:rsid w:val="00A60E48"/>
    <w:rsid w:val="00A645BA"/>
    <w:rsid w:val="00A66ED1"/>
    <w:rsid w:val="00A70CFD"/>
    <w:rsid w:val="00A7167D"/>
    <w:rsid w:val="00A72A0B"/>
    <w:rsid w:val="00A73A7E"/>
    <w:rsid w:val="00A75706"/>
    <w:rsid w:val="00A81E42"/>
    <w:rsid w:val="00A84710"/>
    <w:rsid w:val="00A850F2"/>
    <w:rsid w:val="00A864FE"/>
    <w:rsid w:val="00A86F41"/>
    <w:rsid w:val="00A87D04"/>
    <w:rsid w:val="00A87F55"/>
    <w:rsid w:val="00A950C5"/>
    <w:rsid w:val="00A95A64"/>
    <w:rsid w:val="00AA1BB0"/>
    <w:rsid w:val="00AA1D25"/>
    <w:rsid w:val="00AA319E"/>
    <w:rsid w:val="00AB14B5"/>
    <w:rsid w:val="00AB2B1A"/>
    <w:rsid w:val="00AB320B"/>
    <w:rsid w:val="00AB397F"/>
    <w:rsid w:val="00AB5832"/>
    <w:rsid w:val="00AC0B86"/>
    <w:rsid w:val="00AC1091"/>
    <w:rsid w:val="00AC22E7"/>
    <w:rsid w:val="00AC51F2"/>
    <w:rsid w:val="00AC58EB"/>
    <w:rsid w:val="00AD384F"/>
    <w:rsid w:val="00AE3C3E"/>
    <w:rsid w:val="00AE5066"/>
    <w:rsid w:val="00AE52BF"/>
    <w:rsid w:val="00AE5E24"/>
    <w:rsid w:val="00AE61B7"/>
    <w:rsid w:val="00AE6CBA"/>
    <w:rsid w:val="00AE79AD"/>
    <w:rsid w:val="00AF0071"/>
    <w:rsid w:val="00AF35E4"/>
    <w:rsid w:val="00AF5CDE"/>
    <w:rsid w:val="00B0185D"/>
    <w:rsid w:val="00B01DDB"/>
    <w:rsid w:val="00B0235B"/>
    <w:rsid w:val="00B03763"/>
    <w:rsid w:val="00B06F5B"/>
    <w:rsid w:val="00B11A57"/>
    <w:rsid w:val="00B12A2C"/>
    <w:rsid w:val="00B23F69"/>
    <w:rsid w:val="00B25597"/>
    <w:rsid w:val="00B267B9"/>
    <w:rsid w:val="00B32E1E"/>
    <w:rsid w:val="00B33E09"/>
    <w:rsid w:val="00B50708"/>
    <w:rsid w:val="00B50C68"/>
    <w:rsid w:val="00B51293"/>
    <w:rsid w:val="00B520E4"/>
    <w:rsid w:val="00B52B1E"/>
    <w:rsid w:val="00B55481"/>
    <w:rsid w:val="00B56259"/>
    <w:rsid w:val="00B56C32"/>
    <w:rsid w:val="00B57ACF"/>
    <w:rsid w:val="00B64BB1"/>
    <w:rsid w:val="00B66580"/>
    <w:rsid w:val="00B73166"/>
    <w:rsid w:val="00B7685E"/>
    <w:rsid w:val="00B8426C"/>
    <w:rsid w:val="00B84BE8"/>
    <w:rsid w:val="00B8547D"/>
    <w:rsid w:val="00B91B8D"/>
    <w:rsid w:val="00B94E90"/>
    <w:rsid w:val="00B9540A"/>
    <w:rsid w:val="00B95BD9"/>
    <w:rsid w:val="00B97E14"/>
    <w:rsid w:val="00BA05AD"/>
    <w:rsid w:val="00BA0ABC"/>
    <w:rsid w:val="00BB0A82"/>
    <w:rsid w:val="00BB7C94"/>
    <w:rsid w:val="00BC0A9D"/>
    <w:rsid w:val="00BC2CA8"/>
    <w:rsid w:val="00BC5936"/>
    <w:rsid w:val="00BC782A"/>
    <w:rsid w:val="00BD0A8A"/>
    <w:rsid w:val="00BD3AC0"/>
    <w:rsid w:val="00BE084E"/>
    <w:rsid w:val="00BE3204"/>
    <w:rsid w:val="00BE34D9"/>
    <w:rsid w:val="00BE52A8"/>
    <w:rsid w:val="00BE6A77"/>
    <w:rsid w:val="00BF49A2"/>
    <w:rsid w:val="00BF5BC2"/>
    <w:rsid w:val="00C04D98"/>
    <w:rsid w:val="00C04DAE"/>
    <w:rsid w:val="00C05B8B"/>
    <w:rsid w:val="00C06525"/>
    <w:rsid w:val="00C06C1B"/>
    <w:rsid w:val="00C1133D"/>
    <w:rsid w:val="00C11887"/>
    <w:rsid w:val="00C1213A"/>
    <w:rsid w:val="00C177C5"/>
    <w:rsid w:val="00C23680"/>
    <w:rsid w:val="00C27A08"/>
    <w:rsid w:val="00C31312"/>
    <w:rsid w:val="00C32185"/>
    <w:rsid w:val="00C326C6"/>
    <w:rsid w:val="00C32FA8"/>
    <w:rsid w:val="00C33581"/>
    <w:rsid w:val="00C34C95"/>
    <w:rsid w:val="00C35295"/>
    <w:rsid w:val="00C36ADD"/>
    <w:rsid w:val="00C36E74"/>
    <w:rsid w:val="00C40595"/>
    <w:rsid w:val="00C41621"/>
    <w:rsid w:val="00C4383B"/>
    <w:rsid w:val="00C449FA"/>
    <w:rsid w:val="00C46037"/>
    <w:rsid w:val="00C5384F"/>
    <w:rsid w:val="00C56964"/>
    <w:rsid w:val="00C6225B"/>
    <w:rsid w:val="00C63D00"/>
    <w:rsid w:val="00C64F01"/>
    <w:rsid w:val="00C656D5"/>
    <w:rsid w:val="00C67103"/>
    <w:rsid w:val="00C71BB9"/>
    <w:rsid w:val="00C73E6B"/>
    <w:rsid w:val="00C81CF6"/>
    <w:rsid w:val="00C8475F"/>
    <w:rsid w:val="00C84D99"/>
    <w:rsid w:val="00C87ED8"/>
    <w:rsid w:val="00C94C28"/>
    <w:rsid w:val="00CA2305"/>
    <w:rsid w:val="00CA3479"/>
    <w:rsid w:val="00CA4564"/>
    <w:rsid w:val="00CA7A45"/>
    <w:rsid w:val="00CB0247"/>
    <w:rsid w:val="00CB16A5"/>
    <w:rsid w:val="00CB3440"/>
    <w:rsid w:val="00CB5275"/>
    <w:rsid w:val="00CC1692"/>
    <w:rsid w:val="00CC36C9"/>
    <w:rsid w:val="00CD138B"/>
    <w:rsid w:val="00CD2F42"/>
    <w:rsid w:val="00CD3E31"/>
    <w:rsid w:val="00CD48CE"/>
    <w:rsid w:val="00CD5C32"/>
    <w:rsid w:val="00CD74A3"/>
    <w:rsid w:val="00CE0527"/>
    <w:rsid w:val="00CE5276"/>
    <w:rsid w:val="00CE5B23"/>
    <w:rsid w:val="00CF6AEB"/>
    <w:rsid w:val="00CF70AD"/>
    <w:rsid w:val="00CF7729"/>
    <w:rsid w:val="00CF7EA2"/>
    <w:rsid w:val="00D02202"/>
    <w:rsid w:val="00D0387B"/>
    <w:rsid w:val="00D107FA"/>
    <w:rsid w:val="00D12275"/>
    <w:rsid w:val="00D12766"/>
    <w:rsid w:val="00D20FF4"/>
    <w:rsid w:val="00D24D2C"/>
    <w:rsid w:val="00D30DFD"/>
    <w:rsid w:val="00D337B8"/>
    <w:rsid w:val="00D34DF8"/>
    <w:rsid w:val="00D35881"/>
    <w:rsid w:val="00D37842"/>
    <w:rsid w:val="00D50F47"/>
    <w:rsid w:val="00D56B31"/>
    <w:rsid w:val="00D65718"/>
    <w:rsid w:val="00D67C01"/>
    <w:rsid w:val="00D7051C"/>
    <w:rsid w:val="00D82784"/>
    <w:rsid w:val="00D84CBE"/>
    <w:rsid w:val="00D932B6"/>
    <w:rsid w:val="00DA4D29"/>
    <w:rsid w:val="00DA5755"/>
    <w:rsid w:val="00DA7DA5"/>
    <w:rsid w:val="00DB073B"/>
    <w:rsid w:val="00DB78F0"/>
    <w:rsid w:val="00DC03DF"/>
    <w:rsid w:val="00DC1BC2"/>
    <w:rsid w:val="00DC2E43"/>
    <w:rsid w:val="00DC5A67"/>
    <w:rsid w:val="00DC6ECB"/>
    <w:rsid w:val="00DC72EE"/>
    <w:rsid w:val="00DD095C"/>
    <w:rsid w:val="00DD1330"/>
    <w:rsid w:val="00DD2411"/>
    <w:rsid w:val="00DD5654"/>
    <w:rsid w:val="00DE0B83"/>
    <w:rsid w:val="00DE1A81"/>
    <w:rsid w:val="00DE1D4E"/>
    <w:rsid w:val="00DE4E10"/>
    <w:rsid w:val="00DF1645"/>
    <w:rsid w:val="00DF4232"/>
    <w:rsid w:val="00DF5D3D"/>
    <w:rsid w:val="00E02ABF"/>
    <w:rsid w:val="00E13DF5"/>
    <w:rsid w:val="00E14995"/>
    <w:rsid w:val="00E16560"/>
    <w:rsid w:val="00E17142"/>
    <w:rsid w:val="00E179CD"/>
    <w:rsid w:val="00E22CD9"/>
    <w:rsid w:val="00E22E85"/>
    <w:rsid w:val="00E23550"/>
    <w:rsid w:val="00E23E8D"/>
    <w:rsid w:val="00E27440"/>
    <w:rsid w:val="00E30A7D"/>
    <w:rsid w:val="00E37F98"/>
    <w:rsid w:val="00E43442"/>
    <w:rsid w:val="00E464D4"/>
    <w:rsid w:val="00E46559"/>
    <w:rsid w:val="00E524CE"/>
    <w:rsid w:val="00E57DE2"/>
    <w:rsid w:val="00E60041"/>
    <w:rsid w:val="00E638B6"/>
    <w:rsid w:val="00E65F30"/>
    <w:rsid w:val="00E663AA"/>
    <w:rsid w:val="00E6670C"/>
    <w:rsid w:val="00E70454"/>
    <w:rsid w:val="00E70F17"/>
    <w:rsid w:val="00E72176"/>
    <w:rsid w:val="00E77025"/>
    <w:rsid w:val="00E776E8"/>
    <w:rsid w:val="00E82D42"/>
    <w:rsid w:val="00E92C1F"/>
    <w:rsid w:val="00E94A35"/>
    <w:rsid w:val="00E95BE3"/>
    <w:rsid w:val="00E95D4B"/>
    <w:rsid w:val="00EA58A1"/>
    <w:rsid w:val="00EB199F"/>
    <w:rsid w:val="00EB35C7"/>
    <w:rsid w:val="00EB5446"/>
    <w:rsid w:val="00EB78AB"/>
    <w:rsid w:val="00EC23F7"/>
    <w:rsid w:val="00EC43E8"/>
    <w:rsid w:val="00EC4BD8"/>
    <w:rsid w:val="00EC63EB"/>
    <w:rsid w:val="00ED0D6C"/>
    <w:rsid w:val="00ED412F"/>
    <w:rsid w:val="00ED7541"/>
    <w:rsid w:val="00EE0D36"/>
    <w:rsid w:val="00EE1B80"/>
    <w:rsid w:val="00EF1D83"/>
    <w:rsid w:val="00EF36B2"/>
    <w:rsid w:val="00EF7618"/>
    <w:rsid w:val="00F01326"/>
    <w:rsid w:val="00F0275E"/>
    <w:rsid w:val="00F058ED"/>
    <w:rsid w:val="00F122E8"/>
    <w:rsid w:val="00F16235"/>
    <w:rsid w:val="00F201EC"/>
    <w:rsid w:val="00F208A9"/>
    <w:rsid w:val="00F237C2"/>
    <w:rsid w:val="00F24BFE"/>
    <w:rsid w:val="00F25815"/>
    <w:rsid w:val="00F305CD"/>
    <w:rsid w:val="00F31631"/>
    <w:rsid w:val="00F35316"/>
    <w:rsid w:val="00F454BA"/>
    <w:rsid w:val="00F566E3"/>
    <w:rsid w:val="00F65373"/>
    <w:rsid w:val="00F663EE"/>
    <w:rsid w:val="00F67174"/>
    <w:rsid w:val="00F67796"/>
    <w:rsid w:val="00F73660"/>
    <w:rsid w:val="00F7454F"/>
    <w:rsid w:val="00F76073"/>
    <w:rsid w:val="00F77988"/>
    <w:rsid w:val="00F77F48"/>
    <w:rsid w:val="00F800BB"/>
    <w:rsid w:val="00F8492C"/>
    <w:rsid w:val="00F96876"/>
    <w:rsid w:val="00FA6636"/>
    <w:rsid w:val="00FB30F1"/>
    <w:rsid w:val="00FB53E7"/>
    <w:rsid w:val="00FB560B"/>
    <w:rsid w:val="00FC146C"/>
    <w:rsid w:val="00FC4E78"/>
    <w:rsid w:val="00FC75C4"/>
    <w:rsid w:val="00FC7641"/>
    <w:rsid w:val="00FD3985"/>
    <w:rsid w:val="00FE0DA1"/>
    <w:rsid w:val="00FE2CB1"/>
    <w:rsid w:val="00FF3647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D84C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B06F5B"/>
    <w:pPr>
      <w:spacing w:before="100" w:beforeAutospacing="1" w:after="100" w:afterAutospacing="1"/>
    </w:pPr>
    <w:rPr>
      <w:lang w:val="en-GB" w:eastAsia="en-US"/>
    </w:rPr>
  </w:style>
  <w:style w:type="paragraph" w:customStyle="1" w:styleId="Char">
    <w:name w:val="Char"/>
    <w:basedOn w:val="Normal"/>
    <w:rsid w:val="00DD5654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D84C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B06F5B"/>
    <w:pPr>
      <w:spacing w:before="100" w:beforeAutospacing="1" w:after="100" w:afterAutospacing="1"/>
    </w:pPr>
    <w:rPr>
      <w:lang w:val="en-GB" w:eastAsia="en-US"/>
    </w:rPr>
  </w:style>
  <w:style w:type="paragraph" w:customStyle="1" w:styleId="Char">
    <w:name w:val="Char"/>
    <w:basedOn w:val="Normal"/>
    <w:rsid w:val="00DD5654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2D587-9379-4CA6-94F4-4F0B2DA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2010.gada 6.aprīļa noteikumos Nr.334 „Ņoteikumi par valsts pārbaudījumu norises kārtību""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2010.gada 6.aprīļa noteikumos Nr.334 „Ņoteikumi par valsts pārbaudījumu norises kārtību"" sākotnējās ietekmes novērtējuma ziņojums (anotācija)</dc:title>
  <dc:subject>Anotācija</dc:subject>
  <dc:creator>Ingrīda Kamarūte</dc:creator>
  <dc:description>67814468, ingrida.kamarute@visc.gov.lv</dc:description>
  <cp:lastModifiedBy>Ingrida Kamarute</cp:lastModifiedBy>
  <cp:revision>7</cp:revision>
  <cp:lastPrinted>2011-11-02T08:52:00Z</cp:lastPrinted>
  <dcterms:created xsi:type="dcterms:W3CDTF">2012-10-26T13:08:00Z</dcterms:created>
  <dcterms:modified xsi:type="dcterms:W3CDTF">2012-11-15T12:06:00Z</dcterms:modified>
</cp:coreProperties>
</file>