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75" w:rsidRPr="004F0F75" w:rsidRDefault="002F5082" w:rsidP="004F0F75">
      <w:pPr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1"/>
      <w:bookmarkStart w:id="3" w:name="OLE_LINK2"/>
      <w:r w:rsidRPr="004F0F75">
        <w:rPr>
          <w:b/>
          <w:sz w:val="28"/>
          <w:szCs w:val="28"/>
        </w:rPr>
        <w:t>Ministru kabineta noteikumu projekta „</w:t>
      </w:r>
      <w:bookmarkStart w:id="4" w:name="OLE_LINK5"/>
      <w:bookmarkStart w:id="5" w:name="OLE_LINK6"/>
      <w:bookmarkStart w:id="6" w:name="OLE_LINK7"/>
      <w:r w:rsidR="00045266" w:rsidRPr="004F0F75">
        <w:rPr>
          <w:b/>
          <w:bCs/>
          <w:sz w:val="28"/>
          <w:szCs w:val="28"/>
        </w:rPr>
        <w:t xml:space="preserve">Grozījumi Ministru kabineta </w:t>
      </w:r>
    </w:p>
    <w:p w:rsidR="004F0F75" w:rsidRPr="004F0F75" w:rsidRDefault="001B5F68" w:rsidP="004F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2009.gada 9</w:t>
      </w:r>
      <w:r w:rsidR="004F0F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jūnija</w:t>
      </w:r>
      <w:r w:rsidR="004F0F75">
        <w:rPr>
          <w:b/>
          <w:sz w:val="28"/>
          <w:szCs w:val="28"/>
        </w:rPr>
        <w:t xml:space="preserve"> noteikumos </w:t>
      </w:r>
      <w:r w:rsidR="004F0F75">
        <w:rPr>
          <w:b/>
          <w:bCs/>
          <w:sz w:val="28"/>
          <w:szCs w:val="28"/>
        </w:rPr>
        <w:t>Nr.</w:t>
      </w:r>
      <w:r>
        <w:rPr>
          <w:b/>
          <w:bCs/>
          <w:sz w:val="28"/>
          <w:szCs w:val="28"/>
        </w:rPr>
        <w:t>521</w:t>
      </w:r>
      <w:r w:rsidR="004F0F75">
        <w:rPr>
          <w:b/>
          <w:bCs/>
          <w:sz w:val="28"/>
          <w:szCs w:val="28"/>
        </w:rPr>
        <w:t xml:space="preserve"> </w:t>
      </w:r>
      <w:r w:rsidR="004F0F75">
        <w:rPr>
          <w:b/>
          <w:sz w:val="28"/>
          <w:szCs w:val="28"/>
        </w:rPr>
        <w:t>„</w:t>
      </w:r>
      <w:r w:rsidR="004F0F75" w:rsidRPr="004F0F75">
        <w:rPr>
          <w:b/>
          <w:sz w:val="28"/>
          <w:szCs w:val="28"/>
        </w:rPr>
        <w:t>Not</w:t>
      </w:r>
      <w:r w:rsidR="004401A3">
        <w:rPr>
          <w:b/>
          <w:sz w:val="28"/>
          <w:szCs w:val="28"/>
        </w:rPr>
        <w:t>eikumi par darbības programmas „</w:t>
      </w:r>
      <w:r w:rsidR="004F0F75" w:rsidRPr="004F0F75">
        <w:rPr>
          <w:b/>
          <w:sz w:val="28"/>
          <w:szCs w:val="28"/>
        </w:rPr>
        <w:t xml:space="preserve">Cilvēkresursi un </w:t>
      </w:r>
      <w:r w:rsidR="004401A3">
        <w:rPr>
          <w:b/>
          <w:sz w:val="28"/>
          <w:szCs w:val="28"/>
        </w:rPr>
        <w:t>nodarbinātība” papildinājuma 1.2</w:t>
      </w:r>
      <w:r w:rsidR="004F0F75" w:rsidRPr="004F0F75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2</w:t>
      </w:r>
      <w:r w:rsidR="004401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4F0F75" w:rsidRPr="004F0F75">
        <w:rPr>
          <w:b/>
          <w:sz w:val="28"/>
          <w:szCs w:val="28"/>
        </w:rPr>
        <w:t>.</w:t>
      </w:r>
      <w:r w:rsidR="004401A3">
        <w:rPr>
          <w:b/>
          <w:sz w:val="28"/>
          <w:szCs w:val="28"/>
        </w:rPr>
        <w:t>apakšaktivitāti „</w:t>
      </w:r>
      <w:r>
        <w:rPr>
          <w:b/>
          <w:sz w:val="28"/>
          <w:szCs w:val="28"/>
        </w:rPr>
        <w:t>Vispārējās izglītības pedagogu kompetences paaugstināšana un prasmju atjaunošana</w:t>
      </w:r>
      <w:r w:rsidR="004F0F75" w:rsidRPr="004F0F75">
        <w:rPr>
          <w:b/>
          <w:sz w:val="28"/>
          <w:szCs w:val="28"/>
        </w:rPr>
        <w:t>”</w:t>
      </w:r>
      <w:r w:rsidR="004F0F75">
        <w:rPr>
          <w:b/>
          <w:sz w:val="28"/>
          <w:szCs w:val="28"/>
        </w:rPr>
        <w:t>”</w:t>
      </w:r>
    </w:p>
    <w:bookmarkEnd w:id="4"/>
    <w:bookmarkEnd w:id="5"/>
    <w:bookmarkEnd w:id="6"/>
    <w:p w:rsidR="00956FC6" w:rsidRPr="00B33642" w:rsidRDefault="00EF7767" w:rsidP="00956FC6">
      <w:pPr>
        <w:spacing w:after="120"/>
        <w:jc w:val="center"/>
        <w:rPr>
          <w:b/>
          <w:sz w:val="28"/>
          <w:szCs w:val="28"/>
        </w:rPr>
      </w:pPr>
      <w:r w:rsidRPr="00045266">
        <w:rPr>
          <w:b/>
          <w:sz w:val="28"/>
          <w:szCs w:val="28"/>
        </w:rPr>
        <w:t>sākotnējās ietekmes novērtējuma ziņojums (anotācija)</w:t>
      </w:r>
      <w:bookmarkEnd w:id="0"/>
      <w:bookmarkEnd w:id="1"/>
    </w:p>
    <w:tbl>
      <w:tblPr>
        <w:tblW w:w="5045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"/>
        <w:gridCol w:w="2268"/>
        <w:gridCol w:w="6519"/>
      </w:tblGrid>
      <w:tr w:rsidR="00120205" w:rsidRPr="00B33642" w:rsidTr="00956FC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120205" w:rsidRPr="00B33642" w:rsidRDefault="00120205" w:rsidP="00CC1C05">
            <w:pPr>
              <w:jc w:val="center"/>
              <w:rPr>
                <w:b/>
                <w:bCs/>
                <w:sz w:val="28"/>
                <w:szCs w:val="28"/>
              </w:rPr>
            </w:pPr>
            <w:r w:rsidRPr="00B33642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20205" w:rsidRPr="00B33642" w:rsidTr="00956FC6">
        <w:trPr>
          <w:trHeight w:val="479"/>
        </w:trPr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1.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Pamatojums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99A" w:rsidRPr="00E67B18" w:rsidRDefault="00120205" w:rsidP="004401A3">
            <w:pPr>
              <w:pStyle w:val="BodyText"/>
              <w:spacing w:after="0"/>
              <w:jc w:val="both"/>
              <w:outlineLvl w:val="0"/>
              <w:rPr>
                <w:iCs/>
                <w:sz w:val="28"/>
                <w:szCs w:val="28"/>
              </w:rPr>
            </w:pPr>
            <w:r w:rsidRPr="00B33642">
              <w:rPr>
                <w:iCs/>
                <w:sz w:val="28"/>
                <w:szCs w:val="28"/>
              </w:rPr>
              <w:t>Eiropas Savienības struktūrfondu un Kohēzijas fonda vadības likuma 18.panta 10.punkts</w:t>
            </w:r>
            <w:r w:rsidR="004401A3">
              <w:rPr>
                <w:iCs/>
                <w:sz w:val="28"/>
                <w:szCs w:val="28"/>
              </w:rPr>
              <w:t>.</w:t>
            </w:r>
          </w:p>
        </w:tc>
      </w:tr>
      <w:tr w:rsidR="00120205" w:rsidRPr="00B33642" w:rsidTr="00956FC6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2.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B18" w:rsidRDefault="00187379" w:rsidP="00E67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  <w:r w:rsidRPr="00187379">
              <w:rPr>
                <w:sz w:val="28"/>
                <w:szCs w:val="28"/>
              </w:rPr>
              <w:t xml:space="preserve">nistru kabineta 2009.gada 9.jūnija noteikumi </w:t>
            </w:r>
            <w:r w:rsidRPr="00187379">
              <w:rPr>
                <w:bCs/>
                <w:sz w:val="28"/>
                <w:szCs w:val="28"/>
              </w:rPr>
              <w:t xml:space="preserve">Nr.521 </w:t>
            </w:r>
            <w:r w:rsidRPr="00187379">
              <w:rPr>
                <w:sz w:val="28"/>
                <w:szCs w:val="28"/>
              </w:rPr>
              <w:t>„Noteikumi par darbības programmas „Cilvēkresursi</w:t>
            </w:r>
            <w:r w:rsidR="00DF7C25">
              <w:rPr>
                <w:sz w:val="28"/>
                <w:szCs w:val="28"/>
              </w:rPr>
              <w:t xml:space="preserve"> </w:t>
            </w:r>
            <w:r w:rsidRPr="00187379">
              <w:rPr>
                <w:sz w:val="28"/>
                <w:szCs w:val="28"/>
              </w:rPr>
              <w:t>un nodarbinātība” papildinājuma 1.2.1.2.3.apakšaktivitāti „Vispārējās izglītības pedagogu kompetences paaugstināšana un prasmju atjaunošana””</w:t>
            </w:r>
            <w:r>
              <w:rPr>
                <w:sz w:val="28"/>
                <w:szCs w:val="28"/>
              </w:rPr>
              <w:t xml:space="preserve"> (turpmāk – noteikumi Nr.521) paredz no 2010.gada 1.jūlija projektu netiešajām izmaksām plānot netiešo izmaksu nemainīgo likmi. </w:t>
            </w:r>
            <w:r w:rsidR="00774FF9">
              <w:rPr>
                <w:sz w:val="28"/>
                <w:szCs w:val="28"/>
              </w:rPr>
              <w:t xml:space="preserve">Ar Ministru kabineta </w:t>
            </w:r>
            <w:r w:rsidR="00E67B18">
              <w:rPr>
                <w:sz w:val="28"/>
                <w:szCs w:val="28"/>
              </w:rPr>
              <w:t>2011.gada 1.februār</w:t>
            </w:r>
            <w:r w:rsidR="00774FF9">
              <w:rPr>
                <w:sz w:val="28"/>
                <w:szCs w:val="28"/>
              </w:rPr>
              <w:t>a noteikumiem Nr.104 „</w:t>
            </w:r>
            <w:r w:rsidR="00774FF9" w:rsidRPr="00774FF9">
              <w:rPr>
                <w:sz w:val="28"/>
                <w:szCs w:val="28"/>
              </w:rPr>
              <w:t>Grozījumi Ministru kabineta 2007.gada 26.jūnija no</w:t>
            </w:r>
            <w:r w:rsidR="000F395B">
              <w:rPr>
                <w:sz w:val="28"/>
                <w:szCs w:val="28"/>
              </w:rPr>
              <w:t>teikumos Nr.419 „</w:t>
            </w:r>
            <w:r w:rsidR="00774FF9" w:rsidRPr="00774FF9">
              <w:rPr>
                <w:sz w:val="28"/>
                <w:szCs w:val="28"/>
              </w:rPr>
              <w:t>Kārtība, kādā Eiropas Savienības struktūrfondu un Kohēzijas fonda vadībā iesaistītās institūcijas nodrošina plānošanas dokumentu sagatavošanu un šo fondu ieviešanu</w:t>
            </w:r>
            <w:r w:rsidR="00774FF9">
              <w:rPr>
                <w:sz w:val="28"/>
                <w:szCs w:val="28"/>
              </w:rPr>
              <w:t xml:space="preserve">”” </w:t>
            </w:r>
            <w:r w:rsidR="006079CF" w:rsidRPr="00B33642">
              <w:rPr>
                <w:sz w:val="28"/>
                <w:szCs w:val="28"/>
              </w:rPr>
              <w:t>(turpmāk –</w:t>
            </w:r>
            <w:r w:rsidR="006079CF">
              <w:rPr>
                <w:sz w:val="28"/>
                <w:szCs w:val="28"/>
              </w:rPr>
              <w:t xml:space="preserve"> </w:t>
            </w:r>
            <w:r w:rsidR="006079CF">
              <w:rPr>
                <w:rFonts w:eastAsia="Calibri"/>
                <w:sz w:val="28"/>
                <w:szCs w:val="28"/>
              </w:rPr>
              <w:t xml:space="preserve">noteikumi </w:t>
            </w:r>
            <w:r w:rsidR="006079CF" w:rsidRPr="00B33642">
              <w:rPr>
                <w:rFonts w:eastAsia="Calibri"/>
                <w:sz w:val="28"/>
                <w:szCs w:val="28"/>
              </w:rPr>
              <w:t>Nr.</w:t>
            </w:r>
            <w:r w:rsidR="006079CF">
              <w:rPr>
                <w:rFonts w:eastAsia="Calibri"/>
                <w:sz w:val="28"/>
                <w:szCs w:val="28"/>
              </w:rPr>
              <w:t>104</w:t>
            </w:r>
            <w:r w:rsidR="006079CF" w:rsidRPr="00B33642">
              <w:rPr>
                <w:rFonts w:eastAsia="Calibri"/>
                <w:sz w:val="28"/>
                <w:szCs w:val="28"/>
              </w:rPr>
              <w:t>)</w:t>
            </w:r>
            <w:r w:rsidR="006079CF">
              <w:rPr>
                <w:rFonts w:eastAsia="Calibri"/>
                <w:sz w:val="28"/>
                <w:szCs w:val="28"/>
              </w:rPr>
              <w:t xml:space="preserve"> </w:t>
            </w:r>
            <w:r w:rsidR="00E67B18">
              <w:rPr>
                <w:sz w:val="28"/>
                <w:szCs w:val="28"/>
              </w:rPr>
              <w:t xml:space="preserve">tika apstiprināti </w:t>
            </w:r>
            <w:r w:rsidR="00DC3870">
              <w:rPr>
                <w:sz w:val="28"/>
                <w:szCs w:val="28"/>
              </w:rPr>
              <w:t xml:space="preserve">un 2011.gada 16.februārī stājās spēkā </w:t>
            </w:r>
            <w:r w:rsidR="00E67B18">
              <w:rPr>
                <w:sz w:val="28"/>
                <w:szCs w:val="28"/>
              </w:rPr>
              <w:t xml:space="preserve">grozījumi </w:t>
            </w:r>
            <w:r w:rsidR="00E67B18" w:rsidRPr="00B33642">
              <w:rPr>
                <w:sz w:val="28"/>
                <w:szCs w:val="28"/>
              </w:rPr>
              <w:t>Ministru kabineta 2007.gada 26.jūnija noteikumos Nr.419 „Kārtība, kādā Eiropas Savienības struktūrfondu un Kohēzijas fonda vadībā iesaistītās institūcijas nodrošina plānošanas dokumentu sagatavošanu un šo fondu ieviešanu”</w:t>
            </w:r>
            <w:r w:rsidR="007B06B5">
              <w:rPr>
                <w:sz w:val="28"/>
                <w:szCs w:val="28"/>
              </w:rPr>
              <w:t xml:space="preserve"> (turpmāk – noteikumi Nr.419)</w:t>
            </w:r>
            <w:r w:rsidR="00E67B18">
              <w:rPr>
                <w:rFonts w:eastAsia="Calibri"/>
                <w:sz w:val="28"/>
                <w:szCs w:val="28"/>
              </w:rPr>
              <w:t xml:space="preserve">, kas </w:t>
            </w:r>
            <w:r w:rsidR="00DC3870">
              <w:rPr>
                <w:sz w:val="28"/>
                <w:szCs w:val="28"/>
              </w:rPr>
              <w:t xml:space="preserve">precizē </w:t>
            </w:r>
            <w:r w:rsidR="00DC3870" w:rsidRPr="00B33642">
              <w:rPr>
                <w:sz w:val="28"/>
                <w:szCs w:val="28"/>
              </w:rPr>
              <w:t>Eiropas Sociālā fonda pr</w:t>
            </w:r>
            <w:r w:rsidR="00DC3870">
              <w:rPr>
                <w:sz w:val="28"/>
                <w:szCs w:val="28"/>
              </w:rPr>
              <w:t xml:space="preserve">ojektu netiešo izmaksu nemainīgās likmes piemērošanas nosacījumus, </w:t>
            </w:r>
            <w:bookmarkStart w:id="7" w:name="OLE_LINK12"/>
            <w:bookmarkStart w:id="8" w:name="OLE_LINK13"/>
            <w:r w:rsidR="00DC3870" w:rsidRPr="007506B6">
              <w:rPr>
                <w:color w:val="000000"/>
                <w:sz w:val="28"/>
                <w:szCs w:val="28"/>
              </w:rPr>
              <w:t>paredzot likmes korekciju atkarībā no ārpakalpojuma apmēra projektā</w:t>
            </w:r>
            <w:r w:rsidR="00DC3870">
              <w:rPr>
                <w:sz w:val="28"/>
                <w:szCs w:val="28"/>
              </w:rPr>
              <w:t xml:space="preserve"> un svītrojot no netiešo izmaksu saraksta projekta iesnieguma un pamatojošās dokumentācijas sagatavošanas izmaksas</w:t>
            </w:r>
            <w:bookmarkEnd w:id="7"/>
            <w:bookmarkEnd w:id="8"/>
            <w:r w:rsidR="00E67B18">
              <w:rPr>
                <w:rFonts w:eastAsia="Calibri"/>
                <w:sz w:val="28"/>
                <w:szCs w:val="28"/>
              </w:rPr>
              <w:t xml:space="preserve">. Izglītības un zinātnes ministrija atbilstoši </w:t>
            </w:r>
            <w:r w:rsidR="00E67B18">
              <w:rPr>
                <w:sz w:val="28"/>
                <w:szCs w:val="28"/>
              </w:rPr>
              <w:t>Ministru kabineta 2011.gada 1.februāra</w:t>
            </w:r>
            <w:r w:rsidR="00E67B18" w:rsidRPr="00B33642">
              <w:rPr>
                <w:sz w:val="28"/>
                <w:szCs w:val="28"/>
              </w:rPr>
              <w:t xml:space="preserve"> sēd</w:t>
            </w:r>
            <w:r w:rsidR="00E67B18">
              <w:rPr>
                <w:sz w:val="28"/>
                <w:szCs w:val="28"/>
              </w:rPr>
              <w:t xml:space="preserve">es protokollēmuma (prot. </w:t>
            </w:r>
            <w:r w:rsidR="00E67B18" w:rsidRPr="00DC5571">
              <w:rPr>
                <w:sz w:val="28"/>
                <w:szCs w:val="28"/>
              </w:rPr>
              <w:t>Nr.7, 33</w:t>
            </w:r>
            <w:r w:rsidR="00E67B18">
              <w:rPr>
                <w:sz w:val="28"/>
                <w:szCs w:val="28"/>
              </w:rPr>
              <w:t>.§) 2.punktam, kas noteica iesniegt grozījumus Eiropas Sociālā fonda aktivitāšu ieviešanas kārtībā atbilstoši</w:t>
            </w:r>
            <w:r w:rsidR="00956FC6">
              <w:rPr>
                <w:sz w:val="28"/>
                <w:szCs w:val="28"/>
              </w:rPr>
              <w:t xml:space="preserve"> noteikumiem Nr.104, 2011.gada 31</w:t>
            </w:r>
            <w:r w:rsidR="00E67B18">
              <w:rPr>
                <w:sz w:val="28"/>
                <w:szCs w:val="28"/>
              </w:rPr>
              <w:t>.</w:t>
            </w:r>
            <w:r w:rsidR="00956FC6">
              <w:rPr>
                <w:sz w:val="28"/>
                <w:szCs w:val="28"/>
              </w:rPr>
              <w:t>martā</w:t>
            </w:r>
            <w:r w:rsidR="00E67B18">
              <w:rPr>
                <w:sz w:val="28"/>
                <w:szCs w:val="28"/>
              </w:rPr>
              <w:t xml:space="preserve"> iesniedza </w:t>
            </w:r>
            <w:r w:rsidR="00764048">
              <w:rPr>
                <w:sz w:val="28"/>
                <w:szCs w:val="28"/>
              </w:rPr>
              <w:t xml:space="preserve">attiecīgus </w:t>
            </w:r>
            <w:r w:rsidR="00E67B18">
              <w:rPr>
                <w:sz w:val="28"/>
                <w:szCs w:val="28"/>
              </w:rPr>
              <w:t xml:space="preserve">grozījumus </w:t>
            </w:r>
            <w:r w:rsidR="00E67B18" w:rsidRPr="00E67B18">
              <w:rPr>
                <w:sz w:val="28"/>
                <w:szCs w:val="28"/>
              </w:rPr>
              <w:t xml:space="preserve">noteikumos </w:t>
            </w:r>
            <w:r w:rsidR="00E67B18" w:rsidRPr="00E67B18">
              <w:rPr>
                <w:bCs/>
                <w:sz w:val="28"/>
                <w:szCs w:val="28"/>
              </w:rPr>
              <w:t>Nr.521</w:t>
            </w:r>
            <w:r w:rsidR="00DC3870">
              <w:rPr>
                <w:sz w:val="28"/>
                <w:szCs w:val="28"/>
              </w:rPr>
              <w:t xml:space="preserve">, pārceļot projekta iesnieguma un pamatojošās dokumentācijas </w:t>
            </w:r>
            <w:r w:rsidR="00DC3870">
              <w:rPr>
                <w:sz w:val="28"/>
                <w:szCs w:val="28"/>
              </w:rPr>
              <w:lastRenderedPageBreak/>
              <w:t>sagatavošanas izmaksas no netiešo izmaksu pozīcijas uz tiešajām izmaksām.</w:t>
            </w:r>
          </w:p>
          <w:p w:rsidR="00E97E21" w:rsidRPr="00CC2BE9" w:rsidRDefault="00187379" w:rsidP="00BF1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</w:t>
            </w:r>
            <w:r w:rsidRPr="006D6A63">
              <w:rPr>
                <w:color w:val="000000"/>
                <w:sz w:val="28"/>
                <w:szCs w:val="28"/>
              </w:rPr>
              <w:t>ai nodrošinātu visām ES fondu vadībā iesaistītajām institūcijām vienotu izpratni par netiešo izmaksu nemainīgās likmes piemērošanu saistībā ar noteikumos Nr.104 paredzētajiem grozījumiem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DF7C25">
              <w:rPr>
                <w:color w:val="000000"/>
                <w:sz w:val="28"/>
                <w:szCs w:val="28"/>
              </w:rPr>
              <w:t xml:space="preserve">diskusiju rezultātā </w:t>
            </w:r>
            <w:r>
              <w:rPr>
                <w:color w:val="000000"/>
                <w:sz w:val="28"/>
                <w:szCs w:val="28"/>
              </w:rPr>
              <w:t xml:space="preserve">pēc noteikumu Nr.104 apstiprināšanas </w:t>
            </w:r>
            <w:r w:rsidR="009E55E2">
              <w:rPr>
                <w:color w:val="000000"/>
                <w:sz w:val="28"/>
                <w:szCs w:val="28"/>
              </w:rPr>
              <w:t>tika</w:t>
            </w:r>
            <w:r>
              <w:rPr>
                <w:color w:val="000000"/>
                <w:sz w:val="28"/>
                <w:szCs w:val="28"/>
              </w:rPr>
              <w:t xml:space="preserve"> veikti precizējumi Finanšu ministrijas izstrādātajā metodikā</w:t>
            </w:r>
            <w:r w:rsidR="000F7AC5" w:rsidRPr="006D6A63">
              <w:rPr>
                <w:color w:val="000000"/>
                <w:sz w:val="28"/>
                <w:szCs w:val="28"/>
              </w:rPr>
              <w:t xml:space="preserve">  „Metodika par netiešo izmaksu nemainīgās likmes plānošanu un piemērošanu” (turpmāk – metodika). Pēc metodikas apstiprināšanas 2011.gada 29.jūnijā tika secināts, ka ne visos 1.2.1.2.3.apakšaktivitātes projektos ir iespējams piemērot netiešo izmaksu nemainīgo likmi</w:t>
            </w:r>
            <w:r w:rsidR="00AF042A">
              <w:rPr>
                <w:color w:val="000000"/>
                <w:sz w:val="28"/>
                <w:szCs w:val="28"/>
              </w:rPr>
              <w:t>, jo</w:t>
            </w:r>
            <w:r w:rsidR="007B06B5">
              <w:rPr>
                <w:color w:val="000000"/>
                <w:sz w:val="28"/>
                <w:szCs w:val="28"/>
              </w:rPr>
              <w:t xml:space="preserve"> </w:t>
            </w:r>
            <w:r w:rsidR="00AF042A">
              <w:rPr>
                <w:color w:val="000000"/>
                <w:sz w:val="28"/>
                <w:szCs w:val="28"/>
              </w:rPr>
              <w:t>ā</w:t>
            </w:r>
            <w:r w:rsidR="006D6A63" w:rsidRPr="006D6A63">
              <w:rPr>
                <w:color w:val="000000"/>
                <w:sz w:val="28"/>
                <w:szCs w:val="28"/>
              </w:rPr>
              <w:t xml:space="preserve">rpakalpojuma apmēra </w:t>
            </w:r>
            <w:r w:rsidR="00E93113">
              <w:rPr>
                <w:color w:val="000000"/>
                <w:sz w:val="28"/>
                <w:szCs w:val="28"/>
              </w:rPr>
              <w:t>dēļ</w:t>
            </w:r>
            <w:r w:rsidR="00E93113" w:rsidRPr="006D6A63">
              <w:rPr>
                <w:color w:val="000000"/>
                <w:sz w:val="28"/>
                <w:szCs w:val="28"/>
              </w:rPr>
              <w:t xml:space="preserve"> </w:t>
            </w:r>
            <w:r w:rsidR="006D6A63">
              <w:rPr>
                <w:color w:val="000000"/>
                <w:sz w:val="28"/>
                <w:szCs w:val="28"/>
              </w:rPr>
              <w:t xml:space="preserve">piemērojamā </w:t>
            </w:r>
            <w:r w:rsidR="006D6A63" w:rsidRPr="006D6A63">
              <w:rPr>
                <w:color w:val="000000"/>
                <w:sz w:val="28"/>
                <w:szCs w:val="28"/>
              </w:rPr>
              <w:t xml:space="preserve">nemainīgās likmes korekcija </w:t>
            </w:r>
            <w:r w:rsidR="006D6A63">
              <w:rPr>
                <w:color w:val="000000"/>
                <w:sz w:val="28"/>
                <w:szCs w:val="28"/>
              </w:rPr>
              <w:t>bū</w:t>
            </w:r>
            <w:r w:rsidR="00AF042A">
              <w:rPr>
                <w:color w:val="000000"/>
                <w:sz w:val="28"/>
                <w:szCs w:val="28"/>
              </w:rPr>
              <w:t>tu</w:t>
            </w:r>
            <w:r w:rsidR="006D6A63" w:rsidRPr="006D6A63">
              <w:rPr>
                <w:color w:val="000000"/>
                <w:sz w:val="28"/>
                <w:szCs w:val="28"/>
              </w:rPr>
              <w:t xml:space="preserve"> 100%</w:t>
            </w:r>
            <w:r w:rsidR="006543C9">
              <w:rPr>
                <w:color w:val="000000"/>
                <w:sz w:val="28"/>
                <w:szCs w:val="28"/>
              </w:rPr>
              <w:t xml:space="preserve">, līdz </w:t>
            </w:r>
            <w:r w:rsidR="00AF042A">
              <w:rPr>
                <w:color w:val="000000"/>
                <w:sz w:val="28"/>
                <w:szCs w:val="28"/>
              </w:rPr>
              <w:t xml:space="preserve">ar to projekta administrēšanas izmaksas </w:t>
            </w:r>
            <w:r w:rsidR="00B01708">
              <w:rPr>
                <w:color w:val="000000"/>
                <w:sz w:val="28"/>
                <w:szCs w:val="28"/>
              </w:rPr>
              <w:t>nebūtu</w:t>
            </w:r>
            <w:r w:rsidR="007E7112">
              <w:rPr>
                <w:color w:val="000000"/>
                <w:sz w:val="28"/>
                <w:szCs w:val="28"/>
              </w:rPr>
              <w:t xml:space="preserve"> attiecināmas.</w:t>
            </w:r>
            <w:r w:rsidR="00435B4D">
              <w:rPr>
                <w:color w:val="000000"/>
                <w:sz w:val="28"/>
                <w:szCs w:val="28"/>
              </w:rPr>
              <w:t xml:space="preserve"> </w:t>
            </w:r>
            <w:r w:rsidR="006B4312">
              <w:rPr>
                <w:color w:val="000000"/>
                <w:sz w:val="28"/>
                <w:szCs w:val="28"/>
              </w:rPr>
              <w:t xml:space="preserve">Tā kā </w:t>
            </w:r>
            <w:r w:rsidR="00AF042A">
              <w:rPr>
                <w:color w:val="000000"/>
                <w:sz w:val="28"/>
                <w:szCs w:val="28"/>
              </w:rPr>
              <w:t>minēto projektu īsteno</w:t>
            </w:r>
            <w:r w:rsidR="00E72F0D">
              <w:rPr>
                <w:color w:val="000000"/>
                <w:sz w:val="28"/>
                <w:szCs w:val="28"/>
              </w:rPr>
              <w:t xml:space="preserve"> </w:t>
            </w:r>
            <w:r w:rsidR="00AF042A">
              <w:rPr>
                <w:color w:val="000000"/>
                <w:sz w:val="28"/>
                <w:szCs w:val="28"/>
              </w:rPr>
              <w:t>valsts budžeta iestāde un tās</w:t>
            </w:r>
            <w:r w:rsidR="006B4312">
              <w:rPr>
                <w:color w:val="000000"/>
                <w:sz w:val="28"/>
                <w:szCs w:val="28"/>
              </w:rPr>
              <w:t xml:space="preserve"> </w:t>
            </w:r>
            <w:r w:rsidR="00E82577">
              <w:rPr>
                <w:color w:val="000000"/>
                <w:sz w:val="28"/>
                <w:szCs w:val="28"/>
              </w:rPr>
              <w:t xml:space="preserve">rīcībā nav citu resursu, kas varētu tikt novirzīti 1.2.1.2.3.apakšaktivitātes projekta administrēšanai, </w:t>
            </w:r>
            <w:r w:rsidR="006D6A63" w:rsidRPr="006D6A63">
              <w:rPr>
                <w:color w:val="000000"/>
                <w:sz w:val="28"/>
                <w:szCs w:val="28"/>
              </w:rPr>
              <w:t xml:space="preserve">lai nodrošinātu attiecīgā projekta plānoto darbību </w:t>
            </w:r>
            <w:r w:rsidR="00BF1952">
              <w:rPr>
                <w:color w:val="000000"/>
                <w:sz w:val="28"/>
                <w:szCs w:val="28"/>
              </w:rPr>
              <w:t xml:space="preserve">turpmāku </w:t>
            </w:r>
            <w:r w:rsidR="006D6A63" w:rsidRPr="006D6A63">
              <w:rPr>
                <w:color w:val="000000"/>
                <w:sz w:val="28"/>
                <w:szCs w:val="28"/>
              </w:rPr>
              <w:t>veikšanu, ir nepieciešams paredzēt iespēju projektā piemērot faktisko attiecināmo netiešo izmaksu princ</w:t>
            </w:r>
            <w:r w:rsidR="005E53C8">
              <w:rPr>
                <w:color w:val="000000"/>
                <w:sz w:val="28"/>
                <w:szCs w:val="28"/>
              </w:rPr>
              <w:t>ipu.</w:t>
            </w:r>
            <w:r w:rsidR="007640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0205" w:rsidRPr="00B33642" w:rsidTr="00956FC6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B563F3" w:rsidP="00CC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A71202">
              <w:rPr>
                <w:sz w:val="28"/>
                <w:szCs w:val="28"/>
              </w:rPr>
              <w:t>.</w:t>
            </w:r>
          </w:p>
        </w:tc>
      </w:tr>
      <w:tr w:rsidR="00120205" w:rsidRPr="00B33642" w:rsidTr="00956FC6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4.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A88" w:rsidRPr="00777470" w:rsidRDefault="007008F5" w:rsidP="0013546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Noteikumu projekts paredz iespēju finansējuma saņēmējam izvēlēties </w:t>
            </w:r>
            <w:r w:rsidR="0013546E">
              <w:rPr>
                <w:sz w:val="28"/>
                <w:szCs w:val="28"/>
              </w:rPr>
              <w:t>projekta netiešajām izmaksām piemērot netiešo izmaksu nemainīgo likmi, vai netiešās izmaksas plānot kā faktiskās attiecināmās izmaksas ne vairāk kā piecu procentu apmērā no tiešajām attiecināmajām izmaksām.</w:t>
            </w:r>
          </w:p>
        </w:tc>
      </w:tr>
      <w:tr w:rsidR="00120205" w:rsidRPr="00B33642" w:rsidTr="00956FC6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5.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9584C" w:rsidP="00BF4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</w:t>
            </w:r>
            <w:r w:rsidR="00F41E09">
              <w:rPr>
                <w:sz w:val="28"/>
                <w:szCs w:val="28"/>
              </w:rPr>
              <w:t xml:space="preserve"> izglītības attīstības aģentūra</w:t>
            </w:r>
            <w:r w:rsidR="00BF4CD9">
              <w:rPr>
                <w:sz w:val="28"/>
                <w:szCs w:val="28"/>
              </w:rPr>
              <w:t>.</w:t>
            </w:r>
          </w:p>
        </w:tc>
      </w:tr>
      <w:tr w:rsidR="00120205" w:rsidRPr="00B33642" w:rsidTr="00956FC6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6.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B63B68" w:rsidP="00F85130">
            <w:pPr>
              <w:jc w:val="both"/>
              <w:rPr>
                <w:sz w:val="28"/>
                <w:szCs w:val="28"/>
              </w:rPr>
            </w:pPr>
            <w:r w:rsidRPr="00956FC6">
              <w:rPr>
                <w:bCs/>
                <w:sz w:val="28"/>
                <w:szCs w:val="28"/>
              </w:rPr>
              <w:t>Projekts</w:t>
            </w:r>
            <w:r w:rsidRPr="00686109">
              <w:rPr>
                <w:sz w:val="28"/>
                <w:szCs w:val="28"/>
              </w:rPr>
              <w:t xml:space="preserve"> šo jomu neskar.</w:t>
            </w:r>
          </w:p>
        </w:tc>
      </w:tr>
      <w:tr w:rsidR="00120205" w:rsidRPr="00B33642" w:rsidTr="00956FC6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7.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Cita informācija</w:t>
            </w:r>
          </w:p>
        </w:tc>
        <w:tc>
          <w:tcPr>
            <w:tcW w:w="3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7008F5" w:rsidRDefault="007008F5" w:rsidP="007506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008F5">
              <w:rPr>
                <w:color w:val="000000"/>
                <w:sz w:val="28"/>
                <w:szCs w:val="28"/>
              </w:rPr>
              <w:t>Nav.</w:t>
            </w:r>
          </w:p>
        </w:tc>
      </w:tr>
    </w:tbl>
    <w:p w:rsidR="00120205" w:rsidRPr="00B33642" w:rsidRDefault="00120205" w:rsidP="00CC1C05">
      <w:pPr>
        <w:ind w:firstLine="720"/>
        <w:rPr>
          <w:b/>
          <w:sz w:val="28"/>
          <w:szCs w:val="28"/>
        </w:rPr>
      </w:pPr>
    </w:p>
    <w:tbl>
      <w:tblPr>
        <w:tblW w:w="5123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"/>
        <w:gridCol w:w="3213"/>
        <w:gridCol w:w="5717"/>
      </w:tblGrid>
      <w:tr w:rsidR="00120205" w:rsidRPr="00B33642" w:rsidTr="00956FC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120205" w:rsidRPr="00B33642" w:rsidRDefault="00120205" w:rsidP="00CC1C05">
            <w:pPr>
              <w:jc w:val="center"/>
              <w:rPr>
                <w:b/>
                <w:bCs/>
                <w:sz w:val="28"/>
                <w:szCs w:val="28"/>
              </w:rPr>
            </w:pPr>
            <w:r w:rsidRPr="00B33642">
              <w:rPr>
                <w:b/>
                <w:bCs/>
                <w:sz w:val="28"/>
                <w:szCs w:val="28"/>
              </w:rPr>
              <w:lastRenderedPageBreak/>
              <w:t>II. Tiesību akta projekta ietekme uz sabiedrību</w:t>
            </w:r>
          </w:p>
        </w:tc>
      </w:tr>
      <w:tr w:rsidR="00120205" w:rsidRPr="00B33642" w:rsidTr="00956FC6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1.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692D4C" w:rsidRDefault="00120205" w:rsidP="00CC1C05">
            <w:pPr>
              <w:ind w:right="-57"/>
              <w:rPr>
                <w:sz w:val="28"/>
                <w:szCs w:val="28"/>
              </w:rPr>
            </w:pPr>
            <w:r w:rsidRPr="00692D4C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3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692D4C" w:rsidRDefault="005A3EB6" w:rsidP="00C34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1.2.1.2.3.apakšaktivitātes projektu īstenotāji – Latvijas Universitāte, Latviešu valodas aģentūra, Valsts izglītības satura centrs.</w:t>
            </w:r>
          </w:p>
        </w:tc>
      </w:tr>
      <w:tr w:rsidR="00F82018" w:rsidRPr="00B33642" w:rsidTr="00956FC6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2.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692D4C" w:rsidRDefault="00F82018" w:rsidP="00CC1C05">
            <w:pPr>
              <w:ind w:right="-57"/>
              <w:rPr>
                <w:sz w:val="28"/>
                <w:szCs w:val="28"/>
              </w:rPr>
            </w:pPr>
            <w:r w:rsidRPr="00692D4C">
              <w:rPr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3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Default="00F82018">
            <w:r w:rsidRPr="00D01FFC">
              <w:rPr>
                <w:sz w:val="28"/>
                <w:szCs w:val="28"/>
              </w:rPr>
              <w:t>Projekts šo jomu neskar</w:t>
            </w:r>
            <w:r w:rsidR="003B0405">
              <w:rPr>
                <w:sz w:val="28"/>
                <w:szCs w:val="28"/>
              </w:rPr>
              <w:t>.</w:t>
            </w:r>
          </w:p>
        </w:tc>
      </w:tr>
      <w:tr w:rsidR="00F82018" w:rsidRPr="00B33642" w:rsidTr="00956FC6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3.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692D4C" w:rsidRDefault="00F82018" w:rsidP="00CC1C05">
            <w:pPr>
              <w:ind w:right="-57"/>
              <w:rPr>
                <w:sz w:val="28"/>
                <w:szCs w:val="28"/>
              </w:rPr>
            </w:pPr>
            <w:r w:rsidRPr="00692D4C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3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Default="00F82018">
            <w:r w:rsidRPr="00D01FFC">
              <w:rPr>
                <w:sz w:val="28"/>
                <w:szCs w:val="28"/>
              </w:rPr>
              <w:t>Projekts šo jomu neskar</w:t>
            </w:r>
            <w:r w:rsidR="003B0405">
              <w:rPr>
                <w:sz w:val="28"/>
                <w:szCs w:val="28"/>
              </w:rPr>
              <w:t>.</w:t>
            </w:r>
          </w:p>
        </w:tc>
      </w:tr>
      <w:tr w:rsidR="00F82018" w:rsidRPr="00B33642" w:rsidTr="00956FC6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4.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ind w:right="-57"/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3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Default="00F82018">
            <w:r w:rsidRPr="00D01FFC">
              <w:rPr>
                <w:sz w:val="28"/>
                <w:szCs w:val="28"/>
              </w:rPr>
              <w:t>Projekts šo jomu neskar</w:t>
            </w:r>
            <w:r w:rsidR="003B0405">
              <w:rPr>
                <w:sz w:val="28"/>
                <w:szCs w:val="28"/>
              </w:rPr>
              <w:t>.</w:t>
            </w:r>
          </w:p>
        </w:tc>
      </w:tr>
      <w:tr w:rsidR="00F82018" w:rsidRPr="00B33642" w:rsidTr="00956FC6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5.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ind w:right="-57"/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3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Default="00F82018">
            <w:r w:rsidRPr="00404618">
              <w:rPr>
                <w:sz w:val="28"/>
                <w:szCs w:val="28"/>
              </w:rPr>
              <w:t>Projekts šo jomu neskar</w:t>
            </w:r>
            <w:r w:rsidR="003B0405">
              <w:rPr>
                <w:sz w:val="28"/>
                <w:szCs w:val="28"/>
              </w:rPr>
              <w:t>.</w:t>
            </w:r>
          </w:p>
        </w:tc>
      </w:tr>
      <w:tr w:rsidR="00F82018" w:rsidRPr="00B33642" w:rsidTr="00956FC6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6.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ind w:right="-57"/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Default="00F82018">
            <w:r w:rsidRPr="00404618">
              <w:rPr>
                <w:sz w:val="28"/>
                <w:szCs w:val="28"/>
              </w:rPr>
              <w:t>Projekts šo jomu neskar</w:t>
            </w:r>
            <w:r w:rsidR="003B0405">
              <w:rPr>
                <w:sz w:val="28"/>
                <w:szCs w:val="28"/>
              </w:rPr>
              <w:t>.</w:t>
            </w:r>
          </w:p>
        </w:tc>
      </w:tr>
      <w:tr w:rsidR="00120205" w:rsidRPr="00B33642" w:rsidTr="00956FC6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7.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ind w:right="-57"/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Cita informācija</w:t>
            </w:r>
          </w:p>
        </w:tc>
        <w:tc>
          <w:tcPr>
            <w:tcW w:w="3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Nav</w:t>
            </w:r>
            <w:r w:rsidR="003B0405">
              <w:rPr>
                <w:sz w:val="28"/>
                <w:szCs w:val="28"/>
              </w:rPr>
              <w:t>.</w:t>
            </w:r>
          </w:p>
        </w:tc>
      </w:tr>
    </w:tbl>
    <w:p w:rsidR="009819FA" w:rsidRDefault="009819FA" w:rsidP="00956FC6">
      <w:pPr>
        <w:jc w:val="both"/>
        <w:rPr>
          <w:sz w:val="28"/>
          <w:szCs w:val="28"/>
        </w:rPr>
      </w:pPr>
    </w:p>
    <w:p w:rsidR="009819FA" w:rsidRDefault="009819FA" w:rsidP="009819FA">
      <w:pPr>
        <w:spacing w:before="120" w:after="120"/>
        <w:jc w:val="both"/>
        <w:rPr>
          <w:sz w:val="28"/>
          <w:szCs w:val="28"/>
        </w:rPr>
      </w:pPr>
      <w:r w:rsidRPr="00B33642">
        <w:rPr>
          <w:sz w:val="28"/>
          <w:szCs w:val="28"/>
        </w:rPr>
        <w:t xml:space="preserve">Anotācijas </w:t>
      </w:r>
      <w:r w:rsidR="00BF1952">
        <w:rPr>
          <w:sz w:val="28"/>
          <w:szCs w:val="28"/>
        </w:rPr>
        <w:t xml:space="preserve">III, </w:t>
      </w:r>
      <w:r>
        <w:rPr>
          <w:sz w:val="28"/>
          <w:szCs w:val="28"/>
        </w:rPr>
        <w:t xml:space="preserve">IV un </w:t>
      </w:r>
      <w:r w:rsidRPr="00B33642">
        <w:rPr>
          <w:sz w:val="28"/>
          <w:szCs w:val="28"/>
        </w:rPr>
        <w:t xml:space="preserve">V sadaļa – </w:t>
      </w:r>
      <w:r>
        <w:rPr>
          <w:sz w:val="28"/>
          <w:szCs w:val="28"/>
        </w:rPr>
        <w:t>projekts šīs jomas neskar</w:t>
      </w:r>
      <w:r w:rsidRPr="00B33642">
        <w:rPr>
          <w:sz w:val="28"/>
          <w:szCs w:val="28"/>
        </w:rPr>
        <w:t>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52"/>
        <w:gridCol w:w="6520"/>
      </w:tblGrid>
      <w:tr w:rsidR="009819FA" w:rsidRPr="00686109" w:rsidTr="00956FC6">
        <w:tc>
          <w:tcPr>
            <w:tcW w:w="9498" w:type="dxa"/>
            <w:gridSpan w:val="3"/>
          </w:tcPr>
          <w:p w:rsidR="009819FA" w:rsidRPr="00686109" w:rsidRDefault="009819FA" w:rsidP="00813A6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86109">
              <w:rPr>
                <w:b/>
                <w:bCs/>
                <w:sz w:val="28"/>
                <w:szCs w:val="28"/>
              </w:rPr>
              <w:t> VI. Sabiedrības līdzdalība un šīs līdzdalības rezultāti</w:t>
            </w:r>
          </w:p>
        </w:tc>
      </w:tr>
      <w:tr w:rsidR="009819FA" w:rsidRPr="009851B5" w:rsidTr="00956FC6">
        <w:tc>
          <w:tcPr>
            <w:tcW w:w="426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bCs/>
                <w:sz w:val="28"/>
                <w:szCs w:val="28"/>
              </w:rPr>
              <w:t>Sabiedrības informēšana par projekta izstrādes uzsākšanu</w:t>
            </w:r>
          </w:p>
        </w:tc>
        <w:tc>
          <w:tcPr>
            <w:tcW w:w="6520" w:type="dxa"/>
          </w:tcPr>
          <w:p w:rsidR="009819FA" w:rsidRPr="009851B5" w:rsidRDefault="00DF7C25" w:rsidP="005D07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2011.gada jūlijā ir veikta 1.2.1.2.3.apakškativitātes </w:t>
            </w:r>
            <w:r w:rsidR="00B63B68">
              <w:rPr>
                <w:bCs/>
                <w:sz w:val="28"/>
                <w:szCs w:val="28"/>
              </w:rPr>
              <w:t>finansējuma</w:t>
            </w:r>
            <w:r>
              <w:rPr>
                <w:sz w:val="28"/>
                <w:szCs w:val="28"/>
              </w:rPr>
              <w:t xml:space="preserve"> saņēmēju aptauja</w:t>
            </w:r>
            <w:r w:rsidR="006112A2">
              <w:rPr>
                <w:sz w:val="28"/>
                <w:szCs w:val="28"/>
              </w:rPr>
              <w:t xml:space="preserve"> un sniegta informācija par </w:t>
            </w:r>
            <w:r w:rsidR="005D07BB">
              <w:rPr>
                <w:sz w:val="28"/>
                <w:szCs w:val="28"/>
              </w:rPr>
              <w:t>noteikumu projekta izstrādi</w:t>
            </w:r>
            <w:r w:rsidR="006112A2">
              <w:rPr>
                <w:sz w:val="28"/>
                <w:szCs w:val="28"/>
              </w:rPr>
              <w:t>.</w:t>
            </w:r>
          </w:p>
        </w:tc>
      </w:tr>
      <w:tr w:rsidR="009819FA" w:rsidRPr="009851B5" w:rsidTr="00956FC6">
        <w:tc>
          <w:tcPr>
            <w:tcW w:w="426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bCs/>
                <w:sz w:val="28"/>
                <w:szCs w:val="28"/>
              </w:rPr>
              <w:t>Sabiedrības līdzdalība projekta izstrādē</w:t>
            </w:r>
          </w:p>
        </w:tc>
        <w:tc>
          <w:tcPr>
            <w:tcW w:w="6520" w:type="dxa"/>
          </w:tcPr>
          <w:p w:rsidR="009819FA" w:rsidRPr="009851B5" w:rsidRDefault="00DE2F84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FC6">
              <w:rPr>
                <w:bCs/>
                <w:sz w:val="28"/>
                <w:szCs w:val="28"/>
              </w:rPr>
              <w:t>Projekts</w:t>
            </w:r>
            <w:r w:rsidRPr="00686109">
              <w:rPr>
                <w:sz w:val="28"/>
                <w:szCs w:val="28"/>
              </w:rPr>
              <w:t xml:space="preserve"> šo jomu neskar.</w:t>
            </w:r>
          </w:p>
        </w:tc>
      </w:tr>
      <w:tr w:rsidR="009819FA" w:rsidRPr="00686109" w:rsidTr="00956FC6">
        <w:tc>
          <w:tcPr>
            <w:tcW w:w="426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bCs/>
                <w:sz w:val="28"/>
                <w:szCs w:val="28"/>
              </w:rPr>
              <w:t>Sabiedrības līdzdalības rezultāti</w:t>
            </w:r>
          </w:p>
        </w:tc>
        <w:tc>
          <w:tcPr>
            <w:tcW w:w="6520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FC6">
              <w:rPr>
                <w:bCs/>
                <w:sz w:val="28"/>
                <w:szCs w:val="28"/>
              </w:rPr>
              <w:t>Projekts</w:t>
            </w:r>
            <w:r w:rsidRPr="00686109">
              <w:rPr>
                <w:sz w:val="28"/>
                <w:szCs w:val="28"/>
              </w:rPr>
              <w:t xml:space="preserve"> šo jomu neskar.</w:t>
            </w:r>
          </w:p>
        </w:tc>
      </w:tr>
      <w:tr w:rsidR="009819FA" w:rsidRPr="00686109" w:rsidTr="00956FC6">
        <w:trPr>
          <w:trHeight w:val="806"/>
        </w:trPr>
        <w:tc>
          <w:tcPr>
            <w:tcW w:w="426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FC6">
              <w:rPr>
                <w:sz w:val="28"/>
                <w:szCs w:val="28"/>
              </w:rPr>
              <w:t>Saeimas</w:t>
            </w:r>
            <w:r w:rsidRPr="00686109">
              <w:rPr>
                <w:bCs/>
                <w:sz w:val="28"/>
                <w:szCs w:val="28"/>
              </w:rPr>
              <w:t xml:space="preserve"> un ekspertu līdzdalība</w:t>
            </w:r>
          </w:p>
        </w:tc>
        <w:tc>
          <w:tcPr>
            <w:tcW w:w="6520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sz w:val="28"/>
                <w:szCs w:val="28"/>
              </w:rPr>
              <w:t>Projekts šo jomu neskar.</w:t>
            </w:r>
          </w:p>
        </w:tc>
      </w:tr>
      <w:tr w:rsidR="009819FA" w:rsidRPr="00686109" w:rsidTr="00956FC6">
        <w:tc>
          <w:tcPr>
            <w:tcW w:w="426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bCs/>
                <w:sz w:val="28"/>
                <w:szCs w:val="28"/>
              </w:rPr>
              <w:t>Cita informācija</w:t>
            </w:r>
          </w:p>
        </w:tc>
        <w:tc>
          <w:tcPr>
            <w:tcW w:w="6520" w:type="dxa"/>
          </w:tcPr>
          <w:p w:rsidR="009819FA" w:rsidRPr="00686109" w:rsidRDefault="009819FA" w:rsidP="00956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6109">
              <w:rPr>
                <w:sz w:val="28"/>
                <w:szCs w:val="28"/>
              </w:rPr>
              <w:t>Nav.</w:t>
            </w:r>
          </w:p>
        </w:tc>
      </w:tr>
    </w:tbl>
    <w:p w:rsidR="00951F58" w:rsidRDefault="00951F58" w:rsidP="00956FC6">
      <w:pPr>
        <w:jc w:val="both"/>
        <w:rPr>
          <w:sz w:val="28"/>
          <w:szCs w:val="28"/>
        </w:rPr>
      </w:pPr>
    </w:p>
    <w:tbl>
      <w:tblPr>
        <w:tblW w:w="5201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3828"/>
        <w:gridCol w:w="5245"/>
      </w:tblGrid>
      <w:tr w:rsidR="00120205" w:rsidRPr="00B33642" w:rsidTr="00F41E0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jc w:val="center"/>
              <w:rPr>
                <w:b/>
                <w:bCs/>
                <w:sz w:val="28"/>
                <w:szCs w:val="28"/>
              </w:rPr>
            </w:pPr>
            <w:r w:rsidRPr="00B33642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20205" w:rsidRPr="00B33642" w:rsidTr="00764048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1.</w:t>
            </w:r>
          </w:p>
        </w:tc>
        <w:tc>
          <w:tcPr>
            <w:tcW w:w="2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E054D2">
            <w:pPr>
              <w:jc w:val="both"/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Izglītības un zinātnes ministrija</w:t>
            </w:r>
            <w:r w:rsidR="003B0405">
              <w:rPr>
                <w:sz w:val="28"/>
                <w:szCs w:val="28"/>
              </w:rPr>
              <w:t>,</w:t>
            </w:r>
            <w:r w:rsidR="00F82018" w:rsidRPr="004F5A16">
              <w:rPr>
                <w:sz w:val="28"/>
                <w:szCs w:val="28"/>
              </w:rPr>
              <w:t xml:space="preserve"> Valsts izglītības attīstības aģentūra</w:t>
            </w:r>
            <w:r w:rsidR="00BF4CD9">
              <w:rPr>
                <w:sz w:val="28"/>
                <w:szCs w:val="28"/>
              </w:rPr>
              <w:t>.</w:t>
            </w:r>
          </w:p>
        </w:tc>
      </w:tr>
      <w:tr w:rsidR="00120205" w:rsidRPr="00B33642" w:rsidTr="00764048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2.</w:t>
            </w:r>
          </w:p>
        </w:tc>
        <w:tc>
          <w:tcPr>
            <w:tcW w:w="2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 xml:space="preserve">Projekta izpildes ietekme uz </w:t>
            </w:r>
            <w:r w:rsidRPr="00B33642">
              <w:rPr>
                <w:sz w:val="28"/>
                <w:szCs w:val="28"/>
              </w:rPr>
              <w:lastRenderedPageBreak/>
              <w:t>pārvaldes funkcijām</w:t>
            </w:r>
          </w:p>
        </w:tc>
        <w:tc>
          <w:tcPr>
            <w:tcW w:w="2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jc w:val="both"/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lastRenderedPageBreak/>
              <w:t xml:space="preserve">Projekta izpildē iesaistītās institūcijas </w:t>
            </w:r>
            <w:r w:rsidRPr="00B33642">
              <w:rPr>
                <w:sz w:val="28"/>
                <w:szCs w:val="28"/>
              </w:rPr>
              <w:lastRenderedPageBreak/>
              <w:t>projekta izpildi nodrošina to esošo funkciju un uzdevumu ietvaros.</w:t>
            </w:r>
          </w:p>
        </w:tc>
      </w:tr>
      <w:tr w:rsidR="00F82018" w:rsidRPr="00B33642" w:rsidTr="00764048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Projekta izpildes ietekme uz pārvaldes institucionālo struktūru.</w:t>
            </w:r>
          </w:p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Default="00F82018">
            <w:r w:rsidRPr="00C53433">
              <w:rPr>
                <w:sz w:val="28"/>
                <w:szCs w:val="28"/>
              </w:rPr>
              <w:t>Projekts šo jomu neskar</w:t>
            </w:r>
            <w:r w:rsidR="003B0405">
              <w:rPr>
                <w:sz w:val="28"/>
                <w:szCs w:val="28"/>
              </w:rPr>
              <w:t>.</w:t>
            </w:r>
          </w:p>
        </w:tc>
      </w:tr>
      <w:tr w:rsidR="00F82018" w:rsidRPr="00B33642" w:rsidTr="00764048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4.</w:t>
            </w:r>
          </w:p>
        </w:tc>
        <w:tc>
          <w:tcPr>
            <w:tcW w:w="2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Projekta izpildes ietekme uz pārvaldes institucionālo struktūru.</w:t>
            </w:r>
          </w:p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Default="00F82018">
            <w:r w:rsidRPr="00C53433">
              <w:rPr>
                <w:sz w:val="28"/>
                <w:szCs w:val="28"/>
              </w:rPr>
              <w:t>Projekts šo jomu neskar</w:t>
            </w:r>
            <w:r w:rsidR="003B0405">
              <w:rPr>
                <w:sz w:val="28"/>
                <w:szCs w:val="28"/>
              </w:rPr>
              <w:t>.</w:t>
            </w:r>
          </w:p>
        </w:tc>
      </w:tr>
      <w:tr w:rsidR="00F82018" w:rsidRPr="00B33642" w:rsidTr="00764048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5.</w:t>
            </w:r>
          </w:p>
        </w:tc>
        <w:tc>
          <w:tcPr>
            <w:tcW w:w="2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Projekta izpildes ietekme uz pārvaldes institucionālo struktūru.</w:t>
            </w:r>
          </w:p>
          <w:p w:rsidR="00F82018" w:rsidRPr="00B33642" w:rsidRDefault="00F82018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018" w:rsidRDefault="00F82018">
            <w:r w:rsidRPr="00C53433">
              <w:rPr>
                <w:sz w:val="28"/>
                <w:szCs w:val="28"/>
              </w:rPr>
              <w:t>Projekts šo jomu neskar</w:t>
            </w:r>
            <w:r w:rsidR="003B0405">
              <w:rPr>
                <w:sz w:val="28"/>
                <w:szCs w:val="28"/>
              </w:rPr>
              <w:t>.</w:t>
            </w:r>
          </w:p>
        </w:tc>
      </w:tr>
      <w:tr w:rsidR="00120205" w:rsidRPr="00B33642" w:rsidTr="00764048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6.</w:t>
            </w:r>
          </w:p>
        </w:tc>
        <w:tc>
          <w:tcPr>
            <w:tcW w:w="20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Cita informācija</w:t>
            </w:r>
          </w:p>
        </w:tc>
        <w:tc>
          <w:tcPr>
            <w:tcW w:w="2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205" w:rsidRPr="00B33642" w:rsidRDefault="00120205" w:rsidP="00CC1C05">
            <w:pPr>
              <w:rPr>
                <w:sz w:val="28"/>
                <w:szCs w:val="28"/>
              </w:rPr>
            </w:pPr>
            <w:r w:rsidRPr="00B33642">
              <w:rPr>
                <w:sz w:val="28"/>
                <w:szCs w:val="28"/>
              </w:rPr>
              <w:t>Nav</w:t>
            </w:r>
            <w:r w:rsidR="003B0405">
              <w:rPr>
                <w:sz w:val="28"/>
                <w:szCs w:val="28"/>
              </w:rPr>
              <w:t>.</w:t>
            </w:r>
          </w:p>
        </w:tc>
      </w:tr>
      <w:bookmarkEnd w:id="2"/>
      <w:bookmarkEnd w:id="3"/>
    </w:tbl>
    <w:p w:rsidR="00C00DE8" w:rsidRPr="00B33642" w:rsidRDefault="00C00DE8" w:rsidP="00CC1C05">
      <w:pPr>
        <w:pStyle w:val="naisf"/>
        <w:spacing w:before="0" w:after="0"/>
        <w:ind w:firstLine="0"/>
        <w:rPr>
          <w:sz w:val="28"/>
          <w:szCs w:val="28"/>
        </w:rPr>
      </w:pPr>
    </w:p>
    <w:p w:rsidR="003353C8" w:rsidRPr="00B33642" w:rsidRDefault="003353C8" w:rsidP="00CC1C05">
      <w:pPr>
        <w:pStyle w:val="naisf"/>
        <w:spacing w:before="0" w:after="0"/>
        <w:ind w:firstLine="0"/>
        <w:rPr>
          <w:sz w:val="28"/>
          <w:szCs w:val="28"/>
        </w:rPr>
      </w:pPr>
    </w:p>
    <w:p w:rsidR="00BB1340" w:rsidRPr="00B33642" w:rsidRDefault="00F82018" w:rsidP="00A936AB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39144D" w:rsidRPr="00B33642">
        <w:rPr>
          <w:sz w:val="28"/>
          <w:szCs w:val="28"/>
        </w:rPr>
        <w:tab/>
      </w:r>
      <w:r w:rsidR="0039144D" w:rsidRPr="00B33642">
        <w:rPr>
          <w:sz w:val="28"/>
          <w:szCs w:val="28"/>
        </w:rPr>
        <w:tab/>
      </w:r>
      <w:r w:rsidR="0039144D" w:rsidRPr="00B33642">
        <w:rPr>
          <w:sz w:val="28"/>
          <w:szCs w:val="28"/>
        </w:rPr>
        <w:tab/>
      </w:r>
      <w:r w:rsidR="0039144D" w:rsidRPr="00B33642">
        <w:rPr>
          <w:sz w:val="28"/>
          <w:szCs w:val="28"/>
        </w:rPr>
        <w:tab/>
      </w:r>
      <w:r w:rsidR="0039144D" w:rsidRPr="00B3364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  <w:r w:rsidR="00C00DE8" w:rsidRPr="00B33642">
        <w:rPr>
          <w:sz w:val="28"/>
          <w:szCs w:val="28"/>
        </w:rPr>
        <w:tab/>
      </w:r>
    </w:p>
    <w:p w:rsidR="00093230" w:rsidRDefault="00093230" w:rsidP="00CC1C05">
      <w:pPr>
        <w:rPr>
          <w:sz w:val="28"/>
          <w:szCs w:val="28"/>
          <w:lang w:eastAsia="en-US"/>
        </w:rPr>
      </w:pPr>
    </w:p>
    <w:p w:rsidR="00623ADF" w:rsidRDefault="00623ADF" w:rsidP="00CC1C05">
      <w:pPr>
        <w:rPr>
          <w:sz w:val="28"/>
          <w:szCs w:val="28"/>
          <w:lang w:eastAsia="en-US"/>
        </w:rPr>
      </w:pPr>
    </w:p>
    <w:p w:rsidR="0088741B" w:rsidRDefault="00393972" w:rsidP="0039397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Vīza: valsts sekretārs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M.Gruškevics</w:t>
      </w:r>
    </w:p>
    <w:p w:rsidR="006B0BAF" w:rsidRDefault="006B0BAF" w:rsidP="0078639B">
      <w:pPr>
        <w:rPr>
          <w:sz w:val="28"/>
          <w:szCs w:val="28"/>
          <w:lang w:eastAsia="en-US"/>
        </w:rPr>
      </w:pPr>
    </w:p>
    <w:p w:rsidR="00607CE9" w:rsidRDefault="00607CE9" w:rsidP="0078639B">
      <w:pPr>
        <w:rPr>
          <w:sz w:val="28"/>
          <w:szCs w:val="28"/>
          <w:lang w:eastAsia="en-US"/>
        </w:rPr>
      </w:pPr>
    </w:p>
    <w:p w:rsidR="00607CE9" w:rsidRDefault="00607CE9" w:rsidP="0078639B">
      <w:pPr>
        <w:rPr>
          <w:sz w:val="28"/>
          <w:szCs w:val="28"/>
          <w:lang w:eastAsia="en-US"/>
        </w:rPr>
      </w:pPr>
    </w:p>
    <w:p w:rsidR="00607CE9" w:rsidRDefault="00607CE9" w:rsidP="0078639B">
      <w:pPr>
        <w:rPr>
          <w:sz w:val="28"/>
          <w:szCs w:val="28"/>
          <w:lang w:eastAsia="en-US"/>
        </w:rPr>
      </w:pPr>
    </w:p>
    <w:p w:rsidR="00607CE9" w:rsidRDefault="00607CE9" w:rsidP="0078639B">
      <w:pPr>
        <w:rPr>
          <w:sz w:val="28"/>
          <w:szCs w:val="28"/>
          <w:lang w:eastAsia="en-US"/>
        </w:rPr>
      </w:pPr>
    </w:p>
    <w:p w:rsidR="00607CE9" w:rsidRDefault="00607CE9" w:rsidP="0078639B">
      <w:pPr>
        <w:rPr>
          <w:sz w:val="28"/>
          <w:szCs w:val="28"/>
          <w:lang w:eastAsia="en-US"/>
        </w:rPr>
      </w:pPr>
    </w:p>
    <w:p w:rsidR="00607CE9" w:rsidRDefault="00607CE9" w:rsidP="0078639B">
      <w:pPr>
        <w:rPr>
          <w:sz w:val="28"/>
          <w:szCs w:val="28"/>
          <w:lang w:eastAsia="en-US"/>
        </w:rPr>
      </w:pPr>
    </w:p>
    <w:p w:rsidR="00607CE9" w:rsidRDefault="00607CE9" w:rsidP="0078639B">
      <w:pPr>
        <w:rPr>
          <w:sz w:val="28"/>
          <w:szCs w:val="28"/>
          <w:lang w:eastAsia="en-US"/>
        </w:rPr>
      </w:pPr>
    </w:p>
    <w:p w:rsidR="00607CE9" w:rsidRDefault="00607CE9" w:rsidP="0078639B">
      <w:pPr>
        <w:rPr>
          <w:sz w:val="28"/>
          <w:szCs w:val="28"/>
          <w:lang w:eastAsia="en-US"/>
        </w:rPr>
      </w:pPr>
    </w:p>
    <w:p w:rsidR="00607CE9" w:rsidRDefault="00607CE9" w:rsidP="0078639B">
      <w:pPr>
        <w:rPr>
          <w:sz w:val="28"/>
          <w:szCs w:val="28"/>
          <w:lang w:eastAsia="en-US"/>
        </w:rPr>
      </w:pPr>
    </w:p>
    <w:p w:rsidR="00633197" w:rsidRDefault="00BF1952" w:rsidP="0078639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28</w:t>
      </w:r>
      <w:r w:rsidR="00B46610">
        <w:rPr>
          <w:sz w:val="20"/>
          <w:szCs w:val="20"/>
          <w:lang w:eastAsia="en-US"/>
        </w:rPr>
        <w:t>.09</w:t>
      </w:r>
      <w:r w:rsidR="00A20998">
        <w:rPr>
          <w:sz w:val="20"/>
          <w:szCs w:val="20"/>
          <w:lang w:eastAsia="en-US"/>
        </w:rPr>
        <w:t xml:space="preserve">.2011 </w:t>
      </w:r>
      <w:r w:rsidR="00D05EA5">
        <w:rPr>
          <w:sz w:val="20"/>
          <w:szCs w:val="20"/>
          <w:lang w:eastAsia="en-US"/>
        </w:rPr>
        <w:t>15:11</w:t>
      </w:r>
    </w:p>
    <w:p w:rsidR="00633197" w:rsidRDefault="00507370" w:rsidP="0078639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702</w:t>
      </w:r>
    </w:p>
    <w:p w:rsidR="00633197" w:rsidRDefault="00060929" w:rsidP="0078639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K.Grundmane, 67047943</w:t>
      </w:r>
    </w:p>
    <w:p w:rsidR="00633197" w:rsidRPr="008810BB" w:rsidRDefault="00060929" w:rsidP="0078639B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kristine.grundmane</w:t>
      </w:r>
      <w:r w:rsidR="008810BB" w:rsidRPr="008810BB">
        <w:rPr>
          <w:sz w:val="20"/>
          <w:szCs w:val="20"/>
        </w:rPr>
        <w:t>@izm.gov.lv</w:t>
      </w:r>
    </w:p>
    <w:sectPr w:rsidR="00633197" w:rsidRPr="008810BB" w:rsidSect="00956FC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701" w:header="720" w:footer="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84" w:rsidRDefault="00DE2F84">
      <w:r>
        <w:separator/>
      </w:r>
    </w:p>
  </w:endnote>
  <w:endnote w:type="continuationSeparator" w:id="0">
    <w:p w:rsidR="00DE2F84" w:rsidRDefault="00DE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84" w:rsidRPr="004F0F75" w:rsidRDefault="00DE2F84" w:rsidP="001B5F68">
    <w:pPr>
      <w:jc w:val="both"/>
      <w:rPr>
        <w:bCs/>
        <w:sz w:val="20"/>
        <w:szCs w:val="20"/>
      </w:rPr>
    </w:pPr>
    <w:r>
      <w:rPr>
        <w:sz w:val="20"/>
        <w:szCs w:val="20"/>
      </w:rPr>
      <w:t>IZMAnot_280911_12123</w:t>
    </w:r>
    <w:r w:rsidRPr="00623ADF">
      <w:rPr>
        <w:sz w:val="20"/>
        <w:szCs w:val="20"/>
      </w:rPr>
      <w:t xml:space="preserve">; </w:t>
    </w:r>
    <w:r w:rsidRPr="004F0F75">
      <w:rPr>
        <w:sz w:val="20"/>
        <w:szCs w:val="20"/>
      </w:rPr>
      <w:t>Ministru kabineta noteikumu projekta „</w:t>
    </w:r>
    <w:r w:rsidRPr="004F0F75">
      <w:rPr>
        <w:bCs/>
        <w:sz w:val="20"/>
        <w:szCs w:val="20"/>
      </w:rPr>
      <w:t xml:space="preserve">Grozījumi Ministru kabineta </w:t>
    </w:r>
    <w:r>
      <w:rPr>
        <w:sz w:val="20"/>
        <w:szCs w:val="20"/>
      </w:rPr>
      <w:t>2009</w:t>
    </w:r>
    <w:r w:rsidRPr="004F0F75">
      <w:rPr>
        <w:sz w:val="20"/>
        <w:szCs w:val="20"/>
      </w:rPr>
      <w:t xml:space="preserve">.gada </w:t>
    </w:r>
    <w:r>
      <w:rPr>
        <w:sz w:val="20"/>
        <w:szCs w:val="20"/>
      </w:rPr>
      <w:t>9</w:t>
    </w:r>
    <w:r w:rsidRPr="004F0F75">
      <w:rPr>
        <w:sz w:val="20"/>
        <w:szCs w:val="20"/>
      </w:rPr>
      <w:t>.</w:t>
    </w:r>
    <w:r>
      <w:rPr>
        <w:sz w:val="20"/>
        <w:szCs w:val="20"/>
      </w:rPr>
      <w:t>jūnija</w:t>
    </w:r>
    <w:r w:rsidRPr="004F0F75">
      <w:rPr>
        <w:sz w:val="20"/>
        <w:szCs w:val="20"/>
      </w:rPr>
      <w:t xml:space="preserve"> noteikumos </w:t>
    </w:r>
    <w:r w:rsidRPr="004F0F75">
      <w:rPr>
        <w:bCs/>
        <w:sz w:val="20"/>
        <w:szCs w:val="20"/>
      </w:rPr>
      <w:t>Nr.</w:t>
    </w:r>
    <w:r>
      <w:rPr>
        <w:bCs/>
        <w:sz w:val="20"/>
        <w:szCs w:val="20"/>
      </w:rPr>
      <w:t>521</w:t>
    </w:r>
    <w:r w:rsidRPr="004F0F75">
      <w:rPr>
        <w:bCs/>
        <w:sz w:val="20"/>
        <w:szCs w:val="20"/>
      </w:rPr>
      <w:t xml:space="preserve"> </w:t>
    </w:r>
    <w:r w:rsidRPr="004F0F75">
      <w:rPr>
        <w:sz w:val="20"/>
        <w:szCs w:val="20"/>
      </w:rPr>
      <w:t>„Noteikumi par darbības programmas “Cilvēkresursi un nodarbinātība” papildinājuma 1.</w:t>
    </w:r>
    <w:r>
      <w:rPr>
        <w:sz w:val="20"/>
        <w:szCs w:val="20"/>
      </w:rPr>
      <w:t>2.1.2.3</w:t>
    </w:r>
    <w:r w:rsidRPr="004F0F75">
      <w:rPr>
        <w:sz w:val="20"/>
        <w:szCs w:val="20"/>
      </w:rPr>
      <w:t>.</w:t>
    </w:r>
    <w:r>
      <w:rPr>
        <w:sz w:val="20"/>
        <w:szCs w:val="20"/>
      </w:rPr>
      <w:t>apakšaktivitāti „Vispārējās izglītības pedagogu kompetences paaugstināšana un prasmju atjaunošana</w:t>
    </w:r>
    <w:r w:rsidRPr="004F0F75">
      <w:rPr>
        <w:sz w:val="20"/>
        <w:szCs w:val="20"/>
      </w:rPr>
      <w:t>””</w:t>
    </w:r>
    <w:r>
      <w:rPr>
        <w:sz w:val="20"/>
        <w:szCs w:val="20"/>
      </w:rPr>
      <w:t xml:space="preserve"> </w:t>
    </w:r>
    <w:r w:rsidRPr="004F0F75">
      <w:rPr>
        <w:sz w:val="20"/>
        <w:szCs w:val="20"/>
      </w:rPr>
      <w:t>sākotnējās ietekmes novērtējuma ziņojums (anotācija)</w:t>
    </w:r>
  </w:p>
  <w:p w:rsidR="00DE2F84" w:rsidRPr="00623ADF" w:rsidRDefault="00DE2F84" w:rsidP="004F0F75">
    <w:pPr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84" w:rsidRPr="004F0F75" w:rsidRDefault="00DE2F84" w:rsidP="004F0F75">
    <w:pPr>
      <w:jc w:val="both"/>
      <w:rPr>
        <w:bCs/>
        <w:sz w:val="20"/>
        <w:szCs w:val="20"/>
      </w:rPr>
    </w:pPr>
    <w:r>
      <w:rPr>
        <w:sz w:val="20"/>
        <w:szCs w:val="20"/>
      </w:rPr>
      <w:t>IZMAnot_280911_12123</w:t>
    </w:r>
    <w:r w:rsidRPr="00623ADF">
      <w:rPr>
        <w:sz w:val="20"/>
        <w:szCs w:val="20"/>
      </w:rPr>
      <w:t xml:space="preserve">; </w:t>
    </w:r>
    <w:r w:rsidRPr="004F0F75">
      <w:rPr>
        <w:sz w:val="20"/>
        <w:szCs w:val="20"/>
      </w:rPr>
      <w:t>Ministru kabineta noteikumu projekta „</w:t>
    </w:r>
    <w:r w:rsidRPr="004F0F75">
      <w:rPr>
        <w:bCs/>
        <w:sz w:val="20"/>
        <w:szCs w:val="20"/>
      </w:rPr>
      <w:t xml:space="preserve">Grozījumi Ministru kabineta </w:t>
    </w:r>
    <w:r>
      <w:rPr>
        <w:sz w:val="20"/>
        <w:szCs w:val="20"/>
      </w:rPr>
      <w:t>2009</w:t>
    </w:r>
    <w:r w:rsidRPr="004F0F75">
      <w:rPr>
        <w:sz w:val="20"/>
        <w:szCs w:val="20"/>
      </w:rPr>
      <w:t xml:space="preserve">.gada </w:t>
    </w:r>
    <w:r>
      <w:rPr>
        <w:sz w:val="20"/>
        <w:szCs w:val="20"/>
      </w:rPr>
      <w:t>9</w:t>
    </w:r>
    <w:r w:rsidRPr="004F0F75">
      <w:rPr>
        <w:sz w:val="20"/>
        <w:szCs w:val="20"/>
      </w:rPr>
      <w:t>.</w:t>
    </w:r>
    <w:r>
      <w:rPr>
        <w:sz w:val="20"/>
        <w:szCs w:val="20"/>
      </w:rPr>
      <w:t>jūnija</w:t>
    </w:r>
    <w:r w:rsidRPr="004F0F75">
      <w:rPr>
        <w:sz w:val="20"/>
        <w:szCs w:val="20"/>
      </w:rPr>
      <w:t xml:space="preserve"> noteikumos </w:t>
    </w:r>
    <w:r w:rsidRPr="004F0F75">
      <w:rPr>
        <w:bCs/>
        <w:sz w:val="20"/>
        <w:szCs w:val="20"/>
      </w:rPr>
      <w:t>Nr.</w:t>
    </w:r>
    <w:r>
      <w:rPr>
        <w:bCs/>
        <w:sz w:val="20"/>
        <w:szCs w:val="20"/>
      </w:rPr>
      <w:t>521</w:t>
    </w:r>
    <w:r w:rsidRPr="004F0F75">
      <w:rPr>
        <w:bCs/>
        <w:sz w:val="20"/>
        <w:szCs w:val="20"/>
      </w:rPr>
      <w:t xml:space="preserve"> </w:t>
    </w:r>
    <w:r w:rsidRPr="004F0F75">
      <w:rPr>
        <w:sz w:val="20"/>
        <w:szCs w:val="20"/>
      </w:rPr>
      <w:t>„Noteikumi par darbības programmas “Cilvēkresursi un nodarbinātība” papildinājuma 1.</w:t>
    </w:r>
    <w:r>
      <w:rPr>
        <w:sz w:val="20"/>
        <w:szCs w:val="20"/>
      </w:rPr>
      <w:t>2.1.2.3</w:t>
    </w:r>
    <w:r w:rsidRPr="004F0F75">
      <w:rPr>
        <w:sz w:val="20"/>
        <w:szCs w:val="20"/>
      </w:rPr>
      <w:t>.</w:t>
    </w:r>
    <w:r>
      <w:rPr>
        <w:sz w:val="20"/>
        <w:szCs w:val="20"/>
      </w:rPr>
      <w:t>apakšaktivitāti „Vispārējās izglītības pedagogu kompetences paaugstināšana un prasmju atjaunošana</w:t>
    </w:r>
    <w:r w:rsidRPr="004F0F75">
      <w:rPr>
        <w:sz w:val="20"/>
        <w:szCs w:val="20"/>
      </w:rPr>
      <w:t>””</w:t>
    </w:r>
    <w:r>
      <w:rPr>
        <w:sz w:val="20"/>
        <w:szCs w:val="20"/>
      </w:rPr>
      <w:t xml:space="preserve"> </w:t>
    </w:r>
    <w:r w:rsidRPr="004F0F75">
      <w:rPr>
        <w:sz w:val="20"/>
        <w:szCs w:val="20"/>
      </w:rPr>
      <w:t>sākotnējās ietekmes novērtējuma ziņojums (anotācija)</w:t>
    </w:r>
  </w:p>
  <w:p w:rsidR="00DE2F84" w:rsidRPr="00623ADF" w:rsidRDefault="00DE2F84" w:rsidP="004F0F75">
    <w:pPr>
      <w:jc w:val="both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84" w:rsidRDefault="00DE2F84">
      <w:r>
        <w:separator/>
      </w:r>
    </w:p>
  </w:footnote>
  <w:footnote w:type="continuationSeparator" w:id="0">
    <w:p w:rsidR="00DE2F84" w:rsidRDefault="00DE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84" w:rsidRDefault="000638F7" w:rsidP="007A18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2F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F84" w:rsidRDefault="00DE2F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84" w:rsidRPr="001B31B4" w:rsidRDefault="000638F7" w:rsidP="007A18D8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1B31B4">
      <w:rPr>
        <w:rStyle w:val="PageNumber"/>
        <w:sz w:val="28"/>
        <w:szCs w:val="28"/>
      </w:rPr>
      <w:fldChar w:fldCharType="begin"/>
    </w:r>
    <w:r w:rsidR="00DE2F84" w:rsidRPr="001B31B4">
      <w:rPr>
        <w:rStyle w:val="PageNumber"/>
        <w:sz w:val="28"/>
        <w:szCs w:val="28"/>
      </w:rPr>
      <w:instrText xml:space="preserve">PAGE  </w:instrText>
    </w:r>
    <w:r w:rsidRPr="001B31B4">
      <w:rPr>
        <w:rStyle w:val="PageNumber"/>
        <w:sz w:val="28"/>
        <w:szCs w:val="28"/>
      </w:rPr>
      <w:fldChar w:fldCharType="separate"/>
    </w:r>
    <w:r w:rsidR="00D05EA5">
      <w:rPr>
        <w:rStyle w:val="PageNumber"/>
        <w:noProof/>
        <w:sz w:val="28"/>
        <w:szCs w:val="28"/>
      </w:rPr>
      <w:t>4</w:t>
    </w:r>
    <w:r w:rsidRPr="001B31B4">
      <w:rPr>
        <w:rStyle w:val="PageNumber"/>
        <w:sz w:val="28"/>
        <w:szCs w:val="28"/>
      </w:rPr>
      <w:fldChar w:fldCharType="end"/>
    </w:r>
  </w:p>
  <w:p w:rsidR="00DE2F84" w:rsidRDefault="00DE2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6D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8026EE"/>
    <w:multiLevelType w:val="hybridMultilevel"/>
    <w:tmpl w:val="1BA61BAC"/>
    <w:lvl w:ilvl="0" w:tplc="B38A3B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64E1D"/>
    <w:multiLevelType w:val="hybridMultilevel"/>
    <w:tmpl w:val="0D2EDDA4"/>
    <w:lvl w:ilvl="0" w:tplc="34B2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C7021"/>
    <w:multiLevelType w:val="hybridMultilevel"/>
    <w:tmpl w:val="6E38BC4A"/>
    <w:lvl w:ilvl="0" w:tplc="34B2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14312"/>
    <w:multiLevelType w:val="hybridMultilevel"/>
    <w:tmpl w:val="2D244394"/>
    <w:lvl w:ilvl="0" w:tplc="0D64FF78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281C6D83"/>
    <w:multiLevelType w:val="hybridMultilevel"/>
    <w:tmpl w:val="3A2AC2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0587"/>
    <w:multiLevelType w:val="hybridMultilevel"/>
    <w:tmpl w:val="62D86CEE"/>
    <w:lvl w:ilvl="0" w:tplc="C78E485C">
      <w:start w:val="1"/>
      <w:numFmt w:val="decimal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>
    <w:nsid w:val="3DE238C5"/>
    <w:multiLevelType w:val="multilevel"/>
    <w:tmpl w:val="7900895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F253CBB"/>
    <w:multiLevelType w:val="hybridMultilevel"/>
    <w:tmpl w:val="7032CA06"/>
    <w:lvl w:ilvl="0" w:tplc="915AB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F7D99"/>
    <w:multiLevelType w:val="hybridMultilevel"/>
    <w:tmpl w:val="7B0E266E"/>
    <w:lvl w:ilvl="0" w:tplc="41C0B260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7799E"/>
    <w:multiLevelType w:val="hybridMultilevel"/>
    <w:tmpl w:val="FB8E22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10C93"/>
    <w:multiLevelType w:val="hybridMultilevel"/>
    <w:tmpl w:val="8826A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F1"/>
    <w:rsid w:val="00003A4A"/>
    <w:rsid w:val="00003DF1"/>
    <w:rsid w:val="000041B3"/>
    <w:rsid w:val="00004485"/>
    <w:rsid w:val="000072C7"/>
    <w:rsid w:val="00011055"/>
    <w:rsid w:val="00013F92"/>
    <w:rsid w:val="00026B46"/>
    <w:rsid w:val="00031225"/>
    <w:rsid w:val="00040098"/>
    <w:rsid w:val="0004322B"/>
    <w:rsid w:val="000434F7"/>
    <w:rsid w:val="0004353D"/>
    <w:rsid w:val="00043F2E"/>
    <w:rsid w:val="00045266"/>
    <w:rsid w:val="00051D79"/>
    <w:rsid w:val="00052C42"/>
    <w:rsid w:val="000567BE"/>
    <w:rsid w:val="00060929"/>
    <w:rsid w:val="00062B7D"/>
    <w:rsid w:val="000638F7"/>
    <w:rsid w:val="00066BF2"/>
    <w:rsid w:val="00073D9B"/>
    <w:rsid w:val="00074068"/>
    <w:rsid w:val="00074F17"/>
    <w:rsid w:val="0008199D"/>
    <w:rsid w:val="00082233"/>
    <w:rsid w:val="00083F48"/>
    <w:rsid w:val="000909F0"/>
    <w:rsid w:val="000916C2"/>
    <w:rsid w:val="0009260C"/>
    <w:rsid w:val="00093230"/>
    <w:rsid w:val="00094205"/>
    <w:rsid w:val="000A1EA2"/>
    <w:rsid w:val="000A20DE"/>
    <w:rsid w:val="000A4CD5"/>
    <w:rsid w:val="000A59EB"/>
    <w:rsid w:val="000B4554"/>
    <w:rsid w:val="000B634A"/>
    <w:rsid w:val="000C44DE"/>
    <w:rsid w:val="000C6BC6"/>
    <w:rsid w:val="000C6BF4"/>
    <w:rsid w:val="000D015C"/>
    <w:rsid w:val="000D0673"/>
    <w:rsid w:val="000D07B8"/>
    <w:rsid w:val="000D0CEB"/>
    <w:rsid w:val="000D2BB1"/>
    <w:rsid w:val="000D35B1"/>
    <w:rsid w:val="000D4345"/>
    <w:rsid w:val="000D5EAA"/>
    <w:rsid w:val="000E3C76"/>
    <w:rsid w:val="000E4034"/>
    <w:rsid w:val="000E46F1"/>
    <w:rsid w:val="000E7848"/>
    <w:rsid w:val="000F1627"/>
    <w:rsid w:val="000F3109"/>
    <w:rsid w:val="000F395B"/>
    <w:rsid w:val="000F3A05"/>
    <w:rsid w:val="000F652B"/>
    <w:rsid w:val="000F7AC5"/>
    <w:rsid w:val="00102595"/>
    <w:rsid w:val="00103401"/>
    <w:rsid w:val="00103A51"/>
    <w:rsid w:val="00104A6A"/>
    <w:rsid w:val="00106949"/>
    <w:rsid w:val="00110078"/>
    <w:rsid w:val="001107AE"/>
    <w:rsid w:val="00111A18"/>
    <w:rsid w:val="00111D50"/>
    <w:rsid w:val="00114609"/>
    <w:rsid w:val="001150A9"/>
    <w:rsid w:val="00115D6C"/>
    <w:rsid w:val="00120205"/>
    <w:rsid w:val="001300D4"/>
    <w:rsid w:val="0013479E"/>
    <w:rsid w:val="0013546E"/>
    <w:rsid w:val="00136CDC"/>
    <w:rsid w:val="001465D5"/>
    <w:rsid w:val="001474F9"/>
    <w:rsid w:val="00153310"/>
    <w:rsid w:val="00154D30"/>
    <w:rsid w:val="001552DB"/>
    <w:rsid w:val="00160298"/>
    <w:rsid w:val="00166EBF"/>
    <w:rsid w:val="00171E51"/>
    <w:rsid w:val="001723E2"/>
    <w:rsid w:val="00173E50"/>
    <w:rsid w:val="001747C1"/>
    <w:rsid w:val="00175589"/>
    <w:rsid w:val="001826F6"/>
    <w:rsid w:val="00182DA2"/>
    <w:rsid w:val="0018421B"/>
    <w:rsid w:val="001846EF"/>
    <w:rsid w:val="00185CD4"/>
    <w:rsid w:val="00187379"/>
    <w:rsid w:val="00190604"/>
    <w:rsid w:val="00192819"/>
    <w:rsid w:val="0019584C"/>
    <w:rsid w:val="0019616D"/>
    <w:rsid w:val="001A0F6D"/>
    <w:rsid w:val="001A3529"/>
    <w:rsid w:val="001A3DC4"/>
    <w:rsid w:val="001A58DE"/>
    <w:rsid w:val="001A701A"/>
    <w:rsid w:val="001B31B4"/>
    <w:rsid w:val="001B50A8"/>
    <w:rsid w:val="001B5F68"/>
    <w:rsid w:val="001B6EB2"/>
    <w:rsid w:val="001B70D8"/>
    <w:rsid w:val="001C0AAD"/>
    <w:rsid w:val="001C1F84"/>
    <w:rsid w:val="001C400A"/>
    <w:rsid w:val="001D0F0E"/>
    <w:rsid w:val="001D1B8E"/>
    <w:rsid w:val="001D6C80"/>
    <w:rsid w:val="001E465C"/>
    <w:rsid w:val="001E46EA"/>
    <w:rsid w:val="001F07F4"/>
    <w:rsid w:val="001F3A07"/>
    <w:rsid w:val="00202016"/>
    <w:rsid w:val="0020397D"/>
    <w:rsid w:val="00204451"/>
    <w:rsid w:val="00207CD1"/>
    <w:rsid w:val="00213B77"/>
    <w:rsid w:val="002154D3"/>
    <w:rsid w:val="00232AF9"/>
    <w:rsid w:val="00237FAE"/>
    <w:rsid w:val="00240B7F"/>
    <w:rsid w:val="002456E9"/>
    <w:rsid w:val="002466C1"/>
    <w:rsid w:val="00247C53"/>
    <w:rsid w:val="00251756"/>
    <w:rsid w:val="00254519"/>
    <w:rsid w:val="00255A5E"/>
    <w:rsid w:val="002619AE"/>
    <w:rsid w:val="00262168"/>
    <w:rsid w:val="00264731"/>
    <w:rsid w:val="00265991"/>
    <w:rsid w:val="00265C1D"/>
    <w:rsid w:val="00281F44"/>
    <w:rsid w:val="00282BF8"/>
    <w:rsid w:val="002831CE"/>
    <w:rsid w:val="002843A7"/>
    <w:rsid w:val="00284852"/>
    <w:rsid w:val="002850D6"/>
    <w:rsid w:val="00287818"/>
    <w:rsid w:val="0029326E"/>
    <w:rsid w:val="00294BDB"/>
    <w:rsid w:val="002A20AC"/>
    <w:rsid w:val="002B0C91"/>
    <w:rsid w:val="002C050C"/>
    <w:rsid w:val="002C2EE8"/>
    <w:rsid w:val="002C37B2"/>
    <w:rsid w:val="002C783B"/>
    <w:rsid w:val="002C78C3"/>
    <w:rsid w:val="002C7C03"/>
    <w:rsid w:val="002D1D2B"/>
    <w:rsid w:val="002E09BC"/>
    <w:rsid w:val="002E27D1"/>
    <w:rsid w:val="002E33CF"/>
    <w:rsid w:val="002E6EA5"/>
    <w:rsid w:val="002F4586"/>
    <w:rsid w:val="002F5082"/>
    <w:rsid w:val="002F580A"/>
    <w:rsid w:val="002F5A56"/>
    <w:rsid w:val="002F6715"/>
    <w:rsid w:val="00302EBF"/>
    <w:rsid w:val="00305ACE"/>
    <w:rsid w:val="00320539"/>
    <w:rsid w:val="003230FE"/>
    <w:rsid w:val="00327952"/>
    <w:rsid w:val="00331D94"/>
    <w:rsid w:val="003324C5"/>
    <w:rsid w:val="003353C8"/>
    <w:rsid w:val="00340A7F"/>
    <w:rsid w:val="0034131E"/>
    <w:rsid w:val="003436B7"/>
    <w:rsid w:val="00344D5C"/>
    <w:rsid w:val="00345979"/>
    <w:rsid w:val="00346F9D"/>
    <w:rsid w:val="00350D96"/>
    <w:rsid w:val="00350E74"/>
    <w:rsid w:val="0035225F"/>
    <w:rsid w:val="003531FC"/>
    <w:rsid w:val="00361024"/>
    <w:rsid w:val="003665F9"/>
    <w:rsid w:val="003712BD"/>
    <w:rsid w:val="00375DD7"/>
    <w:rsid w:val="003811DA"/>
    <w:rsid w:val="00387D83"/>
    <w:rsid w:val="0039078A"/>
    <w:rsid w:val="0039144D"/>
    <w:rsid w:val="0039171D"/>
    <w:rsid w:val="00391FFB"/>
    <w:rsid w:val="00393972"/>
    <w:rsid w:val="00393EFE"/>
    <w:rsid w:val="00394B38"/>
    <w:rsid w:val="00396CF0"/>
    <w:rsid w:val="00397D38"/>
    <w:rsid w:val="003A646B"/>
    <w:rsid w:val="003B0405"/>
    <w:rsid w:val="003B20CA"/>
    <w:rsid w:val="003B71AB"/>
    <w:rsid w:val="003D4AC1"/>
    <w:rsid w:val="003D752F"/>
    <w:rsid w:val="003E16FB"/>
    <w:rsid w:val="003E59B3"/>
    <w:rsid w:val="003E6DB2"/>
    <w:rsid w:val="003E797A"/>
    <w:rsid w:val="003F3075"/>
    <w:rsid w:val="003F6312"/>
    <w:rsid w:val="00401134"/>
    <w:rsid w:val="00401F64"/>
    <w:rsid w:val="00406F33"/>
    <w:rsid w:val="004149FD"/>
    <w:rsid w:val="0041739E"/>
    <w:rsid w:val="004203A1"/>
    <w:rsid w:val="00421D79"/>
    <w:rsid w:val="00423AB7"/>
    <w:rsid w:val="0042462D"/>
    <w:rsid w:val="00425B9E"/>
    <w:rsid w:val="004307A1"/>
    <w:rsid w:val="00430929"/>
    <w:rsid w:val="00435B4D"/>
    <w:rsid w:val="004364FF"/>
    <w:rsid w:val="004401A3"/>
    <w:rsid w:val="0044083F"/>
    <w:rsid w:val="004506AA"/>
    <w:rsid w:val="00450855"/>
    <w:rsid w:val="004545F6"/>
    <w:rsid w:val="004652E4"/>
    <w:rsid w:val="00466005"/>
    <w:rsid w:val="004671A1"/>
    <w:rsid w:val="00467342"/>
    <w:rsid w:val="00471509"/>
    <w:rsid w:val="0048182F"/>
    <w:rsid w:val="004873A1"/>
    <w:rsid w:val="00490067"/>
    <w:rsid w:val="004975B5"/>
    <w:rsid w:val="00497F90"/>
    <w:rsid w:val="004A05FD"/>
    <w:rsid w:val="004A165F"/>
    <w:rsid w:val="004B1683"/>
    <w:rsid w:val="004B286F"/>
    <w:rsid w:val="004C325D"/>
    <w:rsid w:val="004C392B"/>
    <w:rsid w:val="004C4714"/>
    <w:rsid w:val="004C4E31"/>
    <w:rsid w:val="004C524A"/>
    <w:rsid w:val="004C53B1"/>
    <w:rsid w:val="004C646F"/>
    <w:rsid w:val="004D332E"/>
    <w:rsid w:val="004D422E"/>
    <w:rsid w:val="004F0D2F"/>
    <w:rsid w:val="004F0F75"/>
    <w:rsid w:val="004F1F0D"/>
    <w:rsid w:val="004F499A"/>
    <w:rsid w:val="004F6A44"/>
    <w:rsid w:val="005062CA"/>
    <w:rsid w:val="00506B29"/>
    <w:rsid w:val="00507370"/>
    <w:rsid w:val="005171D2"/>
    <w:rsid w:val="005200AE"/>
    <w:rsid w:val="00523225"/>
    <w:rsid w:val="00526890"/>
    <w:rsid w:val="00530C71"/>
    <w:rsid w:val="00531F00"/>
    <w:rsid w:val="0053328A"/>
    <w:rsid w:val="00533532"/>
    <w:rsid w:val="00535B0E"/>
    <w:rsid w:val="005360CF"/>
    <w:rsid w:val="00542393"/>
    <w:rsid w:val="00544BD6"/>
    <w:rsid w:val="00550D75"/>
    <w:rsid w:val="00554397"/>
    <w:rsid w:val="00563A1F"/>
    <w:rsid w:val="00565821"/>
    <w:rsid w:val="00571D22"/>
    <w:rsid w:val="0057300C"/>
    <w:rsid w:val="00574CDE"/>
    <w:rsid w:val="00575494"/>
    <w:rsid w:val="005764F0"/>
    <w:rsid w:val="005820E6"/>
    <w:rsid w:val="0058510F"/>
    <w:rsid w:val="0058563F"/>
    <w:rsid w:val="00585716"/>
    <w:rsid w:val="00585B31"/>
    <w:rsid w:val="0058612E"/>
    <w:rsid w:val="005928DB"/>
    <w:rsid w:val="00594B39"/>
    <w:rsid w:val="005956F0"/>
    <w:rsid w:val="00596CA5"/>
    <w:rsid w:val="005A3EB6"/>
    <w:rsid w:val="005A4484"/>
    <w:rsid w:val="005B1A22"/>
    <w:rsid w:val="005B25D0"/>
    <w:rsid w:val="005B3052"/>
    <w:rsid w:val="005B4236"/>
    <w:rsid w:val="005B5F25"/>
    <w:rsid w:val="005C0904"/>
    <w:rsid w:val="005C3951"/>
    <w:rsid w:val="005C7FF1"/>
    <w:rsid w:val="005D0766"/>
    <w:rsid w:val="005D07BB"/>
    <w:rsid w:val="005D3ACA"/>
    <w:rsid w:val="005D6663"/>
    <w:rsid w:val="005E3972"/>
    <w:rsid w:val="005E50EE"/>
    <w:rsid w:val="005E53C8"/>
    <w:rsid w:val="005F49AC"/>
    <w:rsid w:val="005F6C6B"/>
    <w:rsid w:val="00600B6B"/>
    <w:rsid w:val="0060324C"/>
    <w:rsid w:val="00605378"/>
    <w:rsid w:val="00605DAC"/>
    <w:rsid w:val="006079CF"/>
    <w:rsid w:val="00607CE9"/>
    <w:rsid w:val="006111E9"/>
    <w:rsid w:val="006112A2"/>
    <w:rsid w:val="006123F0"/>
    <w:rsid w:val="00613602"/>
    <w:rsid w:val="00614EC7"/>
    <w:rsid w:val="00615A08"/>
    <w:rsid w:val="00615BD4"/>
    <w:rsid w:val="00620CA8"/>
    <w:rsid w:val="006220E5"/>
    <w:rsid w:val="00623ADF"/>
    <w:rsid w:val="0062434D"/>
    <w:rsid w:val="0062679C"/>
    <w:rsid w:val="00633197"/>
    <w:rsid w:val="0063606A"/>
    <w:rsid w:val="00636907"/>
    <w:rsid w:val="00636AE9"/>
    <w:rsid w:val="00636D14"/>
    <w:rsid w:val="00645540"/>
    <w:rsid w:val="006543C9"/>
    <w:rsid w:val="00655F0A"/>
    <w:rsid w:val="0065719D"/>
    <w:rsid w:val="00661485"/>
    <w:rsid w:val="00666B15"/>
    <w:rsid w:val="00666E4D"/>
    <w:rsid w:val="006701D9"/>
    <w:rsid w:val="006718ED"/>
    <w:rsid w:val="00673F25"/>
    <w:rsid w:val="0067400E"/>
    <w:rsid w:val="00675E0E"/>
    <w:rsid w:val="006831FB"/>
    <w:rsid w:val="006910EF"/>
    <w:rsid w:val="00691C67"/>
    <w:rsid w:val="00692D4C"/>
    <w:rsid w:val="00695155"/>
    <w:rsid w:val="006A1494"/>
    <w:rsid w:val="006A6D2A"/>
    <w:rsid w:val="006A7845"/>
    <w:rsid w:val="006A7EFC"/>
    <w:rsid w:val="006B0BAF"/>
    <w:rsid w:val="006B4312"/>
    <w:rsid w:val="006C46A3"/>
    <w:rsid w:val="006D273B"/>
    <w:rsid w:val="006D6A63"/>
    <w:rsid w:val="006E0C85"/>
    <w:rsid w:val="006E320A"/>
    <w:rsid w:val="006E47F6"/>
    <w:rsid w:val="006E5B9A"/>
    <w:rsid w:val="006E6A4B"/>
    <w:rsid w:val="006F0B91"/>
    <w:rsid w:val="006F29D7"/>
    <w:rsid w:val="006F2D02"/>
    <w:rsid w:val="006F2D76"/>
    <w:rsid w:val="006F2E29"/>
    <w:rsid w:val="006F40D9"/>
    <w:rsid w:val="006F5168"/>
    <w:rsid w:val="006F5A0C"/>
    <w:rsid w:val="007008F5"/>
    <w:rsid w:val="00702C74"/>
    <w:rsid w:val="00703B19"/>
    <w:rsid w:val="0070670D"/>
    <w:rsid w:val="00706EFD"/>
    <w:rsid w:val="007107FB"/>
    <w:rsid w:val="007151A1"/>
    <w:rsid w:val="007155D8"/>
    <w:rsid w:val="00721608"/>
    <w:rsid w:val="007237FD"/>
    <w:rsid w:val="0072794C"/>
    <w:rsid w:val="00733BD6"/>
    <w:rsid w:val="007342CE"/>
    <w:rsid w:val="0073673E"/>
    <w:rsid w:val="0074385D"/>
    <w:rsid w:val="00743B80"/>
    <w:rsid w:val="0074421E"/>
    <w:rsid w:val="007443EE"/>
    <w:rsid w:val="00744FB6"/>
    <w:rsid w:val="007506B6"/>
    <w:rsid w:val="00751CEE"/>
    <w:rsid w:val="00752A2F"/>
    <w:rsid w:val="00753845"/>
    <w:rsid w:val="00754631"/>
    <w:rsid w:val="00761571"/>
    <w:rsid w:val="00762540"/>
    <w:rsid w:val="00764048"/>
    <w:rsid w:val="0077170A"/>
    <w:rsid w:val="00772074"/>
    <w:rsid w:val="0077294D"/>
    <w:rsid w:val="00774FF9"/>
    <w:rsid w:val="007757DC"/>
    <w:rsid w:val="007762D6"/>
    <w:rsid w:val="00777470"/>
    <w:rsid w:val="00783F63"/>
    <w:rsid w:val="0078639B"/>
    <w:rsid w:val="00792528"/>
    <w:rsid w:val="00795811"/>
    <w:rsid w:val="007A0316"/>
    <w:rsid w:val="007A05CC"/>
    <w:rsid w:val="007A0E62"/>
    <w:rsid w:val="007A18D8"/>
    <w:rsid w:val="007A5BA4"/>
    <w:rsid w:val="007A6871"/>
    <w:rsid w:val="007B06B5"/>
    <w:rsid w:val="007B7092"/>
    <w:rsid w:val="007C2671"/>
    <w:rsid w:val="007D1E84"/>
    <w:rsid w:val="007D5E07"/>
    <w:rsid w:val="007D6618"/>
    <w:rsid w:val="007D79B4"/>
    <w:rsid w:val="007E02DF"/>
    <w:rsid w:val="007E4C4F"/>
    <w:rsid w:val="007E6607"/>
    <w:rsid w:val="007E69B6"/>
    <w:rsid w:val="007E7112"/>
    <w:rsid w:val="007F3E9D"/>
    <w:rsid w:val="007F6471"/>
    <w:rsid w:val="0080236D"/>
    <w:rsid w:val="00804DAE"/>
    <w:rsid w:val="008056B4"/>
    <w:rsid w:val="008105E5"/>
    <w:rsid w:val="00811664"/>
    <w:rsid w:val="00811706"/>
    <w:rsid w:val="00813A66"/>
    <w:rsid w:val="0081716F"/>
    <w:rsid w:val="0082263A"/>
    <w:rsid w:val="008230E5"/>
    <w:rsid w:val="008256B2"/>
    <w:rsid w:val="00830A73"/>
    <w:rsid w:val="00833E5E"/>
    <w:rsid w:val="00836573"/>
    <w:rsid w:val="00841F57"/>
    <w:rsid w:val="00844A39"/>
    <w:rsid w:val="0085033E"/>
    <w:rsid w:val="00853839"/>
    <w:rsid w:val="00854294"/>
    <w:rsid w:val="0085453F"/>
    <w:rsid w:val="00854C74"/>
    <w:rsid w:val="0085762C"/>
    <w:rsid w:val="00857B73"/>
    <w:rsid w:val="00860474"/>
    <w:rsid w:val="0086223F"/>
    <w:rsid w:val="00863003"/>
    <w:rsid w:val="00865FF5"/>
    <w:rsid w:val="008660F9"/>
    <w:rsid w:val="00870C97"/>
    <w:rsid w:val="00872AC8"/>
    <w:rsid w:val="00875F83"/>
    <w:rsid w:val="008761BE"/>
    <w:rsid w:val="00876C17"/>
    <w:rsid w:val="008800F2"/>
    <w:rsid w:val="008810BB"/>
    <w:rsid w:val="008866CE"/>
    <w:rsid w:val="0088741B"/>
    <w:rsid w:val="00890E83"/>
    <w:rsid w:val="00892F6E"/>
    <w:rsid w:val="00894DB1"/>
    <w:rsid w:val="0089608D"/>
    <w:rsid w:val="008A115A"/>
    <w:rsid w:val="008A344C"/>
    <w:rsid w:val="008A53EC"/>
    <w:rsid w:val="008A5B3C"/>
    <w:rsid w:val="008B00C9"/>
    <w:rsid w:val="008D0522"/>
    <w:rsid w:val="008D6823"/>
    <w:rsid w:val="008D6886"/>
    <w:rsid w:val="008D6972"/>
    <w:rsid w:val="008D781E"/>
    <w:rsid w:val="008F004A"/>
    <w:rsid w:val="008F48DA"/>
    <w:rsid w:val="008F5B25"/>
    <w:rsid w:val="008F62A6"/>
    <w:rsid w:val="008F7D88"/>
    <w:rsid w:val="00901D13"/>
    <w:rsid w:val="00901F94"/>
    <w:rsid w:val="00910CEC"/>
    <w:rsid w:val="00913D78"/>
    <w:rsid w:val="00913E83"/>
    <w:rsid w:val="00914BE7"/>
    <w:rsid w:val="00914DBF"/>
    <w:rsid w:val="00915AAF"/>
    <w:rsid w:val="00920284"/>
    <w:rsid w:val="00922A10"/>
    <w:rsid w:val="0092643E"/>
    <w:rsid w:val="009276FC"/>
    <w:rsid w:val="009313E0"/>
    <w:rsid w:val="0093341B"/>
    <w:rsid w:val="009368F4"/>
    <w:rsid w:val="009374D1"/>
    <w:rsid w:val="0093774A"/>
    <w:rsid w:val="0094142D"/>
    <w:rsid w:val="0094295B"/>
    <w:rsid w:val="009500FA"/>
    <w:rsid w:val="00951AF2"/>
    <w:rsid w:val="00951F58"/>
    <w:rsid w:val="009527BA"/>
    <w:rsid w:val="00952BDB"/>
    <w:rsid w:val="0095368E"/>
    <w:rsid w:val="00953E15"/>
    <w:rsid w:val="009544B0"/>
    <w:rsid w:val="009554EE"/>
    <w:rsid w:val="009556FF"/>
    <w:rsid w:val="009564AE"/>
    <w:rsid w:val="00956EC8"/>
    <w:rsid w:val="00956FC6"/>
    <w:rsid w:val="00957D5D"/>
    <w:rsid w:val="009607FB"/>
    <w:rsid w:val="009612E2"/>
    <w:rsid w:val="00963493"/>
    <w:rsid w:val="009747A7"/>
    <w:rsid w:val="009762F0"/>
    <w:rsid w:val="00976CA7"/>
    <w:rsid w:val="00980A17"/>
    <w:rsid w:val="009819FA"/>
    <w:rsid w:val="00982EA0"/>
    <w:rsid w:val="00994C56"/>
    <w:rsid w:val="00994FEC"/>
    <w:rsid w:val="009A4AE9"/>
    <w:rsid w:val="009A5087"/>
    <w:rsid w:val="009A5E43"/>
    <w:rsid w:val="009A7A78"/>
    <w:rsid w:val="009B123C"/>
    <w:rsid w:val="009B6505"/>
    <w:rsid w:val="009B79F7"/>
    <w:rsid w:val="009C4625"/>
    <w:rsid w:val="009C64EC"/>
    <w:rsid w:val="009C6D36"/>
    <w:rsid w:val="009C740A"/>
    <w:rsid w:val="009D6308"/>
    <w:rsid w:val="009E3634"/>
    <w:rsid w:val="009E526D"/>
    <w:rsid w:val="009E55E2"/>
    <w:rsid w:val="009F2221"/>
    <w:rsid w:val="00A0117D"/>
    <w:rsid w:val="00A02144"/>
    <w:rsid w:val="00A07D6E"/>
    <w:rsid w:val="00A15421"/>
    <w:rsid w:val="00A20998"/>
    <w:rsid w:val="00A2234E"/>
    <w:rsid w:val="00A313D7"/>
    <w:rsid w:val="00A429E4"/>
    <w:rsid w:val="00A4408B"/>
    <w:rsid w:val="00A5046D"/>
    <w:rsid w:val="00A519CB"/>
    <w:rsid w:val="00A54DFB"/>
    <w:rsid w:val="00A60B37"/>
    <w:rsid w:val="00A62DF1"/>
    <w:rsid w:val="00A64945"/>
    <w:rsid w:val="00A71202"/>
    <w:rsid w:val="00A7123A"/>
    <w:rsid w:val="00A73236"/>
    <w:rsid w:val="00A736F8"/>
    <w:rsid w:val="00A73FE4"/>
    <w:rsid w:val="00A82FE9"/>
    <w:rsid w:val="00A86FEA"/>
    <w:rsid w:val="00A936AB"/>
    <w:rsid w:val="00A95A54"/>
    <w:rsid w:val="00A96BA5"/>
    <w:rsid w:val="00A97378"/>
    <w:rsid w:val="00AA60E3"/>
    <w:rsid w:val="00AA6BBD"/>
    <w:rsid w:val="00AB20F5"/>
    <w:rsid w:val="00AB2AF8"/>
    <w:rsid w:val="00AB2CEF"/>
    <w:rsid w:val="00AB404C"/>
    <w:rsid w:val="00AB4B4D"/>
    <w:rsid w:val="00AC64CC"/>
    <w:rsid w:val="00AC6B6B"/>
    <w:rsid w:val="00AD3A2E"/>
    <w:rsid w:val="00AE45D3"/>
    <w:rsid w:val="00AE606A"/>
    <w:rsid w:val="00AF042A"/>
    <w:rsid w:val="00AF18B6"/>
    <w:rsid w:val="00AF1D71"/>
    <w:rsid w:val="00AF2DA3"/>
    <w:rsid w:val="00B00911"/>
    <w:rsid w:val="00B01708"/>
    <w:rsid w:val="00B13F0C"/>
    <w:rsid w:val="00B159BA"/>
    <w:rsid w:val="00B22330"/>
    <w:rsid w:val="00B22714"/>
    <w:rsid w:val="00B2682D"/>
    <w:rsid w:val="00B2780A"/>
    <w:rsid w:val="00B30C3B"/>
    <w:rsid w:val="00B33308"/>
    <w:rsid w:val="00B33642"/>
    <w:rsid w:val="00B34B93"/>
    <w:rsid w:val="00B416F5"/>
    <w:rsid w:val="00B41D28"/>
    <w:rsid w:val="00B459CD"/>
    <w:rsid w:val="00B46610"/>
    <w:rsid w:val="00B55C1D"/>
    <w:rsid w:val="00B563F3"/>
    <w:rsid w:val="00B56F9C"/>
    <w:rsid w:val="00B61177"/>
    <w:rsid w:val="00B61D6B"/>
    <w:rsid w:val="00B63B68"/>
    <w:rsid w:val="00B66B38"/>
    <w:rsid w:val="00B66F49"/>
    <w:rsid w:val="00B73224"/>
    <w:rsid w:val="00B763C9"/>
    <w:rsid w:val="00B801EE"/>
    <w:rsid w:val="00B83177"/>
    <w:rsid w:val="00B83291"/>
    <w:rsid w:val="00B92C39"/>
    <w:rsid w:val="00B9359A"/>
    <w:rsid w:val="00B97B27"/>
    <w:rsid w:val="00BA3CDE"/>
    <w:rsid w:val="00BA4E08"/>
    <w:rsid w:val="00BB1340"/>
    <w:rsid w:val="00BB1932"/>
    <w:rsid w:val="00BC00CD"/>
    <w:rsid w:val="00BC05D8"/>
    <w:rsid w:val="00BC54B6"/>
    <w:rsid w:val="00BC669F"/>
    <w:rsid w:val="00BD158E"/>
    <w:rsid w:val="00BD1EDC"/>
    <w:rsid w:val="00BD20CD"/>
    <w:rsid w:val="00BD2A85"/>
    <w:rsid w:val="00BD64B8"/>
    <w:rsid w:val="00BD662F"/>
    <w:rsid w:val="00BE2C12"/>
    <w:rsid w:val="00BE3299"/>
    <w:rsid w:val="00BE64BD"/>
    <w:rsid w:val="00BE7294"/>
    <w:rsid w:val="00BF1952"/>
    <w:rsid w:val="00BF23EF"/>
    <w:rsid w:val="00BF44E0"/>
    <w:rsid w:val="00BF4CD9"/>
    <w:rsid w:val="00C00DE8"/>
    <w:rsid w:val="00C064D6"/>
    <w:rsid w:val="00C06718"/>
    <w:rsid w:val="00C06C6F"/>
    <w:rsid w:val="00C200C9"/>
    <w:rsid w:val="00C2251B"/>
    <w:rsid w:val="00C2471A"/>
    <w:rsid w:val="00C31A88"/>
    <w:rsid w:val="00C31F1D"/>
    <w:rsid w:val="00C323F5"/>
    <w:rsid w:val="00C33587"/>
    <w:rsid w:val="00C34392"/>
    <w:rsid w:val="00C458CD"/>
    <w:rsid w:val="00C45BFC"/>
    <w:rsid w:val="00C46D66"/>
    <w:rsid w:val="00C512AB"/>
    <w:rsid w:val="00C52785"/>
    <w:rsid w:val="00C52872"/>
    <w:rsid w:val="00C5659C"/>
    <w:rsid w:val="00C612D3"/>
    <w:rsid w:val="00C61E80"/>
    <w:rsid w:val="00C64E52"/>
    <w:rsid w:val="00C65796"/>
    <w:rsid w:val="00C71038"/>
    <w:rsid w:val="00C71EF1"/>
    <w:rsid w:val="00C755AA"/>
    <w:rsid w:val="00C77987"/>
    <w:rsid w:val="00C818E1"/>
    <w:rsid w:val="00C830F8"/>
    <w:rsid w:val="00C86064"/>
    <w:rsid w:val="00C94694"/>
    <w:rsid w:val="00C94F7E"/>
    <w:rsid w:val="00C96C78"/>
    <w:rsid w:val="00CA1D21"/>
    <w:rsid w:val="00CA64C2"/>
    <w:rsid w:val="00CB3C48"/>
    <w:rsid w:val="00CC02B0"/>
    <w:rsid w:val="00CC1C05"/>
    <w:rsid w:val="00CC1E92"/>
    <w:rsid w:val="00CC2BE9"/>
    <w:rsid w:val="00CC6924"/>
    <w:rsid w:val="00CC7357"/>
    <w:rsid w:val="00CD0844"/>
    <w:rsid w:val="00CD2C99"/>
    <w:rsid w:val="00CD4A48"/>
    <w:rsid w:val="00CD57A9"/>
    <w:rsid w:val="00CD703E"/>
    <w:rsid w:val="00CE2FDA"/>
    <w:rsid w:val="00CE6676"/>
    <w:rsid w:val="00CF0BDD"/>
    <w:rsid w:val="00CF0CF5"/>
    <w:rsid w:val="00CF23AC"/>
    <w:rsid w:val="00CF4183"/>
    <w:rsid w:val="00CF7C57"/>
    <w:rsid w:val="00D01E2B"/>
    <w:rsid w:val="00D05EA5"/>
    <w:rsid w:val="00D06CE3"/>
    <w:rsid w:val="00D07E38"/>
    <w:rsid w:val="00D10CFE"/>
    <w:rsid w:val="00D11F0E"/>
    <w:rsid w:val="00D1396D"/>
    <w:rsid w:val="00D17954"/>
    <w:rsid w:val="00D243C2"/>
    <w:rsid w:val="00D274CC"/>
    <w:rsid w:val="00D27F7B"/>
    <w:rsid w:val="00D375AD"/>
    <w:rsid w:val="00D4470A"/>
    <w:rsid w:val="00D509D1"/>
    <w:rsid w:val="00D52219"/>
    <w:rsid w:val="00D52334"/>
    <w:rsid w:val="00D565FB"/>
    <w:rsid w:val="00D64E91"/>
    <w:rsid w:val="00D66AE8"/>
    <w:rsid w:val="00D723F1"/>
    <w:rsid w:val="00D844BD"/>
    <w:rsid w:val="00D90BD3"/>
    <w:rsid w:val="00D9453B"/>
    <w:rsid w:val="00D94DDD"/>
    <w:rsid w:val="00DA043D"/>
    <w:rsid w:val="00DA110B"/>
    <w:rsid w:val="00DA66CF"/>
    <w:rsid w:val="00DA7821"/>
    <w:rsid w:val="00DB52F2"/>
    <w:rsid w:val="00DC0E27"/>
    <w:rsid w:val="00DC1986"/>
    <w:rsid w:val="00DC3870"/>
    <w:rsid w:val="00DC3A75"/>
    <w:rsid w:val="00DC5571"/>
    <w:rsid w:val="00DD1D99"/>
    <w:rsid w:val="00DD6399"/>
    <w:rsid w:val="00DE0CAE"/>
    <w:rsid w:val="00DE153A"/>
    <w:rsid w:val="00DE2F84"/>
    <w:rsid w:val="00DE4B60"/>
    <w:rsid w:val="00DE5BD8"/>
    <w:rsid w:val="00DE6019"/>
    <w:rsid w:val="00DE7144"/>
    <w:rsid w:val="00DF125C"/>
    <w:rsid w:val="00DF3F44"/>
    <w:rsid w:val="00DF7C25"/>
    <w:rsid w:val="00E02D08"/>
    <w:rsid w:val="00E054D2"/>
    <w:rsid w:val="00E05F0D"/>
    <w:rsid w:val="00E11967"/>
    <w:rsid w:val="00E26883"/>
    <w:rsid w:val="00E333E8"/>
    <w:rsid w:val="00E34C34"/>
    <w:rsid w:val="00E35CA2"/>
    <w:rsid w:val="00E418FD"/>
    <w:rsid w:val="00E4469A"/>
    <w:rsid w:val="00E55A80"/>
    <w:rsid w:val="00E55BB8"/>
    <w:rsid w:val="00E55EBA"/>
    <w:rsid w:val="00E56928"/>
    <w:rsid w:val="00E6063D"/>
    <w:rsid w:val="00E61324"/>
    <w:rsid w:val="00E6186E"/>
    <w:rsid w:val="00E67791"/>
    <w:rsid w:val="00E67B18"/>
    <w:rsid w:val="00E7024B"/>
    <w:rsid w:val="00E70489"/>
    <w:rsid w:val="00E707E3"/>
    <w:rsid w:val="00E72F0D"/>
    <w:rsid w:val="00E77311"/>
    <w:rsid w:val="00E82577"/>
    <w:rsid w:val="00E85420"/>
    <w:rsid w:val="00E86A11"/>
    <w:rsid w:val="00E87698"/>
    <w:rsid w:val="00E93113"/>
    <w:rsid w:val="00E9409E"/>
    <w:rsid w:val="00E961BD"/>
    <w:rsid w:val="00E96699"/>
    <w:rsid w:val="00E97E21"/>
    <w:rsid w:val="00EA24D1"/>
    <w:rsid w:val="00EA4E31"/>
    <w:rsid w:val="00EB110D"/>
    <w:rsid w:val="00EB2739"/>
    <w:rsid w:val="00EC14B7"/>
    <w:rsid w:val="00EC4EA7"/>
    <w:rsid w:val="00EC7361"/>
    <w:rsid w:val="00EC79B6"/>
    <w:rsid w:val="00ED14EA"/>
    <w:rsid w:val="00ED2023"/>
    <w:rsid w:val="00EE0422"/>
    <w:rsid w:val="00EE6C0D"/>
    <w:rsid w:val="00EE7BA0"/>
    <w:rsid w:val="00EF0A6F"/>
    <w:rsid w:val="00EF61CA"/>
    <w:rsid w:val="00EF7767"/>
    <w:rsid w:val="00F02FDA"/>
    <w:rsid w:val="00F07526"/>
    <w:rsid w:val="00F14AD5"/>
    <w:rsid w:val="00F165D3"/>
    <w:rsid w:val="00F279FC"/>
    <w:rsid w:val="00F41E09"/>
    <w:rsid w:val="00F43BC6"/>
    <w:rsid w:val="00F45F5F"/>
    <w:rsid w:val="00F462C0"/>
    <w:rsid w:val="00F46A51"/>
    <w:rsid w:val="00F50248"/>
    <w:rsid w:val="00F55D4D"/>
    <w:rsid w:val="00F5650C"/>
    <w:rsid w:val="00F56B77"/>
    <w:rsid w:val="00F63920"/>
    <w:rsid w:val="00F76989"/>
    <w:rsid w:val="00F82018"/>
    <w:rsid w:val="00F82637"/>
    <w:rsid w:val="00F85043"/>
    <w:rsid w:val="00F85130"/>
    <w:rsid w:val="00F8580E"/>
    <w:rsid w:val="00F87545"/>
    <w:rsid w:val="00F907B5"/>
    <w:rsid w:val="00F953D6"/>
    <w:rsid w:val="00FA2BCD"/>
    <w:rsid w:val="00FA42DC"/>
    <w:rsid w:val="00FB7629"/>
    <w:rsid w:val="00FC1D91"/>
    <w:rsid w:val="00FC649B"/>
    <w:rsid w:val="00FC734F"/>
    <w:rsid w:val="00FD1CFE"/>
    <w:rsid w:val="00FD2EBF"/>
    <w:rsid w:val="00FD4989"/>
    <w:rsid w:val="00FD6817"/>
    <w:rsid w:val="00FE3335"/>
    <w:rsid w:val="00FE58E3"/>
    <w:rsid w:val="00FF3627"/>
    <w:rsid w:val="00FF541B"/>
    <w:rsid w:val="00FF5801"/>
    <w:rsid w:val="00FF5C48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FF1"/>
    <w:rPr>
      <w:sz w:val="24"/>
      <w:szCs w:val="24"/>
    </w:rPr>
  </w:style>
  <w:style w:type="paragraph" w:styleId="Heading3">
    <w:name w:val="heading 3"/>
    <w:basedOn w:val="Normal"/>
    <w:next w:val="Normal"/>
    <w:qFormat/>
    <w:rsid w:val="005C7FF1"/>
    <w:pPr>
      <w:keepNext/>
      <w:ind w:firstLine="709"/>
      <w:outlineLvl w:val="2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5C7FF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5C7FF1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5C7FF1"/>
    <w:pPr>
      <w:spacing w:before="75" w:after="75"/>
      <w:jc w:val="right"/>
    </w:pPr>
  </w:style>
  <w:style w:type="paragraph" w:customStyle="1" w:styleId="naiskr">
    <w:name w:val="naiskr"/>
    <w:basedOn w:val="Normal"/>
    <w:rsid w:val="005C7FF1"/>
    <w:pPr>
      <w:spacing w:before="75" w:after="75"/>
    </w:pPr>
  </w:style>
  <w:style w:type="paragraph" w:customStyle="1" w:styleId="naisc">
    <w:name w:val="naisc"/>
    <w:basedOn w:val="Normal"/>
    <w:rsid w:val="005C7FF1"/>
    <w:pPr>
      <w:spacing w:before="75" w:after="75"/>
      <w:jc w:val="center"/>
    </w:pPr>
  </w:style>
  <w:style w:type="character" w:styleId="Hyperlink">
    <w:name w:val="Hyperlink"/>
    <w:basedOn w:val="DefaultParagraphFont"/>
    <w:rsid w:val="005C7FF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5C7FF1"/>
    <w:rPr>
      <w:sz w:val="16"/>
      <w:szCs w:val="16"/>
    </w:rPr>
  </w:style>
  <w:style w:type="paragraph" w:styleId="CommentText">
    <w:name w:val="annotation text"/>
    <w:basedOn w:val="Normal"/>
    <w:semiHidden/>
    <w:rsid w:val="005C7FF1"/>
    <w:rPr>
      <w:sz w:val="20"/>
      <w:szCs w:val="20"/>
    </w:rPr>
  </w:style>
  <w:style w:type="paragraph" w:styleId="NormalWeb">
    <w:name w:val="Normal (Web)"/>
    <w:basedOn w:val="Normal"/>
    <w:uiPriority w:val="99"/>
    <w:rsid w:val="005C7FF1"/>
    <w:pPr>
      <w:spacing w:before="75" w:after="75"/>
    </w:pPr>
  </w:style>
  <w:style w:type="paragraph" w:styleId="BodyTextIndent3">
    <w:name w:val="Body Text Indent 3"/>
    <w:basedOn w:val="Normal"/>
    <w:rsid w:val="005C7FF1"/>
    <w:pPr>
      <w:ind w:right="288" w:firstLine="720"/>
      <w:jc w:val="both"/>
    </w:pPr>
    <w:rPr>
      <w:sz w:val="28"/>
      <w:szCs w:val="28"/>
      <w:lang w:eastAsia="en-US"/>
    </w:rPr>
  </w:style>
  <w:style w:type="paragraph" w:styleId="BalloonText">
    <w:name w:val="Balloon Text"/>
    <w:basedOn w:val="Normal"/>
    <w:semiHidden/>
    <w:rsid w:val="005C7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2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2EA0"/>
    <w:pPr>
      <w:tabs>
        <w:tab w:val="center" w:pos="4153"/>
        <w:tab w:val="right" w:pos="8306"/>
      </w:tabs>
    </w:pPr>
  </w:style>
  <w:style w:type="paragraph" w:styleId="EndnoteText">
    <w:name w:val="endnote text"/>
    <w:aliases w:val="Char Char1"/>
    <w:basedOn w:val="Normal"/>
    <w:semiHidden/>
    <w:rsid w:val="00D9453B"/>
    <w:rPr>
      <w:rFonts w:eastAsia="SimSun"/>
      <w:sz w:val="20"/>
      <w:szCs w:val="20"/>
      <w:lang w:val="fr-BE" w:eastAsia="en-GB"/>
    </w:rPr>
  </w:style>
  <w:style w:type="paragraph" w:customStyle="1" w:styleId="RakstzRakstz">
    <w:name w:val="Rakstz. Rakstz."/>
    <w:basedOn w:val="Normal"/>
    <w:rsid w:val="008D052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8D6972"/>
  </w:style>
  <w:style w:type="paragraph" w:customStyle="1" w:styleId="Noteikumuapakpunkti">
    <w:name w:val="Noteikumu apakšpunkti"/>
    <w:basedOn w:val="Normal"/>
    <w:rsid w:val="004671A1"/>
    <w:pPr>
      <w:numPr>
        <w:ilvl w:val="1"/>
        <w:numId w:val="5"/>
      </w:numPr>
      <w:tabs>
        <w:tab w:val="clear" w:pos="680"/>
        <w:tab w:val="num" w:pos="360"/>
      </w:tabs>
      <w:spacing w:after="120"/>
      <w:jc w:val="both"/>
    </w:pPr>
    <w:rPr>
      <w:bCs/>
      <w:sz w:val="28"/>
      <w:szCs w:val="28"/>
    </w:rPr>
  </w:style>
  <w:style w:type="paragraph" w:customStyle="1" w:styleId="Noteikumuapakpunkti2">
    <w:name w:val="Noteikumu apakšpunkti_2"/>
    <w:basedOn w:val="Noteikumuapakpunkti"/>
    <w:rsid w:val="004671A1"/>
    <w:pPr>
      <w:numPr>
        <w:ilvl w:val="2"/>
      </w:numPr>
      <w:tabs>
        <w:tab w:val="clear" w:pos="851"/>
        <w:tab w:val="num" w:pos="360"/>
      </w:tabs>
    </w:pPr>
  </w:style>
  <w:style w:type="paragraph" w:customStyle="1" w:styleId="Noteikumuapakpunkt3">
    <w:name w:val="Noteikumu apakšpunkt_3"/>
    <w:basedOn w:val="Noteikumuapakpunkti2"/>
    <w:rsid w:val="004671A1"/>
    <w:pPr>
      <w:numPr>
        <w:ilvl w:val="3"/>
      </w:numPr>
      <w:tabs>
        <w:tab w:val="clear" w:pos="1134"/>
        <w:tab w:val="num" w:pos="360"/>
      </w:tabs>
    </w:pPr>
  </w:style>
  <w:style w:type="paragraph" w:customStyle="1" w:styleId="basetext">
    <w:name w:val="base text"/>
    <w:rsid w:val="00910CEC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Noteikumutekstam">
    <w:name w:val="Noteikumu tekstam"/>
    <w:basedOn w:val="Normal"/>
    <w:link w:val="NoteikumutekstamRakstz"/>
    <w:autoRedefine/>
    <w:rsid w:val="00F45F5F"/>
    <w:pPr>
      <w:ind w:left="165" w:right="71"/>
      <w:jc w:val="both"/>
    </w:pPr>
    <w:rPr>
      <w:sz w:val="28"/>
      <w:szCs w:val="28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F45F5F"/>
    <w:rPr>
      <w:sz w:val="28"/>
      <w:szCs w:val="28"/>
      <w:lang w:val="lv-LV" w:eastAsia="lv-LV" w:bidi="ar-SA"/>
    </w:rPr>
  </w:style>
  <w:style w:type="paragraph" w:styleId="ListParagraph">
    <w:name w:val="List Paragraph"/>
    <w:basedOn w:val="Normal"/>
    <w:qFormat/>
    <w:rsid w:val="004873A1"/>
    <w:pPr>
      <w:widowControl w:val="0"/>
      <w:spacing w:before="60" w:after="60" w:line="360" w:lineRule="auto"/>
      <w:ind w:left="720" w:firstLine="720"/>
      <w:contextualSpacing/>
      <w:jc w:val="both"/>
    </w:pPr>
    <w:rPr>
      <w:sz w:val="26"/>
      <w:szCs w:val="20"/>
      <w:lang w:val="en-AU" w:eastAsia="en-US"/>
    </w:rPr>
  </w:style>
  <w:style w:type="paragraph" w:customStyle="1" w:styleId="RakstzCharCharRakstzCharCharRakstz1">
    <w:name w:val="Rakstz. Char Char Rakstz. Char Char Rakstz.1"/>
    <w:basedOn w:val="Normal"/>
    <w:rsid w:val="0072160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2F45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4586"/>
    <w:rPr>
      <w:sz w:val="24"/>
      <w:szCs w:val="24"/>
    </w:rPr>
  </w:style>
  <w:style w:type="character" w:styleId="BookTitle">
    <w:name w:val="Book Title"/>
    <w:basedOn w:val="DefaultParagraphFont"/>
    <w:qFormat/>
    <w:rsid w:val="00375DD7"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CC73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819F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19FA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E72F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992E-D8E3-467E-9EC1-E33F66AC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702</Words>
  <Characters>5363</Characters>
  <Application>Microsoft Office Word</Application>
  <DocSecurity>0</DocSecurity>
  <Lines>223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9.jūnija noteikumos Nr.521 „Noteikumi par darbības programmas "Cilvēkresursi un nodarbinātība" papildinājuma 1.2.1.2.3.apakšaktivitāti "Vispārējās izglītības pedagogu kompetences paaugstināšana un prasmju atjaunošana”</vt:lpstr>
    </vt:vector>
  </TitlesOfParts>
  <Company>LaBmin</Company>
  <LinksUpToDate>false</LinksUpToDate>
  <CharactersWithSpaces>5959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9.jūnija noteikumos Nr.521 „Noteikumi par darbības programmas "Cilvēkresursi un nodarbinātība" papildinājuma 1.2.1.2.3.apakšaktivitāti "Vispārējās izglītības pedagogu kompetences paaugstināšana un prasmju atjaunošana”””</dc:title>
  <dc:subject>Anotācija</dc:subject>
  <dc:creator>K.Grundmane</dc:creator>
  <dc:description>kristine.grundmane@izm.gov.lv
tālr:67047943</dc:description>
  <cp:lastModifiedBy>kgrundmane</cp:lastModifiedBy>
  <cp:revision>23</cp:revision>
  <cp:lastPrinted>2010-04-14T08:43:00Z</cp:lastPrinted>
  <dcterms:created xsi:type="dcterms:W3CDTF">2011-08-04T11:44:00Z</dcterms:created>
  <dcterms:modified xsi:type="dcterms:W3CDTF">2011-09-28T12:11:00Z</dcterms:modified>
  <cp:category>IZM</cp:category>
</cp:coreProperties>
</file>