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AA" w:rsidRPr="007F1C0F" w:rsidRDefault="005F0CAA" w:rsidP="00922AED">
      <w:pPr>
        <w:jc w:val="center"/>
        <w:rPr>
          <w:b/>
        </w:rPr>
      </w:pPr>
      <w:bookmarkStart w:id="0" w:name="OLE_LINK3"/>
      <w:bookmarkStart w:id="1" w:name="OLE_LINK4"/>
      <w:r w:rsidRPr="007F1C0F">
        <w:rPr>
          <w:b/>
        </w:rPr>
        <w:t xml:space="preserve">Ministru kabineta noteikumu projekta </w:t>
      </w:r>
      <w:bookmarkStart w:id="2" w:name="OLE_LINK1"/>
      <w:bookmarkStart w:id="3" w:name="OLE_LINK2"/>
      <w:r w:rsidRPr="007F1C0F">
        <w:rPr>
          <w:b/>
        </w:rPr>
        <w:t xml:space="preserve">„Latvijas un Šveices sadarbības programmas grantu shēmas “Šveices pētnieku aktivitātes Latvijā” </w:t>
      </w:r>
      <w:proofErr w:type="spellStart"/>
      <w:r w:rsidRPr="007F1C0F">
        <w:rPr>
          <w:b/>
        </w:rPr>
        <w:t>apakšprojektu</w:t>
      </w:r>
      <w:proofErr w:type="spellEnd"/>
      <w:r w:rsidRPr="007F1C0F">
        <w:rPr>
          <w:b/>
        </w:rPr>
        <w:t xml:space="preserve"> iesniegumu </w:t>
      </w:r>
    </w:p>
    <w:p w:rsidR="005F0CAA" w:rsidRPr="007F1C0F" w:rsidRDefault="005F0CAA" w:rsidP="00922AED">
      <w:pPr>
        <w:jc w:val="center"/>
        <w:rPr>
          <w:b/>
          <w:bCs/>
        </w:rPr>
      </w:pPr>
      <w:r w:rsidRPr="007F1C0F">
        <w:rPr>
          <w:b/>
        </w:rPr>
        <w:t>atklāta konkursa nolikums”</w:t>
      </w:r>
      <w:bookmarkEnd w:id="0"/>
      <w:bookmarkEnd w:id="1"/>
      <w:bookmarkEnd w:id="2"/>
      <w:bookmarkEnd w:id="3"/>
      <w:r w:rsidRPr="007F1C0F">
        <w:rPr>
          <w:b/>
        </w:rPr>
        <w:t xml:space="preserve"> </w:t>
      </w:r>
      <w:r w:rsidRPr="007F1C0F">
        <w:rPr>
          <w:b/>
          <w:bCs/>
        </w:rPr>
        <w:t>sākotnējās ietekmes novērtējuma ziņojums (anotācija)</w:t>
      </w:r>
    </w:p>
    <w:p w:rsidR="005F0CAA" w:rsidRPr="007F1C0F" w:rsidRDefault="005F0CAA" w:rsidP="00922AED">
      <w:pPr>
        <w:jc w:val="center"/>
        <w:rPr>
          <w:b/>
          <w:bCs/>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133"/>
        <w:gridCol w:w="5042"/>
      </w:tblGrid>
      <w:tr w:rsidR="005F0CAA" w:rsidRPr="007F1C0F">
        <w:tc>
          <w:tcPr>
            <w:tcW w:w="9725" w:type="dxa"/>
            <w:gridSpan w:val="3"/>
            <w:vAlign w:val="center"/>
          </w:tcPr>
          <w:p w:rsidR="005F0CAA" w:rsidRPr="007F1C0F" w:rsidRDefault="005F0CAA" w:rsidP="006C4607">
            <w:pPr>
              <w:pStyle w:val="naisnod"/>
              <w:spacing w:before="0" w:after="0"/>
            </w:pPr>
            <w:r w:rsidRPr="007F1C0F">
              <w:t>I. Tiesību akta projekta izstrādes nepieciešamība</w:t>
            </w:r>
          </w:p>
        </w:tc>
      </w:tr>
      <w:tr w:rsidR="005F0CAA" w:rsidRPr="007F1C0F" w:rsidTr="000E2C02">
        <w:trPr>
          <w:trHeight w:val="630"/>
        </w:trPr>
        <w:tc>
          <w:tcPr>
            <w:tcW w:w="550" w:type="dxa"/>
          </w:tcPr>
          <w:p w:rsidR="005F0CAA" w:rsidRPr="007F1C0F" w:rsidRDefault="005F0CAA" w:rsidP="006C4607">
            <w:pPr>
              <w:pStyle w:val="naiskr"/>
              <w:spacing w:before="0" w:after="0"/>
            </w:pPr>
            <w:r w:rsidRPr="007F1C0F">
              <w:t>1.</w:t>
            </w:r>
          </w:p>
        </w:tc>
        <w:tc>
          <w:tcPr>
            <w:tcW w:w="4133" w:type="dxa"/>
          </w:tcPr>
          <w:p w:rsidR="005F0CAA" w:rsidRPr="007F1C0F" w:rsidRDefault="005F0CAA" w:rsidP="006C4607">
            <w:pPr>
              <w:pStyle w:val="naiskr"/>
              <w:spacing w:before="0" w:after="0"/>
              <w:ind w:hanging="10"/>
            </w:pPr>
            <w:r w:rsidRPr="007F1C0F">
              <w:t>Pamatojums</w:t>
            </w:r>
          </w:p>
          <w:p w:rsidR="005F0CAA" w:rsidRPr="007F1C0F" w:rsidRDefault="005F0CAA" w:rsidP="006C4607">
            <w:pPr>
              <w:pStyle w:val="naiskr"/>
              <w:spacing w:before="0" w:after="0"/>
              <w:ind w:hanging="10"/>
            </w:pPr>
          </w:p>
          <w:p w:rsidR="005F0CAA" w:rsidRPr="007F1C0F" w:rsidRDefault="005F0CAA" w:rsidP="007D6AF1">
            <w:pPr>
              <w:pStyle w:val="naiskr"/>
              <w:spacing w:before="0" w:after="0"/>
              <w:ind w:hanging="10"/>
            </w:pPr>
          </w:p>
        </w:tc>
        <w:tc>
          <w:tcPr>
            <w:tcW w:w="5042" w:type="dxa"/>
          </w:tcPr>
          <w:p w:rsidR="005F0CAA" w:rsidRPr="007F1C0F" w:rsidRDefault="005F0CAA" w:rsidP="003547EA">
            <w:pPr>
              <w:ind w:left="102" w:right="81"/>
              <w:jc w:val="both"/>
            </w:pPr>
            <w:r w:rsidRPr="007F1C0F">
              <w:t xml:space="preserve">Ministru kabineta noteikumu projekts „Latvijas un Šveices sadarbības programmas grantu shēmas „Šveices pētnieku aktivitātes Latvijā” </w:t>
            </w:r>
            <w:proofErr w:type="spellStart"/>
            <w:r w:rsidRPr="007F1C0F">
              <w:t>apakšprojektu</w:t>
            </w:r>
            <w:proofErr w:type="spellEnd"/>
            <w:r w:rsidRPr="007F1C0F">
              <w:t xml:space="preserve"> iesniegumu atklāta konkursa nolikums” (turpmāk – noteikumu projekts) ir izstrādāts saskaņā ar Latvijas un Šveices sadarbības programmas (turpmāk – sadarbības programma) vadības likuma (turpmāk </w:t>
            </w:r>
            <w:r w:rsidRPr="007F1C0F">
              <w:rPr>
                <w:b/>
              </w:rPr>
              <w:t>-</w:t>
            </w:r>
            <w:r w:rsidRPr="007F1C0F">
              <w:t xml:space="preserve">  vadības likums)</w:t>
            </w:r>
            <w:r w:rsidRPr="007F1C0F">
              <w:rPr>
                <w:b/>
              </w:rPr>
              <w:t xml:space="preserve"> </w:t>
            </w:r>
            <w:r w:rsidRPr="007F1C0F">
              <w:t xml:space="preserve">11.panta 2.punktu,  kas paredz, ka Ministru kabinets nosaka </w:t>
            </w:r>
            <w:proofErr w:type="spellStart"/>
            <w:r w:rsidRPr="007F1C0F">
              <w:t>apakšprojektu</w:t>
            </w:r>
            <w:proofErr w:type="spellEnd"/>
            <w:r w:rsidRPr="007F1C0F">
              <w:t xml:space="preserve"> iesniegumu atklāta konkursa nolikumu</w:t>
            </w:r>
            <w:r w:rsidRPr="007F1C0F">
              <w:rPr>
                <w:bCs/>
              </w:rPr>
              <w:t xml:space="preserve">, ietverot tajā arī </w:t>
            </w:r>
            <w:proofErr w:type="spellStart"/>
            <w:r w:rsidRPr="007F1C0F">
              <w:t>apakšprojektu</w:t>
            </w:r>
            <w:proofErr w:type="spellEnd"/>
            <w:r w:rsidRPr="007F1C0F">
              <w:rPr>
                <w:bCs/>
              </w:rPr>
              <w:t xml:space="preserve"> iesniegumu vērtēšanas kritērijus. </w:t>
            </w:r>
            <w:r w:rsidRPr="007F1C0F">
              <w:t xml:space="preserve"> </w:t>
            </w:r>
          </w:p>
          <w:p w:rsidR="005F0CAA" w:rsidRPr="007F1C0F" w:rsidRDefault="005F0CAA" w:rsidP="006E3744">
            <w:pPr>
              <w:ind w:left="102" w:right="81"/>
              <w:jc w:val="both"/>
            </w:pPr>
            <w:r w:rsidRPr="007F1C0F">
              <w:t xml:space="preserve">Vadības likuma 8.panta pirmās daļas 3.punkta a) apakšpunkts nosaka, ka grantu shēmas īstenošanas gadījumā starpniekinstitūcijas pienākums ir izstrādāt  atklāta  </w:t>
            </w:r>
            <w:proofErr w:type="spellStart"/>
            <w:r w:rsidRPr="007F1C0F">
              <w:t>apakšprojektu</w:t>
            </w:r>
            <w:proofErr w:type="spellEnd"/>
            <w:r w:rsidRPr="007F1C0F">
              <w:t xml:space="preserve">  konkursa  nolikumu un nodrošināt konkursa izsludināšanu. </w:t>
            </w:r>
          </w:p>
        </w:tc>
      </w:tr>
      <w:tr w:rsidR="005F0CAA" w:rsidRPr="007F1C0F" w:rsidTr="000E2C02">
        <w:trPr>
          <w:trHeight w:val="60"/>
        </w:trPr>
        <w:tc>
          <w:tcPr>
            <w:tcW w:w="550" w:type="dxa"/>
          </w:tcPr>
          <w:p w:rsidR="005F0CAA" w:rsidRPr="007F1C0F" w:rsidRDefault="005F0CAA" w:rsidP="006C4607">
            <w:pPr>
              <w:pStyle w:val="naiskr"/>
              <w:spacing w:before="0" w:after="0"/>
            </w:pPr>
            <w:r w:rsidRPr="007F1C0F">
              <w:t>2.</w:t>
            </w:r>
          </w:p>
        </w:tc>
        <w:tc>
          <w:tcPr>
            <w:tcW w:w="4133" w:type="dxa"/>
          </w:tcPr>
          <w:p w:rsidR="005F0CAA" w:rsidRPr="007F1C0F" w:rsidRDefault="005F0CAA" w:rsidP="006C4607">
            <w:pPr>
              <w:pStyle w:val="naiskr"/>
              <w:tabs>
                <w:tab w:val="left" w:pos="170"/>
              </w:tabs>
              <w:spacing w:before="0" w:after="0"/>
            </w:pPr>
            <w:r w:rsidRPr="007F1C0F">
              <w:t>Pašreizējā situācija un problēmas</w:t>
            </w:r>
          </w:p>
          <w:p w:rsidR="005F0CAA" w:rsidRPr="007F1C0F" w:rsidRDefault="005F0CAA" w:rsidP="006C4607">
            <w:pPr>
              <w:pStyle w:val="naiskr"/>
              <w:tabs>
                <w:tab w:val="left" w:pos="170"/>
              </w:tabs>
              <w:spacing w:before="0" w:after="0"/>
            </w:pPr>
          </w:p>
          <w:p w:rsidR="005F0CAA" w:rsidRPr="007F1C0F" w:rsidRDefault="005F0CAA" w:rsidP="006C4607">
            <w:pPr>
              <w:pStyle w:val="naiskr"/>
              <w:tabs>
                <w:tab w:val="left" w:pos="170"/>
              </w:tabs>
              <w:spacing w:before="0" w:after="0"/>
            </w:pPr>
          </w:p>
          <w:p w:rsidR="005F0CAA" w:rsidRPr="007F1C0F" w:rsidRDefault="005F0CAA" w:rsidP="006C4607">
            <w:pPr>
              <w:pStyle w:val="naiskr"/>
              <w:tabs>
                <w:tab w:val="left" w:pos="170"/>
              </w:tabs>
              <w:spacing w:before="0" w:after="0"/>
            </w:pPr>
          </w:p>
        </w:tc>
        <w:tc>
          <w:tcPr>
            <w:tcW w:w="5042" w:type="dxa"/>
          </w:tcPr>
          <w:p w:rsidR="005F0CAA" w:rsidRPr="007F1C0F" w:rsidRDefault="005F0CAA" w:rsidP="00412761">
            <w:pPr>
              <w:autoSpaceDE w:val="0"/>
              <w:autoSpaceDN w:val="0"/>
              <w:adjustRightInd w:val="0"/>
              <w:ind w:left="102" w:right="81"/>
              <w:jc w:val="both"/>
            </w:pPr>
            <w:r w:rsidRPr="007F1C0F">
              <w:t xml:space="preserve">2011.gada 30.maijā </w:t>
            </w:r>
            <w:r w:rsidRPr="007F1C0F">
              <w:rPr>
                <w:color w:val="000000"/>
              </w:rPr>
              <w:t>starp Šveices Konfederācijas vēstniecību Latvijā, Finanšu ministriju (turpmāk – vadošā iestāde) un Valsts izglītības attīstības aģentūru</w:t>
            </w:r>
            <w:r w:rsidRPr="007F1C0F">
              <w:rPr>
                <w:bCs/>
              </w:rPr>
              <w:t xml:space="preserve"> </w:t>
            </w:r>
            <w:r w:rsidRPr="007F1C0F">
              <w:t xml:space="preserve">tika parakstīts un stājās spēkā sadarbības programmas grantu shēmas „Šveices pētnieku aktivitātes Latvijā” (turpmāk – grantu shēma) īstenošanas </w:t>
            </w:r>
            <w:r w:rsidRPr="007F1C0F">
              <w:rPr>
                <w:color w:val="000000"/>
              </w:rPr>
              <w:t xml:space="preserve">līgums </w:t>
            </w:r>
            <w:r w:rsidRPr="007F1C0F">
              <w:rPr>
                <w:bCs/>
              </w:rPr>
              <w:t>(turpmāk – līgums)</w:t>
            </w:r>
            <w:r w:rsidR="000E2433">
              <w:rPr>
                <w:bCs/>
              </w:rPr>
              <w:t xml:space="preserve"> (skat. anotācijas pielikumā)</w:t>
            </w:r>
            <w:r w:rsidRPr="007F1C0F">
              <w:rPr>
                <w:bCs/>
              </w:rPr>
              <w:t>.</w:t>
            </w:r>
            <w:r w:rsidRPr="007F1C0F">
              <w:rPr>
                <w:color w:val="000000"/>
              </w:rPr>
              <w:t xml:space="preserve"> </w:t>
            </w:r>
            <w:r w:rsidRPr="007F1C0F">
              <w:rPr>
                <w:bCs/>
              </w:rPr>
              <w:t>A</w:t>
            </w:r>
            <w:r w:rsidRPr="007F1C0F">
              <w:t xml:space="preserve">tbilstoši līgumā noteiktajai pienākumu sadalei starp institūcijām, grantu shēmas </w:t>
            </w:r>
            <w:r w:rsidRPr="007F1C0F">
              <w:rPr>
                <w:color w:val="000000"/>
              </w:rPr>
              <w:t>starpniekinstitūcija</w:t>
            </w:r>
            <w:r w:rsidRPr="007F1C0F">
              <w:t xml:space="preserve"> ir valsts pārvaldes iestāde „Valsts izglītības attīstības aģentūra” (turpmāk – </w:t>
            </w:r>
            <w:r w:rsidRPr="007F1C0F">
              <w:rPr>
                <w:color w:val="000000"/>
              </w:rPr>
              <w:t>starpniekinstitūcija</w:t>
            </w:r>
            <w:r w:rsidRPr="007F1C0F">
              <w:t xml:space="preserve">). </w:t>
            </w:r>
            <w:r w:rsidRPr="007F1C0F">
              <w:rPr>
                <w:bCs/>
              </w:rPr>
              <w:t xml:space="preserve">Ministru kabineta </w:t>
            </w:r>
            <w:r w:rsidRPr="007F1C0F">
              <w:t xml:space="preserve">2009.gada 31.marta </w:t>
            </w:r>
            <w:r w:rsidRPr="007F1C0F">
              <w:rPr>
                <w:bCs/>
              </w:rPr>
              <w:t>noteikumu Nr.273</w:t>
            </w:r>
            <w:r w:rsidRPr="007F1C0F">
              <w:t xml:space="preserve"> „</w:t>
            </w:r>
            <w:r w:rsidRPr="007F1C0F">
              <w:rPr>
                <w:bCs/>
              </w:rPr>
              <w:t>Latvijas un Šveices sadarbības programmas vadības nodrošināšanas kārtība” (turpmāk – noteikumi Nr.273)</w:t>
            </w:r>
            <w:r w:rsidRPr="007F1C0F">
              <w:rPr>
                <w:b/>
                <w:bCs/>
              </w:rPr>
              <w:t xml:space="preserve"> </w:t>
            </w:r>
            <w:r w:rsidRPr="007F1C0F">
              <w:rPr>
                <w:bCs/>
              </w:rPr>
              <w:t xml:space="preserve">44.punkts paredz, ka </w:t>
            </w:r>
            <w:proofErr w:type="spellStart"/>
            <w:r w:rsidRPr="007F1C0F">
              <w:t>starpniekinstitūcija</w:t>
            </w:r>
            <w:proofErr w:type="spellEnd"/>
            <w:r w:rsidRPr="007F1C0F">
              <w:t xml:space="preserve"> izsludina </w:t>
            </w:r>
            <w:proofErr w:type="spellStart"/>
            <w:r w:rsidRPr="007F1C0F">
              <w:t>apakšprojektu</w:t>
            </w:r>
            <w:proofErr w:type="spellEnd"/>
            <w:r w:rsidRPr="007F1C0F">
              <w:t xml:space="preserve"> iesniegumu konkursu pēc grantu shēmas projekta  līguma noslēgšanas un </w:t>
            </w:r>
            <w:proofErr w:type="spellStart"/>
            <w:r w:rsidRPr="007F1C0F">
              <w:t>apakšprojektu</w:t>
            </w:r>
            <w:proofErr w:type="spellEnd"/>
            <w:r w:rsidRPr="007F1C0F">
              <w:t xml:space="preserve"> iesnie</w:t>
            </w:r>
            <w:r w:rsidRPr="007F1C0F">
              <w:softHyphen/>
              <w:t>gumu konkursa nolikuma apstiprināšanas Ministru kabinetā.</w:t>
            </w:r>
          </w:p>
          <w:p w:rsidR="005F0CAA" w:rsidRPr="007F1C0F" w:rsidRDefault="005F0CAA" w:rsidP="000D50A7">
            <w:pPr>
              <w:ind w:left="102" w:right="81"/>
              <w:jc w:val="both"/>
              <w:rPr>
                <w:highlight w:val="yellow"/>
              </w:rPr>
            </w:pPr>
            <w:r w:rsidRPr="007F1C0F">
              <w:t>Izglītības un zinātnes ministrija (turpmāk – ministrija), pildot nozares ministrijas funkcijas sadarbības programmas prioritātes „</w:t>
            </w:r>
            <w:r w:rsidRPr="007F1C0F">
              <w:rPr>
                <w:rStyle w:val="Strong"/>
                <w:b w:val="0"/>
              </w:rPr>
              <w:t>Cilvēkresursu un sociālā attīstība</w:t>
            </w:r>
            <w:r w:rsidRPr="007F1C0F">
              <w:t xml:space="preserve">” </w:t>
            </w:r>
            <w:proofErr w:type="spellStart"/>
            <w:r w:rsidRPr="007F1C0F">
              <w:t>apakšprioritātē</w:t>
            </w:r>
            <w:proofErr w:type="spellEnd"/>
            <w:r w:rsidRPr="007F1C0F">
              <w:rPr>
                <w:b/>
              </w:rPr>
              <w:t xml:space="preserve"> </w:t>
            </w:r>
            <w:r w:rsidRPr="007F1C0F">
              <w:t>„</w:t>
            </w:r>
            <w:r w:rsidRPr="007F1C0F">
              <w:rPr>
                <w:rStyle w:val="Strong"/>
                <w:b w:val="0"/>
              </w:rPr>
              <w:t xml:space="preserve">Pētniecība un </w:t>
            </w:r>
            <w:r w:rsidRPr="007F1C0F">
              <w:rPr>
                <w:rStyle w:val="Strong"/>
                <w:b w:val="0"/>
              </w:rPr>
              <w:lastRenderedPageBreak/>
              <w:t>attīstība”,</w:t>
            </w:r>
            <w:r w:rsidRPr="007F1C0F">
              <w:t xml:space="preserve"> </w:t>
            </w:r>
            <w:r w:rsidRPr="007F1C0F">
              <w:rPr>
                <w:color w:val="000000"/>
              </w:rPr>
              <w:t xml:space="preserve">sadarbībā ar starpniekinstitūciju ir </w:t>
            </w:r>
            <w:r w:rsidRPr="007F1C0F">
              <w:t xml:space="preserve">izstrādājusi </w:t>
            </w:r>
            <w:r w:rsidRPr="007F1C0F">
              <w:rPr>
                <w:bCs/>
              </w:rPr>
              <w:t xml:space="preserve">grantu shēmas </w:t>
            </w:r>
            <w:proofErr w:type="spellStart"/>
            <w:r w:rsidRPr="007F1C0F">
              <w:rPr>
                <w:bCs/>
              </w:rPr>
              <w:t>apakšprojektu</w:t>
            </w:r>
            <w:proofErr w:type="spellEnd"/>
            <w:r w:rsidRPr="007F1C0F">
              <w:rPr>
                <w:bCs/>
              </w:rPr>
              <w:t xml:space="preserve"> iesniegumu atklāta konkursa nolikumu, ietverot tajā arī </w:t>
            </w:r>
            <w:smartTag w:uri="schemas-tilde-lv/tildestengine" w:element="veidnes">
              <w:smartTagPr>
                <w:attr w:name="baseform" w:val="iesniegum|s"/>
                <w:attr w:name="id" w:val="-1"/>
                <w:attr w:name="text" w:val="iesniegumu"/>
              </w:smartTagPr>
              <w:r w:rsidRPr="007F1C0F">
                <w:rPr>
                  <w:bCs/>
                </w:rPr>
                <w:t>iesniegumu</w:t>
              </w:r>
            </w:smartTag>
            <w:r w:rsidRPr="007F1C0F">
              <w:rPr>
                <w:bCs/>
              </w:rPr>
              <w:t xml:space="preserve"> vērtēšanas kritērijus.</w:t>
            </w:r>
          </w:p>
        </w:tc>
      </w:tr>
      <w:tr w:rsidR="005F0CAA" w:rsidRPr="007F1C0F" w:rsidTr="000E2C02">
        <w:trPr>
          <w:trHeight w:val="702"/>
        </w:trPr>
        <w:tc>
          <w:tcPr>
            <w:tcW w:w="550" w:type="dxa"/>
          </w:tcPr>
          <w:p w:rsidR="005F0CAA" w:rsidRPr="007F1C0F" w:rsidRDefault="005F0CAA" w:rsidP="006C4607">
            <w:pPr>
              <w:pStyle w:val="naiskr"/>
              <w:spacing w:before="0" w:after="0"/>
            </w:pPr>
            <w:r w:rsidRPr="007F1C0F">
              <w:lastRenderedPageBreak/>
              <w:t>3.</w:t>
            </w:r>
          </w:p>
        </w:tc>
        <w:tc>
          <w:tcPr>
            <w:tcW w:w="4133" w:type="dxa"/>
          </w:tcPr>
          <w:p w:rsidR="005F0CAA" w:rsidRPr="007F1C0F" w:rsidRDefault="005F0CAA" w:rsidP="006C4607">
            <w:pPr>
              <w:pStyle w:val="naiskr"/>
              <w:spacing w:before="0" w:after="0"/>
            </w:pPr>
            <w:r w:rsidRPr="007F1C0F">
              <w:t>Saistītie politikas ietekmes novērtējumi un pētījumi</w:t>
            </w:r>
          </w:p>
        </w:tc>
        <w:tc>
          <w:tcPr>
            <w:tcW w:w="5042" w:type="dxa"/>
          </w:tcPr>
          <w:p w:rsidR="005F0CAA" w:rsidRPr="007F1C0F" w:rsidRDefault="005F0CAA" w:rsidP="00687807">
            <w:pPr>
              <w:pStyle w:val="FootnoteText"/>
              <w:ind w:left="102"/>
              <w:rPr>
                <w:sz w:val="24"/>
                <w:szCs w:val="24"/>
              </w:rPr>
            </w:pPr>
            <w:r w:rsidRPr="007F1C0F">
              <w:rPr>
                <w:sz w:val="24"/>
                <w:szCs w:val="24"/>
              </w:rPr>
              <w:t>Noteikumu projekts šo jomu neskar</w:t>
            </w:r>
          </w:p>
        </w:tc>
      </w:tr>
      <w:tr w:rsidR="005F0CAA" w:rsidRPr="007F1C0F" w:rsidTr="000E2C02">
        <w:trPr>
          <w:trHeight w:val="384"/>
        </w:trPr>
        <w:tc>
          <w:tcPr>
            <w:tcW w:w="550" w:type="dxa"/>
          </w:tcPr>
          <w:p w:rsidR="005F0CAA" w:rsidRPr="007F1C0F" w:rsidRDefault="005F0CAA" w:rsidP="006C4607">
            <w:pPr>
              <w:pStyle w:val="naiskr"/>
              <w:spacing w:before="0" w:after="0"/>
            </w:pPr>
            <w:r w:rsidRPr="007F1C0F">
              <w:t>4.</w:t>
            </w:r>
          </w:p>
        </w:tc>
        <w:tc>
          <w:tcPr>
            <w:tcW w:w="4133" w:type="dxa"/>
          </w:tcPr>
          <w:p w:rsidR="005F0CAA" w:rsidRPr="007F1C0F" w:rsidRDefault="005F0CAA" w:rsidP="006C4607">
            <w:pPr>
              <w:pStyle w:val="naiskr"/>
              <w:spacing w:before="0" w:after="0"/>
            </w:pPr>
            <w:r w:rsidRPr="007F1C0F">
              <w:t>Tiesiskā regulējuma mērķis un būtība</w:t>
            </w:r>
          </w:p>
          <w:p w:rsidR="005F0CAA" w:rsidRPr="007F1C0F" w:rsidRDefault="005F0CAA" w:rsidP="006C4607">
            <w:pPr>
              <w:pStyle w:val="naiskr"/>
              <w:spacing w:before="0" w:after="0"/>
            </w:pPr>
          </w:p>
          <w:p w:rsidR="005F0CAA" w:rsidRPr="007F1C0F" w:rsidRDefault="005F0CAA" w:rsidP="006C4607">
            <w:pPr>
              <w:pStyle w:val="naiskr"/>
              <w:spacing w:before="0" w:after="0"/>
            </w:pPr>
          </w:p>
          <w:p w:rsidR="005F0CAA" w:rsidRPr="007F1C0F" w:rsidRDefault="005F0CAA" w:rsidP="006C4607">
            <w:pPr>
              <w:pStyle w:val="naiskr"/>
              <w:spacing w:before="0" w:after="0"/>
            </w:pPr>
          </w:p>
          <w:p w:rsidR="005F0CAA" w:rsidRPr="007F1C0F" w:rsidRDefault="005F0CAA" w:rsidP="00D2031E">
            <w:pPr>
              <w:spacing w:line="360" w:lineRule="auto"/>
            </w:pPr>
            <w:r w:rsidRPr="007F1C0F">
              <w:t xml:space="preserve"> </w:t>
            </w:r>
            <w:r w:rsidRPr="007F1C0F">
              <w:br/>
            </w:r>
          </w:p>
          <w:p w:rsidR="005F0CAA" w:rsidRPr="007F1C0F" w:rsidRDefault="005F0CAA" w:rsidP="00611420">
            <w:pPr>
              <w:spacing w:line="360" w:lineRule="auto"/>
            </w:pPr>
          </w:p>
        </w:tc>
        <w:tc>
          <w:tcPr>
            <w:tcW w:w="5042" w:type="dxa"/>
          </w:tcPr>
          <w:p w:rsidR="005F0CAA" w:rsidRPr="007F1C0F" w:rsidRDefault="005F0CAA" w:rsidP="00412761">
            <w:pPr>
              <w:pStyle w:val="naiskr"/>
              <w:spacing w:before="0" w:after="0"/>
              <w:ind w:left="102" w:right="81"/>
              <w:jc w:val="both"/>
              <w:rPr>
                <w:color w:val="000000"/>
              </w:rPr>
            </w:pPr>
            <w:r w:rsidRPr="007F1C0F">
              <w:rPr>
                <w:bCs/>
              </w:rPr>
              <w:t xml:space="preserve">Līgums ir noslēgts par laikposmu </w:t>
            </w:r>
            <w:r w:rsidRPr="007F1C0F">
              <w:t>no 2011.gada 1.jūlija līdz 2015.gada 30.septembrim.</w:t>
            </w:r>
            <w:r w:rsidRPr="007F1C0F">
              <w:rPr>
                <w:bCs/>
              </w:rPr>
              <w:t xml:space="preserve"> Lai pildītu </w:t>
            </w:r>
            <w:r w:rsidRPr="007F1C0F">
              <w:t xml:space="preserve">līguma saistības, noteikumu projekts regulē  </w:t>
            </w:r>
            <w:proofErr w:type="spellStart"/>
            <w:r w:rsidRPr="007F1C0F">
              <w:t>apakšprojektu</w:t>
            </w:r>
            <w:proofErr w:type="spellEnd"/>
            <w:r w:rsidRPr="007F1C0F">
              <w:t xml:space="preserve"> iesniegumu atklātu konkursu, nodrošinot grantu shēmas īsteno</w:t>
            </w:r>
            <w:r w:rsidRPr="007F1C0F">
              <w:rPr>
                <w:bCs/>
              </w:rPr>
              <w:t>šanu Latvijā</w:t>
            </w:r>
            <w:r w:rsidRPr="007F1C0F">
              <w:t xml:space="preserve">. Noteikumu projektā </w:t>
            </w:r>
            <w:r w:rsidRPr="007F1C0F">
              <w:rPr>
                <w:bCs/>
              </w:rPr>
              <w:t xml:space="preserve">ir ievērota vadības likumā,  noteikumos Nr.273 un līgumā </w:t>
            </w:r>
            <w:r w:rsidRPr="007F1C0F">
              <w:rPr>
                <w:color w:val="000000"/>
              </w:rPr>
              <w:t>paredzētā</w:t>
            </w:r>
            <w:r w:rsidRPr="007F1C0F">
              <w:rPr>
                <w:bCs/>
              </w:rPr>
              <w:t xml:space="preserve"> grantu shēmas </w:t>
            </w:r>
            <w:r w:rsidRPr="007F1C0F">
              <w:rPr>
                <w:color w:val="000000"/>
              </w:rPr>
              <w:t>īstenošanas kārtība. Tostarp, n</w:t>
            </w:r>
            <w:r w:rsidRPr="007F1C0F">
              <w:t>oteikumu projektā ietvertās normās</w:t>
            </w:r>
            <w:r w:rsidRPr="007F1C0F">
              <w:rPr>
                <w:bCs/>
              </w:rPr>
              <w:t xml:space="preserve"> nosaka</w:t>
            </w:r>
            <w:r w:rsidRPr="007F1C0F">
              <w:t>:</w:t>
            </w:r>
            <w:r w:rsidRPr="007F1C0F">
              <w:rPr>
                <w:color w:val="000000"/>
              </w:rPr>
              <w:t xml:space="preserve"> </w:t>
            </w:r>
            <w:r w:rsidRPr="007F1C0F">
              <w:t xml:space="preserve"> </w:t>
            </w:r>
          </w:p>
          <w:p w:rsidR="005F0CAA" w:rsidRPr="007F1C0F" w:rsidRDefault="005F0CAA" w:rsidP="00C22E75">
            <w:pPr>
              <w:pStyle w:val="naiskr"/>
              <w:spacing w:before="0" w:after="0"/>
              <w:ind w:left="102" w:right="81"/>
              <w:jc w:val="both"/>
              <w:rPr>
                <w:color w:val="000000"/>
              </w:rPr>
            </w:pPr>
            <w:r w:rsidRPr="007F1C0F">
              <w:rPr>
                <w:bCs/>
              </w:rPr>
              <w:t xml:space="preserve">1) starpniekinstitūcijas kā grantu shēmas </w:t>
            </w:r>
            <w:r w:rsidRPr="007F1C0F">
              <w:t xml:space="preserve"> apsaimniekotāja </w:t>
            </w:r>
            <w:r w:rsidRPr="007F1C0F">
              <w:rPr>
                <w:bCs/>
              </w:rPr>
              <w:t xml:space="preserve">kompetenci, kurā ietilpst </w:t>
            </w:r>
            <w:proofErr w:type="spellStart"/>
            <w:r w:rsidRPr="007F1C0F">
              <w:rPr>
                <w:bCs/>
              </w:rPr>
              <w:t>apakšprojektu</w:t>
            </w:r>
            <w:proofErr w:type="spellEnd"/>
            <w:r w:rsidRPr="007F1C0F">
              <w:rPr>
                <w:bCs/>
              </w:rPr>
              <w:t xml:space="preserve"> iesniegumu atklātu konkursu izsludināšana, </w:t>
            </w:r>
            <w:proofErr w:type="spellStart"/>
            <w:r w:rsidRPr="007F1C0F">
              <w:t>apakšprojektu</w:t>
            </w:r>
            <w:proofErr w:type="spellEnd"/>
            <w:r w:rsidRPr="007F1C0F">
              <w:rPr>
                <w:bCs/>
              </w:rPr>
              <w:t xml:space="preserve"> iesniegumu vērtēšana</w:t>
            </w:r>
            <w:r w:rsidRPr="007F1C0F">
              <w:rPr>
                <w:b/>
                <w:bCs/>
              </w:rPr>
              <w:t>s</w:t>
            </w:r>
            <w:r w:rsidRPr="007F1C0F">
              <w:rPr>
                <w:bCs/>
              </w:rPr>
              <w:t xml:space="preserve"> nodrošināšana, lēmuma pieņemšana par </w:t>
            </w:r>
            <w:r w:rsidRPr="007F1C0F">
              <w:t xml:space="preserve"> </w:t>
            </w:r>
            <w:proofErr w:type="spellStart"/>
            <w:r w:rsidRPr="007F1C0F">
              <w:t>apakšprojektu</w:t>
            </w:r>
            <w:proofErr w:type="spellEnd"/>
            <w:r w:rsidRPr="007F1C0F">
              <w:rPr>
                <w:bCs/>
              </w:rPr>
              <w:t xml:space="preserve"> iesniegumu apstiprināšanu </w:t>
            </w:r>
            <w:r w:rsidRPr="007F1C0F">
              <w:t xml:space="preserve">finansējuma piešķiršanai </w:t>
            </w:r>
            <w:r w:rsidRPr="007F1C0F">
              <w:rPr>
                <w:bCs/>
              </w:rPr>
              <w:t xml:space="preserve">vai noraidīšanu, </w:t>
            </w:r>
            <w:r w:rsidRPr="007F1C0F">
              <w:t xml:space="preserve"> </w:t>
            </w:r>
            <w:proofErr w:type="spellStart"/>
            <w:r w:rsidRPr="007F1C0F">
              <w:t>apakšprojektu</w:t>
            </w:r>
            <w:proofErr w:type="spellEnd"/>
            <w:r w:rsidRPr="007F1C0F">
              <w:t xml:space="preserve"> īstenošanas līgumu noslēgšana,  </w:t>
            </w:r>
            <w:proofErr w:type="spellStart"/>
            <w:r w:rsidRPr="007F1C0F">
              <w:t>apakšprojektu</w:t>
            </w:r>
            <w:proofErr w:type="spellEnd"/>
            <w:r w:rsidRPr="007F1C0F">
              <w:t xml:space="preserve"> īstenošanas pārskatu apstiprināšana; </w:t>
            </w:r>
          </w:p>
          <w:p w:rsidR="005F0CAA" w:rsidRPr="007F1C0F" w:rsidRDefault="005F0CAA" w:rsidP="00C22E75">
            <w:pPr>
              <w:pStyle w:val="naiskr"/>
              <w:spacing w:before="0" w:after="0"/>
              <w:ind w:left="102" w:right="81"/>
              <w:jc w:val="both"/>
            </w:pPr>
            <w:r w:rsidRPr="007F1C0F">
              <w:t xml:space="preserve">2) </w:t>
            </w:r>
            <w:proofErr w:type="spellStart"/>
            <w:r w:rsidRPr="007F1C0F">
              <w:t>apakšprojektu</w:t>
            </w:r>
            <w:proofErr w:type="spellEnd"/>
            <w:r w:rsidRPr="007F1C0F">
              <w:t xml:space="preserve"> atbalstāmo aktivitāti, kas ir</w:t>
            </w:r>
            <w:r w:rsidRPr="007F1C0F">
              <w:rPr>
                <w:b/>
              </w:rPr>
              <w:t xml:space="preserve"> </w:t>
            </w:r>
            <w:r w:rsidRPr="007F1C0F">
              <w:t xml:space="preserve">Šveices </w:t>
            </w:r>
            <w:r w:rsidRPr="007F1C0F">
              <w:rPr>
                <w:bCs/>
                <w:iCs/>
              </w:rPr>
              <w:t xml:space="preserve">augstāko izglītības iestāžu un </w:t>
            </w:r>
            <w:r w:rsidRPr="007F1C0F">
              <w:t xml:space="preserve">zinātnisko </w:t>
            </w:r>
            <w:r w:rsidRPr="007F1C0F">
              <w:rPr>
                <w:bCs/>
                <w:iCs/>
              </w:rPr>
              <w:t>institūciju</w:t>
            </w:r>
            <w:r w:rsidRPr="007F1C0F">
              <w:t xml:space="preserve"> personāla ar profesora, asociēta profesora, docenta vai vadošā pētnieka akadēmisko amatu (turpmāk – pētnieks) mobilitāte. Mobilitāte ietver</w:t>
            </w:r>
            <w:r w:rsidRPr="007F1C0F">
              <w:rPr>
                <w:b/>
              </w:rPr>
              <w:t xml:space="preserve"> </w:t>
            </w:r>
            <w:r w:rsidRPr="007F1C0F">
              <w:t xml:space="preserve">lekciju pasniegšanu un zinātniskās darbības pieredzes apmaiņu Latvijas </w:t>
            </w:r>
            <w:r w:rsidRPr="007F1C0F">
              <w:rPr>
                <w:bCs/>
                <w:iCs/>
              </w:rPr>
              <w:t xml:space="preserve">augstskolās un </w:t>
            </w:r>
            <w:r w:rsidRPr="007F1C0F">
              <w:t xml:space="preserve">zinātniskajās </w:t>
            </w:r>
            <w:r w:rsidRPr="007F1C0F">
              <w:rPr>
                <w:bCs/>
                <w:iCs/>
              </w:rPr>
              <w:t>institūcijās</w:t>
            </w:r>
            <w:r w:rsidRPr="007F1C0F">
              <w:t>;</w:t>
            </w:r>
          </w:p>
          <w:p w:rsidR="005F0CAA" w:rsidRPr="007F1C0F" w:rsidRDefault="005F0CAA" w:rsidP="00C22E75">
            <w:pPr>
              <w:pStyle w:val="naiskr"/>
              <w:spacing w:before="0" w:after="0"/>
              <w:ind w:left="102" w:right="81"/>
              <w:jc w:val="both"/>
            </w:pPr>
            <w:r w:rsidRPr="007F1C0F">
              <w:t xml:space="preserve">3) </w:t>
            </w:r>
            <w:proofErr w:type="spellStart"/>
            <w:r w:rsidRPr="007F1C0F">
              <w:rPr>
                <w:bCs/>
              </w:rPr>
              <w:t>apakšprojekta</w:t>
            </w:r>
            <w:proofErr w:type="spellEnd"/>
            <w:r w:rsidRPr="007F1C0F">
              <w:rPr>
                <w:bCs/>
              </w:rPr>
              <w:t xml:space="preserve"> </w:t>
            </w:r>
            <w:r w:rsidRPr="007F1C0F">
              <w:t xml:space="preserve">  iesniedzēju un sadarbības partneru loku;</w:t>
            </w:r>
          </w:p>
          <w:p w:rsidR="005F0CAA" w:rsidRPr="007F1C0F" w:rsidRDefault="005F0CAA" w:rsidP="00C22E75">
            <w:pPr>
              <w:pStyle w:val="naiskr"/>
              <w:spacing w:before="0" w:after="0"/>
              <w:ind w:left="102" w:right="81"/>
              <w:jc w:val="both"/>
            </w:pPr>
            <w:r w:rsidRPr="007F1C0F">
              <w:rPr>
                <w:bCs/>
              </w:rPr>
              <w:t xml:space="preserve">4) grantu shēmas un </w:t>
            </w:r>
            <w:proofErr w:type="spellStart"/>
            <w:r w:rsidRPr="007F1C0F">
              <w:rPr>
                <w:bCs/>
              </w:rPr>
              <w:t>apakšprojektu</w:t>
            </w:r>
            <w:proofErr w:type="spellEnd"/>
            <w:r w:rsidRPr="007F1C0F">
              <w:rPr>
                <w:bCs/>
              </w:rPr>
              <w:t xml:space="preserve"> </w:t>
            </w:r>
            <w:r w:rsidRPr="007F1C0F">
              <w:t>finansējumu, kurā ietilpst pētniekam piešķirtā stipendija atbalstāmo aktivitāšu īstenošanai;</w:t>
            </w:r>
          </w:p>
          <w:p w:rsidR="005F0CAA" w:rsidRPr="007F1C0F" w:rsidRDefault="005F0CAA" w:rsidP="00C22E75">
            <w:pPr>
              <w:pStyle w:val="naiskr"/>
              <w:spacing w:before="0" w:after="0"/>
              <w:ind w:left="102" w:right="81"/>
              <w:jc w:val="both"/>
            </w:pPr>
            <w:r w:rsidRPr="007F1C0F">
              <w:rPr>
                <w:bCs/>
              </w:rPr>
              <w:t xml:space="preserve">5)  prasības </w:t>
            </w:r>
            <w:proofErr w:type="spellStart"/>
            <w:r w:rsidRPr="007F1C0F">
              <w:rPr>
                <w:bCs/>
              </w:rPr>
              <w:t>apakšprojektu</w:t>
            </w:r>
            <w:proofErr w:type="spellEnd"/>
            <w:r w:rsidRPr="007F1C0F">
              <w:rPr>
                <w:bCs/>
              </w:rPr>
              <w:t xml:space="preserve"> iesniegumu</w:t>
            </w:r>
            <w:r w:rsidRPr="007F1C0F">
              <w:t xml:space="preserve"> noformēšanai un iesniegšanai;</w:t>
            </w:r>
          </w:p>
          <w:p w:rsidR="005F0CAA" w:rsidRPr="007F1C0F" w:rsidRDefault="005F0CAA" w:rsidP="00C22E75">
            <w:pPr>
              <w:pStyle w:val="naiskr"/>
              <w:spacing w:before="0" w:after="0"/>
              <w:ind w:left="102" w:right="81"/>
              <w:jc w:val="both"/>
            </w:pPr>
            <w:r w:rsidRPr="007F1C0F">
              <w:rPr>
                <w:bCs/>
              </w:rPr>
              <w:t xml:space="preserve">6) </w:t>
            </w:r>
            <w:proofErr w:type="spellStart"/>
            <w:r w:rsidRPr="007F1C0F">
              <w:rPr>
                <w:bCs/>
              </w:rPr>
              <w:t>apakšprojektu</w:t>
            </w:r>
            <w:proofErr w:type="spellEnd"/>
            <w:r w:rsidRPr="007F1C0F">
              <w:rPr>
                <w:bCs/>
              </w:rPr>
              <w:t xml:space="preserve"> iesniegumu</w:t>
            </w:r>
            <w:r w:rsidRPr="007F1C0F">
              <w:t xml:space="preserve"> vērtēšanas procedūru, ietverot vērtēšanas kritērijus.</w:t>
            </w:r>
            <w:r w:rsidRPr="007F1C0F">
              <w:rPr>
                <w:b/>
              </w:rPr>
              <w:t xml:space="preserve"> </w:t>
            </w:r>
            <w:proofErr w:type="spellStart"/>
            <w:r w:rsidRPr="007F1C0F">
              <w:t>Apakšprojektu</w:t>
            </w:r>
            <w:proofErr w:type="spellEnd"/>
            <w:r w:rsidRPr="007F1C0F">
              <w:t xml:space="preserve"> iesniegumu vērtēšanā atbilstoši kvalitātes vērtēšanas kritērijiem tiks piesaistīti  attiecīgās zinātnes nozares eksperti, kuri sniegs savu profesionālo vērtējumu. Vērtēšanas ekspertiem starpniekinstitūcija izstrādās vadlīnijas, kurās tiks noteikta </w:t>
            </w:r>
            <w:proofErr w:type="spellStart"/>
            <w:r w:rsidRPr="007F1C0F">
              <w:t>apakšprojektu</w:t>
            </w:r>
            <w:proofErr w:type="spellEnd"/>
            <w:r w:rsidRPr="007F1C0F">
              <w:t xml:space="preserve"> iesniegumu vērtēšanas  metodika;</w:t>
            </w:r>
          </w:p>
          <w:p w:rsidR="005F0CAA" w:rsidRPr="007F1C0F" w:rsidRDefault="005F0CAA" w:rsidP="00050E20">
            <w:pPr>
              <w:pStyle w:val="naiskr"/>
              <w:spacing w:before="0" w:after="0"/>
              <w:ind w:left="102" w:right="81"/>
              <w:jc w:val="both"/>
              <w:rPr>
                <w:color w:val="000000"/>
              </w:rPr>
            </w:pPr>
            <w:r w:rsidRPr="007F1C0F">
              <w:t xml:space="preserve">7) lēmumu  pieņemšanas par </w:t>
            </w:r>
            <w:proofErr w:type="spellStart"/>
            <w:r w:rsidRPr="007F1C0F">
              <w:rPr>
                <w:bCs/>
              </w:rPr>
              <w:t>apakšprojektu</w:t>
            </w:r>
            <w:proofErr w:type="spellEnd"/>
            <w:r w:rsidRPr="007F1C0F">
              <w:rPr>
                <w:bCs/>
              </w:rPr>
              <w:t xml:space="preserve"> </w:t>
            </w:r>
            <w:r w:rsidRPr="007F1C0F">
              <w:rPr>
                <w:bCs/>
              </w:rPr>
              <w:lastRenderedPageBreak/>
              <w:t xml:space="preserve">iesniegumu apstiprināšanu vai noraidīšanu un rezultātu paziņošanas </w:t>
            </w:r>
            <w:r w:rsidRPr="007F1C0F">
              <w:t xml:space="preserve">kārtību </w:t>
            </w:r>
            <w:proofErr w:type="spellStart"/>
            <w:r w:rsidRPr="007F1C0F">
              <w:rPr>
                <w:bCs/>
              </w:rPr>
              <w:t>apakšprojektu</w:t>
            </w:r>
            <w:proofErr w:type="spellEnd"/>
            <w:r w:rsidRPr="007F1C0F">
              <w:rPr>
                <w:bCs/>
              </w:rPr>
              <w:t xml:space="preserve"> </w:t>
            </w:r>
            <w:r w:rsidRPr="007F1C0F">
              <w:t xml:space="preserve">  iesniedzējiem.</w:t>
            </w:r>
            <w:r w:rsidRPr="007F1C0F">
              <w:rPr>
                <w:highlight w:val="yellow"/>
              </w:rPr>
              <w:t xml:space="preserve"> </w:t>
            </w:r>
          </w:p>
        </w:tc>
      </w:tr>
      <w:tr w:rsidR="005F0CAA" w:rsidRPr="007F1C0F" w:rsidTr="000E2C02">
        <w:trPr>
          <w:trHeight w:val="476"/>
        </w:trPr>
        <w:tc>
          <w:tcPr>
            <w:tcW w:w="550" w:type="dxa"/>
          </w:tcPr>
          <w:p w:rsidR="005F0CAA" w:rsidRPr="007F1C0F" w:rsidRDefault="005F0CAA" w:rsidP="006C4607">
            <w:pPr>
              <w:pStyle w:val="naiskr"/>
              <w:spacing w:before="0" w:after="0"/>
            </w:pPr>
            <w:r w:rsidRPr="007F1C0F">
              <w:lastRenderedPageBreak/>
              <w:t>5.</w:t>
            </w:r>
          </w:p>
        </w:tc>
        <w:tc>
          <w:tcPr>
            <w:tcW w:w="4133" w:type="dxa"/>
          </w:tcPr>
          <w:p w:rsidR="005F0CAA" w:rsidRPr="007F1C0F" w:rsidRDefault="005F0CAA" w:rsidP="006C4607">
            <w:pPr>
              <w:pStyle w:val="naiskr"/>
              <w:spacing w:before="0" w:after="0"/>
            </w:pPr>
            <w:r w:rsidRPr="007F1C0F">
              <w:t>Projekta izstrādē iesaistītās institūcijas</w:t>
            </w:r>
          </w:p>
        </w:tc>
        <w:tc>
          <w:tcPr>
            <w:tcW w:w="5042" w:type="dxa"/>
          </w:tcPr>
          <w:p w:rsidR="005F0CAA" w:rsidRPr="007F1C0F" w:rsidRDefault="005F0CAA" w:rsidP="00F12EFA">
            <w:pPr>
              <w:pStyle w:val="naiskr"/>
              <w:spacing w:before="0" w:after="0"/>
              <w:ind w:left="102" w:right="81"/>
              <w:jc w:val="both"/>
              <w:rPr>
                <w:highlight w:val="yellow"/>
              </w:rPr>
            </w:pPr>
            <w:r w:rsidRPr="007F1C0F">
              <w:rPr>
                <w:color w:val="000000"/>
              </w:rPr>
              <w:t xml:space="preserve">Projektu ir izstrādājusi ministrija sadarbībā ar starpniekinstitūciju. </w:t>
            </w:r>
            <w:r w:rsidRPr="007F1C0F">
              <w:t>Projekta izstrādes gaitā ir notikušas neformālas konsultācijas ar vadošo iestādi</w:t>
            </w:r>
            <w:r w:rsidR="0051757F" w:rsidRPr="007F1C0F">
              <w:t>.</w:t>
            </w:r>
          </w:p>
        </w:tc>
      </w:tr>
      <w:tr w:rsidR="005F0CAA" w:rsidRPr="007F1C0F" w:rsidTr="000E2C02">
        <w:trPr>
          <w:trHeight w:val="578"/>
        </w:trPr>
        <w:tc>
          <w:tcPr>
            <w:tcW w:w="550" w:type="dxa"/>
          </w:tcPr>
          <w:p w:rsidR="005F0CAA" w:rsidRPr="007F1C0F" w:rsidRDefault="005F0CAA" w:rsidP="006C4607">
            <w:pPr>
              <w:pStyle w:val="naiskr"/>
              <w:spacing w:before="0" w:after="0"/>
            </w:pPr>
            <w:r w:rsidRPr="007F1C0F">
              <w:t>6.</w:t>
            </w:r>
          </w:p>
        </w:tc>
        <w:tc>
          <w:tcPr>
            <w:tcW w:w="4133" w:type="dxa"/>
          </w:tcPr>
          <w:p w:rsidR="005F0CAA" w:rsidRPr="007F1C0F" w:rsidRDefault="005F0CAA" w:rsidP="006C4607">
            <w:pPr>
              <w:pStyle w:val="naiskr"/>
              <w:spacing w:before="0" w:after="0"/>
              <w:rPr>
                <w:i/>
              </w:rPr>
            </w:pPr>
            <w:r w:rsidRPr="007F1C0F">
              <w:t>Iemesli, kādēļ netika nodrošināta sabiedrības līdzdalība</w:t>
            </w:r>
          </w:p>
        </w:tc>
        <w:tc>
          <w:tcPr>
            <w:tcW w:w="5042" w:type="dxa"/>
          </w:tcPr>
          <w:p w:rsidR="005F0CAA" w:rsidRPr="007F1C0F" w:rsidRDefault="005F0CAA" w:rsidP="004A1B4D">
            <w:pPr>
              <w:pStyle w:val="NormalWeb"/>
              <w:spacing w:before="0" w:after="0"/>
              <w:ind w:left="102" w:right="81"/>
              <w:rPr>
                <w:sz w:val="24"/>
                <w:szCs w:val="24"/>
              </w:rPr>
            </w:pPr>
            <w:r w:rsidRPr="007F1C0F">
              <w:rPr>
                <w:sz w:val="24"/>
                <w:szCs w:val="24"/>
              </w:rPr>
              <w:t xml:space="preserve">Noteikumu projekts šo jomu neskar </w:t>
            </w:r>
          </w:p>
        </w:tc>
      </w:tr>
      <w:tr w:rsidR="005F0CAA" w:rsidRPr="007F1C0F" w:rsidTr="000E2C02">
        <w:tc>
          <w:tcPr>
            <w:tcW w:w="550" w:type="dxa"/>
          </w:tcPr>
          <w:p w:rsidR="005F0CAA" w:rsidRPr="007F1C0F" w:rsidRDefault="005F0CAA" w:rsidP="006C4607">
            <w:pPr>
              <w:pStyle w:val="naiskr"/>
              <w:spacing w:before="0" w:after="0"/>
            </w:pPr>
            <w:r w:rsidRPr="007F1C0F">
              <w:t>7.</w:t>
            </w:r>
          </w:p>
        </w:tc>
        <w:tc>
          <w:tcPr>
            <w:tcW w:w="4133" w:type="dxa"/>
          </w:tcPr>
          <w:p w:rsidR="005F0CAA" w:rsidRPr="007F1C0F" w:rsidRDefault="005F0CAA" w:rsidP="006C4607">
            <w:pPr>
              <w:pStyle w:val="naiskr"/>
              <w:spacing w:before="0" w:after="0"/>
            </w:pPr>
            <w:r w:rsidRPr="007F1C0F">
              <w:t>Cita informācija</w:t>
            </w:r>
          </w:p>
        </w:tc>
        <w:tc>
          <w:tcPr>
            <w:tcW w:w="5042" w:type="dxa"/>
          </w:tcPr>
          <w:p w:rsidR="005F0CAA" w:rsidRPr="007F1C0F" w:rsidRDefault="005F0CAA" w:rsidP="00921F9B">
            <w:pPr>
              <w:pStyle w:val="naiskr"/>
              <w:spacing w:before="0" w:after="0"/>
              <w:ind w:left="102" w:right="81"/>
              <w:jc w:val="both"/>
              <w:rPr>
                <w:highlight w:val="yellow"/>
              </w:rPr>
            </w:pPr>
            <w:r w:rsidRPr="007F1C0F">
              <w:t xml:space="preserve">Ir saņemts Šveices Konfederācijas vēstniecības Latvijā apstiprinājums (elektroniski), ka noteikumu projektā </w:t>
            </w:r>
            <w:r w:rsidRPr="007F1C0F">
              <w:rPr>
                <w:color w:val="000000"/>
              </w:rPr>
              <w:t>paredzētie pētnieku akadēmisko amatu nosaukumi atbilst Šveices augstskolās un zinātniskajās institūcijās lietotajiem.</w:t>
            </w:r>
          </w:p>
        </w:tc>
      </w:tr>
    </w:tbl>
    <w:p w:rsidR="005F0CAA" w:rsidRPr="007F1C0F" w:rsidRDefault="005F0CAA" w:rsidP="006C4607">
      <w:pPr>
        <w:pStyle w:val="naisf"/>
        <w:spacing w:before="0" w:after="0"/>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4111"/>
        <w:gridCol w:w="4961"/>
      </w:tblGrid>
      <w:tr w:rsidR="005F0CAA" w:rsidRPr="007F1C0F" w:rsidTr="00C32E46">
        <w:tc>
          <w:tcPr>
            <w:tcW w:w="9644" w:type="dxa"/>
            <w:gridSpan w:val="3"/>
            <w:vAlign w:val="center"/>
          </w:tcPr>
          <w:p w:rsidR="005F0CAA" w:rsidRPr="007F1C0F" w:rsidRDefault="005F0CAA" w:rsidP="00C32E46">
            <w:pPr>
              <w:pStyle w:val="naisnod"/>
              <w:spacing w:before="0" w:after="0"/>
            </w:pPr>
            <w:r w:rsidRPr="007F1C0F">
              <w:t>II. Tiesību akta projekta ietekme uz sabiedrību</w:t>
            </w:r>
          </w:p>
        </w:tc>
      </w:tr>
      <w:tr w:rsidR="005F0CAA" w:rsidRPr="007F1C0F" w:rsidTr="000E2C02">
        <w:trPr>
          <w:trHeight w:val="467"/>
        </w:trPr>
        <w:tc>
          <w:tcPr>
            <w:tcW w:w="572" w:type="dxa"/>
          </w:tcPr>
          <w:p w:rsidR="005F0CAA" w:rsidRPr="007F1C0F" w:rsidRDefault="005F0CAA" w:rsidP="00C32E46">
            <w:pPr>
              <w:pStyle w:val="naiskr"/>
              <w:spacing w:before="0" w:after="0"/>
            </w:pPr>
            <w:r w:rsidRPr="007F1C0F">
              <w:t>1.</w:t>
            </w:r>
          </w:p>
        </w:tc>
        <w:tc>
          <w:tcPr>
            <w:tcW w:w="4111" w:type="dxa"/>
          </w:tcPr>
          <w:p w:rsidR="005F0CAA" w:rsidRPr="007F1C0F" w:rsidRDefault="005F0CAA" w:rsidP="00C32E46">
            <w:pPr>
              <w:pStyle w:val="naiskr"/>
              <w:spacing w:before="0" w:after="0"/>
            </w:pPr>
            <w:r w:rsidRPr="007F1C0F">
              <w:t xml:space="preserve">Sabiedrības </w:t>
            </w:r>
            <w:proofErr w:type="spellStart"/>
            <w:r w:rsidRPr="007F1C0F">
              <w:t>mērķgrupa</w:t>
            </w:r>
            <w:proofErr w:type="spellEnd"/>
          </w:p>
          <w:p w:rsidR="005F0CAA" w:rsidRPr="007F1C0F" w:rsidRDefault="005F0CAA" w:rsidP="00C32E46">
            <w:pPr>
              <w:pStyle w:val="naiskr"/>
              <w:spacing w:before="0" w:after="0"/>
            </w:pPr>
            <w:r w:rsidRPr="007F1C0F">
              <w:br/>
            </w:r>
          </w:p>
        </w:tc>
        <w:tc>
          <w:tcPr>
            <w:tcW w:w="4961" w:type="dxa"/>
          </w:tcPr>
          <w:p w:rsidR="005F0CAA" w:rsidRPr="007F1C0F" w:rsidRDefault="005F0CAA" w:rsidP="00F215D1">
            <w:pPr>
              <w:pStyle w:val="naiskr"/>
              <w:spacing w:before="0" w:after="0"/>
              <w:ind w:left="141" w:right="114"/>
              <w:jc w:val="both"/>
            </w:pPr>
            <w:r w:rsidRPr="007F1C0F">
              <w:t xml:space="preserve">Latvijas augstskolu akadēmiskais personāls un studenti. Latvijas zinātnisko institūciju zinātniskie darbinieki. </w:t>
            </w:r>
            <w:r w:rsidRPr="007F1C0F">
              <w:rPr>
                <w:iCs/>
              </w:rPr>
              <w:t>Sabiedrības mērķa grupas lielums ir aptuveni 2000 personas no 20 institūcijām.</w:t>
            </w:r>
          </w:p>
        </w:tc>
      </w:tr>
      <w:tr w:rsidR="005F0CAA" w:rsidRPr="007F1C0F" w:rsidTr="000E2C02">
        <w:trPr>
          <w:trHeight w:val="523"/>
        </w:trPr>
        <w:tc>
          <w:tcPr>
            <w:tcW w:w="572" w:type="dxa"/>
          </w:tcPr>
          <w:p w:rsidR="005F0CAA" w:rsidRPr="007F1C0F" w:rsidRDefault="005F0CAA" w:rsidP="00C32E46">
            <w:pPr>
              <w:pStyle w:val="naiskr"/>
              <w:spacing w:before="0" w:after="0"/>
            </w:pPr>
            <w:r w:rsidRPr="007F1C0F">
              <w:t>2.</w:t>
            </w:r>
          </w:p>
        </w:tc>
        <w:tc>
          <w:tcPr>
            <w:tcW w:w="4111" w:type="dxa"/>
          </w:tcPr>
          <w:p w:rsidR="005F0CAA" w:rsidRPr="007F1C0F" w:rsidRDefault="005F0CAA" w:rsidP="00C32E46">
            <w:pPr>
              <w:pStyle w:val="naiskr"/>
              <w:spacing w:before="0" w:after="0"/>
            </w:pPr>
            <w:r w:rsidRPr="007F1C0F">
              <w:t xml:space="preserve">Citas sabiedrības grupas (bez </w:t>
            </w:r>
            <w:proofErr w:type="spellStart"/>
            <w:r w:rsidRPr="007F1C0F">
              <w:t>mērķgrupas</w:t>
            </w:r>
            <w:proofErr w:type="spellEnd"/>
            <w:r w:rsidRPr="007F1C0F">
              <w:t>), kuras tiesiskais regulējums arī ietekmē vai varētu ietekmēt</w:t>
            </w:r>
          </w:p>
        </w:tc>
        <w:tc>
          <w:tcPr>
            <w:tcW w:w="4961" w:type="dxa"/>
          </w:tcPr>
          <w:p w:rsidR="005F0CAA" w:rsidRPr="007F1C0F" w:rsidRDefault="005F0CAA" w:rsidP="00C32E46">
            <w:pPr>
              <w:pStyle w:val="naiskr"/>
              <w:spacing w:before="0" w:after="0"/>
              <w:ind w:left="141" w:right="114"/>
              <w:jc w:val="both"/>
            </w:pPr>
            <w:r w:rsidRPr="007F1C0F">
              <w:t>Noteikumu projekts šo jomu neskar</w:t>
            </w:r>
          </w:p>
          <w:p w:rsidR="005F0CAA" w:rsidRPr="007F1C0F" w:rsidRDefault="005F0CAA" w:rsidP="00C32E46">
            <w:pPr>
              <w:pStyle w:val="naiskr"/>
              <w:spacing w:before="0" w:after="0"/>
              <w:ind w:left="141" w:right="114"/>
              <w:jc w:val="both"/>
              <w:rPr>
                <w:highlight w:val="yellow"/>
              </w:rPr>
            </w:pPr>
          </w:p>
        </w:tc>
      </w:tr>
      <w:tr w:rsidR="005F0CAA" w:rsidRPr="007F1C0F" w:rsidTr="000E2C02">
        <w:trPr>
          <w:trHeight w:val="517"/>
        </w:trPr>
        <w:tc>
          <w:tcPr>
            <w:tcW w:w="572" w:type="dxa"/>
          </w:tcPr>
          <w:p w:rsidR="005F0CAA" w:rsidRPr="007F1C0F" w:rsidRDefault="005F0CAA" w:rsidP="00C32E46">
            <w:pPr>
              <w:pStyle w:val="naiskr"/>
              <w:spacing w:before="0" w:after="0"/>
            </w:pPr>
            <w:r w:rsidRPr="007F1C0F">
              <w:t>3.</w:t>
            </w:r>
          </w:p>
        </w:tc>
        <w:tc>
          <w:tcPr>
            <w:tcW w:w="4111" w:type="dxa"/>
          </w:tcPr>
          <w:p w:rsidR="005F0CAA" w:rsidRPr="007F1C0F" w:rsidRDefault="005F0CAA" w:rsidP="00C32E46">
            <w:pPr>
              <w:pStyle w:val="naiskr"/>
              <w:spacing w:before="0" w:after="0"/>
            </w:pPr>
            <w:r w:rsidRPr="007F1C0F">
              <w:t>Tiesiskā regulējuma finansiālā ietekme</w:t>
            </w:r>
          </w:p>
          <w:p w:rsidR="005F0CAA" w:rsidRPr="007F1C0F" w:rsidRDefault="005F0CAA" w:rsidP="00C32E46">
            <w:pPr>
              <w:pStyle w:val="naiskr"/>
              <w:spacing w:before="0" w:after="0"/>
            </w:pPr>
          </w:p>
          <w:p w:rsidR="005F0CAA" w:rsidRPr="007F1C0F" w:rsidRDefault="005F0CAA" w:rsidP="00C32E46">
            <w:pPr>
              <w:spacing w:line="360" w:lineRule="auto"/>
            </w:pPr>
          </w:p>
        </w:tc>
        <w:tc>
          <w:tcPr>
            <w:tcW w:w="4961" w:type="dxa"/>
          </w:tcPr>
          <w:p w:rsidR="005F0CAA" w:rsidRPr="007F1C0F" w:rsidRDefault="005F0CAA" w:rsidP="00C32E46">
            <w:pPr>
              <w:pStyle w:val="naiskr"/>
              <w:spacing w:before="0" w:after="0"/>
              <w:ind w:left="141" w:right="141"/>
              <w:jc w:val="both"/>
            </w:pPr>
            <w:r w:rsidRPr="007F1C0F">
              <w:t xml:space="preserve">Grantu shēmas finansējumu veido valsts budžeta līdzfinansējums 15% apjomā un sadarbības programmas finansējums 85% apjomā. Kārtējā gada Valsts budžeta likumā plāno valsts budžeta līdzfinansējumu un sadarbības programmas finansējumu 100% apjomā kā dotāciju no vispārējiem ieņēmumiem saskaņā ar </w:t>
            </w:r>
            <w:r w:rsidRPr="007F1C0F">
              <w:rPr>
                <w:bCs/>
              </w:rPr>
              <w:t>noteikumu Nr.273</w:t>
            </w:r>
            <w:r w:rsidRPr="007F1C0F">
              <w:t xml:space="preserve"> 95.punktu. </w:t>
            </w:r>
          </w:p>
          <w:p w:rsidR="005F0CAA" w:rsidRPr="007F1C0F" w:rsidRDefault="005F0CAA" w:rsidP="00C32E46">
            <w:pPr>
              <w:pStyle w:val="naiskr"/>
              <w:spacing w:before="0" w:after="0"/>
              <w:ind w:left="113" w:right="113"/>
              <w:jc w:val="both"/>
            </w:pPr>
            <w:r w:rsidRPr="007F1C0F">
              <w:t xml:space="preserve">No kopējā grantu shēmas finansējuma 90% tiks novirzīti </w:t>
            </w:r>
            <w:proofErr w:type="spellStart"/>
            <w:r w:rsidRPr="007F1C0F">
              <w:t>apakšprojektu</w:t>
            </w:r>
            <w:proofErr w:type="spellEnd"/>
            <w:r w:rsidRPr="007F1C0F">
              <w:t xml:space="preserve"> īstenošanai un 10% starpniekinstitūcijas administratīvajām izmaksām. </w:t>
            </w:r>
          </w:p>
          <w:p w:rsidR="005F0CAA" w:rsidRPr="007F1C0F" w:rsidRDefault="005F0CAA" w:rsidP="00C32E46">
            <w:pPr>
              <w:ind w:left="141" w:right="141"/>
              <w:jc w:val="both"/>
              <w:rPr>
                <w:color w:val="000000"/>
              </w:rPr>
            </w:pPr>
            <w:r w:rsidRPr="007F1C0F">
              <w:rPr>
                <w:color w:val="000000"/>
              </w:rPr>
              <w:t xml:space="preserve">Saskaņā ar Ministru kabineta 2001.gada 8.augusta rīkojuma Nr.385 „Par biedrībām, nodibinājumiem un starptautiskajām izglītības un sadarbības programmām” 2.3.35.apakšpunktu </w:t>
            </w:r>
            <w:proofErr w:type="spellStart"/>
            <w:r w:rsidRPr="007F1C0F">
              <w:rPr>
                <w:color w:val="000000"/>
              </w:rPr>
              <w:t>a</w:t>
            </w:r>
            <w:r w:rsidRPr="007F1C0F">
              <w:rPr>
                <w:bCs/>
              </w:rPr>
              <w:t>pakšprojektu</w:t>
            </w:r>
            <w:proofErr w:type="spellEnd"/>
            <w:r w:rsidRPr="007F1C0F">
              <w:rPr>
                <w:bCs/>
              </w:rPr>
              <w:t xml:space="preserve"> ietvaros veiktajiem maksājumiem netiks piemērots </w:t>
            </w:r>
            <w:r w:rsidRPr="007F1C0F">
              <w:rPr>
                <w:color w:val="000000"/>
              </w:rPr>
              <w:t xml:space="preserve">iedzīvotāju ienākuma nodoklis. </w:t>
            </w:r>
          </w:p>
          <w:p w:rsidR="005F0CAA" w:rsidRPr="007F1C0F" w:rsidRDefault="005F0CAA" w:rsidP="00C32E46">
            <w:pPr>
              <w:pStyle w:val="CommentText"/>
              <w:ind w:left="141" w:right="141"/>
              <w:jc w:val="both"/>
              <w:rPr>
                <w:sz w:val="24"/>
                <w:szCs w:val="24"/>
              </w:rPr>
            </w:pPr>
            <w:proofErr w:type="spellStart"/>
            <w:r w:rsidRPr="007F1C0F">
              <w:rPr>
                <w:sz w:val="24"/>
                <w:szCs w:val="24"/>
              </w:rPr>
              <w:t>Apakšprojektu</w:t>
            </w:r>
            <w:proofErr w:type="spellEnd"/>
            <w:r w:rsidRPr="007F1C0F">
              <w:rPr>
                <w:sz w:val="24"/>
                <w:szCs w:val="24"/>
              </w:rPr>
              <w:t xml:space="preserve"> iesniegumu atklātu konkursu starpniekinstitūcija īstenos sešās kārtās. Grantu shēma</w:t>
            </w:r>
            <w:r w:rsidRPr="007F1C0F">
              <w:rPr>
                <w:b/>
                <w:sz w:val="24"/>
                <w:szCs w:val="24"/>
              </w:rPr>
              <w:t xml:space="preserve"> </w:t>
            </w:r>
            <w:r w:rsidRPr="007F1C0F">
              <w:rPr>
                <w:sz w:val="24"/>
                <w:szCs w:val="24"/>
              </w:rPr>
              <w:t xml:space="preserve">veicinās Latvijas augstskolu un zinātnisko institūciju ilgtspējīgu sadarbību ar Šveices </w:t>
            </w:r>
            <w:r w:rsidRPr="007F1C0F">
              <w:rPr>
                <w:bCs/>
                <w:iCs/>
                <w:sz w:val="24"/>
                <w:szCs w:val="24"/>
              </w:rPr>
              <w:t xml:space="preserve">augstākās izglītības iestādēm un </w:t>
            </w:r>
            <w:r w:rsidRPr="007F1C0F">
              <w:rPr>
                <w:sz w:val="24"/>
                <w:szCs w:val="24"/>
              </w:rPr>
              <w:t xml:space="preserve">zinātniskajām </w:t>
            </w:r>
            <w:r w:rsidRPr="007F1C0F">
              <w:rPr>
                <w:bCs/>
                <w:iCs/>
                <w:sz w:val="24"/>
                <w:szCs w:val="24"/>
              </w:rPr>
              <w:t>institūcijām.</w:t>
            </w:r>
            <w:r w:rsidRPr="007F1C0F">
              <w:rPr>
                <w:sz w:val="24"/>
                <w:szCs w:val="24"/>
              </w:rPr>
              <w:t xml:space="preserve"> </w:t>
            </w:r>
          </w:p>
          <w:p w:rsidR="005F0CAA" w:rsidRPr="007F1C0F" w:rsidRDefault="005F0CAA" w:rsidP="003214FB">
            <w:pPr>
              <w:pStyle w:val="naiskr"/>
              <w:spacing w:before="0" w:after="0"/>
              <w:ind w:left="141" w:right="141"/>
              <w:jc w:val="both"/>
              <w:rPr>
                <w:highlight w:val="yellow"/>
              </w:rPr>
            </w:pPr>
            <w:r w:rsidRPr="007F1C0F">
              <w:lastRenderedPageBreak/>
              <w:t xml:space="preserve">Atklāta konkursa ietvaros </w:t>
            </w:r>
            <w:proofErr w:type="spellStart"/>
            <w:r w:rsidRPr="007F1C0F">
              <w:t>apakšprojektiem</w:t>
            </w:r>
            <w:proofErr w:type="spellEnd"/>
            <w:r w:rsidRPr="007F1C0F">
              <w:t xml:space="preserve"> pieejamais finansējums ir 529 411 Šveices franku (turpmāk – CHF). </w:t>
            </w:r>
            <w:proofErr w:type="spellStart"/>
            <w:r w:rsidRPr="007F1C0F">
              <w:t>Apakšprojektam</w:t>
            </w:r>
            <w:proofErr w:type="spellEnd"/>
            <w:r w:rsidRPr="007F1C0F">
              <w:t>, kas paredz minimālo mobilitātes periodu (piecas kalendāra dienas), pieejamais finansējums ir CHF 1 505</w:t>
            </w:r>
            <w:r w:rsidRPr="007F1C0F">
              <w:rPr>
                <w:b/>
              </w:rPr>
              <w:t xml:space="preserve">, </w:t>
            </w:r>
            <w:r w:rsidRPr="007F1C0F">
              <w:t xml:space="preserve">savukārt </w:t>
            </w:r>
            <w:r w:rsidR="003214FB" w:rsidRPr="007F1C0F">
              <w:t>maksimālajam  mobilitātes periodam</w:t>
            </w:r>
            <w:r w:rsidRPr="007F1C0F">
              <w:t xml:space="preserve"> (60 kalendāra dienas)</w:t>
            </w:r>
            <w:r w:rsidRPr="007F1C0F">
              <w:rPr>
                <w:b/>
              </w:rPr>
              <w:t xml:space="preserve"> </w:t>
            </w:r>
            <w:r w:rsidR="000A597D" w:rsidRPr="007F1C0F">
              <w:t>ir</w:t>
            </w:r>
            <w:r w:rsidRPr="007F1C0F">
              <w:t xml:space="preserve"> </w:t>
            </w:r>
            <w:r w:rsidR="003214FB" w:rsidRPr="007F1C0F">
              <w:t xml:space="preserve">pieejami </w:t>
            </w:r>
            <w:r w:rsidRPr="007F1C0F">
              <w:t>CHF 11 680.</w:t>
            </w:r>
          </w:p>
        </w:tc>
      </w:tr>
      <w:tr w:rsidR="005F0CAA" w:rsidRPr="007F1C0F" w:rsidTr="000E2C02">
        <w:trPr>
          <w:trHeight w:val="517"/>
        </w:trPr>
        <w:tc>
          <w:tcPr>
            <w:tcW w:w="572" w:type="dxa"/>
          </w:tcPr>
          <w:p w:rsidR="005F0CAA" w:rsidRPr="007F1C0F" w:rsidRDefault="005F0CAA" w:rsidP="00C32E46">
            <w:pPr>
              <w:pStyle w:val="naiskr"/>
              <w:spacing w:before="0" w:after="0"/>
            </w:pPr>
            <w:r w:rsidRPr="007F1C0F">
              <w:lastRenderedPageBreak/>
              <w:t>4.</w:t>
            </w:r>
          </w:p>
        </w:tc>
        <w:tc>
          <w:tcPr>
            <w:tcW w:w="4111" w:type="dxa"/>
          </w:tcPr>
          <w:p w:rsidR="005F0CAA" w:rsidRPr="007F1C0F" w:rsidRDefault="005F0CAA" w:rsidP="00F215D1">
            <w:pPr>
              <w:pStyle w:val="naiskr"/>
              <w:spacing w:before="0" w:after="0"/>
            </w:pPr>
            <w:r w:rsidRPr="007F1C0F">
              <w:t>Tiesiskā regulējuma nefinansiālā ietekme</w:t>
            </w:r>
            <w:r w:rsidRPr="007F1C0F">
              <w:br/>
            </w:r>
          </w:p>
        </w:tc>
        <w:tc>
          <w:tcPr>
            <w:tcW w:w="4961" w:type="dxa"/>
          </w:tcPr>
          <w:p w:rsidR="005F0CAA" w:rsidRPr="007F1C0F" w:rsidRDefault="005F0CAA" w:rsidP="00225903">
            <w:pPr>
              <w:pStyle w:val="naiskr"/>
              <w:tabs>
                <w:tab w:val="left" w:pos="4394"/>
                <w:tab w:val="left" w:pos="4536"/>
              </w:tabs>
              <w:spacing w:before="0" w:after="0"/>
              <w:ind w:left="141" w:right="141"/>
              <w:jc w:val="both"/>
            </w:pPr>
            <w:r w:rsidRPr="007F1C0F">
              <w:t xml:space="preserve">Grantu shēmas īstenošana veicinās sadarbību </w:t>
            </w:r>
            <w:r w:rsidRPr="007F1C0F">
              <w:rPr>
                <w:bCs/>
              </w:rPr>
              <w:t>augstākās izglītības un zinātniskās pētniecības jomā</w:t>
            </w:r>
            <w:r w:rsidRPr="007F1C0F">
              <w:t xml:space="preserve"> ar Šveici, un pastarpināti – sadarbību starp Latvijas augstskolām un </w:t>
            </w:r>
            <w:r w:rsidRPr="007F1C0F">
              <w:rPr>
                <w:bCs/>
              </w:rPr>
              <w:t xml:space="preserve">zinātniskajām institūcijām kā </w:t>
            </w:r>
            <w:r w:rsidRPr="007F1C0F">
              <w:t>sadarbības partneriem</w:t>
            </w:r>
            <w:r w:rsidRPr="007F1C0F">
              <w:rPr>
                <w:bCs/>
              </w:rPr>
              <w:t xml:space="preserve"> </w:t>
            </w:r>
            <w:proofErr w:type="spellStart"/>
            <w:r w:rsidRPr="007F1C0F">
              <w:rPr>
                <w:bCs/>
              </w:rPr>
              <w:t>apakšprojektu</w:t>
            </w:r>
            <w:proofErr w:type="spellEnd"/>
            <w:r w:rsidRPr="007F1C0F">
              <w:rPr>
                <w:bCs/>
              </w:rPr>
              <w:t xml:space="preserve"> ietvaros</w:t>
            </w:r>
            <w:r w:rsidRPr="007F1C0F">
              <w:t xml:space="preserve">. Tiks attīstīts un paaugstināts Latvijas augstskolu un zinātnisko institūciju potenciāls, nodrošinot pastiprinātu pieeju kvalitatīvai augstākajai izglītībai un pētniecībai. </w:t>
            </w:r>
            <w:proofErr w:type="spellStart"/>
            <w:r w:rsidRPr="007F1C0F">
              <w:t>Apakšprojektu</w:t>
            </w:r>
            <w:proofErr w:type="spellEnd"/>
            <w:r w:rsidRPr="007F1C0F">
              <w:t xml:space="preserve"> iesniegumu </w:t>
            </w:r>
            <w:r w:rsidRPr="007F1C0F">
              <w:rPr>
                <w:bCs/>
              </w:rPr>
              <w:t>atklāts konkurss n</w:t>
            </w:r>
            <w:r w:rsidRPr="007F1C0F">
              <w:t xml:space="preserve">odrošinās </w:t>
            </w:r>
            <w:proofErr w:type="spellStart"/>
            <w:r w:rsidRPr="007F1C0F">
              <w:t>apakšprojektu</w:t>
            </w:r>
            <w:proofErr w:type="spellEnd"/>
            <w:r w:rsidRPr="007F1C0F">
              <w:t xml:space="preserve"> iesniedzējiem vienlīdzīgas tiesības un iespējas.</w:t>
            </w:r>
          </w:p>
          <w:p w:rsidR="005F0CAA" w:rsidRPr="007F1C0F" w:rsidRDefault="005F0CAA" w:rsidP="00AD14B9">
            <w:pPr>
              <w:pStyle w:val="naiskr"/>
              <w:tabs>
                <w:tab w:val="left" w:pos="4394"/>
                <w:tab w:val="left" w:pos="4536"/>
              </w:tabs>
              <w:spacing w:before="0" w:after="0"/>
              <w:ind w:left="141" w:right="141"/>
              <w:jc w:val="both"/>
              <w:rPr>
                <w:highlight w:val="yellow"/>
              </w:rPr>
            </w:pPr>
            <w:r w:rsidRPr="007F1C0F">
              <w:t>Grantu shēmas īstenošanas periodā kopumā plānotas 45 pētnieku vizītes, kā rezultātā izveidotu vismaz 30 partnerības ar Latvijas augstskolām un zinātniskajām institūcijām.</w:t>
            </w:r>
            <w:r w:rsidRPr="007F1C0F">
              <w:rPr>
                <w:highlight w:val="yellow"/>
              </w:rPr>
              <w:t xml:space="preserve"> </w:t>
            </w:r>
          </w:p>
        </w:tc>
      </w:tr>
      <w:tr w:rsidR="005F0CAA" w:rsidRPr="007F1C0F" w:rsidTr="000E2C02">
        <w:trPr>
          <w:trHeight w:val="531"/>
        </w:trPr>
        <w:tc>
          <w:tcPr>
            <w:tcW w:w="572" w:type="dxa"/>
          </w:tcPr>
          <w:p w:rsidR="005F0CAA" w:rsidRPr="007F1C0F" w:rsidRDefault="005F0CAA" w:rsidP="00C32E46">
            <w:pPr>
              <w:pStyle w:val="naiskr"/>
              <w:spacing w:before="0" w:after="0"/>
            </w:pPr>
            <w:r w:rsidRPr="007F1C0F">
              <w:t>5.</w:t>
            </w:r>
          </w:p>
        </w:tc>
        <w:tc>
          <w:tcPr>
            <w:tcW w:w="4111" w:type="dxa"/>
          </w:tcPr>
          <w:p w:rsidR="005F0CAA" w:rsidRPr="007F1C0F" w:rsidRDefault="005F0CAA" w:rsidP="00C32E46">
            <w:pPr>
              <w:pStyle w:val="naiskr"/>
              <w:spacing w:before="0" w:after="0"/>
            </w:pPr>
            <w:r w:rsidRPr="007F1C0F">
              <w:t>Administratīvās procedūras raksturojums</w:t>
            </w:r>
            <w:r w:rsidRPr="007F1C0F">
              <w:br/>
            </w:r>
          </w:p>
        </w:tc>
        <w:tc>
          <w:tcPr>
            <w:tcW w:w="4961" w:type="dxa"/>
          </w:tcPr>
          <w:p w:rsidR="005F0CAA" w:rsidRPr="007F1C0F" w:rsidRDefault="005F0CAA" w:rsidP="007F1C0F">
            <w:pPr>
              <w:pStyle w:val="naiskr"/>
              <w:spacing w:before="0" w:after="0"/>
              <w:ind w:left="141" w:right="81"/>
              <w:jc w:val="both"/>
              <w:rPr>
                <w:highlight w:val="yellow"/>
              </w:rPr>
            </w:pPr>
            <w:proofErr w:type="spellStart"/>
            <w:r w:rsidRPr="007F1C0F">
              <w:t>Apakšprojektu</w:t>
            </w:r>
            <w:proofErr w:type="spellEnd"/>
            <w:r w:rsidRPr="007F1C0F">
              <w:t xml:space="preserve"> iesniedzējiem atbilstoši paredzētajai darbībai vienlaicīgi ar </w:t>
            </w:r>
            <w:proofErr w:type="spellStart"/>
            <w:r w:rsidRPr="007F1C0F">
              <w:t>apakšprojekta</w:t>
            </w:r>
            <w:proofErr w:type="spellEnd"/>
            <w:r w:rsidRPr="007F1C0F">
              <w:t xml:space="preserve"> iesnieguma veidlapu būs jāiesniedz papildu iesniedzamie dokumenti. Dokumentus var iesniegt gan papīra, gan elektronisk</w:t>
            </w:r>
            <w:r w:rsidR="007F1C0F" w:rsidRPr="007F1C0F">
              <w:t>a dokumenta formā</w:t>
            </w:r>
            <w:r w:rsidRPr="007F1C0F">
              <w:t>.</w:t>
            </w:r>
          </w:p>
        </w:tc>
      </w:tr>
      <w:tr w:rsidR="005F0CAA" w:rsidRPr="007F1C0F" w:rsidTr="000E2C02">
        <w:trPr>
          <w:trHeight w:val="357"/>
        </w:trPr>
        <w:tc>
          <w:tcPr>
            <w:tcW w:w="572" w:type="dxa"/>
          </w:tcPr>
          <w:p w:rsidR="005F0CAA" w:rsidRPr="007F1C0F" w:rsidRDefault="005F0CAA" w:rsidP="00C32E46">
            <w:pPr>
              <w:pStyle w:val="naiskr"/>
              <w:spacing w:before="0" w:after="0"/>
            </w:pPr>
            <w:r w:rsidRPr="007F1C0F">
              <w:t>6.</w:t>
            </w:r>
          </w:p>
        </w:tc>
        <w:tc>
          <w:tcPr>
            <w:tcW w:w="4111" w:type="dxa"/>
          </w:tcPr>
          <w:p w:rsidR="005F0CAA" w:rsidRPr="007F1C0F" w:rsidRDefault="005F0CAA" w:rsidP="00C32E46">
            <w:pPr>
              <w:pStyle w:val="naiskr"/>
              <w:spacing w:before="0" w:after="0"/>
            </w:pPr>
            <w:r w:rsidRPr="007F1C0F">
              <w:t>Administratīvo izmaksu monetārs novērtējums</w:t>
            </w:r>
          </w:p>
        </w:tc>
        <w:tc>
          <w:tcPr>
            <w:tcW w:w="4961" w:type="dxa"/>
          </w:tcPr>
          <w:p w:rsidR="005F0CAA" w:rsidRPr="007F1C0F" w:rsidRDefault="005F0CAA" w:rsidP="000E2C02">
            <w:pPr>
              <w:pStyle w:val="naiskr"/>
              <w:spacing w:before="0" w:after="0"/>
              <w:ind w:left="141"/>
              <w:rPr>
                <w:highlight w:val="yellow"/>
              </w:rPr>
            </w:pPr>
            <w:r w:rsidRPr="007F1C0F">
              <w:t>Informācijas iesniegšanas un uzglabāšanas pienākumi neradīs papildus izmaksas</w:t>
            </w:r>
          </w:p>
        </w:tc>
      </w:tr>
      <w:tr w:rsidR="005F0CAA" w:rsidRPr="007F1C0F" w:rsidTr="000E2C02">
        <w:trPr>
          <w:trHeight w:val="501"/>
        </w:trPr>
        <w:tc>
          <w:tcPr>
            <w:tcW w:w="572" w:type="dxa"/>
          </w:tcPr>
          <w:p w:rsidR="005F0CAA" w:rsidRPr="007F1C0F" w:rsidRDefault="005F0CAA" w:rsidP="00C32E46">
            <w:pPr>
              <w:pStyle w:val="naiskr"/>
              <w:spacing w:before="0" w:after="0"/>
            </w:pPr>
            <w:r w:rsidRPr="007F1C0F">
              <w:t>7.</w:t>
            </w:r>
          </w:p>
        </w:tc>
        <w:tc>
          <w:tcPr>
            <w:tcW w:w="4111" w:type="dxa"/>
          </w:tcPr>
          <w:p w:rsidR="005F0CAA" w:rsidRPr="007F1C0F" w:rsidRDefault="005F0CAA" w:rsidP="00C32E46">
            <w:pPr>
              <w:pStyle w:val="naiskr"/>
              <w:spacing w:before="0" w:after="0"/>
            </w:pPr>
            <w:r w:rsidRPr="007F1C0F">
              <w:t>Cita informācija</w:t>
            </w:r>
          </w:p>
        </w:tc>
        <w:tc>
          <w:tcPr>
            <w:tcW w:w="4961" w:type="dxa"/>
          </w:tcPr>
          <w:p w:rsidR="005F0CAA" w:rsidRPr="007F1C0F" w:rsidRDefault="005F0CAA" w:rsidP="009D0AA2">
            <w:pPr>
              <w:pStyle w:val="naiskr"/>
              <w:spacing w:before="0" w:after="0"/>
            </w:pPr>
            <w:r w:rsidRPr="007F1C0F">
              <w:t xml:space="preserve">  Nav</w:t>
            </w:r>
          </w:p>
        </w:tc>
      </w:tr>
      <w:tr w:rsidR="005F0CAA" w:rsidRPr="007F1C0F" w:rsidTr="00C32E46">
        <w:trPr>
          <w:trHeight w:val="263"/>
        </w:trPr>
        <w:tc>
          <w:tcPr>
            <w:tcW w:w="9644" w:type="dxa"/>
            <w:gridSpan w:val="3"/>
            <w:tcBorders>
              <w:left w:val="nil"/>
              <w:right w:val="nil"/>
            </w:tcBorders>
          </w:tcPr>
          <w:p w:rsidR="005F0CAA" w:rsidRPr="007F1C0F" w:rsidRDefault="005F0CAA" w:rsidP="00C32E46">
            <w:pPr>
              <w:pStyle w:val="naiskr"/>
            </w:pPr>
          </w:p>
        </w:tc>
      </w:tr>
    </w:tbl>
    <w:p w:rsidR="0064385B" w:rsidRPr="007F1C0F" w:rsidRDefault="0064385B" w:rsidP="0064385B">
      <w:pPr>
        <w:rPr>
          <w:vanish/>
        </w:rPr>
      </w:pPr>
    </w:p>
    <w:tbl>
      <w:tblPr>
        <w:tblW w:w="5434"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119"/>
        <w:gridCol w:w="1155"/>
        <w:gridCol w:w="1733"/>
        <w:gridCol w:w="1125"/>
        <w:gridCol w:w="1125"/>
        <w:gridCol w:w="1667"/>
      </w:tblGrid>
      <w:tr w:rsidR="005F0CAA" w:rsidRPr="007F1C0F" w:rsidTr="000411E9">
        <w:tc>
          <w:tcPr>
            <w:tcW w:w="5000" w:type="pct"/>
            <w:gridSpan w:val="6"/>
            <w:tcBorders>
              <w:top w:val="single" w:sz="4" w:space="0" w:color="auto"/>
              <w:bottom w:val="outset" w:sz="6" w:space="0" w:color="auto"/>
            </w:tcBorders>
          </w:tcPr>
          <w:p w:rsidR="005F0CAA" w:rsidRPr="007F1C0F" w:rsidRDefault="005F0CAA" w:rsidP="005735C7">
            <w:pPr>
              <w:spacing w:before="100" w:beforeAutospacing="1" w:after="100" w:afterAutospacing="1"/>
              <w:jc w:val="center"/>
            </w:pPr>
            <w:r w:rsidRPr="007F1C0F">
              <w:rPr>
                <w:b/>
                <w:bCs/>
              </w:rPr>
              <w:t>III. Tiesību akta projekta ietekme uz valsts budžetu un pašvaldību budžetiem</w:t>
            </w:r>
          </w:p>
        </w:tc>
      </w:tr>
      <w:tr w:rsidR="005F0CAA" w:rsidRPr="007F1C0F" w:rsidTr="00505E4C">
        <w:tc>
          <w:tcPr>
            <w:tcW w:w="1571" w:type="pct"/>
            <w:vMerge w:val="restart"/>
            <w:tcBorders>
              <w:top w:val="outset" w:sz="6" w:space="0" w:color="auto"/>
              <w:bottom w:val="outset" w:sz="6" w:space="0" w:color="auto"/>
              <w:right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b/>
                <w:bCs/>
                <w:sz w:val="22"/>
                <w:szCs w:val="22"/>
              </w:rPr>
              <w:t>Rādītāji</w:t>
            </w:r>
          </w:p>
        </w:tc>
        <w:tc>
          <w:tcPr>
            <w:tcW w:w="1455" w:type="pct"/>
            <w:gridSpan w:val="2"/>
            <w:vMerge w:val="restart"/>
            <w:tcBorders>
              <w:top w:val="outset" w:sz="6" w:space="0" w:color="auto"/>
              <w:left w:val="outset" w:sz="6" w:space="0" w:color="auto"/>
              <w:bottom w:val="outset" w:sz="6" w:space="0" w:color="auto"/>
              <w:right w:val="outset" w:sz="6" w:space="0" w:color="auto"/>
            </w:tcBorders>
            <w:vAlign w:val="center"/>
          </w:tcPr>
          <w:p w:rsidR="005F0CAA" w:rsidRPr="000E2C02" w:rsidRDefault="005F0CAA" w:rsidP="00E57F12">
            <w:pPr>
              <w:spacing w:before="100" w:beforeAutospacing="1" w:after="100" w:afterAutospacing="1"/>
              <w:jc w:val="center"/>
              <w:rPr>
                <w:sz w:val="22"/>
                <w:szCs w:val="22"/>
              </w:rPr>
            </w:pPr>
            <w:r w:rsidRPr="000E2C02">
              <w:rPr>
                <w:b/>
                <w:bCs/>
                <w:sz w:val="22"/>
                <w:szCs w:val="22"/>
              </w:rPr>
              <w:t>2011.gads</w:t>
            </w:r>
          </w:p>
        </w:tc>
        <w:tc>
          <w:tcPr>
            <w:tcW w:w="1973" w:type="pct"/>
            <w:gridSpan w:val="3"/>
            <w:tcBorders>
              <w:top w:val="outset" w:sz="6" w:space="0" w:color="auto"/>
              <w:left w:val="outset" w:sz="6" w:space="0" w:color="auto"/>
              <w:bottom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sz w:val="22"/>
                <w:szCs w:val="22"/>
              </w:rPr>
              <w:t>Turpmākie trīs gadi (tūkst. latu)</w:t>
            </w:r>
          </w:p>
        </w:tc>
      </w:tr>
      <w:tr w:rsidR="005F0CAA" w:rsidRPr="007F1C0F" w:rsidTr="00505E4C">
        <w:tc>
          <w:tcPr>
            <w:tcW w:w="1571" w:type="pct"/>
            <w:vMerge/>
            <w:tcBorders>
              <w:top w:val="outset" w:sz="6" w:space="0" w:color="auto"/>
              <w:bottom w:val="outset" w:sz="6" w:space="0" w:color="auto"/>
              <w:right w:val="outset" w:sz="6" w:space="0" w:color="auto"/>
            </w:tcBorders>
            <w:vAlign w:val="center"/>
          </w:tcPr>
          <w:p w:rsidR="005F0CAA" w:rsidRPr="000E2C02" w:rsidRDefault="005F0CAA" w:rsidP="005735C7">
            <w:pPr>
              <w:rPr>
                <w:sz w:val="22"/>
                <w:szCs w:val="22"/>
              </w:rPr>
            </w:pPr>
          </w:p>
        </w:tc>
        <w:tc>
          <w:tcPr>
            <w:tcW w:w="1455" w:type="pct"/>
            <w:gridSpan w:val="2"/>
            <w:vMerge/>
            <w:tcBorders>
              <w:top w:val="outset" w:sz="6" w:space="0" w:color="auto"/>
              <w:left w:val="outset" w:sz="6" w:space="0" w:color="auto"/>
              <w:bottom w:val="outset" w:sz="6" w:space="0" w:color="auto"/>
              <w:right w:val="outset" w:sz="6" w:space="0" w:color="auto"/>
            </w:tcBorders>
            <w:vAlign w:val="center"/>
          </w:tcPr>
          <w:p w:rsidR="005F0CAA" w:rsidRPr="000E2C02" w:rsidRDefault="005F0CAA" w:rsidP="005735C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b/>
                <w:bCs/>
                <w:sz w:val="22"/>
                <w:szCs w:val="22"/>
              </w:rPr>
              <w:t>2012.</w:t>
            </w:r>
          </w:p>
        </w:tc>
        <w:tc>
          <w:tcPr>
            <w:tcW w:w="0" w:type="auto"/>
            <w:tcBorders>
              <w:top w:val="outset" w:sz="6" w:space="0" w:color="auto"/>
              <w:left w:val="outset" w:sz="6" w:space="0" w:color="auto"/>
              <w:bottom w:val="outset" w:sz="6" w:space="0" w:color="auto"/>
              <w:right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b/>
                <w:bCs/>
                <w:sz w:val="22"/>
                <w:szCs w:val="22"/>
              </w:rPr>
              <w:t>2013.</w:t>
            </w:r>
          </w:p>
        </w:tc>
        <w:tc>
          <w:tcPr>
            <w:tcW w:w="840" w:type="pct"/>
            <w:tcBorders>
              <w:top w:val="outset" w:sz="6" w:space="0" w:color="auto"/>
              <w:left w:val="outset" w:sz="6" w:space="0" w:color="auto"/>
              <w:bottom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b/>
                <w:bCs/>
                <w:sz w:val="22"/>
                <w:szCs w:val="22"/>
              </w:rPr>
              <w:t>2014.</w:t>
            </w:r>
          </w:p>
        </w:tc>
      </w:tr>
      <w:tr w:rsidR="005F0CAA" w:rsidRPr="007F1C0F" w:rsidTr="00505E4C">
        <w:tc>
          <w:tcPr>
            <w:tcW w:w="1571" w:type="pct"/>
            <w:vMerge/>
            <w:tcBorders>
              <w:top w:val="outset" w:sz="6" w:space="0" w:color="auto"/>
              <w:bottom w:val="outset" w:sz="6" w:space="0" w:color="auto"/>
              <w:right w:val="outset" w:sz="6" w:space="0" w:color="auto"/>
            </w:tcBorders>
            <w:vAlign w:val="center"/>
          </w:tcPr>
          <w:p w:rsidR="005F0CAA" w:rsidRPr="000E2C02" w:rsidRDefault="005F0CAA" w:rsidP="005735C7">
            <w:pPr>
              <w:rPr>
                <w:sz w:val="22"/>
                <w:szCs w:val="22"/>
              </w:rPr>
            </w:pPr>
          </w:p>
        </w:tc>
        <w:tc>
          <w:tcPr>
            <w:tcW w:w="582" w:type="pct"/>
            <w:tcBorders>
              <w:top w:val="outset" w:sz="6" w:space="0" w:color="auto"/>
              <w:left w:val="outset" w:sz="6" w:space="0" w:color="auto"/>
              <w:bottom w:val="outset" w:sz="6" w:space="0" w:color="auto"/>
              <w:right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sz w:val="22"/>
                <w:szCs w:val="22"/>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sz w:val="22"/>
                <w:szCs w:val="22"/>
              </w:rPr>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5F0CAA" w:rsidRPr="000E2C02" w:rsidRDefault="005F0CAA" w:rsidP="007F1C0F">
            <w:pPr>
              <w:spacing w:before="100" w:beforeAutospacing="1" w:after="100" w:afterAutospacing="1"/>
              <w:jc w:val="center"/>
              <w:rPr>
                <w:sz w:val="22"/>
                <w:szCs w:val="22"/>
              </w:rPr>
            </w:pPr>
            <w:r w:rsidRPr="000E2C02">
              <w:rPr>
                <w:sz w:val="22"/>
                <w:szCs w:val="22"/>
              </w:rPr>
              <w:t>Izmaiņas, salīdzinot ar kārtējo gadu</w:t>
            </w:r>
          </w:p>
        </w:tc>
        <w:tc>
          <w:tcPr>
            <w:tcW w:w="0" w:type="auto"/>
            <w:tcBorders>
              <w:top w:val="outset" w:sz="6" w:space="0" w:color="auto"/>
              <w:left w:val="outset" w:sz="6" w:space="0" w:color="auto"/>
              <w:bottom w:val="outset" w:sz="6" w:space="0" w:color="auto"/>
              <w:right w:val="outset" w:sz="6" w:space="0" w:color="auto"/>
            </w:tcBorders>
            <w:vAlign w:val="center"/>
          </w:tcPr>
          <w:p w:rsidR="005F0CAA" w:rsidRPr="000E2C02" w:rsidRDefault="005F0CAA" w:rsidP="007F1C0F">
            <w:pPr>
              <w:spacing w:before="100" w:beforeAutospacing="1" w:after="100" w:afterAutospacing="1"/>
              <w:jc w:val="center"/>
              <w:rPr>
                <w:sz w:val="22"/>
                <w:szCs w:val="22"/>
              </w:rPr>
            </w:pPr>
            <w:r w:rsidRPr="000E2C02">
              <w:rPr>
                <w:sz w:val="22"/>
                <w:szCs w:val="22"/>
              </w:rPr>
              <w:t>Izmaiņas, salīdzinot ar kārtējo gadu</w:t>
            </w:r>
          </w:p>
        </w:tc>
        <w:tc>
          <w:tcPr>
            <w:tcW w:w="840" w:type="pct"/>
            <w:tcBorders>
              <w:top w:val="outset" w:sz="6" w:space="0" w:color="auto"/>
              <w:left w:val="outset" w:sz="6" w:space="0" w:color="auto"/>
              <w:bottom w:val="outset" w:sz="6" w:space="0" w:color="auto"/>
            </w:tcBorders>
            <w:vAlign w:val="center"/>
          </w:tcPr>
          <w:p w:rsidR="005F0CAA" w:rsidRPr="000E2C02" w:rsidRDefault="005F0CAA" w:rsidP="007F1C0F">
            <w:pPr>
              <w:spacing w:before="100" w:beforeAutospacing="1" w:after="100" w:afterAutospacing="1"/>
              <w:jc w:val="center"/>
              <w:rPr>
                <w:sz w:val="22"/>
                <w:szCs w:val="22"/>
              </w:rPr>
            </w:pPr>
            <w:r w:rsidRPr="000E2C02">
              <w:rPr>
                <w:sz w:val="22"/>
                <w:szCs w:val="22"/>
              </w:rPr>
              <w:t>Izmaiņas, salīdzinot ar kārtējo gadu</w:t>
            </w:r>
          </w:p>
        </w:tc>
      </w:tr>
      <w:tr w:rsidR="005F0CAA" w:rsidRPr="007F1C0F" w:rsidTr="00505E4C">
        <w:tc>
          <w:tcPr>
            <w:tcW w:w="1571" w:type="pct"/>
            <w:tcBorders>
              <w:top w:val="outset" w:sz="6" w:space="0" w:color="auto"/>
              <w:bottom w:val="outset" w:sz="6" w:space="0" w:color="auto"/>
              <w:right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sz w:val="22"/>
                <w:szCs w:val="22"/>
              </w:rPr>
              <w:t>1</w:t>
            </w:r>
          </w:p>
        </w:tc>
        <w:tc>
          <w:tcPr>
            <w:tcW w:w="582" w:type="pct"/>
            <w:tcBorders>
              <w:top w:val="outset" w:sz="6" w:space="0" w:color="auto"/>
              <w:left w:val="outset" w:sz="6" w:space="0" w:color="auto"/>
              <w:bottom w:val="outset" w:sz="6" w:space="0" w:color="auto"/>
              <w:right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sz w:val="22"/>
                <w:szCs w:val="22"/>
              </w:rPr>
              <w:t>5</w:t>
            </w:r>
          </w:p>
        </w:tc>
        <w:tc>
          <w:tcPr>
            <w:tcW w:w="840" w:type="pct"/>
            <w:tcBorders>
              <w:top w:val="outset" w:sz="6" w:space="0" w:color="auto"/>
              <w:left w:val="outset" w:sz="6" w:space="0" w:color="auto"/>
              <w:bottom w:val="outset" w:sz="6" w:space="0" w:color="auto"/>
            </w:tcBorders>
            <w:vAlign w:val="center"/>
          </w:tcPr>
          <w:p w:rsidR="005F0CAA" w:rsidRPr="000E2C02" w:rsidRDefault="005F0CAA" w:rsidP="005735C7">
            <w:pPr>
              <w:spacing w:before="100" w:beforeAutospacing="1" w:after="100" w:afterAutospacing="1"/>
              <w:jc w:val="center"/>
              <w:rPr>
                <w:sz w:val="22"/>
                <w:szCs w:val="22"/>
              </w:rPr>
            </w:pPr>
            <w:r w:rsidRPr="000E2C02">
              <w:rPr>
                <w:sz w:val="22"/>
                <w:szCs w:val="22"/>
              </w:rPr>
              <w:t>6</w:t>
            </w: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1. Budžeta ieņēmumi:</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5F0CAA" w:rsidP="00047317">
            <w:pPr>
              <w:spacing w:line="360" w:lineRule="auto"/>
              <w:jc w:val="center"/>
            </w:pPr>
            <w:r w:rsidRPr="007F1C0F">
              <w:rPr>
                <w:color w:val="000000"/>
              </w:rPr>
              <w:t>2,9</w:t>
            </w: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6B6FB5" w:rsidP="0064385B">
            <w:pPr>
              <w:spacing w:line="360" w:lineRule="auto"/>
              <w:jc w:val="center"/>
            </w:pPr>
            <w:r w:rsidRPr="007F1C0F">
              <w:t>54,9</w:t>
            </w: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6B6FB5" w:rsidP="0064385B">
            <w:pPr>
              <w:spacing w:line="360" w:lineRule="auto"/>
              <w:jc w:val="center"/>
            </w:pPr>
            <w:r w:rsidRPr="007F1C0F">
              <w:t>72,7</w:t>
            </w:r>
          </w:p>
        </w:tc>
        <w:tc>
          <w:tcPr>
            <w:tcW w:w="840" w:type="pct"/>
            <w:tcBorders>
              <w:top w:val="outset" w:sz="6" w:space="0" w:color="auto"/>
              <w:left w:val="outset" w:sz="6" w:space="0" w:color="auto"/>
              <w:bottom w:val="outset" w:sz="6" w:space="0" w:color="auto"/>
            </w:tcBorders>
          </w:tcPr>
          <w:p w:rsidR="005F0CAA" w:rsidRPr="007F1C0F" w:rsidRDefault="006B6FB5" w:rsidP="0064385B">
            <w:pPr>
              <w:spacing w:line="360" w:lineRule="auto"/>
              <w:jc w:val="center"/>
            </w:pPr>
            <w:r w:rsidRPr="007F1C0F">
              <w:t>71,6</w:t>
            </w: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1.1. valsts pamatbudžets, tai skaitā ieņēmumi no maksas pakalpo-jumiem un citi pašu ieņēmumi</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5F0CAA" w:rsidP="00047317">
            <w:pPr>
              <w:spacing w:line="360" w:lineRule="auto"/>
              <w:jc w:val="center"/>
            </w:pPr>
            <w:r w:rsidRPr="007F1C0F">
              <w:t>2,9</w:t>
            </w: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6B6FB5" w:rsidP="0064385B">
            <w:pPr>
              <w:spacing w:line="360" w:lineRule="auto"/>
              <w:jc w:val="center"/>
            </w:pPr>
            <w:r w:rsidRPr="007F1C0F">
              <w:t>54,9</w:t>
            </w: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6B6FB5" w:rsidP="0064385B">
            <w:pPr>
              <w:spacing w:line="360" w:lineRule="auto"/>
              <w:jc w:val="center"/>
            </w:pPr>
            <w:r w:rsidRPr="007F1C0F">
              <w:t>72,7</w:t>
            </w:r>
          </w:p>
        </w:tc>
        <w:tc>
          <w:tcPr>
            <w:tcW w:w="840" w:type="pct"/>
            <w:tcBorders>
              <w:top w:val="outset" w:sz="6" w:space="0" w:color="auto"/>
              <w:left w:val="outset" w:sz="6" w:space="0" w:color="auto"/>
              <w:bottom w:val="outset" w:sz="6" w:space="0" w:color="auto"/>
            </w:tcBorders>
          </w:tcPr>
          <w:p w:rsidR="005F0CAA" w:rsidRPr="007F1C0F" w:rsidRDefault="006B6FB5" w:rsidP="0064385B">
            <w:pPr>
              <w:spacing w:line="360" w:lineRule="auto"/>
              <w:jc w:val="center"/>
            </w:pPr>
            <w:r w:rsidRPr="007F1C0F">
              <w:t>71,6</w:t>
            </w: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lastRenderedPageBreak/>
              <w:t>1.2. valsts speciālais budžets</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5F0CAA" w:rsidP="00047317">
            <w:pPr>
              <w:spacing w:line="360" w:lineRule="auto"/>
              <w:jc w:val="cente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spacing w:line="360" w:lineRule="auto"/>
              <w:jc w:val="center"/>
              <w:rPr>
                <w:color w:val="FF0000"/>
              </w:rP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spacing w:line="360" w:lineRule="auto"/>
              <w:jc w:val="center"/>
              <w:rPr>
                <w:color w:val="FF0000"/>
              </w:rPr>
            </w:pPr>
          </w:p>
        </w:tc>
        <w:tc>
          <w:tcPr>
            <w:tcW w:w="840" w:type="pct"/>
            <w:tcBorders>
              <w:top w:val="outset" w:sz="6" w:space="0" w:color="auto"/>
              <w:left w:val="outset" w:sz="6" w:space="0" w:color="auto"/>
              <w:bottom w:val="outset" w:sz="6" w:space="0" w:color="auto"/>
            </w:tcBorders>
          </w:tcPr>
          <w:p w:rsidR="005F0CAA" w:rsidRPr="007F1C0F" w:rsidRDefault="005F0CAA" w:rsidP="0064385B">
            <w:pPr>
              <w:spacing w:line="360" w:lineRule="auto"/>
              <w:jc w:val="center"/>
              <w:rPr>
                <w:color w:val="FF0000"/>
              </w:rPr>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1.3. pašvaldību budžets</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spacing w:line="360" w:lineRule="auto"/>
              <w:jc w:val="center"/>
              <w:rPr>
                <w:color w:val="FF0000"/>
              </w:rP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spacing w:line="360" w:lineRule="auto"/>
              <w:jc w:val="center"/>
              <w:rPr>
                <w:color w:val="FF0000"/>
              </w:rPr>
            </w:pPr>
          </w:p>
        </w:tc>
        <w:tc>
          <w:tcPr>
            <w:tcW w:w="840" w:type="pct"/>
            <w:tcBorders>
              <w:top w:val="outset" w:sz="6" w:space="0" w:color="auto"/>
              <w:left w:val="outset" w:sz="6" w:space="0" w:color="auto"/>
              <w:bottom w:val="outset" w:sz="6" w:space="0" w:color="auto"/>
            </w:tcBorders>
          </w:tcPr>
          <w:p w:rsidR="005F0CAA" w:rsidRPr="007F1C0F" w:rsidRDefault="005F0CAA" w:rsidP="0064385B">
            <w:pPr>
              <w:spacing w:line="360" w:lineRule="auto"/>
              <w:jc w:val="center"/>
              <w:rPr>
                <w:color w:val="FF0000"/>
              </w:rPr>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405D05">
            <w:pPr>
              <w:rPr>
                <w:sz w:val="22"/>
                <w:szCs w:val="22"/>
              </w:rPr>
            </w:pPr>
            <w:r w:rsidRPr="000E2C02">
              <w:rPr>
                <w:sz w:val="22"/>
                <w:szCs w:val="22"/>
              </w:rPr>
              <w:t>2. Budžeta izdevumi:</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0637D4" w:rsidP="000D57BC">
            <w:pPr>
              <w:jc w:val="center"/>
            </w:pPr>
            <w:r w:rsidRPr="007F1C0F">
              <w:t>3,5</w:t>
            </w: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93869">
            <w:pPr>
              <w:jc w:val="cente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6B6FB5" w:rsidP="0064385B">
            <w:pPr>
              <w:jc w:val="center"/>
            </w:pPr>
            <w:r w:rsidRPr="007F1C0F">
              <w:t>64,6</w:t>
            </w: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6B6FB5" w:rsidP="0064385B">
            <w:pPr>
              <w:jc w:val="center"/>
            </w:pPr>
            <w:r w:rsidRPr="007F1C0F">
              <w:t>85,5</w:t>
            </w:r>
          </w:p>
        </w:tc>
        <w:tc>
          <w:tcPr>
            <w:tcW w:w="840" w:type="pct"/>
            <w:tcBorders>
              <w:top w:val="outset" w:sz="6" w:space="0" w:color="auto"/>
              <w:left w:val="outset" w:sz="6" w:space="0" w:color="auto"/>
              <w:bottom w:val="outset" w:sz="6" w:space="0" w:color="auto"/>
            </w:tcBorders>
          </w:tcPr>
          <w:p w:rsidR="005F0CAA" w:rsidRPr="007F1C0F" w:rsidRDefault="006B6FB5" w:rsidP="0064385B">
            <w:pPr>
              <w:jc w:val="center"/>
            </w:pPr>
            <w:r w:rsidRPr="007F1C0F">
              <w:t>84,2</w:t>
            </w: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405D05">
            <w:pPr>
              <w:rPr>
                <w:sz w:val="22"/>
                <w:szCs w:val="22"/>
              </w:rPr>
            </w:pPr>
            <w:r w:rsidRPr="000E2C02">
              <w:rPr>
                <w:sz w:val="22"/>
                <w:szCs w:val="22"/>
              </w:rPr>
              <w:t>2.1. valsts pamatbudžets</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0637D4" w:rsidP="000D57BC">
            <w:pPr>
              <w:jc w:val="center"/>
            </w:pPr>
            <w:r w:rsidRPr="007F1C0F">
              <w:t>3,5</w:t>
            </w: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93869">
            <w:pPr>
              <w:jc w:val="cente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6B6FB5" w:rsidP="0064385B">
            <w:pPr>
              <w:jc w:val="center"/>
            </w:pPr>
            <w:r w:rsidRPr="007F1C0F">
              <w:t>64,6</w:t>
            </w: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6B6FB5" w:rsidP="0064385B">
            <w:pPr>
              <w:jc w:val="center"/>
            </w:pPr>
            <w:r w:rsidRPr="007F1C0F">
              <w:t>85,5</w:t>
            </w:r>
          </w:p>
        </w:tc>
        <w:tc>
          <w:tcPr>
            <w:tcW w:w="840" w:type="pct"/>
            <w:tcBorders>
              <w:top w:val="outset" w:sz="6" w:space="0" w:color="auto"/>
              <w:left w:val="outset" w:sz="6" w:space="0" w:color="auto"/>
              <w:bottom w:val="outset" w:sz="6" w:space="0" w:color="auto"/>
            </w:tcBorders>
          </w:tcPr>
          <w:p w:rsidR="005F0CAA" w:rsidRPr="007F1C0F" w:rsidRDefault="006B6FB5" w:rsidP="0064385B">
            <w:pPr>
              <w:jc w:val="center"/>
            </w:pPr>
            <w:r w:rsidRPr="007F1C0F">
              <w:t>84,2</w:t>
            </w: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405D05">
            <w:pPr>
              <w:rPr>
                <w:sz w:val="22"/>
                <w:szCs w:val="22"/>
              </w:rPr>
            </w:pPr>
            <w:r w:rsidRPr="000E2C02">
              <w:rPr>
                <w:sz w:val="22"/>
                <w:szCs w:val="22"/>
              </w:rPr>
              <w:t>2.2. valsts speciālais budžets</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5F0CAA" w:rsidP="00693869">
            <w:pPr>
              <w:jc w:val="cente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93869">
            <w:pPr>
              <w:jc w:val="cente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jc w:val="center"/>
              <w:rPr>
                <w:color w:val="FF0000"/>
              </w:rP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jc w:val="center"/>
              <w:rPr>
                <w:color w:val="FF0000"/>
              </w:rPr>
            </w:pPr>
          </w:p>
        </w:tc>
        <w:tc>
          <w:tcPr>
            <w:tcW w:w="840" w:type="pct"/>
            <w:tcBorders>
              <w:top w:val="outset" w:sz="6" w:space="0" w:color="auto"/>
              <w:left w:val="outset" w:sz="6" w:space="0" w:color="auto"/>
              <w:bottom w:val="outset" w:sz="6" w:space="0" w:color="auto"/>
            </w:tcBorders>
          </w:tcPr>
          <w:p w:rsidR="005F0CAA" w:rsidRPr="007F1C0F" w:rsidRDefault="005F0CAA" w:rsidP="0064385B">
            <w:pPr>
              <w:jc w:val="center"/>
              <w:rPr>
                <w:color w:val="FF0000"/>
              </w:rPr>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405D05">
            <w:pPr>
              <w:rPr>
                <w:sz w:val="22"/>
                <w:szCs w:val="22"/>
              </w:rPr>
            </w:pPr>
            <w:r w:rsidRPr="000E2C02">
              <w:rPr>
                <w:sz w:val="22"/>
                <w:szCs w:val="22"/>
              </w:rPr>
              <w:t>2.3. pašvaldību budžets</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5F0CAA" w:rsidP="00693869">
            <w:pPr>
              <w:jc w:val="cente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93869">
            <w:pPr>
              <w:jc w:val="cente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jc w:val="center"/>
              <w:rPr>
                <w:color w:val="FF0000"/>
              </w:rP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jc w:val="center"/>
              <w:rPr>
                <w:color w:val="FF0000"/>
              </w:rPr>
            </w:pPr>
          </w:p>
        </w:tc>
        <w:tc>
          <w:tcPr>
            <w:tcW w:w="840" w:type="pct"/>
            <w:tcBorders>
              <w:top w:val="outset" w:sz="6" w:space="0" w:color="auto"/>
              <w:left w:val="outset" w:sz="6" w:space="0" w:color="auto"/>
              <w:bottom w:val="outset" w:sz="6" w:space="0" w:color="auto"/>
            </w:tcBorders>
          </w:tcPr>
          <w:p w:rsidR="005F0CAA" w:rsidRPr="007F1C0F" w:rsidRDefault="005F0CAA" w:rsidP="0064385B">
            <w:pPr>
              <w:jc w:val="center"/>
              <w:rPr>
                <w:color w:val="FF0000"/>
              </w:rPr>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405D05">
            <w:pPr>
              <w:rPr>
                <w:sz w:val="22"/>
                <w:szCs w:val="22"/>
              </w:rPr>
            </w:pPr>
            <w:r w:rsidRPr="000E2C02">
              <w:rPr>
                <w:sz w:val="22"/>
                <w:szCs w:val="22"/>
              </w:rPr>
              <w:t>3. Finansiālā ietekme:</w:t>
            </w:r>
          </w:p>
        </w:tc>
        <w:tc>
          <w:tcPr>
            <w:tcW w:w="582" w:type="pct"/>
            <w:tcBorders>
              <w:top w:val="outset" w:sz="6" w:space="0" w:color="auto"/>
              <w:left w:val="outset" w:sz="6" w:space="0" w:color="auto"/>
              <w:bottom w:val="outset" w:sz="6" w:space="0" w:color="auto"/>
              <w:right w:val="outset" w:sz="6" w:space="0" w:color="auto"/>
            </w:tcBorders>
            <w:vAlign w:val="center"/>
          </w:tcPr>
          <w:p w:rsidR="005F0CAA" w:rsidRPr="007F1C0F" w:rsidRDefault="005F0CAA" w:rsidP="00830128">
            <w:pPr>
              <w:jc w:val="center"/>
              <w:rPr>
                <w:color w:val="FF0000"/>
              </w:rP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93869">
            <w:pPr>
              <w:jc w:val="cente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jc w:val="center"/>
              <w:rPr>
                <w:color w:val="FF0000"/>
              </w:rP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jc w:val="center"/>
              <w:rPr>
                <w:color w:val="FF0000"/>
              </w:rPr>
            </w:pPr>
          </w:p>
        </w:tc>
        <w:tc>
          <w:tcPr>
            <w:tcW w:w="840" w:type="pct"/>
            <w:tcBorders>
              <w:top w:val="outset" w:sz="6" w:space="0" w:color="auto"/>
              <w:left w:val="outset" w:sz="6" w:space="0" w:color="auto"/>
              <w:bottom w:val="outset" w:sz="6" w:space="0" w:color="auto"/>
            </w:tcBorders>
          </w:tcPr>
          <w:p w:rsidR="005F0CAA" w:rsidRPr="007F1C0F" w:rsidRDefault="005F0CAA" w:rsidP="0064385B">
            <w:pPr>
              <w:jc w:val="center"/>
              <w:rPr>
                <w:color w:val="FF0000"/>
              </w:rPr>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405D05">
            <w:pPr>
              <w:rPr>
                <w:sz w:val="22"/>
                <w:szCs w:val="22"/>
              </w:rPr>
            </w:pPr>
            <w:r w:rsidRPr="000E2C02">
              <w:rPr>
                <w:sz w:val="22"/>
                <w:szCs w:val="22"/>
              </w:rPr>
              <w:t>3.1. valsts pamatbudžets</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5F0CAA" w:rsidP="00830128">
            <w:pPr>
              <w:jc w:val="center"/>
              <w:rPr>
                <w:color w:val="FF0000"/>
              </w:rP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93869">
            <w:pPr>
              <w:jc w:val="cente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jc w:val="center"/>
              <w:rPr>
                <w:color w:val="FF0000"/>
              </w:rPr>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64385B">
            <w:pPr>
              <w:jc w:val="center"/>
              <w:rPr>
                <w:color w:val="FF0000"/>
              </w:rPr>
            </w:pPr>
          </w:p>
        </w:tc>
        <w:tc>
          <w:tcPr>
            <w:tcW w:w="840" w:type="pct"/>
            <w:tcBorders>
              <w:top w:val="outset" w:sz="6" w:space="0" w:color="auto"/>
              <w:left w:val="outset" w:sz="6" w:space="0" w:color="auto"/>
              <w:bottom w:val="outset" w:sz="6" w:space="0" w:color="auto"/>
            </w:tcBorders>
          </w:tcPr>
          <w:p w:rsidR="005F0CAA" w:rsidRPr="007F1C0F" w:rsidRDefault="005F0CAA" w:rsidP="0064385B">
            <w:pPr>
              <w:jc w:val="center"/>
              <w:rPr>
                <w:color w:val="FF0000"/>
              </w:rPr>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3.2. speciālais budžets</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5F0CAA" w:rsidP="004416DA">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840" w:type="pct"/>
            <w:tcBorders>
              <w:top w:val="outset" w:sz="6" w:space="0" w:color="auto"/>
              <w:left w:val="outset" w:sz="6" w:space="0" w:color="auto"/>
              <w:bottom w:val="outset" w:sz="6" w:space="0" w:color="auto"/>
            </w:tcBorders>
          </w:tcPr>
          <w:p w:rsidR="005F0CAA" w:rsidRPr="007F1C0F" w:rsidRDefault="005F0CAA" w:rsidP="005735C7">
            <w:pPr>
              <w:spacing w:line="360" w:lineRule="auto"/>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3.3. pašvaldību budžets</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840" w:type="pct"/>
            <w:tcBorders>
              <w:top w:val="outset" w:sz="6" w:space="0" w:color="auto"/>
              <w:left w:val="outset" w:sz="6" w:space="0" w:color="auto"/>
              <w:bottom w:val="outset" w:sz="6" w:space="0" w:color="auto"/>
            </w:tcBorders>
          </w:tcPr>
          <w:p w:rsidR="005F0CAA" w:rsidRPr="007F1C0F" w:rsidRDefault="005F0CAA" w:rsidP="005735C7">
            <w:pPr>
              <w:spacing w:line="360" w:lineRule="auto"/>
            </w:pPr>
          </w:p>
        </w:tc>
      </w:tr>
      <w:tr w:rsidR="005F0CAA" w:rsidRPr="007F1C0F" w:rsidTr="00547478">
        <w:trPr>
          <w:trHeight w:val="1012"/>
        </w:trPr>
        <w:tc>
          <w:tcPr>
            <w:tcW w:w="1571" w:type="pct"/>
            <w:tcBorders>
              <w:top w:val="outset" w:sz="6" w:space="0" w:color="auto"/>
              <w:bottom w:val="outset" w:sz="6" w:space="0" w:color="auto"/>
              <w:right w:val="outset" w:sz="6" w:space="0" w:color="auto"/>
            </w:tcBorders>
          </w:tcPr>
          <w:p w:rsidR="005F0CAA" w:rsidRPr="000E2C02" w:rsidRDefault="005F0CAA" w:rsidP="00693869">
            <w:pPr>
              <w:spacing w:before="100" w:beforeAutospacing="1" w:after="100" w:afterAutospacing="1"/>
              <w:rPr>
                <w:sz w:val="22"/>
                <w:szCs w:val="22"/>
              </w:rPr>
            </w:pPr>
            <w:r w:rsidRPr="000E2C02">
              <w:rPr>
                <w:sz w:val="22"/>
                <w:szCs w:val="22"/>
              </w:rPr>
              <w:t>4. Finanšu līdzekļi papildu izde</w:t>
            </w:r>
            <w:r w:rsidRPr="000E2C02">
              <w:rPr>
                <w:sz w:val="22"/>
                <w:szCs w:val="22"/>
              </w:rPr>
              <w:softHyphen/>
              <w:t>vumu finansēšanai kompensējošu izdevumu samazinājumu norāda ar "+" zīmi)</w:t>
            </w:r>
          </w:p>
        </w:tc>
        <w:tc>
          <w:tcPr>
            <w:tcW w:w="582" w:type="pct"/>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before="100" w:beforeAutospacing="1" w:after="100" w:afterAutospacing="1"/>
              <w:jc w:val="center"/>
            </w:pPr>
            <w:r w:rsidRPr="007F1C0F">
              <w:t>X</w:t>
            </w:r>
          </w:p>
        </w:tc>
        <w:tc>
          <w:tcPr>
            <w:tcW w:w="0" w:type="auto"/>
            <w:tcBorders>
              <w:top w:val="outset" w:sz="6" w:space="0" w:color="auto"/>
              <w:left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right w:val="outset" w:sz="6" w:space="0" w:color="auto"/>
            </w:tcBorders>
          </w:tcPr>
          <w:p w:rsidR="005F0CAA" w:rsidRPr="007F1C0F" w:rsidRDefault="005F0CAA" w:rsidP="005735C7">
            <w:pPr>
              <w:spacing w:line="360" w:lineRule="auto"/>
            </w:pPr>
          </w:p>
        </w:tc>
        <w:tc>
          <w:tcPr>
            <w:tcW w:w="840" w:type="pct"/>
            <w:tcBorders>
              <w:top w:val="outset" w:sz="6" w:space="0" w:color="auto"/>
              <w:left w:val="outset" w:sz="6" w:space="0" w:color="auto"/>
            </w:tcBorders>
          </w:tcPr>
          <w:p w:rsidR="005F0CAA" w:rsidRPr="007F1C0F" w:rsidRDefault="005F0CAA" w:rsidP="005735C7">
            <w:pPr>
              <w:spacing w:line="360" w:lineRule="auto"/>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5. Precizēta finansiālā ietekme:</w:t>
            </w:r>
          </w:p>
        </w:tc>
        <w:tc>
          <w:tcPr>
            <w:tcW w:w="582" w:type="pct"/>
            <w:vMerge w:val="restart"/>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before="100" w:beforeAutospacing="1" w:after="100" w:afterAutospacing="1"/>
              <w:jc w:val="center"/>
            </w:pPr>
            <w:r w:rsidRPr="007F1C0F">
              <w:t>X</w:t>
            </w: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840" w:type="pct"/>
            <w:tcBorders>
              <w:top w:val="outset" w:sz="6" w:space="0" w:color="auto"/>
              <w:left w:val="outset" w:sz="6" w:space="0" w:color="auto"/>
              <w:bottom w:val="outset" w:sz="6" w:space="0" w:color="auto"/>
            </w:tcBorders>
          </w:tcPr>
          <w:p w:rsidR="005F0CAA" w:rsidRPr="007F1C0F" w:rsidRDefault="005F0CAA" w:rsidP="005735C7">
            <w:pPr>
              <w:spacing w:line="360" w:lineRule="auto"/>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5.1. valsts pamatbudžets</w:t>
            </w:r>
          </w:p>
        </w:tc>
        <w:tc>
          <w:tcPr>
            <w:tcW w:w="582" w:type="pct"/>
            <w:vMerge/>
            <w:tcBorders>
              <w:top w:val="outset" w:sz="6" w:space="0" w:color="auto"/>
              <w:left w:val="outset" w:sz="6" w:space="0" w:color="auto"/>
              <w:bottom w:val="outset" w:sz="6" w:space="0" w:color="auto"/>
              <w:right w:val="outset" w:sz="6" w:space="0" w:color="auto"/>
            </w:tcBorders>
            <w:vAlign w:val="center"/>
          </w:tcPr>
          <w:p w:rsidR="005F0CAA" w:rsidRPr="007F1C0F" w:rsidRDefault="005F0CAA" w:rsidP="005735C7"/>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840" w:type="pct"/>
            <w:tcBorders>
              <w:top w:val="outset" w:sz="6" w:space="0" w:color="auto"/>
              <w:left w:val="outset" w:sz="6" w:space="0" w:color="auto"/>
              <w:bottom w:val="outset" w:sz="6" w:space="0" w:color="auto"/>
            </w:tcBorders>
          </w:tcPr>
          <w:p w:rsidR="005F0CAA" w:rsidRPr="007F1C0F" w:rsidRDefault="005F0CAA" w:rsidP="005735C7">
            <w:pPr>
              <w:spacing w:line="360" w:lineRule="auto"/>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5.2. speciālais budžets</w:t>
            </w:r>
          </w:p>
        </w:tc>
        <w:tc>
          <w:tcPr>
            <w:tcW w:w="582" w:type="pct"/>
            <w:vMerge/>
            <w:tcBorders>
              <w:top w:val="outset" w:sz="6" w:space="0" w:color="auto"/>
              <w:left w:val="outset" w:sz="6" w:space="0" w:color="auto"/>
              <w:bottom w:val="outset" w:sz="6" w:space="0" w:color="auto"/>
              <w:right w:val="outset" w:sz="6" w:space="0" w:color="auto"/>
            </w:tcBorders>
            <w:vAlign w:val="center"/>
          </w:tcPr>
          <w:p w:rsidR="005F0CAA" w:rsidRPr="007F1C0F" w:rsidRDefault="005F0CAA" w:rsidP="005735C7"/>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840" w:type="pct"/>
            <w:tcBorders>
              <w:top w:val="outset" w:sz="6" w:space="0" w:color="auto"/>
              <w:left w:val="outset" w:sz="6" w:space="0" w:color="auto"/>
              <w:bottom w:val="outset" w:sz="6" w:space="0" w:color="auto"/>
            </w:tcBorders>
          </w:tcPr>
          <w:p w:rsidR="005F0CAA" w:rsidRPr="007F1C0F" w:rsidRDefault="005F0CAA" w:rsidP="005735C7">
            <w:pPr>
              <w:spacing w:line="360" w:lineRule="auto"/>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5.3. pašvaldību budžets</w:t>
            </w:r>
          </w:p>
        </w:tc>
        <w:tc>
          <w:tcPr>
            <w:tcW w:w="582" w:type="pct"/>
            <w:vMerge/>
            <w:tcBorders>
              <w:top w:val="outset" w:sz="6" w:space="0" w:color="auto"/>
              <w:left w:val="outset" w:sz="6" w:space="0" w:color="auto"/>
              <w:bottom w:val="outset" w:sz="6" w:space="0" w:color="auto"/>
              <w:right w:val="outset" w:sz="6" w:space="0" w:color="auto"/>
            </w:tcBorders>
            <w:vAlign w:val="center"/>
          </w:tcPr>
          <w:p w:rsidR="005F0CAA" w:rsidRPr="007F1C0F" w:rsidRDefault="005F0CAA" w:rsidP="005735C7"/>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0" w:type="auto"/>
            <w:tcBorders>
              <w:top w:val="outset" w:sz="6" w:space="0" w:color="auto"/>
              <w:left w:val="outset" w:sz="6" w:space="0" w:color="auto"/>
              <w:bottom w:val="outset" w:sz="6" w:space="0" w:color="auto"/>
              <w:right w:val="outset" w:sz="6" w:space="0" w:color="auto"/>
            </w:tcBorders>
          </w:tcPr>
          <w:p w:rsidR="005F0CAA" w:rsidRPr="007F1C0F" w:rsidRDefault="005F0CAA" w:rsidP="005735C7">
            <w:pPr>
              <w:spacing w:line="360" w:lineRule="auto"/>
            </w:pPr>
          </w:p>
        </w:tc>
        <w:tc>
          <w:tcPr>
            <w:tcW w:w="840" w:type="pct"/>
            <w:tcBorders>
              <w:top w:val="outset" w:sz="6" w:space="0" w:color="auto"/>
              <w:left w:val="outset" w:sz="6" w:space="0" w:color="auto"/>
              <w:bottom w:val="outset" w:sz="6" w:space="0" w:color="auto"/>
            </w:tcBorders>
          </w:tcPr>
          <w:p w:rsidR="005F0CAA" w:rsidRPr="007F1C0F" w:rsidRDefault="005F0CAA" w:rsidP="005735C7">
            <w:pPr>
              <w:spacing w:line="360" w:lineRule="auto"/>
            </w:pP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6. Detalizēts ieņēmumu un izdevu</w:t>
            </w:r>
            <w:r w:rsidRPr="000E2C02">
              <w:rPr>
                <w:sz w:val="22"/>
                <w:szCs w:val="22"/>
              </w:rPr>
              <w:softHyphen/>
              <w:t>mu aprēķins (ja nepieciešams, detalizētu ieņēmumu un izdevumu aprēķinu var pievienot anotācijas pielikumā):</w:t>
            </w:r>
          </w:p>
        </w:tc>
        <w:tc>
          <w:tcPr>
            <w:tcW w:w="3429" w:type="pct"/>
            <w:gridSpan w:val="5"/>
            <w:vMerge w:val="restart"/>
            <w:tcBorders>
              <w:top w:val="outset" w:sz="6" w:space="0" w:color="auto"/>
              <w:left w:val="outset" w:sz="6" w:space="0" w:color="auto"/>
              <w:bottom w:val="outset" w:sz="6" w:space="0" w:color="auto"/>
            </w:tcBorders>
            <w:vAlign w:val="center"/>
          </w:tcPr>
          <w:p w:rsidR="005F0CAA" w:rsidRPr="007F1C0F" w:rsidRDefault="005F0CAA" w:rsidP="00D20166">
            <w:pPr>
              <w:autoSpaceDE w:val="0"/>
              <w:autoSpaceDN w:val="0"/>
              <w:adjustRightInd w:val="0"/>
              <w:ind w:left="112" w:right="112"/>
              <w:jc w:val="both"/>
              <w:rPr>
                <w:color w:val="000000"/>
              </w:rPr>
            </w:pPr>
            <w:r w:rsidRPr="007F1C0F">
              <w:t xml:space="preserve">Saskaņā ar līgumu grantu shēmai apstiprinātie finanšu līdzekļi ir </w:t>
            </w:r>
            <w:r w:rsidRPr="007F1C0F">
              <w:rPr>
                <w:color w:val="000000"/>
              </w:rPr>
              <w:t xml:space="preserve">588 235 </w:t>
            </w:r>
            <w:r w:rsidRPr="007F1C0F">
              <w:t>CHF</w:t>
            </w:r>
            <w:r w:rsidRPr="007F1C0F">
              <w:rPr>
                <w:color w:val="000000"/>
              </w:rPr>
              <w:t xml:space="preserve"> (*0,53), kas ir 311 765 LVL.</w:t>
            </w:r>
          </w:p>
          <w:p w:rsidR="005F0CAA" w:rsidRPr="007F1C0F" w:rsidRDefault="005F0CAA" w:rsidP="00B25970">
            <w:pPr>
              <w:ind w:left="112" w:right="112"/>
              <w:jc w:val="both"/>
              <w:rPr>
                <w:bCs/>
              </w:rPr>
            </w:pPr>
            <w:r w:rsidRPr="007F1C0F">
              <w:rPr>
                <w:bCs/>
              </w:rPr>
              <w:t xml:space="preserve">Finansējumu veido valsts budžeta līdzfinansējums 15% apjomā un sadarbības programmas finansējums 85% apjomā. </w:t>
            </w:r>
          </w:p>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6.1. detalizēts ieņēmumu aprēķins</w:t>
            </w:r>
          </w:p>
        </w:tc>
        <w:tc>
          <w:tcPr>
            <w:tcW w:w="3429" w:type="pct"/>
            <w:gridSpan w:val="5"/>
            <w:vMerge/>
            <w:tcBorders>
              <w:top w:val="outset" w:sz="6" w:space="0" w:color="auto"/>
              <w:left w:val="outset" w:sz="6" w:space="0" w:color="auto"/>
              <w:bottom w:val="outset" w:sz="6" w:space="0" w:color="auto"/>
            </w:tcBorders>
            <w:vAlign w:val="center"/>
          </w:tcPr>
          <w:p w:rsidR="005F0CAA" w:rsidRPr="007F1C0F" w:rsidRDefault="005F0CAA" w:rsidP="005735C7"/>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6.2. detalizēts izdevumu aprēķins</w:t>
            </w:r>
          </w:p>
        </w:tc>
        <w:tc>
          <w:tcPr>
            <w:tcW w:w="3429" w:type="pct"/>
            <w:gridSpan w:val="5"/>
            <w:vMerge/>
            <w:tcBorders>
              <w:top w:val="outset" w:sz="6" w:space="0" w:color="auto"/>
              <w:left w:val="outset" w:sz="6" w:space="0" w:color="auto"/>
              <w:bottom w:val="outset" w:sz="6" w:space="0" w:color="auto"/>
            </w:tcBorders>
            <w:vAlign w:val="center"/>
          </w:tcPr>
          <w:p w:rsidR="005F0CAA" w:rsidRPr="007F1C0F" w:rsidRDefault="005F0CAA" w:rsidP="005735C7"/>
        </w:tc>
      </w:tr>
      <w:tr w:rsidR="005F0CAA" w:rsidRPr="007F1C0F" w:rsidTr="00505E4C">
        <w:tc>
          <w:tcPr>
            <w:tcW w:w="1571" w:type="pct"/>
            <w:tcBorders>
              <w:top w:val="outset" w:sz="6" w:space="0" w:color="auto"/>
              <w:bottom w:val="outset" w:sz="6" w:space="0" w:color="auto"/>
              <w:right w:val="outset" w:sz="6" w:space="0" w:color="auto"/>
            </w:tcBorders>
          </w:tcPr>
          <w:p w:rsidR="005F0CAA" w:rsidRPr="000E2C02" w:rsidRDefault="005F0CAA" w:rsidP="005735C7">
            <w:pPr>
              <w:spacing w:before="100" w:beforeAutospacing="1" w:after="100" w:afterAutospacing="1"/>
              <w:rPr>
                <w:sz w:val="22"/>
                <w:szCs w:val="22"/>
              </w:rPr>
            </w:pPr>
            <w:r w:rsidRPr="000E2C02">
              <w:rPr>
                <w:sz w:val="22"/>
                <w:szCs w:val="22"/>
              </w:rPr>
              <w:t>7. Cita informācija</w:t>
            </w:r>
          </w:p>
        </w:tc>
        <w:tc>
          <w:tcPr>
            <w:tcW w:w="3429" w:type="pct"/>
            <w:gridSpan w:val="5"/>
            <w:tcBorders>
              <w:top w:val="outset" w:sz="6" w:space="0" w:color="auto"/>
              <w:left w:val="outset" w:sz="6" w:space="0" w:color="auto"/>
              <w:bottom w:val="outset" w:sz="6" w:space="0" w:color="auto"/>
            </w:tcBorders>
          </w:tcPr>
          <w:p w:rsidR="005F0CAA" w:rsidRPr="007F1C0F" w:rsidRDefault="005F0CAA" w:rsidP="00673711">
            <w:pPr>
              <w:pStyle w:val="naiskr"/>
              <w:spacing w:before="0" w:after="0"/>
              <w:ind w:left="38" w:right="141"/>
              <w:jc w:val="both"/>
            </w:pPr>
            <w:r w:rsidRPr="007F1C0F">
              <w:rPr>
                <w:bCs/>
              </w:rPr>
              <w:t>Finansējumu kārtējā gada Valsts budžeta likumā plāno</w:t>
            </w:r>
            <w:r w:rsidRPr="007F1C0F">
              <w:t xml:space="preserve"> valsts budžeta līdzfinansējumu un sadarbības programmas finansējumu 100% apjomā kā dotāciju no vispārējiem ieņēmumiem saskaņā ar </w:t>
            </w:r>
            <w:r w:rsidRPr="007F1C0F">
              <w:rPr>
                <w:bCs/>
              </w:rPr>
              <w:t>noteikumu Nr.273</w:t>
            </w:r>
            <w:r w:rsidRPr="007F1C0F">
              <w:t xml:space="preserve"> 95.punktu. </w:t>
            </w:r>
          </w:p>
          <w:p w:rsidR="005F0CAA" w:rsidRPr="007F1C0F" w:rsidRDefault="005F0CAA" w:rsidP="00F215D1">
            <w:pPr>
              <w:ind w:left="38" w:right="141"/>
              <w:jc w:val="both"/>
            </w:pPr>
            <w:proofErr w:type="spellStart"/>
            <w:r w:rsidRPr="007F1C0F">
              <w:rPr>
                <w:bCs/>
              </w:rPr>
              <w:t>Apakšprojektu</w:t>
            </w:r>
            <w:proofErr w:type="spellEnd"/>
            <w:r w:rsidRPr="007F1C0F">
              <w:rPr>
                <w:bCs/>
              </w:rPr>
              <w:t xml:space="preserve"> iesniedzējiem līdzfinansējums noteikumu projektā paredzētā atklāta konkursa </w:t>
            </w:r>
            <w:proofErr w:type="spellStart"/>
            <w:r w:rsidRPr="007F1C0F">
              <w:rPr>
                <w:bCs/>
              </w:rPr>
              <w:t>apakšprojektu</w:t>
            </w:r>
            <w:proofErr w:type="spellEnd"/>
            <w:r w:rsidRPr="007F1C0F">
              <w:rPr>
                <w:bCs/>
              </w:rPr>
              <w:t xml:space="preserve"> īstenošanai nav jānodrošina. </w:t>
            </w:r>
          </w:p>
        </w:tc>
      </w:tr>
    </w:tbl>
    <w:p w:rsidR="005F0CAA" w:rsidRPr="007F1C0F" w:rsidRDefault="005F0CAA" w:rsidP="006C4607">
      <w:pPr>
        <w:pStyle w:val="naisf"/>
        <w:spacing w:before="0" w:after="0"/>
      </w:pPr>
    </w:p>
    <w:p w:rsidR="005F0CAA" w:rsidRPr="007F1C0F" w:rsidRDefault="005F0CAA" w:rsidP="006F123E">
      <w:r w:rsidRPr="007F1C0F">
        <w:t xml:space="preserve">Anotācijas </w:t>
      </w:r>
      <w:proofErr w:type="spellStart"/>
      <w:r w:rsidRPr="007F1C0F">
        <w:t>IV.sadaļa</w:t>
      </w:r>
      <w:proofErr w:type="spellEnd"/>
      <w:r w:rsidRPr="007F1C0F">
        <w:t xml:space="preserve"> - Noteikumu projekts šo jomu neskar</w:t>
      </w:r>
    </w:p>
    <w:p w:rsidR="005F0CAA" w:rsidRPr="007F1C0F" w:rsidRDefault="005F0CAA" w:rsidP="006C4607">
      <w:pPr>
        <w:pStyle w:val="naiskr"/>
        <w:tabs>
          <w:tab w:val="left" w:pos="2628"/>
        </w:tabs>
        <w:spacing w:before="0" w:after="0"/>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851"/>
        <w:gridCol w:w="3118"/>
        <w:gridCol w:w="6237"/>
      </w:tblGrid>
      <w:tr w:rsidR="005F0CAA" w:rsidRPr="007F1C0F" w:rsidTr="004F305A">
        <w:tc>
          <w:tcPr>
            <w:tcW w:w="10206" w:type="dxa"/>
            <w:gridSpan w:val="3"/>
            <w:tcBorders>
              <w:top w:val="outset" w:sz="6" w:space="0" w:color="auto"/>
              <w:bottom w:val="outset" w:sz="6" w:space="0" w:color="auto"/>
            </w:tcBorders>
            <w:vAlign w:val="center"/>
          </w:tcPr>
          <w:p w:rsidR="005F0CAA" w:rsidRPr="007F1C0F" w:rsidRDefault="005F0CAA" w:rsidP="00C31E36">
            <w:pPr>
              <w:jc w:val="center"/>
              <w:rPr>
                <w:b/>
              </w:rPr>
            </w:pPr>
            <w:r w:rsidRPr="007F1C0F">
              <w:rPr>
                <w:b/>
              </w:rPr>
              <w:t>V. Tiesību akta projekta atbilstība Latvijas Republikas starptautiskajām saistībām</w:t>
            </w:r>
          </w:p>
        </w:tc>
      </w:tr>
      <w:tr w:rsidR="005F0CAA" w:rsidRPr="007F1C0F" w:rsidTr="004F305A">
        <w:tc>
          <w:tcPr>
            <w:tcW w:w="851" w:type="dxa"/>
            <w:tcBorders>
              <w:top w:val="outset" w:sz="6" w:space="0" w:color="auto"/>
              <w:bottom w:val="outset" w:sz="6" w:space="0" w:color="auto"/>
              <w:right w:val="outset" w:sz="6" w:space="0" w:color="auto"/>
            </w:tcBorders>
          </w:tcPr>
          <w:p w:rsidR="005F0CAA" w:rsidRPr="007F1C0F" w:rsidRDefault="005F0CAA" w:rsidP="00C31E36">
            <w:pPr>
              <w:ind w:left="57"/>
            </w:pPr>
            <w:r w:rsidRPr="007F1C0F">
              <w:t>1.</w:t>
            </w:r>
          </w:p>
        </w:tc>
        <w:tc>
          <w:tcPr>
            <w:tcW w:w="3118" w:type="dxa"/>
            <w:tcBorders>
              <w:top w:val="outset" w:sz="6" w:space="0" w:color="auto"/>
              <w:left w:val="outset" w:sz="6" w:space="0" w:color="auto"/>
              <w:bottom w:val="outset" w:sz="6" w:space="0" w:color="auto"/>
              <w:right w:val="outset" w:sz="6" w:space="0" w:color="auto"/>
            </w:tcBorders>
          </w:tcPr>
          <w:p w:rsidR="005F0CAA" w:rsidRPr="007F1C0F" w:rsidRDefault="005F0CAA" w:rsidP="00C31E36">
            <w:pPr>
              <w:ind w:left="57"/>
            </w:pPr>
            <w:r w:rsidRPr="007F1C0F">
              <w:t>Saistības pret Eiropas Savienību</w:t>
            </w:r>
          </w:p>
        </w:tc>
        <w:tc>
          <w:tcPr>
            <w:tcW w:w="6237" w:type="dxa"/>
            <w:tcBorders>
              <w:top w:val="outset" w:sz="6" w:space="0" w:color="auto"/>
              <w:left w:val="outset" w:sz="6" w:space="0" w:color="auto"/>
              <w:bottom w:val="outset" w:sz="6" w:space="0" w:color="auto"/>
            </w:tcBorders>
          </w:tcPr>
          <w:p w:rsidR="005F0CAA" w:rsidRPr="007F1C0F" w:rsidRDefault="005F0CAA" w:rsidP="008B5E3A">
            <w:pPr>
              <w:pStyle w:val="naiskr"/>
              <w:spacing w:before="0" w:after="0"/>
              <w:ind w:left="102" w:right="81"/>
            </w:pPr>
            <w:r w:rsidRPr="007F1C0F">
              <w:t>Noteikumu projekts šo jomu neskar</w:t>
            </w:r>
          </w:p>
          <w:p w:rsidR="005F0CAA" w:rsidRPr="007F1C0F" w:rsidRDefault="005F0CAA" w:rsidP="008B5E3A">
            <w:pPr>
              <w:pStyle w:val="naiskr"/>
              <w:spacing w:before="0" w:after="0"/>
              <w:ind w:left="102" w:right="81"/>
            </w:pPr>
          </w:p>
        </w:tc>
      </w:tr>
      <w:tr w:rsidR="005F0CAA" w:rsidRPr="007F1C0F" w:rsidTr="004F305A">
        <w:tc>
          <w:tcPr>
            <w:tcW w:w="851" w:type="dxa"/>
            <w:tcBorders>
              <w:top w:val="outset" w:sz="6" w:space="0" w:color="auto"/>
              <w:bottom w:val="outset" w:sz="6" w:space="0" w:color="auto"/>
              <w:right w:val="outset" w:sz="6" w:space="0" w:color="auto"/>
            </w:tcBorders>
          </w:tcPr>
          <w:p w:rsidR="005F0CAA" w:rsidRPr="007F1C0F" w:rsidRDefault="005F0CAA" w:rsidP="00C31E36">
            <w:pPr>
              <w:ind w:left="57"/>
            </w:pPr>
            <w:r w:rsidRPr="007F1C0F">
              <w:t>2.</w:t>
            </w:r>
          </w:p>
        </w:tc>
        <w:tc>
          <w:tcPr>
            <w:tcW w:w="3118" w:type="dxa"/>
            <w:tcBorders>
              <w:top w:val="outset" w:sz="6" w:space="0" w:color="auto"/>
              <w:left w:val="outset" w:sz="6" w:space="0" w:color="auto"/>
              <w:bottom w:val="outset" w:sz="6" w:space="0" w:color="auto"/>
              <w:right w:val="outset" w:sz="6" w:space="0" w:color="auto"/>
            </w:tcBorders>
          </w:tcPr>
          <w:p w:rsidR="005F0CAA" w:rsidRPr="007F1C0F" w:rsidRDefault="005F0CAA" w:rsidP="00C31E36">
            <w:pPr>
              <w:ind w:left="57"/>
            </w:pPr>
            <w:r w:rsidRPr="007F1C0F">
              <w:t>Citas starptautiskās saistības</w:t>
            </w:r>
          </w:p>
          <w:p w:rsidR="005F0CAA" w:rsidRPr="007F1C0F" w:rsidRDefault="005F0CAA" w:rsidP="003E7C92">
            <w:pPr>
              <w:ind w:left="57"/>
            </w:pPr>
            <w:r w:rsidRPr="007F1C0F">
              <w:br/>
            </w:r>
          </w:p>
        </w:tc>
        <w:tc>
          <w:tcPr>
            <w:tcW w:w="6237" w:type="dxa"/>
            <w:tcBorders>
              <w:top w:val="outset" w:sz="6" w:space="0" w:color="auto"/>
              <w:left w:val="outset" w:sz="6" w:space="0" w:color="auto"/>
              <w:bottom w:val="outset" w:sz="6" w:space="0" w:color="auto"/>
            </w:tcBorders>
          </w:tcPr>
          <w:p w:rsidR="005F0CAA" w:rsidRPr="007F1C0F" w:rsidRDefault="005F0CAA" w:rsidP="00804625">
            <w:pPr>
              <w:pStyle w:val="BodyText"/>
              <w:spacing w:after="0"/>
              <w:jc w:val="both"/>
            </w:pPr>
            <w:r w:rsidRPr="007F1C0F">
              <w:t xml:space="preserve">Ministru kabineta 2007.gada 4.decembra noteikumi Nr.839 </w:t>
            </w:r>
            <w:r w:rsidRPr="007F1C0F">
              <w:br/>
              <w:t xml:space="preserve">„Par Latvijas Republikas valdības un Šveices Konfederācijas padomes </w:t>
            </w:r>
            <w:proofErr w:type="spellStart"/>
            <w:r w:rsidRPr="007F1C0F">
              <w:t>ietvarlīgumu</w:t>
            </w:r>
            <w:proofErr w:type="spellEnd"/>
            <w:r w:rsidRPr="007F1C0F">
              <w:t xml:space="preserve"> par Latvijas-Šveices sadarbības </w:t>
            </w:r>
            <w:r w:rsidRPr="007F1C0F">
              <w:lastRenderedPageBreak/>
              <w:t xml:space="preserve">programmas īstenošanu ekonomisko un sociālo atšķirību samazināšanai paplašinātajā Eiropas Savienībā” nosaka prioritātes „Cilvēkresursu un sociālā attīstība” </w:t>
            </w:r>
            <w:proofErr w:type="spellStart"/>
            <w:r w:rsidRPr="007F1C0F">
              <w:t>apakšprioritāti</w:t>
            </w:r>
            <w:proofErr w:type="spellEnd"/>
            <w:r w:rsidRPr="007F1C0F">
              <w:t xml:space="preserve"> „Pētniecība un attīstība”. 2011.gada 30.maijā tika parakstīts un stājās spēkā līgums </w:t>
            </w:r>
            <w:r w:rsidRPr="007F1C0F">
              <w:rPr>
                <w:bCs/>
              </w:rPr>
              <w:t xml:space="preserve">par </w:t>
            </w:r>
            <w:r w:rsidRPr="007F1C0F">
              <w:t>grantu shēmas īsteno</w:t>
            </w:r>
            <w:r w:rsidRPr="007F1C0F">
              <w:rPr>
                <w:bCs/>
              </w:rPr>
              <w:t xml:space="preserve">šanu Latvijā no </w:t>
            </w:r>
            <w:r w:rsidRPr="007F1C0F">
              <w:t>2011.</w:t>
            </w:r>
            <w:r w:rsidRPr="007F1C0F">
              <w:rPr>
                <w:bCs/>
              </w:rPr>
              <w:t xml:space="preserve">gada </w:t>
            </w:r>
            <w:r w:rsidRPr="007F1C0F">
              <w:t>1.</w:t>
            </w:r>
            <w:r w:rsidRPr="007F1C0F">
              <w:rPr>
                <w:bCs/>
              </w:rPr>
              <w:t>jūlija</w:t>
            </w:r>
            <w:r w:rsidRPr="007F1C0F">
              <w:rPr>
                <w:b/>
                <w:bCs/>
              </w:rPr>
              <w:t xml:space="preserve"> </w:t>
            </w:r>
            <w:r w:rsidRPr="007F1C0F">
              <w:t xml:space="preserve">līdz </w:t>
            </w:r>
            <w:r w:rsidRPr="007F1C0F">
              <w:rPr>
                <w:bCs/>
              </w:rPr>
              <w:t>2015.gada 30.septembrim</w:t>
            </w:r>
            <w:r w:rsidRPr="007F1C0F">
              <w:t xml:space="preserve">. </w:t>
            </w:r>
            <w:r w:rsidRPr="007F1C0F">
              <w:rPr>
                <w:bCs/>
              </w:rPr>
              <w:t xml:space="preserve"> Saskaņā ar grantu shēmas īstenošanas laika grafiku </w:t>
            </w:r>
            <w:proofErr w:type="spellStart"/>
            <w:r w:rsidRPr="007F1C0F">
              <w:rPr>
                <w:bCs/>
              </w:rPr>
              <w:t>apakšprojektu</w:t>
            </w:r>
            <w:proofErr w:type="spellEnd"/>
            <w:r w:rsidRPr="007F1C0F">
              <w:rPr>
                <w:bCs/>
              </w:rPr>
              <w:t xml:space="preserve"> iesniegumu </w:t>
            </w:r>
            <w:r w:rsidRPr="007F1C0F">
              <w:t xml:space="preserve">atklāta konkursa </w:t>
            </w:r>
            <w:r w:rsidRPr="007F1C0F">
              <w:rPr>
                <w:bCs/>
              </w:rPr>
              <w:t>pirmās kārtas izsludināšana ir plānota 2012.gada martā, tādēļ noteikumu projektu nepieciešams apstiprināt līdz 2012.gada februārim.</w:t>
            </w:r>
          </w:p>
        </w:tc>
      </w:tr>
      <w:tr w:rsidR="005F0CAA" w:rsidRPr="007F1C0F" w:rsidTr="004F305A">
        <w:tc>
          <w:tcPr>
            <w:tcW w:w="851" w:type="dxa"/>
            <w:tcBorders>
              <w:top w:val="outset" w:sz="6" w:space="0" w:color="auto"/>
              <w:bottom w:val="outset" w:sz="6" w:space="0" w:color="auto"/>
              <w:right w:val="outset" w:sz="6" w:space="0" w:color="auto"/>
            </w:tcBorders>
          </w:tcPr>
          <w:p w:rsidR="005F0CAA" w:rsidRPr="007F1C0F" w:rsidRDefault="005F0CAA" w:rsidP="00C31E36">
            <w:pPr>
              <w:ind w:left="57"/>
            </w:pPr>
            <w:r w:rsidRPr="007F1C0F">
              <w:lastRenderedPageBreak/>
              <w:t>3.</w:t>
            </w:r>
          </w:p>
        </w:tc>
        <w:tc>
          <w:tcPr>
            <w:tcW w:w="3118" w:type="dxa"/>
            <w:tcBorders>
              <w:top w:val="outset" w:sz="6" w:space="0" w:color="auto"/>
              <w:left w:val="outset" w:sz="6" w:space="0" w:color="auto"/>
              <w:bottom w:val="outset" w:sz="6" w:space="0" w:color="auto"/>
              <w:right w:val="outset" w:sz="6" w:space="0" w:color="auto"/>
            </w:tcBorders>
          </w:tcPr>
          <w:p w:rsidR="005F0CAA" w:rsidRPr="007F1C0F" w:rsidRDefault="005F0CAA" w:rsidP="00C31E36">
            <w:pPr>
              <w:ind w:left="57"/>
            </w:pPr>
            <w:r w:rsidRPr="007F1C0F">
              <w:t>Cita informācija</w:t>
            </w:r>
          </w:p>
        </w:tc>
        <w:tc>
          <w:tcPr>
            <w:tcW w:w="6237" w:type="dxa"/>
            <w:tcBorders>
              <w:top w:val="outset" w:sz="6" w:space="0" w:color="auto"/>
              <w:left w:val="outset" w:sz="6" w:space="0" w:color="auto"/>
              <w:bottom w:val="outset" w:sz="6" w:space="0" w:color="auto"/>
            </w:tcBorders>
          </w:tcPr>
          <w:p w:rsidR="005F0CAA" w:rsidRPr="007F1C0F" w:rsidRDefault="005F0CAA" w:rsidP="007F1C0F">
            <w:pPr>
              <w:ind w:left="57"/>
            </w:pPr>
            <w:r w:rsidRPr="007F1C0F">
              <w:t>Nav</w:t>
            </w:r>
          </w:p>
        </w:tc>
      </w:tr>
    </w:tbl>
    <w:p w:rsidR="005F0CAA" w:rsidRPr="007F1C0F" w:rsidRDefault="005F0CAA" w:rsidP="000F7E22"/>
    <w:p w:rsidR="005F0CAA" w:rsidRPr="007F1C0F" w:rsidRDefault="005F0CAA" w:rsidP="000F7E22">
      <w:r w:rsidRPr="007F1C0F">
        <w:t xml:space="preserve">Anotācijas </w:t>
      </w:r>
      <w:proofErr w:type="spellStart"/>
      <w:r w:rsidRPr="007F1C0F">
        <w:t>V.sadaļas</w:t>
      </w:r>
      <w:proofErr w:type="spellEnd"/>
      <w:r w:rsidRPr="007F1C0F">
        <w:t xml:space="preserve"> 1.un 2.tabula - Noteikumu projekts šo jomu neskar</w:t>
      </w:r>
    </w:p>
    <w:p w:rsidR="005F0CAA" w:rsidRPr="007F1C0F" w:rsidRDefault="005F0CAA" w:rsidP="000C5A54">
      <w:pPr>
        <w:rPr>
          <w:highlight w:val="yellow"/>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4253"/>
        <w:gridCol w:w="5552"/>
      </w:tblGrid>
      <w:tr w:rsidR="005F0CAA" w:rsidRPr="007F1C0F" w:rsidTr="00FD2A8A">
        <w:trPr>
          <w:jc w:val="center"/>
        </w:trPr>
        <w:tc>
          <w:tcPr>
            <w:tcW w:w="10256" w:type="dxa"/>
            <w:gridSpan w:val="3"/>
          </w:tcPr>
          <w:p w:rsidR="005F0CAA" w:rsidRPr="007F1C0F" w:rsidRDefault="005F0CAA" w:rsidP="007D099D">
            <w:pPr>
              <w:pStyle w:val="naisnod"/>
              <w:spacing w:before="0" w:after="0"/>
              <w:ind w:left="57" w:right="57"/>
            </w:pPr>
            <w:r w:rsidRPr="007F1C0F">
              <w:t>VI. Sabiedrības līdzdalība un šīs līdzdalības rezultāti</w:t>
            </w:r>
          </w:p>
        </w:tc>
      </w:tr>
      <w:tr w:rsidR="005F0CAA" w:rsidRPr="007F1C0F" w:rsidTr="000E2C02">
        <w:trPr>
          <w:trHeight w:val="553"/>
          <w:jc w:val="center"/>
        </w:trPr>
        <w:tc>
          <w:tcPr>
            <w:tcW w:w="451" w:type="dxa"/>
          </w:tcPr>
          <w:p w:rsidR="005F0CAA" w:rsidRPr="007F1C0F" w:rsidRDefault="005F0CAA" w:rsidP="007D099D">
            <w:pPr>
              <w:pStyle w:val="naiskr"/>
              <w:spacing w:before="0" w:after="0"/>
              <w:ind w:left="57" w:right="57"/>
              <w:rPr>
                <w:bCs/>
              </w:rPr>
            </w:pPr>
            <w:r w:rsidRPr="007F1C0F">
              <w:rPr>
                <w:bCs/>
              </w:rPr>
              <w:t>1.</w:t>
            </w:r>
          </w:p>
        </w:tc>
        <w:tc>
          <w:tcPr>
            <w:tcW w:w="4253" w:type="dxa"/>
          </w:tcPr>
          <w:p w:rsidR="005F0CAA" w:rsidRPr="007F1C0F" w:rsidRDefault="005F0CAA" w:rsidP="007F1C0F">
            <w:pPr>
              <w:pStyle w:val="naiskr"/>
              <w:tabs>
                <w:tab w:val="left" w:pos="170"/>
              </w:tabs>
              <w:spacing w:before="0" w:after="0"/>
              <w:ind w:left="57" w:right="57"/>
            </w:pPr>
            <w:r w:rsidRPr="007F1C0F">
              <w:t>Sabiedrības informēšana par projekta izstrādes uzsākšanu</w:t>
            </w:r>
          </w:p>
        </w:tc>
        <w:tc>
          <w:tcPr>
            <w:tcW w:w="5552" w:type="dxa"/>
          </w:tcPr>
          <w:p w:rsidR="005F0CAA" w:rsidRPr="007F1C0F" w:rsidRDefault="005F0CAA" w:rsidP="00F12EFA">
            <w:pPr>
              <w:pStyle w:val="naiskr"/>
              <w:spacing w:before="0" w:after="0"/>
              <w:ind w:left="45" w:right="165"/>
              <w:jc w:val="both"/>
              <w:rPr>
                <w:i/>
              </w:rPr>
            </w:pPr>
            <w:r w:rsidRPr="007F1C0F">
              <w:t xml:space="preserve">Sabiedrības informēšana notika pirms noteikumu projekta izstrādes uzsākšanas. </w:t>
            </w:r>
            <w:r w:rsidRPr="007F1C0F">
              <w:rPr>
                <w:bCs/>
              </w:rPr>
              <w:t xml:space="preserve">2008.gadā ministrija nosūtīja </w:t>
            </w:r>
            <w:r w:rsidRPr="007F1C0F">
              <w:t xml:space="preserve">12 </w:t>
            </w:r>
            <w:r w:rsidRPr="007F1C0F">
              <w:rPr>
                <w:bCs/>
              </w:rPr>
              <w:t>Latvijas augstskolām vēstuli „</w:t>
            </w:r>
            <w:r w:rsidRPr="007F1C0F">
              <w:t xml:space="preserve">Par Latvijas Republikas un Šveices Konfederācijas sadarbību augstākajā izglītībā un pētniecībā”. Vēstule informēja par </w:t>
            </w:r>
            <w:proofErr w:type="spellStart"/>
            <w:r w:rsidRPr="007F1C0F">
              <w:t>ietvarlīguma</w:t>
            </w:r>
            <w:proofErr w:type="spellEnd"/>
            <w:r w:rsidRPr="007F1C0F">
              <w:t xml:space="preserve"> parakstīšanu un sadarbības programmas </w:t>
            </w:r>
            <w:proofErr w:type="spellStart"/>
            <w:r w:rsidRPr="007F1C0F">
              <w:t>apakšprioritātē</w:t>
            </w:r>
            <w:proofErr w:type="spellEnd"/>
            <w:r w:rsidRPr="007F1C0F">
              <w:t xml:space="preserve"> „Pētniecība un attīstība” pieļaujamām aktivitātēm, tostarp iekļaujot ministrijas ierosinājumu par Šveices pētnieku īslaicīgu uzturēšanos Latvijā nolūkā lasīt lekcijas un dalīties ar pieredzi pētniecībā. Ministrija aicināja augstskolas sniegt informāciju par līdzšinējo sadarbību ar Šveices Konfederāciju augstākajā izglītībā un pētniecībā, kā arī </w:t>
            </w:r>
            <w:r w:rsidRPr="007F1C0F">
              <w:rPr>
                <w:bCs/>
              </w:rPr>
              <w:t xml:space="preserve">viedokli par vēlamiem </w:t>
            </w:r>
            <w:r w:rsidRPr="007F1C0F">
              <w:t xml:space="preserve">sadarbības </w:t>
            </w:r>
            <w:r w:rsidRPr="007F1C0F">
              <w:rPr>
                <w:bCs/>
              </w:rPr>
              <w:t>attīstības virzieniem</w:t>
            </w:r>
            <w:r w:rsidRPr="007F1C0F">
              <w:t>.</w:t>
            </w:r>
          </w:p>
        </w:tc>
      </w:tr>
      <w:tr w:rsidR="005F0CAA" w:rsidRPr="007F1C0F" w:rsidTr="000E2C02">
        <w:trPr>
          <w:trHeight w:val="339"/>
          <w:jc w:val="center"/>
        </w:trPr>
        <w:tc>
          <w:tcPr>
            <w:tcW w:w="451" w:type="dxa"/>
          </w:tcPr>
          <w:p w:rsidR="005F0CAA" w:rsidRPr="007F1C0F" w:rsidRDefault="005F0CAA" w:rsidP="007D099D">
            <w:pPr>
              <w:pStyle w:val="naiskr"/>
              <w:spacing w:before="0" w:after="0"/>
              <w:ind w:left="57" w:right="57"/>
              <w:rPr>
                <w:bCs/>
              </w:rPr>
            </w:pPr>
            <w:r w:rsidRPr="007F1C0F">
              <w:rPr>
                <w:bCs/>
              </w:rPr>
              <w:t>2.</w:t>
            </w:r>
          </w:p>
        </w:tc>
        <w:tc>
          <w:tcPr>
            <w:tcW w:w="4253" w:type="dxa"/>
          </w:tcPr>
          <w:p w:rsidR="005F0CAA" w:rsidRPr="007F1C0F" w:rsidRDefault="005F0CAA" w:rsidP="007D099D">
            <w:pPr>
              <w:pStyle w:val="naiskr"/>
              <w:spacing w:before="0" w:after="0"/>
              <w:ind w:left="57" w:right="57"/>
            </w:pPr>
            <w:r w:rsidRPr="007F1C0F">
              <w:t xml:space="preserve">Sabiedrības līdzdalība projekta izstrādē </w:t>
            </w:r>
            <w:r w:rsidRPr="007F1C0F">
              <w:br/>
            </w:r>
          </w:p>
          <w:p w:rsidR="005F0CAA" w:rsidRPr="007F1C0F" w:rsidRDefault="005F0CAA" w:rsidP="007D099D">
            <w:pPr>
              <w:pStyle w:val="naiskr"/>
              <w:spacing w:before="0" w:after="0"/>
              <w:ind w:left="57" w:right="57"/>
            </w:pPr>
          </w:p>
        </w:tc>
        <w:tc>
          <w:tcPr>
            <w:tcW w:w="5552" w:type="dxa"/>
          </w:tcPr>
          <w:p w:rsidR="005F0CAA" w:rsidRPr="007F1C0F" w:rsidRDefault="005F0CAA" w:rsidP="00BC66DC">
            <w:pPr>
              <w:pStyle w:val="naiskr"/>
              <w:spacing w:before="0" w:after="0"/>
              <w:ind w:left="57" w:right="165"/>
              <w:jc w:val="both"/>
            </w:pPr>
            <w:r w:rsidRPr="007F1C0F">
              <w:t>Šīs anotācijas sadaļas 1.punktā minētajā sarakstē a</w:t>
            </w:r>
            <w:r w:rsidRPr="007F1C0F">
              <w:rPr>
                <w:bCs/>
              </w:rPr>
              <w:t xml:space="preserve">ugstskolas izteica </w:t>
            </w:r>
            <w:r w:rsidRPr="007F1C0F">
              <w:t>atbalstu ministrijas ierosinātai aktivitātei, kas paredz īstermiņa grantus Šveices pētniekiem lekciju lasīšanai un pieredzes apmaiņai Latvijā, Savukārt, uzsākot noteikuma  projekta izstrādi, ministrijai notikušas neformālas konsultācijas ar Latvijas augstskolām par pieredzi vieslektoru uzņemšanā.</w:t>
            </w:r>
          </w:p>
        </w:tc>
      </w:tr>
      <w:tr w:rsidR="005F0CAA" w:rsidRPr="007F1C0F" w:rsidTr="000E2C02">
        <w:trPr>
          <w:trHeight w:val="375"/>
          <w:jc w:val="center"/>
        </w:trPr>
        <w:tc>
          <w:tcPr>
            <w:tcW w:w="451" w:type="dxa"/>
          </w:tcPr>
          <w:p w:rsidR="005F0CAA" w:rsidRPr="007F1C0F" w:rsidRDefault="005F0CAA" w:rsidP="007D099D">
            <w:pPr>
              <w:pStyle w:val="naiskr"/>
              <w:spacing w:before="0" w:after="0"/>
              <w:ind w:left="57" w:right="57"/>
              <w:rPr>
                <w:bCs/>
              </w:rPr>
            </w:pPr>
            <w:r w:rsidRPr="007F1C0F">
              <w:rPr>
                <w:bCs/>
              </w:rPr>
              <w:t>3.</w:t>
            </w:r>
          </w:p>
        </w:tc>
        <w:tc>
          <w:tcPr>
            <w:tcW w:w="4253" w:type="dxa"/>
          </w:tcPr>
          <w:p w:rsidR="005F0CAA" w:rsidRPr="007F1C0F" w:rsidRDefault="005F0CAA" w:rsidP="00A565DE">
            <w:pPr>
              <w:pStyle w:val="naiskr"/>
              <w:spacing w:before="0" w:after="0"/>
              <w:ind w:left="57" w:right="57"/>
            </w:pPr>
            <w:r w:rsidRPr="007F1C0F">
              <w:t xml:space="preserve">Sabiedrības līdzdalības rezultāti </w:t>
            </w:r>
            <w:r w:rsidRPr="007F1C0F">
              <w:br/>
            </w:r>
          </w:p>
        </w:tc>
        <w:tc>
          <w:tcPr>
            <w:tcW w:w="5552" w:type="dxa"/>
          </w:tcPr>
          <w:p w:rsidR="005F0CAA" w:rsidRPr="007F1C0F" w:rsidRDefault="005F0CAA" w:rsidP="00BC66DC">
            <w:pPr>
              <w:pStyle w:val="naiskr"/>
              <w:spacing w:before="0" w:after="0"/>
              <w:ind w:left="45" w:right="165"/>
              <w:jc w:val="both"/>
            </w:pPr>
            <w:r w:rsidRPr="007F1C0F">
              <w:t xml:space="preserve">Izstrādājot noteikumu projektu, ministrija izvērtēja un ņēma vērā šīs anotācijas sadaļas 1.un 2.punktā minētās komunikācijas laikā saņemto augstskolu viedokli un priekšlikumus (piemēram, par stipendijas izmaksāšanu pētniekam kā vienotas likmes maksājumu). </w:t>
            </w:r>
          </w:p>
        </w:tc>
      </w:tr>
      <w:tr w:rsidR="005F0CAA" w:rsidRPr="007F1C0F" w:rsidTr="000E2C02">
        <w:trPr>
          <w:trHeight w:val="397"/>
          <w:jc w:val="center"/>
        </w:trPr>
        <w:tc>
          <w:tcPr>
            <w:tcW w:w="451" w:type="dxa"/>
          </w:tcPr>
          <w:p w:rsidR="005F0CAA" w:rsidRPr="007F1C0F" w:rsidRDefault="005F0CAA" w:rsidP="007D099D">
            <w:pPr>
              <w:pStyle w:val="naiskr"/>
              <w:spacing w:before="0" w:after="0"/>
              <w:ind w:left="57" w:right="57"/>
              <w:rPr>
                <w:bCs/>
              </w:rPr>
            </w:pPr>
            <w:r w:rsidRPr="007F1C0F">
              <w:rPr>
                <w:bCs/>
              </w:rPr>
              <w:t>4.</w:t>
            </w:r>
          </w:p>
        </w:tc>
        <w:tc>
          <w:tcPr>
            <w:tcW w:w="4253" w:type="dxa"/>
          </w:tcPr>
          <w:p w:rsidR="005F0CAA" w:rsidRPr="007F1C0F" w:rsidRDefault="005F0CAA" w:rsidP="007D099D">
            <w:pPr>
              <w:pStyle w:val="naiskr"/>
              <w:spacing w:before="0" w:after="0"/>
              <w:ind w:left="57" w:right="57"/>
            </w:pPr>
            <w:r w:rsidRPr="007F1C0F">
              <w:t>Saeimas un ekspertu līdzdalība</w:t>
            </w:r>
          </w:p>
        </w:tc>
        <w:tc>
          <w:tcPr>
            <w:tcW w:w="5552" w:type="dxa"/>
          </w:tcPr>
          <w:p w:rsidR="005F0CAA" w:rsidRPr="007F1C0F" w:rsidRDefault="005F0CAA" w:rsidP="00F12EFA">
            <w:pPr>
              <w:autoSpaceDE w:val="0"/>
              <w:autoSpaceDN w:val="0"/>
              <w:adjustRightInd w:val="0"/>
              <w:ind w:left="45" w:right="165"/>
              <w:jc w:val="both"/>
            </w:pPr>
            <w:r w:rsidRPr="007F1C0F">
              <w:t xml:space="preserve">Noteikumu projekta izstrādes laikā netika iesaistīti neatkarīgie eksperti. Grantu shēmas īstenošanas laikā eksperti tiks iesaistīti starpniekinstitūcijas izveidotajā Projektu vadības un mazo projektu apstiprināšanas komitejā, kuras sastāvā paredzēts viens starpniekinstitūcijas pārstāvis, pa diviem pārstāvjiem no ministrijas un Latvijas Studentu padomes un pa vienam pārstāvim no Augstākās Izglītības padomes, </w:t>
            </w:r>
            <w:r w:rsidRPr="007F1C0F">
              <w:lastRenderedPageBreak/>
              <w:t>Latvijas Zinātnes padomes</w:t>
            </w:r>
            <w:r w:rsidRPr="007F1C0F">
              <w:rPr>
                <w:color w:val="000000"/>
              </w:rPr>
              <w:t>,</w:t>
            </w:r>
            <w:r w:rsidRPr="007F1C0F">
              <w:t xml:space="preserve"> Rektoru padomes, Latvijas Jauno Zinātnieku Apvienības. Komitejas darbā novērotāja statusā </w:t>
            </w:r>
            <w:r w:rsidRPr="007F1C0F">
              <w:rPr>
                <w:bCs/>
              </w:rPr>
              <w:t>var</w:t>
            </w:r>
            <w:r w:rsidRPr="007F1C0F">
              <w:t xml:space="preserve"> piedalīties Kultūras ministrijas un Šveices Konfederācijas vēstniecības Latvijas Republikā  pārstāvji.</w:t>
            </w:r>
          </w:p>
        </w:tc>
      </w:tr>
      <w:tr w:rsidR="005F0CAA" w:rsidRPr="007F1C0F" w:rsidTr="000E2C02">
        <w:trPr>
          <w:trHeight w:val="476"/>
          <w:jc w:val="center"/>
        </w:trPr>
        <w:tc>
          <w:tcPr>
            <w:tcW w:w="451" w:type="dxa"/>
          </w:tcPr>
          <w:p w:rsidR="005F0CAA" w:rsidRPr="007F1C0F" w:rsidRDefault="005F0CAA" w:rsidP="007D099D">
            <w:pPr>
              <w:pStyle w:val="naiskr"/>
              <w:spacing w:before="0" w:after="0"/>
              <w:ind w:left="57" w:right="57"/>
              <w:rPr>
                <w:bCs/>
              </w:rPr>
            </w:pPr>
            <w:r w:rsidRPr="007F1C0F">
              <w:rPr>
                <w:bCs/>
              </w:rPr>
              <w:lastRenderedPageBreak/>
              <w:t>5.</w:t>
            </w:r>
          </w:p>
        </w:tc>
        <w:tc>
          <w:tcPr>
            <w:tcW w:w="4253" w:type="dxa"/>
          </w:tcPr>
          <w:p w:rsidR="005F0CAA" w:rsidRPr="007F1C0F" w:rsidRDefault="005F0CAA" w:rsidP="007D099D">
            <w:pPr>
              <w:pStyle w:val="naiskr"/>
              <w:spacing w:before="0" w:after="0"/>
              <w:ind w:left="57" w:right="57"/>
            </w:pPr>
            <w:r w:rsidRPr="007F1C0F">
              <w:t>Cita informācija</w:t>
            </w:r>
          </w:p>
          <w:p w:rsidR="005F0CAA" w:rsidRPr="007F1C0F" w:rsidRDefault="005F0CAA" w:rsidP="00765F32">
            <w:pPr>
              <w:pStyle w:val="naiskr"/>
              <w:spacing w:before="0" w:after="0"/>
              <w:ind w:left="57" w:right="57"/>
            </w:pPr>
          </w:p>
        </w:tc>
        <w:tc>
          <w:tcPr>
            <w:tcW w:w="5552" w:type="dxa"/>
          </w:tcPr>
          <w:p w:rsidR="005F0CAA" w:rsidRPr="007F1C0F" w:rsidRDefault="005F0CAA" w:rsidP="002B6C04">
            <w:pPr>
              <w:pStyle w:val="naiskr"/>
              <w:spacing w:before="0" w:after="0"/>
              <w:ind w:left="57" w:right="57"/>
              <w:jc w:val="both"/>
            </w:pPr>
            <w:r w:rsidRPr="007F1C0F">
              <w:t xml:space="preserve">Noteikumu projekts pēc tā pieņemšanas tiks publicēts laikrakstā „Latvijas Vēstnesis” un </w:t>
            </w:r>
            <w:proofErr w:type="spellStart"/>
            <w:r w:rsidRPr="007F1C0F">
              <w:rPr>
                <w:bCs/>
              </w:rPr>
              <w:t>starpniekinstitūcijas</w:t>
            </w:r>
            <w:proofErr w:type="spellEnd"/>
            <w:r w:rsidRPr="007F1C0F">
              <w:t xml:space="preserve"> </w:t>
            </w:r>
            <w:proofErr w:type="spellStart"/>
            <w:r w:rsidRPr="007F1C0F">
              <w:t>mājaslapā</w:t>
            </w:r>
            <w:proofErr w:type="spellEnd"/>
            <w:r w:rsidRPr="007F1C0F">
              <w:t xml:space="preserve"> internetā.</w:t>
            </w:r>
          </w:p>
        </w:tc>
      </w:tr>
    </w:tbl>
    <w:p w:rsidR="005F0CAA" w:rsidRPr="007F1C0F" w:rsidRDefault="005F0CAA" w:rsidP="006C4607">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4304"/>
        <w:gridCol w:w="5586"/>
      </w:tblGrid>
      <w:tr w:rsidR="005F0CAA" w:rsidRPr="007F1C0F" w:rsidTr="00FD2A8A">
        <w:tc>
          <w:tcPr>
            <w:tcW w:w="10264" w:type="dxa"/>
            <w:gridSpan w:val="3"/>
          </w:tcPr>
          <w:p w:rsidR="005F0CAA" w:rsidRPr="007F1C0F" w:rsidRDefault="005F0CAA" w:rsidP="007D099D">
            <w:pPr>
              <w:pStyle w:val="naisnod"/>
              <w:spacing w:before="0" w:after="0"/>
              <w:ind w:left="57" w:right="57"/>
            </w:pPr>
            <w:r w:rsidRPr="007F1C0F">
              <w:t>VII. Tiesību akta projekta izpildes nodrošināšana un tās ietekme uz institūcijām</w:t>
            </w:r>
          </w:p>
        </w:tc>
      </w:tr>
      <w:tr w:rsidR="005F0CAA" w:rsidRPr="007F1C0F" w:rsidTr="000E2C02">
        <w:trPr>
          <w:trHeight w:val="427"/>
        </w:trPr>
        <w:tc>
          <w:tcPr>
            <w:tcW w:w="374" w:type="dxa"/>
          </w:tcPr>
          <w:p w:rsidR="005F0CAA" w:rsidRPr="007F1C0F" w:rsidRDefault="005F0CAA" w:rsidP="007D099D">
            <w:pPr>
              <w:pStyle w:val="naisnod"/>
              <w:spacing w:before="0" w:after="0"/>
              <w:ind w:left="57" w:right="57"/>
              <w:jc w:val="left"/>
              <w:rPr>
                <w:b w:val="0"/>
              </w:rPr>
            </w:pPr>
            <w:r w:rsidRPr="007F1C0F">
              <w:rPr>
                <w:b w:val="0"/>
              </w:rPr>
              <w:t>1.</w:t>
            </w:r>
          </w:p>
        </w:tc>
        <w:tc>
          <w:tcPr>
            <w:tcW w:w="4304" w:type="dxa"/>
          </w:tcPr>
          <w:p w:rsidR="005F0CAA" w:rsidRPr="007F1C0F" w:rsidRDefault="005F0CAA" w:rsidP="007D099D">
            <w:pPr>
              <w:pStyle w:val="naisf"/>
              <w:spacing w:before="0" w:after="0"/>
              <w:ind w:left="57" w:right="57" w:firstLine="0"/>
              <w:jc w:val="left"/>
            </w:pPr>
            <w:r w:rsidRPr="007F1C0F">
              <w:t xml:space="preserve">Projekta izpildē iesaistītās institūcijas </w:t>
            </w:r>
          </w:p>
        </w:tc>
        <w:tc>
          <w:tcPr>
            <w:tcW w:w="5586" w:type="dxa"/>
          </w:tcPr>
          <w:p w:rsidR="005F0CAA" w:rsidRPr="007F1C0F" w:rsidRDefault="005F0CAA" w:rsidP="00F215D1">
            <w:pPr>
              <w:jc w:val="both"/>
              <w:rPr>
                <w:b/>
                <w:highlight w:val="yellow"/>
              </w:rPr>
            </w:pPr>
            <w:r w:rsidRPr="007F1C0F">
              <w:rPr>
                <w:bCs/>
              </w:rPr>
              <w:t>Valsts izglītības attīstības aģentūra, kas pilda starpniekinstitūcijas funkcijas, un</w:t>
            </w:r>
            <w:r w:rsidRPr="007F1C0F">
              <w:rPr>
                <w:b/>
                <w:bCs/>
              </w:rPr>
              <w:t xml:space="preserve"> </w:t>
            </w:r>
            <w:r w:rsidRPr="007F1C0F">
              <w:rPr>
                <w:bCs/>
              </w:rPr>
              <w:t>ministrija, kas pilda nozares ministrijas funkcijas.</w:t>
            </w:r>
          </w:p>
        </w:tc>
      </w:tr>
      <w:tr w:rsidR="005F0CAA" w:rsidRPr="007F1C0F" w:rsidTr="000E2C02">
        <w:trPr>
          <w:trHeight w:val="463"/>
        </w:trPr>
        <w:tc>
          <w:tcPr>
            <w:tcW w:w="374" w:type="dxa"/>
          </w:tcPr>
          <w:p w:rsidR="005F0CAA" w:rsidRPr="007F1C0F" w:rsidRDefault="005F0CAA" w:rsidP="007D099D">
            <w:pPr>
              <w:pStyle w:val="naisnod"/>
              <w:spacing w:before="0" w:after="0"/>
              <w:ind w:left="57" w:right="57"/>
              <w:jc w:val="left"/>
              <w:rPr>
                <w:b w:val="0"/>
              </w:rPr>
            </w:pPr>
            <w:r w:rsidRPr="007F1C0F">
              <w:rPr>
                <w:b w:val="0"/>
              </w:rPr>
              <w:t>2.</w:t>
            </w:r>
          </w:p>
        </w:tc>
        <w:tc>
          <w:tcPr>
            <w:tcW w:w="4304" w:type="dxa"/>
          </w:tcPr>
          <w:p w:rsidR="005F0CAA" w:rsidRPr="007F1C0F" w:rsidRDefault="005F0CAA" w:rsidP="007D099D">
            <w:pPr>
              <w:pStyle w:val="naisf"/>
              <w:spacing w:before="0" w:after="0"/>
              <w:ind w:left="57" w:right="57" w:firstLine="0"/>
              <w:jc w:val="left"/>
            </w:pPr>
            <w:r w:rsidRPr="007F1C0F">
              <w:t xml:space="preserve">Projekta izpildes ietekme uz pārvaldes funkcijām </w:t>
            </w:r>
          </w:p>
          <w:p w:rsidR="005F0CAA" w:rsidRPr="007F1C0F" w:rsidRDefault="005F0CAA" w:rsidP="00FD7CCF">
            <w:pPr>
              <w:pStyle w:val="naisf"/>
              <w:spacing w:before="0" w:after="0"/>
              <w:ind w:left="57" w:right="57" w:firstLine="0"/>
              <w:jc w:val="left"/>
            </w:pPr>
          </w:p>
          <w:p w:rsidR="005F0CAA" w:rsidRPr="007F1C0F" w:rsidRDefault="005F0CAA" w:rsidP="00FD7CCF">
            <w:pPr>
              <w:pStyle w:val="naisf"/>
              <w:spacing w:before="0" w:after="0"/>
              <w:ind w:left="57" w:right="57" w:firstLine="0"/>
              <w:jc w:val="left"/>
            </w:pPr>
          </w:p>
        </w:tc>
        <w:tc>
          <w:tcPr>
            <w:tcW w:w="5586" w:type="dxa"/>
          </w:tcPr>
          <w:p w:rsidR="005F0CAA" w:rsidRPr="007F1C0F" w:rsidRDefault="005F0CAA" w:rsidP="0090076A">
            <w:pPr>
              <w:pStyle w:val="naisnod"/>
              <w:spacing w:before="0" w:after="0"/>
              <w:ind w:right="57"/>
              <w:jc w:val="both"/>
              <w:rPr>
                <w:b w:val="0"/>
                <w:highlight w:val="yellow"/>
              </w:rPr>
            </w:pPr>
            <w:r w:rsidRPr="007F1C0F">
              <w:rPr>
                <w:b w:val="0"/>
                <w:bCs w:val="0"/>
              </w:rPr>
              <w:t xml:space="preserve">Ministru kabineta </w:t>
            </w:r>
            <w:r w:rsidRPr="007F1C0F">
              <w:rPr>
                <w:b w:val="0"/>
              </w:rPr>
              <w:t xml:space="preserve">2010.gada 27.jūlijā </w:t>
            </w:r>
            <w:r w:rsidRPr="007F1C0F">
              <w:rPr>
                <w:b w:val="0"/>
                <w:bCs w:val="0"/>
              </w:rPr>
              <w:t>noteikumos Nr.705</w:t>
            </w:r>
            <w:r w:rsidRPr="007F1C0F">
              <w:rPr>
                <w:b w:val="0"/>
              </w:rPr>
              <w:t xml:space="preserve"> „</w:t>
            </w:r>
            <w:r w:rsidRPr="007F1C0F">
              <w:rPr>
                <w:b w:val="0"/>
                <w:bCs w:val="0"/>
              </w:rPr>
              <w:t>Valsts izglītības attīstības aģentūras nolikums</w:t>
            </w:r>
            <w:r w:rsidRPr="007F1C0F">
              <w:rPr>
                <w:b w:val="0"/>
              </w:rPr>
              <w:t xml:space="preserve">” ir jāveic </w:t>
            </w:r>
            <w:r w:rsidRPr="007F1C0F">
              <w:rPr>
                <w:b w:val="0"/>
                <w:bCs w:val="0"/>
              </w:rPr>
              <w:t xml:space="preserve">grozījumi, lai </w:t>
            </w:r>
            <w:bookmarkStart w:id="4" w:name="352589"/>
            <w:bookmarkEnd w:id="4"/>
            <w:proofErr w:type="spellStart"/>
            <w:r w:rsidRPr="007F1C0F">
              <w:rPr>
                <w:b w:val="0"/>
                <w:bCs w:val="0"/>
              </w:rPr>
              <w:t>II.sadaļas</w:t>
            </w:r>
            <w:proofErr w:type="spellEnd"/>
            <w:r w:rsidRPr="007F1C0F">
              <w:rPr>
                <w:b w:val="0"/>
                <w:bCs w:val="0"/>
              </w:rPr>
              <w:t xml:space="preserve">  „Aģentūras funkcijas, uzdevumi un kompetence” </w:t>
            </w:r>
            <w:r w:rsidRPr="007F1C0F">
              <w:rPr>
                <w:b w:val="0"/>
              </w:rPr>
              <w:t xml:space="preserve">3.6.apakšpunktu </w:t>
            </w:r>
            <w:r w:rsidRPr="007F1C0F">
              <w:rPr>
                <w:b w:val="0"/>
                <w:bCs w:val="0"/>
              </w:rPr>
              <w:t xml:space="preserve">papildinātu ar </w:t>
            </w:r>
            <w:r w:rsidRPr="007F1C0F">
              <w:rPr>
                <w:b w:val="0"/>
              </w:rPr>
              <w:t>funkciju nodrošināt Latvijas un Šveices sadarbības programmas grantu shēmas „Šveices pētnieku aktivitātes Latvijā” īstenošanu.</w:t>
            </w:r>
          </w:p>
        </w:tc>
      </w:tr>
      <w:tr w:rsidR="005F0CAA" w:rsidRPr="007F1C0F" w:rsidTr="000E2C02">
        <w:trPr>
          <w:trHeight w:val="725"/>
        </w:trPr>
        <w:tc>
          <w:tcPr>
            <w:tcW w:w="374" w:type="dxa"/>
          </w:tcPr>
          <w:p w:rsidR="005F0CAA" w:rsidRPr="007F1C0F" w:rsidRDefault="005F0CAA" w:rsidP="007D099D">
            <w:pPr>
              <w:pStyle w:val="naisnod"/>
              <w:spacing w:before="0" w:after="0"/>
              <w:ind w:left="57" w:right="57"/>
              <w:jc w:val="left"/>
              <w:rPr>
                <w:b w:val="0"/>
              </w:rPr>
            </w:pPr>
            <w:r w:rsidRPr="007F1C0F">
              <w:rPr>
                <w:b w:val="0"/>
              </w:rPr>
              <w:t>3.</w:t>
            </w:r>
          </w:p>
        </w:tc>
        <w:tc>
          <w:tcPr>
            <w:tcW w:w="4304" w:type="dxa"/>
          </w:tcPr>
          <w:p w:rsidR="005F0CAA" w:rsidRPr="007F1C0F" w:rsidRDefault="005F0CAA" w:rsidP="000D2ADF">
            <w:pPr>
              <w:pStyle w:val="naisf"/>
              <w:spacing w:before="0" w:after="0"/>
              <w:ind w:left="57" w:right="57" w:firstLine="0"/>
              <w:jc w:val="left"/>
            </w:pPr>
            <w:r w:rsidRPr="007F1C0F">
              <w:t>Projekta izpildes ietekme uz pārvaldes institucionālo struktūru. Jaunu institūciju izveide</w:t>
            </w:r>
          </w:p>
        </w:tc>
        <w:tc>
          <w:tcPr>
            <w:tcW w:w="5586" w:type="dxa"/>
          </w:tcPr>
          <w:p w:rsidR="005F0CAA" w:rsidRPr="007F1C0F" w:rsidRDefault="005F0CAA" w:rsidP="00EE030E">
            <w:pPr>
              <w:pStyle w:val="naisnod"/>
              <w:spacing w:before="0" w:after="0"/>
              <w:ind w:right="57"/>
              <w:jc w:val="left"/>
              <w:rPr>
                <w:b w:val="0"/>
                <w:highlight w:val="yellow"/>
              </w:rPr>
            </w:pPr>
            <w:r w:rsidRPr="007F1C0F">
              <w:rPr>
                <w:b w:val="0"/>
                <w:color w:val="000000"/>
              </w:rPr>
              <w:t>Grantu shēmas</w:t>
            </w:r>
            <w:r w:rsidRPr="007F1C0F">
              <w:rPr>
                <w:b w:val="0"/>
              </w:rPr>
              <w:t xml:space="preserve"> īstenošanu nodrošinās jau esošās institūcijas un jaunas netiks veidotas. </w:t>
            </w:r>
          </w:p>
        </w:tc>
      </w:tr>
      <w:tr w:rsidR="005F0CAA" w:rsidRPr="007F1C0F" w:rsidTr="000E2C02">
        <w:trPr>
          <w:trHeight w:val="780"/>
        </w:trPr>
        <w:tc>
          <w:tcPr>
            <w:tcW w:w="374" w:type="dxa"/>
          </w:tcPr>
          <w:p w:rsidR="005F0CAA" w:rsidRPr="007F1C0F" w:rsidRDefault="005F0CAA" w:rsidP="007D099D">
            <w:pPr>
              <w:pStyle w:val="naisnod"/>
              <w:spacing w:before="0" w:after="0"/>
              <w:ind w:left="57" w:right="57"/>
              <w:jc w:val="left"/>
              <w:rPr>
                <w:b w:val="0"/>
              </w:rPr>
            </w:pPr>
            <w:r w:rsidRPr="007F1C0F">
              <w:rPr>
                <w:b w:val="0"/>
              </w:rPr>
              <w:t>4.</w:t>
            </w:r>
          </w:p>
        </w:tc>
        <w:tc>
          <w:tcPr>
            <w:tcW w:w="4304" w:type="dxa"/>
          </w:tcPr>
          <w:p w:rsidR="005F0CAA" w:rsidRPr="007F1C0F" w:rsidRDefault="005F0CAA" w:rsidP="000D2ADF">
            <w:pPr>
              <w:pStyle w:val="naisf"/>
              <w:spacing w:before="0" w:after="0"/>
              <w:ind w:left="57" w:right="57" w:firstLine="0"/>
              <w:jc w:val="left"/>
            </w:pPr>
            <w:r w:rsidRPr="007F1C0F">
              <w:t>Projekta izpildes ietekme uz pārvaldes institucionālo struktūru. Esošu institūciju likvidācija</w:t>
            </w:r>
          </w:p>
        </w:tc>
        <w:tc>
          <w:tcPr>
            <w:tcW w:w="5586" w:type="dxa"/>
          </w:tcPr>
          <w:p w:rsidR="005F0CAA" w:rsidRPr="007F1C0F" w:rsidRDefault="005F0CAA" w:rsidP="007D099D">
            <w:pPr>
              <w:pStyle w:val="naisnod"/>
              <w:spacing w:before="0" w:after="0"/>
              <w:ind w:left="57" w:right="57"/>
              <w:jc w:val="left"/>
              <w:rPr>
                <w:b w:val="0"/>
                <w:highlight w:val="yellow"/>
              </w:rPr>
            </w:pPr>
            <w:r w:rsidRPr="007F1C0F">
              <w:rPr>
                <w:b w:val="0"/>
              </w:rPr>
              <w:t>Noteikumu projekts šo jomu neskar</w:t>
            </w:r>
          </w:p>
        </w:tc>
      </w:tr>
      <w:tr w:rsidR="005F0CAA" w:rsidRPr="007F1C0F" w:rsidTr="000E2C02">
        <w:trPr>
          <w:trHeight w:val="703"/>
        </w:trPr>
        <w:tc>
          <w:tcPr>
            <w:tcW w:w="374" w:type="dxa"/>
          </w:tcPr>
          <w:p w:rsidR="005F0CAA" w:rsidRPr="007F1C0F" w:rsidRDefault="005F0CAA" w:rsidP="007D099D">
            <w:pPr>
              <w:pStyle w:val="naisnod"/>
              <w:spacing w:before="0" w:after="0"/>
              <w:ind w:left="57" w:right="57"/>
              <w:jc w:val="left"/>
              <w:rPr>
                <w:b w:val="0"/>
              </w:rPr>
            </w:pPr>
            <w:r w:rsidRPr="007F1C0F">
              <w:rPr>
                <w:b w:val="0"/>
              </w:rPr>
              <w:t>5.</w:t>
            </w:r>
          </w:p>
        </w:tc>
        <w:tc>
          <w:tcPr>
            <w:tcW w:w="4304" w:type="dxa"/>
          </w:tcPr>
          <w:p w:rsidR="005F0CAA" w:rsidRPr="007F1C0F" w:rsidRDefault="005F0CAA" w:rsidP="007D099D">
            <w:pPr>
              <w:pStyle w:val="naisf"/>
              <w:spacing w:before="0" w:after="0"/>
              <w:ind w:left="57" w:right="57" w:firstLine="0"/>
              <w:jc w:val="left"/>
            </w:pPr>
            <w:r w:rsidRPr="007F1C0F">
              <w:t>Projekta izpildes ietekme uz pārvaldes institucionālo struktūru.</w:t>
            </w:r>
          </w:p>
          <w:p w:rsidR="005F0CAA" w:rsidRPr="007F1C0F" w:rsidRDefault="005F0CAA" w:rsidP="007D099D">
            <w:pPr>
              <w:pStyle w:val="naisf"/>
              <w:spacing w:before="0" w:after="0"/>
              <w:ind w:left="57" w:right="57" w:firstLine="0"/>
              <w:jc w:val="left"/>
            </w:pPr>
            <w:r w:rsidRPr="007F1C0F">
              <w:t>Esošu institūciju reorganizācija</w:t>
            </w:r>
          </w:p>
        </w:tc>
        <w:tc>
          <w:tcPr>
            <w:tcW w:w="5586" w:type="dxa"/>
          </w:tcPr>
          <w:p w:rsidR="005F0CAA" w:rsidRPr="007F1C0F" w:rsidRDefault="005F0CAA" w:rsidP="007D099D">
            <w:pPr>
              <w:pStyle w:val="naisnod"/>
              <w:spacing w:before="0" w:after="0"/>
              <w:ind w:left="57" w:right="57"/>
              <w:jc w:val="left"/>
              <w:rPr>
                <w:b w:val="0"/>
                <w:highlight w:val="yellow"/>
              </w:rPr>
            </w:pPr>
            <w:r w:rsidRPr="007F1C0F">
              <w:rPr>
                <w:b w:val="0"/>
              </w:rPr>
              <w:t>Noteikumu projekts šo jomu neskar</w:t>
            </w:r>
          </w:p>
        </w:tc>
      </w:tr>
      <w:tr w:rsidR="005F0CAA" w:rsidRPr="007F1C0F" w:rsidTr="000E2C02">
        <w:trPr>
          <w:trHeight w:val="476"/>
        </w:trPr>
        <w:tc>
          <w:tcPr>
            <w:tcW w:w="374" w:type="dxa"/>
          </w:tcPr>
          <w:p w:rsidR="005F0CAA" w:rsidRPr="007F1C0F" w:rsidRDefault="005F0CAA" w:rsidP="007D099D">
            <w:pPr>
              <w:pStyle w:val="naiskr"/>
              <w:spacing w:before="0" w:after="0"/>
              <w:ind w:left="57" w:right="57"/>
            </w:pPr>
            <w:r w:rsidRPr="007F1C0F">
              <w:t>6.</w:t>
            </w:r>
          </w:p>
        </w:tc>
        <w:tc>
          <w:tcPr>
            <w:tcW w:w="4304" w:type="dxa"/>
          </w:tcPr>
          <w:p w:rsidR="005F0CAA" w:rsidRPr="007F1C0F" w:rsidRDefault="005F0CAA" w:rsidP="007D099D">
            <w:pPr>
              <w:pStyle w:val="naiskr"/>
              <w:spacing w:before="0" w:after="0"/>
              <w:ind w:left="57" w:right="57"/>
            </w:pPr>
            <w:r w:rsidRPr="007F1C0F">
              <w:t>Cita informācija</w:t>
            </w:r>
          </w:p>
        </w:tc>
        <w:tc>
          <w:tcPr>
            <w:tcW w:w="5586" w:type="dxa"/>
          </w:tcPr>
          <w:p w:rsidR="005F0CAA" w:rsidRPr="007F1C0F" w:rsidRDefault="005F0CAA" w:rsidP="007D099D">
            <w:pPr>
              <w:pStyle w:val="naiskr"/>
              <w:spacing w:before="0" w:after="0"/>
              <w:ind w:left="57" w:right="57"/>
              <w:rPr>
                <w:highlight w:val="yellow"/>
              </w:rPr>
            </w:pPr>
            <w:r w:rsidRPr="007F1C0F">
              <w:t>Nav</w:t>
            </w:r>
          </w:p>
        </w:tc>
      </w:tr>
    </w:tbl>
    <w:p w:rsidR="005F0CAA" w:rsidRPr="007F1C0F" w:rsidRDefault="005F0CAA" w:rsidP="006C4607">
      <w:pPr>
        <w:pStyle w:val="naisf"/>
        <w:tabs>
          <w:tab w:val="left" w:pos="5760"/>
        </w:tabs>
        <w:spacing w:before="0" w:after="0"/>
        <w:ind w:firstLine="720"/>
      </w:pPr>
    </w:p>
    <w:p w:rsidR="005F0CAA" w:rsidRPr="007F1C0F" w:rsidRDefault="005F0CAA" w:rsidP="006C4607">
      <w:pPr>
        <w:pStyle w:val="naisf"/>
        <w:tabs>
          <w:tab w:val="left" w:pos="5760"/>
        </w:tabs>
        <w:spacing w:before="0" w:after="0"/>
        <w:ind w:firstLine="720"/>
      </w:pPr>
    </w:p>
    <w:p w:rsidR="005F0CAA" w:rsidRPr="007F1C0F" w:rsidRDefault="005F0CAA" w:rsidP="00884CA1">
      <w:pPr>
        <w:pStyle w:val="naisf"/>
        <w:spacing w:before="0" w:after="0"/>
      </w:pPr>
      <w:r w:rsidRPr="007F1C0F">
        <w:t xml:space="preserve">Izglītības un zinātnes ministrs </w:t>
      </w:r>
      <w:r w:rsidRPr="007F1C0F">
        <w:tab/>
      </w:r>
      <w:r w:rsidRPr="007F1C0F">
        <w:tab/>
      </w:r>
      <w:r w:rsidRPr="007F1C0F">
        <w:tab/>
      </w:r>
      <w:r w:rsidRPr="007F1C0F">
        <w:tab/>
      </w:r>
      <w:r w:rsidRPr="007F1C0F">
        <w:tab/>
        <w:t>R.Ķīlis</w:t>
      </w:r>
    </w:p>
    <w:p w:rsidR="005F0CAA" w:rsidRPr="007F1C0F" w:rsidRDefault="005F0CAA" w:rsidP="00884CA1"/>
    <w:p w:rsidR="005F0CAA" w:rsidRPr="007F1C0F" w:rsidRDefault="005F0CAA" w:rsidP="00884CA1"/>
    <w:p w:rsidR="005F0CAA" w:rsidRPr="007F1C0F" w:rsidRDefault="005F0CAA" w:rsidP="00884CA1"/>
    <w:p w:rsidR="000A3965" w:rsidRDefault="005F0CAA" w:rsidP="000A3965">
      <w:r w:rsidRPr="007F1C0F">
        <w:t xml:space="preserve">Vizē: </w:t>
      </w:r>
      <w:r w:rsidR="000A3965">
        <w:tab/>
        <w:t>Valsts sekretāra vietniece,</w:t>
      </w:r>
    </w:p>
    <w:p w:rsidR="000A3965" w:rsidRDefault="000A3965" w:rsidP="000A3965">
      <w:pPr>
        <w:ind w:firstLine="720"/>
      </w:pPr>
      <w:r>
        <w:t>valsts sekretāra</w:t>
      </w:r>
      <w:r w:rsidRPr="007A2F23">
        <w:t xml:space="preserve"> </w:t>
      </w:r>
      <w:r>
        <w:t>pienākumu izpildītāja</w:t>
      </w:r>
      <w:r>
        <w:tab/>
      </w:r>
      <w:r>
        <w:tab/>
      </w:r>
      <w:r>
        <w:tab/>
      </w:r>
      <w:proofErr w:type="spellStart"/>
      <w:r>
        <w:t>I.Štāle</w:t>
      </w:r>
      <w:proofErr w:type="spellEnd"/>
    </w:p>
    <w:p w:rsidR="005F0CAA" w:rsidRPr="007F1C0F" w:rsidRDefault="005F0CAA" w:rsidP="000A3965">
      <w:r w:rsidRPr="007F1C0F">
        <w:tab/>
      </w:r>
      <w:r w:rsidRPr="007F1C0F">
        <w:tab/>
      </w:r>
      <w:r w:rsidRPr="007F1C0F">
        <w:tab/>
      </w:r>
      <w:r w:rsidRPr="007F1C0F">
        <w:tab/>
      </w:r>
      <w:r w:rsidRPr="007F1C0F">
        <w:tab/>
      </w:r>
    </w:p>
    <w:p w:rsidR="005F0CAA" w:rsidRPr="007F1C0F" w:rsidRDefault="005F0CAA" w:rsidP="00884CA1"/>
    <w:p w:rsidR="005F0CAA" w:rsidRDefault="005F0CAA" w:rsidP="00884CA1"/>
    <w:p w:rsidR="000E2C02" w:rsidRDefault="000E2C02" w:rsidP="00884CA1"/>
    <w:p w:rsidR="005F0CAA" w:rsidRPr="006B16FF" w:rsidRDefault="00D2475A" w:rsidP="00884CA1">
      <w:pPr>
        <w:rPr>
          <w:sz w:val="20"/>
          <w:szCs w:val="20"/>
          <w:lang w:val="de-DE"/>
        </w:rPr>
      </w:pPr>
      <w:r w:rsidRPr="006B16FF">
        <w:rPr>
          <w:sz w:val="20"/>
          <w:szCs w:val="20"/>
          <w:lang w:val="de-DE"/>
        </w:rPr>
        <w:t>2</w:t>
      </w:r>
      <w:r w:rsidR="006970DD">
        <w:rPr>
          <w:sz w:val="20"/>
          <w:szCs w:val="20"/>
          <w:lang w:val="de-DE"/>
        </w:rPr>
        <w:t>8</w:t>
      </w:r>
      <w:r w:rsidR="005F0CAA" w:rsidRPr="006B16FF">
        <w:rPr>
          <w:sz w:val="20"/>
          <w:szCs w:val="20"/>
          <w:lang w:val="de-DE"/>
        </w:rPr>
        <w:t>.1</w:t>
      </w:r>
      <w:r w:rsidRPr="006B16FF">
        <w:rPr>
          <w:sz w:val="20"/>
          <w:szCs w:val="20"/>
          <w:lang w:val="de-DE"/>
        </w:rPr>
        <w:t>2</w:t>
      </w:r>
      <w:r w:rsidR="005F0CAA" w:rsidRPr="006B16FF">
        <w:rPr>
          <w:sz w:val="20"/>
          <w:szCs w:val="20"/>
          <w:lang w:val="de-DE"/>
        </w:rPr>
        <w:t xml:space="preserve">.2011. </w:t>
      </w:r>
      <w:r w:rsidR="006970DD">
        <w:rPr>
          <w:sz w:val="20"/>
          <w:szCs w:val="20"/>
          <w:lang w:val="de-DE"/>
        </w:rPr>
        <w:t>1</w:t>
      </w:r>
      <w:r w:rsidR="00FA4010">
        <w:rPr>
          <w:sz w:val="20"/>
          <w:szCs w:val="20"/>
          <w:lang w:val="de-DE"/>
        </w:rPr>
        <w:t>2</w:t>
      </w:r>
      <w:r w:rsidR="006B16FF">
        <w:rPr>
          <w:sz w:val="20"/>
          <w:szCs w:val="20"/>
          <w:lang w:val="de-DE"/>
        </w:rPr>
        <w:t>:</w:t>
      </w:r>
      <w:r w:rsidR="00FA4010">
        <w:rPr>
          <w:sz w:val="20"/>
          <w:szCs w:val="20"/>
          <w:lang w:val="de-DE"/>
        </w:rPr>
        <w:t>02</w:t>
      </w:r>
    </w:p>
    <w:p w:rsidR="005F0CAA" w:rsidRPr="006B16FF" w:rsidRDefault="00607B17" w:rsidP="00884CA1">
      <w:pPr>
        <w:rPr>
          <w:sz w:val="20"/>
          <w:szCs w:val="20"/>
        </w:rPr>
      </w:pPr>
      <w:r>
        <w:rPr>
          <w:sz w:val="20"/>
          <w:szCs w:val="20"/>
        </w:rPr>
        <w:t>1672</w:t>
      </w:r>
    </w:p>
    <w:p w:rsidR="005F0CAA" w:rsidRPr="006B16FF" w:rsidRDefault="005F0CAA" w:rsidP="00884CA1">
      <w:pPr>
        <w:rPr>
          <w:sz w:val="20"/>
          <w:szCs w:val="20"/>
          <w:lang w:val="de-DE"/>
        </w:rPr>
      </w:pPr>
      <w:bookmarkStart w:id="5" w:name="OLE_LINK10"/>
      <w:bookmarkStart w:id="6" w:name="OLE_LINK11"/>
      <w:r w:rsidRPr="006B16FF">
        <w:rPr>
          <w:sz w:val="20"/>
          <w:szCs w:val="20"/>
          <w:lang w:val="de-DE"/>
        </w:rPr>
        <w:t>E.Vīka</w:t>
      </w:r>
    </w:p>
    <w:p w:rsidR="005F0CAA" w:rsidRPr="006B16FF" w:rsidRDefault="005F0CAA" w:rsidP="0058277C">
      <w:pPr>
        <w:rPr>
          <w:sz w:val="20"/>
          <w:szCs w:val="20"/>
          <w:lang w:val="de-DE"/>
        </w:rPr>
      </w:pPr>
      <w:r w:rsidRPr="006B16FF">
        <w:rPr>
          <w:sz w:val="20"/>
          <w:szCs w:val="20"/>
          <w:lang w:val="de-DE"/>
        </w:rPr>
        <w:t xml:space="preserve">67047707, </w:t>
      </w:r>
      <w:hyperlink r:id="rId7" w:history="1">
        <w:r w:rsidRPr="006B16FF">
          <w:rPr>
            <w:rStyle w:val="Hyperlink"/>
            <w:color w:val="auto"/>
            <w:sz w:val="20"/>
            <w:szCs w:val="20"/>
            <w:u w:val="none"/>
            <w:lang w:val="de-DE"/>
          </w:rPr>
          <w:t>evi.vika@izm.gov.lv</w:t>
        </w:r>
      </w:hyperlink>
      <w:bookmarkEnd w:id="5"/>
      <w:bookmarkEnd w:id="6"/>
    </w:p>
    <w:p w:rsidR="005F0CAA" w:rsidRPr="007F1C0F" w:rsidRDefault="005F0CAA" w:rsidP="0058277C">
      <w:pPr>
        <w:rPr>
          <w:lang w:val="de-DE"/>
        </w:rPr>
      </w:pPr>
    </w:p>
    <w:p w:rsidR="005F0CAA" w:rsidRPr="007F1C0F" w:rsidRDefault="005F0CAA" w:rsidP="0058277C">
      <w:pPr>
        <w:rPr>
          <w:lang w:val="de-DE"/>
        </w:rPr>
      </w:pPr>
    </w:p>
    <w:p w:rsidR="005F0CAA" w:rsidRPr="007F1C0F" w:rsidRDefault="005F0CAA" w:rsidP="0058277C">
      <w:pPr>
        <w:rPr>
          <w:lang w:val="de-DE"/>
        </w:rPr>
      </w:pPr>
    </w:p>
    <w:sectPr w:rsidR="005F0CAA" w:rsidRPr="007F1C0F" w:rsidSect="00C31E36">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55D" w:rsidRDefault="00F6455D">
      <w:r>
        <w:separator/>
      </w:r>
    </w:p>
  </w:endnote>
  <w:endnote w:type="continuationSeparator" w:id="0">
    <w:p w:rsidR="00F6455D" w:rsidRDefault="00F64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AA" w:rsidRPr="005A715F" w:rsidRDefault="005F0CAA" w:rsidP="00884CA1">
    <w:pPr>
      <w:pStyle w:val="Footer"/>
      <w:jc w:val="both"/>
      <w:rPr>
        <w:sz w:val="22"/>
        <w:szCs w:val="22"/>
      </w:rPr>
    </w:pPr>
    <w:r w:rsidRPr="00570D07">
      <w:rPr>
        <w:sz w:val="22"/>
        <w:szCs w:val="22"/>
      </w:rPr>
      <w:t>IZMAnot_</w:t>
    </w:r>
    <w:r>
      <w:rPr>
        <w:sz w:val="22"/>
        <w:szCs w:val="22"/>
      </w:rPr>
      <w:t>2</w:t>
    </w:r>
    <w:r w:rsidR="006970DD">
      <w:rPr>
        <w:sz w:val="22"/>
        <w:szCs w:val="22"/>
      </w:rPr>
      <w:t>8</w:t>
    </w:r>
    <w:r>
      <w:rPr>
        <w:sz w:val="22"/>
        <w:szCs w:val="22"/>
      </w:rPr>
      <w:t>1</w:t>
    </w:r>
    <w:r w:rsidR="00EC5AEE">
      <w:rPr>
        <w:sz w:val="22"/>
        <w:szCs w:val="22"/>
      </w:rPr>
      <w:t>2</w:t>
    </w:r>
    <w:r w:rsidRPr="00570D07">
      <w:rPr>
        <w:sz w:val="22"/>
        <w:szCs w:val="22"/>
      </w:rPr>
      <w:t>11</w:t>
    </w:r>
    <w:r w:rsidRPr="005A715F">
      <w:rPr>
        <w:sz w:val="22"/>
        <w:szCs w:val="22"/>
      </w:rPr>
      <w:t>_</w:t>
    </w:r>
    <w:r>
      <w:rPr>
        <w:sz w:val="22"/>
        <w:szCs w:val="22"/>
      </w:rPr>
      <w:t>Pe</w:t>
    </w:r>
    <w:r w:rsidRPr="005A715F">
      <w:rPr>
        <w:sz w:val="22"/>
        <w:szCs w:val="22"/>
      </w:rPr>
      <w:t xml:space="preserve">tnieki; </w:t>
    </w:r>
    <w:bookmarkStart w:id="7" w:name="OLE_LINK6"/>
    <w:bookmarkStart w:id="8" w:name="OLE_LINK7"/>
    <w:bookmarkStart w:id="9" w:name="_Hlk295909928"/>
    <w:bookmarkStart w:id="10" w:name="OLE_LINK8"/>
    <w:bookmarkStart w:id="11" w:name="OLE_LINK9"/>
    <w:bookmarkStart w:id="12" w:name="_Hlk295909957"/>
    <w:r w:rsidRPr="005A715F">
      <w:rPr>
        <w:sz w:val="22"/>
        <w:szCs w:val="22"/>
      </w:rPr>
      <w:t xml:space="preserve">Ministru kabineta noteikumu projekta „Latvijas un Šveices sadarbības programmas grantu shēmas “Šveices pētnieku aktivitātes Latvijā” </w:t>
    </w:r>
    <w:proofErr w:type="spellStart"/>
    <w:r w:rsidRPr="005A715F">
      <w:rPr>
        <w:sz w:val="22"/>
        <w:szCs w:val="22"/>
      </w:rPr>
      <w:t>apakšprojektu</w:t>
    </w:r>
    <w:proofErr w:type="spellEnd"/>
    <w:r w:rsidRPr="005A715F">
      <w:rPr>
        <w:sz w:val="22"/>
        <w:szCs w:val="22"/>
      </w:rPr>
      <w:t xml:space="preserve"> iesniegumu atklāta konkursa </w:t>
    </w:r>
    <w:smartTag w:uri="schemas-tilde-lv/tildestengine" w:element="veidnes">
      <w:smartTagPr>
        <w:attr w:name="baseform" w:val="nolikum|s"/>
        <w:attr w:name="id" w:val="-1"/>
        <w:attr w:name="text" w:val="nolikums"/>
      </w:smartTagPr>
      <w:r w:rsidRPr="005A715F">
        <w:rPr>
          <w:sz w:val="22"/>
          <w:szCs w:val="22"/>
        </w:rPr>
        <w:t>nolikums”</w:t>
      </w:r>
    </w:smartTag>
    <w:r w:rsidRPr="005A715F">
      <w:rPr>
        <w:sz w:val="22"/>
        <w:szCs w:val="22"/>
      </w:rPr>
      <w:t xml:space="preserve"> sākotnējās ietekmes novērtējuma ziņojums (anotācija)</w:t>
    </w:r>
    <w:bookmarkEnd w:id="7"/>
    <w:bookmarkEnd w:id="8"/>
    <w:bookmarkEnd w:id="9"/>
    <w:bookmarkEnd w:id="10"/>
    <w:bookmarkEnd w:id="11"/>
    <w:bookmarkEnd w:id="1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AA" w:rsidRDefault="005F0CAA" w:rsidP="00884CA1">
    <w:pPr>
      <w:pStyle w:val="Footer"/>
      <w:jc w:val="both"/>
      <w:rPr>
        <w:sz w:val="22"/>
        <w:szCs w:val="22"/>
      </w:rPr>
    </w:pPr>
  </w:p>
  <w:p w:rsidR="005F0CAA" w:rsidRDefault="005F0CAA" w:rsidP="00884CA1">
    <w:pPr>
      <w:pStyle w:val="Footer"/>
      <w:jc w:val="both"/>
      <w:rPr>
        <w:sz w:val="22"/>
        <w:szCs w:val="22"/>
      </w:rPr>
    </w:pPr>
  </w:p>
  <w:p w:rsidR="005F0CAA" w:rsidRPr="005A715F" w:rsidRDefault="005F0CAA" w:rsidP="00884CA1">
    <w:pPr>
      <w:pStyle w:val="Footer"/>
      <w:jc w:val="both"/>
      <w:rPr>
        <w:sz w:val="22"/>
        <w:szCs w:val="22"/>
      </w:rPr>
    </w:pPr>
    <w:r w:rsidRPr="005A715F">
      <w:rPr>
        <w:sz w:val="22"/>
        <w:szCs w:val="22"/>
      </w:rPr>
      <w:t>IZMAnot</w:t>
    </w:r>
    <w:r>
      <w:rPr>
        <w:sz w:val="22"/>
        <w:szCs w:val="22"/>
      </w:rPr>
      <w:t>_2</w:t>
    </w:r>
    <w:r w:rsidR="006970DD">
      <w:rPr>
        <w:sz w:val="22"/>
        <w:szCs w:val="22"/>
      </w:rPr>
      <w:t>8</w:t>
    </w:r>
    <w:r>
      <w:rPr>
        <w:sz w:val="22"/>
        <w:szCs w:val="22"/>
      </w:rPr>
      <w:t>1</w:t>
    </w:r>
    <w:r w:rsidR="00EC5AEE">
      <w:rPr>
        <w:sz w:val="22"/>
        <w:szCs w:val="22"/>
      </w:rPr>
      <w:t>2</w:t>
    </w:r>
    <w:r w:rsidRPr="00570D07">
      <w:rPr>
        <w:sz w:val="22"/>
        <w:szCs w:val="22"/>
      </w:rPr>
      <w:t>11</w:t>
    </w:r>
    <w:r>
      <w:rPr>
        <w:sz w:val="22"/>
        <w:szCs w:val="22"/>
      </w:rPr>
      <w:t>_Pe</w:t>
    </w:r>
    <w:r w:rsidRPr="005A715F">
      <w:rPr>
        <w:sz w:val="22"/>
        <w:szCs w:val="22"/>
      </w:rPr>
      <w:t xml:space="preserve">tnieki; </w:t>
    </w:r>
    <w:bookmarkStart w:id="13" w:name="OLE_LINK5"/>
    <w:r w:rsidRPr="005A715F">
      <w:rPr>
        <w:sz w:val="22"/>
        <w:szCs w:val="22"/>
      </w:rPr>
      <w:t xml:space="preserve">Ministru kabineta noteikumu projekta „Latvijas un Šveices sadarbības programmas </w:t>
    </w:r>
    <w:bookmarkEnd w:id="13"/>
    <w:r w:rsidRPr="005A715F">
      <w:rPr>
        <w:sz w:val="22"/>
        <w:szCs w:val="22"/>
      </w:rPr>
      <w:t xml:space="preserve">grantu shēmas “Šveices pētnieku aktivitātes Latvijā” </w:t>
    </w:r>
    <w:proofErr w:type="spellStart"/>
    <w:r w:rsidRPr="005A715F">
      <w:rPr>
        <w:sz w:val="22"/>
        <w:szCs w:val="22"/>
      </w:rPr>
      <w:t>apakšprojektu</w:t>
    </w:r>
    <w:proofErr w:type="spellEnd"/>
    <w:r w:rsidRPr="005A715F">
      <w:rPr>
        <w:sz w:val="22"/>
        <w:szCs w:val="22"/>
      </w:rPr>
      <w:t xml:space="preserve"> iesniegumu atklāta konkursa </w:t>
    </w:r>
    <w:smartTag w:uri="schemas-tilde-lv/tildestengine" w:element="veidnes">
      <w:smartTagPr>
        <w:attr w:name="baseform" w:val="nolikum|s"/>
        <w:attr w:name="id" w:val="-1"/>
        <w:attr w:name="text" w:val="nolikums"/>
      </w:smartTagPr>
      <w:r w:rsidRPr="005A715F">
        <w:rPr>
          <w:sz w:val="22"/>
          <w:szCs w:val="22"/>
        </w:rPr>
        <w:t>nolikums”</w:t>
      </w:r>
    </w:smartTag>
    <w:r w:rsidRPr="005A715F">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55D" w:rsidRDefault="00F6455D">
      <w:r>
        <w:separator/>
      </w:r>
    </w:p>
  </w:footnote>
  <w:footnote w:type="continuationSeparator" w:id="0">
    <w:p w:rsidR="00F6455D" w:rsidRDefault="00F64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AA" w:rsidRDefault="00CD5CED" w:rsidP="003C449B">
    <w:pPr>
      <w:pStyle w:val="Header"/>
      <w:framePr w:wrap="around" w:vAnchor="text" w:hAnchor="margin" w:xAlign="center" w:y="1"/>
      <w:rPr>
        <w:rStyle w:val="PageNumber"/>
      </w:rPr>
    </w:pPr>
    <w:r>
      <w:rPr>
        <w:rStyle w:val="PageNumber"/>
      </w:rPr>
      <w:fldChar w:fldCharType="begin"/>
    </w:r>
    <w:r w:rsidR="005F0CAA">
      <w:rPr>
        <w:rStyle w:val="PageNumber"/>
      </w:rPr>
      <w:instrText xml:space="preserve">PAGE  </w:instrText>
    </w:r>
    <w:r>
      <w:rPr>
        <w:rStyle w:val="PageNumber"/>
      </w:rPr>
      <w:fldChar w:fldCharType="end"/>
    </w:r>
  </w:p>
  <w:p w:rsidR="005F0CAA" w:rsidRDefault="005F0C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AA" w:rsidRDefault="00CD5CED" w:rsidP="003C449B">
    <w:pPr>
      <w:pStyle w:val="Header"/>
      <w:framePr w:wrap="around" w:vAnchor="text" w:hAnchor="margin" w:xAlign="center" w:y="1"/>
      <w:rPr>
        <w:rStyle w:val="PageNumber"/>
      </w:rPr>
    </w:pPr>
    <w:r>
      <w:rPr>
        <w:rStyle w:val="PageNumber"/>
      </w:rPr>
      <w:fldChar w:fldCharType="begin"/>
    </w:r>
    <w:r w:rsidR="005F0CAA">
      <w:rPr>
        <w:rStyle w:val="PageNumber"/>
      </w:rPr>
      <w:instrText xml:space="preserve">PAGE  </w:instrText>
    </w:r>
    <w:r>
      <w:rPr>
        <w:rStyle w:val="PageNumber"/>
      </w:rPr>
      <w:fldChar w:fldCharType="separate"/>
    </w:r>
    <w:r w:rsidR="00607B17">
      <w:rPr>
        <w:rStyle w:val="PageNumber"/>
        <w:noProof/>
      </w:rPr>
      <w:t>7</w:t>
    </w:r>
    <w:r>
      <w:rPr>
        <w:rStyle w:val="PageNumber"/>
      </w:rPr>
      <w:fldChar w:fldCharType="end"/>
    </w:r>
  </w:p>
  <w:p w:rsidR="005F0CAA" w:rsidRDefault="005F0C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252791"/>
    <w:multiLevelType w:val="hybridMultilevel"/>
    <w:tmpl w:val="9DBCAAB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D08259F"/>
    <w:multiLevelType w:val="hybridMultilevel"/>
    <w:tmpl w:val="FFBA3D5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4B1C248C"/>
    <w:multiLevelType w:val="hybridMultilevel"/>
    <w:tmpl w:val="908233A0"/>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4E000BFE"/>
    <w:multiLevelType w:val="hybridMultilevel"/>
    <w:tmpl w:val="908233A0"/>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B0916EE"/>
    <w:multiLevelType w:val="hybridMultilevel"/>
    <w:tmpl w:val="908233A0"/>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5"/>
  </w:num>
  <w:num w:numId="4">
    <w:abstractNumId w:val="3"/>
  </w:num>
  <w:num w:numId="5">
    <w:abstractNumId w:val="0"/>
  </w:num>
  <w:num w:numId="6">
    <w:abstractNumId w:val="12"/>
  </w:num>
  <w:num w:numId="7">
    <w:abstractNumId w:val="16"/>
  </w:num>
  <w:num w:numId="8">
    <w:abstractNumId w:val="7"/>
  </w:num>
  <w:num w:numId="9">
    <w:abstractNumId w:val="4"/>
  </w:num>
  <w:num w:numId="10">
    <w:abstractNumId w:val="8"/>
  </w:num>
  <w:num w:numId="11">
    <w:abstractNumId w:val="9"/>
  </w:num>
  <w:num w:numId="12">
    <w:abstractNumId w:val="13"/>
  </w:num>
  <w:num w:numId="13">
    <w:abstractNumId w:val="14"/>
  </w:num>
  <w:num w:numId="14">
    <w:abstractNumId w:val="2"/>
  </w:num>
  <w:num w:numId="15">
    <w:abstractNumId w:val="10"/>
  </w:num>
  <w:num w:numId="16">
    <w:abstractNumId w:val="17"/>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2FC8"/>
    <w:rsid w:val="00013AF6"/>
    <w:rsid w:val="00013FF4"/>
    <w:rsid w:val="00015D08"/>
    <w:rsid w:val="00020FE1"/>
    <w:rsid w:val="00022E13"/>
    <w:rsid w:val="0003168E"/>
    <w:rsid w:val="0003175A"/>
    <w:rsid w:val="00032388"/>
    <w:rsid w:val="000328BC"/>
    <w:rsid w:val="00033EFC"/>
    <w:rsid w:val="00035CE2"/>
    <w:rsid w:val="000411E9"/>
    <w:rsid w:val="00043D35"/>
    <w:rsid w:val="0004665C"/>
    <w:rsid w:val="00047317"/>
    <w:rsid w:val="00050E20"/>
    <w:rsid w:val="0005553B"/>
    <w:rsid w:val="000569C8"/>
    <w:rsid w:val="00056D60"/>
    <w:rsid w:val="000604D2"/>
    <w:rsid w:val="000633AB"/>
    <w:rsid w:val="000637D4"/>
    <w:rsid w:val="000677A3"/>
    <w:rsid w:val="00071AFA"/>
    <w:rsid w:val="00074920"/>
    <w:rsid w:val="00074AED"/>
    <w:rsid w:val="00080171"/>
    <w:rsid w:val="0008248C"/>
    <w:rsid w:val="000826EA"/>
    <w:rsid w:val="00084F4E"/>
    <w:rsid w:val="0009005E"/>
    <w:rsid w:val="000941C5"/>
    <w:rsid w:val="0009639F"/>
    <w:rsid w:val="000A17D3"/>
    <w:rsid w:val="000A3965"/>
    <w:rsid w:val="000A597D"/>
    <w:rsid w:val="000A5CFA"/>
    <w:rsid w:val="000A5FF6"/>
    <w:rsid w:val="000A6451"/>
    <w:rsid w:val="000A7A5A"/>
    <w:rsid w:val="000B064E"/>
    <w:rsid w:val="000B69CF"/>
    <w:rsid w:val="000C0AA4"/>
    <w:rsid w:val="000C1A1C"/>
    <w:rsid w:val="000C5A54"/>
    <w:rsid w:val="000C7136"/>
    <w:rsid w:val="000C790C"/>
    <w:rsid w:val="000D2ADF"/>
    <w:rsid w:val="000D50A7"/>
    <w:rsid w:val="000D54E1"/>
    <w:rsid w:val="000D57BC"/>
    <w:rsid w:val="000E2433"/>
    <w:rsid w:val="000E2C02"/>
    <w:rsid w:val="000E5B11"/>
    <w:rsid w:val="000E66D4"/>
    <w:rsid w:val="000E768D"/>
    <w:rsid w:val="000E7794"/>
    <w:rsid w:val="000F061D"/>
    <w:rsid w:val="000F3B2E"/>
    <w:rsid w:val="000F4794"/>
    <w:rsid w:val="000F7412"/>
    <w:rsid w:val="000F7E22"/>
    <w:rsid w:val="00100D3A"/>
    <w:rsid w:val="001027DB"/>
    <w:rsid w:val="00124F12"/>
    <w:rsid w:val="00127B39"/>
    <w:rsid w:val="00131352"/>
    <w:rsid w:val="0013394C"/>
    <w:rsid w:val="00143669"/>
    <w:rsid w:val="00144E3A"/>
    <w:rsid w:val="0015060C"/>
    <w:rsid w:val="00153479"/>
    <w:rsid w:val="00157BF8"/>
    <w:rsid w:val="0016018A"/>
    <w:rsid w:val="001609A0"/>
    <w:rsid w:val="00161F0E"/>
    <w:rsid w:val="001662AE"/>
    <w:rsid w:val="00170E2A"/>
    <w:rsid w:val="00177394"/>
    <w:rsid w:val="00182C18"/>
    <w:rsid w:val="00183CC2"/>
    <w:rsid w:val="00184573"/>
    <w:rsid w:val="001900E4"/>
    <w:rsid w:val="00190F88"/>
    <w:rsid w:val="00196697"/>
    <w:rsid w:val="001A12C7"/>
    <w:rsid w:val="001A24E4"/>
    <w:rsid w:val="001A3E3C"/>
    <w:rsid w:val="001A4066"/>
    <w:rsid w:val="001A4308"/>
    <w:rsid w:val="001A6AE4"/>
    <w:rsid w:val="001A75C4"/>
    <w:rsid w:val="001A77D5"/>
    <w:rsid w:val="001B01FD"/>
    <w:rsid w:val="001B2A28"/>
    <w:rsid w:val="001B4A71"/>
    <w:rsid w:val="001B749C"/>
    <w:rsid w:val="001C1A91"/>
    <w:rsid w:val="001C391D"/>
    <w:rsid w:val="001D148C"/>
    <w:rsid w:val="001D5B54"/>
    <w:rsid w:val="001E1DBF"/>
    <w:rsid w:val="001E3283"/>
    <w:rsid w:val="001E4639"/>
    <w:rsid w:val="001E4A7D"/>
    <w:rsid w:val="001E5916"/>
    <w:rsid w:val="001F0890"/>
    <w:rsid w:val="001F1664"/>
    <w:rsid w:val="001F4209"/>
    <w:rsid w:val="001F43A8"/>
    <w:rsid w:val="001F5CD6"/>
    <w:rsid w:val="001F5EC5"/>
    <w:rsid w:val="001F5F45"/>
    <w:rsid w:val="00200C8E"/>
    <w:rsid w:val="00202B81"/>
    <w:rsid w:val="00210AB9"/>
    <w:rsid w:val="0021263D"/>
    <w:rsid w:val="00213F0C"/>
    <w:rsid w:val="00214094"/>
    <w:rsid w:val="0021592D"/>
    <w:rsid w:val="00220B11"/>
    <w:rsid w:val="00222D76"/>
    <w:rsid w:val="00223EB1"/>
    <w:rsid w:val="00225903"/>
    <w:rsid w:val="00231344"/>
    <w:rsid w:val="0023436E"/>
    <w:rsid w:val="002347C0"/>
    <w:rsid w:val="002403F1"/>
    <w:rsid w:val="00241A6C"/>
    <w:rsid w:val="00242D2B"/>
    <w:rsid w:val="00245EBA"/>
    <w:rsid w:val="002507F1"/>
    <w:rsid w:val="00262E2B"/>
    <w:rsid w:val="00270429"/>
    <w:rsid w:val="00272330"/>
    <w:rsid w:val="002723E9"/>
    <w:rsid w:val="00277929"/>
    <w:rsid w:val="00283B82"/>
    <w:rsid w:val="002846E9"/>
    <w:rsid w:val="00284C34"/>
    <w:rsid w:val="00287A5B"/>
    <w:rsid w:val="0029066C"/>
    <w:rsid w:val="0029176A"/>
    <w:rsid w:val="002A0AE4"/>
    <w:rsid w:val="002A122A"/>
    <w:rsid w:val="002A2B33"/>
    <w:rsid w:val="002A6628"/>
    <w:rsid w:val="002A776F"/>
    <w:rsid w:val="002B50DB"/>
    <w:rsid w:val="002B6C04"/>
    <w:rsid w:val="002B780A"/>
    <w:rsid w:val="002C12AB"/>
    <w:rsid w:val="002C1E78"/>
    <w:rsid w:val="002C3E92"/>
    <w:rsid w:val="002C47E8"/>
    <w:rsid w:val="002C7CAC"/>
    <w:rsid w:val="002D2AB4"/>
    <w:rsid w:val="002D3306"/>
    <w:rsid w:val="002D48AA"/>
    <w:rsid w:val="002D7BAA"/>
    <w:rsid w:val="002D7F54"/>
    <w:rsid w:val="002E387B"/>
    <w:rsid w:val="002E3FF4"/>
    <w:rsid w:val="002F10D6"/>
    <w:rsid w:val="002F1246"/>
    <w:rsid w:val="002F182E"/>
    <w:rsid w:val="002F78C8"/>
    <w:rsid w:val="0030158C"/>
    <w:rsid w:val="00301651"/>
    <w:rsid w:val="00301CF3"/>
    <w:rsid w:val="003048FC"/>
    <w:rsid w:val="00311692"/>
    <w:rsid w:val="003131DA"/>
    <w:rsid w:val="00313D03"/>
    <w:rsid w:val="00317C87"/>
    <w:rsid w:val="003214FB"/>
    <w:rsid w:val="00322B19"/>
    <w:rsid w:val="0032715C"/>
    <w:rsid w:val="00337CA5"/>
    <w:rsid w:val="0034182A"/>
    <w:rsid w:val="00342D9E"/>
    <w:rsid w:val="003446DC"/>
    <w:rsid w:val="00347D17"/>
    <w:rsid w:val="003547EA"/>
    <w:rsid w:val="00360D51"/>
    <w:rsid w:val="00362478"/>
    <w:rsid w:val="003628B5"/>
    <w:rsid w:val="003636B1"/>
    <w:rsid w:val="003642AB"/>
    <w:rsid w:val="003677C7"/>
    <w:rsid w:val="00372D60"/>
    <w:rsid w:val="00375B25"/>
    <w:rsid w:val="0038132C"/>
    <w:rsid w:val="00383799"/>
    <w:rsid w:val="00384FB0"/>
    <w:rsid w:val="00392160"/>
    <w:rsid w:val="00394945"/>
    <w:rsid w:val="00394BBB"/>
    <w:rsid w:val="00396542"/>
    <w:rsid w:val="0039685B"/>
    <w:rsid w:val="003A0FA6"/>
    <w:rsid w:val="003A31A6"/>
    <w:rsid w:val="003A7962"/>
    <w:rsid w:val="003A7F0C"/>
    <w:rsid w:val="003A7F79"/>
    <w:rsid w:val="003B2E2F"/>
    <w:rsid w:val="003B3EF5"/>
    <w:rsid w:val="003B6404"/>
    <w:rsid w:val="003C449B"/>
    <w:rsid w:val="003C50EA"/>
    <w:rsid w:val="003C7096"/>
    <w:rsid w:val="003D21FF"/>
    <w:rsid w:val="003D2C44"/>
    <w:rsid w:val="003D64E5"/>
    <w:rsid w:val="003D6CED"/>
    <w:rsid w:val="003D73AB"/>
    <w:rsid w:val="003E51B4"/>
    <w:rsid w:val="003E7C92"/>
    <w:rsid w:val="003F0112"/>
    <w:rsid w:val="003F071A"/>
    <w:rsid w:val="003F160B"/>
    <w:rsid w:val="003F1C12"/>
    <w:rsid w:val="003F5E03"/>
    <w:rsid w:val="00400032"/>
    <w:rsid w:val="00400B5B"/>
    <w:rsid w:val="00405A00"/>
    <w:rsid w:val="00405D05"/>
    <w:rsid w:val="00412761"/>
    <w:rsid w:val="00420870"/>
    <w:rsid w:val="00422F32"/>
    <w:rsid w:val="00426AC3"/>
    <w:rsid w:val="00432D0C"/>
    <w:rsid w:val="0043791B"/>
    <w:rsid w:val="00441483"/>
    <w:rsid w:val="004416DA"/>
    <w:rsid w:val="00441BCB"/>
    <w:rsid w:val="0044249A"/>
    <w:rsid w:val="0045176A"/>
    <w:rsid w:val="00456332"/>
    <w:rsid w:val="004607DD"/>
    <w:rsid w:val="00461826"/>
    <w:rsid w:val="0046419C"/>
    <w:rsid w:val="00465D4B"/>
    <w:rsid w:val="004663A6"/>
    <w:rsid w:val="004702EA"/>
    <w:rsid w:val="00476707"/>
    <w:rsid w:val="004800F9"/>
    <w:rsid w:val="00486D1E"/>
    <w:rsid w:val="00486DF5"/>
    <w:rsid w:val="004875B2"/>
    <w:rsid w:val="004903A1"/>
    <w:rsid w:val="004903DD"/>
    <w:rsid w:val="0049134A"/>
    <w:rsid w:val="004A1B4D"/>
    <w:rsid w:val="004A263F"/>
    <w:rsid w:val="004A58CB"/>
    <w:rsid w:val="004A79C2"/>
    <w:rsid w:val="004A7D18"/>
    <w:rsid w:val="004B1795"/>
    <w:rsid w:val="004B20FA"/>
    <w:rsid w:val="004B23D3"/>
    <w:rsid w:val="004B3A22"/>
    <w:rsid w:val="004B4333"/>
    <w:rsid w:val="004B56DD"/>
    <w:rsid w:val="004C020F"/>
    <w:rsid w:val="004C03CC"/>
    <w:rsid w:val="004C1AFD"/>
    <w:rsid w:val="004C558B"/>
    <w:rsid w:val="004C761A"/>
    <w:rsid w:val="004D69D3"/>
    <w:rsid w:val="004D7182"/>
    <w:rsid w:val="004E6AE9"/>
    <w:rsid w:val="004F1F88"/>
    <w:rsid w:val="004F259C"/>
    <w:rsid w:val="004F305A"/>
    <w:rsid w:val="004F5F1B"/>
    <w:rsid w:val="004F6ACD"/>
    <w:rsid w:val="00502374"/>
    <w:rsid w:val="00504425"/>
    <w:rsid w:val="00504984"/>
    <w:rsid w:val="00505E4C"/>
    <w:rsid w:val="005060A1"/>
    <w:rsid w:val="005070B5"/>
    <w:rsid w:val="00511F27"/>
    <w:rsid w:val="00514B6C"/>
    <w:rsid w:val="00516072"/>
    <w:rsid w:val="0051757F"/>
    <w:rsid w:val="00525FA1"/>
    <w:rsid w:val="005332EC"/>
    <w:rsid w:val="00534418"/>
    <w:rsid w:val="005353AB"/>
    <w:rsid w:val="005412D1"/>
    <w:rsid w:val="00547478"/>
    <w:rsid w:val="005560BC"/>
    <w:rsid w:val="0055731B"/>
    <w:rsid w:val="005573BE"/>
    <w:rsid w:val="00562363"/>
    <w:rsid w:val="00567156"/>
    <w:rsid w:val="0057014C"/>
    <w:rsid w:val="00570D07"/>
    <w:rsid w:val="005718D8"/>
    <w:rsid w:val="00572700"/>
    <w:rsid w:val="005735C7"/>
    <w:rsid w:val="00580468"/>
    <w:rsid w:val="00580B5B"/>
    <w:rsid w:val="00580D37"/>
    <w:rsid w:val="00581321"/>
    <w:rsid w:val="00582231"/>
    <w:rsid w:val="0058277C"/>
    <w:rsid w:val="00583ED3"/>
    <w:rsid w:val="005851FB"/>
    <w:rsid w:val="0058603B"/>
    <w:rsid w:val="00592C2A"/>
    <w:rsid w:val="0059431B"/>
    <w:rsid w:val="00597ED0"/>
    <w:rsid w:val="005A39CC"/>
    <w:rsid w:val="005A715F"/>
    <w:rsid w:val="005B4730"/>
    <w:rsid w:val="005B4C87"/>
    <w:rsid w:val="005B6803"/>
    <w:rsid w:val="005C2655"/>
    <w:rsid w:val="005C4A4E"/>
    <w:rsid w:val="005D1F17"/>
    <w:rsid w:val="005D6E16"/>
    <w:rsid w:val="005E05D7"/>
    <w:rsid w:val="005E41E7"/>
    <w:rsid w:val="005E450F"/>
    <w:rsid w:val="005E4EF0"/>
    <w:rsid w:val="005E5E36"/>
    <w:rsid w:val="005F0CAA"/>
    <w:rsid w:val="005F30C1"/>
    <w:rsid w:val="005F6B5D"/>
    <w:rsid w:val="0060483B"/>
    <w:rsid w:val="00605F88"/>
    <w:rsid w:val="00607B17"/>
    <w:rsid w:val="00611420"/>
    <w:rsid w:val="00611CAA"/>
    <w:rsid w:val="0062298A"/>
    <w:rsid w:val="00624DEC"/>
    <w:rsid w:val="00626514"/>
    <w:rsid w:val="00626589"/>
    <w:rsid w:val="00627E97"/>
    <w:rsid w:val="00633081"/>
    <w:rsid w:val="006339A0"/>
    <w:rsid w:val="00633DFD"/>
    <w:rsid w:val="00634271"/>
    <w:rsid w:val="006402D8"/>
    <w:rsid w:val="006413A8"/>
    <w:rsid w:val="00641FA2"/>
    <w:rsid w:val="00642E56"/>
    <w:rsid w:val="0064385B"/>
    <w:rsid w:val="00645128"/>
    <w:rsid w:val="0064781F"/>
    <w:rsid w:val="00651E00"/>
    <w:rsid w:val="00655F7C"/>
    <w:rsid w:val="006641D9"/>
    <w:rsid w:val="006651F7"/>
    <w:rsid w:val="00666721"/>
    <w:rsid w:val="00666B3A"/>
    <w:rsid w:val="00673711"/>
    <w:rsid w:val="00674572"/>
    <w:rsid w:val="00674614"/>
    <w:rsid w:val="00682660"/>
    <w:rsid w:val="00687763"/>
    <w:rsid w:val="00687807"/>
    <w:rsid w:val="0069101A"/>
    <w:rsid w:val="006915BF"/>
    <w:rsid w:val="00692B0D"/>
    <w:rsid w:val="00693869"/>
    <w:rsid w:val="00693E0E"/>
    <w:rsid w:val="006970DD"/>
    <w:rsid w:val="006A1AE3"/>
    <w:rsid w:val="006A24E7"/>
    <w:rsid w:val="006A2858"/>
    <w:rsid w:val="006A30A0"/>
    <w:rsid w:val="006A5BCA"/>
    <w:rsid w:val="006B152A"/>
    <w:rsid w:val="006B16FF"/>
    <w:rsid w:val="006B3B9B"/>
    <w:rsid w:val="006B602F"/>
    <w:rsid w:val="006B6FB5"/>
    <w:rsid w:val="006C26D7"/>
    <w:rsid w:val="006C30E1"/>
    <w:rsid w:val="006C4607"/>
    <w:rsid w:val="006D485C"/>
    <w:rsid w:val="006D48F1"/>
    <w:rsid w:val="006D5040"/>
    <w:rsid w:val="006D6737"/>
    <w:rsid w:val="006E0141"/>
    <w:rsid w:val="006E3744"/>
    <w:rsid w:val="006F123E"/>
    <w:rsid w:val="006F45BE"/>
    <w:rsid w:val="006F4B82"/>
    <w:rsid w:val="006F6C81"/>
    <w:rsid w:val="007004FC"/>
    <w:rsid w:val="0070068C"/>
    <w:rsid w:val="00706670"/>
    <w:rsid w:val="00710B8F"/>
    <w:rsid w:val="0071114C"/>
    <w:rsid w:val="00711F59"/>
    <w:rsid w:val="007136CE"/>
    <w:rsid w:val="007171E7"/>
    <w:rsid w:val="007207B6"/>
    <w:rsid w:val="00721EBE"/>
    <w:rsid w:val="0072417C"/>
    <w:rsid w:val="0072450A"/>
    <w:rsid w:val="00725824"/>
    <w:rsid w:val="00726CF6"/>
    <w:rsid w:val="00734450"/>
    <w:rsid w:val="00745F67"/>
    <w:rsid w:val="0075039E"/>
    <w:rsid w:val="00752BC0"/>
    <w:rsid w:val="00752D9D"/>
    <w:rsid w:val="00754784"/>
    <w:rsid w:val="00757C6E"/>
    <w:rsid w:val="007625E7"/>
    <w:rsid w:val="00762BDA"/>
    <w:rsid w:val="00765F32"/>
    <w:rsid w:val="00770056"/>
    <w:rsid w:val="007805FD"/>
    <w:rsid w:val="0078240C"/>
    <w:rsid w:val="00784422"/>
    <w:rsid w:val="00792DFA"/>
    <w:rsid w:val="00797176"/>
    <w:rsid w:val="00797B2D"/>
    <w:rsid w:val="007A1EBF"/>
    <w:rsid w:val="007A4034"/>
    <w:rsid w:val="007A4EF1"/>
    <w:rsid w:val="007A57B5"/>
    <w:rsid w:val="007B3B54"/>
    <w:rsid w:val="007B3FA0"/>
    <w:rsid w:val="007B634D"/>
    <w:rsid w:val="007B7C05"/>
    <w:rsid w:val="007C0F2C"/>
    <w:rsid w:val="007C2BCC"/>
    <w:rsid w:val="007C46BB"/>
    <w:rsid w:val="007C4A73"/>
    <w:rsid w:val="007C4EF0"/>
    <w:rsid w:val="007C6B04"/>
    <w:rsid w:val="007D099D"/>
    <w:rsid w:val="007D6AF1"/>
    <w:rsid w:val="007D778C"/>
    <w:rsid w:val="007E2664"/>
    <w:rsid w:val="007E2A2A"/>
    <w:rsid w:val="007E3ABF"/>
    <w:rsid w:val="007E5BFA"/>
    <w:rsid w:val="007E6689"/>
    <w:rsid w:val="007E731C"/>
    <w:rsid w:val="007F0A03"/>
    <w:rsid w:val="007F1C0F"/>
    <w:rsid w:val="007F46D1"/>
    <w:rsid w:val="007F47F6"/>
    <w:rsid w:val="007F7D65"/>
    <w:rsid w:val="008009B1"/>
    <w:rsid w:val="00803B15"/>
    <w:rsid w:val="00804625"/>
    <w:rsid w:val="00810040"/>
    <w:rsid w:val="0081076E"/>
    <w:rsid w:val="00812356"/>
    <w:rsid w:val="00814E6C"/>
    <w:rsid w:val="0082023A"/>
    <w:rsid w:val="00821A7A"/>
    <w:rsid w:val="00821C2B"/>
    <w:rsid w:val="008253F8"/>
    <w:rsid w:val="00830128"/>
    <w:rsid w:val="00830880"/>
    <w:rsid w:val="008325E4"/>
    <w:rsid w:val="00832A2B"/>
    <w:rsid w:val="00834391"/>
    <w:rsid w:val="008357C5"/>
    <w:rsid w:val="00835B01"/>
    <w:rsid w:val="00837450"/>
    <w:rsid w:val="00845422"/>
    <w:rsid w:val="00845811"/>
    <w:rsid w:val="00846994"/>
    <w:rsid w:val="00847E74"/>
    <w:rsid w:val="00850451"/>
    <w:rsid w:val="00852042"/>
    <w:rsid w:val="008534C9"/>
    <w:rsid w:val="0085599D"/>
    <w:rsid w:val="00860856"/>
    <w:rsid w:val="00861A48"/>
    <w:rsid w:val="00861CD7"/>
    <w:rsid w:val="00867257"/>
    <w:rsid w:val="00872072"/>
    <w:rsid w:val="0087510C"/>
    <w:rsid w:val="0087644F"/>
    <w:rsid w:val="00884CA1"/>
    <w:rsid w:val="00886855"/>
    <w:rsid w:val="00887EAC"/>
    <w:rsid w:val="00892EF3"/>
    <w:rsid w:val="008968D2"/>
    <w:rsid w:val="0089738E"/>
    <w:rsid w:val="008A187C"/>
    <w:rsid w:val="008A1BDA"/>
    <w:rsid w:val="008B3127"/>
    <w:rsid w:val="008B5E3A"/>
    <w:rsid w:val="008B5FDB"/>
    <w:rsid w:val="008C0594"/>
    <w:rsid w:val="008C50F4"/>
    <w:rsid w:val="008C5649"/>
    <w:rsid w:val="008C6921"/>
    <w:rsid w:val="008D4822"/>
    <w:rsid w:val="008D56BD"/>
    <w:rsid w:val="008D6FE1"/>
    <w:rsid w:val="008E3971"/>
    <w:rsid w:val="008E44A2"/>
    <w:rsid w:val="008E563B"/>
    <w:rsid w:val="008E697D"/>
    <w:rsid w:val="008E74CE"/>
    <w:rsid w:val="008F105B"/>
    <w:rsid w:val="008F4939"/>
    <w:rsid w:val="008F579D"/>
    <w:rsid w:val="008F74D5"/>
    <w:rsid w:val="008F7556"/>
    <w:rsid w:val="0090076A"/>
    <w:rsid w:val="00901B21"/>
    <w:rsid w:val="00903263"/>
    <w:rsid w:val="009059A8"/>
    <w:rsid w:val="00906A21"/>
    <w:rsid w:val="009079C3"/>
    <w:rsid w:val="00910462"/>
    <w:rsid w:val="00911A49"/>
    <w:rsid w:val="00915AB1"/>
    <w:rsid w:val="00917532"/>
    <w:rsid w:val="00917761"/>
    <w:rsid w:val="00921F9B"/>
    <w:rsid w:val="00922AED"/>
    <w:rsid w:val="009235BA"/>
    <w:rsid w:val="00924023"/>
    <w:rsid w:val="009249C1"/>
    <w:rsid w:val="00924CE2"/>
    <w:rsid w:val="00925B9F"/>
    <w:rsid w:val="00925FB1"/>
    <w:rsid w:val="00926B64"/>
    <w:rsid w:val="00930D7E"/>
    <w:rsid w:val="00930EB7"/>
    <w:rsid w:val="00931AED"/>
    <w:rsid w:val="00933789"/>
    <w:rsid w:val="009442FE"/>
    <w:rsid w:val="009476A3"/>
    <w:rsid w:val="0095334F"/>
    <w:rsid w:val="00960F38"/>
    <w:rsid w:val="00962577"/>
    <w:rsid w:val="00965897"/>
    <w:rsid w:val="0096740D"/>
    <w:rsid w:val="0096765C"/>
    <w:rsid w:val="009727E4"/>
    <w:rsid w:val="00990431"/>
    <w:rsid w:val="0099147A"/>
    <w:rsid w:val="009925F1"/>
    <w:rsid w:val="009934C5"/>
    <w:rsid w:val="00994C0F"/>
    <w:rsid w:val="00996A2B"/>
    <w:rsid w:val="009A0BF8"/>
    <w:rsid w:val="009A22EA"/>
    <w:rsid w:val="009B22D7"/>
    <w:rsid w:val="009B3366"/>
    <w:rsid w:val="009B72ED"/>
    <w:rsid w:val="009C6DEB"/>
    <w:rsid w:val="009D0AA2"/>
    <w:rsid w:val="009D3C4E"/>
    <w:rsid w:val="009D5064"/>
    <w:rsid w:val="009D6504"/>
    <w:rsid w:val="009E12D7"/>
    <w:rsid w:val="009E3B49"/>
    <w:rsid w:val="009E661A"/>
    <w:rsid w:val="009F09CF"/>
    <w:rsid w:val="009F3918"/>
    <w:rsid w:val="009F5F3D"/>
    <w:rsid w:val="009F6785"/>
    <w:rsid w:val="00A005CB"/>
    <w:rsid w:val="00A00DD2"/>
    <w:rsid w:val="00A03875"/>
    <w:rsid w:val="00A04A2D"/>
    <w:rsid w:val="00A057D5"/>
    <w:rsid w:val="00A06781"/>
    <w:rsid w:val="00A074C3"/>
    <w:rsid w:val="00A10604"/>
    <w:rsid w:val="00A1127E"/>
    <w:rsid w:val="00A113BD"/>
    <w:rsid w:val="00A1509C"/>
    <w:rsid w:val="00A249B9"/>
    <w:rsid w:val="00A24B7F"/>
    <w:rsid w:val="00A2657C"/>
    <w:rsid w:val="00A32F9D"/>
    <w:rsid w:val="00A34260"/>
    <w:rsid w:val="00A40E85"/>
    <w:rsid w:val="00A52437"/>
    <w:rsid w:val="00A5303F"/>
    <w:rsid w:val="00A53E2D"/>
    <w:rsid w:val="00A565DE"/>
    <w:rsid w:val="00A70CFD"/>
    <w:rsid w:val="00A72A0B"/>
    <w:rsid w:val="00A73261"/>
    <w:rsid w:val="00A75DF2"/>
    <w:rsid w:val="00A80023"/>
    <w:rsid w:val="00A81569"/>
    <w:rsid w:val="00A81E42"/>
    <w:rsid w:val="00A84A98"/>
    <w:rsid w:val="00A864FE"/>
    <w:rsid w:val="00A8667C"/>
    <w:rsid w:val="00A86F41"/>
    <w:rsid w:val="00A87D04"/>
    <w:rsid w:val="00A950C5"/>
    <w:rsid w:val="00A9636F"/>
    <w:rsid w:val="00A9776C"/>
    <w:rsid w:val="00AA1D25"/>
    <w:rsid w:val="00AA5AAD"/>
    <w:rsid w:val="00AA6676"/>
    <w:rsid w:val="00AA7288"/>
    <w:rsid w:val="00AB1277"/>
    <w:rsid w:val="00AB1B22"/>
    <w:rsid w:val="00AB2B1A"/>
    <w:rsid w:val="00AB397F"/>
    <w:rsid w:val="00AB5832"/>
    <w:rsid w:val="00AB7DD6"/>
    <w:rsid w:val="00AC04B4"/>
    <w:rsid w:val="00AC0D9F"/>
    <w:rsid w:val="00AC51F2"/>
    <w:rsid w:val="00AC5E8D"/>
    <w:rsid w:val="00AD14B9"/>
    <w:rsid w:val="00AD3269"/>
    <w:rsid w:val="00AD45A6"/>
    <w:rsid w:val="00AD5102"/>
    <w:rsid w:val="00AD54B8"/>
    <w:rsid w:val="00AE5066"/>
    <w:rsid w:val="00AE5E24"/>
    <w:rsid w:val="00AE61B7"/>
    <w:rsid w:val="00AE6CBA"/>
    <w:rsid w:val="00AE79AD"/>
    <w:rsid w:val="00AF2B64"/>
    <w:rsid w:val="00AF35E4"/>
    <w:rsid w:val="00AF360B"/>
    <w:rsid w:val="00AF5CDE"/>
    <w:rsid w:val="00AF7333"/>
    <w:rsid w:val="00B00E79"/>
    <w:rsid w:val="00B0163F"/>
    <w:rsid w:val="00B033D3"/>
    <w:rsid w:val="00B034A9"/>
    <w:rsid w:val="00B05F33"/>
    <w:rsid w:val="00B0628D"/>
    <w:rsid w:val="00B11A57"/>
    <w:rsid w:val="00B17E1C"/>
    <w:rsid w:val="00B211C3"/>
    <w:rsid w:val="00B23871"/>
    <w:rsid w:val="00B25597"/>
    <w:rsid w:val="00B25970"/>
    <w:rsid w:val="00B267B9"/>
    <w:rsid w:val="00B33E09"/>
    <w:rsid w:val="00B36345"/>
    <w:rsid w:val="00B453FC"/>
    <w:rsid w:val="00B50708"/>
    <w:rsid w:val="00B50C68"/>
    <w:rsid w:val="00B51293"/>
    <w:rsid w:val="00B52B1E"/>
    <w:rsid w:val="00B55191"/>
    <w:rsid w:val="00B55481"/>
    <w:rsid w:val="00B56C32"/>
    <w:rsid w:val="00B57ACF"/>
    <w:rsid w:val="00B61411"/>
    <w:rsid w:val="00B63D71"/>
    <w:rsid w:val="00B64BB1"/>
    <w:rsid w:val="00B659D3"/>
    <w:rsid w:val="00B660AB"/>
    <w:rsid w:val="00B675AC"/>
    <w:rsid w:val="00B70C62"/>
    <w:rsid w:val="00B73166"/>
    <w:rsid w:val="00B83B5F"/>
    <w:rsid w:val="00B8426C"/>
    <w:rsid w:val="00B87D89"/>
    <w:rsid w:val="00B91B8D"/>
    <w:rsid w:val="00B94E90"/>
    <w:rsid w:val="00BA0D3A"/>
    <w:rsid w:val="00BB0A82"/>
    <w:rsid w:val="00BB20B5"/>
    <w:rsid w:val="00BB57C6"/>
    <w:rsid w:val="00BB6AC6"/>
    <w:rsid w:val="00BB7C94"/>
    <w:rsid w:val="00BC0A9D"/>
    <w:rsid w:val="00BC66DC"/>
    <w:rsid w:val="00BD3E70"/>
    <w:rsid w:val="00BE0921"/>
    <w:rsid w:val="00BE0C34"/>
    <w:rsid w:val="00BE2E79"/>
    <w:rsid w:val="00BE7F5E"/>
    <w:rsid w:val="00BF2405"/>
    <w:rsid w:val="00BF279E"/>
    <w:rsid w:val="00BF2FE0"/>
    <w:rsid w:val="00BF40ED"/>
    <w:rsid w:val="00BF42D6"/>
    <w:rsid w:val="00BF5BC2"/>
    <w:rsid w:val="00C1133D"/>
    <w:rsid w:val="00C146F1"/>
    <w:rsid w:val="00C20606"/>
    <w:rsid w:val="00C22E75"/>
    <w:rsid w:val="00C23273"/>
    <w:rsid w:val="00C25345"/>
    <w:rsid w:val="00C2670B"/>
    <w:rsid w:val="00C27A08"/>
    <w:rsid w:val="00C31312"/>
    <w:rsid w:val="00C31E36"/>
    <w:rsid w:val="00C326C6"/>
    <w:rsid w:val="00C32BDD"/>
    <w:rsid w:val="00C32E46"/>
    <w:rsid w:val="00C35295"/>
    <w:rsid w:val="00C36ADD"/>
    <w:rsid w:val="00C36E74"/>
    <w:rsid w:val="00C370E7"/>
    <w:rsid w:val="00C40595"/>
    <w:rsid w:val="00C41621"/>
    <w:rsid w:val="00C419D8"/>
    <w:rsid w:val="00C449FA"/>
    <w:rsid w:val="00C4534E"/>
    <w:rsid w:val="00C5384F"/>
    <w:rsid w:val="00C53AD4"/>
    <w:rsid w:val="00C542A4"/>
    <w:rsid w:val="00C552D7"/>
    <w:rsid w:val="00C56964"/>
    <w:rsid w:val="00C656D5"/>
    <w:rsid w:val="00C66633"/>
    <w:rsid w:val="00C67103"/>
    <w:rsid w:val="00C71BB9"/>
    <w:rsid w:val="00C77DA3"/>
    <w:rsid w:val="00C82CAE"/>
    <w:rsid w:val="00C91B80"/>
    <w:rsid w:val="00C94C28"/>
    <w:rsid w:val="00C97DCD"/>
    <w:rsid w:val="00CA2F39"/>
    <w:rsid w:val="00CA58BA"/>
    <w:rsid w:val="00CB0247"/>
    <w:rsid w:val="00CB3440"/>
    <w:rsid w:val="00CC1692"/>
    <w:rsid w:val="00CC70F4"/>
    <w:rsid w:val="00CD138B"/>
    <w:rsid w:val="00CD23CA"/>
    <w:rsid w:val="00CD3E31"/>
    <w:rsid w:val="00CD498B"/>
    <w:rsid w:val="00CD5CED"/>
    <w:rsid w:val="00CD74A3"/>
    <w:rsid w:val="00CE0527"/>
    <w:rsid w:val="00CE5B23"/>
    <w:rsid w:val="00CE6D2B"/>
    <w:rsid w:val="00CE7F73"/>
    <w:rsid w:val="00CF01E1"/>
    <w:rsid w:val="00CF60B6"/>
    <w:rsid w:val="00CF70AD"/>
    <w:rsid w:val="00CF7729"/>
    <w:rsid w:val="00D00059"/>
    <w:rsid w:val="00D0691B"/>
    <w:rsid w:val="00D07CFB"/>
    <w:rsid w:val="00D107FA"/>
    <w:rsid w:val="00D10D62"/>
    <w:rsid w:val="00D12275"/>
    <w:rsid w:val="00D12766"/>
    <w:rsid w:val="00D142D9"/>
    <w:rsid w:val="00D16E18"/>
    <w:rsid w:val="00D20166"/>
    <w:rsid w:val="00D2031E"/>
    <w:rsid w:val="00D20997"/>
    <w:rsid w:val="00D20B41"/>
    <w:rsid w:val="00D20FF4"/>
    <w:rsid w:val="00D2475A"/>
    <w:rsid w:val="00D24D2C"/>
    <w:rsid w:val="00D3543C"/>
    <w:rsid w:val="00D35881"/>
    <w:rsid w:val="00D42696"/>
    <w:rsid w:val="00D42C2F"/>
    <w:rsid w:val="00D45730"/>
    <w:rsid w:val="00D45D22"/>
    <w:rsid w:val="00D50AC0"/>
    <w:rsid w:val="00D513D1"/>
    <w:rsid w:val="00D57C0A"/>
    <w:rsid w:val="00D67D4D"/>
    <w:rsid w:val="00D80C13"/>
    <w:rsid w:val="00D85E6B"/>
    <w:rsid w:val="00D877D1"/>
    <w:rsid w:val="00D930DE"/>
    <w:rsid w:val="00D97D67"/>
    <w:rsid w:val="00DA7DA5"/>
    <w:rsid w:val="00DB073B"/>
    <w:rsid w:val="00DB78F0"/>
    <w:rsid w:val="00DC0CEA"/>
    <w:rsid w:val="00DC0D53"/>
    <w:rsid w:val="00DC2E43"/>
    <w:rsid w:val="00DC50AF"/>
    <w:rsid w:val="00DC728E"/>
    <w:rsid w:val="00DD095C"/>
    <w:rsid w:val="00DD1020"/>
    <w:rsid w:val="00DD1330"/>
    <w:rsid w:val="00DD1D19"/>
    <w:rsid w:val="00DE0B83"/>
    <w:rsid w:val="00DE14A1"/>
    <w:rsid w:val="00DE1A81"/>
    <w:rsid w:val="00DE1C13"/>
    <w:rsid w:val="00DE4E10"/>
    <w:rsid w:val="00DE606A"/>
    <w:rsid w:val="00DE687B"/>
    <w:rsid w:val="00DE7960"/>
    <w:rsid w:val="00DF2392"/>
    <w:rsid w:val="00E00AF4"/>
    <w:rsid w:val="00E0189A"/>
    <w:rsid w:val="00E02ABF"/>
    <w:rsid w:val="00E030D3"/>
    <w:rsid w:val="00E105DE"/>
    <w:rsid w:val="00E105EC"/>
    <w:rsid w:val="00E14995"/>
    <w:rsid w:val="00E16CDA"/>
    <w:rsid w:val="00E179CD"/>
    <w:rsid w:val="00E23E8D"/>
    <w:rsid w:val="00E2755F"/>
    <w:rsid w:val="00E37F98"/>
    <w:rsid w:val="00E45F5C"/>
    <w:rsid w:val="00E46559"/>
    <w:rsid w:val="00E50579"/>
    <w:rsid w:val="00E5075F"/>
    <w:rsid w:val="00E57B56"/>
    <w:rsid w:val="00E57F12"/>
    <w:rsid w:val="00E62596"/>
    <w:rsid w:val="00E6293C"/>
    <w:rsid w:val="00E6670C"/>
    <w:rsid w:val="00E774A3"/>
    <w:rsid w:val="00E776E8"/>
    <w:rsid w:val="00E92C1F"/>
    <w:rsid w:val="00E94784"/>
    <w:rsid w:val="00E94F5E"/>
    <w:rsid w:val="00E95D4B"/>
    <w:rsid w:val="00EA53C4"/>
    <w:rsid w:val="00EB199F"/>
    <w:rsid w:val="00EB3496"/>
    <w:rsid w:val="00EC23F7"/>
    <w:rsid w:val="00EC48DF"/>
    <w:rsid w:val="00EC4BD8"/>
    <w:rsid w:val="00EC5AEE"/>
    <w:rsid w:val="00EC63EB"/>
    <w:rsid w:val="00EC71BF"/>
    <w:rsid w:val="00ED15D5"/>
    <w:rsid w:val="00ED412F"/>
    <w:rsid w:val="00ED5B03"/>
    <w:rsid w:val="00ED5C84"/>
    <w:rsid w:val="00EE030E"/>
    <w:rsid w:val="00EE40B6"/>
    <w:rsid w:val="00EE6C6C"/>
    <w:rsid w:val="00EF13DD"/>
    <w:rsid w:val="00EF36B2"/>
    <w:rsid w:val="00F01992"/>
    <w:rsid w:val="00F04CF3"/>
    <w:rsid w:val="00F10995"/>
    <w:rsid w:val="00F10A52"/>
    <w:rsid w:val="00F1246B"/>
    <w:rsid w:val="00F12EFA"/>
    <w:rsid w:val="00F1792E"/>
    <w:rsid w:val="00F201EC"/>
    <w:rsid w:val="00F208A9"/>
    <w:rsid w:val="00F215D1"/>
    <w:rsid w:val="00F21A95"/>
    <w:rsid w:val="00F2558B"/>
    <w:rsid w:val="00F3389F"/>
    <w:rsid w:val="00F339B2"/>
    <w:rsid w:val="00F35496"/>
    <w:rsid w:val="00F418D3"/>
    <w:rsid w:val="00F41D75"/>
    <w:rsid w:val="00F5139D"/>
    <w:rsid w:val="00F57BDB"/>
    <w:rsid w:val="00F6326D"/>
    <w:rsid w:val="00F63DAC"/>
    <w:rsid w:val="00F6455D"/>
    <w:rsid w:val="00F64808"/>
    <w:rsid w:val="00F664EE"/>
    <w:rsid w:val="00F742B7"/>
    <w:rsid w:val="00F7454F"/>
    <w:rsid w:val="00F7660F"/>
    <w:rsid w:val="00F77988"/>
    <w:rsid w:val="00F77F48"/>
    <w:rsid w:val="00F937E4"/>
    <w:rsid w:val="00F94CFB"/>
    <w:rsid w:val="00F96C17"/>
    <w:rsid w:val="00FA4010"/>
    <w:rsid w:val="00FB30F1"/>
    <w:rsid w:val="00FB53E7"/>
    <w:rsid w:val="00FB5BA5"/>
    <w:rsid w:val="00FC7BC0"/>
    <w:rsid w:val="00FD0C1F"/>
    <w:rsid w:val="00FD2A8A"/>
    <w:rsid w:val="00FD6644"/>
    <w:rsid w:val="00FD7CCF"/>
    <w:rsid w:val="00FE4D52"/>
    <w:rsid w:val="00FF2D12"/>
    <w:rsid w:val="00FF58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link w:val="Header"/>
    <w:uiPriority w:val="99"/>
    <w:semiHidden/>
    <w:locked/>
    <w:rsid w:val="00BF42D6"/>
    <w:rPr>
      <w:rFonts w:cs="Times New Roman"/>
      <w:sz w:val="24"/>
      <w:szCs w:val="24"/>
    </w:rPr>
  </w:style>
  <w:style w:type="character" w:styleId="PageNumber">
    <w:name w:val="page number"/>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rFonts w:cs="Times New Roman"/>
      <w:b/>
      <w:bCs/>
      <w:color w:val="333333"/>
    </w:rPr>
  </w:style>
  <w:style w:type="character" w:styleId="CommentReference">
    <w:name w:val="annotation reference"/>
    <w:uiPriority w:val="99"/>
    <w:semiHidden/>
    <w:rsid w:val="008C5649"/>
    <w:rPr>
      <w:rFonts w:cs="Times New Roman"/>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link w:val="BalloonText"/>
    <w:uiPriority w:val="99"/>
    <w:semiHidden/>
    <w:locked/>
    <w:rsid w:val="00BF42D6"/>
    <w:rPr>
      <w:rFonts w:cs="Times New Roman"/>
      <w:sz w:val="2"/>
    </w:rPr>
  </w:style>
  <w:style w:type="table" w:styleId="TableGrid">
    <w:name w:val="Table Grid"/>
    <w:basedOn w:val="TableNormal"/>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link w:val="FootnoteText"/>
    <w:uiPriority w:val="99"/>
    <w:semiHidden/>
    <w:locked/>
    <w:rsid w:val="00BF42D6"/>
    <w:rPr>
      <w:rFonts w:cs="Times New Roman"/>
      <w:sz w:val="20"/>
      <w:szCs w:val="20"/>
    </w:rPr>
  </w:style>
  <w:style w:type="character" w:styleId="FootnoteReference">
    <w:name w:val="footnote reference"/>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link w:val="CommentSubject"/>
    <w:uiPriority w:val="99"/>
    <w:semiHidden/>
    <w:locked/>
    <w:rsid w:val="00BF42D6"/>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locked/>
    <w:rsid w:val="00231344"/>
    <w:rPr>
      <w:rFonts w:cs="Times New Roman"/>
      <w:sz w:val="24"/>
      <w:szCs w:val="24"/>
      <w:lang w:val="lv-LV" w:eastAsia="lv-LV" w:bidi="ar-SA"/>
    </w:rPr>
  </w:style>
  <w:style w:type="character" w:styleId="Hyperlink">
    <w:name w:val="Hyperlink"/>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F42D6"/>
    <w:rPr>
      <w:rFonts w:cs="Times New Roman"/>
      <w:sz w:val="2"/>
    </w:rPr>
  </w:style>
  <w:style w:type="paragraph" w:styleId="NormalWeb">
    <w:name w:val="Normal (Web)"/>
    <w:basedOn w:val="Normal"/>
    <w:uiPriority w:val="99"/>
    <w:rsid w:val="00ED15D5"/>
    <w:pPr>
      <w:suppressAutoHyphens/>
      <w:spacing w:before="280" w:after="280"/>
      <w:jc w:val="both"/>
    </w:pPr>
    <w:rPr>
      <w:color w:val="000000"/>
      <w:kern w:val="1"/>
      <w:sz w:val="20"/>
      <w:szCs w:val="20"/>
      <w:lang w:eastAsia="ar-SA"/>
    </w:rPr>
  </w:style>
  <w:style w:type="paragraph" w:styleId="ListParagraph">
    <w:name w:val="List Paragraph"/>
    <w:basedOn w:val="Normal"/>
    <w:uiPriority w:val="99"/>
    <w:qFormat/>
    <w:rsid w:val="00A52437"/>
    <w:pPr>
      <w:ind w:left="720"/>
      <w:contextualSpacing/>
    </w:pPr>
  </w:style>
  <w:style w:type="character" w:styleId="Strong">
    <w:name w:val="Strong"/>
    <w:uiPriority w:val="99"/>
    <w:qFormat/>
    <w:rsid w:val="0072450A"/>
    <w:rPr>
      <w:rFonts w:cs="Times New Roman"/>
      <w:b/>
      <w:bCs/>
    </w:rPr>
  </w:style>
  <w:style w:type="paragraph" w:customStyle="1" w:styleId="tvhtml">
    <w:name w:val="tv_html"/>
    <w:basedOn w:val="Normal"/>
    <w:uiPriority w:val="99"/>
    <w:rsid w:val="005735C7"/>
    <w:pPr>
      <w:spacing w:before="100" w:beforeAutospacing="1" w:after="100" w:afterAutospacing="1"/>
    </w:pPr>
    <w:rPr>
      <w:rFonts w:ascii="Verdana" w:hAnsi="Verdana"/>
      <w:sz w:val="15"/>
      <w:szCs w:val="15"/>
    </w:rPr>
  </w:style>
  <w:style w:type="paragraph" w:styleId="BodyText">
    <w:name w:val="Body Text"/>
    <w:basedOn w:val="Normal"/>
    <w:link w:val="BodyTextChar"/>
    <w:uiPriority w:val="99"/>
    <w:rsid w:val="00C20606"/>
    <w:pPr>
      <w:spacing w:after="120"/>
    </w:pPr>
  </w:style>
  <w:style w:type="character" w:customStyle="1" w:styleId="BodyTextChar">
    <w:name w:val="Body Text Char"/>
    <w:link w:val="BodyText"/>
    <w:uiPriority w:val="99"/>
    <w:locked/>
    <w:rsid w:val="00C20606"/>
    <w:rPr>
      <w:rFonts w:cs="Times New Roman"/>
      <w:sz w:val="24"/>
      <w:szCs w:val="24"/>
    </w:rPr>
  </w:style>
  <w:style w:type="paragraph" w:customStyle="1" w:styleId="head">
    <w:name w:val="head"/>
    <w:basedOn w:val="Normal"/>
    <w:uiPriority w:val="99"/>
    <w:rsid w:val="00DF23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3067063">
      <w:marLeft w:val="38"/>
      <w:marRight w:val="38"/>
      <w:marTop w:val="75"/>
      <w:marBottom w:val="75"/>
      <w:divBdr>
        <w:top w:val="none" w:sz="0" w:space="0" w:color="auto"/>
        <w:left w:val="none" w:sz="0" w:space="0" w:color="auto"/>
        <w:bottom w:val="none" w:sz="0" w:space="0" w:color="auto"/>
        <w:right w:val="none" w:sz="0" w:space="0" w:color="auto"/>
      </w:divBdr>
      <w:divsChild>
        <w:div w:id="1783067074">
          <w:marLeft w:val="0"/>
          <w:marRight w:val="0"/>
          <w:marTop w:val="240"/>
          <w:marBottom w:val="0"/>
          <w:divBdr>
            <w:top w:val="none" w:sz="0" w:space="0" w:color="auto"/>
            <w:left w:val="none" w:sz="0" w:space="0" w:color="auto"/>
            <w:bottom w:val="none" w:sz="0" w:space="0" w:color="auto"/>
            <w:right w:val="none" w:sz="0" w:space="0" w:color="auto"/>
          </w:divBdr>
        </w:div>
      </w:divsChild>
    </w:div>
    <w:div w:id="1783067064">
      <w:marLeft w:val="38"/>
      <w:marRight w:val="38"/>
      <w:marTop w:val="75"/>
      <w:marBottom w:val="75"/>
      <w:divBdr>
        <w:top w:val="none" w:sz="0" w:space="0" w:color="auto"/>
        <w:left w:val="none" w:sz="0" w:space="0" w:color="auto"/>
        <w:bottom w:val="none" w:sz="0" w:space="0" w:color="auto"/>
        <w:right w:val="none" w:sz="0" w:space="0" w:color="auto"/>
      </w:divBdr>
      <w:divsChild>
        <w:div w:id="1783067066">
          <w:marLeft w:val="0"/>
          <w:marRight w:val="0"/>
          <w:marTop w:val="240"/>
          <w:marBottom w:val="0"/>
          <w:divBdr>
            <w:top w:val="none" w:sz="0" w:space="0" w:color="auto"/>
            <w:left w:val="none" w:sz="0" w:space="0" w:color="auto"/>
            <w:bottom w:val="none" w:sz="0" w:space="0" w:color="auto"/>
            <w:right w:val="none" w:sz="0" w:space="0" w:color="auto"/>
          </w:divBdr>
        </w:div>
      </w:divsChild>
    </w:div>
    <w:div w:id="1783067067">
      <w:marLeft w:val="38"/>
      <w:marRight w:val="38"/>
      <w:marTop w:val="75"/>
      <w:marBottom w:val="75"/>
      <w:divBdr>
        <w:top w:val="none" w:sz="0" w:space="0" w:color="auto"/>
        <w:left w:val="none" w:sz="0" w:space="0" w:color="auto"/>
        <w:bottom w:val="none" w:sz="0" w:space="0" w:color="auto"/>
        <w:right w:val="none" w:sz="0" w:space="0" w:color="auto"/>
      </w:divBdr>
      <w:divsChild>
        <w:div w:id="1783067069">
          <w:marLeft w:val="0"/>
          <w:marRight w:val="0"/>
          <w:marTop w:val="240"/>
          <w:marBottom w:val="0"/>
          <w:divBdr>
            <w:top w:val="none" w:sz="0" w:space="0" w:color="auto"/>
            <w:left w:val="none" w:sz="0" w:space="0" w:color="auto"/>
            <w:bottom w:val="none" w:sz="0" w:space="0" w:color="auto"/>
            <w:right w:val="none" w:sz="0" w:space="0" w:color="auto"/>
          </w:divBdr>
        </w:div>
      </w:divsChild>
    </w:div>
    <w:div w:id="1783067071">
      <w:marLeft w:val="38"/>
      <w:marRight w:val="38"/>
      <w:marTop w:val="75"/>
      <w:marBottom w:val="75"/>
      <w:divBdr>
        <w:top w:val="none" w:sz="0" w:space="0" w:color="auto"/>
        <w:left w:val="none" w:sz="0" w:space="0" w:color="auto"/>
        <w:bottom w:val="none" w:sz="0" w:space="0" w:color="auto"/>
        <w:right w:val="none" w:sz="0" w:space="0" w:color="auto"/>
      </w:divBdr>
      <w:divsChild>
        <w:div w:id="1783067075">
          <w:marLeft w:val="0"/>
          <w:marRight w:val="0"/>
          <w:marTop w:val="240"/>
          <w:marBottom w:val="0"/>
          <w:divBdr>
            <w:top w:val="none" w:sz="0" w:space="0" w:color="auto"/>
            <w:left w:val="none" w:sz="0" w:space="0" w:color="auto"/>
            <w:bottom w:val="none" w:sz="0" w:space="0" w:color="auto"/>
            <w:right w:val="none" w:sz="0" w:space="0" w:color="auto"/>
          </w:divBdr>
        </w:div>
      </w:divsChild>
    </w:div>
    <w:div w:id="1783067072">
      <w:marLeft w:val="38"/>
      <w:marRight w:val="38"/>
      <w:marTop w:val="75"/>
      <w:marBottom w:val="75"/>
      <w:divBdr>
        <w:top w:val="none" w:sz="0" w:space="0" w:color="auto"/>
        <w:left w:val="none" w:sz="0" w:space="0" w:color="auto"/>
        <w:bottom w:val="none" w:sz="0" w:space="0" w:color="auto"/>
        <w:right w:val="none" w:sz="0" w:space="0" w:color="auto"/>
      </w:divBdr>
      <w:divsChild>
        <w:div w:id="1783067068">
          <w:marLeft w:val="0"/>
          <w:marRight w:val="0"/>
          <w:marTop w:val="0"/>
          <w:marBottom w:val="567"/>
          <w:divBdr>
            <w:top w:val="none" w:sz="0" w:space="0" w:color="auto"/>
            <w:left w:val="none" w:sz="0" w:space="0" w:color="auto"/>
            <w:bottom w:val="none" w:sz="0" w:space="0" w:color="auto"/>
            <w:right w:val="none" w:sz="0" w:space="0" w:color="auto"/>
          </w:divBdr>
        </w:div>
        <w:div w:id="1783067070">
          <w:marLeft w:val="0"/>
          <w:marRight w:val="0"/>
          <w:marTop w:val="480"/>
          <w:marBottom w:val="240"/>
          <w:divBdr>
            <w:top w:val="none" w:sz="0" w:space="0" w:color="auto"/>
            <w:left w:val="none" w:sz="0" w:space="0" w:color="auto"/>
            <w:bottom w:val="none" w:sz="0" w:space="0" w:color="auto"/>
            <w:right w:val="none" w:sz="0" w:space="0" w:color="auto"/>
          </w:divBdr>
        </w:div>
      </w:divsChild>
    </w:div>
    <w:div w:id="1783067073">
      <w:marLeft w:val="35"/>
      <w:marRight w:val="35"/>
      <w:marTop w:val="69"/>
      <w:marBottom w:val="69"/>
      <w:divBdr>
        <w:top w:val="none" w:sz="0" w:space="0" w:color="auto"/>
        <w:left w:val="none" w:sz="0" w:space="0" w:color="auto"/>
        <w:bottom w:val="none" w:sz="0" w:space="0" w:color="auto"/>
        <w:right w:val="none" w:sz="0" w:space="0" w:color="auto"/>
      </w:divBdr>
      <w:divsChild>
        <w:div w:id="17830670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i.vika@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1672</Words>
  <Characters>13120</Characters>
  <Application>Microsoft Office Word</Application>
  <DocSecurity>0</DocSecurity>
  <Lines>570</Lines>
  <Paragraphs>202</Paragraphs>
  <ScaleCrop>false</ScaleCrop>
  <HeadingPairs>
    <vt:vector size="2" baseType="variant">
      <vt:variant>
        <vt:lpstr>Title</vt:lpstr>
      </vt:variant>
      <vt:variant>
        <vt:i4>1</vt:i4>
      </vt:variant>
    </vt:vector>
  </HeadingPairs>
  <TitlesOfParts>
    <vt:vector size="1" baseType="lpstr">
      <vt:lpstr>Ministru kabineta noteikumu projekta „Latvijas un Šveices sadarbības programmas grantu shēmas “Šveices pētnieku aktivitātes Latvijā” apakšprojektu iesniegumu atklāta konkursa nolikums” sākotnējās ietekmes novērtējuma ziņojums (anotācija)</vt:lpstr>
    </vt:vector>
  </TitlesOfParts>
  <Company>IZM</Company>
  <LinksUpToDate>false</LinksUpToDate>
  <CharactersWithSpaces>14590</CharactersWithSpaces>
  <SharedDoc>false</SharedDoc>
  <HLinks>
    <vt:vector size="6" baseType="variant">
      <vt:variant>
        <vt:i4>5242979</vt:i4>
      </vt:variant>
      <vt:variant>
        <vt:i4>0</vt:i4>
      </vt:variant>
      <vt:variant>
        <vt:i4>0</vt:i4>
      </vt:variant>
      <vt:variant>
        <vt:i4>5</vt:i4>
      </vt:variant>
      <vt:variant>
        <vt:lpwstr>mailto:evi.vika@izm.gov.lv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„Latvijas un Šveices sadarbības programmas grantu shēmas “Šveices pētnieku aktivitātes Latvijā” apakšprojektu iesniegumu atklāta konkursa nolikums” sākotnējās ietekmes novērtējuma ziņojums (anotācija)</dc:title>
  <dc:subject>Anotācija</dc:subject>
  <dc:creator>E.Vīka</dc:creator>
  <cp:keywords/>
  <dc:description>Izglītības un zinātnes ministrijas Politikas koordinācijas departamenta Starptautisko lietu un finanšu instrumentu nodaļas vecākā referente E.Vīka tel.67047707, evi.vika@izm.gov.lv</dc:description>
  <cp:lastModifiedBy>evika</cp:lastModifiedBy>
  <cp:revision>15</cp:revision>
  <cp:lastPrinted>2011-12-20T07:17:00Z</cp:lastPrinted>
  <dcterms:created xsi:type="dcterms:W3CDTF">2011-12-19T14:54:00Z</dcterms:created>
  <dcterms:modified xsi:type="dcterms:W3CDTF">2011-12-28T10:02:00Z</dcterms:modified>
</cp:coreProperties>
</file>