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51" w:rsidRPr="00012458" w:rsidRDefault="00FD2051" w:rsidP="00784718">
      <w:pPr>
        <w:jc w:val="center"/>
        <w:rPr>
          <w:b/>
          <w:bCs/>
          <w:sz w:val="28"/>
          <w:szCs w:val="28"/>
        </w:rPr>
      </w:pPr>
      <w:r w:rsidRPr="00012458">
        <w:rPr>
          <w:b/>
          <w:bCs/>
          <w:sz w:val="28"/>
          <w:szCs w:val="28"/>
        </w:rPr>
        <w:t>Ministru kabineta noteikumu projekta „Profesionālās izglītības kompetences centra statusa piešķiršanas un anulēšanas kārtība” sākotnējās ietekmes novērtējuma ziņojums (anotācija)</w:t>
      </w:r>
    </w:p>
    <w:p w:rsidR="00FD2051" w:rsidRPr="00C60580" w:rsidRDefault="00FD2051" w:rsidP="00784718">
      <w:pPr>
        <w:jc w:val="both"/>
        <w:rPr>
          <w:sz w:val="26"/>
          <w:szCs w:val="26"/>
        </w:rPr>
      </w:pPr>
    </w:p>
    <w:tbl>
      <w:tblPr>
        <w:tblW w:w="5140"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457"/>
        <w:gridCol w:w="2155"/>
        <w:gridCol w:w="6339"/>
      </w:tblGrid>
      <w:tr w:rsidR="00FD2051" w:rsidRPr="00C60580">
        <w:tc>
          <w:tcPr>
            <w:tcW w:w="5000" w:type="pct"/>
            <w:gridSpan w:val="3"/>
            <w:tcBorders>
              <w:top w:val="single" w:sz="4" w:space="0" w:color="auto"/>
              <w:left w:val="single" w:sz="4" w:space="0" w:color="auto"/>
              <w:bottom w:val="outset" w:sz="6" w:space="0" w:color="000000"/>
              <w:right w:val="single" w:sz="4" w:space="0" w:color="auto"/>
            </w:tcBorders>
            <w:vAlign w:val="center"/>
          </w:tcPr>
          <w:p w:rsidR="00FD2051" w:rsidRPr="005D603A" w:rsidRDefault="00FD2051" w:rsidP="00784718">
            <w:pPr>
              <w:jc w:val="both"/>
              <w:rPr>
                <w:b/>
                <w:sz w:val="26"/>
                <w:szCs w:val="26"/>
              </w:rPr>
            </w:pPr>
            <w:r w:rsidRPr="005D603A">
              <w:rPr>
                <w:b/>
                <w:sz w:val="26"/>
                <w:szCs w:val="26"/>
              </w:rPr>
              <w:t>I. Tiesību akta projekta izstrādes nepieciešamība</w:t>
            </w:r>
          </w:p>
        </w:tc>
      </w:tr>
      <w:tr w:rsidR="00FD2051" w:rsidRPr="00C60580">
        <w:tc>
          <w:tcPr>
            <w:tcW w:w="255"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1.</w:t>
            </w:r>
          </w:p>
        </w:tc>
        <w:tc>
          <w:tcPr>
            <w:tcW w:w="1204"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Pamatojums</w:t>
            </w:r>
          </w:p>
        </w:tc>
        <w:tc>
          <w:tcPr>
            <w:tcW w:w="3541" w:type="pct"/>
            <w:tcBorders>
              <w:top w:val="outset" w:sz="6" w:space="0" w:color="000000"/>
              <w:left w:val="outset" w:sz="6" w:space="0" w:color="000000"/>
              <w:bottom w:val="outset" w:sz="6" w:space="0" w:color="000000"/>
              <w:right w:val="outset" w:sz="6" w:space="0" w:color="000000"/>
            </w:tcBorders>
          </w:tcPr>
          <w:p w:rsidR="00FD2051" w:rsidRPr="00C60580" w:rsidRDefault="00FD2051" w:rsidP="00076A6D">
            <w:pPr>
              <w:jc w:val="both"/>
              <w:rPr>
                <w:sz w:val="26"/>
                <w:szCs w:val="26"/>
              </w:rPr>
            </w:pPr>
            <w:r w:rsidRPr="00C60580">
              <w:rPr>
                <w:sz w:val="26"/>
                <w:szCs w:val="26"/>
              </w:rPr>
              <w:t xml:space="preserve">Ministru kabineta noteikumu projekts „Profesionālās izglītības kompetences centra statusa piešķiršanas un anulēšanas kārtība” (turpmāk – noteikumu projekts) ir izstrādāts saskaņā ar Profesionālās izglītības likuma 7.panta 11.punktu. </w:t>
            </w:r>
            <w:r w:rsidR="00F611E6" w:rsidRPr="00F611E6">
              <w:rPr>
                <w:sz w:val="26"/>
                <w:szCs w:val="26"/>
              </w:rPr>
              <w:t>Noteikumu p</w:t>
            </w:r>
            <w:r w:rsidR="008A4B5F">
              <w:rPr>
                <w:sz w:val="26"/>
                <w:szCs w:val="26"/>
              </w:rPr>
              <w:t>rojekts</w:t>
            </w:r>
            <w:r w:rsidR="00335FA5" w:rsidRPr="00F611E6">
              <w:rPr>
                <w:sz w:val="26"/>
                <w:szCs w:val="26"/>
              </w:rPr>
              <w:t xml:space="preserve"> izstrādāts pēc </w:t>
            </w:r>
            <w:r w:rsidR="00C91365" w:rsidRPr="00F611E6">
              <w:rPr>
                <w:sz w:val="26"/>
                <w:szCs w:val="26"/>
              </w:rPr>
              <w:t xml:space="preserve">Izglītības un zinātnes </w:t>
            </w:r>
            <w:r w:rsidR="00335FA5" w:rsidRPr="00F611E6">
              <w:rPr>
                <w:sz w:val="26"/>
                <w:szCs w:val="26"/>
              </w:rPr>
              <w:t>ministrijas iniciatīvas.</w:t>
            </w:r>
          </w:p>
        </w:tc>
      </w:tr>
      <w:tr w:rsidR="00FD2051" w:rsidRPr="00C60580">
        <w:tc>
          <w:tcPr>
            <w:tcW w:w="255"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2.</w:t>
            </w:r>
          </w:p>
        </w:tc>
        <w:tc>
          <w:tcPr>
            <w:tcW w:w="1204"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Pašreizējā situācija un problēmas</w:t>
            </w:r>
          </w:p>
        </w:tc>
        <w:tc>
          <w:tcPr>
            <w:tcW w:w="3541" w:type="pct"/>
            <w:tcBorders>
              <w:top w:val="outset" w:sz="6" w:space="0" w:color="000000"/>
              <w:left w:val="outset" w:sz="6" w:space="0" w:color="000000"/>
              <w:bottom w:val="outset" w:sz="6" w:space="0" w:color="000000"/>
              <w:right w:val="outset" w:sz="6" w:space="0" w:color="000000"/>
            </w:tcBorders>
          </w:tcPr>
          <w:p w:rsidR="004E21EE" w:rsidRDefault="00333154" w:rsidP="008E3DC0">
            <w:pPr>
              <w:jc w:val="both"/>
              <w:rPr>
                <w:sz w:val="26"/>
                <w:szCs w:val="26"/>
              </w:rPr>
            </w:pPr>
            <w:r w:rsidRPr="00206CD6">
              <w:rPr>
                <w:sz w:val="26"/>
                <w:szCs w:val="26"/>
              </w:rPr>
              <w:t xml:space="preserve">Šobrīd tiesiskais regulējums un kritēriji, kuri nosaka </w:t>
            </w:r>
            <w:r w:rsidR="00C77233" w:rsidRPr="00206CD6">
              <w:rPr>
                <w:sz w:val="26"/>
                <w:szCs w:val="26"/>
              </w:rPr>
              <w:t xml:space="preserve">profesionālās izglītības iestādes </w:t>
            </w:r>
            <w:r w:rsidRPr="00206CD6">
              <w:rPr>
                <w:sz w:val="26"/>
                <w:szCs w:val="26"/>
              </w:rPr>
              <w:t xml:space="preserve">kompetences centra </w:t>
            </w:r>
            <w:r w:rsidR="00C77233" w:rsidRPr="00206CD6">
              <w:rPr>
                <w:sz w:val="26"/>
                <w:szCs w:val="26"/>
              </w:rPr>
              <w:t xml:space="preserve">(turpmāk – kompetences centrs) </w:t>
            </w:r>
            <w:r w:rsidR="00C85163" w:rsidRPr="00206CD6">
              <w:rPr>
                <w:sz w:val="26"/>
                <w:szCs w:val="26"/>
              </w:rPr>
              <w:t xml:space="preserve">statusa </w:t>
            </w:r>
            <w:r w:rsidRPr="00206CD6">
              <w:rPr>
                <w:sz w:val="26"/>
                <w:szCs w:val="26"/>
              </w:rPr>
              <w:t>piešķiršanas kārtību</w:t>
            </w:r>
            <w:r w:rsidR="004E21EE" w:rsidRPr="00206CD6">
              <w:rPr>
                <w:sz w:val="26"/>
                <w:szCs w:val="26"/>
              </w:rPr>
              <w:t>,</w:t>
            </w:r>
            <w:r w:rsidRPr="00206CD6">
              <w:rPr>
                <w:sz w:val="26"/>
                <w:szCs w:val="26"/>
              </w:rPr>
              <w:t xml:space="preserve"> noteikti ar Ministru kabineta 2011.gada 22.februāra noteikumiem Nr.148 „Profesionālās izglītības kompetences centra statusa piešķiršanas un anulēšanas kārtība” (turpmāk – noteikumi Nr.148).</w:t>
            </w:r>
            <w:r w:rsidR="00AF20BE" w:rsidRPr="00206CD6">
              <w:rPr>
                <w:sz w:val="26"/>
                <w:szCs w:val="26"/>
              </w:rPr>
              <w:t xml:space="preserve"> </w:t>
            </w:r>
          </w:p>
          <w:p w:rsidR="00C91365" w:rsidRPr="00D72AA1" w:rsidRDefault="004F2EF5" w:rsidP="00D72AA1">
            <w:pPr>
              <w:jc w:val="both"/>
              <w:rPr>
                <w:rFonts w:eastAsia="Times New Roman"/>
                <w:sz w:val="26"/>
                <w:szCs w:val="26"/>
              </w:rPr>
            </w:pPr>
            <w:r w:rsidRPr="00D72AA1">
              <w:rPr>
                <w:sz w:val="26"/>
                <w:szCs w:val="26"/>
              </w:rPr>
              <w:t>Atbilstoši Ministru kabineta 2010.gada 2.marta noteikumu Nr.108 „Normatīvo aktu projektu sagatavošanas no</w:t>
            </w:r>
            <w:r w:rsidR="00DF435B">
              <w:rPr>
                <w:sz w:val="26"/>
                <w:szCs w:val="26"/>
              </w:rPr>
              <w:t>teikumi” 140.punktā noteiktajam</w:t>
            </w:r>
            <w:r w:rsidRPr="00D72AA1">
              <w:rPr>
                <w:sz w:val="26"/>
                <w:szCs w:val="26"/>
              </w:rPr>
              <w:t xml:space="preserve"> </w:t>
            </w:r>
            <w:r w:rsidR="00DF435B">
              <w:rPr>
                <w:sz w:val="26"/>
                <w:szCs w:val="26"/>
              </w:rPr>
              <w:t>noteikumos</w:t>
            </w:r>
            <w:r w:rsidR="00D72AA1" w:rsidRPr="00D72AA1">
              <w:rPr>
                <w:sz w:val="26"/>
                <w:szCs w:val="26"/>
              </w:rPr>
              <w:t xml:space="preserve"> Nr.148 </w:t>
            </w:r>
            <w:r w:rsidR="00DF435B">
              <w:rPr>
                <w:sz w:val="26"/>
                <w:szCs w:val="26"/>
              </w:rPr>
              <w:t>grozīto</w:t>
            </w:r>
            <w:r w:rsidRPr="00D72AA1">
              <w:rPr>
                <w:sz w:val="26"/>
                <w:szCs w:val="26"/>
              </w:rPr>
              <w:t xml:space="preserve"> normu apjoms</w:t>
            </w:r>
            <w:r w:rsidRPr="00D72AA1">
              <w:rPr>
                <w:color w:val="FF0000"/>
                <w:sz w:val="26"/>
                <w:szCs w:val="26"/>
              </w:rPr>
              <w:t xml:space="preserve"> </w:t>
            </w:r>
            <w:bookmarkStart w:id="0" w:name="p140"/>
            <w:bookmarkEnd w:id="0"/>
            <w:r w:rsidR="00DF435B">
              <w:rPr>
                <w:rFonts w:eastAsia="Times New Roman"/>
                <w:sz w:val="26"/>
                <w:szCs w:val="26"/>
              </w:rPr>
              <w:t>pārsniedz</w:t>
            </w:r>
            <w:r w:rsidRPr="00D72AA1">
              <w:rPr>
                <w:rFonts w:eastAsia="Times New Roman"/>
                <w:sz w:val="26"/>
                <w:szCs w:val="26"/>
              </w:rPr>
              <w:t xml:space="preserve"> pusi no spēkā esošo noteikumu normu apjoma</w:t>
            </w:r>
            <w:r w:rsidR="00915D3B">
              <w:rPr>
                <w:rFonts w:eastAsia="Times New Roman"/>
                <w:sz w:val="26"/>
                <w:szCs w:val="26"/>
              </w:rPr>
              <w:t>, tādēļ</w:t>
            </w:r>
            <w:r w:rsidR="00D72AA1" w:rsidRPr="00D72AA1">
              <w:rPr>
                <w:rFonts w:eastAsia="Times New Roman"/>
                <w:sz w:val="26"/>
                <w:szCs w:val="26"/>
              </w:rPr>
              <w:t xml:space="preserve"> ir sagatavots jauns noteikumu projekts</w:t>
            </w:r>
            <w:r w:rsidRPr="00D72AA1">
              <w:rPr>
                <w:rFonts w:eastAsia="Times New Roman"/>
                <w:sz w:val="26"/>
                <w:szCs w:val="26"/>
              </w:rPr>
              <w:t>.</w:t>
            </w:r>
          </w:p>
          <w:p w:rsidR="003204F3" w:rsidRDefault="00DF435B" w:rsidP="008E3DC0">
            <w:pPr>
              <w:jc w:val="both"/>
              <w:rPr>
                <w:sz w:val="26"/>
                <w:szCs w:val="26"/>
              </w:rPr>
            </w:pPr>
            <w:r>
              <w:rPr>
                <w:sz w:val="26"/>
                <w:szCs w:val="26"/>
              </w:rPr>
              <w:t>N</w:t>
            </w:r>
            <w:r w:rsidR="00333154" w:rsidRPr="00206CD6">
              <w:rPr>
                <w:sz w:val="26"/>
                <w:szCs w:val="26"/>
              </w:rPr>
              <w:t>otei</w:t>
            </w:r>
            <w:r>
              <w:rPr>
                <w:sz w:val="26"/>
                <w:szCs w:val="26"/>
              </w:rPr>
              <w:t>kumi Nr.148 nedod</w:t>
            </w:r>
            <w:r w:rsidR="00333154" w:rsidRPr="00206CD6">
              <w:rPr>
                <w:sz w:val="26"/>
                <w:szCs w:val="26"/>
              </w:rPr>
              <w:t xml:space="preserve"> skaidru priekšstatu par to, kā </w:t>
            </w:r>
            <w:r w:rsidR="00C77233" w:rsidRPr="00206CD6">
              <w:rPr>
                <w:sz w:val="26"/>
                <w:szCs w:val="26"/>
              </w:rPr>
              <w:t xml:space="preserve">profesionālās </w:t>
            </w:r>
            <w:r w:rsidR="00333154" w:rsidRPr="00206CD6">
              <w:rPr>
                <w:sz w:val="26"/>
                <w:szCs w:val="26"/>
              </w:rPr>
              <w:t xml:space="preserve">izglītības iestādēm </w:t>
            </w:r>
            <w:r w:rsidR="00C77233" w:rsidRPr="00206CD6">
              <w:rPr>
                <w:sz w:val="26"/>
                <w:szCs w:val="26"/>
              </w:rPr>
              <w:t xml:space="preserve">(turpmāk – izglītības iestāde) </w:t>
            </w:r>
            <w:r w:rsidR="00333154" w:rsidRPr="00206CD6">
              <w:rPr>
                <w:sz w:val="26"/>
                <w:szCs w:val="26"/>
              </w:rPr>
              <w:t xml:space="preserve">kvalificēties kompetences centra </w:t>
            </w:r>
            <w:r w:rsidR="004E21EE" w:rsidRPr="00206CD6">
              <w:rPr>
                <w:sz w:val="26"/>
                <w:szCs w:val="26"/>
              </w:rPr>
              <w:t xml:space="preserve">statusa </w:t>
            </w:r>
            <w:r w:rsidR="00333154" w:rsidRPr="00206CD6">
              <w:rPr>
                <w:sz w:val="26"/>
                <w:szCs w:val="26"/>
              </w:rPr>
              <w:t>ieguvei, nodrošinot paties</w:t>
            </w:r>
            <w:r w:rsidR="00206CD6" w:rsidRPr="00206CD6">
              <w:rPr>
                <w:sz w:val="26"/>
                <w:szCs w:val="26"/>
              </w:rPr>
              <w:t>i kvalitatīvu profesiju apguvi</w:t>
            </w:r>
            <w:r w:rsidR="00F34A94" w:rsidRPr="00206CD6">
              <w:rPr>
                <w:sz w:val="26"/>
                <w:szCs w:val="26"/>
              </w:rPr>
              <w:t xml:space="preserve">, </w:t>
            </w:r>
            <w:r w:rsidR="00333154" w:rsidRPr="00206CD6">
              <w:rPr>
                <w:sz w:val="26"/>
                <w:szCs w:val="26"/>
              </w:rPr>
              <w:t xml:space="preserve">kā arī tajos noteiktie kritēriji </w:t>
            </w:r>
            <w:r w:rsidR="00115FC5">
              <w:rPr>
                <w:sz w:val="26"/>
                <w:szCs w:val="26"/>
              </w:rPr>
              <w:t>ir</w:t>
            </w:r>
            <w:r w:rsidR="00206CD6" w:rsidRPr="00206CD6">
              <w:rPr>
                <w:sz w:val="26"/>
                <w:szCs w:val="26"/>
              </w:rPr>
              <w:t xml:space="preserve"> </w:t>
            </w:r>
            <w:r w:rsidR="00915D3B">
              <w:rPr>
                <w:sz w:val="26"/>
                <w:szCs w:val="26"/>
              </w:rPr>
              <w:t>pārāk zemi</w:t>
            </w:r>
            <w:r w:rsidR="00206CD6" w:rsidRPr="00206CD6">
              <w:rPr>
                <w:sz w:val="26"/>
                <w:szCs w:val="26"/>
              </w:rPr>
              <w:t xml:space="preserve"> (piemēram: kritērijs „</w:t>
            </w:r>
            <w:r w:rsidR="00206CD6" w:rsidRPr="00206CD6">
              <w:rPr>
                <w:rFonts w:eastAsia="Times New Roman"/>
                <w:sz w:val="26"/>
                <w:szCs w:val="26"/>
              </w:rPr>
              <w:t xml:space="preserve">kurā audzēkņu mācību sasniegumu vidējais vērtējums pēdējo divu mācību gadu laikā centralizētajos profesionālās kvalifikācijas eksāmenos nav zemāks par valsts profesionālās izglītības standartā noteikto </w:t>
            </w:r>
            <w:r w:rsidR="00206CD6" w:rsidRPr="00206CD6">
              <w:rPr>
                <w:rFonts w:eastAsia="Times New Roman"/>
                <w:sz w:val="26"/>
                <w:szCs w:val="26"/>
                <w:u w:val="single"/>
              </w:rPr>
              <w:t>optimālo</w:t>
            </w:r>
            <w:r w:rsidR="00206CD6" w:rsidRPr="00206CD6">
              <w:rPr>
                <w:rFonts w:eastAsia="Times New Roman"/>
                <w:sz w:val="26"/>
                <w:szCs w:val="26"/>
              </w:rPr>
              <w:t xml:space="preserve"> apguves līmeni” </w:t>
            </w:r>
            <w:r w:rsidR="00206CD6" w:rsidRPr="00206CD6">
              <w:rPr>
                <w:sz w:val="26"/>
                <w:szCs w:val="26"/>
              </w:rPr>
              <w:t>ietver sevī atzīmju amplitūdu no 6 līdz 8 ballēm</w:t>
            </w:r>
            <w:r w:rsidR="00B40C28">
              <w:rPr>
                <w:sz w:val="26"/>
                <w:szCs w:val="26"/>
              </w:rPr>
              <w:t>, tāde</w:t>
            </w:r>
            <w:r w:rsidR="009F191A">
              <w:rPr>
                <w:sz w:val="26"/>
                <w:szCs w:val="26"/>
              </w:rPr>
              <w:t>jādi</w:t>
            </w:r>
            <w:r w:rsidR="00206CD6" w:rsidRPr="00206CD6">
              <w:rPr>
                <w:sz w:val="26"/>
                <w:szCs w:val="26"/>
              </w:rPr>
              <w:t xml:space="preserve"> </w:t>
            </w:r>
            <w:r w:rsidR="009F191A">
              <w:rPr>
                <w:sz w:val="26"/>
                <w:szCs w:val="26"/>
              </w:rPr>
              <w:t>k</w:t>
            </w:r>
            <w:r w:rsidR="000449CE">
              <w:rPr>
                <w:sz w:val="26"/>
                <w:szCs w:val="26"/>
              </w:rPr>
              <w:t>ompetenc</w:t>
            </w:r>
            <w:r w:rsidR="00161C16">
              <w:rPr>
                <w:sz w:val="26"/>
                <w:szCs w:val="26"/>
              </w:rPr>
              <w:t>es centra statusa ieguvei var</w:t>
            </w:r>
            <w:r w:rsidR="000449CE">
              <w:rPr>
                <w:sz w:val="26"/>
                <w:szCs w:val="26"/>
              </w:rPr>
              <w:t xml:space="preserve"> kvalificēties gandrīz visas profesionālās izglītības iestādes</w:t>
            </w:r>
            <w:r w:rsidR="00206CD6" w:rsidRPr="00206CD6">
              <w:rPr>
                <w:sz w:val="26"/>
                <w:szCs w:val="26"/>
              </w:rPr>
              <w:t>)</w:t>
            </w:r>
            <w:r w:rsidR="00650E38">
              <w:rPr>
                <w:sz w:val="26"/>
                <w:szCs w:val="26"/>
              </w:rPr>
              <w:t>.</w:t>
            </w:r>
            <w:r w:rsidR="00206CD6" w:rsidRPr="00206CD6">
              <w:rPr>
                <w:sz w:val="26"/>
                <w:szCs w:val="26"/>
              </w:rPr>
              <w:t xml:space="preserve"> </w:t>
            </w:r>
            <w:r w:rsidR="00650E38">
              <w:rPr>
                <w:sz w:val="26"/>
                <w:szCs w:val="26"/>
              </w:rPr>
              <w:t>Noteikumi Nr.148</w:t>
            </w:r>
            <w:r w:rsidR="00333154" w:rsidRPr="00206CD6">
              <w:rPr>
                <w:sz w:val="26"/>
                <w:szCs w:val="26"/>
              </w:rPr>
              <w:t xml:space="preserve"> </w:t>
            </w:r>
            <w:r w:rsidR="00650E38">
              <w:rPr>
                <w:sz w:val="26"/>
                <w:szCs w:val="26"/>
              </w:rPr>
              <w:t xml:space="preserve">neiekļauj </w:t>
            </w:r>
            <w:r w:rsidR="00333154" w:rsidRPr="00206CD6">
              <w:rPr>
                <w:sz w:val="26"/>
                <w:szCs w:val="26"/>
              </w:rPr>
              <w:t>vairākas kompetences centram nepieciešamās papildus veicam</w:t>
            </w:r>
            <w:r w:rsidR="00231943" w:rsidRPr="00206CD6">
              <w:rPr>
                <w:sz w:val="26"/>
                <w:szCs w:val="26"/>
              </w:rPr>
              <w:t>ās funkcijas (karjeras izglītības nodrošināšana, darba tirgus prasībām atbilstošas izglītojamo prakses vietu nodrošināšana</w:t>
            </w:r>
            <w:r w:rsidR="00C47ECF">
              <w:rPr>
                <w:sz w:val="26"/>
                <w:szCs w:val="26"/>
              </w:rPr>
              <w:t>, izglītojamo skaita, kas priekšlaicīgi atstāj mācības, ierobežošana u.c.). Ņemot vērā iepriekš minēto</w:t>
            </w:r>
            <w:r w:rsidR="008B639A">
              <w:rPr>
                <w:sz w:val="26"/>
                <w:szCs w:val="26"/>
              </w:rPr>
              <w:t>,</w:t>
            </w:r>
            <w:r w:rsidR="00231943" w:rsidRPr="00206CD6">
              <w:rPr>
                <w:sz w:val="26"/>
                <w:szCs w:val="26"/>
              </w:rPr>
              <w:t xml:space="preserve"> </w:t>
            </w:r>
            <w:r w:rsidR="00D97842">
              <w:rPr>
                <w:sz w:val="26"/>
                <w:szCs w:val="26"/>
              </w:rPr>
              <w:t xml:space="preserve">Izglītības un zinātnes </w:t>
            </w:r>
            <w:r w:rsidR="004E21EE" w:rsidRPr="00206CD6">
              <w:rPr>
                <w:sz w:val="26"/>
                <w:szCs w:val="26"/>
              </w:rPr>
              <w:t xml:space="preserve">ministrija </w:t>
            </w:r>
            <w:r w:rsidR="00231943" w:rsidRPr="00206CD6">
              <w:rPr>
                <w:sz w:val="26"/>
                <w:szCs w:val="26"/>
              </w:rPr>
              <w:t>veidoja neformālu darba grupu</w:t>
            </w:r>
            <w:r w:rsidR="00C47ECF">
              <w:rPr>
                <w:sz w:val="26"/>
                <w:szCs w:val="26"/>
              </w:rPr>
              <w:t>, kura izstrādāja grozījumus</w:t>
            </w:r>
            <w:r w:rsidR="00231943" w:rsidRPr="00206CD6">
              <w:rPr>
                <w:sz w:val="26"/>
                <w:szCs w:val="26"/>
              </w:rPr>
              <w:t xml:space="preserve"> kompetences centra statusa piešķiršanas kārtībai, </w:t>
            </w:r>
            <w:r w:rsidR="00C07A2D" w:rsidRPr="00206CD6">
              <w:rPr>
                <w:sz w:val="26"/>
                <w:szCs w:val="26"/>
              </w:rPr>
              <w:t xml:space="preserve">papildinot </w:t>
            </w:r>
            <w:r w:rsidR="00C07A2D" w:rsidRPr="00206CD6">
              <w:rPr>
                <w:sz w:val="26"/>
                <w:szCs w:val="26"/>
              </w:rPr>
              <w:lastRenderedPageBreak/>
              <w:t xml:space="preserve">ar vairākiem jauniem kritērijiem un </w:t>
            </w:r>
            <w:r w:rsidR="00231943" w:rsidRPr="00206CD6">
              <w:rPr>
                <w:sz w:val="26"/>
                <w:szCs w:val="26"/>
              </w:rPr>
              <w:t xml:space="preserve">paaugstinot </w:t>
            </w:r>
            <w:r w:rsidR="00C07A2D" w:rsidRPr="00206CD6">
              <w:rPr>
                <w:sz w:val="26"/>
                <w:szCs w:val="26"/>
              </w:rPr>
              <w:t>prasības</w:t>
            </w:r>
            <w:r w:rsidR="00231943" w:rsidRPr="00206CD6">
              <w:rPr>
                <w:sz w:val="26"/>
                <w:szCs w:val="26"/>
              </w:rPr>
              <w:t xml:space="preserve"> </w:t>
            </w:r>
            <w:r w:rsidR="00C07A2D" w:rsidRPr="00206CD6">
              <w:rPr>
                <w:sz w:val="26"/>
                <w:szCs w:val="26"/>
              </w:rPr>
              <w:t xml:space="preserve">dažiem esošajiem </w:t>
            </w:r>
            <w:r w:rsidR="00231943" w:rsidRPr="00206CD6">
              <w:rPr>
                <w:sz w:val="26"/>
                <w:szCs w:val="26"/>
              </w:rPr>
              <w:t>kri</w:t>
            </w:r>
            <w:r w:rsidR="00C07A2D" w:rsidRPr="00206CD6">
              <w:rPr>
                <w:sz w:val="26"/>
                <w:szCs w:val="26"/>
              </w:rPr>
              <w:t>tērijiem</w:t>
            </w:r>
            <w:r w:rsidR="00E14853">
              <w:rPr>
                <w:sz w:val="26"/>
                <w:szCs w:val="26"/>
              </w:rPr>
              <w:t>, tajā skaitā</w:t>
            </w:r>
            <w:r w:rsidR="00E14853" w:rsidRPr="00025412">
              <w:rPr>
                <w:sz w:val="26"/>
                <w:szCs w:val="26"/>
              </w:rPr>
              <w:t xml:space="preserve"> </w:t>
            </w:r>
            <w:r w:rsidR="005333BF">
              <w:rPr>
                <w:sz w:val="26"/>
                <w:szCs w:val="26"/>
              </w:rPr>
              <w:t>ar kritēriju</w:t>
            </w:r>
            <w:r w:rsidR="0029122E">
              <w:rPr>
                <w:sz w:val="26"/>
                <w:szCs w:val="26"/>
              </w:rPr>
              <w:t>,</w:t>
            </w:r>
            <w:r w:rsidR="005333BF">
              <w:rPr>
                <w:sz w:val="26"/>
                <w:szCs w:val="26"/>
              </w:rPr>
              <w:t xml:space="preserve"> </w:t>
            </w:r>
            <w:r w:rsidR="00E14853" w:rsidRPr="00025412">
              <w:rPr>
                <w:sz w:val="26"/>
                <w:szCs w:val="26"/>
              </w:rPr>
              <w:t>ierobežojot izglītība</w:t>
            </w:r>
            <w:r w:rsidR="00C45891">
              <w:rPr>
                <w:sz w:val="26"/>
                <w:szCs w:val="26"/>
              </w:rPr>
              <w:t>s iestādēs</w:t>
            </w:r>
            <w:r w:rsidR="00E14853" w:rsidRPr="00025412">
              <w:rPr>
                <w:sz w:val="26"/>
                <w:szCs w:val="26"/>
              </w:rPr>
              <w:t xml:space="preserve"> izglītojamo skaitu, kas priekšlaicīgi atstāj mācības</w:t>
            </w:r>
            <w:r w:rsidR="00E14853">
              <w:rPr>
                <w:sz w:val="26"/>
                <w:szCs w:val="26"/>
              </w:rPr>
              <w:t>.</w:t>
            </w:r>
            <w:r w:rsidR="007B7F32" w:rsidRPr="00206CD6">
              <w:rPr>
                <w:sz w:val="26"/>
                <w:szCs w:val="26"/>
              </w:rPr>
              <w:t xml:space="preserve"> </w:t>
            </w:r>
          </w:p>
          <w:p w:rsidR="00A4740B" w:rsidRPr="00175FCF" w:rsidRDefault="000C2583" w:rsidP="008E3DC0">
            <w:pPr>
              <w:jc w:val="both"/>
              <w:rPr>
                <w:sz w:val="26"/>
                <w:szCs w:val="26"/>
              </w:rPr>
            </w:pPr>
            <w:r w:rsidRPr="00175FCF">
              <w:rPr>
                <w:sz w:val="26"/>
                <w:szCs w:val="26"/>
              </w:rPr>
              <w:t>Noteikumos Nr.148 nav iekļauti kritēriji a</w:t>
            </w:r>
            <w:r w:rsidR="00A4740B" w:rsidRPr="00175FCF">
              <w:rPr>
                <w:sz w:val="26"/>
                <w:szCs w:val="26"/>
              </w:rPr>
              <w:t>ttiecībā uz Kultūras ministrijas padotībā esošajām izgl</w:t>
            </w:r>
            <w:r w:rsidR="00175FCF" w:rsidRPr="00175FCF">
              <w:rPr>
                <w:sz w:val="26"/>
                <w:szCs w:val="26"/>
              </w:rPr>
              <w:t>ītības iestādēm,  dodot tām iespēju</w:t>
            </w:r>
            <w:r w:rsidR="00A4740B" w:rsidRPr="00175FCF">
              <w:rPr>
                <w:sz w:val="26"/>
                <w:szCs w:val="26"/>
              </w:rPr>
              <w:t xml:space="preserve"> kvalificēties kom</w:t>
            </w:r>
            <w:r w:rsidRPr="00175FCF">
              <w:rPr>
                <w:sz w:val="26"/>
                <w:szCs w:val="26"/>
              </w:rPr>
              <w:t xml:space="preserve">petences centra statusa ieguvei, </w:t>
            </w:r>
            <w:r w:rsidR="00175FCF" w:rsidRPr="00175FCF">
              <w:rPr>
                <w:sz w:val="26"/>
                <w:szCs w:val="26"/>
              </w:rPr>
              <w:t xml:space="preserve">ievērojot </w:t>
            </w:r>
            <w:r w:rsidR="00175FCF">
              <w:rPr>
                <w:sz w:val="26"/>
                <w:szCs w:val="26"/>
              </w:rPr>
              <w:t xml:space="preserve">kultūras </w:t>
            </w:r>
            <w:r w:rsidR="00175FCF" w:rsidRPr="00175FCF">
              <w:rPr>
                <w:sz w:val="26"/>
                <w:szCs w:val="26"/>
              </w:rPr>
              <w:t xml:space="preserve">nozares specifiku, izglītības iestāžu un izglītojamo skaitu izglītības iestādēs, kā arī pieejamo finansējumu. </w:t>
            </w:r>
          </w:p>
          <w:p w:rsidR="006A037A" w:rsidRPr="000E24B3" w:rsidRDefault="00CC7520" w:rsidP="00043269">
            <w:pPr>
              <w:jc w:val="both"/>
              <w:rPr>
                <w:b/>
                <w:sz w:val="26"/>
                <w:szCs w:val="26"/>
              </w:rPr>
            </w:pPr>
            <w:r w:rsidRPr="000E24B3">
              <w:rPr>
                <w:b/>
                <w:sz w:val="26"/>
                <w:szCs w:val="26"/>
              </w:rPr>
              <w:t>Saskaņā ar noteikumu Nr.148 4.punktu jautājums par kompetences centra statusa piešķiršanu valsts izglītības iestādei Izglītības un zinātnes ministrijā tiek skatīts tikai tad, ja ir saņemts saskaņojums no tās ministrijas, kuras institucionālā padotībā attiecīgā izglītības iestāde atrodas.</w:t>
            </w:r>
            <w:r w:rsidR="006A037A" w:rsidRPr="000E24B3">
              <w:rPr>
                <w:b/>
                <w:sz w:val="26"/>
                <w:szCs w:val="26"/>
              </w:rPr>
              <w:t xml:space="preserve"> Šādas ministrijas tiesības konceptuāli neatbalstīt kompetences centra statusa piešķiršanu tās padotībā esošām izglītības iestādēm, ir arī Izglītības un zinātnes ministrijai. </w:t>
            </w:r>
          </w:p>
          <w:p w:rsidR="00CC7520" w:rsidRPr="000E24B3" w:rsidRDefault="006A037A" w:rsidP="00043269">
            <w:pPr>
              <w:jc w:val="both"/>
              <w:rPr>
                <w:b/>
                <w:sz w:val="26"/>
                <w:szCs w:val="26"/>
              </w:rPr>
            </w:pPr>
            <w:r w:rsidRPr="000E24B3">
              <w:rPr>
                <w:b/>
                <w:sz w:val="26"/>
                <w:szCs w:val="26"/>
              </w:rPr>
              <w:t>Ievērojot minēto, kā arī nepieciešamību paaugstināt kritērijus profesionālās izglītības kompetences centra statusa piešķiršanai, Izglītības un zinātnes ministrija pieņēma lēmumu nevirzīt izskatīšanai Ministru kabineta sēdē lēmumu projektus par kompetences centra statusa piešķir</w:t>
            </w:r>
            <w:r w:rsidR="000E24B3">
              <w:rPr>
                <w:b/>
                <w:sz w:val="26"/>
                <w:szCs w:val="26"/>
              </w:rPr>
              <w:t>šanu 10</w:t>
            </w:r>
            <w:r w:rsidR="007905BB">
              <w:rPr>
                <w:b/>
                <w:sz w:val="26"/>
                <w:szCs w:val="26"/>
              </w:rPr>
              <w:t xml:space="preserve"> </w:t>
            </w:r>
            <w:r w:rsidRPr="000E24B3">
              <w:rPr>
                <w:b/>
                <w:sz w:val="26"/>
                <w:szCs w:val="26"/>
              </w:rPr>
              <w:t xml:space="preserve">tās padotībā esošām izglītības iestādēm, kuras bija iesniegušas iesniegumus kompetences centra statusa piešķiršanai, pamatojoties uz noteikumu Nr.148 regulējumu. </w:t>
            </w:r>
          </w:p>
          <w:p w:rsidR="00C64913" w:rsidRPr="000E24B3" w:rsidRDefault="00C64913" w:rsidP="00043269">
            <w:pPr>
              <w:jc w:val="both"/>
              <w:rPr>
                <w:b/>
                <w:sz w:val="26"/>
                <w:szCs w:val="26"/>
              </w:rPr>
            </w:pPr>
            <w:r w:rsidRPr="000E24B3">
              <w:rPr>
                <w:b/>
                <w:sz w:val="26"/>
                <w:szCs w:val="26"/>
              </w:rPr>
              <w:t>Izglītības iestādes tika informētas arī par to, ka pēc noteikumu projekta pieņemšanas, tām atkārtoti jāizvērtē atbilstība</w:t>
            </w:r>
            <w:r w:rsidR="000E24B3" w:rsidRPr="000E24B3">
              <w:rPr>
                <w:b/>
                <w:sz w:val="26"/>
                <w:szCs w:val="26"/>
              </w:rPr>
              <w:t xml:space="preserve"> kompetences centra statusam un jāiesniedz apliecinoši dokumenti Izglītības un zinātnes ministrijā. </w:t>
            </w:r>
          </w:p>
          <w:p w:rsidR="000E24B3" w:rsidRPr="000E24B3" w:rsidRDefault="000E24B3" w:rsidP="00043269">
            <w:pPr>
              <w:jc w:val="both"/>
              <w:rPr>
                <w:b/>
                <w:sz w:val="26"/>
                <w:szCs w:val="26"/>
              </w:rPr>
            </w:pPr>
            <w:r w:rsidRPr="000E24B3">
              <w:rPr>
                <w:b/>
                <w:sz w:val="26"/>
                <w:szCs w:val="26"/>
              </w:rPr>
              <w:t xml:space="preserve">Izglītības un zinātnes ministrijā nav saņemti </w:t>
            </w:r>
            <w:r w:rsidR="004D3158">
              <w:rPr>
                <w:b/>
                <w:sz w:val="26"/>
                <w:szCs w:val="26"/>
              </w:rPr>
              <w:t xml:space="preserve">izglītības iestāžu </w:t>
            </w:r>
            <w:r w:rsidRPr="000E24B3">
              <w:rPr>
                <w:b/>
                <w:sz w:val="26"/>
                <w:szCs w:val="26"/>
              </w:rPr>
              <w:t xml:space="preserve">iesniegumi, kuri nav izskatīti un par kuru virzību vēl būtu jāpieņem lēmums. </w:t>
            </w:r>
          </w:p>
          <w:p w:rsidR="004F3204" w:rsidRPr="00206CD6" w:rsidRDefault="004E21EE" w:rsidP="00043269">
            <w:pPr>
              <w:jc w:val="both"/>
              <w:rPr>
                <w:sz w:val="26"/>
                <w:szCs w:val="26"/>
              </w:rPr>
            </w:pPr>
            <w:r w:rsidRPr="00206CD6">
              <w:rPr>
                <w:sz w:val="26"/>
                <w:szCs w:val="26"/>
              </w:rPr>
              <w:t>Turklāt</w:t>
            </w:r>
            <w:r w:rsidR="009F1ABF" w:rsidRPr="00206CD6">
              <w:rPr>
                <w:sz w:val="26"/>
                <w:szCs w:val="26"/>
              </w:rPr>
              <w:t xml:space="preserve"> </w:t>
            </w:r>
            <w:r w:rsidR="00CA2327" w:rsidRPr="00206CD6">
              <w:rPr>
                <w:sz w:val="26"/>
                <w:szCs w:val="26"/>
              </w:rPr>
              <w:t>Saeimā</w:t>
            </w:r>
            <w:r w:rsidR="008D21A6" w:rsidRPr="00206CD6">
              <w:rPr>
                <w:sz w:val="26"/>
                <w:szCs w:val="26"/>
              </w:rPr>
              <w:t xml:space="preserve"> </w:t>
            </w:r>
            <w:r w:rsidR="00CA2327" w:rsidRPr="00206CD6">
              <w:rPr>
                <w:sz w:val="26"/>
                <w:szCs w:val="26"/>
              </w:rPr>
              <w:t>2012.gada 19.aprīlī ir pieņemti</w:t>
            </w:r>
            <w:r w:rsidR="008D21A6" w:rsidRPr="00206CD6">
              <w:rPr>
                <w:sz w:val="26"/>
                <w:szCs w:val="26"/>
              </w:rPr>
              <w:t xml:space="preserve"> grozījum</w:t>
            </w:r>
            <w:r w:rsidR="00CA2327" w:rsidRPr="00206CD6">
              <w:rPr>
                <w:sz w:val="26"/>
                <w:szCs w:val="26"/>
              </w:rPr>
              <w:t>i</w:t>
            </w:r>
            <w:r w:rsidR="008D21A6" w:rsidRPr="00206CD6">
              <w:rPr>
                <w:sz w:val="26"/>
                <w:szCs w:val="26"/>
              </w:rPr>
              <w:t xml:space="preserve"> </w:t>
            </w:r>
            <w:r w:rsidR="007B56AC" w:rsidRPr="00206CD6">
              <w:rPr>
                <w:sz w:val="26"/>
                <w:szCs w:val="26"/>
              </w:rPr>
              <w:t>Profesionālās izglītības likumā</w:t>
            </w:r>
            <w:r w:rsidR="00043269" w:rsidRPr="00206CD6">
              <w:rPr>
                <w:sz w:val="26"/>
                <w:szCs w:val="26"/>
              </w:rPr>
              <w:t>, nosakot cita starpā arī termiņu, kādā izskatāms izglītības iestādes iesniegums par kompetences centra statusa piešķiršanu.</w:t>
            </w:r>
            <w:r w:rsidR="008D21A6" w:rsidRPr="00206CD6">
              <w:rPr>
                <w:sz w:val="26"/>
                <w:szCs w:val="26"/>
              </w:rPr>
              <w:t xml:space="preserve"> </w:t>
            </w:r>
          </w:p>
          <w:p w:rsidR="001C154C" w:rsidRPr="00B3166A" w:rsidRDefault="001C154C" w:rsidP="008659A9">
            <w:pPr>
              <w:jc w:val="both"/>
              <w:rPr>
                <w:sz w:val="28"/>
                <w:szCs w:val="28"/>
              </w:rPr>
            </w:pPr>
            <w:r w:rsidRPr="00206CD6">
              <w:rPr>
                <w:sz w:val="26"/>
                <w:szCs w:val="26"/>
              </w:rPr>
              <w:t>Pamatojoties uz noteikumos Nr.148 ietverto regulējumu, laika periodā no 2011.gada 16.augusta līdz 24.augustam kompetences centra statuss</w:t>
            </w:r>
            <w:r w:rsidRPr="00206CD6">
              <w:rPr>
                <w:sz w:val="26"/>
                <w:szCs w:val="26"/>
                <w:u w:val="single"/>
              </w:rPr>
              <w:t xml:space="preserve"> ir piešķirts sešām </w:t>
            </w:r>
            <w:r w:rsidR="00762004" w:rsidRPr="00762004">
              <w:rPr>
                <w:sz w:val="26"/>
                <w:szCs w:val="26"/>
              </w:rPr>
              <w:t xml:space="preserve">Izglītības un zinātnes </w:t>
            </w:r>
            <w:r w:rsidR="006C5A47" w:rsidRPr="00762004">
              <w:rPr>
                <w:sz w:val="26"/>
                <w:szCs w:val="26"/>
              </w:rPr>
              <w:t>ministrijas</w:t>
            </w:r>
            <w:r w:rsidR="006C5A47" w:rsidRPr="006C5A47">
              <w:rPr>
                <w:sz w:val="26"/>
                <w:szCs w:val="26"/>
              </w:rPr>
              <w:t xml:space="preserve"> </w:t>
            </w:r>
            <w:r w:rsidRPr="006C5A47">
              <w:rPr>
                <w:sz w:val="26"/>
                <w:szCs w:val="26"/>
              </w:rPr>
              <w:t>i</w:t>
            </w:r>
            <w:r w:rsidRPr="00206CD6">
              <w:rPr>
                <w:sz w:val="26"/>
                <w:szCs w:val="26"/>
              </w:rPr>
              <w:t xml:space="preserve">zglītības iestādēm. </w:t>
            </w:r>
          </w:p>
        </w:tc>
      </w:tr>
      <w:tr w:rsidR="00FD2051" w:rsidRPr="00C60580">
        <w:tc>
          <w:tcPr>
            <w:tcW w:w="255"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lastRenderedPageBreak/>
              <w:t>3.</w:t>
            </w:r>
          </w:p>
        </w:tc>
        <w:tc>
          <w:tcPr>
            <w:tcW w:w="1204"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Saistītie politikas ietekmes novērtējumi un pētījumi</w:t>
            </w:r>
          </w:p>
        </w:tc>
        <w:tc>
          <w:tcPr>
            <w:tcW w:w="3541" w:type="pct"/>
            <w:tcBorders>
              <w:top w:val="outset" w:sz="6" w:space="0" w:color="000000"/>
              <w:left w:val="outset" w:sz="6" w:space="0" w:color="000000"/>
              <w:bottom w:val="outset" w:sz="6" w:space="0" w:color="000000"/>
              <w:right w:val="outset" w:sz="6" w:space="0" w:color="000000"/>
            </w:tcBorders>
          </w:tcPr>
          <w:p w:rsidR="00FD2051" w:rsidRPr="00C60580" w:rsidRDefault="00A61861" w:rsidP="00784718">
            <w:pPr>
              <w:jc w:val="both"/>
              <w:rPr>
                <w:sz w:val="26"/>
                <w:szCs w:val="26"/>
              </w:rPr>
            </w:pPr>
            <w:r w:rsidRPr="00C60580">
              <w:rPr>
                <w:sz w:val="26"/>
                <w:szCs w:val="26"/>
              </w:rPr>
              <w:t xml:space="preserve">Ministru kabinets </w:t>
            </w:r>
            <w:r w:rsidR="00BB070B">
              <w:rPr>
                <w:sz w:val="26"/>
                <w:szCs w:val="26"/>
              </w:rPr>
              <w:t xml:space="preserve">ar </w:t>
            </w:r>
            <w:r w:rsidRPr="00C60580">
              <w:rPr>
                <w:sz w:val="26"/>
                <w:szCs w:val="26"/>
              </w:rPr>
              <w:t>2010.gada 6.</w:t>
            </w:r>
            <w:r w:rsidR="00BB070B">
              <w:rPr>
                <w:sz w:val="26"/>
                <w:szCs w:val="26"/>
              </w:rPr>
              <w:t>janvāra</w:t>
            </w:r>
            <w:r w:rsidRPr="00C60580">
              <w:rPr>
                <w:sz w:val="26"/>
                <w:szCs w:val="26"/>
              </w:rPr>
              <w:t xml:space="preserve"> rīkojumu Nr.5 ir apstiprinājis Profesionālās izglītības iestāžu tīkla optimizācijas pamatnostādnes 2010.–2015.gadam (turpmāk – pamatnostādnes), kas p</w:t>
            </w:r>
            <w:r w:rsidR="00C77233">
              <w:rPr>
                <w:sz w:val="26"/>
                <w:szCs w:val="26"/>
              </w:rPr>
              <w:t>aredz optimizēt un diferencēt  izglītības iestādes</w:t>
            </w:r>
            <w:r>
              <w:rPr>
                <w:sz w:val="26"/>
                <w:szCs w:val="26"/>
              </w:rPr>
              <w:t>, tajā skaitā veidojo</w:t>
            </w:r>
            <w:r w:rsidR="00C77233">
              <w:rPr>
                <w:sz w:val="26"/>
                <w:szCs w:val="26"/>
              </w:rPr>
              <w:t>t kompetences centrus</w:t>
            </w:r>
            <w:r>
              <w:rPr>
                <w:sz w:val="26"/>
                <w:szCs w:val="26"/>
              </w:rPr>
              <w:t>.</w:t>
            </w:r>
          </w:p>
        </w:tc>
      </w:tr>
      <w:tr w:rsidR="00FD2051" w:rsidRPr="00C60580">
        <w:tc>
          <w:tcPr>
            <w:tcW w:w="255"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4.</w:t>
            </w:r>
          </w:p>
        </w:tc>
        <w:tc>
          <w:tcPr>
            <w:tcW w:w="1204"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Tiesiskā regulējuma mērķis un būtība</w:t>
            </w:r>
          </w:p>
        </w:tc>
        <w:tc>
          <w:tcPr>
            <w:tcW w:w="3541" w:type="pct"/>
            <w:tcBorders>
              <w:top w:val="outset" w:sz="6" w:space="0" w:color="000000"/>
              <w:left w:val="outset" w:sz="6" w:space="0" w:color="000000"/>
              <w:bottom w:val="outset" w:sz="6" w:space="0" w:color="000000"/>
              <w:right w:val="outset" w:sz="6" w:space="0" w:color="000000"/>
            </w:tcBorders>
          </w:tcPr>
          <w:p w:rsidR="00025412" w:rsidRPr="00B100A2" w:rsidRDefault="00CA2327" w:rsidP="008B639A">
            <w:pPr>
              <w:pStyle w:val="naisc"/>
              <w:spacing w:before="0" w:after="0"/>
              <w:jc w:val="both"/>
              <w:rPr>
                <w:sz w:val="26"/>
                <w:szCs w:val="26"/>
              </w:rPr>
            </w:pPr>
            <w:r w:rsidRPr="00B100A2">
              <w:rPr>
                <w:sz w:val="26"/>
                <w:szCs w:val="26"/>
              </w:rPr>
              <w:t>Noteikumu projekt</w:t>
            </w:r>
            <w:r w:rsidR="00E761DE" w:rsidRPr="00B100A2">
              <w:rPr>
                <w:sz w:val="26"/>
                <w:szCs w:val="26"/>
              </w:rPr>
              <w:t>ā ir</w:t>
            </w:r>
            <w:r w:rsidR="00333154" w:rsidRPr="00B100A2">
              <w:rPr>
                <w:sz w:val="26"/>
                <w:szCs w:val="26"/>
              </w:rPr>
              <w:t xml:space="preserve"> </w:t>
            </w:r>
            <w:r w:rsidR="00552A08" w:rsidRPr="00B100A2">
              <w:rPr>
                <w:sz w:val="26"/>
                <w:szCs w:val="26"/>
              </w:rPr>
              <w:t xml:space="preserve">vairākas </w:t>
            </w:r>
            <w:r w:rsidR="00025412" w:rsidRPr="00B100A2">
              <w:rPr>
                <w:sz w:val="26"/>
                <w:szCs w:val="26"/>
              </w:rPr>
              <w:t>jaunas</w:t>
            </w:r>
            <w:r w:rsidR="00333154" w:rsidRPr="00B100A2">
              <w:rPr>
                <w:sz w:val="26"/>
                <w:szCs w:val="26"/>
              </w:rPr>
              <w:t xml:space="preserve"> prasības</w:t>
            </w:r>
            <w:r w:rsidRPr="00B100A2">
              <w:rPr>
                <w:sz w:val="26"/>
                <w:szCs w:val="26"/>
              </w:rPr>
              <w:t xml:space="preserve"> </w:t>
            </w:r>
            <w:r w:rsidR="00E761DE" w:rsidRPr="00B100A2">
              <w:rPr>
                <w:sz w:val="26"/>
                <w:szCs w:val="26"/>
              </w:rPr>
              <w:t>izglītības iestādei</w:t>
            </w:r>
            <w:r w:rsidR="00552A08" w:rsidRPr="00B100A2">
              <w:rPr>
                <w:sz w:val="26"/>
                <w:szCs w:val="26"/>
              </w:rPr>
              <w:t>, piemēram,</w:t>
            </w:r>
            <w:r w:rsidR="00E761DE" w:rsidRPr="00B100A2">
              <w:rPr>
                <w:sz w:val="26"/>
                <w:szCs w:val="26"/>
              </w:rPr>
              <w:t xml:space="preserve"> nosakot, ka tā</w:t>
            </w:r>
            <w:r w:rsidRPr="00B100A2">
              <w:rPr>
                <w:sz w:val="26"/>
                <w:szCs w:val="26"/>
              </w:rPr>
              <w:t xml:space="preserve"> </w:t>
            </w:r>
            <w:r w:rsidR="0090328D" w:rsidRPr="00B100A2">
              <w:rPr>
                <w:sz w:val="26"/>
                <w:szCs w:val="26"/>
              </w:rPr>
              <w:t xml:space="preserve">sadarbībā ar nozares organizācijām un komersantiem </w:t>
            </w:r>
            <w:r w:rsidR="00F17E71" w:rsidRPr="00B100A2">
              <w:rPr>
                <w:sz w:val="26"/>
                <w:szCs w:val="26"/>
              </w:rPr>
              <w:t>vismaz divās nozarēs</w:t>
            </w:r>
            <w:r w:rsidR="008B639A" w:rsidRPr="00B100A2">
              <w:rPr>
                <w:sz w:val="26"/>
                <w:szCs w:val="26"/>
              </w:rPr>
              <w:t xml:space="preserve"> (attiecībā uz Kultūras ministrijas padotībā esošām iestādēm – vienā nozarē)</w:t>
            </w:r>
            <w:r w:rsidR="0090328D" w:rsidRPr="00B100A2">
              <w:rPr>
                <w:sz w:val="26"/>
                <w:szCs w:val="26"/>
              </w:rPr>
              <w:t xml:space="preserve">, kurās izglītības iestāde īsteno profesionālās </w:t>
            </w:r>
            <w:r w:rsidR="00BB070B" w:rsidRPr="00B100A2">
              <w:rPr>
                <w:sz w:val="26"/>
                <w:szCs w:val="26"/>
              </w:rPr>
              <w:t xml:space="preserve"> </w:t>
            </w:r>
            <w:r w:rsidR="0090328D" w:rsidRPr="00B100A2">
              <w:rPr>
                <w:sz w:val="26"/>
                <w:szCs w:val="26"/>
              </w:rPr>
              <w:t xml:space="preserve">vidējās izglītības programmas, veic reģionālā vai </w:t>
            </w:r>
            <w:r w:rsidR="00BB070B" w:rsidRPr="00B100A2">
              <w:rPr>
                <w:sz w:val="26"/>
                <w:szCs w:val="26"/>
              </w:rPr>
              <w:t>nozares metodiskā</w:t>
            </w:r>
            <w:r w:rsidR="0090328D" w:rsidRPr="00B100A2">
              <w:rPr>
                <w:sz w:val="26"/>
                <w:szCs w:val="26"/>
              </w:rPr>
              <w:t xml:space="preserve"> c</w:t>
            </w:r>
            <w:r w:rsidR="004E1D04" w:rsidRPr="00B100A2">
              <w:rPr>
                <w:sz w:val="26"/>
                <w:szCs w:val="26"/>
              </w:rPr>
              <w:t>entra, pedagogu tālākizglītības</w:t>
            </w:r>
            <w:r w:rsidR="00BB070B" w:rsidRPr="00B100A2">
              <w:rPr>
                <w:sz w:val="26"/>
                <w:szCs w:val="26"/>
              </w:rPr>
              <w:t xml:space="preserve"> </w:t>
            </w:r>
            <w:r w:rsidR="0090328D" w:rsidRPr="00B100A2">
              <w:rPr>
                <w:sz w:val="26"/>
                <w:szCs w:val="26"/>
              </w:rPr>
              <w:t>centra un ārpus formālās izglītības sistēmas apgūtās profesionālās kompetences novērtēšanas funkcijas. Izglītības iestāde nodrošina vienlaicīgi</w:t>
            </w:r>
            <w:r w:rsidR="00F17E71" w:rsidRPr="00B100A2">
              <w:rPr>
                <w:sz w:val="26"/>
                <w:szCs w:val="26"/>
              </w:rPr>
              <w:t xml:space="preserve"> </w:t>
            </w:r>
            <w:r w:rsidRPr="00B100A2">
              <w:rPr>
                <w:sz w:val="26"/>
                <w:szCs w:val="26"/>
              </w:rPr>
              <w:t>ne mazāk kā 100 izglītojamo mācības izglītī</w:t>
            </w:r>
            <w:r w:rsidR="002A4A72" w:rsidRPr="00B100A2">
              <w:rPr>
                <w:sz w:val="26"/>
                <w:szCs w:val="26"/>
              </w:rPr>
              <w:t>bas programmās</w:t>
            </w:r>
            <w:r w:rsidR="0090328D" w:rsidRPr="00B100A2">
              <w:rPr>
                <w:sz w:val="26"/>
                <w:szCs w:val="26"/>
              </w:rPr>
              <w:t xml:space="preserve"> katrā no atbilstošām nozarēm kopumā</w:t>
            </w:r>
            <w:r w:rsidR="008B639A" w:rsidRPr="00B100A2">
              <w:rPr>
                <w:sz w:val="26"/>
                <w:szCs w:val="26"/>
              </w:rPr>
              <w:t xml:space="preserve"> (neattiecas uz Kultūras ministrijas padotībā esošām iestādēm).</w:t>
            </w:r>
            <w:r w:rsidR="0008295D" w:rsidRPr="00B100A2">
              <w:rPr>
                <w:sz w:val="26"/>
                <w:szCs w:val="26"/>
              </w:rPr>
              <w:t xml:space="preserve"> </w:t>
            </w:r>
            <w:r w:rsidR="00025412" w:rsidRPr="00B100A2">
              <w:rPr>
                <w:sz w:val="26"/>
                <w:szCs w:val="26"/>
              </w:rPr>
              <w:t xml:space="preserve">Pašreiz profesionālās izglītības iestādēs tiek ieguldīti finanšu līdzekļi vairāk nekā 100 miljonu latu apjomā mācību infrastruktūras un mācību aprīkojuma pilnveidei. </w:t>
            </w:r>
            <w:r w:rsidR="00600F7E" w:rsidRPr="00B100A2">
              <w:rPr>
                <w:sz w:val="26"/>
                <w:szCs w:val="26"/>
              </w:rPr>
              <w:t xml:space="preserve">Tieši </w:t>
            </w:r>
            <w:r w:rsidR="006A1BB4">
              <w:rPr>
                <w:sz w:val="26"/>
                <w:szCs w:val="26"/>
              </w:rPr>
              <w:t xml:space="preserve">tajās </w:t>
            </w:r>
            <w:r w:rsidR="00600F7E" w:rsidRPr="00B100A2">
              <w:rPr>
                <w:sz w:val="26"/>
                <w:szCs w:val="26"/>
              </w:rPr>
              <w:t xml:space="preserve">izglītības iestādēs, kur atbilstošā nozarē ir veikti ieguldījumi infrastruktūras un mācību aprīkojuma pilnveidei ir jākoncentrē izglītojamo sagatavošana atbilstošā nozarē. </w:t>
            </w:r>
            <w:r w:rsidR="006A1BB4">
              <w:rPr>
                <w:sz w:val="26"/>
                <w:szCs w:val="26"/>
              </w:rPr>
              <w:t xml:space="preserve">Tādēļ kompetences centriem tiek noteikts kritērijs </w:t>
            </w:r>
            <w:r w:rsidR="00475BD4">
              <w:rPr>
                <w:sz w:val="26"/>
                <w:szCs w:val="26"/>
              </w:rPr>
              <w:t>attiecīgā mācību periodā</w:t>
            </w:r>
            <w:r w:rsidR="00025412" w:rsidRPr="00B100A2">
              <w:rPr>
                <w:sz w:val="26"/>
                <w:szCs w:val="26"/>
              </w:rPr>
              <w:t xml:space="preserve"> sagatavot vismaz 100 izg</w:t>
            </w:r>
            <w:r w:rsidR="006A1BB4">
              <w:rPr>
                <w:sz w:val="26"/>
                <w:szCs w:val="26"/>
              </w:rPr>
              <w:t>lītojamos atbilstošā nozarē, tādējādi garantējot, ka</w:t>
            </w:r>
            <w:r w:rsidR="00025412" w:rsidRPr="00B100A2">
              <w:rPr>
                <w:sz w:val="26"/>
                <w:szCs w:val="26"/>
              </w:rPr>
              <w:t xml:space="preserve"> finanšu līdzekļu ieguldījums </w:t>
            </w:r>
            <w:r w:rsidR="006A1BB4">
              <w:rPr>
                <w:sz w:val="26"/>
                <w:szCs w:val="26"/>
              </w:rPr>
              <w:t>ir bijis</w:t>
            </w:r>
            <w:r w:rsidR="00025412" w:rsidRPr="00B100A2">
              <w:rPr>
                <w:sz w:val="26"/>
                <w:szCs w:val="26"/>
              </w:rPr>
              <w:t xml:space="preserve"> efektīvs.</w:t>
            </w:r>
          </w:p>
          <w:p w:rsidR="002E5702" w:rsidRPr="00B100A2" w:rsidRDefault="006B7545" w:rsidP="00915D3B">
            <w:pPr>
              <w:autoSpaceDE w:val="0"/>
              <w:autoSpaceDN w:val="0"/>
              <w:adjustRightInd w:val="0"/>
              <w:ind w:firstLine="365"/>
              <w:jc w:val="both"/>
              <w:rPr>
                <w:sz w:val="26"/>
                <w:szCs w:val="26"/>
              </w:rPr>
            </w:pPr>
            <w:r w:rsidRPr="00B100A2">
              <w:rPr>
                <w:sz w:val="26"/>
                <w:szCs w:val="26"/>
              </w:rPr>
              <w:t xml:space="preserve">Eiropas Savienība stratēģijas “Eiropa-2020” ietvaros ir izvirzījusi ES valstīm mērķi samazināt priekšlaicīgi mācības pārtraukušo izglītojamo skaitu zem 10%. Pēdējos trīs gados </w:t>
            </w:r>
            <w:r w:rsidR="00915D3B" w:rsidRPr="00B100A2">
              <w:rPr>
                <w:sz w:val="26"/>
                <w:szCs w:val="26"/>
              </w:rPr>
              <w:t xml:space="preserve">Latvijas </w:t>
            </w:r>
            <w:r w:rsidRPr="00B100A2">
              <w:rPr>
                <w:sz w:val="26"/>
                <w:szCs w:val="26"/>
              </w:rPr>
              <w:t xml:space="preserve">valstī profesionālās izglītības iestādēs priekšlaicīgi mācības pārtraukušo izglītojamo skaits ir 13% robežās. Šo </w:t>
            </w:r>
            <w:r w:rsidR="002E5702" w:rsidRPr="00B100A2">
              <w:rPr>
                <w:sz w:val="26"/>
                <w:szCs w:val="26"/>
              </w:rPr>
              <w:t xml:space="preserve">13% </w:t>
            </w:r>
            <w:r w:rsidRPr="00B100A2">
              <w:rPr>
                <w:sz w:val="26"/>
                <w:szCs w:val="26"/>
              </w:rPr>
              <w:t xml:space="preserve">datu analīze uzrāda, ka </w:t>
            </w:r>
            <w:r w:rsidR="002E5702" w:rsidRPr="00B100A2">
              <w:rPr>
                <w:sz w:val="26"/>
                <w:szCs w:val="26"/>
              </w:rPr>
              <w:t xml:space="preserve">pēdējo 3 gadu periodā </w:t>
            </w:r>
            <w:r w:rsidRPr="00B100A2">
              <w:rPr>
                <w:sz w:val="26"/>
                <w:szCs w:val="26"/>
              </w:rPr>
              <w:t>lielāko atskaitīto izglītojamo skaitu veido tie, k</w:t>
            </w:r>
            <w:r w:rsidR="002E5702" w:rsidRPr="00B100A2">
              <w:rPr>
                <w:sz w:val="26"/>
                <w:szCs w:val="26"/>
              </w:rPr>
              <w:t>uri</w:t>
            </w:r>
            <w:r w:rsidRPr="00B100A2">
              <w:rPr>
                <w:sz w:val="26"/>
                <w:szCs w:val="26"/>
              </w:rPr>
              <w:t xml:space="preserve"> neapmeklē izglītības iestādi (31%), tiem seko izglītojamie, kuriem nav vērtējuma, vai ir nepietiekams vērtējums mācī</w:t>
            </w:r>
            <w:r w:rsidR="001D642B" w:rsidRPr="00B100A2">
              <w:rPr>
                <w:sz w:val="26"/>
                <w:szCs w:val="26"/>
              </w:rPr>
              <w:t>bu priekšmetos (16%) un tie, kuri</w:t>
            </w:r>
            <w:r w:rsidRPr="00B100A2">
              <w:rPr>
                <w:sz w:val="26"/>
                <w:szCs w:val="26"/>
              </w:rPr>
              <w:t xml:space="preserve"> nepareizas izvēles dēļ ir pārgājuši uz citu izglītības iestādi (16%). Bez tam audzēkņi ir </w:t>
            </w:r>
            <w:r w:rsidR="00954DCE" w:rsidRPr="00B100A2">
              <w:rPr>
                <w:sz w:val="26"/>
                <w:szCs w:val="26"/>
              </w:rPr>
              <w:t xml:space="preserve">bijuši </w:t>
            </w:r>
            <w:r w:rsidRPr="00B100A2">
              <w:rPr>
                <w:sz w:val="26"/>
                <w:szCs w:val="26"/>
              </w:rPr>
              <w:t>atskaitīti slimības dēļ (2%), dzīves vietas maiņas dēļ (6%), ģimenes apstākļu dēļ (</w:t>
            </w:r>
            <w:r w:rsidR="006C7237" w:rsidRPr="00B100A2">
              <w:rPr>
                <w:sz w:val="26"/>
                <w:szCs w:val="26"/>
              </w:rPr>
              <w:t>15%) un citu iemeslu</w:t>
            </w:r>
            <w:r w:rsidRPr="00B100A2">
              <w:rPr>
                <w:sz w:val="26"/>
                <w:szCs w:val="26"/>
              </w:rPr>
              <w:t xml:space="preserve"> dēļ (</w:t>
            </w:r>
            <w:r w:rsidR="006C7237" w:rsidRPr="00B100A2">
              <w:rPr>
                <w:sz w:val="26"/>
                <w:szCs w:val="26"/>
              </w:rPr>
              <w:t>14%).</w:t>
            </w:r>
            <w:r w:rsidR="00720193" w:rsidRPr="00B100A2">
              <w:rPr>
                <w:sz w:val="26"/>
                <w:szCs w:val="26"/>
              </w:rPr>
              <w:t xml:space="preserve"> </w:t>
            </w:r>
          </w:p>
          <w:p w:rsidR="00720193" w:rsidRPr="00B100A2" w:rsidRDefault="006C7237" w:rsidP="006B7545">
            <w:pPr>
              <w:autoSpaceDE w:val="0"/>
              <w:autoSpaceDN w:val="0"/>
              <w:adjustRightInd w:val="0"/>
              <w:jc w:val="both"/>
              <w:rPr>
                <w:sz w:val="26"/>
                <w:szCs w:val="26"/>
              </w:rPr>
            </w:pPr>
            <w:r w:rsidRPr="00B100A2">
              <w:rPr>
                <w:sz w:val="26"/>
                <w:szCs w:val="26"/>
              </w:rPr>
              <w:t>Š</w:t>
            </w:r>
            <w:r w:rsidR="00720193" w:rsidRPr="00B100A2">
              <w:rPr>
                <w:sz w:val="26"/>
                <w:szCs w:val="26"/>
              </w:rPr>
              <w:t xml:space="preserve">ie 13% tiek </w:t>
            </w:r>
            <w:r w:rsidR="007103A6" w:rsidRPr="00B100A2">
              <w:rPr>
                <w:sz w:val="26"/>
                <w:szCs w:val="26"/>
              </w:rPr>
              <w:t xml:space="preserve">nosacīti </w:t>
            </w:r>
            <w:r w:rsidR="00720193" w:rsidRPr="00B100A2">
              <w:rPr>
                <w:sz w:val="26"/>
                <w:szCs w:val="26"/>
              </w:rPr>
              <w:t>sadalīti</w:t>
            </w:r>
            <w:r w:rsidR="006B7545" w:rsidRPr="00B100A2">
              <w:rPr>
                <w:sz w:val="26"/>
                <w:szCs w:val="26"/>
              </w:rPr>
              <w:t xml:space="preserve"> divās d</w:t>
            </w:r>
            <w:r w:rsidR="004473A3" w:rsidRPr="00B100A2">
              <w:rPr>
                <w:sz w:val="26"/>
                <w:szCs w:val="26"/>
              </w:rPr>
              <w:t>aļās: pirmajā daļā ietverot tos</w:t>
            </w:r>
            <w:r w:rsidR="006B7545" w:rsidRPr="00B100A2">
              <w:rPr>
                <w:sz w:val="26"/>
                <w:szCs w:val="26"/>
              </w:rPr>
              <w:t xml:space="preserve"> ats</w:t>
            </w:r>
            <w:r w:rsidR="00F24403" w:rsidRPr="00B100A2">
              <w:rPr>
                <w:sz w:val="26"/>
                <w:szCs w:val="26"/>
              </w:rPr>
              <w:t>kaitīšanas iemeslus, kurus izglītības iestāde</w:t>
            </w:r>
            <w:r w:rsidR="006B7545" w:rsidRPr="00B100A2">
              <w:rPr>
                <w:sz w:val="26"/>
                <w:szCs w:val="26"/>
              </w:rPr>
              <w:t xml:space="preserve"> </w:t>
            </w:r>
            <w:r w:rsidR="006B7545" w:rsidRPr="00B100A2">
              <w:rPr>
                <w:sz w:val="26"/>
                <w:szCs w:val="26"/>
                <w:u w:val="single"/>
              </w:rPr>
              <w:lastRenderedPageBreak/>
              <w:t>nevar</w:t>
            </w:r>
            <w:r w:rsidR="006B7545" w:rsidRPr="00B100A2">
              <w:rPr>
                <w:sz w:val="26"/>
                <w:szCs w:val="26"/>
              </w:rPr>
              <w:t xml:space="preserve"> ietekmēt (5%)</w:t>
            </w:r>
            <w:r w:rsidR="004473A3" w:rsidRPr="00B100A2">
              <w:rPr>
                <w:sz w:val="26"/>
                <w:szCs w:val="26"/>
              </w:rPr>
              <w:t xml:space="preserve"> un otrajā daļā tos, kurus izglītības iestāde</w:t>
            </w:r>
            <w:r w:rsidR="006B7545" w:rsidRPr="00B100A2">
              <w:rPr>
                <w:sz w:val="26"/>
                <w:szCs w:val="26"/>
              </w:rPr>
              <w:t xml:space="preserve"> </w:t>
            </w:r>
            <w:r w:rsidR="006B7545" w:rsidRPr="00B100A2">
              <w:rPr>
                <w:sz w:val="26"/>
                <w:szCs w:val="26"/>
                <w:u w:val="single"/>
              </w:rPr>
              <w:t>var</w:t>
            </w:r>
            <w:r w:rsidR="006B7545" w:rsidRPr="00B100A2">
              <w:rPr>
                <w:sz w:val="26"/>
                <w:szCs w:val="26"/>
              </w:rPr>
              <w:t xml:space="preserve"> ietekmēt (8%)</w:t>
            </w:r>
            <w:r w:rsidRPr="00B100A2">
              <w:rPr>
                <w:sz w:val="26"/>
                <w:szCs w:val="26"/>
              </w:rPr>
              <w:t xml:space="preserve">. </w:t>
            </w:r>
            <w:r w:rsidR="002E5702" w:rsidRPr="00B100A2">
              <w:rPr>
                <w:sz w:val="26"/>
                <w:szCs w:val="26"/>
              </w:rPr>
              <w:t>Pamatojoties uz statistikas datiem</w:t>
            </w:r>
            <w:r w:rsidR="00817D4F" w:rsidRPr="00B100A2">
              <w:rPr>
                <w:sz w:val="26"/>
                <w:szCs w:val="26"/>
              </w:rPr>
              <w:t>,</w:t>
            </w:r>
            <w:r w:rsidR="002E5702" w:rsidRPr="00B100A2">
              <w:rPr>
                <w:sz w:val="26"/>
                <w:szCs w:val="26"/>
              </w:rPr>
              <w:t xml:space="preserve"> pēdējo 3 gadu laikā atskait</w:t>
            </w:r>
            <w:r w:rsidR="007E43C3" w:rsidRPr="00B100A2">
              <w:rPr>
                <w:sz w:val="26"/>
                <w:szCs w:val="26"/>
              </w:rPr>
              <w:t>īto izglītojamo skaits no izglītības iestādes</w:t>
            </w:r>
            <w:r w:rsidR="002E5702" w:rsidRPr="00B100A2">
              <w:rPr>
                <w:sz w:val="26"/>
                <w:szCs w:val="26"/>
              </w:rPr>
              <w:t xml:space="preserve"> atkarīgu (ietekmējamu) iemeslu dēļ vidēji sastāda 8%. </w:t>
            </w:r>
            <w:r w:rsidR="006B7545" w:rsidRPr="00B100A2">
              <w:rPr>
                <w:sz w:val="26"/>
                <w:szCs w:val="26"/>
              </w:rPr>
              <w:t xml:space="preserve">Uzskatām, ka šis rādītājs ir saistāms ar izglītības iestādes darba kvalitāti: jauniešiem nepieciešams savlaicīgs atbalsts no pedagogu puses mācību apguvē, interesantas un daudzveidīgas brīvā laika pavadīšanas iespējas, savlaicīgs psiholoģiskais </w:t>
            </w:r>
            <w:r w:rsidR="003E6565" w:rsidRPr="00B100A2">
              <w:rPr>
                <w:sz w:val="26"/>
                <w:szCs w:val="26"/>
              </w:rPr>
              <w:t>atbalsts, kā arī nopietns izglītības iestādes</w:t>
            </w:r>
            <w:r w:rsidR="006B7545" w:rsidRPr="00B100A2">
              <w:rPr>
                <w:sz w:val="26"/>
                <w:szCs w:val="26"/>
              </w:rPr>
              <w:t xml:space="preserve"> darbs, nodrošinot karjera</w:t>
            </w:r>
            <w:r w:rsidR="003E6565" w:rsidRPr="00B100A2">
              <w:rPr>
                <w:sz w:val="26"/>
                <w:szCs w:val="26"/>
              </w:rPr>
              <w:t>s izglītības attīstību un piesaistot izglītības iestādei tieši tos izglītojamos, kuri ir ieinteresēti konkrētās profesijas apguvē.</w:t>
            </w:r>
          </w:p>
          <w:p w:rsidR="002A4A72" w:rsidRPr="00B100A2" w:rsidRDefault="00185224" w:rsidP="006B7545">
            <w:pPr>
              <w:autoSpaceDE w:val="0"/>
              <w:autoSpaceDN w:val="0"/>
              <w:adjustRightInd w:val="0"/>
              <w:jc w:val="both"/>
              <w:rPr>
                <w:sz w:val="26"/>
                <w:szCs w:val="26"/>
              </w:rPr>
            </w:pPr>
            <w:r>
              <w:rPr>
                <w:sz w:val="26"/>
                <w:szCs w:val="26"/>
              </w:rPr>
              <w:t>Pamatojoties uz augstāk</w:t>
            </w:r>
            <w:r w:rsidR="0017227A" w:rsidRPr="00B100A2">
              <w:rPr>
                <w:sz w:val="26"/>
                <w:szCs w:val="26"/>
              </w:rPr>
              <w:t>minēto</w:t>
            </w:r>
            <w:r w:rsidR="00B45D1A" w:rsidRPr="00B100A2">
              <w:rPr>
                <w:sz w:val="26"/>
                <w:szCs w:val="26"/>
              </w:rPr>
              <w:t>,</w:t>
            </w:r>
            <w:r w:rsidR="006B7545" w:rsidRPr="00B100A2">
              <w:rPr>
                <w:sz w:val="26"/>
                <w:szCs w:val="26"/>
              </w:rPr>
              <w:t xml:space="preserve"> noteikumos </w:t>
            </w:r>
            <w:r w:rsidR="00720193" w:rsidRPr="00B100A2">
              <w:rPr>
                <w:sz w:val="26"/>
                <w:szCs w:val="26"/>
              </w:rPr>
              <w:t>ir noteikts</w:t>
            </w:r>
            <w:r w:rsidR="006B7545" w:rsidRPr="00B100A2">
              <w:rPr>
                <w:sz w:val="26"/>
                <w:szCs w:val="26"/>
              </w:rPr>
              <w:t xml:space="preserve"> kritērijs, ka </w:t>
            </w:r>
            <w:r w:rsidR="00720193" w:rsidRPr="00B100A2">
              <w:rPr>
                <w:sz w:val="26"/>
                <w:szCs w:val="26"/>
              </w:rPr>
              <w:t xml:space="preserve">divu </w:t>
            </w:r>
            <w:r w:rsidR="0017227A" w:rsidRPr="00B100A2">
              <w:rPr>
                <w:sz w:val="26"/>
                <w:szCs w:val="26"/>
              </w:rPr>
              <w:t xml:space="preserve">pēdējo mācību </w:t>
            </w:r>
            <w:r w:rsidR="00720193" w:rsidRPr="00B100A2">
              <w:rPr>
                <w:sz w:val="26"/>
                <w:szCs w:val="26"/>
              </w:rPr>
              <w:t xml:space="preserve">gadu periodā no </w:t>
            </w:r>
            <w:r w:rsidR="00B45D1A" w:rsidRPr="00B100A2">
              <w:rPr>
                <w:sz w:val="26"/>
                <w:szCs w:val="26"/>
              </w:rPr>
              <w:t>tiem izglītojamajiem, kuri uzsākuši mācības, no izglītības iestādes</w:t>
            </w:r>
            <w:r w:rsidR="00720193" w:rsidRPr="00B100A2">
              <w:rPr>
                <w:sz w:val="26"/>
                <w:szCs w:val="26"/>
              </w:rPr>
              <w:t xml:space="preserve"> atskaitīti drīkst būt </w:t>
            </w:r>
            <w:r w:rsidR="006B7545" w:rsidRPr="00B100A2">
              <w:rPr>
                <w:sz w:val="26"/>
                <w:szCs w:val="26"/>
              </w:rPr>
              <w:t xml:space="preserve">ne vairāk kā 8% </w:t>
            </w:r>
            <w:r w:rsidR="00B45D1A" w:rsidRPr="00B100A2">
              <w:rPr>
                <w:sz w:val="26"/>
                <w:szCs w:val="26"/>
              </w:rPr>
              <w:t>šādu iemeslu dēļ:</w:t>
            </w:r>
            <w:r w:rsidR="006B7545" w:rsidRPr="00B100A2">
              <w:rPr>
                <w:sz w:val="26"/>
                <w:szCs w:val="26"/>
              </w:rPr>
              <w:t xml:space="preserve"> </w:t>
            </w:r>
            <w:r w:rsidR="0017227A" w:rsidRPr="00B100A2">
              <w:rPr>
                <w:sz w:val="26"/>
                <w:szCs w:val="26"/>
              </w:rPr>
              <w:t xml:space="preserve">1) </w:t>
            </w:r>
            <w:r w:rsidR="00B45D1A" w:rsidRPr="00B100A2">
              <w:rPr>
                <w:sz w:val="26"/>
                <w:szCs w:val="26"/>
              </w:rPr>
              <w:t>nepietiekami mācību sasniegumu vērtējumi</w:t>
            </w:r>
            <w:r w:rsidR="006B7545" w:rsidRPr="00B100A2">
              <w:rPr>
                <w:sz w:val="26"/>
                <w:szCs w:val="26"/>
              </w:rPr>
              <w:t xml:space="preserve">, </w:t>
            </w:r>
            <w:r w:rsidR="0017227A" w:rsidRPr="00B100A2">
              <w:rPr>
                <w:sz w:val="26"/>
                <w:szCs w:val="26"/>
              </w:rPr>
              <w:t xml:space="preserve">2) </w:t>
            </w:r>
            <w:r w:rsidR="00B45D1A" w:rsidRPr="00B100A2">
              <w:rPr>
                <w:sz w:val="26"/>
                <w:szCs w:val="26"/>
              </w:rPr>
              <w:t>neattaisnoti mācību kavējumi</w:t>
            </w:r>
            <w:r w:rsidR="00583754" w:rsidRPr="00B100A2">
              <w:rPr>
                <w:sz w:val="26"/>
                <w:szCs w:val="26"/>
              </w:rPr>
              <w:t xml:space="preserve">, </w:t>
            </w:r>
            <w:r w:rsidR="002D1F04" w:rsidRPr="00B100A2">
              <w:rPr>
                <w:sz w:val="26"/>
                <w:szCs w:val="26"/>
              </w:rPr>
              <w:t xml:space="preserve">3) </w:t>
            </w:r>
            <w:r w:rsidR="00B45D1A" w:rsidRPr="00B100A2">
              <w:rPr>
                <w:sz w:val="26"/>
                <w:szCs w:val="26"/>
              </w:rPr>
              <w:t>nepareiza karjeras izvēle.</w:t>
            </w:r>
          </w:p>
          <w:p w:rsidR="007626BA" w:rsidRPr="00B100A2" w:rsidRDefault="00CA2327" w:rsidP="008466E2">
            <w:pPr>
              <w:autoSpaceDE w:val="0"/>
              <w:autoSpaceDN w:val="0"/>
              <w:adjustRightInd w:val="0"/>
              <w:jc w:val="both"/>
              <w:rPr>
                <w:sz w:val="26"/>
                <w:szCs w:val="26"/>
              </w:rPr>
            </w:pPr>
            <w:r w:rsidRPr="00B100A2">
              <w:rPr>
                <w:sz w:val="26"/>
                <w:szCs w:val="26"/>
              </w:rPr>
              <w:t xml:space="preserve">Attiecībā uz mācību sasniegumiem </w:t>
            </w:r>
            <w:r w:rsidR="003A3DDC" w:rsidRPr="00B100A2">
              <w:rPr>
                <w:sz w:val="26"/>
                <w:szCs w:val="26"/>
              </w:rPr>
              <w:t xml:space="preserve">šajā noteikumu projektā </w:t>
            </w:r>
            <w:r w:rsidR="00552A08" w:rsidRPr="00B100A2">
              <w:rPr>
                <w:sz w:val="26"/>
                <w:szCs w:val="26"/>
              </w:rPr>
              <w:t xml:space="preserve">prasības ir paaugstinātas: </w:t>
            </w:r>
            <w:r w:rsidRPr="00B100A2">
              <w:rPr>
                <w:sz w:val="26"/>
                <w:szCs w:val="26"/>
              </w:rPr>
              <w:t xml:space="preserve">noteikumu projekts nosaka, ka pēdējo divu mācību gadu laikā ne mazāk kā 60% no profesionālo kvalifikāciju ieguvušajiem izglītojamajiem vērtējums profesionālās kvalifikācijas eksāmenos nedrīkst būt zemāks par septiņām ballēm – tādejādi </w:t>
            </w:r>
            <w:r w:rsidR="00260D13" w:rsidRPr="00B100A2">
              <w:rPr>
                <w:sz w:val="26"/>
                <w:szCs w:val="26"/>
              </w:rPr>
              <w:t xml:space="preserve">akcentējot  </w:t>
            </w:r>
            <w:r w:rsidRPr="00B100A2">
              <w:rPr>
                <w:sz w:val="26"/>
                <w:szCs w:val="26"/>
              </w:rPr>
              <w:t xml:space="preserve"> </w:t>
            </w:r>
            <w:r w:rsidR="00260D13" w:rsidRPr="00B100A2">
              <w:rPr>
                <w:sz w:val="26"/>
                <w:szCs w:val="26"/>
              </w:rPr>
              <w:t>profesijas kvalitatīvas apguves nozīmi</w:t>
            </w:r>
            <w:r w:rsidRPr="00B100A2">
              <w:rPr>
                <w:sz w:val="26"/>
                <w:szCs w:val="26"/>
              </w:rPr>
              <w:t>.</w:t>
            </w:r>
            <w:r w:rsidR="007626BA" w:rsidRPr="00B100A2">
              <w:rPr>
                <w:sz w:val="26"/>
                <w:szCs w:val="26"/>
              </w:rPr>
              <w:t xml:space="preserve"> Saskaņā ar M</w:t>
            </w:r>
            <w:r w:rsidR="00C9183D" w:rsidRPr="00B100A2">
              <w:rPr>
                <w:sz w:val="26"/>
                <w:szCs w:val="26"/>
              </w:rPr>
              <w:t xml:space="preserve">inistru kabineta </w:t>
            </w:r>
            <w:r w:rsidR="004B66B9" w:rsidRPr="00B100A2">
              <w:rPr>
                <w:sz w:val="26"/>
                <w:szCs w:val="26"/>
              </w:rPr>
              <w:t xml:space="preserve">2000.gada </w:t>
            </w:r>
            <w:r w:rsidR="00767B43" w:rsidRPr="00B100A2">
              <w:rPr>
                <w:sz w:val="26"/>
                <w:szCs w:val="26"/>
              </w:rPr>
              <w:t>2</w:t>
            </w:r>
            <w:r w:rsidR="004B66B9" w:rsidRPr="00B100A2">
              <w:rPr>
                <w:sz w:val="26"/>
                <w:szCs w:val="26"/>
              </w:rPr>
              <w:t>7.jūnija noteikumu</w:t>
            </w:r>
            <w:r w:rsidR="007626BA" w:rsidRPr="00B100A2">
              <w:rPr>
                <w:sz w:val="26"/>
                <w:szCs w:val="26"/>
              </w:rPr>
              <w:t xml:space="preserve"> Nr.211 „Noteikumi par valsts profesionālās vidējās izglītības standartu un valsts arodizglītības standartu”</w:t>
            </w:r>
            <w:r w:rsidR="008B223F" w:rsidRPr="00B100A2">
              <w:rPr>
                <w:sz w:val="26"/>
                <w:szCs w:val="26"/>
              </w:rPr>
              <w:t xml:space="preserve"> </w:t>
            </w:r>
            <w:r w:rsidR="004B66B9" w:rsidRPr="00B100A2">
              <w:rPr>
                <w:sz w:val="26"/>
                <w:szCs w:val="26"/>
              </w:rPr>
              <w:t xml:space="preserve">4.pielikumu </w:t>
            </w:r>
            <w:r w:rsidR="007626BA" w:rsidRPr="00B100A2">
              <w:rPr>
                <w:sz w:val="26"/>
                <w:szCs w:val="26"/>
              </w:rPr>
              <w:t>un M</w:t>
            </w:r>
            <w:r w:rsidR="00C9183D" w:rsidRPr="00B100A2">
              <w:rPr>
                <w:sz w:val="26"/>
                <w:szCs w:val="26"/>
              </w:rPr>
              <w:t>inistru kabineta</w:t>
            </w:r>
            <w:r w:rsidR="007626BA" w:rsidRPr="00B100A2">
              <w:rPr>
                <w:sz w:val="26"/>
                <w:szCs w:val="26"/>
              </w:rPr>
              <w:t xml:space="preserve"> 2011.gada 30.augusta noteikumiem Nr.662 “Profesionālās kvalifikācijas eksāmenu norises kārtība akreditētās profesionālās izglītības programmās</w:t>
            </w:r>
            <w:r w:rsidR="00EA3F32" w:rsidRPr="00B100A2">
              <w:rPr>
                <w:sz w:val="26"/>
                <w:szCs w:val="26"/>
              </w:rPr>
              <w:t>”</w:t>
            </w:r>
            <w:r w:rsidR="008B223F" w:rsidRPr="00B100A2">
              <w:rPr>
                <w:color w:val="FF0000"/>
                <w:sz w:val="26"/>
                <w:szCs w:val="26"/>
              </w:rPr>
              <w:t xml:space="preserve"> </w:t>
            </w:r>
            <w:r w:rsidR="007626BA" w:rsidRPr="00B100A2">
              <w:rPr>
                <w:sz w:val="26"/>
                <w:szCs w:val="26"/>
              </w:rPr>
              <w:t>profesion</w:t>
            </w:r>
            <w:r w:rsidR="00C9183D" w:rsidRPr="00B100A2">
              <w:rPr>
                <w:sz w:val="26"/>
                <w:szCs w:val="26"/>
              </w:rPr>
              <w:t xml:space="preserve">ālās kvalifikācijas eksāmenu </w:t>
            </w:r>
            <w:r w:rsidR="00ED664D" w:rsidRPr="00B100A2">
              <w:rPr>
                <w:sz w:val="26"/>
                <w:szCs w:val="26"/>
              </w:rPr>
              <w:t xml:space="preserve">3.profesionālās kvalifikācijas līmenim </w:t>
            </w:r>
            <w:r w:rsidR="00C9183D" w:rsidRPr="00B100A2">
              <w:rPr>
                <w:sz w:val="26"/>
                <w:szCs w:val="26"/>
              </w:rPr>
              <w:t>var</w:t>
            </w:r>
            <w:r w:rsidR="007626BA" w:rsidRPr="00B100A2">
              <w:rPr>
                <w:sz w:val="26"/>
                <w:szCs w:val="26"/>
              </w:rPr>
              <w:t xml:space="preserve"> kārtot un iegūt profesionālo kvalifikāciju arī ar „nepietiekamiem galīgiem vērtējumiem”.</w:t>
            </w:r>
            <w:r w:rsidR="008B223F" w:rsidRPr="00B100A2">
              <w:rPr>
                <w:sz w:val="26"/>
                <w:szCs w:val="26"/>
              </w:rPr>
              <w:t xml:space="preserve"> </w:t>
            </w:r>
          </w:p>
          <w:p w:rsidR="002342A9" w:rsidRPr="00B100A2" w:rsidRDefault="008B223F" w:rsidP="002342A9">
            <w:pPr>
              <w:autoSpaceDE w:val="0"/>
              <w:autoSpaceDN w:val="0"/>
              <w:adjustRightInd w:val="0"/>
              <w:jc w:val="both"/>
              <w:rPr>
                <w:sz w:val="26"/>
                <w:szCs w:val="26"/>
              </w:rPr>
            </w:pPr>
            <w:r w:rsidRPr="00B100A2">
              <w:rPr>
                <w:sz w:val="26"/>
                <w:szCs w:val="26"/>
              </w:rPr>
              <w:t>Projektā nosauktos</w:t>
            </w:r>
            <w:r w:rsidR="007626BA" w:rsidRPr="00B100A2">
              <w:rPr>
                <w:sz w:val="26"/>
                <w:szCs w:val="26"/>
              </w:rPr>
              <w:t xml:space="preserve"> 60% </w:t>
            </w:r>
            <w:r w:rsidRPr="00B100A2">
              <w:rPr>
                <w:sz w:val="26"/>
                <w:szCs w:val="26"/>
              </w:rPr>
              <w:t xml:space="preserve">no profesionālo </w:t>
            </w:r>
            <w:r w:rsidR="00E37B9A" w:rsidRPr="00B100A2">
              <w:rPr>
                <w:sz w:val="26"/>
                <w:szCs w:val="26"/>
              </w:rPr>
              <w:t>kvalifikāciju ieguvušajiem izglītojamajiem</w:t>
            </w:r>
            <w:r w:rsidRPr="00B100A2">
              <w:rPr>
                <w:sz w:val="26"/>
                <w:szCs w:val="26"/>
              </w:rPr>
              <w:t xml:space="preserve"> aprēķina no tiem, kuriem </w:t>
            </w:r>
            <w:r w:rsidR="00E37B9A" w:rsidRPr="00B100A2">
              <w:rPr>
                <w:sz w:val="26"/>
                <w:szCs w:val="26"/>
              </w:rPr>
              <w:t>profesionālās  kvalifikācijas e</w:t>
            </w:r>
            <w:r w:rsidRPr="00B100A2">
              <w:rPr>
                <w:sz w:val="26"/>
                <w:szCs w:val="26"/>
              </w:rPr>
              <w:t>ks</w:t>
            </w:r>
            <w:r w:rsidR="00E37B9A" w:rsidRPr="00B100A2">
              <w:rPr>
                <w:sz w:val="26"/>
                <w:szCs w:val="26"/>
              </w:rPr>
              <w:t>āmenos</w:t>
            </w:r>
            <w:r w:rsidRPr="00B100A2">
              <w:rPr>
                <w:sz w:val="26"/>
                <w:szCs w:val="26"/>
              </w:rPr>
              <w:t xml:space="preserve"> ir vismaz </w:t>
            </w:r>
            <w:r w:rsidR="00530E37" w:rsidRPr="00B100A2">
              <w:rPr>
                <w:sz w:val="26"/>
                <w:szCs w:val="26"/>
              </w:rPr>
              <w:t>„</w:t>
            </w:r>
            <w:r w:rsidRPr="00B100A2">
              <w:rPr>
                <w:sz w:val="26"/>
                <w:szCs w:val="26"/>
              </w:rPr>
              <w:t>5</w:t>
            </w:r>
            <w:r w:rsidR="00530E37" w:rsidRPr="00B100A2">
              <w:rPr>
                <w:sz w:val="26"/>
                <w:szCs w:val="26"/>
              </w:rPr>
              <w:t>”</w:t>
            </w:r>
            <w:r w:rsidR="00FC120A" w:rsidRPr="00B100A2">
              <w:rPr>
                <w:sz w:val="26"/>
                <w:szCs w:val="26"/>
              </w:rPr>
              <w:t xml:space="preserve"> (apmierinoši) (šajā</w:t>
            </w:r>
            <w:r w:rsidR="007626BA" w:rsidRPr="00B100A2">
              <w:rPr>
                <w:sz w:val="26"/>
                <w:szCs w:val="26"/>
              </w:rPr>
              <w:t xml:space="preserve"> skaitā nav tie, kuri eksāmenu nokārtojuši uz „4” vai zemāku balli un kuri nav bijuši tiesīgi kārtot profesionālās kvalifikācijas eksāmenu tādēļ, ka nav saņēmuši visos priekšmetos galīgo vērtējumu). Tā kā s</w:t>
            </w:r>
            <w:r w:rsidR="00C9183D" w:rsidRPr="00B100A2">
              <w:rPr>
                <w:sz w:val="26"/>
                <w:szCs w:val="26"/>
              </w:rPr>
              <w:t>askaņā ar iepriekš minētajiem Ministru kabineta</w:t>
            </w:r>
            <w:r w:rsidR="007626BA" w:rsidRPr="00B100A2">
              <w:rPr>
                <w:sz w:val="26"/>
                <w:szCs w:val="26"/>
              </w:rPr>
              <w:t xml:space="preserve"> noteikumiem zemākā atzīme kvalifikāciju ieguvušajiem ir „5” (apmierinoši), tad</w:t>
            </w:r>
            <w:r w:rsidR="00600F7E" w:rsidRPr="00B100A2">
              <w:rPr>
                <w:sz w:val="26"/>
                <w:szCs w:val="26"/>
              </w:rPr>
              <w:t xml:space="preserve"> kļūst skaidrs</w:t>
            </w:r>
            <w:r w:rsidR="007626BA" w:rsidRPr="00B100A2">
              <w:rPr>
                <w:sz w:val="26"/>
                <w:szCs w:val="26"/>
              </w:rPr>
              <w:t>, ka kom</w:t>
            </w:r>
            <w:r w:rsidR="00600F7E" w:rsidRPr="00B100A2">
              <w:rPr>
                <w:sz w:val="26"/>
                <w:szCs w:val="26"/>
              </w:rPr>
              <w:t xml:space="preserve">petences </w:t>
            </w:r>
            <w:r w:rsidR="00600F7E" w:rsidRPr="00B100A2">
              <w:rPr>
                <w:sz w:val="26"/>
                <w:szCs w:val="26"/>
              </w:rPr>
              <w:lastRenderedPageBreak/>
              <w:t xml:space="preserve">centram ir </w:t>
            </w:r>
            <w:r w:rsidR="00C9183D" w:rsidRPr="00B100A2">
              <w:rPr>
                <w:sz w:val="26"/>
                <w:szCs w:val="26"/>
              </w:rPr>
              <w:t>reālas</w:t>
            </w:r>
            <w:r w:rsidR="00FC120A" w:rsidRPr="00B100A2">
              <w:rPr>
                <w:sz w:val="26"/>
                <w:szCs w:val="26"/>
              </w:rPr>
              <w:t xml:space="preserve"> iespējas</w:t>
            </w:r>
            <w:r w:rsidR="007626BA" w:rsidRPr="00B100A2">
              <w:rPr>
                <w:sz w:val="26"/>
                <w:szCs w:val="26"/>
              </w:rPr>
              <w:t xml:space="preserve"> sagatavot  izglītojamos tādā līmenī, lai vis</w:t>
            </w:r>
            <w:r w:rsidR="00C757C8" w:rsidRPr="00B100A2">
              <w:rPr>
                <w:sz w:val="26"/>
                <w:szCs w:val="26"/>
              </w:rPr>
              <w:t xml:space="preserve">maz 60% no tiem vērtējums būtu </w:t>
            </w:r>
            <w:r w:rsidR="007626BA" w:rsidRPr="00B100A2">
              <w:rPr>
                <w:sz w:val="26"/>
                <w:szCs w:val="26"/>
              </w:rPr>
              <w:t>„7”</w:t>
            </w:r>
            <w:r w:rsidR="00C757C8" w:rsidRPr="00B100A2">
              <w:rPr>
                <w:sz w:val="26"/>
                <w:szCs w:val="26"/>
              </w:rPr>
              <w:t xml:space="preserve"> </w:t>
            </w:r>
            <w:r w:rsidR="007626BA" w:rsidRPr="00B100A2">
              <w:rPr>
                <w:sz w:val="26"/>
                <w:szCs w:val="26"/>
              </w:rPr>
              <w:t>(lab</w:t>
            </w:r>
            <w:r w:rsidR="00530E37" w:rsidRPr="00B100A2">
              <w:rPr>
                <w:sz w:val="26"/>
                <w:szCs w:val="26"/>
              </w:rPr>
              <w:t>i). Šie vērtējumi atšķiras</w:t>
            </w:r>
            <w:r w:rsidR="007626BA" w:rsidRPr="00B100A2">
              <w:rPr>
                <w:sz w:val="26"/>
                <w:szCs w:val="26"/>
              </w:rPr>
              <w:t xml:space="preserve"> par 2 ballēm, kas nozīmē, ka izglītojamā zināšanu apguves l</w:t>
            </w:r>
            <w:r w:rsidR="00C9183D" w:rsidRPr="00B100A2">
              <w:rPr>
                <w:sz w:val="26"/>
                <w:szCs w:val="26"/>
              </w:rPr>
              <w:t xml:space="preserve">īmenis 300 punktu skalā (3.profesionālās </w:t>
            </w:r>
            <w:r w:rsidR="007626BA" w:rsidRPr="00B100A2">
              <w:rPr>
                <w:sz w:val="26"/>
                <w:szCs w:val="26"/>
              </w:rPr>
              <w:t>kvalifikācijas līmenim) atšķiras tikai apmēram par 10%.</w:t>
            </w:r>
            <w:r w:rsidR="002342A9" w:rsidRPr="00B100A2">
              <w:rPr>
                <w:sz w:val="26"/>
                <w:szCs w:val="26"/>
              </w:rPr>
              <w:t xml:space="preserve"> </w:t>
            </w:r>
          </w:p>
          <w:p w:rsidR="002342A9" w:rsidRPr="00B100A2" w:rsidRDefault="00691A6D" w:rsidP="002342A9">
            <w:pPr>
              <w:autoSpaceDE w:val="0"/>
              <w:autoSpaceDN w:val="0"/>
              <w:adjustRightInd w:val="0"/>
              <w:jc w:val="both"/>
              <w:rPr>
                <w:sz w:val="26"/>
                <w:szCs w:val="26"/>
              </w:rPr>
            </w:pPr>
            <w:r>
              <w:rPr>
                <w:sz w:val="26"/>
                <w:szCs w:val="26"/>
                <w:u w:val="single"/>
              </w:rPr>
              <w:t>Piemēram</w:t>
            </w:r>
            <w:r w:rsidR="002342A9" w:rsidRPr="00B100A2">
              <w:rPr>
                <w:sz w:val="26"/>
                <w:szCs w:val="26"/>
                <w:u w:val="single"/>
              </w:rPr>
              <w:t>:</w:t>
            </w:r>
            <w:r w:rsidR="002342A9" w:rsidRPr="00B100A2">
              <w:rPr>
                <w:sz w:val="26"/>
                <w:szCs w:val="26"/>
              </w:rPr>
              <w:t xml:space="preserve"> Profesionālās izglītības kompetences centrā „Liepājas Valsts tehnikums” </w:t>
            </w:r>
            <w:r w:rsidR="002342A9" w:rsidRPr="00B100A2">
              <w:rPr>
                <w:sz w:val="26"/>
                <w:szCs w:val="26"/>
                <w:u w:val="single"/>
              </w:rPr>
              <w:t>profesionālās kvalifikācijas eksāmenā</w:t>
            </w:r>
            <w:r w:rsidR="002342A9" w:rsidRPr="00B100A2">
              <w:rPr>
                <w:sz w:val="26"/>
                <w:szCs w:val="26"/>
              </w:rPr>
              <w:t xml:space="preserve"> vērtējumu 7 balles un vairāk ieguva: </w:t>
            </w:r>
          </w:p>
          <w:p w:rsidR="002342A9" w:rsidRPr="00B100A2" w:rsidRDefault="002342A9" w:rsidP="002342A9">
            <w:pPr>
              <w:autoSpaceDE w:val="0"/>
              <w:autoSpaceDN w:val="0"/>
              <w:adjustRightInd w:val="0"/>
              <w:jc w:val="both"/>
              <w:rPr>
                <w:sz w:val="26"/>
                <w:szCs w:val="26"/>
              </w:rPr>
            </w:pPr>
            <w:r w:rsidRPr="00B100A2">
              <w:rPr>
                <w:sz w:val="26"/>
                <w:szCs w:val="26"/>
              </w:rPr>
              <w:t>1) 2010./2011.mācību gadā 64,3% izglītojamo</w:t>
            </w:r>
            <w:r w:rsidR="00CD48D2" w:rsidRPr="00B100A2">
              <w:rPr>
                <w:sz w:val="26"/>
                <w:szCs w:val="26"/>
              </w:rPr>
              <w:t>;</w:t>
            </w:r>
          </w:p>
          <w:p w:rsidR="002A4A72" w:rsidRPr="00B100A2" w:rsidRDefault="002342A9" w:rsidP="002342A9">
            <w:pPr>
              <w:jc w:val="both"/>
              <w:rPr>
                <w:sz w:val="26"/>
                <w:szCs w:val="26"/>
              </w:rPr>
            </w:pPr>
            <w:r w:rsidRPr="00B100A2">
              <w:rPr>
                <w:sz w:val="26"/>
                <w:szCs w:val="26"/>
              </w:rPr>
              <w:t>2) 2011./2012.mācību gadā 65,8%</w:t>
            </w:r>
            <w:r w:rsidR="00CD48D2" w:rsidRPr="00B100A2">
              <w:rPr>
                <w:sz w:val="26"/>
                <w:szCs w:val="26"/>
              </w:rPr>
              <w:t xml:space="preserve"> izglītojamo.</w:t>
            </w:r>
          </w:p>
          <w:p w:rsidR="00663C45" w:rsidRPr="00B100A2" w:rsidRDefault="00663C45" w:rsidP="002342A9">
            <w:pPr>
              <w:jc w:val="both"/>
              <w:rPr>
                <w:sz w:val="26"/>
                <w:szCs w:val="26"/>
              </w:rPr>
            </w:pPr>
            <w:r w:rsidRPr="00B100A2">
              <w:rPr>
                <w:sz w:val="26"/>
                <w:szCs w:val="26"/>
              </w:rPr>
              <w:t>Profesionālās izglītības kompetences centrā „Kandavas Valsts lauksaimniecības tehnikums” pēdējos divos mācību gados centralizētajā profesionālās kvalifikācijas eksāmenā vērtējumu 7 balles un augstāk ieguva 83% izglītojamo, kuri kārtoja eksāmenus.</w:t>
            </w:r>
          </w:p>
          <w:p w:rsidR="00D16C41" w:rsidRPr="00B100A2" w:rsidRDefault="00CA2327" w:rsidP="006C7EFB">
            <w:pPr>
              <w:pStyle w:val="naisc"/>
              <w:spacing w:before="0" w:after="0"/>
              <w:jc w:val="both"/>
              <w:rPr>
                <w:sz w:val="26"/>
                <w:szCs w:val="26"/>
              </w:rPr>
            </w:pPr>
            <w:r w:rsidRPr="00B100A2">
              <w:rPr>
                <w:sz w:val="26"/>
                <w:szCs w:val="26"/>
              </w:rPr>
              <w:t>Sadarbībā ar darba devēju organizācijām vai to apvienībām</w:t>
            </w:r>
            <w:r w:rsidR="00A2328F" w:rsidRPr="00B100A2">
              <w:rPr>
                <w:sz w:val="26"/>
                <w:szCs w:val="26"/>
              </w:rPr>
              <w:t xml:space="preserve"> un nozares komersantiem, izglītības iestādēm</w:t>
            </w:r>
            <w:r w:rsidRPr="00B100A2">
              <w:rPr>
                <w:sz w:val="26"/>
                <w:szCs w:val="26"/>
              </w:rPr>
              <w:t xml:space="preserve"> jānodrošina arī darba tirgus prasībām atbilstošas izglītojamo prakses vietas, jānodrošina pedagogu pieredzes apmaiņa un stažēšanās gan nacionālā, gan starptautiskā līmenī, jāizstrādā nepieciešamie mācību un metodiskie materiāli, publi</w:t>
            </w:r>
            <w:r w:rsidR="00FB5EFE" w:rsidRPr="00B100A2">
              <w:rPr>
                <w:sz w:val="26"/>
                <w:szCs w:val="26"/>
              </w:rPr>
              <w:t>cējot tos izglītības iestādes</w:t>
            </w:r>
            <w:r w:rsidR="00911271" w:rsidRPr="00B100A2">
              <w:rPr>
                <w:sz w:val="26"/>
                <w:szCs w:val="26"/>
              </w:rPr>
              <w:t xml:space="preserve"> tīmekļa vietnē</w:t>
            </w:r>
            <w:r w:rsidRPr="00B100A2">
              <w:rPr>
                <w:sz w:val="26"/>
                <w:szCs w:val="26"/>
              </w:rPr>
              <w:t xml:space="preserve">. </w:t>
            </w:r>
            <w:r w:rsidR="00911271" w:rsidRPr="00B100A2">
              <w:rPr>
                <w:sz w:val="26"/>
                <w:szCs w:val="26"/>
              </w:rPr>
              <w:t>Pašreiz Eiropas Savienības struktūrfondu vai citu ārvalstu finanšu instrumentu finansētie projekti piedāvā daudzveidīgas iespējas, tajā skaitā pedagogu p</w:t>
            </w:r>
            <w:r w:rsidR="00C835F0" w:rsidRPr="00B100A2">
              <w:rPr>
                <w:sz w:val="26"/>
                <w:szCs w:val="26"/>
              </w:rPr>
              <w:t>ieredzes apmaiņai.</w:t>
            </w:r>
            <w:r w:rsidR="00BC3925" w:rsidRPr="00B100A2">
              <w:rPr>
                <w:sz w:val="26"/>
                <w:szCs w:val="26"/>
              </w:rPr>
              <w:t xml:space="preserve"> </w:t>
            </w:r>
          </w:p>
          <w:p w:rsidR="00D16C41" w:rsidRPr="00B100A2" w:rsidRDefault="00D16C41" w:rsidP="00D16C41">
            <w:pPr>
              <w:pStyle w:val="Default"/>
              <w:jc w:val="both"/>
              <w:rPr>
                <w:sz w:val="26"/>
                <w:szCs w:val="26"/>
                <w:u w:val="single"/>
              </w:rPr>
            </w:pPr>
            <w:r w:rsidRPr="00B100A2">
              <w:rPr>
                <w:sz w:val="26"/>
                <w:szCs w:val="26"/>
                <w:u w:val="single"/>
              </w:rPr>
              <w:t>Piemēram:</w:t>
            </w:r>
          </w:p>
          <w:p w:rsidR="00D16C41" w:rsidRPr="00B100A2" w:rsidRDefault="00D16C41" w:rsidP="00D16C41">
            <w:pPr>
              <w:pStyle w:val="naisc"/>
              <w:spacing w:before="0" w:after="0"/>
              <w:jc w:val="both"/>
              <w:rPr>
                <w:sz w:val="26"/>
                <w:szCs w:val="26"/>
              </w:rPr>
            </w:pPr>
            <w:r w:rsidRPr="00B100A2">
              <w:rPr>
                <w:sz w:val="26"/>
                <w:szCs w:val="26"/>
              </w:rPr>
              <w:t>Eiropas Sociālā fonda 1.2.1.1.2.apakšaktivitātes projekta „Profesionālo mācību priekšmetu pedagogu un prakses vadītāju teorētisko zināšanu un praktisko kompetenču paaugstināšana”, kuru īsteno Izglītības un zinātnes ministrijas Valsts izglītības satura centrs, ietvaros, ir uzsākts darbs, lai paaugstinātu sākotnējā profesionālā izglītībā iesaistīto pedagogu un prakses vadītāju kompetenci, mobilitāti, nodrošinātu prasmju atjaunošanu, īpaši saistībā ar modernizēto profesionālās izglītības iestāžu aprīkojumu un saturu, kā arī uzlabotu profesionālās izglītības pedagogu sagatavošanu. Projekta programmas praktiskās daļas īstenošanas ietvaros Latvijā un citās Eiropas Savienības valstīs notiek profesionālo kompetenču apgūšana nozares profesionālās organizācijās, uzņēmumos un profesionālās izglītības iestādēs, nostiprinot pedagogu un prakses vadītāju teorētiskās zināšanas, praktiskās iemaņas un paaugstinot profesionālās kompetences projektā apstiprinātajās nozarēs.</w:t>
            </w:r>
          </w:p>
          <w:p w:rsidR="006C7EFB" w:rsidRDefault="00BC3925" w:rsidP="006C7EFB">
            <w:pPr>
              <w:pStyle w:val="naisc"/>
              <w:spacing w:before="0" w:after="0"/>
              <w:jc w:val="both"/>
              <w:rPr>
                <w:sz w:val="26"/>
                <w:szCs w:val="26"/>
              </w:rPr>
            </w:pPr>
            <w:r w:rsidRPr="00B100A2">
              <w:rPr>
                <w:sz w:val="26"/>
                <w:szCs w:val="26"/>
              </w:rPr>
              <w:t>Iekļaujot šīs prasības</w:t>
            </w:r>
            <w:r w:rsidR="00D16C41" w:rsidRPr="00B100A2">
              <w:rPr>
                <w:sz w:val="26"/>
                <w:szCs w:val="26"/>
              </w:rPr>
              <w:t xml:space="preserve"> noteikumu projektā kā kritēriju</w:t>
            </w:r>
            <w:r w:rsidR="00911271" w:rsidRPr="00B100A2">
              <w:rPr>
                <w:sz w:val="26"/>
                <w:szCs w:val="26"/>
              </w:rPr>
              <w:t xml:space="preserve"> tiks </w:t>
            </w:r>
            <w:r w:rsidR="00911271" w:rsidRPr="00B100A2">
              <w:rPr>
                <w:sz w:val="26"/>
                <w:szCs w:val="26"/>
              </w:rPr>
              <w:lastRenderedPageBreak/>
              <w:t>veicināta izglītības iestāžu, kuras vēlas iegūt kompetences centra status, vēlme iesaistīties starptautiskajos projektos, bet pedagogiem mācīties, lai nodrošinātu iespēju sagatavot izglītojamos, izmantojot mūsdienīgu aprīkojumu, atbilstoši pieprasījumam darba tirgū.</w:t>
            </w:r>
            <w:r w:rsidRPr="00B100A2">
              <w:rPr>
                <w:sz w:val="26"/>
                <w:szCs w:val="26"/>
              </w:rPr>
              <w:t xml:space="preserve"> </w:t>
            </w:r>
          </w:p>
          <w:p w:rsidR="00CA2327" w:rsidRPr="00B100A2" w:rsidRDefault="00911271" w:rsidP="006C7EFB">
            <w:pPr>
              <w:pStyle w:val="naisc"/>
              <w:spacing w:before="0" w:after="0"/>
              <w:jc w:val="both"/>
              <w:rPr>
                <w:sz w:val="26"/>
                <w:szCs w:val="26"/>
              </w:rPr>
            </w:pPr>
            <w:r w:rsidRPr="00B100A2">
              <w:rPr>
                <w:sz w:val="26"/>
                <w:szCs w:val="26"/>
              </w:rPr>
              <w:t>Iestādei, kura vēlas iegūt kompetences centra statusu</w:t>
            </w:r>
            <w:r w:rsidR="007C3470" w:rsidRPr="00B100A2">
              <w:rPr>
                <w:sz w:val="26"/>
                <w:szCs w:val="26"/>
              </w:rPr>
              <w:t>,</w:t>
            </w:r>
            <w:r w:rsidRPr="00B100A2">
              <w:rPr>
                <w:sz w:val="26"/>
                <w:szCs w:val="26"/>
              </w:rPr>
              <w:t xml:space="preserve"> ir jāpilda arī centra funkcijas atbilstoši 2.7.</w:t>
            </w:r>
            <w:r w:rsidR="00383F62" w:rsidRPr="00B100A2">
              <w:rPr>
                <w:sz w:val="26"/>
                <w:szCs w:val="26"/>
              </w:rPr>
              <w:t>apakš</w:t>
            </w:r>
            <w:r w:rsidR="006661CB" w:rsidRPr="00B100A2">
              <w:rPr>
                <w:sz w:val="26"/>
                <w:szCs w:val="26"/>
              </w:rPr>
              <w:t>punkta ievaddaļai</w:t>
            </w:r>
            <w:r w:rsidRPr="00B100A2">
              <w:rPr>
                <w:sz w:val="26"/>
                <w:szCs w:val="26"/>
              </w:rPr>
              <w:t>. Līdz ar to ir nepieciešama pedagogu profesionālā pilnveide, pieredzes apmaiņa un stažēšanās, lai varētu sekmīgi atbilstošās nozarēs organizēt seminārus, konferences un tml.</w:t>
            </w:r>
            <w:r w:rsidR="00B100A2">
              <w:rPr>
                <w:sz w:val="26"/>
                <w:szCs w:val="26"/>
              </w:rPr>
              <w:t xml:space="preserve"> </w:t>
            </w:r>
            <w:r w:rsidR="0030166E" w:rsidRPr="00B100A2">
              <w:rPr>
                <w:sz w:val="26"/>
                <w:szCs w:val="26"/>
              </w:rPr>
              <w:t>Bez tam izglītības iestādēm</w:t>
            </w:r>
            <w:r w:rsidR="00CA2327" w:rsidRPr="00B100A2">
              <w:rPr>
                <w:sz w:val="26"/>
                <w:szCs w:val="26"/>
              </w:rPr>
              <w:t xml:space="preserve"> jānodrošina karjeras izglītības pasākumi un individuālās karjeras konsultācijas.</w:t>
            </w:r>
            <w:r w:rsidR="005416C5" w:rsidRPr="00B100A2">
              <w:rPr>
                <w:sz w:val="26"/>
                <w:szCs w:val="26"/>
              </w:rPr>
              <w:t xml:space="preserve"> </w:t>
            </w:r>
          </w:p>
          <w:p w:rsidR="00B100A2" w:rsidRPr="00B100A2" w:rsidRDefault="00B100A2" w:rsidP="006C7EFB">
            <w:pPr>
              <w:autoSpaceDE w:val="0"/>
              <w:autoSpaceDN w:val="0"/>
              <w:adjustRightInd w:val="0"/>
              <w:jc w:val="both"/>
              <w:rPr>
                <w:color w:val="000000"/>
                <w:sz w:val="26"/>
                <w:szCs w:val="26"/>
              </w:rPr>
            </w:pPr>
            <w:r w:rsidRPr="00B100A2">
              <w:rPr>
                <w:sz w:val="26"/>
                <w:szCs w:val="26"/>
              </w:rPr>
              <w:t>A</w:t>
            </w:r>
            <w:r w:rsidRPr="00B100A2">
              <w:rPr>
                <w:color w:val="000000"/>
                <w:sz w:val="26"/>
                <w:szCs w:val="26"/>
              </w:rPr>
              <w:t>ttiecībā uz K</w:t>
            </w:r>
            <w:r>
              <w:rPr>
                <w:color w:val="000000"/>
                <w:sz w:val="26"/>
                <w:szCs w:val="26"/>
              </w:rPr>
              <w:t xml:space="preserve">ultūras ministrijas </w:t>
            </w:r>
            <w:r w:rsidRPr="00B100A2">
              <w:rPr>
                <w:color w:val="000000"/>
                <w:sz w:val="26"/>
                <w:szCs w:val="26"/>
              </w:rPr>
              <w:t xml:space="preserve">padotībā esošajām profesionālās izglītības iestādēm </w:t>
            </w:r>
            <w:r>
              <w:rPr>
                <w:color w:val="000000"/>
                <w:sz w:val="26"/>
                <w:szCs w:val="26"/>
              </w:rPr>
              <w:t>n</w:t>
            </w:r>
            <w:r w:rsidRPr="00B100A2">
              <w:rPr>
                <w:color w:val="000000"/>
                <w:sz w:val="26"/>
                <w:szCs w:val="26"/>
              </w:rPr>
              <w:t>oteikumu projektā ir noteikti atsevišķi nosacījumi profesionālās izglītības kompetences centra statusa piešķiršanai, ievērojot nozares specifiku, izglītības iestāžu un izglītojamo skaitu izglītības iestādēs, kā arī pieejamo finansējumu.</w:t>
            </w:r>
          </w:p>
          <w:p w:rsidR="00B100A2" w:rsidRPr="00B100A2" w:rsidRDefault="00B100A2" w:rsidP="00E40250">
            <w:pPr>
              <w:autoSpaceDE w:val="0"/>
              <w:autoSpaceDN w:val="0"/>
              <w:adjustRightInd w:val="0"/>
              <w:jc w:val="both"/>
              <w:rPr>
                <w:color w:val="000000"/>
                <w:sz w:val="26"/>
                <w:szCs w:val="26"/>
              </w:rPr>
            </w:pPr>
            <w:r>
              <w:rPr>
                <w:color w:val="000000"/>
                <w:sz w:val="26"/>
                <w:szCs w:val="26"/>
              </w:rPr>
              <w:t>A</w:t>
            </w:r>
            <w:r w:rsidRPr="00B100A2">
              <w:rPr>
                <w:color w:val="000000"/>
                <w:sz w:val="26"/>
                <w:szCs w:val="26"/>
              </w:rPr>
              <w:t xml:space="preserve">tbilstoši Ministru kabineta 2008.gada 2.decembra noteikumiem Nr.990 „Noteikumi par Latvijas izglītības klasifikāciju” vienā iestādē ir pārstāvēta viena vai, augstākais, divas </w:t>
            </w:r>
            <w:r>
              <w:rPr>
                <w:color w:val="000000"/>
                <w:sz w:val="26"/>
                <w:szCs w:val="26"/>
              </w:rPr>
              <w:t>kultūrizglītības nozares. Tādēļ n</w:t>
            </w:r>
            <w:r w:rsidRPr="00B100A2">
              <w:rPr>
                <w:color w:val="000000"/>
                <w:sz w:val="26"/>
                <w:szCs w:val="26"/>
              </w:rPr>
              <w:t>oteikumu p</w:t>
            </w:r>
            <w:r w:rsidR="00E40250">
              <w:rPr>
                <w:color w:val="000000"/>
                <w:sz w:val="26"/>
                <w:szCs w:val="26"/>
              </w:rPr>
              <w:t>rojektā ir noteikti atšķirīgi Kultūras ministrijas</w:t>
            </w:r>
            <w:r w:rsidRPr="00B100A2">
              <w:rPr>
                <w:color w:val="000000"/>
                <w:sz w:val="26"/>
                <w:szCs w:val="26"/>
              </w:rPr>
              <w:t xml:space="preserve"> nozares jomai atbilstoši kompetences centra piešķiršanas kritēriji attiecībā uz izglītības programmu skaitu izglītības iestādē, sadarbības organizāciju nozaru skaitu un izglītojamo skaitu. </w:t>
            </w:r>
          </w:p>
          <w:p w:rsidR="00B100A2" w:rsidRPr="00B100A2" w:rsidRDefault="00B100A2" w:rsidP="00E40250">
            <w:pPr>
              <w:autoSpaceDE w:val="0"/>
              <w:autoSpaceDN w:val="0"/>
              <w:adjustRightInd w:val="0"/>
              <w:jc w:val="both"/>
              <w:rPr>
                <w:color w:val="000000"/>
                <w:sz w:val="26"/>
                <w:szCs w:val="26"/>
              </w:rPr>
            </w:pPr>
            <w:r w:rsidRPr="00B100A2">
              <w:rPr>
                <w:color w:val="000000"/>
                <w:sz w:val="26"/>
                <w:szCs w:val="26"/>
              </w:rPr>
              <w:t>I</w:t>
            </w:r>
            <w:r w:rsidR="00F06098">
              <w:rPr>
                <w:color w:val="000000"/>
                <w:sz w:val="26"/>
                <w:szCs w:val="26"/>
              </w:rPr>
              <w:t>zglītojamo skaits n</w:t>
            </w:r>
            <w:r w:rsidRPr="00B100A2">
              <w:rPr>
                <w:color w:val="000000"/>
                <w:sz w:val="26"/>
                <w:szCs w:val="26"/>
              </w:rPr>
              <w:t xml:space="preserve">oteikumu projektā paredzētajos </w:t>
            </w:r>
            <w:r w:rsidR="00E40250">
              <w:rPr>
                <w:color w:val="000000"/>
                <w:sz w:val="26"/>
                <w:szCs w:val="26"/>
              </w:rPr>
              <w:t xml:space="preserve">Kultūras ministrijas </w:t>
            </w:r>
            <w:r w:rsidRPr="00B100A2">
              <w:rPr>
                <w:color w:val="000000"/>
                <w:sz w:val="26"/>
                <w:szCs w:val="26"/>
              </w:rPr>
              <w:t>padotībā esošajos profesionālās izglītības iestāžu kompetences centros pašlaik ir sasniedzams, tikai apvienojot vairākas mūzikas vidusskolas. Lielāks iz</w:t>
            </w:r>
            <w:r w:rsidR="00E40250">
              <w:rPr>
                <w:color w:val="000000"/>
                <w:sz w:val="26"/>
                <w:szCs w:val="26"/>
              </w:rPr>
              <w:t>glītojamo skaits nekā noteikts n</w:t>
            </w:r>
            <w:r w:rsidRPr="00B100A2">
              <w:rPr>
                <w:color w:val="000000"/>
                <w:sz w:val="26"/>
                <w:szCs w:val="26"/>
              </w:rPr>
              <w:t>oteikumu p</w:t>
            </w:r>
            <w:r w:rsidR="00F06098">
              <w:rPr>
                <w:color w:val="000000"/>
                <w:sz w:val="26"/>
                <w:szCs w:val="26"/>
              </w:rPr>
              <w:t>rojekta 4</w:t>
            </w:r>
            <w:r w:rsidRPr="00B100A2">
              <w:rPr>
                <w:color w:val="000000"/>
                <w:sz w:val="26"/>
                <w:szCs w:val="26"/>
              </w:rPr>
              <w:t>.punktā profesionālās izglītības kompetences centros mūzikas specialitātes profesionālās vidējās izglītības iestādēs</w:t>
            </w:r>
            <w:r w:rsidR="00F06098">
              <w:rPr>
                <w:color w:val="000000"/>
                <w:sz w:val="26"/>
                <w:szCs w:val="26"/>
              </w:rPr>
              <w:t>, ņemot vērā nozares specifiku,</w:t>
            </w:r>
            <w:r w:rsidRPr="00B100A2">
              <w:rPr>
                <w:color w:val="000000"/>
                <w:sz w:val="26"/>
                <w:szCs w:val="26"/>
              </w:rPr>
              <w:t xml:space="preserve"> ir neracionāls. Līdzīgi</w:t>
            </w:r>
            <w:r w:rsidR="00E40250">
              <w:rPr>
                <w:color w:val="000000"/>
                <w:sz w:val="26"/>
                <w:szCs w:val="26"/>
              </w:rPr>
              <w:t xml:space="preserve"> noteikumi attiecināmi arī uz Kultūras ministrijas</w:t>
            </w:r>
            <w:r w:rsidRPr="00B100A2">
              <w:rPr>
                <w:color w:val="000000"/>
                <w:sz w:val="26"/>
                <w:szCs w:val="26"/>
              </w:rPr>
              <w:t xml:space="preserve"> padotības mākslas un dizaina vidusskolām.</w:t>
            </w:r>
          </w:p>
          <w:p w:rsidR="00B100A2" w:rsidRPr="0057306B" w:rsidRDefault="00E40250" w:rsidP="00C90CE9">
            <w:pPr>
              <w:jc w:val="both"/>
              <w:rPr>
                <w:color w:val="000000"/>
                <w:sz w:val="26"/>
                <w:szCs w:val="26"/>
              </w:rPr>
            </w:pPr>
            <w:r>
              <w:rPr>
                <w:color w:val="000000"/>
                <w:sz w:val="26"/>
                <w:szCs w:val="26"/>
              </w:rPr>
              <w:t>Kultūras ministrijas</w:t>
            </w:r>
            <w:r w:rsidR="00B100A2" w:rsidRPr="00B100A2">
              <w:rPr>
                <w:color w:val="000000"/>
                <w:sz w:val="26"/>
                <w:szCs w:val="26"/>
              </w:rPr>
              <w:t xml:space="preserve"> padotībā esošās profesionālās vidējās izglītības iestādes līdz šim nav reorganizētas kā profesionālās izglītības kompetences centri, jo skaitlisk</w:t>
            </w:r>
            <w:r w:rsidR="00D0719A">
              <w:rPr>
                <w:color w:val="000000"/>
                <w:sz w:val="26"/>
                <w:szCs w:val="26"/>
              </w:rPr>
              <w:t>i neatbilda spēkā esošo noteikumu Nr.148</w:t>
            </w:r>
            <w:r w:rsidR="00B100A2" w:rsidRPr="00B100A2">
              <w:rPr>
                <w:color w:val="000000"/>
                <w:sz w:val="26"/>
                <w:szCs w:val="26"/>
              </w:rPr>
              <w:t xml:space="preserve"> prasībām.</w:t>
            </w:r>
            <w:r w:rsidR="008A4C04" w:rsidRPr="008A4C04">
              <w:rPr>
                <w:sz w:val="26"/>
                <w:szCs w:val="26"/>
              </w:rPr>
              <w:t xml:space="preserve"> </w:t>
            </w:r>
          </w:p>
        </w:tc>
      </w:tr>
      <w:tr w:rsidR="00FD2051" w:rsidRPr="00C60580">
        <w:tc>
          <w:tcPr>
            <w:tcW w:w="255"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lastRenderedPageBreak/>
              <w:t>5.</w:t>
            </w:r>
          </w:p>
        </w:tc>
        <w:tc>
          <w:tcPr>
            <w:tcW w:w="1204"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Projekta izstrādē iesaistītās institūcijas</w:t>
            </w:r>
          </w:p>
        </w:tc>
        <w:tc>
          <w:tcPr>
            <w:tcW w:w="3541" w:type="pct"/>
            <w:tcBorders>
              <w:top w:val="outset" w:sz="6" w:space="0" w:color="000000"/>
              <w:left w:val="outset" w:sz="6" w:space="0" w:color="000000"/>
              <w:bottom w:val="outset" w:sz="6" w:space="0" w:color="000000"/>
              <w:right w:val="outset" w:sz="6" w:space="0" w:color="000000"/>
            </w:tcBorders>
          </w:tcPr>
          <w:p w:rsidR="00FD2051" w:rsidRPr="00D66A96" w:rsidRDefault="005A304F" w:rsidP="005875A3">
            <w:pPr>
              <w:pStyle w:val="NoSpacing"/>
              <w:jc w:val="both"/>
              <w:rPr>
                <w:sz w:val="26"/>
                <w:szCs w:val="26"/>
                <w:lang w:val="lv-LV"/>
              </w:rPr>
            </w:pPr>
            <w:r>
              <w:rPr>
                <w:rStyle w:val="Heading1Char"/>
                <w:rFonts w:eastAsia="Calibri"/>
                <w:b w:val="0"/>
                <w:sz w:val="26"/>
                <w:szCs w:val="26"/>
                <w:lang w:val="lv-LV"/>
              </w:rPr>
              <w:t>Izglītības un zinātnes m</w:t>
            </w:r>
            <w:r w:rsidR="008617D1" w:rsidRPr="00D66A96">
              <w:rPr>
                <w:rStyle w:val="Heading1Char"/>
                <w:rFonts w:eastAsia="Calibri"/>
                <w:b w:val="0"/>
                <w:sz w:val="26"/>
                <w:szCs w:val="26"/>
                <w:lang w:val="lv-LV"/>
              </w:rPr>
              <w:t>inistrija organizēja neformālu darba grupu, kurā</w:t>
            </w:r>
            <w:r w:rsidR="007C3470" w:rsidRPr="00D66A96">
              <w:rPr>
                <w:rStyle w:val="Heading1Char"/>
                <w:rFonts w:eastAsia="Calibri"/>
                <w:b w:val="0"/>
                <w:sz w:val="26"/>
                <w:szCs w:val="26"/>
                <w:lang w:val="lv-LV"/>
              </w:rPr>
              <w:t>,</w:t>
            </w:r>
            <w:r w:rsidR="008617D1" w:rsidRPr="00D66A96">
              <w:rPr>
                <w:rStyle w:val="Heading1Char"/>
                <w:rFonts w:eastAsia="Calibri"/>
                <w:b w:val="0"/>
                <w:sz w:val="26"/>
                <w:szCs w:val="26"/>
                <w:lang w:val="lv-LV"/>
              </w:rPr>
              <w:t xml:space="preserve"> izstrādājot no</w:t>
            </w:r>
            <w:r w:rsidR="008B223F" w:rsidRPr="00D66A96">
              <w:rPr>
                <w:rStyle w:val="Heading1Char"/>
                <w:rFonts w:eastAsia="Calibri"/>
                <w:b w:val="0"/>
                <w:sz w:val="26"/>
                <w:szCs w:val="26"/>
                <w:lang w:val="lv-LV"/>
              </w:rPr>
              <w:t>teikumu projektu, piedalījās pā</w:t>
            </w:r>
            <w:r w:rsidR="008617D1" w:rsidRPr="00D66A96">
              <w:rPr>
                <w:rStyle w:val="Heading1Char"/>
                <w:rFonts w:eastAsia="Calibri"/>
                <w:b w:val="0"/>
                <w:sz w:val="26"/>
                <w:szCs w:val="26"/>
                <w:lang w:val="lv-LV"/>
              </w:rPr>
              <w:t>rstāvji no Latvijas Darba devēju konfederācijas</w:t>
            </w:r>
            <w:r w:rsidR="00F60C57" w:rsidRPr="00D66A96">
              <w:rPr>
                <w:rStyle w:val="Heading1Char"/>
                <w:rFonts w:eastAsia="Calibri"/>
                <w:b w:val="0"/>
                <w:sz w:val="26"/>
                <w:szCs w:val="26"/>
                <w:lang w:val="lv-LV"/>
              </w:rPr>
              <w:t>,</w:t>
            </w:r>
            <w:r w:rsidR="008617D1" w:rsidRPr="00D66A96">
              <w:rPr>
                <w:rStyle w:val="Heading1Char"/>
                <w:rFonts w:eastAsia="Calibri"/>
                <w:b w:val="0"/>
                <w:sz w:val="26"/>
                <w:szCs w:val="26"/>
                <w:lang w:val="lv-LV"/>
              </w:rPr>
              <w:t xml:space="preserve"> paužot </w:t>
            </w:r>
            <w:r w:rsidR="008617D1" w:rsidRPr="00D66A96">
              <w:rPr>
                <w:rStyle w:val="Heading1Char"/>
                <w:rFonts w:eastAsia="Calibri"/>
                <w:b w:val="0"/>
                <w:sz w:val="26"/>
                <w:szCs w:val="26"/>
                <w:lang w:val="lv-LV"/>
              </w:rPr>
              <w:lastRenderedPageBreak/>
              <w:t>priekšlikumus attiecībā</w:t>
            </w:r>
            <w:r w:rsidR="008617D1" w:rsidRPr="00D66A96">
              <w:rPr>
                <w:b/>
                <w:sz w:val="26"/>
                <w:szCs w:val="26"/>
                <w:lang w:val="lv-LV"/>
              </w:rPr>
              <w:t xml:space="preserve"> </w:t>
            </w:r>
            <w:r w:rsidR="008617D1" w:rsidRPr="00D66A96">
              <w:rPr>
                <w:sz w:val="26"/>
                <w:szCs w:val="26"/>
                <w:lang w:val="lv-LV"/>
              </w:rPr>
              <w:t xml:space="preserve">uz kompetences centra metodiskajām </w:t>
            </w:r>
            <w:r w:rsidR="00D60243" w:rsidRPr="00D66A96">
              <w:rPr>
                <w:sz w:val="26"/>
                <w:szCs w:val="26"/>
                <w:lang w:val="lv-LV"/>
              </w:rPr>
              <w:t>funkcijām, kā arī pārstāvji no Profesionālās izglītības biedrības.</w:t>
            </w:r>
            <w:r w:rsidR="00210A5A" w:rsidRPr="00D66A96">
              <w:rPr>
                <w:sz w:val="26"/>
                <w:szCs w:val="26"/>
                <w:lang w:val="lv-LV"/>
              </w:rPr>
              <w:t xml:space="preserve"> </w:t>
            </w:r>
          </w:p>
        </w:tc>
      </w:tr>
      <w:tr w:rsidR="00FD2051" w:rsidRPr="00C60580">
        <w:tc>
          <w:tcPr>
            <w:tcW w:w="255"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lastRenderedPageBreak/>
              <w:t>6.</w:t>
            </w:r>
          </w:p>
        </w:tc>
        <w:tc>
          <w:tcPr>
            <w:tcW w:w="1204"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Iemesli, kādēļ netika nodrošināta sabiedrības līdzdalība</w:t>
            </w:r>
          </w:p>
        </w:tc>
        <w:tc>
          <w:tcPr>
            <w:tcW w:w="3541"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Projekts šo jomu neskar.</w:t>
            </w:r>
          </w:p>
        </w:tc>
      </w:tr>
      <w:tr w:rsidR="00FD2051" w:rsidRPr="00C60580">
        <w:tc>
          <w:tcPr>
            <w:tcW w:w="255"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7.</w:t>
            </w:r>
          </w:p>
        </w:tc>
        <w:tc>
          <w:tcPr>
            <w:tcW w:w="1204"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Cita informācija</w:t>
            </w:r>
          </w:p>
        </w:tc>
        <w:tc>
          <w:tcPr>
            <w:tcW w:w="3541" w:type="pct"/>
            <w:tcBorders>
              <w:top w:val="outset" w:sz="6" w:space="0" w:color="000000"/>
              <w:left w:val="outset" w:sz="6" w:space="0" w:color="000000"/>
              <w:bottom w:val="outset" w:sz="6" w:space="0" w:color="000000"/>
              <w:right w:val="outset" w:sz="6" w:space="0" w:color="000000"/>
            </w:tcBorders>
          </w:tcPr>
          <w:p w:rsidR="0057306B" w:rsidRPr="00B100A2" w:rsidRDefault="0057306B" w:rsidP="005A304F">
            <w:pPr>
              <w:autoSpaceDE w:val="0"/>
              <w:autoSpaceDN w:val="0"/>
              <w:adjustRightInd w:val="0"/>
              <w:jc w:val="both"/>
              <w:rPr>
                <w:color w:val="000000"/>
                <w:sz w:val="26"/>
                <w:szCs w:val="26"/>
              </w:rPr>
            </w:pPr>
            <w:r w:rsidRPr="00B100A2">
              <w:rPr>
                <w:color w:val="000000"/>
                <w:sz w:val="26"/>
                <w:szCs w:val="26"/>
              </w:rPr>
              <w:t xml:space="preserve">Priekšlikumi par kritērijiem attiecībā uz kompetences statusa piešķiršanu </w:t>
            </w:r>
            <w:r>
              <w:rPr>
                <w:color w:val="000000"/>
                <w:sz w:val="26"/>
                <w:szCs w:val="26"/>
              </w:rPr>
              <w:t>mūzikas un mākslas vidusskolām n</w:t>
            </w:r>
            <w:r w:rsidRPr="00B100A2">
              <w:rPr>
                <w:color w:val="000000"/>
                <w:sz w:val="26"/>
                <w:szCs w:val="26"/>
              </w:rPr>
              <w:t>oteikumu projektā izstrādāti, pamatojoties uz K</w:t>
            </w:r>
            <w:r w:rsidR="005A304F">
              <w:rPr>
                <w:color w:val="000000"/>
                <w:sz w:val="26"/>
                <w:szCs w:val="26"/>
              </w:rPr>
              <w:t>ultūras ministrijas</w:t>
            </w:r>
            <w:r w:rsidRPr="00B100A2">
              <w:rPr>
                <w:color w:val="000000"/>
                <w:sz w:val="26"/>
                <w:szCs w:val="26"/>
              </w:rPr>
              <w:t xml:space="preserve"> izveidotās darba grupas „Nacionālo kompetences centru izveidošanai profesionālās vidējās kultūrizglītības sistēmā” </w:t>
            </w:r>
            <w:r w:rsidR="00187AB1">
              <w:rPr>
                <w:color w:val="000000"/>
                <w:sz w:val="26"/>
                <w:szCs w:val="26"/>
              </w:rPr>
              <w:t xml:space="preserve">Šī </w:t>
            </w:r>
            <w:r w:rsidRPr="00B100A2">
              <w:rPr>
                <w:color w:val="000000"/>
                <w:sz w:val="26"/>
                <w:szCs w:val="26"/>
              </w:rPr>
              <w:t>darba grupa līdz 2012.gada d</w:t>
            </w:r>
            <w:r w:rsidR="00187AB1">
              <w:rPr>
                <w:color w:val="000000"/>
                <w:sz w:val="26"/>
                <w:szCs w:val="26"/>
              </w:rPr>
              <w:t>ecembrim sniegs priekšlikumus Kultūras ministrijas</w:t>
            </w:r>
            <w:r w:rsidRPr="00B100A2">
              <w:rPr>
                <w:color w:val="000000"/>
                <w:sz w:val="26"/>
                <w:szCs w:val="26"/>
              </w:rPr>
              <w:t xml:space="preserve"> padotībā esošo kompetences centru turpmākai izveidei profesionālās vidējās kultūrizglītības sistēmā, kas veicinās izglītības kvalitātes uzlabošanu un kultūras un radošo industriju nozarēs nodarbināto konkurētspēju.</w:t>
            </w:r>
          </w:p>
          <w:p w:rsidR="00FD2051" w:rsidRPr="00C60580" w:rsidRDefault="0057306B" w:rsidP="00BE041C">
            <w:pPr>
              <w:jc w:val="both"/>
              <w:rPr>
                <w:sz w:val="26"/>
                <w:szCs w:val="26"/>
              </w:rPr>
            </w:pPr>
            <w:r w:rsidRPr="00B100A2">
              <w:rPr>
                <w:color w:val="000000"/>
                <w:sz w:val="26"/>
                <w:szCs w:val="26"/>
              </w:rPr>
              <w:t>K</w:t>
            </w:r>
            <w:r w:rsidR="005A304F">
              <w:rPr>
                <w:color w:val="000000"/>
                <w:sz w:val="26"/>
                <w:szCs w:val="26"/>
              </w:rPr>
              <w:t>ultūras ministrijas</w:t>
            </w:r>
            <w:r w:rsidRPr="00B100A2">
              <w:rPr>
                <w:sz w:val="26"/>
                <w:szCs w:val="26"/>
              </w:rPr>
              <w:t xml:space="preserve"> </w:t>
            </w:r>
            <w:r w:rsidRPr="00B100A2">
              <w:rPr>
                <w:color w:val="000000"/>
                <w:sz w:val="26"/>
                <w:szCs w:val="26"/>
              </w:rPr>
              <w:t xml:space="preserve">politikas plānošanas dokuments, kas paredzēs izveidot kompetences centrus profesionālās vidējās kultūrizglītības sistēmā, ir izstrādes un apspriedes stadijā. </w:t>
            </w:r>
            <w:r w:rsidR="005A304F">
              <w:rPr>
                <w:color w:val="000000"/>
                <w:sz w:val="26"/>
                <w:szCs w:val="26"/>
              </w:rPr>
              <w:t>Šis dokuments noteiks Kultūras ministrijas</w:t>
            </w:r>
            <w:r w:rsidRPr="00B100A2">
              <w:rPr>
                <w:color w:val="000000"/>
                <w:sz w:val="26"/>
                <w:szCs w:val="26"/>
              </w:rPr>
              <w:t xml:space="preserve"> padotībā esošo kompetences centru profesionālās vidējās kultūrizglītības sistēmā izveidi. Atbilstoši apstiprinātajam pol</w:t>
            </w:r>
            <w:r w:rsidR="005A304F">
              <w:rPr>
                <w:color w:val="000000"/>
                <w:sz w:val="26"/>
                <w:szCs w:val="26"/>
              </w:rPr>
              <w:t>itikas plānošanas dokumentam, Kultūras ministrija</w:t>
            </w:r>
            <w:r w:rsidRPr="00B100A2">
              <w:rPr>
                <w:color w:val="000000"/>
                <w:sz w:val="26"/>
                <w:szCs w:val="26"/>
              </w:rPr>
              <w:t xml:space="preserve"> lems par padotībā esošo profesionālo vidusskolu kopējo skaitu, kā arī pa</w:t>
            </w:r>
            <w:r w:rsidR="005A304F">
              <w:rPr>
                <w:color w:val="000000"/>
                <w:sz w:val="26"/>
                <w:szCs w:val="26"/>
              </w:rPr>
              <w:t xml:space="preserve">r kompetences centru izveidi. Kultūras ministrija </w:t>
            </w:r>
            <w:r w:rsidRPr="00B100A2">
              <w:rPr>
                <w:color w:val="000000"/>
                <w:sz w:val="26"/>
                <w:szCs w:val="26"/>
              </w:rPr>
              <w:t xml:space="preserve"> plāno veidot kompetences centrus sākot ar 2014.gada janvāri. Provizoris</w:t>
            </w:r>
            <w:r w:rsidR="00BE041C">
              <w:rPr>
                <w:color w:val="000000"/>
                <w:sz w:val="26"/>
                <w:szCs w:val="26"/>
              </w:rPr>
              <w:t>ki 2014.gadā varētu izveidot</w:t>
            </w:r>
            <w:r>
              <w:rPr>
                <w:color w:val="000000"/>
                <w:sz w:val="26"/>
                <w:szCs w:val="26"/>
              </w:rPr>
              <w:t xml:space="preserve"> </w:t>
            </w:r>
            <w:r w:rsidRPr="00402134">
              <w:rPr>
                <w:color w:val="000000"/>
                <w:sz w:val="26"/>
                <w:szCs w:val="26"/>
                <w:u w:val="single"/>
              </w:rPr>
              <w:t>div</w:t>
            </w:r>
            <w:r w:rsidR="00BE041C">
              <w:rPr>
                <w:color w:val="000000"/>
                <w:sz w:val="26"/>
                <w:szCs w:val="26"/>
                <w:u w:val="single"/>
              </w:rPr>
              <w:t>us</w:t>
            </w:r>
            <w:r w:rsidRPr="00B100A2">
              <w:rPr>
                <w:color w:val="000000"/>
                <w:sz w:val="26"/>
                <w:szCs w:val="26"/>
              </w:rPr>
              <w:t xml:space="preserve"> profesionāl</w:t>
            </w:r>
            <w:r w:rsidR="00BE041C">
              <w:rPr>
                <w:color w:val="000000"/>
                <w:sz w:val="26"/>
                <w:szCs w:val="26"/>
              </w:rPr>
              <w:t>as izglītības kompetences centrus</w:t>
            </w:r>
            <w:r w:rsidRPr="00B100A2">
              <w:rPr>
                <w:color w:val="000000"/>
                <w:sz w:val="26"/>
                <w:szCs w:val="26"/>
              </w:rPr>
              <w:t>.</w:t>
            </w:r>
            <w:r w:rsidRPr="003E5537">
              <w:t xml:space="preserve"> </w:t>
            </w:r>
            <w:r w:rsidRPr="008A4C04">
              <w:rPr>
                <w:sz w:val="26"/>
                <w:szCs w:val="26"/>
              </w:rPr>
              <w:t>Plānotais vidēj</w:t>
            </w:r>
            <w:r w:rsidR="005A304F">
              <w:rPr>
                <w:sz w:val="26"/>
                <w:szCs w:val="26"/>
              </w:rPr>
              <w:t>ais izglītojamo skaits gadā divos Kultūras ministrijas</w:t>
            </w:r>
            <w:r w:rsidRPr="008A4C04">
              <w:rPr>
                <w:sz w:val="26"/>
                <w:szCs w:val="26"/>
              </w:rPr>
              <w:t xml:space="preserve"> pa</w:t>
            </w:r>
            <w:r w:rsidR="00BE041C">
              <w:rPr>
                <w:sz w:val="26"/>
                <w:szCs w:val="26"/>
              </w:rPr>
              <w:t>dotībā esošajos</w:t>
            </w:r>
            <w:r w:rsidRPr="008A4C04">
              <w:rPr>
                <w:sz w:val="26"/>
                <w:szCs w:val="26"/>
              </w:rPr>
              <w:t xml:space="preserve"> profesionālās izglītības kompetences centros profesionālās vidējās izglītības mūzikas un dejas programmās – 350 izglītojamie, savukārt mākslas un dizaina kompetences centrā – 650 izglītojamie.</w:t>
            </w:r>
          </w:p>
        </w:tc>
      </w:tr>
    </w:tbl>
    <w:p w:rsidR="00FD2051" w:rsidRPr="00C60580" w:rsidRDefault="00FD2051" w:rsidP="00784718">
      <w:pPr>
        <w:jc w:val="both"/>
        <w:rPr>
          <w:sz w:val="26"/>
          <w:szCs w:val="26"/>
          <w:highlight w:val="red"/>
        </w:rPr>
      </w:pP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450"/>
        <w:gridCol w:w="2148"/>
        <w:gridCol w:w="6353"/>
      </w:tblGrid>
      <w:tr w:rsidR="00FD2051" w:rsidRPr="00C60580">
        <w:tc>
          <w:tcPr>
            <w:tcW w:w="5000" w:type="pct"/>
            <w:gridSpan w:val="3"/>
            <w:tcBorders>
              <w:top w:val="single" w:sz="4" w:space="0" w:color="auto"/>
              <w:left w:val="single" w:sz="4" w:space="0" w:color="auto"/>
              <w:bottom w:val="outset" w:sz="6" w:space="0" w:color="000000"/>
              <w:right w:val="single" w:sz="4" w:space="0" w:color="auto"/>
            </w:tcBorders>
            <w:vAlign w:val="center"/>
          </w:tcPr>
          <w:p w:rsidR="00FD2051" w:rsidRPr="005D603A" w:rsidRDefault="00FD2051" w:rsidP="00784718">
            <w:pPr>
              <w:jc w:val="both"/>
              <w:rPr>
                <w:b/>
                <w:sz w:val="26"/>
                <w:szCs w:val="26"/>
              </w:rPr>
            </w:pPr>
            <w:r w:rsidRPr="005D603A">
              <w:rPr>
                <w:b/>
                <w:sz w:val="26"/>
                <w:szCs w:val="26"/>
              </w:rPr>
              <w:t>II. Tiesību akta projekta ietekme uz sabiedrību</w:t>
            </w:r>
          </w:p>
        </w:tc>
      </w:tr>
      <w:tr w:rsidR="00FD2051" w:rsidRPr="00C60580">
        <w:tc>
          <w:tcPr>
            <w:tcW w:w="251"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1.</w:t>
            </w:r>
          </w:p>
        </w:tc>
        <w:tc>
          <w:tcPr>
            <w:tcW w:w="120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Sabiedrības mērķgrupa</w:t>
            </w:r>
          </w:p>
        </w:tc>
        <w:tc>
          <w:tcPr>
            <w:tcW w:w="3549" w:type="pct"/>
            <w:tcBorders>
              <w:top w:val="outset" w:sz="6" w:space="0" w:color="000000"/>
              <w:left w:val="outset" w:sz="6" w:space="0" w:color="000000"/>
              <w:bottom w:val="outset" w:sz="6" w:space="0" w:color="000000"/>
              <w:right w:val="outset" w:sz="6" w:space="0" w:color="000000"/>
            </w:tcBorders>
          </w:tcPr>
          <w:p w:rsidR="0076486B" w:rsidRDefault="00FD2051" w:rsidP="007251A8">
            <w:pPr>
              <w:jc w:val="both"/>
              <w:rPr>
                <w:sz w:val="26"/>
                <w:szCs w:val="26"/>
              </w:rPr>
            </w:pPr>
            <w:r w:rsidRPr="00C60580">
              <w:rPr>
                <w:sz w:val="26"/>
                <w:szCs w:val="26"/>
              </w:rPr>
              <w:t>Noteikumu projekta tie</w:t>
            </w:r>
            <w:r w:rsidR="006B11B5">
              <w:rPr>
                <w:sz w:val="26"/>
                <w:szCs w:val="26"/>
              </w:rPr>
              <w:t xml:space="preserve">siskais regulējums attiecas uz </w:t>
            </w:r>
            <w:r w:rsidR="00074C6A">
              <w:rPr>
                <w:sz w:val="26"/>
                <w:szCs w:val="26"/>
              </w:rPr>
              <w:t xml:space="preserve"> </w:t>
            </w:r>
            <w:r w:rsidR="00AA794E">
              <w:rPr>
                <w:sz w:val="26"/>
                <w:szCs w:val="26"/>
              </w:rPr>
              <w:t xml:space="preserve">profesionālās </w:t>
            </w:r>
            <w:r w:rsidR="002953C3">
              <w:rPr>
                <w:sz w:val="26"/>
                <w:szCs w:val="26"/>
              </w:rPr>
              <w:t>izglītības iestādēm</w:t>
            </w:r>
            <w:r w:rsidRPr="00C60580">
              <w:rPr>
                <w:sz w:val="26"/>
                <w:szCs w:val="26"/>
              </w:rPr>
              <w:t>, kas īsteno profesionālās vidējās izglītības programmas, kas dod ie</w:t>
            </w:r>
            <w:r>
              <w:rPr>
                <w:sz w:val="26"/>
                <w:szCs w:val="26"/>
              </w:rPr>
              <w:t xml:space="preserve">spēju iegūt trešo profesionālās kvalifikācijas līmeni, kā arī </w:t>
            </w:r>
            <w:r w:rsidR="00EA100C">
              <w:rPr>
                <w:sz w:val="26"/>
                <w:szCs w:val="26"/>
              </w:rPr>
              <w:t>nozaru darba devēju organizācijām</w:t>
            </w:r>
            <w:r w:rsidRPr="00C60580">
              <w:rPr>
                <w:sz w:val="26"/>
                <w:szCs w:val="26"/>
              </w:rPr>
              <w:t xml:space="preserve"> visos Latvijas </w:t>
            </w:r>
            <w:r>
              <w:rPr>
                <w:sz w:val="26"/>
                <w:szCs w:val="26"/>
              </w:rPr>
              <w:t>novados</w:t>
            </w:r>
            <w:r w:rsidRPr="00C60580">
              <w:rPr>
                <w:sz w:val="26"/>
                <w:szCs w:val="26"/>
              </w:rPr>
              <w:t xml:space="preserve"> un pilsētās. </w:t>
            </w:r>
          </w:p>
          <w:p w:rsidR="00B47C88" w:rsidRPr="0076486B" w:rsidRDefault="006E5BDD" w:rsidP="0022198F">
            <w:pPr>
              <w:jc w:val="both"/>
              <w:rPr>
                <w:sz w:val="26"/>
                <w:szCs w:val="26"/>
              </w:rPr>
            </w:pPr>
            <w:r>
              <w:rPr>
                <w:sz w:val="26"/>
                <w:szCs w:val="26"/>
              </w:rPr>
              <w:t>L</w:t>
            </w:r>
            <w:r w:rsidR="0010676F">
              <w:rPr>
                <w:sz w:val="26"/>
                <w:szCs w:val="26"/>
              </w:rPr>
              <w:t>īdz 2015.gadam</w:t>
            </w:r>
            <w:r w:rsidR="0076486B" w:rsidRPr="0076486B">
              <w:rPr>
                <w:sz w:val="26"/>
                <w:szCs w:val="26"/>
              </w:rPr>
              <w:t xml:space="preserve"> </w:t>
            </w:r>
            <w:r>
              <w:rPr>
                <w:sz w:val="26"/>
                <w:szCs w:val="26"/>
              </w:rPr>
              <w:t xml:space="preserve">ir plānots </w:t>
            </w:r>
            <w:r w:rsidR="0076486B" w:rsidRPr="0076486B">
              <w:rPr>
                <w:sz w:val="26"/>
                <w:szCs w:val="26"/>
              </w:rPr>
              <w:t>piešķirt kompet</w:t>
            </w:r>
            <w:r w:rsidR="0036261C">
              <w:rPr>
                <w:sz w:val="26"/>
                <w:szCs w:val="26"/>
              </w:rPr>
              <w:t xml:space="preserve">ences centra </w:t>
            </w:r>
            <w:r w:rsidR="0036261C">
              <w:rPr>
                <w:sz w:val="26"/>
                <w:szCs w:val="26"/>
              </w:rPr>
              <w:lastRenderedPageBreak/>
              <w:t>statusu 14</w:t>
            </w:r>
            <w:r w:rsidR="00AE62CD">
              <w:rPr>
                <w:sz w:val="26"/>
                <w:szCs w:val="26"/>
              </w:rPr>
              <w:t xml:space="preserve"> </w:t>
            </w:r>
            <w:r w:rsidR="002F7F5E">
              <w:rPr>
                <w:sz w:val="26"/>
                <w:szCs w:val="26"/>
              </w:rPr>
              <w:t xml:space="preserve">Izglītības un zinātnes </w:t>
            </w:r>
            <w:r w:rsidR="00B26138">
              <w:rPr>
                <w:sz w:val="26"/>
                <w:szCs w:val="26"/>
              </w:rPr>
              <w:t xml:space="preserve">ministrijas padotībā esošajām </w:t>
            </w:r>
            <w:r w:rsidR="00AE62CD">
              <w:rPr>
                <w:sz w:val="26"/>
                <w:szCs w:val="26"/>
              </w:rPr>
              <w:t>izglītības iestādēm</w:t>
            </w:r>
            <w:r w:rsidR="0076486B" w:rsidRPr="0076486B">
              <w:rPr>
                <w:sz w:val="26"/>
                <w:szCs w:val="26"/>
              </w:rPr>
              <w:t xml:space="preserve">. </w:t>
            </w:r>
            <w:r w:rsidR="0036261C" w:rsidRPr="0076486B">
              <w:rPr>
                <w:sz w:val="26"/>
                <w:szCs w:val="26"/>
              </w:rPr>
              <w:t>Vidējais izglītojamo skaits četrpadsmit kompetences</w:t>
            </w:r>
            <w:r w:rsidR="0036261C">
              <w:rPr>
                <w:sz w:val="26"/>
                <w:szCs w:val="26"/>
              </w:rPr>
              <w:t xml:space="preserve"> centros gadā ir </w:t>
            </w:r>
            <w:r w:rsidR="00B47C88" w:rsidRPr="00C35E4A">
              <w:rPr>
                <w:sz w:val="26"/>
                <w:szCs w:val="26"/>
              </w:rPr>
              <w:t xml:space="preserve">ap </w:t>
            </w:r>
            <w:r w:rsidR="00C35E4A" w:rsidRPr="00C35E4A">
              <w:rPr>
                <w:sz w:val="26"/>
                <w:szCs w:val="26"/>
              </w:rPr>
              <w:t>14 913</w:t>
            </w:r>
            <w:r w:rsidR="00FC1AC0">
              <w:rPr>
                <w:sz w:val="26"/>
                <w:szCs w:val="26"/>
              </w:rPr>
              <w:t xml:space="preserve"> izglītojamie</w:t>
            </w:r>
            <w:r w:rsidR="0036261C" w:rsidRPr="00C35E4A">
              <w:rPr>
                <w:sz w:val="26"/>
                <w:szCs w:val="26"/>
              </w:rPr>
              <w:t>.</w:t>
            </w:r>
            <w:r w:rsidR="00F5451B">
              <w:rPr>
                <w:sz w:val="26"/>
                <w:szCs w:val="26"/>
              </w:rPr>
              <w:t xml:space="preserve"> Līdz 2014.gadam plānots piešķirt divām Kultūras ministrijas izglītības iestādēm ar vidējo izglītojamo skaitu gadā ap 1000.</w:t>
            </w:r>
          </w:p>
        </w:tc>
      </w:tr>
      <w:tr w:rsidR="00FD2051" w:rsidRPr="00C60580">
        <w:tc>
          <w:tcPr>
            <w:tcW w:w="251"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lastRenderedPageBreak/>
              <w:t>2.</w:t>
            </w:r>
          </w:p>
        </w:tc>
        <w:tc>
          <w:tcPr>
            <w:tcW w:w="120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Citas sabiedrības grupas (bez mērķgrupas), kuras tiesiskais regulējums arī ietekmē vai varētu ietekmēt.</w:t>
            </w:r>
          </w:p>
        </w:tc>
        <w:tc>
          <w:tcPr>
            <w:tcW w:w="3549" w:type="pct"/>
            <w:tcBorders>
              <w:top w:val="outset" w:sz="6" w:space="0" w:color="000000"/>
              <w:left w:val="outset" w:sz="6" w:space="0" w:color="000000"/>
              <w:bottom w:val="outset" w:sz="6" w:space="0" w:color="000000"/>
              <w:right w:val="outset" w:sz="6" w:space="0" w:color="000000"/>
            </w:tcBorders>
          </w:tcPr>
          <w:p w:rsidR="00FD2051" w:rsidRPr="00D565A1" w:rsidRDefault="00D565A1" w:rsidP="00D565A1">
            <w:pPr>
              <w:jc w:val="both"/>
              <w:rPr>
                <w:sz w:val="26"/>
                <w:szCs w:val="26"/>
              </w:rPr>
            </w:pPr>
            <w:r w:rsidRPr="00D565A1">
              <w:rPr>
                <w:sz w:val="26"/>
                <w:szCs w:val="26"/>
              </w:rPr>
              <w:t xml:space="preserve">Tiesiskais regulējums var ietekmēt  Latvijas pilsoni, kurš vēlas iegūt profesionālo kvalifikāciju vai pilnveidot savas profesionālās zināšanas, prasmes un kompetences. Tiesiskais regulējums var ietekmēt tos Latvijas reģionus, kuros tiek izveidoti kompetences centri, veicinot tieši reģionam raksturīgas nozares attīstību, nodrošinot ar atbilstošiem speciālistiem, kā arī piesaistot arvien vairāk izglītojamo no vispārizglītojošām izglītības iestādēm. </w:t>
            </w:r>
          </w:p>
        </w:tc>
      </w:tr>
      <w:tr w:rsidR="00FD2051" w:rsidRPr="00C60580">
        <w:tc>
          <w:tcPr>
            <w:tcW w:w="251"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3.</w:t>
            </w:r>
          </w:p>
        </w:tc>
        <w:tc>
          <w:tcPr>
            <w:tcW w:w="120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Tiesiskā regulējuma finansiālā ietekme</w:t>
            </w:r>
          </w:p>
        </w:tc>
        <w:tc>
          <w:tcPr>
            <w:tcW w:w="3549" w:type="pct"/>
            <w:tcBorders>
              <w:top w:val="outset" w:sz="6" w:space="0" w:color="000000"/>
              <w:left w:val="outset" w:sz="6" w:space="0" w:color="000000"/>
              <w:bottom w:val="outset" w:sz="6" w:space="0" w:color="000000"/>
              <w:right w:val="outset" w:sz="6" w:space="0" w:color="000000"/>
            </w:tcBorders>
          </w:tcPr>
          <w:p w:rsidR="00FD2051" w:rsidRPr="00C60580" w:rsidRDefault="00250FDB" w:rsidP="007948A8">
            <w:pPr>
              <w:jc w:val="both"/>
              <w:rPr>
                <w:sz w:val="26"/>
                <w:szCs w:val="26"/>
              </w:rPr>
            </w:pPr>
            <w:r>
              <w:rPr>
                <w:sz w:val="26"/>
                <w:szCs w:val="26"/>
              </w:rPr>
              <w:t>N</w:t>
            </w:r>
            <w:r w:rsidR="00FD2051" w:rsidRPr="00C60580">
              <w:rPr>
                <w:sz w:val="26"/>
                <w:szCs w:val="26"/>
              </w:rPr>
              <w:t xml:space="preserve">epieciešamais </w:t>
            </w:r>
            <w:r>
              <w:rPr>
                <w:sz w:val="26"/>
                <w:szCs w:val="26"/>
              </w:rPr>
              <w:t xml:space="preserve">papildu </w:t>
            </w:r>
            <w:r w:rsidR="00FD2051" w:rsidRPr="00C60580">
              <w:rPr>
                <w:sz w:val="26"/>
                <w:szCs w:val="26"/>
              </w:rPr>
              <w:t xml:space="preserve">finansējums </w:t>
            </w:r>
            <w:r w:rsidR="007948A8">
              <w:rPr>
                <w:sz w:val="26"/>
                <w:szCs w:val="26"/>
              </w:rPr>
              <w:t>Izglītības un zinātnes ministrijas padotībā esošajās profesionālās izglītības iestādēs</w:t>
            </w:r>
            <w:r w:rsidR="007948A8" w:rsidRPr="00C60580">
              <w:rPr>
                <w:sz w:val="26"/>
                <w:szCs w:val="26"/>
              </w:rPr>
              <w:t xml:space="preserve"> </w:t>
            </w:r>
            <w:r w:rsidR="00FD2051" w:rsidRPr="00C60580">
              <w:rPr>
                <w:sz w:val="26"/>
                <w:szCs w:val="26"/>
              </w:rPr>
              <w:t>tiks nod</w:t>
            </w:r>
            <w:r w:rsidR="00D366A3">
              <w:rPr>
                <w:sz w:val="26"/>
                <w:szCs w:val="26"/>
              </w:rPr>
              <w:t xml:space="preserve">rošināts </w:t>
            </w:r>
            <w:r w:rsidR="007948A8">
              <w:rPr>
                <w:sz w:val="26"/>
                <w:szCs w:val="26"/>
              </w:rPr>
              <w:t>šajās iestādēs</w:t>
            </w:r>
            <w:r w:rsidR="00FD2051" w:rsidRPr="00C60580">
              <w:rPr>
                <w:sz w:val="26"/>
                <w:szCs w:val="26"/>
              </w:rPr>
              <w:t xml:space="preserve"> piešķirtā valsts budžeta līdzekļu ietvaros.</w:t>
            </w:r>
          </w:p>
        </w:tc>
      </w:tr>
      <w:tr w:rsidR="00FD2051" w:rsidRPr="00C60580">
        <w:tc>
          <w:tcPr>
            <w:tcW w:w="251"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4.</w:t>
            </w:r>
          </w:p>
        </w:tc>
        <w:tc>
          <w:tcPr>
            <w:tcW w:w="120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Tiesiskā regulējuma nefinansiālā ietekme</w:t>
            </w:r>
          </w:p>
        </w:tc>
        <w:tc>
          <w:tcPr>
            <w:tcW w:w="3549" w:type="pct"/>
            <w:tcBorders>
              <w:top w:val="outset" w:sz="6" w:space="0" w:color="000000"/>
              <w:left w:val="outset" w:sz="6" w:space="0" w:color="000000"/>
              <w:bottom w:val="outset" w:sz="6" w:space="0" w:color="000000"/>
              <w:right w:val="outset" w:sz="6" w:space="0" w:color="000000"/>
            </w:tcBorders>
          </w:tcPr>
          <w:p w:rsidR="00FD2051" w:rsidRPr="002A0319" w:rsidRDefault="002A0319" w:rsidP="002A0319">
            <w:pPr>
              <w:jc w:val="both"/>
              <w:rPr>
                <w:sz w:val="26"/>
                <w:szCs w:val="26"/>
              </w:rPr>
            </w:pPr>
            <w:r w:rsidRPr="002A0319">
              <w:rPr>
                <w:sz w:val="26"/>
                <w:szCs w:val="26"/>
              </w:rPr>
              <w:t>Noteikumu projekt</w:t>
            </w:r>
            <w:r w:rsidR="00AF6865">
              <w:rPr>
                <w:sz w:val="26"/>
                <w:szCs w:val="26"/>
              </w:rPr>
              <w:t>s nodrošinās izglītības iestādei</w:t>
            </w:r>
            <w:r w:rsidRPr="002A0319">
              <w:rPr>
                <w:sz w:val="26"/>
                <w:szCs w:val="26"/>
              </w:rPr>
              <w:t xml:space="preserve"> ar augstākiem m</w:t>
            </w:r>
            <w:r w:rsidR="00AF6865">
              <w:rPr>
                <w:sz w:val="26"/>
                <w:szCs w:val="26"/>
              </w:rPr>
              <w:t>ācību darba rezultātiem iespēju</w:t>
            </w:r>
            <w:r w:rsidRPr="002A0319">
              <w:rPr>
                <w:sz w:val="26"/>
                <w:szCs w:val="26"/>
              </w:rPr>
              <w:t xml:space="preserve"> kompetences centra statusa ieguvei</w:t>
            </w:r>
            <w:r w:rsidR="007429CA" w:rsidRPr="002A0319">
              <w:rPr>
                <w:sz w:val="26"/>
                <w:szCs w:val="26"/>
              </w:rPr>
              <w:t>, kā ar</w:t>
            </w:r>
            <w:r w:rsidR="005E30E9" w:rsidRPr="002A0319">
              <w:rPr>
                <w:sz w:val="26"/>
                <w:szCs w:val="26"/>
              </w:rPr>
              <w:t>ī papildu</w:t>
            </w:r>
            <w:r w:rsidR="007429CA" w:rsidRPr="002A0319">
              <w:rPr>
                <w:sz w:val="26"/>
                <w:szCs w:val="26"/>
              </w:rPr>
              <w:t xml:space="preserve"> finansējumu pedagogiem par papildu funkciju veikšanu.</w:t>
            </w:r>
          </w:p>
        </w:tc>
      </w:tr>
      <w:tr w:rsidR="00FD2051" w:rsidRPr="00C60580">
        <w:tc>
          <w:tcPr>
            <w:tcW w:w="251"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5.</w:t>
            </w:r>
          </w:p>
        </w:tc>
        <w:tc>
          <w:tcPr>
            <w:tcW w:w="120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Administratīvās procedūras raksturojums</w:t>
            </w:r>
          </w:p>
        </w:tc>
        <w:tc>
          <w:tcPr>
            <w:tcW w:w="3549"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Projekts šo jomu neskar.</w:t>
            </w:r>
          </w:p>
        </w:tc>
      </w:tr>
      <w:tr w:rsidR="00FD2051" w:rsidRPr="00C60580">
        <w:tc>
          <w:tcPr>
            <w:tcW w:w="251"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6.</w:t>
            </w:r>
          </w:p>
        </w:tc>
        <w:tc>
          <w:tcPr>
            <w:tcW w:w="120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Administratīvo izmaksu monetārs novērtējums</w:t>
            </w:r>
          </w:p>
        </w:tc>
        <w:tc>
          <w:tcPr>
            <w:tcW w:w="3549"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Projekts šo jomu neskar.</w:t>
            </w:r>
          </w:p>
        </w:tc>
      </w:tr>
      <w:tr w:rsidR="00FD2051" w:rsidRPr="00C60580">
        <w:tc>
          <w:tcPr>
            <w:tcW w:w="251"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7.</w:t>
            </w:r>
          </w:p>
        </w:tc>
        <w:tc>
          <w:tcPr>
            <w:tcW w:w="120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Cita informācija</w:t>
            </w:r>
          </w:p>
        </w:tc>
        <w:tc>
          <w:tcPr>
            <w:tcW w:w="3549"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Nav.</w:t>
            </w:r>
          </w:p>
        </w:tc>
      </w:tr>
    </w:tbl>
    <w:p w:rsidR="00FD2051" w:rsidRPr="00C60580" w:rsidRDefault="00FD2051" w:rsidP="00784718">
      <w:pPr>
        <w:jc w:val="both"/>
        <w:rPr>
          <w:sz w:val="26"/>
          <w:szCs w:val="26"/>
          <w:highlight w:val="red"/>
        </w:rPr>
      </w:pPr>
    </w:p>
    <w:tbl>
      <w:tblPr>
        <w:tblW w:w="8931" w:type="dxa"/>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1988"/>
        <w:gridCol w:w="1372"/>
        <w:gridCol w:w="1518"/>
        <w:gridCol w:w="1368"/>
        <w:gridCol w:w="1445"/>
        <w:gridCol w:w="1240"/>
      </w:tblGrid>
      <w:tr w:rsidR="00FD2051" w:rsidRPr="00C60580" w:rsidTr="00E21634">
        <w:trPr>
          <w:trHeight w:val="149"/>
        </w:trPr>
        <w:tc>
          <w:tcPr>
            <w:tcW w:w="5000" w:type="pct"/>
            <w:gridSpan w:val="6"/>
            <w:tcBorders>
              <w:top w:val="outset" w:sz="6" w:space="0" w:color="000000"/>
              <w:left w:val="outset" w:sz="6" w:space="0" w:color="000000"/>
              <w:bottom w:val="outset" w:sz="6" w:space="0" w:color="000000"/>
              <w:right w:val="outset" w:sz="6" w:space="0" w:color="auto"/>
            </w:tcBorders>
          </w:tcPr>
          <w:p w:rsidR="00FD2051" w:rsidRPr="005D603A" w:rsidRDefault="00FD2051" w:rsidP="00784718">
            <w:pPr>
              <w:jc w:val="both"/>
              <w:rPr>
                <w:b/>
                <w:sz w:val="26"/>
                <w:szCs w:val="26"/>
              </w:rPr>
            </w:pPr>
            <w:r w:rsidRPr="005D603A">
              <w:rPr>
                <w:b/>
                <w:sz w:val="26"/>
                <w:szCs w:val="26"/>
              </w:rPr>
              <w:t>III. Tiesību akta projekta ietekme uz valsts budžetu un pašvaldību budžetiem</w:t>
            </w:r>
          </w:p>
        </w:tc>
      </w:tr>
      <w:tr w:rsidR="00FD2051" w:rsidRPr="00C60580" w:rsidTr="00E21634">
        <w:trPr>
          <w:cantSplit/>
          <w:trHeight w:val="149"/>
        </w:trPr>
        <w:tc>
          <w:tcPr>
            <w:tcW w:w="1113" w:type="pct"/>
            <w:vMerge w:val="restart"/>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rPr>
            </w:pPr>
            <w:r w:rsidRPr="00C60580">
              <w:rPr>
                <w:sz w:val="26"/>
                <w:szCs w:val="26"/>
              </w:rPr>
              <w:t>Rādītāji</w:t>
            </w:r>
          </w:p>
        </w:tc>
        <w:tc>
          <w:tcPr>
            <w:tcW w:w="1618" w:type="pct"/>
            <w:gridSpan w:val="2"/>
            <w:vMerge w:val="restart"/>
            <w:tcBorders>
              <w:top w:val="outset" w:sz="6" w:space="0" w:color="000000"/>
              <w:left w:val="outset" w:sz="6" w:space="0" w:color="000000"/>
              <w:bottom w:val="outset" w:sz="6" w:space="0" w:color="000000"/>
              <w:right w:val="outset" w:sz="6" w:space="0" w:color="000000"/>
            </w:tcBorders>
            <w:vAlign w:val="center"/>
          </w:tcPr>
          <w:p w:rsidR="00FD2051" w:rsidRPr="00C60580" w:rsidRDefault="000F4122" w:rsidP="00784718">
            <w:pPr>
              <w:jc w:val="both"/>
              <w:rPr>
                <w:sz w:val="26"/>
                <w:szCs w:val="26"/>
              </w:rPr>
            </w:pPr>
            <w:r>
              <w:rPr>
                <w:sz w:val="26"/>
                <w:szCs w:val="26"/>
              </w:rPr>
              <w:t>2012</w:t>
            </w:r>
          </w:p>
          <w:p w:rsidR="00FD2051" w:rsidRPr="00C60580" w:rsidRDefault="00FD2051" w:rsidP="00784718">
            <w:pPr>
              <w:jc w:val="both"/>
              <w:rPr>
                <w:sz w:val="26"/>
                <w:szCs w:val="26"/>
              </w:rPr>
            </w:pPr>
          </w:p>
        </w:tc>
        <w:tc>
          <w:tcPr>
            <w:tcW w:w="2269" w:type="pct"/>
            <w:gridSpan w:val="3"/>
            <w:tcBorders>
              <w:top w:val="outset" w:sz="6" w:space="0" w:color="000000"/>
              <w:left w:val="outset" w:sz="6" w:space="0" w:color="000000"/>
              <w:bottom w:val="outset" w:sz="6" w:space="0" w:color="000000"/>
              <w:right w:val="outset" w:sz="6" w:space="0" w:color="auto"/>
            </w:tcBorders>
            <w:vAlign w:val="center"/>
          </w:tcPr>
          <w:p w:rsidR="00FD2051" w:rsidRPr="00C60580" w:rsidRDefault="00FD2051" w:rsidP="00784718">
            <w:pPr>
              <w:jc w:val="both"/>
              <w:rPr>
                <w:sz w:val="26"/>
                <w:szCs w:val="26"/>
              </w:rPr>
            </w:pPr>
            <w:r w:rsidRPr="00C60580">
              <w:rPr>
                <w:sz w:val="26"/>
                <w:szCs w:val="26"/>
              </w:rPr>
              <w:t>Turpmākie trīs gadi (tūkst. latu)</w:t>
            </w:r>
          </w:p>
        </w:tc>
      </w:tr>
      <w:tr w:rsidR="00FD2051" w:rsidRPr="00C60580" w:rsidTr="00E21634">
        <w:trPr>
          <w:cantSplit/>
          <w:trHeight w:val="149"/>
        </w:trPr>
        <w:tc>
          <w:tcPr>
            <w:tcW w:w="1113" w:type="pct"/>
            <w:vMerge/>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rPr>
            </w:pPr>
          </w:p>
        </w:tc>
        <w:tc>
          <w:tcPr>
            <w:tcW w:w="1618" w:type="pct"/>
            <w:gridSpan w:val="2"/>
            <w:vMerge/>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rPr>
            </w:pPr>
          </w:p>
        </w:tc>
        <w:tc>
          <w:tcPr>
            <w:tcW w:w="766" w:type="pct"/>
            <w:tcBorders>
              <w:top w:val="outset" w:sz="6" w:space="0" w:color="000000"/>
              <w:left w:val="outset" w:sz="6" w:space="0" w:color="000000"/>
              <w:bottom w:val="outset" w:sz="6" w:space="0" w:color="000000"/>
              <w:right w:val="outset" w:sz="6" w:space="0" w:color="000000"/>
            </w:tcBorders>
            <w:vAlign w:val="center"/>
          </w:tcPr>
          <w:p w:rsidR="00FD2051" w:rsidRPr="00C60580" w:rsidRDefault="000F4122" w:rsidP="00784718">
            <w:pPr>
              <w:jc w:val="both"/>
              <w:rPr>
                <w:sz w:val="26"/>
                <w:szCs w:val="26"/>
              </w:rPr>
            </w:pPr>
            <w:r>
              <w:rPr>
                <w:sz w:val="26"/>
                <w:szCs w:val="26"/>
              </w:rPr>
              <w:t>2013</w:t>
            </w:r>
          </w:p>
        </w:tc>
        <w:tc>
          <w:tcPr>
            <w:tcW w:w="809" w:type="pct"/>
            <w:tcBorders>
              <w:top w:val="outset" w:sz="6" w:space="0" w:color="000000"/>
              <w:left w:val="outset" w:sz="6" w:space="0" w:color="000000"/>
              <w:bottom w:val="outset" w:sz="6" w:space="0" w:color="000000"/>
              <w:right w:val="outset" w:sz="6" w:space="0" w:color="000000"/>
            </w:tcBorders>
            <w:vAlign w:val="center"/>
          </w:tcPr>
          <w:p w:rsidR="00FD2051" w:rsidRPr="00C60580" w:rsidRDefault="000F4122" w:rsidP="00784718">
            <w:pPr>
              <w:jc w:val="both"/>
              <w:rPr>
                <w:sz w:val="26"/>
                <w:szCs w:val="26"/>
              </w:rPr>
            </w:pPr>
            <w:r>
              <w:rPr>
                <w:sz w:val="26"/>
                <w:szCs w:val="26"/>
              </w:rPr>
              <w:t>2014</w:t>
            </w:r>
          </w:p>
        </w:tc>
        <w:tc>
          <w:tcPr>
            <w:tcW w:w="694" w:type="pct"/>
            <w:tcBorders>
              <w:top w:val="outset" w:sz="6" w:space="0" w:color="000000"/>
              <w:left w:val="outset" w:sz="6" w:space="0" w:color="000000"/>
              <w:bottom w:val="outset" w:sz="6" w:space="0" w:color="000000"/>
              <w:right w:val="outset" w:sz="6" w:space="0" w:color="auto"/>
            </w:tcBorders>
            <w:vAlign w:val="center"/>
          </w:tcPr>
          <w:p w:rsidR="00FD2051" w:rsidRPr="00C60580" w:rsidRDefault="000F4122" w:rsidP="00784718">
            <w:pPr>
              <w:jc w:val="both"/>
              <w:rPr>
                <w:sz w:val="26"/>
                <w:szCs w:val="26"/>
              </w:rPr>
            </w:pPr>
            <w:r>
              <w:rPr>
                <w:sz w:val="26"/>
                <w:szCs w:val="26"/>
              </w:rPr>
              <w:t>2015</w:t>
            </w:r>
          </w:p>
        </w:tc>
      </w:tr>
      <w:tr w:rsidR="00FD2051" w:rsidRPr="00C60580" w:rsidTr="00E21634">
        <w:trPr>
          <w:cantSplit/>
          <w:trHeight w:val="149"/>
        </w:trPr>
        <w:tc>
          <w:tcPr>
            <w:tcW w:w="1113" w:type="pct"/>
            <w:vMerge/>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rPr>
            </w:pPr>
          </w:p>
        </w:tc>
        <w:tc>
          <w:tcPr>
            <w:tcW w:w="768" w:type="pct"/>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rPr>
            </w:pPr>
            <w:r w:rsidRPr="00C60580">
              <w:rPr>
                <w:sz w:val="26"/>
                <w:szCs w:val="26"/>
              </w:rPr>
              <w:t>Saskaņā ar valsts budžetu kārtējam gadam</w:t>
            </w:r>
          </w:p>
        </w:tc>
        <w:tc>
          <w:tcPr>
            <w:tcW w:w="850" w:type="pct"/>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rPr>
            </w:pPr>
            <w:r w:rsidRPr="00C60580">
              <w:rPr>
                <w:sz w:val="26"/>
                <w:szCs w:val="26"/>
              </w:rPr>
              <w:t>Izmaiņas kārtējā gadā, salīdzinot ar budžetu kārtējam gadam</w:t>
            </w:r>
          </w:p>
        </w:tc>
        <w:tc>
          <w:tcPr>
            <w:tcW w:w="766" w:type="pct"/>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0C5D12">
            <w:pPr>
              <w:jc w:val="both"/>
              <w:rPr>
                <w:sz w:val="26"/>
                <w:szCs w:val="26"/>
              </w:rPr>
            </w:pPr>
            <w:r w:rsidRPr="00C60580">
              <w:rPr>
                <w:sz w:val="26"/>
                <w:szCs w:val="26"/>
              </w:rPr>
              <w:t xml:space="preserve">Izmaiņas, salīdzinot ar </w:t>
            </w:r>
            <w:r>
              <w:rPr>
                <w:sz w:val="26"/>
                <w:szCs w:val="26"/>
              </w:rPr>
              <w:t>201</w:t>
            </w:r>
            <w:r w:rsidR="000C5D12">
              <w:rPr>
                <w:sz w:val="26"/>
                <w:szCs w:val="26"/>
              </w:rPr>
              <w:t>2</w:t>
            </w:r>
            <w:r w:rsidRPr="00C60580">
              <w:rPr>
                <w:sz w:val="26"/>
                <w:szCs w:val="26"/>
              </w:rPr>
              <w:t xml:space="preserve"> gadu</w:t>
            </w:r>
          </w:p>
        </w:tc>
        <w:tc>
          <w:tcPr>
            <w:tcW w:w="809" w:type="pct"/>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0C5D12">
            <w:pPr>
              <w:jc w:val="both"/>
              <w:rPr>
                <w:sz w:val="26"/>
                <w:szCs w:val="26"/>
              </w:rPr>
            </w:pPr>
            <w:r w:rsidRPr="00C60580">
              <w:rPr>
                <w:sz w:val="26"/>
                <w:szCs w:val="26"/>
              </w:rPr>
              <w:t>Izmaiņas, salīdzinot ar</w:t>
            </w:r>
            <w:r>
              <w:rPr>
                <w:sz w:val="26"/>
                <w:szCs w:val="26"/>
              </w:rPr>
              <w:t xml:space="preserve"> 201</w:t>
            </w:r>
            <w:r w:rsidR="008F5EDD">
              <w:rPr>
                <w:sz w:val="26"/>
                <w:szCs w:val="26"/>
              </w:rPr>
              <w:t>2</w:t>
            </w:r>
            <w:r w:rsidRPr="00C60580">
              <w:rPr>
                <w:sz w:val="26"/>
                <w:szCs w:val="26"/>
              </w:rPr>
              <w:t xml:space="preserve"> gadu</w:t>
            </w:r>
          </w:p>
        </w:tc>
        <w:tc>
          <w:tcPr>
            <w:tcW w:w="694" w:type="pct"/>
            <w:tcBorders>
              <w:top w:val="outset" w:sz="6" w:space="0" w:color="000000"/>
              <w:left w:val="outset" w:sz="6" w:space="0" w:color="000000"/>
              <w:bottom w:val="outset" w:sz="6" w:space="0" w:color="000000"/>
              <w:right w:val="outset" w:sz="6" w:space="0" w:color="auto"/>
            </w:tcBorders>
            <w:vAlign w:val="center"/>
          </w:tcPr>
          <w:p w:rsidR="00FD2051" w:rsidRPr="00C60580" w:rsidRDefault="00FD2051" w:rsidP="008F5EDD">
            <w:pPr>
              <w:jc w:val="both"/>
              <w:rPr>
                <w:sz w:val="26"/>
                <w:szCs w:val="26"/>
              </w:rPr>
            </w:pPr>
            <w:r w:rsidRPr="00C60580">
              <w:rPr>
                <w:sz w:val="26"/>
                <w:szCs w:val="26"/>
              </w:rPr>
              <w:t xml:space="preserve">Izmaiņas, salīdzinot ar </w:t>
            </w:r>
            <w:r>
              <w:rPr>
                <w:sz w:val="26"/>
                <w:szCs w:val="26"/>
              </w:rPr>
              <w:t>201</w:t>
            </w:r>
            <w:r w:rsidR="008F5EDD">
              <w:rPr>
                <w:sz w:val="26"/>
                <w:szCs w:val="26"/>
              </w:rPr>
              <w:t>2</w:t>
            </w:r>
            <w:r w:rsidRPr="00C60580">
              <w:rPr>
                <w:sz w:val="26"/>
                <w:szCs w:val="26"/>
              </w:rPr>
              <w:t xml:space="preserve"> gadu</w:t>
            </w:r>
          </w:p>
        </w:tc>
      </w:tr>
      <w:tr w:rsidR="00FD2051" w:rsidRPr="00C60580" w:rsidTr="00E21634">
        <w:trPr>
          <w:trHeight w:val="149"/>
        </w:trPr>
        <w:tc>
          <w:tcPr>
            <w:tcW w:w="1113" w:type="pct"/>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rPr>
            </w:pPr>
            <w:r w:rsidRPr="00C60580">
              <w:rPr>
                <w:sz w:val="26"/>
                <w:szCs w:val="26"/>
              </w:rPr>
              <w:t>1</w:t>
            </w:r>
          </w:p>
        </w:tc>
        <w:tc>
          <w:tcPr>
            <w:tcW w:w="768" w:type="pct"/>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rPr>
            </w:pPr>
            <w:r w:rsidRPr="00C60580">
              <w:rPr>
                <w:sz w:val="26"/>
                <w:szCs w:val="26"/>
              </w:rPr>
              <w:t>2</w:t>
            </w:r>
          </w:p>
        </w:tc>
        <w:tc>
          <w:tcPr>
            <w:tcW w:w="850" w:type="pct"/>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rPr>
            </w:pPr>
            <w:r w:rsidRPr="00C60580">
              <w:rPr>
                <w:sz w:val="26"/>
                <w:szCs w:val="26"/>
              </w:rPr>
              <w:t>3</w:t>
            </w:r>
          </w:p>
        </w:tc>
        <w:tc>
          <w:tcPr>
            <w:tcW w:w="766" w:type="pct"/>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rPr>
            </w:pPr>
            <w:r w:rsidRPr="00C60580">
              <w:rPr>
                <w:sz w:val="26"/>
                <w:szCs w:val="26"/>
              </w:rPr>
              <w:t>4</w:t>
            </w:r>
          </w:p>
        </w:tc>
        <w:tc>
          <w:tcPr>
            <w:tcW w:w="809" w:type="pct"/>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rPr>
            </w:pPr>
            <w:r w:rsidRPr="00C60580">
              <w:rPr>
                <w:sz w:val="26"/>
                <w:szCs w:val="26"/>
              </w:rPr>
              <w:t>5</w:t>
            </w:r>
          </w:p>
        </w:tc>
        <w:tc>
          <w:tcPr>
            <w:tcW w:w="694" w:type="pct"/>
            <w:tcBorders>
              <w:top w:val="outset" w:sz="6" w:space="0" w:color="000000"/>
              <w:left w:val="outset" w:sz="6" w:space="0" w:color="000000"/>
              <w:bottom w:val="outset" w:sz="6" w:space="0" w:color="000000"/>
              <w:right w:val="outset" w:sz="6" w:space="0" w:color="auto"/>
            </w:tcBorders>
            <w:vAlign w:val="center"/>
          </w:tcPr>
          <w:p w:rsidR="00FD2051" w:rsidRPr="00C60580" w:rsidRDefault="00FD2051" w:rsidP="00784718">
            <w:pPr>
              <w:jc w:val="both"/>
              <w:rPr>
                <w:sz w:val="26"/>
                <w:szCs w:val="26"/>
              </w:rPr>
            </w:pPr>
            <w:r w:rsidRPr="00C60580">
              <w:rPr>
                <w:sz w:val="26"/>
                <w:szCs w:val="26"/>
              </w:rPr>
              <w:t>6</w:t>
            </w:r>
          </w:p>
        </w:tc>
      </w:tr>
      <w:tr w:rsidR="00FD2051" w:rsidRPr="00C60580" w:rsidTr="00E21634">
        <w:trPr>
          <w:trHeight w:val="149"/>
        </w:trPr>
        <w:tc>
          <w:tcPr>
            <w:tcW w:w="1113"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 xml:space="preserve">1. Budžeta </w:t>
            </w:r>
            <w:r w:rsidRPr="00C60580">
              <w:rPr>
                <w:sz w:val="26"/>
                <w:szCs w:val="26"/>
              </w:rPr>
              <w:lastRenderedPageBreak/>
              <w:t>ieņēmumi:</w:t>
            </w:r>
          </w:p>
        </w:tc>
        <w:tc>
          <w:tcPr>
            <w:tcW w:w="768"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p>
        </w:tc>
        <w:tc>
          <w:tcPr>
            <w:tcW w:w="85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p>
        </w:tc>
        <w:tc>
          <w:tcPr>
            <w:tcW w:w="766"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p>
        </w:tc>
        <w:tc>
          <w:tcPr>
            <w:tcW w:w="809"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p>
        </w:tc>
        <w:tc>
          <w:tcPr>
            <w:tcW w:w="694" w:type="pct"/>
            <w:tcBorders>
              <w:top w:val="outset" w:sz="6" w:space="0" w:color="000000"/>
              <w:left w:val="outset" w:sz="6" w:space="0" w:color="000000"/>
              <w:bottom w:val="outset" w:sz="6" w:space="0" w:color="000000"/>
              <w:right w:val="outset" w:sz="6" w:space="0" w:color="auto"/>
            </w:tcBorders>
          </w:tcPr>
          <w:p w:rsidR="00FD2051" w:rsidRPr="00C60580" w:rsidRDefault="00FD2051" w:rsidP="00784718">
            <w:pPr>
              <w:jc w:val="both"/>
              <w:rPr>
                <w:sz w:val="26"/>
                <w:szCs w:val="26"/>
              </w:rPr>
            </w:pPr>
          </w:p>
        </w:tc>
      </w:tr>
      <w:tr w:rsidR="00FD2051" w:rsidRPr="00C60580" w:rsidTr="00E21634">
        <w:trPr>
          <w:trHeight w:val="149"/>
        </w:trPr>
        <w:tc>
          <w:tcPr>
            <w:tcW w:w="1113"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lastRenderedPageBreak/>
              <w:t>1.1. valsts pamatbudžets, tai skaitā ieņēmumi no maksas pakalpojumiem un citi pašu ieņēmumi</w:t>
            </w:r>
          </w:p>
        </w:tc>
        <w:tc>
          <w:tcPr>
            <w:tcW w:w="768"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5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766"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09"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694" w:type="pct"/>
            <w:tcBorders>
              <w:top w:val="outset" w:sz="6" w:space="0" w:color="000000"/>
              <w:left w:val="outset" w:sz="6" w:space="0" w:color="000000"/>
              <w:bottom w:val="outset" w:sz="6" w:space="0" w:color="000000"/>
              <w:right w:val="outset" w:sz="6" w:space="0" w:color="auto"/>
            </w:tcBorders>
          </w:tcPr>
          <w:p w:rsidR="00FD2051" w:rsidRPr="00C60580" w:rsidRDefault="00FD2051" w:rsidP="00784718">
            <w:pPr>
              <w:jc w:val="both"/>
              <w:rPr>
                <w:sz w:val="26"/>
                <w:szCs w:val="26"/>
              </w:rPr>
            </w:pPr>
            <w:r w:rsidRPr="00C60580">
              <w:rPr>
                <w:sz w:val="26"/>
                <w:szCs w:val="26"/>
              </w:rPr>
              <w:t>0</w:t>
            </w:r>
          </w:p>
        </w:tc>
      </w:tr>
      <w:tr w:rsidR="00FD2051" w:rsidRPr="00C60580" w:rsidTr="00E21634">
        <w:trPr>
          <w:trHeight w:val="149"/>
        </w:trPr>
        <w:tc>
          <w:tcPr>
            <w:tcW w:w="1113"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1.2. valsts speciālais budžets</w:t>
            </w:r>
          </w:p>
        </w:tc>
        <w:tc>
          <w:tcPr>
            <w:tcW w:w="768"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5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766"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09"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694" w:type="pct"/>
            <w:tcBorders>
              <w:top w:val="outset" w:sz="6" w:space="0" w:color="000000"/>
              <w:left w:val="outset" w:sz="6" w:space="0" w:color="000000"/>
              <w:bottom w:val="outset" w:sz="6" w:space="0" w:color="000000"/>
              <w:right w:val="outset" w:sz="6" w:space="0" w:color="auto"/>
            </w:tcBorders>
          </w:tcPr>
          <w:p w:rsidR="00FD2051" w:rsidRPr="00C60580" w:rsidRDefault="00FD2051" w:rsidP="00784718">
            <w:pPr>
              <w:jc w:val="both"/>
              <w:rPr>
                <w:sz w:val="26"/>
                <w:szCs w:val="26"/>
              </w:rPr>
            </w:pPr>
            <w:r w:rsidRPr="00C60580">
              <w:rPr>
                <w:sz w:val="26"/>
                <w:szCs w:val="26"/>
              </w:rPr>
              <w:t>0</w:t>
            </w:r>
          </w:p>
        </w:tc>
      </w:tr>
      <w:tr w:rsidR="00FD2051" w:rsidRPr="00C60580" w:rsidTr="00E21634">
        <w:trPr>
          <w:trHeight w:val="149"/>
        </w:trPr>
        <w:tc>
          <w:tcPr>
            <w:tcW w:w="1113"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1.3. pašvaldību budžets</w:t>
            </w:r>
          </w:p>
        </w:tc>
        <w:tc>
          <w:tcPr>
            <w:tcW w:w="768"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5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766"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09"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694" w:type="pct"/>
            <w:tcBorders>
              <w:top w:val="outset" w:sz="6" w:space="0" w:color="000000"/>
              <w:left w:val="outset" w:sz="6" w:space="0" w:color="000000"/>
              <w:bottom w:val="outset" w:sz="6" w:space="0" w:color="000000"/>
              <w:right w:val="outset" w:sz="6" w:space="0" w:color="auto"/>
            </w:tcBorders>
          </w:tcPr>
          <w:p w:rsidR="00FD2051" w:rsidRPr="00C60580" w:rsidRDefault="00FD2051" w:rsidP="00784718">
            <w:pPr>
              <w:jc w:val="both"/>
              <w:rPr>
                <w:sz w:val="26"/>
                <w:szCs w:val="26"/>
              </w:rPr>
            </w:pPr>
            <w:r w:rsidRPr="00C60580">
              <w:rPr>
                <w:sz w:val="26"/>
                <w:szCs w:val="26"/>
              </w:rPr>
              <w:t>0</w:t>
            </w:r>
          </w:p>
        </w:tc>
      </w:tr>
      <w:tr w:rsidR="00FD2051" w:rsidRPr="00C60580" w:rsidTr="00E21634">
        <w:trPr>
          <w:trHeight w:val="149"/>
        </w:trPr>
        <w:tc>
          <w:tcPr>
            <w:tcW w:w="1113"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2. Budžeta izdevumi:</w:t>
            </w:r>
          </w:p>
        </w:tc>
        <w:tc>
          <w:tcPr>
            <w:tcW w:w="768"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p>
        </w:tc>
        <w:tc>
          <w:tcPr>
            <w:tcW w:w="85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p>
        </w:tc>
        <w:tc>
          <w:tcPr>
            <w:tcW w:w="766"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p>
        </w:tc>
        <w:tc>
          <w:tcPr>
            <w:tcW w:w="809" w:type="pct"/>
            <w:tcBorders>
              <w:top w:val="outset" w:sz="6" w:space="0" w:color="000000"/>
              <w:left w:val="outset" w:sz="6" w:space="0" w:color="000000"/>
              <w:bottom w:val="outset" w:sz="6" w:space="0" w:color="000000"/>
              <w:right w:val="outset" w:sz="6" w:space="0" w:color="000000"/>
            </w:tcBorders>
          </w:tcPr>
          <w:p w:rsidR="00FD2051" w:rsidRPr="00C60580" w:rsidRDefault="008F5EDD" w:rsidP="00784718">
            <w:pPr>
              <w:jc w:val="both"/>
              <w:rPr>
                <w:sz w:val="26"/>
                <w:szCs w:val="26"/>
              </w:rPr>
            </w:pPr>
            <w:r>
              <w:rPr>
                <w:sz w:val="26"/>
                <w:szCs w:val="26"/>
              </w:rPr>
              <w:t>243,9</w:t>
            </w:r>
          </w:p>
        </w:tc>
        <w:tc>
          <w:tcPr>
            <w:tcW w:w="694" w:type="pct"/>
            <w:tcBorders>
              <w:top w:val="outset" w:sz="6" w:space="0" w:color="000000"/>
              <w:left w:val="outset" w:sz="6" w:space="0" w:color="000000"/>
              <w:bottom w:val="outset" w:sz="6" w:space="0" w:color="000000"/>
              <w:right w:val="outset" w:sz="6" w:space="0" w:color="auto"/>
            </w:tcBorders>
          </w:tcPr>
          <w:p w:rsidR="00FD2051" w:rsidRPr="00C60580" w:rsidRDefault="008F5EDD" w:rsidP="00784718">
            <w:pPr>
              <w:jc w:val="both"/>
              <w:rPr>
                <w:sz w:val="26"/>
                <w:szCs w:val="26"/>
              </w:rPr>
            </w:pPr>
            <w:r>
              <w:rPr>
                <w:sz w:val="26"/>
                <w:szCs w:val="26"/>
              </w:rPr>
              <w:t>243,9</w:t>
            </w:r>
          </w:p>
        </w:tc>
      </w:tr>
      <w:tr w:rsidR="00FD2051" w:rsidRPr="00C60580" w:rsidTr="00E21634">
        <w:trPr>
          <w:trHeight w:val="149"/>
        </w:trPr>
        <w:tc>
          <w:tcPr>
            <w:tcW w:w="1113"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2.1. valsts pamatbudžets</w:t>
            </w:r>
          </w:p>
        </w:tc>
        <w:tc>
          <w:tcPr>
            <w:tcW w:w="768" w:type="pct"/>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rPr>
            </w:pPr>
            <w:r w:rsidRPr="00C60580">
              <w:rPr>
                <w:sz w:val="26"/>
                <w:szCs w:val="26"/>
              </w:rPr>
              <w:t>0</w:t>
            </w:r>
          </w:p>
        </w:tc>
        <w:tc>
          <w:tcPr>
            <w:tcW w:w="850" w:type="pct"/>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rPr>
            </w:pPr>
            <w:r w:rsidRPr="00C60580">
              <w:rPr>
                <w:sz w:val="26"/>
                <w:szCs w:val="26"/>
              </w:rPr>
              <w:t>0</w:t>
            </w:r>
          </w:p>
        </w:tc>
        <w:tc>
          <w:tcPr>
            <w:tcW w:w="766" w:type="pct"/>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rPr>
            </w:pPr>
            <w:r w:rsidRPr="00C60580">
              <w:rPr>
                <w:sz w:val="26"/>
                <w:szCs w:val="26"/>
              </w:rPr>
              <w:t>0</w:t>
            </w:r>
          </w:p>
        </w:tc>
        <w:tc>
          <w:tcPr>
            <w:tcW w:w="809" w:type="pct"/>
            <w:tcBorders>
              <w:top w:val="outset" w:sz="6" w:space="0" w:color="000000"/>
              <w:left w:val="outset" w:sz="6" w:space="0" w:color="000000"/>
              <w:bottom w:val="outset" w:sz="6" w:space="0" w:color="000000"/>
              <w:right w:val="outset" w:sz="6" w:space="0" w:color="000000"/>
            </w:tcBorders>
            <w:vAlign w:val="center"/>
          </w:tcPr>
          <w:p w:rsidR="00FD2051" w:rsidRPr="00C60580" w:rsidRDefault="008F5EDD" w:rsidP="00784718">
            <w:pPr>
              <w:jc w:val="both"/>
              <w:rPr>
                <w:sz w:val="26"/>
                <w:szCs w:val="26"/>
              </w:rPr>
            </w:pPr>
            <w:r>
              <w:rPr>
                <w:sz w:val="26"/>
                <w:szCs w:val="26"/>
              </w:rPr>
              <w:t>243,9</w:t>
            </w:r>
          </w:p>
        </w:tc>
        <w:tc>
          <w:tcPr>
            <w:tcW w:w="694" w:type="pct"/>
            <w:tcBorders>
              <w:top w:val="outset" w:sz="6" w:space="0" w:color="000000"/>
              <w:left w:val="outset" w:sz="6" w:space="0" w:color="000000"/>
              <w:bottom w:val="outset" w:sz="6" w:space="0" w:color="000000"/>
              <w:right w:val="outset" w:sz="6" w:space="0" w:color="auto"/>
            </w:tcBorders>
            <w:vAlign w:val="center"/>
          </w:tcPr>
          <w:p w:rsidR="00FD2051" w:rsidRPr="00C60580" w:rsidRDefault="008F5EDD" w:rsidP="00784718">
            <w:pPr>
              <w:jc w:val="both"/>
              <w:rPr>
                <w:sz w:val="26"/>
                <w:szCs w:val="26"/>
              </w:rPr>
            </w:pPr>
            <w:r>
              <w:rPr>
                <w:sz w:val="26"/>
                <w:szCs w:val="26"/>
              </w:rPr>
              <w:t>243,9</w:t>
            </w:r>
          </w:p>
        </w:tc>
      </w:tr>
      <w:tr w:rsidR="00FD2051" w:rsidRPr="00C60580" w:rsidTr="00E21634">
        <w:trPr>
          <w:trHeight w:val="149"/>
        </w:trPr>
        <w:tc>
          <w:tcPr>
            <w:tcW w:w="1113"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2.2. valsts speciālais budžets</w:t>
            </w:r>
          </w:p>
        </w:tc>
        <w:tc>
          <w:tcPr>
            <w:tcW w:w="768"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5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766"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09"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694" w:type="pct"/>
            <w:tcBorders>
              <w:top w:val="outset" w:sz="6" w:space="0" w:color="000000"/>
              <w:left w:val="outset" w:sz="6" w:space="0" w:color="000000"/>
              <w:bottom w:val="outset" w:sz="6" w:space="0" w:color="000000"/>
              <w:right w:val="outset" w:sz="6" w:space="0" w:color="auto"/>
            </w:tcBorders>
          </w:tcPr>
          <w:p w:rsidR="00FD2051" w:rsidRPr="00C60580" w:rsidRDefault="00FD2051" w:rsidP="00784718">
            <w:pPr>
              <w:jc w:val="both"/>
              <w:rPr>
                <w:sz w:val="26"/>
                <w:szCs w:val="26"/>
              </w:rPr>
            </w:pPr>
            <w:r w:rsidRPr="00C60580">
              <w:rPr>
                <w:sz w:val="26"/>
                <w:szCs w:val="26"/>
              </w:rPr>
              <w:t>0</w:t>
            </w:r>
          </w:p>
        </w:tc>
      </w:tr>
      <w:tr w:rsidR="00FD2051" w:rsidRPr="00C60580" w:rsidTr="00E21634">
        <w:trPr>
          <w:trHeight w:val="149"/>
        </w:trPr>
        <w:tc>
          <w:tcPr>
            <w:tcW w:w="1113"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2.3. pašvaldību budžets</w:t>
            </w:r>
          </w:p>
        </w:tc>
        <w:tc>
          <w:tcPr>
            <w:tcW w:w="768"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5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766"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09"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694" w:type="pct"/>
            <w:tcBorders>
              <w:top w:val="outset" w:sz="6" w:space="0" w:color="000000"/>
              <w:left w:val="outset" w:sz="6" w:space="0" w:color="000000"/>
              <w:bottom w:val="outset" w:sz="6" w:space="0" w:color="000000"/>
              <w:right w:val="outset" w:sz="6" w:space="0" w:color="auto"/>
            </w:tcBorders>
          </w:tcPr>
          <w:p w:rsidR="00FD2051" w:rsidRPr="00C60580" w:rsidRDefault="00FD2051" w:rsidP="00784718">
            <w:pPr>
              <w:jc w:val="both"/>
              <w:rPr>
                <w:sz w:val="26"/>
                <w:szCs w:val="26"/>
              </w:rPr>
            </w:pPr>
            <w:r w:rsidRPr="00C60580">
              <w:rPr>
                <w:sz w:val="26"/>
                <w:szCs w:val="26"/>
              </w:rPr>
              <w:t>0</w:t>
            </w:r>
          </w:p>
        </w:tc>
      </w:tr>
      <w:tr w:rsidR="008F5EDD" w:rsidRPr="00C60580" w:rsidTr="00DC152C">
        <w:trPr>
          <w:trHeight w:val="149"/>
        </w:trPr>
        <w:tc>
          <w:tcPr>
            <w:tcW w:w="1113" w:type="pct"/>
            <w:tcBorders>
              <w:top w:val="outset" w:sz="6" w:space="0" w:color="000000"/>
              <w:left w:val="outset" w:sz="6" w:space="0" w:color="000000"/>
              <w:bottom w:val="outset" w:sz="6" w:space="0" w:color="000000"/>
              <w:right w:val="outset" w:sz="6" w:space="0" w:color="000000"/>
            </w:tcBorders>
          </w:tcPr>
          <w:p w:rsidR="008F5EDD" w:rsidRPr="00C60580" w:rsidRDefault="008F5EDD" w:rsidP="00784718">
            <w:pPr>
              <w:jc w:val="both"/>
              <w:rPr>
                <w:sz w:val="26"/>
                <w:szCs w:val="26"/>
              </w:rPr>
            </w:pPr>
            <w:r w:rsidRPr="00C60580">
              <w:rPr>
                <w:sz w:val="26"/>
                <w:szCs w:val="26"/>
              </w:rPr>
              <w:t>3. Finansiālā ietekme:</w:t>
            </w:r>
          </w:p>
        </w:tc>
        <w:tc>
          <w:tcPr>
            <w:tcW w:w="768" w:type="pct"/>
            <w:tcBorders>
              <w:top w:val="outset" w:sz="6" w:space="0" w:color="000000"/>
              <w:left w:val="outset" w:sz="6" w:space="0" w:color="000000"/>
              <w:bottom w:val="outset" w:sz="6" w:space="0" w:color="000000"/>
              <w:right w:val="outset" w:sz="6" w:space="0" w:color="000000"/>
            </w:tcBorders>
            <w:vAlign w:val="center"/>
          </w:tcPr>
          <w:p w:rsidR="008F5EDD" w:rsidRPr="00C60580" w:rsidRDefault="008F5EDD" w:rsidP="00784718">
            <w:pPr>
              <w:jc w:val="both"/>
              <w:rPr>
                <w:sz w:val="26"/>
                <w:szCs w:val="26"/>
              </w:rPr>
            </w:pPr>
            <w:r w:rsidRPr="00C60580">
              <w:rPr>
                <w:sz w:val="26"/>
                <w:szCs w:val="26"/>
              </w:rPr>
              <w:t>0</w:t>
            </w:r>
          </w:p>
        </w:tc>
        <w:tc>
          <w:tcPr>
            <w:tcW w:w="850" w:type="pct"/>
            <w:tcBorders>
              <w:top w:val="outset" w:sz="6" w:space="0" w:color="000000"/>
              <w:left w:val="outset" w:sz="6" w:space="0" w:color="000000"/>
              <w:bottom w:val="outset" w:sz="6" w:space="0" w:color="000000"/>
              <w:right w:val="outset" w:sz="6" w:space="0" w:color="000000"/>
            </w:tcBorders>
          </w:tcPr>
          <w:p w:rsidR="008F5EDD" w:rsidRPr="00C60580" w:rsidRDefault="008F5EDD" w:rsidP="00784718">
            <w:pPr>
              <w:jc w:val="both"/>
              <w:rPr>
                <w:sz w:val="26"/>
                <w:szCs w:val="26"/>
              </w:rPr>
            </w:pPr>
            <w:r w:rsidRPr="00C60580">
              <w:rPr>
                <w:sz w:val="26"/>
                <w:szCs w:val="26"/>
              </w:rPr>
              <w:t>0</w:t>
            </w:r>
          </w:p>
        </w:tc>
        <w:tc>
          <w:tcPr>
            <w:tcW w:w="766" w:type="pct"/>
            <w:tcBorders>
              <w:top w:val="outset" w:sz="6" w:space="0" w:color="000000"/>
              <w:left w:val="outset" w:sz="6" w:space="0" w:color="000000"/>
              <w:bottom w:val="outset" w:sz="6" w:space="0" w:color="000000"/>
              <w:right w:val="outset" w:sz="6" w:space="0" w:color="000000"/>
            </w:tcBorders>
          </w:tcPr>
          <w:p w:rsidR="008F5EDD" w:rsidRPr="00C60580" w:rsidRDefault="008F5EDD" w:rsidP="00784718">
            <w:pPr>
              <w:jc w:val="both"/>
              <w:rPr>
                <w:sz w:val="26"/>
                <w:szCs w:val="26"/>
              </w:rPr>
            </w:pPr>
            <w:r w:rsidRPr="00C60580">
              <w:rPr>
                <w:sz w:val="26"/>
                <w:szCs w:val="26"/>
              </w:rPr>
              <w:t>0</w:t>
            </w:r>
          </w:p>
        </w:tc>
        <w:tc>
          <w:tcPr>
            <w:tcW w:w="809" w:type="pct"/>
            <w:tcBorders>
              <w:top w:val="outset" w:sz="6" w:space="0" w:color="000000"/>
              <w:left w:val="outset" w:sz="6" w:space="0" w:color="000000"/>
              <w:bottom w:val="outset" w:sz="6" w:space="0" w:color="000000"/>
              <w:right w:val="outset" w:sz="6" w:space="0" w:color="000000"/>
            </w:tcBorders>
            <w:vAlign w:val="center"/>
          </w:tcPr>
          <w:p w:rsidR="008F5EDD" w:rsidRPr="00C60580" w:rsidRDefault="008F5EDD" w:rsidP="00DB4C7B">
            <w:pPr>
              <w:jc w:val="both"/>
              <w:rPr>
                <w:sz w:val="26"/>
                <w:szCs w:val="26"/>
              </w:rPr>
            </w:pPr>
            <w:r>
              <w:rPr>
                <w:sz w:val="26"/>
                <w:szCs w:val="26"/>
              </w:rPr>
              <w:t>243,9</w:t>
            </w:r>
          </w:p>
        </w:tc>
        <w:tc>
          <w:tcPr>
            <w:tcW w:w="694" w:type="pct"/>
            <w:tcBorders>
              <w:top w:val="outset" w:sz="6" w:space="0" w:color="000000"/>
              <w:left w:val="outset" w:sz="6" w:space="0" w:color="000000"/>
              <w:bottom w:val="outset" w:sz="6" w:space="0" w:color="000000"/>
              <w:right w:val="outset" w:sz="6" w:space="0" w:color="auto"/>
            </w:tcBorders>
            <w:vAlign w:val="center"/>
          </w:tcPr>
          <w:p w:rsidR="008F5EDD" w:rsidRPr="00C60580" w:rsidRDefault="008F5EDD" w:rsidP="00DB4C7B">
            <w:pPr>
              <w:jc w:val="both"/>
              <w:rPr>
                <w:sz w:val="26"/>
                <w:szCs w:val="26"/>
              </w:rPr>
            </w:pPr>
            <w:r>
              <w:rPr>
                <w:sz w:val="26"/>
                <w:szCs w:val="26"/>
              </w:rPr>
              <w:t>243,9</w:t>
            </w:r>
          </w:p>
        </w:tc>
      </w:tr>
      <w:tr w:rsidR="008F5EDD" w:rsidRPr="00C60580" w:rsidTr="00E21634">
        <w:trPr>
          <w:trHeight w:val="149"/>
        </w:trPr>
        <w:tc>
          <w:tcPr>
            <w:tcW w:w="1113" w:type="pct"/>
            <w:tcBorders>
              <w:top w:val="outset" w:sz="6" w:space="0" w:color="000000"/>
              <w:left w:val="outset" w:sz="6" w:space="0" w:color="000000"/>
              <w:bottom w:val="outset" w:sz="6" w:space="0" w:color="000000"/>
              <w:right w:val="outset" w:sz="6" w:space="0" w:color="000000"/>
            </w:tcBorders>
          </w:tcPr>
          <w:p w:rsidR="008F5EDD" w:rsidRPr="00C60580" w:rsidRDefault="008F5EDD" w:rsidP="00784718">
            <w:pPr>
              <w:jc w:val="both"/>
              <w:rPr>
                <w:sz w:val="26"/>
                <w:szCs w:val="26"/>
              </w:rPr>
            </w:pPr>
            <w:r w:rsidRPr="00C60580">
              <w:rPr>
                <w:sz w:val="26"/>
                <w:szCs w:val="26"/>
              </w:rPr>
              <w:t>3.1. valsts pamatbudžets</w:t>
            </w:r>
          </w:p>
        </w:tc>
        <w:tc>
          <w:tcPr>
            <w:tcW w:w="768" w:type="pct"/>
            <w:tcBorders>
              <w:top w:val="outset" w:sz="6" w:space="0" w:color="000000"/>
              <w:left w:val="outset" w:sz="6" w:space="0" w:color="000000"/>
              <w:bottom w:val="outset" w:sz="6" w:space="0" w:color="000000"/>
              <w:right w:val="outset" w:sz="6" w:space="0" w:color="000000"/>
            </w:tcBorders>
            <w:vAlign w:val="center"/>
          </w:tcPr>
          <w:p w:rsidR="008F5EDD" w:rsidRPr="00C60580" w:rsidRDefault="008F5EDD" w:rsidP="00784718">
            <w:pPr>
              <w:jc w:val="both"/>
              <w:rPr>
                <w:sz w:val="26"/>
                <w:szCs w:val="26"/>
              </w:rPr>
            </w:pPr>
            <w:r w:rsidRPr="00C60580">
              <w:rPr>
                <w:sz w:val="26"/>
                <w:szCs w:val="26"/>
              </w:rPr>
              <w:t>0</w:t>
            </w:r>
          </w:p>
        </w:tc>
        <w:tc>
          <w:tcPr>
            <w:tcW w:w="850" w:type="pct"/>
            <w:tcBorders>
              <w:top w:val="outset" w:sz="6" w:space="0" w:color="000000"/>
              <w:left w:val="outset" w:sz="6" w:space="0" w:color="000000"/>
              <w:bottom w:val="outset" w:sz="6" w:space="0" w:color="000000"/>
              <w:right w:val="outset" w:sz="6" w:space="0" w:color="000000"/>
            </w:tcBorders>
            <w:vAlign w:val="center"/>
          </w:tcPr>
          <w:p w:rsidR="008F5EDD" w:rsidRPr="00C60580" w:rsidRDefault="008F5EDD" w:rsidP="00784718">
            <w:pPr>
              <w:jc w:val="both"/>
              <w:rPr>
                <w:sz w:val="26"/>
                <w:szCs w:val="26"/>
              </w:rPr>
            </w:pPr>
            <w:r w:rsidRPr="00C60580">
              <w:rPr>
                <w:sz w:val="26"/>
                <w:szCs w:val="26"/>
              </w:rPr>
              <w:t>0</w:t>
            </w:r>
          </w:p>
        </w:tc>
        <w:tc>
          <w:tcPr>
            <w:tcW w:w="766" w:type="pct"/>
            <w:tcBorders>
              <w:top w:val="outset" w:sz="6" w:space="0" w:color="000000"/>
              <w:left w:val="outset" w:sz="6" w:space="0" w:color="000000"/>
              <w:bottom w:val="outset" w:sz="6" w:space="0" w:color="000000"/>
              <w:right w:val="outset" w:sz="6" w:space="0" w:color="000000"/>
            </w:tcBorders>
            <w:vAlign w:val="center"/>
          </w:tcPr>
          <w:p w:rsidR="008F5EDD" w:rsidRPr="00C60580" w:rsidRDefault="008F5EDD" w:rsidP="00784718">
            <w:pPr>
              <w:jc w:val="both"/>
              <w:rPr>
                <w:sz w:val="26"/>
                <w:szCs w:val="26"/>
              </w:rPr>
            </w:pPr>
            <w:r w:rsidRPr="00C60580">
              <w:rPr>
                <w:sz w:val="26"/>
                <w:szCs w:val="26"/>
              </w:rPr>
              <w:t>0</w:t>
            </w:r>
          </w:p>
        </w:tc>
        <w:tc>
          <w:tcPr>
            <w:tcW w:w="809" w:type="pct"/>
            <w:tcBorders>
              <w:top w:val="outset" w:sz="6" w:space="0" w:color="000000"/>
              <w:left w:val="outset" w:sz="6" w:space="0" w:color="000000"/>
              <w:bottom w:val="outset" w:sz="6" w:space="0" w:color="000000"/>
              <w:right w:val="outset" w:sz="6" w:space="0" w:color="000000"/>
            </w:tcBorders>
            <w:vAlign w:val="center"/>
          </w:tcPr>
          <w:p w:rsidR="008F5EDD" w:rsidRPr="00C60580" w:rsidRDefault="008F5EDD" w:rsidP="00DB4C7B">
            <w:pPr>
              <w:jc w:val="both"/>
              <w:rPr>
                <w:sz w:val="26"/>
                <w:szCs w:val="26"/>
              </w:rPr>
            </w:pPr>
            <w:r>
              <w:rPr>
                <w:sz w:val="26"/>
                <w:szCs w:val="26"/>
              </w:rPr>
              <w:t>243,9</w:t>
            </w:r>
          </w:p>
        </w:tc>
        <w:tc>
          <w:tcPr>
            <w:tcW w:w="694" w:type="pct"/>
            <w:tcBorders>
              <w:top w:val="outset" w:sz="6" w:space="0" w:color="000000"/>
              <w:left w:val="outset" w:sz="6" w:space="0" w:color="000000"/>
              <w:bottom w:val="outset" w:sz="6" w:space="0" w:color="000000"/>
              <w:right w:val="outset" w:sz="6" w:space="0" w:color="auto"/>
            </w:tcBorders>
            <w:vAlign w:val="center"/>
          </w:tcPr>
          <w:p w:rsidR="008F5EDD" w:rsidRPr="00C60580" w:rsidRDefault="008F5EDD" w:rsidP="00DB4C7B">
            <w:pPr>
              <w:jc w:val="both"/>
              <w:rPr>
                <w:sz w:val="26"/>
                <w:szCs w:val="26"/>
              </w:rPr>
            </w:pPr>
            <w:r>
              <w:rPr>
                <w:sz w:val="26"/>
                <w:szCs w:val="26"/>
              </w:rPr>
              <w:t>243,9</w:t>
            </w:r>
          </w:p>
        </w:tc>
      </w:tr>
      <w:tr w:rsidR="00FD2051" w:rsidRPr="00C60580" w:rsidTr="00E21634">
        <w:trPr>
          <w:trHeight w:val="149"/>
        </w:trPr>
        <w:tc>
          <w:tcPr>
            <w:tcW w:w="1113"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3.2. speciālais budžets</w:t>
            </w:r>
          </w:p>
        </w:tc>
        <w:tc>
          <w:tcPr>
            <w:tcW w:w="768"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5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766"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09"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694" w:type="pct"/>
            <w:tcBorders>
              <w:top w:val="outset" w:sz="6" w:space="0" w:color="000000"/>
              <w:left w:val="outset" w:sz="6" w:space="0" w:color="000000"/>
              <w:bottom w:val="outset" w:sz="6" w:space="0" w:color="000000"/>
              <w:right w:val="outset" w:sz="6" w:space="0" w:color="auto"/>
            </w:tcBorders>
          </w:tcPr>
          <w:p w:rsidR="00FD2051" w:rsidRPr="00C60580" w:rsidRDefault="00FD2051" w:rsidP="00784718">
            <w:pPr>
              <w:jc w:val="both"/>
              <w:rPr>
                <w:sz w:val="26"/>
                <w:szCs w:val="26"/>
              </w:rPr>
            </w:pPr>
            <w:r w:rsidRPr="00C60580">
              <w:rPr>
                <w:sz w:val="26"/>
                <w:szCs w:val="26"/>
              </w:rPr>
              <w:t>0</w:t>
            </w:r>
          </w:p>
        </w:tc>
      </w:tr>
      <w:tr w:rsidR="00FD2051" w:rsidRPr="00C60580" w:rsidTr="00E21634">
        <w:trPr>
          <w:trHeight w:val="149"/>
        </w:trPr>
        <w:tc>
          <w:tcPr>
            <w:tcW w:w="1113"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3.3. pašvaldību budžets</w:t>
            </w:r>
          </w:p>
        </w:tc>
        <w:tc>
          <w:tcPr>
            <w:tcW w:w="768"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5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766"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09"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694" w:type="pct"/>
            <w:tcBorders>
              <w:top w:val="outset" w:sz="6" w:space="0" w:color="000000"/>
              <w:left w:val="outset" w:sz="6" w:space="0" w:color="000000"/>
              <w:bottom w:val="outset" w:sz="6" w:space="0" w:color="000000"/>
              <w:right w:val="outset" w:sz="6" w:space="0" w:color="auto"/>
            </w:tcBorders>
          </w:tcPr>
          <w:p w:rsidR="00FD2051" w:rsidRPr="00C60580" w:rsidRDefault="00FD2051" w:rsidP="00784718">
            <w:pPr>
              <w:jc w:val="both"/>
              <w:rPr>
                <w:sz w:val="26"/>
                <w:szCs w:val="26"/>
              </w:rPr>
            </w:pPr>
            <w:r w:rsidRPr="00C60580">
              <w:rPr>
                <w:sz w:val="26"/>
                <w:szCs w:val="26"/>
              </w:rPr>
              <w:t>0</w:t>
            </w:r>
          </w:p>
        </w:tc>
      </w:tr>
      <w:tr w:rsidR="00FD2051" w:rsidRPr="00C60580" w:rsidTr="00E21634">
        <w:trPr>
          <w:cantSplit/>
          <w:trHeight w:val="149"/>
        </w:trPr>
        <w:tc>
          <w:tcPr>
            <w:tcW w:w="1113" w:type="pct"/>
            <w:vMerge w:val="restar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highlight w:val="red"/>
              </w:rPr>
            </w:pPr>
            <w:r w:rsidRPr="00C60580">
              <w:rPr>
                <w:sz w:val="26"/>
                <w:szCs w:val="26"/>
              </w:rPr>
              <w:t>4. Finanšu līdzekļi papildu izdevumu finansēšanai (kompensējošu izdevumu samazinājumu norāda ar "+" zīmi)</w:t>
            </w:r>
          </w:p>
        </w:tc>
        <w:tc>
          <w:tcPr>
            <w:tcW w:w="768" w:type="pct"/>
            <w:vMerge w:val="restar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Pr>
                <w:sz w:val="26"/>
                <w:szCs w:val="26"/>
              </w:rPr>
              <w:t>X</w:t>
            </w:r>
          </w:p>
        </w:tc>
        <w:tc>
          <w:tcPr>
            <w:tcW w:w="85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766"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09"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694" w:type="pct"/>
            <w:tcBorders>
              <w:top w:val="outset" w:sz="6" w:space="0" w:color="000000"/>
              <w:left w:val="outset" w:sz="6" w:space="0" w:color="000000"/>
              <w:bottom w:val="outset" w:sz="6" w:space="0" w:color="000000"/>
              <w:right w:val="outset" w:sz="6" w:space="0" w:color="auto"/>
            </w:tcBorders>
          </w:tcPr>
          <w:p w:rsidR="00FD2051" w:rsidRPr="00C60580" w:rsidRDefault="00FD2051" w:rsidP="00784718">
            <w:pPr>
              <w:jc w:val="both"/>
              <w:rPr>
                <w:sz w:val="26"/>
                <w:szCs w:val="26"/>
              </w:rPr>
            </w:pPr>
            <w:r w:rsidRPr="00C60580">
              <w:rPr>
                <w:sz w:val="26"/>
                <w:szCs w:val="26"/>
              </w:rPr>
              <w:t>0</w:t>
            </w:r>
          </w:p>
        </w:tc>
      </w:tr>
      <w:tr w:rsidR="00FD2051" w:rsidRPr="00C60580" w:rsidTr="00E21634">
        <w:trPr>
          <w:cantSplit/>
          <w:trHeight w:val="149"/>
        </w:trPr>
        <w:tc>
          <w:tcPr>
            <w:tcW w:w="1113" w:type="pct"/>
            <w:vMerge/>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highlight w:val="red"/>
              </w:rPr>
            </w:pPr>
          </w:p>
        </w:tc>
        <w:tc>
          <w:tcPr>
            <w:tcW w:w="768" w:type="pct"/>
            <w:vMerge/>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highlight w:val="red"/>
              </w:rPr>
            </w:pPr>
          </w:p>
        </w:tc>
        <w:tc>
          <w:tcPr>
            <w:tcW w:w="85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766"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09"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694" w:type="pct"/>
            <w:tcBorders>
              <w:top w:val="outset" w:sz="6" w:space="0" w:color="000000"/>
              <w:left w:val="outset" w:sz="6" w:space="0" w:color="000000"/>
              <w:bottom w:val="outset" w:sz="6" w:space="0" w:color="000000"/>
              <w:right w:val="outset" w:sz="6" w:space="0" w:color="auto"/>
            </w:tcBorders>
          </w:tcPr>
          <w:p w:rsidR="00FD2051" w:rsidRPr="00C60580" w:rsidRDefault="00FD2051" w:rsidP="00784718">
            <w:pPr>
              <w:jc w:val="both"/>
              <w:rPr>
                <w:sz w:val="26"/>
                <w:szCs w:val="26"/>
              </w:rPr>
            </w:pPr>
            <w:r w:rsidRPr="00C60580">
              <w:rPr>
                <w:sz w:val="26"/>
                <w:szCs w:val="26"/>
              </w:rPr>
              <w:t>0</w:t>
            </w:r>
          </w:p>
        </w:tc>
      </w:tr>
      <w:tr w:rsidR="00FD2051" w:rsidRPr="00C60580" w:rsidTr="00E21634">
        <w:trPr>
          <w:cantSplit/>
          <w:trHeight w:val="149"/>
        </w:trPr>
        <w:tc>
          <w:tcPr>
            <w:tcW w:w="1113" w:type="pct"/>
            <w:vMerge/>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highlight w:val="red"/>
              </w:rPr>
            </w:pPr>
          </w:p>
        </w:tc>
        <w:tc>
          <w:tcPr>
            <w:tcW w:w="768" w:type="pct"/>
            <w:vMerge/>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highlight w:val="red"/>
              </w:rPr>
            </w:pPr>
          </w:p>
        </w:tc>
        <w:tc>
          <w:tcPr>
            <w:tcW w:w="85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766"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09"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694" w:type="pct"/>
            <w:tcBorders>
              <w:top w:val="outset" w:sz="6" w:space="0" w:color="000000"/>
              <w:left w:val="outset" w:sz="6" w:space="0" w:color="000000"/>
              <w:bottom w:val="outset" w:sz="6" w:space="0" w:color="000000"/>
              <w:right w:val="outset" w:sz="6" w:space="0" w:color="auto"/>
            </w:tcBorders>
          </w:tcPr>
          <w:p w:rsidR="00FD2051" w:rsidRPr="00C60580" w:rsidRDefault="00FD2051" w:rsidP="00784718">
            <w:pPr>
              <w:jc w:val="both"/>
              <w:rPr>
                <w:sz w:val="26"/>
                <w:szCs w:val="26"/>
              </w:rPr>
            </w:pPr>
            <w:r w:rsidRPr="00C60580">
              <w:rPr>
                <w:sz w:val="26"/>
                <w:szCs w:val="26"/>
              </w:rPr>
              <w:t>0</w:t>
            </w:r>
          </w:p>
        </w:tc>
      </w:tr>
      <w:tr w:rsidR="008F5EDD" w:rsidRPr="00C60580" w:rsidTr="00683927">
        <w:trPr>
          <w:cantSplit/>
          <w:trHeight w:val="149"/>
        </w:trPr>
        <w:tc>
          <w:tcPr>
            <w:tcW w:w="1113" w:type="pct"/>
            <w:tcBorders>
              <w:top w:val="outset" w:sz="6" w:space="0" w:color="000000"/>
              <w:left w:val="outset" w:sz="6" w:space="0" w:color="000000"/>
              <w:bottom w:val="outset" w:sz="6" w:space="0" w:color="000000"/>
              <w:right w:val="outset" w:sz="6" w:space="0" w:color="000000"/>
            </w:tcBorders>
          </w:tcPr>
          <w:p w:rsidR="008F5EDD" w:rsidRPr="00C60580" w:rsidRDefault="008F5EDD" w:rsidP="00784718">
            <w:pPr>
              <w:jc w:val="both"/>
              <w:rPr>
                <w:sz w:val="26"/>
                <w:szCs w:val="26"/>
              </w:rPr>
            </w:pPr>
            <w:r w:rsidRPr="00C60580">
              <w:rPr>
                <w:sz w:val="26"/>
                <w:szCs w:val="26"/>
              </w:rPr>
              <w:t>5. Precizēta finansiālā ietekme:</w:t>
            </w:r>
          </w:p>
        </w:tc>
        <w:tc>
          <w:tcPr>
            <w:tcW w:w="768" w:type="pct"/>
            <w:vMerge w:val="restart"/>
            <w:tcBorders>
              <w:top w:val="outset" w:sz="6" w:space="0" w:color="000000"/>
              <w:left w:val="outset" w:sz="6" w:space="0" w:color="000000"/>
              <w:bottom w:val="outset" w:sz="6" w:space="0" w:color="000000"/>
              <w:right w:val="outset" w:sz="6" w:space="0" w:color="000000"/>
            </w:tcBorders>
          </w:tcPr>
          <w:p w:rsidR="008F5EDD" w:rsidRPr="00C60580" w:rsidRDefault="008F5EDD" w:rsidP="00784718">
            <w:pPr>
              <w:jc w:val="both"/>
              <w:rPr>
                <w:sz w:val="26"/>
                <w:szCs w:val="26"/>
              </w:rPr>
            </w:pPr>
            <w:r>
              <w:rPr>
                <w:sz w:val="26"/>
                <w:szCs w:val="26"/>
              </w:rPr>
              <w:t>X</w:t>
            </w:r>
          </w:p>
        </w:tc>
        <w:tc>
          <w:tcPr>
            <w:tcW w:w="850" w:type="pct"/>
            <w:tcBorders>
              <w:top w:val="outset" w:sz="6" w:space="0" w:color="000000"/>
              <w:left w:val="outset" w:sz="6" w:space="0" w:color="000000"/>
              <w:bottom w:val="outset" w:sz="6" w:space="0" w:color="000000"/>
              <w:right w:val="outset" w:sz="6" w:space="0" w:color="000000"/>
            </w:tcBorders>
          </w:tcPr>
          <w:p w:rsidR="008F5EDD" w:rsidRPr="00C60580" w:rsidRDefault="008F5EDD" w:rsidP="00784718">
            <w:pPr>
              <w:jc w:val="both"/>
              <w:rPr>
                <w:sz w:val="26"/>
                <w:szCs w:val="26"/>
              </w:rPr>
            </w:pPr>
          </w:p>
        </w:tc>
        <w:tc>
          <w:tcPr>
            <w:tcW w:w="766" w:type="pct"/>
            <w:tcBorders>
              <w:top w:val="outset" w:sz="6" w:space="0" w:color="000000"/>
              <w:left w:val="outset" w:sz="6" w:space="0" w:color="000000"/>
              <w:bottom w:val="outset" w:sz="6" w:space="0" w:color="000000"/>
              <w:right w:val="outset" w:sz="6" w:space="0" w:color="000000"/>
            </w:tcBorders>
          </w:tcPr>
          <w:p w:rsidR="008F5EDD" w:rsidRPr="00C60580" w:rsidRDefault="008F5EDD" w:rsidP="00784718">
            <w:pPr>
              <w:jc w:val="both"/>
              <w:rPr>
                <w:sz w:val="26"/>
                <w:szCs w:val="26"/>
              </w:rPr>
            </w:pPr>
          </w:p>
        </w:tc>
        <w:tc>
          <w:tcPr>
            <w:tcW w:w="809" w:type="pct"/>
            <w:tcBorders>
              <w:top w:val="outset" w:sz="6" w:space="0" w:color="000000"/>
              <w:left w:val="outset" w:sz="6" w:space="0" w:color="000000"/>
              <w:bottom w:val="outset" w:sz="6" w:space="0" w:color="000000"/>
              <w:right w:val="outset" w:sz="6" w:space="0" w:color="000000"/>
            </w:tcBorders>
            <w:vAlign w:val="center"/>
          </w:tcPr>
          <w:p w:rsidR="008F5EDD" w:rsidRPr="00C60580" w:rsidRDefault="008F5EDD" w:rsidP="00DB4C7B">
            <w:pPr>
              <w:jc w:val="both"/>
              <w:rPr>
                <w:sz w:val="26"/>
                <w:szCs w:val="26"/>
              </w:rPr>
            </w:pPr>
            <w:r>
              <w:rPr>
                <w:sz w:val="26"/>
                <w:szCs w:val="26"/>
              </w:rPr>
              <w:t>243,9</w:t>
            </w:r>
          </w:p>
        </w:tc>
        <w:tc>
          <w:tcPr>
            <w:tcW w:w="694" w:type="pct"/>
            <w:tcBorders>
              <w:top w:val="outset" w:sz="6" w:space="0" w:color="000000"/>
              <w:left w:val="outset" w:sz="6" w:space="0" w:color="000000"/>
              <w:bottom w:val="outset" w:sz="6" w:space="0" w:color="000000"/>
              <w:right w:val="outset" w:sz="6" w:space="0" w:color="auto"/>
            </w:tcBorders>
            <w:vAlign w:val="center"/>
          </w:tcPr>
          <w:p w:rsidR="008F5EDD" w:rsidRPr="00C60580" w:rsidRDefault="008F5EDD" w:rsidP="00DB4C7B">
            <w:pPr>
              <w:jc w:val="both"/>
              <w:rPr>
                <w:sz w:val="26"/>
                <w:szCs w:val="26"/>
              </w:rPr>
            </w:pPr>
            <w:r>
              <w:rPr>
                <w:sz w:val="26"/>
                <w:szCs w:val="26"/>
              </w:rPr>
              <w:t>243,9</w:t>
            </w:r>
          </w:p>
        </w:tc>
      </w:tr>
      <w:tr w:rsidR="008F5EDD" w:rsidRPr="00C60580" w:rsidTr="00683927">
        <w:trPr>
          <w:cantSplit/>
          <w:trHeight w:val="149"/>
        </w:trPr>
        <w:tc>
          <w:tcPr>
            <w:tcW w:w="1113" w:type="pct"/>
            <w:tcBorders>
              <w:top w:val="outset" w:sz="6" w:space="0" w:color="000000"/>
              <w:left w:val="outset" w:sz="6" w:space="0" w:color="000000"/>
              <w:bottom w:val="outset" w:sz="6" w:space="0" w:color="000000"/>
              <w:right w:val="outset" w:sz="6" w:space="0" w:color="000000"/>
            </w:tcBorders>
          </w:tcPr>
          <w:p w:rsidR="008F5EDD" w:rsidRPr="00C60580" w:rsidRDefault="008F5EDD" w:rsidP="00784718">
            <w:pPr>
              <w:jc w:val="both"/>
              <w:rPr>
                <w:sz w:val="26"/>
                <w:szCs w:val="26"/>
              </w:rPr>
            </w:pPr>
            <w:r w:rsidRPr="00C60580">
              <w:rPr>
                <w:sz w:val="26"/>
                <w:szCs w:val="26"/>
              </w:rPr>
              <w:lastRenderedPageBreak/>
              <w:t>5.1. valsts pamatbudžets</w:t>
            </w:r>
          </w:p>
        </w:tc>
        <w:tc>
          <w:tcPr>
            <w:tcW w:w="768" w:type="pct"/>
            <w:vMerge/>
            <w:tcBorders>
              <w:top w:val="outset" w:sz="6" w:space="0" w:color="000000"/>
              <w:left w:val="outset" w:sz="6" w:space="0" w:color="000000"/>
              <w:bottom w:val="outset" w:sz="6" w:space="0" w:color="000000"/>
              <w:right w:val="outset" w:sz="6" w:space="0" w:color="000000"/>
            </w:tcBorders>
            <w:vAlign w:val="center"/>
          </w:tcPr>
          <w:p w:rsidR="008F5EDD" w:rsidRPr="00C60580" w:rsidRDefault="008F5EDD" w:rsidP="00784718">
            <w:pPr>
              <w:jc w:val="both"/>
              <w:rPr>
                <w:sz w:val="26"/>
                <w:szCs w:val="26"/>
              </w:rPr>
            </w:pPr>
          </w:p>
        </w:tc>
        <w:tc>
          <w:tcPr>
            <w:tcW w:w="850" w:type="pct"/>
            <w:tcBorders>
              <w:top w:val="outset" w:sz="6" w:space="0" w:color="000000"/>
              <w:left w:val="outset" w:sz="6" w:space="0" w:color="000000"/>
              <w:bottom w:val="outset" w:sz="6" w:space="0" w:color="000000"/>
              <w:right w:val="outset" w:sz="6" w:space="0" w:color="000000"/>
            </w:tcBorders>
          </w:tcPr>
          <w:p w:rsidR="008F5EDD" w:rsidRPr="00C60580" w:rsidRDefault="008F5EDD" w:rsidP="00784718">
            <w:pPr>
              <w:jc w:val="both"/>
              <w:rPr>
                <w:sz w:val="26"/>
                <w:szCs w:val="26"/>
              </w:rPr>
            </w:pPr>
            <w:r w:rsidRPr="00C60580">
              <w:rPr>
                <w:sz w:val="26"/>
                <w:szCs w:val="26"/>
              </w:rPr>
              <w:t>0</w:t>
            </w:r>
          </w:p>
        </w:tc>
        <w:tc>
          <w:tcPr>
            <w:tcW w:w="766" w:type="pct"/>
            <w:tcBorders>
              <w:top w:val="outset" w:sz="6" w:space="0" w:color="000000"/>
              <w:left w:val="outset" w:sz="6" w:space="0" w:color="000000"/>
              <w:bottom w:val="outset" w:sz="6" w:space="0" w:color="000000"/>
              <w:right w:val="outset" w:sz="6" w:space="0" w:color="000000"/>
            </w:tcBorders>
          </w:tcPr>
          <w:p w:rsidR="008F5EDD" w:rsidRPr="00C60580" w:rsidRDefault="008F5EDD" w:rsidP="00784718">
            <w:pPr>
              <w:jc w:val="both"/>
              <w:rPr>
                <w:sz w:val="26"/>
                <w:szCs w:val="26"/>
              </w:rPr>
            </w:pPr>
            <w:r w:rsidRPr="00C60580">
              <w:rPr>
                <w:sz w:val="26"/>
                <w:szCs w:val="26"/>
              </w:rPr>
              <w:t>0</w:t>
            </w:r>
          </w:p>
        </w:tc>
        <w:tc>
          <w:tcPr>
            <w:tcW w:w="809" w:type="pct"/>
            <w:tcBorders>
              <w:top w:val="outset" w:sz="6" w:space="0" w:color="000000"/>
              <w:left w:val="outset" w:sz="6" w:space="0" w:color="000000"/>
              <w:bottom w:val="outset" w:sz="6" w:space="0" w:color="000000"/>
              <w:right w:val="outset" w:sz="6" w:space="0" w:color="000000"/>
            </w:tcBorders>
            <w:vAlign w:val="center"/>
          </w:tcPr>
          <w:p w:rsidR="008F5EDD" w:rsidRPr="00C60580" w:rsidRDefault="008F5EDD" w:rsidP="00DB4C7B">
            <w:pPr>
              <w:jc w:val="both"/>
              <w:rPr>
                <w:sz w:val="26"/>
                <w:szCs w:val="26"/>
              </w:rPr>
            </w:pPr>
            <w:r>
              <w:rPr>
                <w:sz w:val="26"/>
                <w:szCs w:val="26"/>
              </w:rPr>
              <w:t>243,9</w:t>
            </w:r>
          </w:p>
        </w:tc>
        <w:tc>
          <w:tcPr>
            <w:tcW w:w="694" w:type="pct"/>
            <w:tcBorders>
              <w:top w:val="outset" w:sz="6" w:space="0" w:color="000000"/>
              <w:left w:val="outset" w:sz="6" w:space="0" w:color="000000"/>
              <w:bottom w:val="outset" w:sz="6" w:space="0" w:color="000000"/>
              <w:right w:val="outset" w:sz="6" w:space="0" w:color="auto"/>
            </w:tcBorders>
            <w:vAlign w:val="center"/>
          </w:tcPr>
          <w:p w:rsidR="008F5EDD" w:rsidRPr="00C60580" w:rsidRDefault="008F5EDD" w:rsidP="00DB4C7B">
            <w:pPr>
              <w:jc w:val="both"/>
              <w:rPr>
                <w:sz w:val="26"/>
                <w:szCs w:val="26"/>
              </w:rPr>
            </w:pPr>
            <w:r>
              <w:rPr>
                <w:sz w:val="26"/>
                <w:szCs w:val="26"/>
              </w:rPr>
              <w:t>243,9</w:t>
            </w:r>
          </w:p>
        </w:tc>
      </w:tr>
      <w:tr w:rsidR="00FD2051" w:rsidRPr="00C60580" w:rsidTr="00E21634">
        <w:trPr>
          <w:cantSplit/>
          <w:trHeight w:val="149"/>
        </w:trPr>
        <w:tc>
          <w:tcPr>
            <w:tcW w:w="1113"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5.2. speciālais budžets</w:t>
            </w:r>
          </w:p>
        </w:tc>
        <w:tc>
          <w:tcPr>
            <w:tcW w:w="768" w:type="pct"/>
            <w:vMerge/>
            <w:tcBorders>
              <w:top w:val="outset" w:sz="6" w:space="0" w:color="000000"/>
              <w:left w:val="outset" w:sz="6" w:space="0" w:color="000000"/>
              <w:bottom w:val="outset" w:sz="6" w:space="0" w:color="000000"/>
              <w:right w:val="outset" w:sz="6" w:space="0" w:color="000000"/>
            </w:tcBorders>
            <w:vAlign w:val="center"/>
          </w:tcPr>
          <w:p w:rsidR="00FD2051" w:rsidRPr="00C60580" w:rsidRDefault="00FD2051" w:rsidP="00784718">
            <w:pPr>
              <w:jc w:val="both"/>
              <w:rPr>
                <w:sz w:val="26"/>
                <w:szCs w:val="26"/>
              </w:rPr>
            </w:pPr>
          </w:p>
        </w:tc>
        <w:tc>
          <w:tcPr>
            <w:tcW w:w="850"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766"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809"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0</w:t>
            </w:r>
          </w:p>
        </w:tc>
        <w:tc>
          <w:tcPr>
            <w:tcW w:w="694" w:type="pct"/>
            <w:tcBorders>
              <w:top w:val="outset" w:sz="6" w:space="0" w:color="000000"/>
              <w:left w:val="outset" w:sz="6" w:space="0" w:color="000000"/>
              <w:bottom w:val="outset" w:sz="6" w:space="0" w:color="000000"/>
              <w:right w:val="outset" w:sz="6" w:space="0" w:color="auto"/>
            </w:tcBorders>
          </w:tcPr>
          <w:p w:rsidR="00FD2051" w:rsidRPr="00C60580" w:rsidRDefault="00FD2051" w:rsidP="00784718">
            <w:pPr>
              <w:jc w:val="both"/>
              <w:rPr>
                <w:sz w:val="26"/>
                <w:szCs w:val="26"/>
              </w:rPr>
            </w:pPr>
            <w:r w:rsidRPr="00C60580">
              <w:rPr>
                <w:sz w:val="26"/>
                <w:szCs w:val="26"/>
              </w:rPr>
              <w:t>0</w:t>
            </w:r>
          </w:p>
        </w:tc>
      </w:tr>
      <w:tr w:rsidR="00FD2051" w:rsidRPr="00C60580" w:rsidTr="00E21634">
        <w:trPr>
          <w:cantSplit/>
          <w:trHeight w:val="149"/>
        </w:trPr>
        <w:tc>
          <w:tcPr>
            <w:tcW w:w="1113"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5.3. pašvaldību budžets</w:t>
            </w:r>
          </w:p>
        </w:tc>
        <w:tc>
          <w:tcPr>
            <w:tcW w:w="768" w:type="pct"/>
            <w:vMerge/>
            <w:tcBorders>
              <w:top w:val="outset" w:sz="6" w:space="0" w:color="000000"/>
              <w:left w:val="outset" w:sz="6" w:space="0" w:color="000000"/>
              <w:bottom w:val="outset" w:sz="4" w:space="0" w:color="auto"/>
              <w:right w:val="outset" w:sz="6" w:space="0" w:color="000000"/>
            </w:tcBorders>
            <w:vAlign w:val="center"/>
          </w:tcPr>
          <w:p w:rsidR="00FD2051" w:rsidRPr="00C60580" w:rsidRDefault="00FD2051" w:rsidP="00784718">
            <w:pPr>
              <w:jc w:val="both"/>
              <w:rPr>
                <w:sz w:val="26"/>
                <w:szCs w:val="26"/>
              </w:rPr>
            </w:pPr>
          </w:p>
        </w:tc>
        <w:tc>
          <w:tcPr>
            <w:tcW w:w="850" w:type="pct"/>
            <w:tcBorders>
              <w:top w:val="outset" w:sz="6" w:space="0" w:color="000000"/>
              <w:left w:val="outset" w:sz="6" w:space="0" w:color="000000"/>
              <w:bottom w:val="outset" w:sz="4" w:space="0" w:color="auto"/>
              <w:right w:val="outset" w:sz="6" w:space="0" w:color="000000"/>
            </w:tcBorders>
          </w:tcPr>
          <w:p w:rsidR="00FD2051" w:rsidRPr="00C60580" w:rsidRDefault="00FD2051" w:rsidP="00784718">
            <w:pPr>
              <w:jc w:val="both"/>
              <w:rPr>
                <w:sz w:val="26"/>
                <w:szCs w:val="26"/>
              </w:rPr>
            </w:pPr>
            <w:r w:rsidRPr="00C60580">
              <w:rPr>
                <w:sz w:val="26"/>
                <w:szCs w:val="26"/>
              </w:rPr>
              <w:t>0</w:t>
            </w:r>
          </w:p>
        </w:tc>
        <w:tc>
          <w:tcPr>
            <w:tcW w:w="766" w:type="pct"/>
            <w:tcBorders>
              <w:top w:val="outset" w:sz="6" w:space="0" w:color="000000"/>
              <w:left w:val="outset" w:sz="6" w:space="0" w:color="000000"/>
              <w:bottom w:val="outset" w:sz="4" w:space="0" w:color="auto"/>
              <w:right w:val="outset" w:sz="6" w:space="0" w:color="000000"/>
            </w:tcBorders>
          </w:tcPr>
          <w:p w:rsidR="00FD2051" w:rsidRPr="00C60580" w:rsidRDefault="00FD2051" w:rsidP="00784718">
            <w:pPr>
              <w:jc w:val="both"/>
              <w:rPr>
                <w:sz w:val="26"/>
                <w:szCs w:val="26"/>
              </w:rPr>
            </w:pPr>
            <w:r w:rsidRPr="00C60580">
              <w:rPr>
                <w:sz w:val="26"/>
                <w:szCs w:val="26"/>
              </w:rPr>
              <w:t>0</w:t>
            </w:r>
          </w:p>
        </w:tc>
        <w:tc>
          <w:tcPr>
            <w:tcW w:w="809" w:type="pct"/>
            <w:tcBorders>
              <w:top w:val="outset" w:sz="6" w:space="0" w:color="000000"/>
              <w:left w:val="outset" w:sz="6" w:space="0" w:color="000000"/>
              <w:bottom w:val="outset" w:sz="4" w:space="0" w:color="auto"/>
              <w:right w:val="outset" w:sz="6" w:space="0" w:color="000000"/>
            </w:tcBorders>
          </w:tcPr>
          <w:p w:rsidR="00FD2051" w:rsidRPr="00C60580" w:rsidRDefault="00FD2051" w:rsidP="00784718">
            <w:pPr>
              <w:jc w:val="both"/>
              <w:rPr>
                <w:sz w:val="26"/>
                <w:szCs w:val="26"/>
              </w:rPr>
            </w:pPr>
            <w:r w:rsidRPr="00C60580">
              <w:rPr>
                <w:sz w:val="26"/>
                <w:szCs w:val="26"/>
              </w:rPr>
              <w:t>0</w:t>
            </w:r>
          </w:p>
        </w:tc>
        <w:tc>
          <w:tcPr>
            <w:tcW w:w="694" w:type="pct"/>
            <w:tcBorders>
              <w:top w:val="outset" w:sz="6" w:space="0" w:color="000000"/>
              <w:left w:val="outset" w:sz="6" w:space="0" w:color="000000"/>
              <w:bottom w:val="outset" w:sz="4" w:space="0" w:color="auto"/>
              <w:right w:val="outset" w:sz="6" w:space="0" w:color="auto"/>
            </w:tcBorders>
          </w:tcPr>
          <w:p w:rsidR="00FD2051" w:rsidRPr="00C60580" w:rsidRDefault="00FD2051" w:rsidP="00784718">
            <w:pPr>
              <w:jc w:val="both"/>
              <w:rPr>
                <w:sz w:val="26"/>
                <w:szCs w:val="26"/>
              </w:rPr>
            </w:pPr>
            <w:r w:rsidRPr="00C60580">
              <w:rPr>
                <w:sz w:val="26"/>
                <w:szCs w:val="26"/>
              </w:rPr>
              <w:t>0</w:t>
            </w:r>
          </w:p>
        </w:tc>
      </w:tr>
      <w:tr w:rsidR="00FD2051" w:rsidRPr="00C60580" w:rsidTr="00E21634">
        <w:trPr>
          <w:cantSplit/>
          <w:trHeight w:val="113"/>
        </w:trPr>
        <w:tc>
          <w:tcPr>
            <w:tcW w:w="1113" w:type="pct"/>
            <w:tcBorders>
              <w:top w:val="outset" w:sz="6" w:space="0" w:color="000000"/>
              <w:left w:val="outset" w:sz="6" w:space="0" w:color="000000"/>
              <w:bottom w:val="outset" w:sz="6" w:space="0" w:color="000000"/>
              <w:right w:val="outset" w:sz="4" w:space="0" w:color="auto"/>
            </w:tcBorders>
          </w:tcPr>
          <w:p w:rsidR="00FD2051" w:rsidRPr="00C60580" w:rsidRDefault="00FD2051" w:rsidP="00784718">
            <w:pPr>
              <w:jc w:val="both"/>
              <w:rPr>
                <w:sz w:val="26"/>
                <w:szCs w:val="26"/>
              </w:rPr>
            </w:pPr>
            <w:r w:rsidRPr="00C60580">
              <w:rPr>
                <w:sz w:val="26"/>
                <w:szCs w:val="26"/>
              </w:rPr>
              <w:t>6. Detalizēts ieņēmumu un izdevu</w:t>
            </w:r>
            <w:r w:rsidRPr="00C60580">
              <w:rPr>
                <w:sz w:val="26"/>
                <w:szCs w:val="26"/>
              </w:rPr>
              <w:softHyphen/>
              <w:t>mu aprēķins (ja nepieciešams, detalizētu ieņēmumu un izdevumu aprēķinu var pievienot anotācijas pielikumā):</w:t>
            </w:r>
          </w:p>
        </w:tc>
        <w:tc>
          <w:tcPr>
            <w:tcW w:w="3887" w:type="pct"/>
            <w:gridSpan w:val="5"/>
            <w:vMerge w:val="restart"/>
            <w:tcBorders>
              <w:top w:val="outset" w:sz="4" w:space="0" w:color="auto"/>
              <w:left w:val="outset" w:sz="4" w:space="0" w:color="auto"/>
              <w:bottom w:val="outset" w:sz="4" w:space="0" w:color="auto"/>
              <w:right w:val="outset" w:sz="4" w:space="0" w:color="auto"/>
            </w:tcBorders>
          </w:tcPr>
          <w:p w:rsidR="00C95EA0" w:rsidRPr="009A1D88" w:rsidRDefault="00FD2051" w:rsidP="00F70212">
            <w:pPr>
              <w:jc w:val="both"/>
              <w:rPr>
                <w:sz w:val="26"/>
                <w:szCs w:val="26"/>
              </w:rPr>
            </w:pPr>
            <w:r w:rsidRPr="009A1D88">
              <w:rPr>
                <w:sz w:val="26"/>
                <w:szCs w:val="26"/>
              </w:rPr>
              <w:t xml:space="preserve">Saskaņā ar noteikumu projektā paredzēto </w:t>
            </w:r>
            <w:r w:rsidR="007E1822" w:rsidRPr="009A1D88">
              <w:rPr>
                <w:sz w:val="26"/>
                <w:szCs w:val="26"/>
              </w:rPr>
              <w:t xml:space="preserve">izglītības iestāde, kurai piešķirts kompetences centra statuss, </w:t>
            </w:r>
            <w:r w:rsidR="00AD7C25" w:rsidRPr="009A1D88">
              <w:rPr>
                <w:sz w:val="26"/>
                <w:szCs w:val="26"/>
              </w:rPr>
              <w:t>ne vien</w:t>
            </w:r>
            <w:r w:rsidRPr="009A1D88">
              <w:rPr>
                <w:sz w:val="26"/>
                <w:szCs w:val="26"/>
              </w:rPr>
              <w:t xml:space="preserve"> īstenos profesionālās izglītības programmas, bet arī būs reģionālais vai nozares metodiskais centrs, pedagogu tālākizglītības centrs un veiks ārpus formālās izglītības sistēmas apgūtās profesionālās kompetences novērtēšanu. T</w:t>
            </w:r>
            <w:r w:rsidR="00F97A50" w:rsidRPr="009A1D88">
              <w:rPr>
                <w:sz w:val="26"/>
                <w:szCs w:val="26"/>
              </w:rPr>
              <w:t>ādēļ kompetences centrā</w:t>
            </w:r>
            <w:r w:rsidRPr="009A1D88">
              <w:rPr>
                <w:sz w:val="26"/>
                <w:szCs w:val="26"/>
              </w:rPr>
              <w:t xml:space="preserve"> nodarbināto pedagogu darba samaks</w:t>
            </w:r>
            <w:r w:rsidR="00276975" w:rsidRPr="009A1D88">
              <w:rPr>
                <w:sz w:val="26"/>
                <w:szCs w:val="26"/>
              </w:rPr>
              <w:t>a tiek</w:t>
            </w:r>
            <w:r w:rsidRPr="009A1D88">
              <w:rPr>
                <w:sz w:val="26"/>
                <w:szCs w:val="26"/>
              </w:rPr>
              <w:t xml:space="preserve"> palielinā</w:t>
            </w:r>
            <w:r w:rsidR="00276975" w:rsidRPr="009A1D88">
              <w:rPr>
                <w:sz w:val="26"/>
                <w:szCs w:val="26"/>
              </w:rPr>
              <w:t>ta</w:t>
            </w:r>
            <w:r w:rsidRPr="009A1D88">
              <w:rPr>
                <w:sz w:val="26"/>
                <w:szCs w:val="26"/>
              </w:rPr>
              <w:t xml:space="preserve"> par 10%. </w:t>
            </w:r>
          </w:p>
          <w:p w:rsidR="00056180" w:rsidRPr="009A1D88" w:rsidRDefault="00140A8C" w:rsidP="00F70212">
            <w:pPr>
              <w:jc w:val="both"/>
              <w:rPr>
                <w:sz w:val="26"/>
                <w:szCs w:val="26"/>
              </w:rPr>
            </w:pPr>
            <w:r w:rsidRPr="009A1D88">
              <w:rPr>
                <w:sz w:val="26"/>
                <w:szCs w:val="26"/>
              </w:rPr>
              <w:t xml:space="preserve">Atbilstoši pamatnostādnēm līdz 2015.gadam plānots piešķirt kompetences centra statusu 14 </w:t>
            </w:r>
            <w:r w:rsidR="006343BD" w:rsidRPr="009A1D88">
              <w:rPr>
                <w:sz w:val="26"/>
                <w:szCs w:val="26"/>
                <w:u w:val="single"/>
              </w:rPr>
              <w:t xml:space="preserve">Izglītības un zinātnes </w:t>
            </w:r>
            <w:r w:rsidR="008E0C89" w:rsidRPr="009A1D88">
              <w:rPr>
                <w:sz w:val="26"/>
                <w:szCs w:val="26"/>
                <w:u w:val="single"/>
              </w:rPr>
              <w:t>ministrijas</w:t>
            </w:r>
            <w:r w:rsidR="008E0C89" w:rsidRPr="009A1D88">
              <w:rPr>
                <w:sz w:val="26"/>
                <w:szCs w:val="26"/>
              </w:rPr>
              <w:t xml:space="preserve"> padotībā esošām </w:t>
            </w:r>
            <w:r w:rsidRPr="009A1D88">
              <w:rPr>
                <w:sz w:val="26"/>
                <w:szCs w:val="26"/>
              </w:rPr>
              <w:t>izglītības iestādēm.</w:t>
            </w:r>
          </w:p>
          <w:p w:rsidR="00276975" w:rsidRPr="009A1D88" w:rsidRDefault="00276975" w:rsidP="00276975">
            <w:pPr>
              <w:autoSpaceDE w:val="0"/>
              <w:autoSpaceDN w:val="0"/>
              <w:adjustRightInd w:val="0"/>
              <w:jc w:val="both"/>
              <w:rPr>
                <w:color w:val="000000"/>
                <w:sz w:val="26"/>
                <w:szCs w:val="26"/>
              </w:rPr>
            </w:pPr>
            <w:r w:rsidRPr="009A1D88">
              <w:rPr>
                <w:color w:val="000000"/>
                <w:sz w:val="26"/>
                <w:szCs w:val="26"/>
              </w:rPr>
              <w:t xml:space="preserve">Piemaksu 10% apmērā no mēneša darba algas likmes pedagogiem profesionālās izglītības kompetences centros jau nosaka Ministru kabineta 2009.gada 28.jūlija noteikumi Nr.836 "Pedagogu darba samaksas noteikumi" un finansējums tai ir paredzēts </w:t>
            </w:r>
            <w:r w:rsidR="0033396C">
              <w:rPr>
                <w:color w:val="000000"/>
                <w:sz w:val="26"/>
                <w:szCs w:val="26"/>
              </w:rPr>
              <w:t xml:space="preserve">Izglītības un zinātnes </w:t>
            </w:r>
            <w:r w:rsidRPr="009A1D88">
              <w:rPr>
                <w:color w:val="000000"/>
                <w:sz w:val="26"/>
                <w:szCs w:val="26"/>
              </w:rPr>
              <w:t>m</w:t>
            </w:r>
            <w:r w:rsidR="00B77C1D" w:rsidRPr="009A1D88">
              <w:rPr>
                <w:color w:val="000000"/>
                <w:sz w:val="26"/>
                <w:szCs w:val="26"/>
              </w:rPr>
              <w:t xml:space="preserve">inistrijas budžetā. </w:t>
            </w:r>
          </w:p>
          <w:p w:rsidR="00FD2051" w:rsidRPr="009A1D88" w:rsidRDefault="00FD2051" w:rsidP="009852B3">
            <w:pPr>
              <w:autoSpaceDE w:val="0"/>
              <w:autoSpaceDN w:val="0"/>
              <w:adjustRightInd w:val="0"/>
              <w:jc w:val="both"/>
              <w:rPr>
                <w:sz w:val="26"/>
                <w:szCs w:val="26"/>
              </w:rPr>
            </w:pPr>
            <w:r w:rsidRPr="009A1D88">
              <w:rPr>
                <w:sz w:val="26"/>
                <w:szCs w:val="26"/>
              </w:rPr>
              <w:t xml:space="preserve">2012.gadā un turpmākajos gados pedagogu darba samaksas pieauguma nodrošināšanai </w:t>
            </w:r>
            <w:r w:rsidR="009852B3" w:rsidRPr="009A1D88">
              <w:rPr>
                <w:sz w:val="26"/>
                <w:szCs w:val="26"/>
              </w:rPr>
              <w:t>plān</w:t>
            </w:r>
            <w:r w:rsidR="00A61E14" w:rsidRPr="009A1D88">
              <w:rPr>
                <w:sz w:val="26"/>
                <w:szCs w:val="26"/>
              </w:rPr>
              <w:t>otajos 14</w:t>
            </w:r>
            <w:r w:rsidR="00A636B2">
              <w:rPr>
                <w:sz w:val="26"/>
                <w:szCs w:val="26"/>
              </w:rPr>
              <w:t xml:space="preserve"> Izglītības un zinātnes ministrijas</w:t>
            </w:r>
            <w:r w:rsidR="00025D99">
              <w:rPr>
                <w:sz w:val="26"/>
                <w:szCs w:val="26"/>
              </w:rPr>
              <w:t xml:space="preserve"> padotībā esošajos</w:t>
            </w:r>
            <w:r w:rsidR="009852B3" w:rsidRPr="009A1D88">
              <w:rPr>
                <w:sz w:val="26"/>
                <w:szCs w:val="26"/>
              </w:rPr>
              <w:t xml:space="preserve"> kompetences centros </w:t>
            </w:r>
            <w:r w:rsidR="00025D99">
              <w:rPr>
                <w:sz w:val="26"/>
                <w:szCs w:val="26"/>
              </w:rPr>
              <w:t xml:space="preserve">Izglītības un zinātnes </w:t>
            </w:r>
            <w:r w:rsidR="009852B3" w:rsidRPr="009A1D88">
              <w:rPr>
                <w:sz w:val="26"/>
                <w:szCs w:val="26"/>
              </w:rPr>
              <w:t>ministrija ir paredzējusi savā budžetā 821 753</w:t>
            </w:r>
            <w:r w:rsidR="009852B3" w:rsidRPr="009A1D88">
              <w:rPr>
                <w:rFonts w:ascii="Helv" w:hAnsi="Helv" w:cs="Helv"/>
                <w:sz w:val="26"/>
                <w:szCs w:val="26"/>
              </w:rPr>
              <w:t xml:space="preserve"> </w:t>
            </w:r>
            <w:r w:rsidR="009852B3" w:rsidRPr="009A1D88">
              <w:rPr>
                <w:sz w:val="26"/>
                <w:szCs w:val="26"/>
              </w:rPr>
              <w:t xml:space="preserve">latus. </w:t>
            </w:r>
          </w:p>
          <w:p w:rsidR="00056180" w:rsidRPr="009A1D88" w:rsidRDefault="006343BD" w:rsidP="00056180">
            <w:pPr>
              <w:autoSpaceDE w:val="0"/>
              <w:autoSpaceDN w:val="0"/>
              <w:adjustRightInd w:val="0"/>
              <w:jc w:val="both"/>
              <w:rPr>
                <w:color w:val="000000"/>
                <w:sz w:val="26"/>
                <w:szCs w:val="26"/>
              </w:rPr>
            </w:pPr>
            <w:r w:rsidRPr="009A1D88">
              <w:rPr>
                <w:sz w:val="26"/>
                <w:szCs w:val="26"/>
              </w:rPr>
              <w:t xml:space="preserve">Plānotais </w:t>
            </w:r>
            <w:r w:rsidR="00056180" w:rsidRPr="009A1D88">
              <w:rPr>
                <w:sz w:val="26"/>
                <w:szCs w:val="26"/>
              </w:rPr>
              <w:t xml:space="preserve">gada vidējais izglītojamo skaits 14 kompetences centros 14 913. </w:t>
            </w:r>
            <w:r w:rsidR="00056180" w:rsidRPr="009A1D88">
              <w:rPr>
                <w:color w:val="000000"/>
                <w:sz w:val="26"/>
                <w:szCs w:val="26"/>
              </w:rPr>
              <w:t>Atbilstoši Ministru kabineta 2007.gada 2.oktobra</w:t>
            </w:r>
            <w:r w:rsidR="00072A8C" w:rsidRPr="009A1D88">
              <w:rPr>
                <w:color w:val="000000"/>
                <w:sz w:val="26"/>
                <w:szCs w:val="26"/>
              </w:rPr>
              <w:t xml:space="preserve"> </w:t>
            </w:r>
            <w:r w:rsidR="00056180" w:rsidRPr="009A1D88">
              <w:rPr>
                <w:color w:val="000000"/>
                <w:sz w:val="26"/>
                <w:szCs w:val="26"/>
              </w:rPr>
              <w:t>noteikumiem Nr.655 „Noteikumi par profesionālās izglītības programmu īstenošanas izmaksu minimumu uz vienu izglītojamo” pedagogu atalgojums gadā:</w:t>
            </w:r>
          </w:p>
          <w:p w:rsidR="00056180" w:rsidRPr="009A1D88" w:rsidRDefault="00056180" w:rsidP="00056180">
            <w:pPr>
              <w:autoSpaceDE w:val="0"/>
              <w:autoSpaceDN w:val="0"/>
              <w:adjustRightInd w:val="0"/>
              <w:jc w:val="both"/>
              <w:rPr>
                <w:color w:val="000000"/>
                <w:sz w:val="26"/>
                <w:szCs w:val="26"/>
              </w:rPr>
            </w:pPr>
            <w:r w:rsidRPr="009A1D88">
              <w:rPr>
                <w:color w:val="000000"/>
                <w:sz w:val="26"/>
                <w:szCs w:val="26"/>
              </w:rPr>
              <w:t>skolotāju atalgojums:</w:t>
            </w:r>
          </w:p>
          <w:p w:rsidR="00056180" w:rsidRPr="009A1D88" w:rsidRDefault="00056180" w:rsidP="00056180">
            <w:pPr>
              <w:autoSpaceDE w:val="0"/>
              <w:autoSpaceDN w:val="0"/>
              <w:adjustRightInd w:val="0"/>
              <w:jc w:val="both"/>
              <w:rPr>
                <w:color w:val="000000"/>
                <w:sz w:val="26"/>
                <w:szCs w:val="26"/>
              </w:rPr>
            </w:pPr>
            <w:r w:rsidRPr="009A1D88">
              <w:rPr>
                <w:color w:val="000000"/>
                <w:sz w:val="26"/>
                <w:szCs w:val="26"/>
              </w:rPr>
              <w:t>(14200/9,2 + 713/6) = 1662.3</w:t>
            </w:r>
            <w:r w:rsidR="00E159C6" w:rsidRPr="009A1D88">
              <w:rPr>
                <w:color w:val="000000"/>
                <w:sz w:val="26"/>
                <w:szCs w:val="26"/>
              </w:rPr>
              <w:t xml:space="preserve"> likmes x 255 x 12 </w:t>
            </w:r>
            <w:r w:rsidRPr="009A1D88">
              <w:rPr>
                <w:color w:val="000000"/>
                <w:sz w:val="26"/>
                <w:szCs w:val="26"/>
              </w:rPr>
              <w:t xml:space="preserve">= 5 086 638 lati;  </w:t>
            </w:r>
          </w:p>
          <w:p w:rsidR="00056180" w:rsidRPr="009A1D88" w:rsidRDefault="00056180" w:rsidP="00056180">
            <w:pPr>
              <w:autoSpaceDE w:val="0"/>
              <w:autoSpaceDN w:val="0"/>
              <w:adjustRightInd w:val="0"/>
              <w:jc w:val="both"/>
              <w:rPr>
                <w:color w:val="000000"/>
                <w:sz w:val="26"/>
                <w:szCs w:val="26"/>
              </w:rPr>
            </w:pPr>
            <w:r w:rsidRPr="009A1D88">
              <w:rPr>
                <w:color w:val="000000"/>
                <w:sz w:val="26"/>
                <w:szCs w:val="26"/>
              </w:rPr>
              <w:t>pārējo pedagogu atalgojums:</w:t>
            </w:r>
          </w:p>
          <w:p w:rsidR="00056180" w:rsidRPr="009A1D88" w:rsidRDefault="00056180" w:rsidP="00056180">
            <w:pPr>
              <w:autoSpaceDE w:val="0"/>
              <w:autoSpaceDN w:val="0"/>
              <w:adjustRightInd w:val="0"/>
              <w:jc w:val="both"/>
              <w:rPr>
                <w:color w:val="000000"/>
                <w:sz w:val="26"/>
                <w:szCs w:val="26"/>
              </w:rPr>
            </w:pPr>
            <w:r w:rsidRPr="009A1D88">
              <w:rPr>
                <w:color w:val="000000"/>
                <w:sz w:val="26"/>
                <w:szCs w:val="26"/>
              </w:rPr>
              <w:t xml:space="preserve">0,26 x 5 086 638 = </w:t>
            </w:r>
            <w:r w:rsidR="00E159C6" w:rsidRPr="009A1D88">
              <w:rPr>
                <w:color w:val="000000"/>
                <w:sz w:val="26"/>
                <w:szCs w:val="26"/>
              </w:rPr>
              <w:t>1 322 525</w:t>
            </w:r>
            <w:r w:rsidRPr="009A1D88">
              <w:rPr>
                <w:color w:val="000000"/>
                <w:sz w:val="26"/>
                <w:szCs w:val="26"/>
              </w:rPr>
              <w:t xml:space="preserve"> lati;</w:t>
            </w:r>
          </w:p>
          <w:p w:rsidR="00056180" w:rsidRPr="009A1D88" w:rsidRDefault="00056180" w:rsidP="00056180">
            <w:pPr>
              <w:autoSpaceDE w:val="0"/>
              <w:autoSpaceDN w:val="0"/>
              <w:adjustRightInd w:val="0"/>
              <w:jc w:val="both"/>
              <w:rPr>
                <w:color w:val="000000"/>
                <w:sz w:val="26"/>
                <w:szCs w:val="26"/>
              </w:rPr>
            </w:pPr>
            <w:r w:rsidRPr="009A1D88">
              <w:rPr>
                <w:color w:val="000000"/>
                <w:sz w:val="26"/>
                <w:szCs w:val="26"/>
              </w:rPr>
              <w:t>dienesta viesnīcas pedagogu atalgojums:</w:t>
            </w:r>
          </w:p>
          <w:p w:rsidR="00056180" w:rsidRPr="009A1D88" w:rsidRDefault="00056180" w:rsidP="00056180">
            <w:pPr>
              <w:autoSpaceDE w:val="0"/>
              <w:autoSpaceDN w:val="0"/>
              <w:adjustRightInd w:val="0"/>
              <w:jc w:val="both"/>
              <w:rPr>
                <w:color w:val="000000"/>
                <w:sz w:val="26"/>
                <w:szCs w:val="26"/>
              </w:rPr>
            </w:pPr>
            <w:r w:rsidRPr="009A1D88">
              <w:rPr>
                <w:color w:val="000000"/>
                <w:sz w:val="26"/>
                <w:szCs w:val="26"/>
              </w:rPr>
              <w:t>(5222/75) = 69,63 likmes x255x12 = 213 067 lati;</w:t>
            </w:r>
          </w:p>
          <w:p w:rsidR="00056180" w:rsidRPr="009A1D88" w:rsidRDefault="00056180" w:rsidP="00056180">
            <w:pPr>
              <w:autoSpaceDE w:val="0"/>
              <w:autoSpaceDN w:val="0"/>
              <w:adjustRightInd w:val="0"/>
              <w:jc w:val="both"/>
              <w:rPr>
                <w:color w:val="000000"/>
                <w:sz w:val="26"/>
                <w:szCs w:val="26"/>
              </w:rPr>
            </w:pPr>
            <w:r w:rsidRPr="009A1D88">
              <w:rPr>
                <w:color w:val="000000"/>
                <w:sz w:val="26"/>
                <w:szCs w:val="26"/>
              </w:rPr>
              <w:t>5 086 638 + 1 322 525 + 213 067 = 6 622 230 lati.</w:t>
            </w:r>
          </w:p>
          <w:p w:rsidR="00754E06" w:rsidRPr="009A1D88" w:rsidRDefault="00754E06" w:rsidP="00754E06">
            <w:pPr>
              <w:autoSpaceDE w:val="0"/>
              <w:autoSpaceDN w:val="0"/>
              <w:adjustRightInd w:val="0"/>
              <w:jc w:val="both"/>
              <w:rPr>
                <w:color w:val="000000"/>
                <w:sz w:val="26"/>
                <w:szCs w:val="26"/>
              </w:rPr>
            </w:pPr>
            <w:r w:rsidRPr="009A1D88">
              <w:rPr>
                <w:color w:val="000000"/>
                <w:sz w:val="26"/>
                <w:szCs w:val="26"/>
              </w:rPr>
              <w:t>Piemaksa par kompetences centru: 10% no 6 622 230 = 662</w:t>
            </w:r>
            <w:r w:rsidR="00056180" w:rsidRPr="009A1D88">
              <w:rPr>
                <w:color w:val="000000"/>
                <w:sz w:val="26"/>
                <w:szCs w:val="26"/>
              </w:rPr>
              <w:t>223 lati</w:t>
            </w:r>
            <w:r w:rsidRPr="009A1D88">
              <w:rPr>
                <w:color w:val="000000"/>
                <w:sz w:val="26"/>
                <w:szCs w:val="26"/>
              </w:rPr>
              <w:t>;</w:t>
            </w:r>
          </w:p>
          <w:p w:rsidR="00056180" w:rsidRPr="009A1D88" w:rsidRDefault="00754E06" w:rsidP="00754E06">
            <w:pPr>
              <w:autoSpaceDE w:val="0"/>
              <w:autoSpaceDN w:val="0"/>
              <w:adjustRightInd w:val="0"/>
              <w:jc w:val="both"/>
              <w:rPr>
                <w:sz w:val="26"/>
                <w:szCs w:val="26"/>
              </w:rPr>
            </w:pPr>
            <w:r w:rsidRPr="009A1D88">
              <w:rPr>
                <w:sz w:val="26"/>
                <w:szCs w:val="26"/>
              </w:rPr>
              <w:t>Valsts sociālās apdrošināšanas obligātās iemaksas:</w:t>
            </w:r>
            <w:r w:rsidR="00056180" w:rsidRPr="009A1D88">
              <w:rPr>
                <w:sz w:val="26"/>
                <w:szCs w:val="26"/>
              </w:rPr>
              <w:t xml:space="preserve"> 24,09 % no </w:t>
            </w:r>
            <w:r w:rsidR="00056180" w:rsidRPr="009A1D88">
              <w:rPr>
                <w:color w:val="000000"/>
                <w:sz w:val="26"/>
                <w:szCs w:val="26"/>
              </w:rPr>
              <w:t xml:space="preserve">662 223 </w:t>
            </w:r>
            <w:r w:rsidR="00F7047A" w:rsidRPr="009A1D88">
              <w:rPr>
                <w:sz w:val="26"/>
                <w:szCs w:val="26"/>
              </w:rPr>
              <w:t xml:space="preserve">= </w:t>
            </w:r>
            <w:r w:rsidR="00056180" w:rsidRPr="009A1D88">
              <w:rPr>
                <w:sz w:val="26"/>
                <w:szCs w:val="26"/>
              </w:rPr>
              <w:t>159 530</w:t>
            </w:r>
            <w:r w:rsidR="00F7047A" w:rsidRPr="009A1D88">
              <w:rPr>
                <w:sz w:val="26"/>
                <w:szCs w:val="26"/>
              </w:rPr>
              <w:t xml:space="preserve"> lati</w:t>
            </w:r>
            <w:r w:rsidRPr="009A1D88">
              <w:rPr>
                <w:sz w:val="26"/>
                <w:szCs w:val="26"/>
              </w:rPr>
              <w:t>;</w:t>
            </w:r>
          </w:p>
          <w:p w:rsidR="00754E06" w:rsidRPr="009A1D88" w:rsidRDefault="00754E06" w:rsidP="00056180">
            <w:pPr>
              <w:jc w:val="both"/>
              <w:rPr>
                <w:sz w:val="26"/>
                <w:szCs w:val="26"/>
                <w:u w:val="single"/>
              </w:rPr>
            </w:pPr>
            <w:r w:rsidRPr="009A1D88">
              <w:rPr>
                <w:sz w:val="26"/>
                <w:szCs w:val="26"/>
                <w:u w:val="single"/>
              </w:rPr>
              <w:t xml:space="preserve">Kopā: </w:t>
            </w:r>
            <w:r w:rsidR="00056180" w:rsidRPr="009A1D88">
              <w:rPr>
                <w:sz w:val="26"/>
                <w:szCs w:val="26"/>
                <w:u w:val="single"/>
              </w:rPr>
              <w:t>821 753 lati</w:t>
            </w:r>
          </w:p>
          <w:p w:rsidR="00056180" w:rsidRPr="009A1D88" w:rsidRDefault="00E159C6" w:rsidP="00056180">
            <w:pPr>
              <w:jc w:val="both"/>
              <w:rPr>
                <w:sz w:val="26"/>
                <w:szCs w:val="26"/>
              </w:rPr>
            </w:pPr>
            <w:r w:rsidRPr="009A1D88">
              <w:rPr>
                <w:sz w:val="26"/>
                <w:szCs w:val="26"/>
              </w:rPr>
              <w:t xml:space="preserve">No </w:t>
            </w:r>
            <w:r w:rsidR="00056180" w:rsidRPr="009A1D88">
              <w:rPr>
                <w:sz w:val="26"/>
                <w:szCs w:val="26"/>
              </w:rPr>
              <w:t>2011.gada 1.septembra kompetences centra statuss piešķirts 6 izglītības iestādēm u</w:t>
            </w:r>
            <w:r w:rsidR="00F7047A" w:rsidRPr="009A1D88">
              <w:rPr>
                <w:sz w:val="26"/>
                <w:szCs w:val="26"/>
              </w:rPr>
              <w:t xml:space="preserve">n 10% piemaksas nodrošināšanai </w:t>
            </w:r>
            <w:r w:rsidR="00056180" w:rsidRPr="009A1D88">
              <w:rPr>
                <w:sz w:val="26"/>
                <w:szCs w:val="26"/>
              </w:rPr>
              <w:t>šo 6</w:t>
            </w:r>
            <w:r w:rsidR="00F7047A" w:rsidRPr="009A1D88">
              <w:rPr>
                <w:sz w:val="26"/>
                <w:szCs w:val="26"/>
              </w:rPr>
              <w:t xml:space="preserve"> </w:t>
            </w:r>
            <w:r w:rsidR="00F7047A" w:rsidRPr="009A1D88">
              <w:rPr>
                <w:sz w:val="26"/>
                <w:szCs w:val="26"/>
              </w:rPr>
              <w:lastRenderedPageBreak/>
              <w:t xml:space="preserve">kompetences centru pedagogiem </w:t>
            </w:r>
            <w:r w:rsidR="00056180" w:rsidRPr="009A1D88">
              <w:rPr>
                <w:sz w:val="26"/>
                <w:szCs w:val="26"/>
              </w:rPr>
              <w:t>2012.gadā paredzēta atlīdzība 331 797 lati.</w:t>
            </w:r>
          </w:p>
          <w:p w:rsidR="00E356FE" w:rsidRPr="009A1D88" w:rsidRDefault="00F57A55" w:rsidP="00056180">
            <w:pPr>
              <w:jc w:val="both"/>
              <w:rPr>
                <w:sz w:val="26"/>
                <w:szCs w:val="26"/>
              </w:rPr>
            </w:pPr>
            <w:r>
              <w:rPr>
                <w:sz w:val="26"/>
                <w:szCs w:val="26"/>
              </w:rPr>
              <w:t>Plānots, ka 2013.gada pirmajā ceturksnī</w:t>
            </w:r>
            <w:r w:rsidR="00E356FE" w:rsidRPr="009A1D88">
              <w:rPr>
                <w:sz w:val="26"/>
                <w:szCs w:val="26"/>
              </w:rPr>
              <w:t xml:space="preserve"> darbu uzsāks visi 14 kompetences centri, kā to paredz apstiprinātais finansējums.</w:t>
            </w:r>
          </w:p>
          <w:p w:rsidR="00031786" w:rsidRPr="009A1D88" w:rsidRDefault="00031786" w:rsidP="00056180">
            <w:pPr>
              <w:jc w:val="both"/>
              <w:rPr>
                <w:sz w:val="26"/>
                <w:szCs w:val="26"/>
              </w:rPr>
            </w:pPr>
          </w:p>
          <w:p w:rsidR="008A4C04" w:rsidRPr="009A1D88" w:rsidRDefault="008A4C04" w:rsidP="008A4C04">
            <w:pPr>
              <w:jc w:val="both"/>
              <w:rPr>
                <w:color w:val="000000"/>
                <w:sz w:val="26"/>
                <w:szCs w:val="26"/>
                <w:u w:val="single"/>
              </w:rPr>
            </w:pPr>
            <w:r w:rsidRPr="009A1D88">
              <w:rPr>
                <w:b/>
                <w:color w:val="000000"/>
                <w:sz w:val="26"/>
                <w:szCs w:val="26"/>
                <w:u w:val="single"/>
              </w:rPr>
              <w:t xml:space="preserve">Kultūras ministrijas </w:t>
            </w:r>
            <w:r w:rsidR="00263F8B" w:rsidRPr="009A1D88">
              <w:rPr>
                <w:b/>
                <w:color w:val="000000"/>
                <w:sz w:val="26"/>
                <w:szCs w:val="26"/>
                <w:u w:val="single"/>
              </w:rPr>
              <w:t>kompetences centri</w:t>
            </w:r>
            <w:r w:rsidRPr="009A1D88">
              <w:rPr>
                <w:color w:val="000000"/>
                <w:sz w:val="26"/>
                <w:szCs w:val="26"/>
                <w:u w:val="single"/>
              </w:rPr>
              <w:t>:</w:t>
            </w:r>
          </w:p>
          <w:p w:rsidR="008A4C04" w:rsidRPr="009A1D88" w:rsidRDefault="008A4C04" w:rsidP="008A4C04">
            <w:pPr>
              <w:jc w:val="both"/>
              <w:rPr>
                <w:sz w:val="26"/>
                <w:szCs w:val="26"/>
              </w:rPr>
            </w:pPr>
            <w:r w:rsidRPr="009A1D88">
              <w:rPr>
                <w:color w:val="000000"/>
                <w:sz w:val="26"/>
                <w:szCs w:val="26"/>
              </w:rPr>
              <w:t>Provizoris</w:t>
            </w:r>
            <w:r w:rsidR="00094D02" w:rsidRPr="009A1D88">
              <w:rPr>
                <w:color w:val="000000"/>
                <w:sz w:val="26"/>
                <w:szCs w:val="26"/>
              </w:rPr>
              <w:t xml:space="preserve">ki 2014.gadā var būt izveidoti </w:t>
            </w:r>
            <w:r w:rsidR="00094D02" w:rsidRPr="009A1D88">
              <w:rPr>
                <w:color w:val="000000"/>
                <w:sz w:val="26"/>
                <w:szCs w:val="26"/>
                <w:u w:val="single"/>
              </w:rPr>
              <w:t>divi</w:t>
            </w:r>
            <w:r w:rsidRPr="009A1D88">
              <w:rPr>
                <w:color w:val="000000"/>
                <w:sz w:val="26"/>
                <w:szCs w:val="26"/>
              </w:rPr>
              <w:t xml:space="preserve"> profesionālas izglītības kompetences centri.</w:t>
            </w:r>
            <w:r w:rsidRPr="009A1D88">
              <w:rPr>
                <w:sz w:val="26"/>
                <w:szCs w:val="26"/>
              </w:rPr>
              <w:t xml:space="preserve"> Plānotais vi</w:t>
            </w:r>
            <w:r w:rsidR="00094D02" w:rsidRPr="009A1D88">
              <w:rPr>
                <w:sz w:val="26"/>
                <w:szCs w:val="26"/>
              </w:rPr>
              <w:t xml:space="preserve">dējais izglītojamo skaits gadā </w:t>
            </w:r>
            <w:r w:rsidR="00094D02" w:rsidRPr="009A1D88">
              <w:rPr>
                <w:sz w:val="26"/>
                <w:szCs w:val="26"/>
                <w:u w:val="single"/>
              </w:rPr>
              <w:t>divos</w:t>
            </w:r>
            <w:r w:rsidR="00025D99">
              <w:rPr>
                <w:sz w:val="26"/>
                <w:szCs w:val="26"/>
              </w:rPr>
              <w:t xml:space="preserve"> Kultūras ministrijas</w:t>
            </w:r>
            <w:r w:rsidRPr="009A1D88">
              <w:rPr>
                <w:sz w:val="26"/>
                <w:szCs w:val="26"/>
              </w:rPr>
              <w:t xml:space="preserve"> padotībā esošās profesionālās izglītības kompetences centros profesionālās vidējās izglītības mūzikas un dejas program</w:t>
            </w:r>
            <w:r w:rsidR="00AA4A3F" w:rsidRPr="009A1D88">
              <w:rPr>
                <w:sz w:val="26"/>
                <w:szCs w:val="26"/>
              </w:rPr>
              <w:t>mās – 350 izglītojamie,</w:t>
            </w:r>
            <w:r w:rsidRPr="009A1D88">
              <w:rPr>
                <w:sz w:val="26"/>
                <w:szCs w:val="26"/>
              </w:rPr>
              <w:t xml:space="preserve"> mākslas un dizaina kompetences centrā – 650 izglītojamie. </w:t>
            </w:r>
          </w:p>
          <w:p w:rsidR="00846C41" w:rsidRPr="009A1D88" w:rsidRDefault="008A4C04" w:rsidP="00025D99">
            <w:pPr>
              <w:ind w:firstLine="317"/>
              <w:jc w:val="both"/>
              <w:rPr>
                <w:sz w:val="26"/>
                <w:szCs w:val="26"/>
              </w:rPr>
            </w:pPr>
            <w:r w:rsidRPr="009A1D88">
              <w:rPr>
                <w:sz w:val="26"/>
                <w:szCs w:val="26"/>
              </w:rPr>
              <w:t>Papildus profesionālās vidējā</w:t>
            </w:r>
            <w:r w:rsidR="00025D99">
              <w:rPr>
                <w:sz w:val="26"/>
                <w:szCs w:val="26"/>
              </w:rPr>
              <w:t>s izglītības programmām visas Kultūras ministrijas</w:t>
            </w:r>
            <w:r w:rsidRPr="009A1D88">
              <w:rPr>
                <w:sz w:val="26"/>
                <w:szCs w:val="26"/>
              </w:rPr>
              <w:t xml:space="preserve"> padotībā esošās mūzikas un mākslas vidusskolas īsteno arī profesionālās ievirzes izglītības programmas, kuras arī tiek finansētas no valsts budžeta un kuras tiek plānots saglabāt arī tad, ja izglītības iestāde iegūs kompetence</w:t>
            </w:r>
            <w:r w:rsidR="00025D99">
              <w:rPr>
                <w:sz w:val="26"/>
                <w:szCs w:val="26"/>
              </w:rPr>
              <w:t>s centra statusu. Līdz ar to, Kultūras ministrijas</w:t>
            </w:r>
            <w:r w:rsidRPr="009A1D88">
              <w:rPr>
                <w:sz w:val="26"/>
                <w:szCs w:val="26"/>
              </w:rPr>
              <w:t xml:space="preserve"> aprēķinos, pamatojoties uz Ministru kabineta 2009.gada 28.jūlija noteikumu Nr.836 „Pedagogu darba samaksas noteikumi” </w:t>
            </w:r>
            <w:r w:rsidR="00025D99">
              <w:rPr>
                <w:sz w:val="26"/>
                <w:szCs w:val="26"/>
              </w:rPr>
              <w:t>28.punktu, ir jāparedz piemaksa</w:t>
            </w:r>
            <w:r w:rsidRPr="009A1D88">
              <w:rPr>
                <w:sz w:val="26"/>
                <w:szCs w:val="26"/>
              </w:rPr>
              <w:t xml:space="preserve"> 10% apmērā ne tikai profesionālās vidējās izglītības programmās, bet arī profesionālās ievirzes programmās.</w:t>
            </w:r>
          </w:p>
          <w:p w:rsidR="008A4C04" w:rsidRPr="009A1D88" w:rsidRDefault="00025D99" w:rsidP="008A4C04">
            <w:pPr>
              <w:jc w:val="both"/>
              <w:rPr>
                <w:sz w:val="26"/>
                <w:szCs w:val="26"/>
                <w:u w:val="single"/>
              </w:rPr>
            </w:pPr>
            <w:r>
              <w:rPr>
                <w:sz w:val="26"/>
                <w:szCs w:val="26"/>
                <w:u w:val="single"/>
              </w:rPr>
              <w:t>Provizoriskais papildu</w:t>
            </w:r>
            <w:r w:rsidR="008A4C04" w:rsidRPr="009A1D88">
              <w:rPr>
                <w:sz w:val="26"/>
                <w:szCs w:val="26"/>
                <w:u w:val="single"/>
              </w:rPr>
              <w:t xml:space="preserve"> nepieciešamā finansējuma aprēķins </w:t>
            </w:r>
            <w:r w:rsidR="008A4C04" w:rsidRPr="009A1D88">
              <w:rPr>
                <w:b/>
                <w:sz w:val="26"/>
                <w:szCs w:val="26"/>
                <w:u w:val="single"/>
              </w:rPr>
              <w:t>profesionālās vidējās</w:t>
            </w:r>
            <w:r w:rsidR="008A4C04" w:rsidRPr="009A1D88">
              <w:rPr>
                <w:sz w:val="26"/>
                <w:szCs w:val="26"/>
                <w:u w:val="single"/>
              </w:rPr>
              <w:t xml:space="preserve"> izglītības programmās:</w:t>
            </w:r>
          </w:p>
          <w:p w:rsidR="00FB2AC2" w:rsidRPr="001F18E5" w:rsidRDefault="00FB2AC2" w:rsidP="002B5459">
            <w:pPr>
              <w:jc w:val="both"/>
              <w:rPr>
                <w:sz w:val="26"/>
                <w:szCs w:val="26"/>
              </w:rPr>
            </w:pPr>
            <w:r w:rsidRPr="001F18E5">
              <w:rPr>
                <w:sz w:val="26"/>
                <w:szCs w:val="26"/>
              </w:rPr>
              <w:t>Atbilstoši Ministru kabineta 2007.gada 2.oktobra noteikumiem Nr.655 „Noteikumi par profesionālās izglītības programmu īstenošanas izmaksu minimumu uz vienu izglītojamo” pedagogu atalgojums gadā:</w:t>
            </w:r>
          </w:p>
          <w:p w:rsidR="00FB2AC2" w:rsidRPr="001F18E5" w:rsidRDefault="00FB2AC2" w:rsidP="002B5459">
            <w:pPr>
              <w:jc w:val="both"/>
              <w:rPr>
                <w:sz w:val="26"/>
                <w:szCs w:val="26"/>
              </w:rPr>
            </w:pPr>
            <w:r w:rsidRPr="001F18E5">
              <w:rPr>
                <w:sz w:val="26"/>
                <w:szCs w:val="26"/>
              </w:rPr>
              <w:t>skolotāju atalgojums:</w:t>
            </w:r>
          </w:p>
          <w:p w:rsidR="001F18E5" w:rsidRPr="001F18E5" w:rsidRDefault="001F18E5" w:rsidP="001F18E5">
            <w:pPr>
              <w:jc w:val="both"/>
              <w:rPr>
                <w:sz w:val="26"/>
                <w:szCs w:val="26"/>
              </w:rPr>
            </w:pPr>
            <w:r w:rsidRPr="001F18E5">
              <w:rPr>
                <w:sz w:val="26"/>
                <w:szCs w:val="26"/>
              </w:rPr>
              <w:t xml:space="preserve">(650//3,9 + 350/1,8) = (166,67 likmes +194,45 likmes) x 280 x 12 = 1 213 363,20 lati;  </w:t>
            </w:r>
          </w:p>
          <w:p w:rsidR="001F18E5" w:rsidRPr="001F18E5" w:rsidRDefault="001F18E5" w:rsidP="001F18E5">
            <w:pPr>
              <w:jc w:val="both"/>
              <w:rPr>
                <w:sz w:val="26"/>
                <w:szCs w:val="26"/>
              </w:rPr>
            </w:pPr>
            <w:r w:rsidRPr="001F18E5">
              <w:rPr>
                <w:sz w:val="26"/>
                <w:szCs w:val="26"/>
              </w:rPr>
              <w:t>pārējo pedagogu atalgojums:</w:t>
            </w:r>
          </w:p>
          <w:p w:rsidR="001F18E5" w:rsidRPr="001F18E5" w:rsidRDefault="001F18E5" w:rsidP="001F18E5">
            <w:pPr>
              <w:jc w:val="both"/>
              <w:rPr>
                <w:sz w:val="26"/>
                <w:szCs w:val="26"/>
              </w:rPr>
            </w:pPr>
            <w:r w:rsidRPr="001F18E5">
              <w:rPr>
                <w:sz w:val="26"/>
                <w:szCs w:val="26"/>
              </w:rPr>
              <w:t>0,26 x 1 213 364,20 = 315 474,43 lati;</w:t>
            </w:r>
          </w:p>
          <w:p w:rsidR="001F18E5" w:rsidRPr="001F18E5" w:rsidRDefault="001F18E5" w:rsidP="001F18E5">
            <w:pPr>
              <w:jc w:val="both"/>
              <w:rPr>
                <w:sz w:val="26"/>
                <w:szCs w:val="26"/>
              </w:rPr>
            </w:pPr>
            <w:r w:rsidRPr="001F18E5">
              <w:rPr>
                <w:sz w:val="26"/>
                <w:szCs w:val="26"/>
              </w:rPr>
              <w:t>dienesta viesnīcas pedagogu atalgojums:</w:t>
            </w:r>
          </w:p>
          <w:p w:rsidR="001F18E5" w:rsidRPr="001F18E5" w:rsidRDefault="001F18E5" w:rsidP="001F18E5">
            <w:pPr>
              <w:jc w:val="both"/>
              <w:rPr>
                <w:sz w:val="26"/>
                <w:szCs w:val="26"/>
              </w:rPr>
            </w:pPr>
            <w:r w:rsidRPr="001F18E5">
              <w:rPr>
                <w:sz w:val="26"/>
                <w:szCs w:val="26"/>
              </w:rPr>
              <w:t>(375/75) = 5 likmes x280x12 = 16 800 lati;</w:t>
            </w:r>
          </w:p>
          <w:p w:rsidR="001F18E5" w:rsidRPr="001F18E5" w:rsidRDefault="001F18E5" w:rsidP="001F18E5">
            <w:pPr>
              <w:jc w:val="both"/>
              <w:rPr>
                <w:sz w:val="26"/>
                <w:szCs w:val="26"/>
              </w:rPr>
            </w:pPr>
            <w:r w:rsidRPr="001F18E5">
              <w:rPr>
                <w:sz w:val="26"/>
                <w:szCs w:val="26"/>
              </w:rPr>
              <w:t>1 213 364,20 + 315 474,43 + 16 800 = 1 545 638, 63 lati.</w:t>
            </w:r>
          </w:p>
          <w:p w:rsidR="001F18E5" w:rsidRPr="001F18E5" w:rsidRDefault="001F18E5" w:rsidP="001F18E5">
            <w:pPr>
              <w:jc w:val="both"/>
              <w:rPr>
                <w:sz w:val="26"/>
                <w:szCs w:val="26"/>
              </w:rPr>
            </w:pPr>
            <w:r w:rsidRPr="001F18E5">
              <w:rPr>
                <w:sz w:val="26"/>
                <w:szCs w:val="26"/>
              </w:rPr>
              <w:t>Piemaksa par kompetences centru: 10% no 1 545</w:t>
            </w:r>
            <w:r w:rsidR="00162BD9">
              <w:rPr>
                <w:sz w:val="26"/>
                <w:szCs w:val="26"/>
              </w:rPr>
              <w:t> </w:t>
            </w:r>
            <w:r w:rsidRPr="001F18E5">
              <w:rPr>
                <w:sz w:val="26"/>
                <w:szCs w:val="26"/>
              </w:rPr>
              <w:t>63</w:t>
            </w:r>
            <w:r w:rsidR="00162BD9">
              <w:rPr>
                <w:sz w:val="26"/>
                <w:szCs w:val="26"/>
              </w:rPr>
              <w:t>8,63</w:t>
            </w:r>
            <w:r w:rsidRPr="001F18E5">
              <w:rPr>
                <w:sz w:val="26"/>
                <w:szCs w:val="26"/>
              </w:rPr>
              <w:t>= 154 563,86  lati;</w:t>
            </w:r>
          </w:p>
          <w:p w:rsidR="001F18E5" w:rsidRPr="001F18E5" w:rsidRDefault="001F18E5" w:rsidP="001F18E5">
            <w:pPr>
              <w:jc w:val="both"/>
              <w:rPr>
                <w:sz w:val="26"/>
                <w:szCs w:val="26"/>
              </w:rPr>
            </w:pPr>
            <w:r w:rsidRPr="001F18E5">
              <w:rPr>
                <w:sz w:val="26"/>
                <w:szCs w:val="26"/>
              </w:rPr>
              <w:t>Valsts sociālās apdrošināšanas obligātās iemaksas: 24,09 % no 154 563,86 = 37 234,43 lati;</w:t>
            </w:r>
          </w:p>
          <w:p w:rsidR="001F18E5" w:rsidRPr="001F18E5" w:rsidRDefault="001F18E5" w:rsidP="001F18E5">
            <w:pPr>
              <w:jc w:val="both"/>
              <w:rPr>
                <w:sz w:val="26"/>
                <w:szCs w:val="26"/>
              </w:rPr>
            </w:pPr>
            <w:r w:rsidRPr="001F18E5">
              <w:rPr>
                <w:sz w:val="26"/>
                <w:szCs w:val="26"/>
              </w:rPr>
              <w:t xml:space="preserve">Atlīdzība piemaksu nodrošināšanai profesionālās vidējās izglītības programmās: 191 798,29 lati. </w:t>
            </w:r>
          </w:p>
          <w:p w:rsidR="00FB2AC2" w:rsidRPr="009A1D88" w:rsidRDefault="001F18E5" w:rsidP="00FB2AC2">
            <w:pPr>
              <w:jc w:val="both"/>
              <w:rPr>
                <w:sz w:val="26"/>
                <w:szCs w:val="26"/>
              </w:rPr>
            </w:pPr>
            <w:r w:rsidRPr="009A1D88">
              <w:rPr>
                <w:sz w:val="26"/>
                <w:szCs w:val="26"/>
              </w:rPr>
              <w:t xml:space="preserve"> </w:t>
            </w:r>
          </w:p>
          <w:p w:rsidR="00072A8C" w:rsidRPr="009A1D88" w:rsidRDefault="00072A8C" w:rsidP="00025D99">
            <w:pPr>
              <w:jc w:val="both"/>
              <w:rPr>
                <w:sz w:val="26"/>
                <w:szCs w:val="26"/>
              </w:rPr>
            </w:pPr>
            <w:r w:rsidRPr="009A1D88">
              <w:rPr>
                <w:sz w:val="26"/>
                <w:szCs w:val="26"/>
              </w:rPr>
              <w:lastRenderedPageBreak/>
              <w:t>Profesionālās ievirzes izglītības programmās provizoriskais iz</w:t>
            </w:r>
            <w:r w:rsidR="00FB2AC2" w:rsidRPr="009A1D88">
              <w:rPr>
                <w:sz w:val="26"/>
                <w:szCs w:val="26"/>
              </w:rPr>
              <w:t xml:space="preserve">glītojamo skaits ir </w:t>
            </w:r>
            <w:r w:rsidRPr="009A1D88">
              <w:rPr>
                <w:sz w:val="26"/>
                <w:szCs w:val="26"/>
              </w:rPr>
              <w:t>100 izglītojamie mākslas profesionālajās izglītības programmās (aptuvenais apmaksājamo pedagoģisko likmju skaits – 5 likmes) un 485 izglītojamie mūzikas un dejas profesionālās izglītības programmās (aptuvenais apmaksājamo pedagoģisko likmju skaits – 120 likmes). Pr</w:t>
            </w:r>
            <w:r w:rsidR="00F420E0">
              <w:rPr>
                <w:sz w:val="26"/>
                <w:szCs w:val="26"/>
              </w:rPr>
              <w:t>ovizoriskais izglītojamo skaits</w:t>
            </w:r>
            <w:r w:rsidRPr="009A1D88">
              <w:rPr>
                <w:sz w:val="26"/>
                <w:szCs w:val="26"/>
              </w:rPr>
              <w:t xml:space="preserve"> un apmaksājamo pedagoģisko likmju skaits noteikts, pamatojoties uz izglītojamo skaitu, kas pašlaik apgūst profesionālās ievirzes izglītības programmas potenciālajos K</w:t>
            </w:r>
            <w:r w:rsidR="00025D99">
              <w:rPr>
                <w:sz w:val="26"/>
                <w:szCs w:val="26"/>
              </w:rPr>
              <w:t>ultūras ministrijas</w:t>
            </w:r>
            <w:r w:rsidRPr="009A1D88">
              <w:rPr>
                <w:sz w:val="26"/>
                <w:szCs w:val="26"/>
              </w:rPr>
              <w:t xml:space="preserve"> profesionālās izglītības kompetences centros. </w:t>
            </w:r>
          </w:p>
          <w:p w:rsidR="00FB2AC2" w:rsidRPr="009A1D88" w:rsidRDefault="00025D99" w:rsidP="00FB2AC2">
            <w:pPr>
              <w:jc w:val="both"/>
              <w:rPr>
                <w:sz w:val="26"/>
                <w:szCs w:val="26"/>
                <w:u w:val="single"/>
              </w:rPr>
            </w:pPr>
            <w:r>
              <w:rPr>
                <w:sz w:val="26"/>
                <w:szCs w:val="26"/>
                <w:u w:val="single"/>
              </w:rPr>
              <w:t>Provizoriskais papildu</w:t>
            </w:r>
            <w:r w:rsidR="00FB2AC2" w:rsidRPr="009A1D88">
              <w:rPr>
                <w:sz w:val="26"/>
                <w:szCs w:val="26"/>
                <w:u w:val="single"/>
              </w:rPr>
              <w:t xml:space="preserve"> nepieciešamā finansējuma aprēķins </w:t>
            </w:r>
            <w:r w:rsidR="00FB2AC2" w:rsidRPr="009A1D88">
              <w:rPr>
                <w:b/>
                <w:sz w:val="26"/>
                <w:szCs w:val="26"/>
                <w:u w:val="single"/>
              </w:rPr>
              <w:t>profesionālās ievirzes</w:t>
            </w:r>
            <w:r w:rsidR="00FB2AC2" w:rsidRPr="009A1D88">
              <w:rPr>
                <w:sz w:val="26"/>
                <w:szCs w:val="26"/>
                <w:u w:val="single"/>
              </w:rPr>
              <w:t xml:space="preserve"> izglītības programmās:</w:t>
            </w:r>
          </w:p>
          <w:p w:rsidR="006231C4" w:rsidRPr="006231C4" w:rsidRDefault="006231C4" w:rsidP="006231C4">
            <w:pPr>
              <w:jc w:val="both"/>
              <w:rPr>
                <w:sz w:val="26"/>
                <w:szCs w:val="26"/>
              </w:rPr>
            </w:pPr>
            <w:r w:rsidRPr="006231C4">
              <w:rPr>
                <w:sz w:val="26"/>
                <w:szCs w:val="26"/>
              </w:rPr>
              <w:t xml:space="preserve">Atlīdzība profesionālās ievirzes izglītības programmās:  (5 likmes +120 likmes) x </w:t>
            </w:r>
            <w:r w:rsidR="00025D99">
              <w:rPr>
                <w:sz w:val="26"/>
                <w:szCs w:val="26"/>
              </w:rPr>
              <w:t>280</w:t>
            </w:r>
            <w:r w:rsidR="00162BD9">
              <w:rPr>
                <w:sz w:val="26"/>
                <w:szCs w:val="26"/>
              </w:rPr>
              <w:t xml:space="preserve"> x 12</w:t>
            </w:r>
            <w:r w:rsidRPr="006231C4">
              <w:rPr>
                <w:sz w:val="26"/>
                <w:szCs w:val="26"/>
              </w:rPr>
              <w:t xml:space="preserve"> =420 000,00 lati;</w:t>
            </w:r>
          </w:p>
          <w:p w:rsidR="006231C4" w:rsidRPr="006231C4" w:rsidRDefault="006231C4" w:rsidP="006231C4">
            <w:pPr>
              <w:jc w:val="both"/>
              <w:rPr>
                <w:sz w:val="26"/>
                <w:szCs w:val="26"/>
              </w:rPr>
            </w:pPr>
            <w:r w:rsidRPr="006231C4">
              <w:rPr>
                <w:sz w:val="26"/>
                <w:szCs w:val="26"/>
              </w:rPr>
              <w:t>Piemaksa par kompetences centru: 10% no 420 000 = 42 000,00</w:t>
            </w:r>
          </w:p>
          <w:p w:rsidR="006231C4" w:rsidRPr="006231C4" w:rsidRDefault="006231C4" w:rsidP="006231C4">
            <w:pPr>
              <w:jc w:val="both"/>
              <w:rPr>
                <w:sz w:val="26"/>
                <w:szCs w:val="26"/>
              </w:rPr>
            </w:pPr>
            <w:r w:rsidRPr="006231C4">
              <w:rPr>
                <w:sz w:val="26"/>
                <w:szCs w:val="26"/>
              </w:rPr>
              <w:t>Valsts sociālās apdrošināšanas obligātās iemaksas: 24,09 % no 42 000 = 10 117,80 lati;</w:t>
            </w:r>
          </w:p>
          <w:p w:rsidR="006231C4" w:rsidRPr="006231C4" w:rsidRDefault="006231C4" w:rsidP="006231C4">
            <w:pPr>
              <w:jc w:val="both"/>
              <w:rPr>
                <w:sz w:val="26"/>
                <w:szCs w:val="26"/>
              </w:rPr>
            </w:pPr>
            <w:r w:rsidRPr="006231C4">
              <w:rPr>
                <w:sz w:val="26"/>
                <w:szCs w:val="26"/>
              </w:rPr>
              <w:t xml:space="preserve"> Atlīdzība piemaksu nodrošināšanai profesionālās ievirzes izglītības programmās: 52 117,80 lati .</w:t>
            </w:r>
          </w:p>
          <w:p w:rsidR="009A1D88" w:rsidRPr="006231C4" w:rsidRDefault="006231C4" w:rsidP="006231C4">
            <w:pPr>
              <w:jc w:val="both"/>
              <w:rPr>
                <w:b/>
                <w:sz w:val="26"/>
                <w:szCs w:val="26"/>
              </w:rPr>
            </w:pPr>
            <w:r w:rsidRPr="006231C4">
              <w:rPr>
                <w:b/>
                <w:sz w:val="26"/>
                <w:szCs w:val="26"/>
              </w:rPr>
              <w:t>Kopā prov</w:t>
            </w:r>
            <w:r w:rsidR="00025D99">
              <w:rPr>
                <w:b/>
                <w:sz w:val="26"/>
                <w:szCs w:val="26"/>
              </w:rPr>
              <w:t>izoriski nepieciešamais papildu</w:t>
            </w:r>
            <w:r w:rsidRPr="006231C4">
              <w:rPr>
                <w:b/>
                <w:sz w:val="26"/>
                <w:szCs w:val="26"/>
              </w:rPr>
              <w:t xml:space="preserve"> finan</w:t>
            </w:r>
            <w:r w:rsidR="00025D99">
              <w:rPr>
                <w:b/>
                <w:sz w:val="26"/>
                <w:szCs w:val="26"/>
              </w:rPr>
              <w:t>sējums piemaksu nodrošināšanai divos</w:t>
            </w:r>
            <w:r w:rsidRPr="006231C4">
              <w:rPr>
                <w:b/>
                <w:sz w:val="26"/>
                <w:szCs w:val="26"/>
              </w:rPr>
              <w:t xml:space="preserve"> kompetences  centros: 243 916,09 lati. </w:t>
            </w:r>
          </w:p>
          <w:p w:rsidR="009A1D88" w:rsidRPr="00EC4151" w:rsidRDefault="00025D99" w:rsidP="00CE0D67">
            <w:pPr>
              <w:jc w:val="both"/>
              <w:rPr>
                <w:sz w:val="26"/>
                <w:szCs w:val="26"/>
                <w:u w:val="single"/>
              </w:rPr>
            </w:pPr>
            <w:r>
              <w:rPr>
                <w:sz w:val="26"/>
                <w:szCs w:val="26"/>
              </w:rPr>
              <w:t>Kultūras ministrijas</w:t>
            </w:r>
            <w:r w:rsidR="009A1D88" w:rsidRPr="009A1D88">
              <w:rPr>
                <w:sz w:val="26"/>
                <w:szCs w:val="26"/>
              </w:rPr>
              <w:t xml:space="preserve"> budžetā finansējums 10% piemaksu nodrošināšanai profesionālās izglītības kompetences centriem </w:t>
            </w:r>
            <w:r w:rsidR="009A1D88" w:rsidRPr="00EC4151">
              <w:rPr>
                <w:sz w:val="26"/>
                <w:szCs w:val="26"/>
                <w:u w:val="single"/>
              </w:rPr>
              <w:t>nav paredzēts.</w:t>
            </w:r>
          </w:p>
          <w:p w:rsidR="009A1D88" w:rsidRDefault="009A1D88" w:rsidP="00CE0D67">
            <w:pPr>
              <w:jc w:val="both"/>
              <w:rPr>
                <w:sz w:val="26"/>
                <w:szCs w:val="26"/>
              </w:rPr>
            </w:pPr>
            <w:r w:rsidRPr="009A1D88">
              <w:rPr>
                <w:sz w:val="26"/>
                <w:szCs w:val="26"/>
              </w:rPr>
              <w:t>Vēršam uzmanību, ka iepriekš norādītie aprēķini ir provizoriski.</w:t>
            </w:r>
          </w:p>
          <w:p w:rsidR="009A1D88" w:rsidRPr="00CE0D67" w:rsidRDefault="00025D99" w:rsidP="00CE0D67">
            <w:pPr>
              <w:autoSpaceDE w:val="0"/>
              <w:autoSpaceDN w:val="0"/>
              <w:adjustRightInd w:val="0"/>
              <w:jc w:val="both"/>
              <w:rPr>
                <w:color w:val="000000"/>
                <w:sz w:val="26"/>
                <w:szCs w:val="26"/>
                <w:lang w:eastAsia="zh-CN"/>
              </w:rPr>
            </w:pPr>
            <w:r>
              <w:rPr>
                <w:color w:val="000000"/>
                <w:sz w:val="26"/>
                <w:szCs w:val="26"/>
                <w:lang w:eastAsia="zh-CN"/>
              </w:rPr>
              <w:t>Kultūras ministrija</w:t>
            </w:r>
            <w:r w:rsidR="00CE0D67" w:rsidRPr="00CE0D67">
              <w:rPr>
                <w:color w:val="000000"/>
                <w:sz w:val="26"/>
                <w:szCs w:val="26"/>
                <w:lang w:eastAsia="zh-CN"/>
              </w:rPr>
              <w:t xml:space="preserve"> norāda, ka konkrētu finansiālo ietekmi 2012. un 2013.gadā nevar noteikt, jo Kultūras ministrijas padotībā esošo izglītības iestāžu</w:t>
            </w:r>
            <w:r w:rsidR="00CE0D67">
              <w:rPr>
                <w:color w:val="000000"/>
                <w:sz w:val="26"/>
                <w:szCs w:val="26"/>
                <w:lang w:eastAsia="zh-CN"/>
              </w:rPr>
              <w:t xml:space="preserve"> </w:t>
            </w:r>
            <w:r w:rsidR="00CE0D67" w:rsidRPr="00CE0D67">
              <w:rPr>
                <w:color w:val="000000"/>
                <w:sz w:val="26"/>
                <w:szCs w:val="26"/>
                <w:lang w:eastAsia="zh-CN"/>
              </w:rPr>
              <w:t>kompetenču centrus ir plānots izveidot sākot ar 2014.gadu.</w:t>
            </w:r>
            <w:r w:rsidR="00CE0D67">
              <w:rPr>
                <w:color w:val="000000"/>
                <w:sz w:val="26"/>
                <w:szCs w:val="26"/>
                <w:lang w:eastAsia="zh-CN"/>
              </w:rPr>
              <w:t xml:space="preserve"> </w:t>
            </w:r>
            <w:r>
              <w:rPr>
                <w:sz w:val="26"/>
                <w:szCs w:val="26"/>
              </w:rPr>
              <w:t>Tādēļ Kultūras ministrijas</w:t>
            </w:r>
            <w:r w:rsidR="00E5512F">
              <w:rPr>
                <w:sz w:val="26"/>
                <w:szCs w:val="26"/>
              </w:rPr>
              <w:t xml:space="preserve"> ieskatā jautājums par papildu</w:t>
            </w:r>
            <w:r w:rsidR="009A1D88" w:rsidRPr="009A1D88">
              <w:rPr>
                <w:sz w:val="26"/>
                <w:szCs w:val="26"/>
              </w:rPr>
              <w:t xml:space="preserve"> finansējuma piešķiršanu ir lemjams M</w:t>
            </w:r>
            <w:r w:rsidR="00E5512F">
              <w:rPr>
                <w:sz w:val="26"/>
                <w:szCs w:val="26"/>
              </w:rPr>
              <w:t>inistru kabinetā pēc tam, kad Kultūras ministrijā</w:t>
            </w:r>
            <w:r w:rsidR="009A1D88" w:rsidRPr="009A1D88">
              <w:rPr>
                <w:sz w:val="26"/>
                <w:szCs w:val="26"/>
              </w:rPr>
              <w:t xml:space="preserve"> būs pieņemti konkrēti lēmumi par profesionālās izglītības kompetences centru izveidi </w:t>
            </w:r>
            <w:r w:rsidR="00E5512F">
              <w:rPr>
                <w:sz w:val="26"/>
                <w:szCs w:val="26"/>
              </w:rPr>
              <w:t xml:space="preserve">tās </w:t>
            </w:r>
            <w:r w:rsidR="009A1D88" w:rsidRPr="009A1D88">
              <w:rPr>
                <w:sz w:val="26"/>
                <w:szCs w:val="26"/>
              </w:rPr>
              <w:t>padotībā esošajās profesionālās izglītības iestādēs.</w:t>
            </w:r>
          </w:p>
          <w:p w:rsidR="009A1D88" w:rsidRPr="009A1D88" w:rsidRDefault="00E5512F" w:rsidP="00E5512F">
            <w:pPr>
              <w:jc w:val="both"/>
              <w:rPr>
                <w:sz w:val="26"/>
                <w:szCs w:val="26"/>
              </w:rPr>
            </w:pPr>
            <w:r>
              <w:rPr>
                <w:color w:val="000000"/>
                <w:sz w:val="26"/>
                <w:szCs w:val="26"/>
              </w:rPr>
              <w:t xml:space="preserve">Tā kā Kultūras ministrijas plānotais </w:t>
            </w:r>
            <w:r w:rsidR="009A1D88" w:rsidRPr="009A1D88">
              <w:rPr>
                <w:color w:val="000000"/>
                <w:sz w:val="26"/>
                <w:szCs w:val="26"/>
              </w:rPr>
              <w:t>profesionālās izglītības kompetences centru izveides laiks</w:t>
            </w:r>
            <w:r>
              <w:rPr>
                <w:color w:val="000000"/>
                <w:sz w:val="26"/>
                <w:szCs w:val="26"/>
              </w:rPr>
              <w:t xml:space="preserve"> ir 2014.gada 1.janvāris, tad Kultūras ministrija</w:t>
            </w:r>
            <w:r w:rsidR="009A1D88" w:rsidRPr="009A1D88">
              <w:rPr>
                <w:color w:val="000000"/>
                <w:sz w:val="26"/>
                <w:szCs w:val="26"/>
              </w:rPr>
              <w:t xml:space="preserve"> lūdz jautājumu par finansējuma piešķiršanu piemaksu nodrošināšanai tās padotībā esošajiem profesionālās izglītības kompetences centriem izskatīt valsts budžeta projekta 2014.gadam sagatavošanas procesā.</w:t>
            </w:r>
          </w:p>
        </w:tc>
      </w:tr>
      <w:tr w:rsidR="00FD2051" w:rsidRPr="00C60580" w:rsidTr="00E21634">
        <w:trPr>
          <w:cantSplit/>
          <w:trHeight w:val="4695"/>
        </w:trPr>
        <w:tc>
          <w:tcPr>
            <w:tcW w:w="1113" w:type="pct"/>
            <w:tcBorders>
              <w:top w:val="outset" w:sz="6" w:space="0" w:color="000000"/>
              <w:left w:val="outset" w:sz="6" w:space="0" w:color="000000"/>
              <w:bottom w:val="outset" w:sz="6" w:space="0" w:color="000000"/>
              <w:right w:val="outset" w:sz="4" w:space="0" w:color="auto"/>
            </w:tcBorders>
          </w:tcPr>
          <w:p w:rsidR="00FD2051" w:rsidRPr="00C60580" w:rsidRDefault="00FD2051" w:rsidP="00784718">
            <w:pPr>
              <w:jc w:val="both"/>
              <w:rPr>
                <w:sz w:val="26"/>
                <w:szCs w:val="26"/>
                <w:highlight w:val="red"/>
              </w:rPr>
            </w:pPr>
            <w:r w:rsidRPr="00C60580">
              <w:rPr>
                <w:sz w:val="26"/>
                <w:szCs w:val="26"/>
              </w:rPr>
              <w:t>6.1. detalizēts ieņēmumu aprēķins</w:t>
            </w:r>
          </w:p>
        </w:tc>
        <w:tc>
          <w:tcPr>
            <w:tcW w:w="3887" w:type="pct"/>
            <w:gridSpan w:val="5"/>
            <w:vMerge/>
            <w:tcBorders>
              <w:top w:val="outset" w:sz="4" w:space="0" w:color="auto"/>
              <w:left w:val="outset" w:sz="6" w:space="0" w:color="000000"/>
              <w:bottom w:val="outset" w:sz="6" w:space="0" w:color="000000"/>
              <w:right w:val="outset" w:sz="6" w:space="0" w:color="auto"/>
            </w:tcBorders>
          </w:tcPr>
          <w:p w:rsidR="00FD2051" w:rsidRPr="00C60580" w:rsidRDefault="00FD2051" w:rsidP="00784718">
            <w:pPr>
              <w:jc w:val="both"/>
              <w:rPr>
                <w:sz w:val="26"/>
                <w:szCs w:val="26"/>
                <w:highlight w:val="red"/>
              </w:rPr>
            </w:pPr>
          </w:p>
        </w:tc>
      </w:tr>
      <w:tr w:rsidR="00FD2051" w:rsidRPr="00C60580" w:rsidTr="00E21634">
        <w:trPr>
          <w:trHeight w:val="622"/>
        </w:trPr>
        <w:tc>
          <w:tcPr>
            <w:tcW w:w="1113" w:type="pct"/>
            <w:tcBorders>
              <w:top w:val="outset" w:sz="6" w:space="0" w:color="000000"/>
              <w:left w:val="outset" w:sz="6" w:space="0" w:color="000000"/>
              <w:bottom w:val="outset" w:sz="6" w:space="0" w:color="000000"/>
              <w:right w:val="outset" w:sz="4" w:space="0" w:color="auto"/>
            </w:tcBorders>
          </w:tcPr>
          <w:p w:rsidR="00FD2051" w:rsidRPr="00C60580" w:rsidRDefault="00C03738" w:rsidP="00784718">
            <w:pPr>
              <w:jc w:val="both"/>
              <w:rPr>
                <w:sz w:val="26"/>
                <w:szCs w:val="26"/>
                <w:highlight w:val="red"/>
              </w:rPr>
            </w:pPr>
            <w:r>
              <w:rPr>
                <w:sz w:val="26"/>
                <w:szCs w:val="26"/>
              </w:rPr>
              <w:t>6.2. detalizēts izdevumu aprēķi</w:t>
            </w:r>
            <w:r w:rsidR="00F006B3">
              <w:rPr>
                <w:sz w:val="26"/>
                <w:szCs w:val="26"/>
              </w:rPr>
              <w:t>n</w:t>
            </w:r>
            <w:r w:rsidR="00FD2051" w:rsidRPr="00C60580">
              <w:rPr>
                <w:sz w:val="26"/>
                <w:szCs w:val="26"/>
              </w:rPr>
              <w:t>s</w:t>
            </w:r>
          </w:p>
        </w:tc>
        <w:tc>
          <w:tcPr>
            <w:tcW w:w="3887" w:type="pct"/>
            <w:gridSpan w:val="5"/>
            <w:vMerge/>
            <w:tcBorders>
              <w:top w:val="outset" w:sz="4" w:space="0" w:color="auto"/>
              <w:left w:val="outset" w:sz="6" w:space="0" w:color="000000"/>
              <w:bottom w:val="outset" w:sz="6" w:space="0" w:color="000000"/>
              <w:right w:val="outset" w:sz="6" w:space="0" w:color="auto"/>
            </w:tcBorders>
          </w:tcPr>
          <w:p w:rsidR="00FD2051" w:rsidRPr="00C60580" w:rsidRDefault="00FD2051" w:rsidP="00784718">
            <w:pPr>
              <w:jc w:val="both"/>
              <w:rPr>
                <w:sz w:val="26"/>
                <w:szCs w:val="26"/>
                <w:highlight w:val="red"/>
              </w:rPr>
            </w:pPr>
          </w:p>
        </w:tc>
      </w:tr>
      <w:tr w:rsidR="00FD2051" w:rsidRPr="00C60580" w:rsidTr="00E21634">
        <w:trPr>
          <w:trHeight w:val="311"/>
        </w:trPr>
        <w:tc>
          <w:tcPr>
            <w:tcW w:w="1113" w:type="pct"/>
            <w:tcBorders>
              <w:top w:val="outset" w:sz="6" w:space="0" w:color="000000"/>
              <w:left w:val="outset" w:sz="6" w:space="0" w:color="000000"/>
              <w:bottom w:val="outset" w:sz="6" w:space="0" w:color="000000"/>
              <w:right w:val="outset" w:sz="6" w:space="0" w:color="000000"/>
            </w:tcBorders>
          </w:tcPr>
          <w:p w:rsidR="00FD2051" w:rsidRPr="00C60580" w:rsidRDefault="00521B17" w:rsidP="00784718">
            <w:pPr>
              <w:jc w:val="both"/>
              <w:rPr>
                <w:sz w:val="26"/>
                <w:szCs w:val="26"/>
              </w:rPr>
            </w:pPr>
            <w:r>
              <w:rPr>
                <w:sz w:val="26"/>
                <w:szCs w:val="26"/>
              </w:rPr>
              <w:lastRenderedPageBreak/>
              <w:t>7.</w:t>
            </w:r>
            <w:r w:rsidR="00FD2051" w:rsidRPr="00C60580">
              <w:rPr>
                <w:sz w:val="26"/>
                <w:szCs w:val="26"/>
              </w:rPr>
              <w:t>Cita informācija</w:t>
            </w:r>
          </w:p>
        </w:tc>
        <w:tc>
          <w:tcPr>
            <w:tcW w:w="3887" w:type="pct"/>
            <w:gridSpan w:val="5"/>
            <w:tcBorders>
              <w:top w:val="outset" w:sz="4" w:space="0" w:color="auto"/>
              <w:left w:val="outset" w:sz="6" w:space="0" w:color="000000"/>
              <w:bottom w:val="outset" w:sz="6" w:space="0" w:color="000000"/>
              <w:right w:val="outset" w:sz="6" w:space="0" w:color="auto"/>
            </w:tcBorders>
          </w:tcPr>
          <w:p w:rsidR="00FD2051" w:rsidRPr="00C60580" w:rsidRDefault="00FD2051" w:rsidP="00846C41">
            <w:pPr>
              <w:jc w:val="both"/>
              <w:rPr>
                <w:sz w:val="26"/>
                <w:szCs w:val="26"/>
              </w:rPr>
            </w:pPr>
            <w:r w:rsidRPr="00C60580">
              <w:rPr>
                <w:sz w:val="26"/>
                <w:szCs w:val="26"/>
              </w:rPr>
              <w:t>Nav.</w:t>
            </w:r>
            <w:r w:rsidR="00846C41" w:rsidRPr="00846C41">
              <w:rPr>
                <w:sz w:val="26"/>
                <w:szCs w:val="26"/>
                <w:u w:val="single"/>
              </w:rPr>
              <w:t xml:space="preserve"> </w:t>
            </w:r>
          </w:p>
        </w:tc>
      </w:tr>
    </w:tbl>
    <w:p w:rsidR="00FD2051" w:rsidRPr="00C60580" w:rsidRDefault="00FD2051" w:rsidP="00784718">
      <w:pPr>
        <w:jc w:val="both"/>
        <w:rPr>
          <w:sz w:val="26"/>
          <w:szCs w:val="26"/>
          <w:highlight w:val="red"/>
        </w:rPr>
      </w:pPr>
    </w:p>
    <w:p w:rsidR="00FD2051" w:rsidRDefault="00FD2051" w:rsidP="00097C15">
      <w:pPr>
        <w:jc w:val="center"/>
        <w:rPr>
          <w:sz w:val="26"/>
          <w:szCs w:val="26"/>
        </w:rPr>
      </w:pPr>
      <w:r w:rsidRPr="00C60580">
        <w:rPr>
          <w:sz w:val="26"/>
          <w:szCs w:val="26"/>
        </w:rPr>
        <w:t xml:space="preserve">Anotācijas </w:t>
      </w:r>
      <w:r w:rsidR="00C73DB2">
        <w:rPr>
          <w:sz w:val="26"/>
          <w:szCs w:val="26"/>
        </w:rPr>
        <w:t xml:space="preserve">IV un </w:t>
      </w:r>
      <w:r w:rsidRPr="00C60580">
        <w:rPr>
          <w:sz w:val="26"/>
          <w:szCs w:val="26"/>
        </w:rPr>
        <w:t xml:space="preserve">V sadaļa – </w:t>
      </w:r>
      <w:r>
        <w:rPr>
          <w:sz w:val="26"/>
          <w:szCs w:val="26"/>
        </w:rPr>
        <w:t>p</w:t>
      </w:r>
      <w:r w:rsidR="00FB46C4">
        <w:rPr>
          <w:sz w:val="26"/>
          <w:szCs w:val="26"/>
        </w:rPr>
        <w:t>rojekts šīs jomas</w:t>
      </w:r>
      <w:r w:rsidRPr="00C60580">
        <w:rPr>
          <w:sz w:val="26"/>
          <w:szCs w:val="26"/>
        </w:rPr>
        <w:t xml:space="preserve"> neskar.</w:t>
      </w:r>
    </w:p>
    <w:p w:rsidR="00FD2051" w:rsidRPr="00C60580" w:rsidRDefault="00FD2051" w:rsidP="00097C15">
      <w:pPr>
        <w:jc w:val="center"/>
        <w:rPr>
          <w:sz w:val="26"/>
          <w:szCs w:val="26"/>
        </w:rPr>
      </w:pPr>
    </w:p>
    <w:tbl>
      <w:tblPr>
        <w:tblW w:w="5107" w:type="pct"/>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tblPr>
      <w:tblGrid>
        <w:gridCol w:w="803"/>
        <w:gridCol w:w="3610"/>
        <w:gridCol w:w="4634"/>
      </w:tblGrid>
      <w:tr w:rsidR="00FD2051" w:rsidRPr="00097C15">
        <w:trPr>
          <w:trHeight w:val="154"/>
        </w:trPr>
        <w:tc>
          <w:tcPr>
            <w:tcW w:w="5000" w:type="pct"/>
            <w:gridSpan w:val="3"/>
            <w:tcBorders>
              <w:top w:val="single" w:sz="4" w:space="0" w:color="auto"/>
              <w:left w:val="single" w:sz="4" w:space="0" w:color="auto"/>
              <w:bottom w:val="single" w:sz="4" w:space="0" w:color="auto"/>
              <w:right w:val="single" w:sz="4" w:space="0" w:color="auto"/>
            </w:tcBorders>
          </w:tcPr>
          <w:p w:rsidR="00FD2051" w:rsidRPr="00BF4C91" w:rsidRDefault="00FD2051" w:rsidP="00D314B1">
            <w:pPr>
              <w:pStyle w:val="CommentText"/>
              <w:ind w:left="360"/>
              <w:jc w:val="center"/>
              <w:rPr>
                <w:b/>
                <w:color w:val="000000"/>
                <w:sz w:val="26"/>
                <w:szCs w:val="26"/>
              </w:rPr>
            </w:pPr>
            <w:r w:rsidRPr="00BF4C91">
              <w:rPr>
                <w:b/>
                <w:sz w:val="26"/>
                <w:szCs w:val="26"/>
              </w:rPr>
              <w:lastRenderedPageBreak/>
              <w:t>VI. Sabiedrības līdzdalība un šīs līdzdalības rezultāti</w:t>
            </w:r>
          </w:p>
        </w:tc>
      </w:tr>
      <w:tr w:rsidR="00FD2051" w:rsidRPr="00097C15">
        <w:trPr>
          <w:trHeight w:val="154"/>
        </w:trPr>
        <w:tc>
          <w:tcPr>
            <w:tcW w:w="444" w:type="pct"/>
            <w:tcBorders>
              <w:top w:val="single" w:sz="4" w:space="0" w:color="auto"/>
              <w:left w:val="single" w:sz="4" w:space="0" w:color="auto"/>
              <w:bottom w:val="single" w:sz="4" w:space="0" w:color="auto"/>
              <w:right w:val="single" w:sz="4" w:space="0" w:color="auto"/>
            </w:tcBorders>
          </w:tcPr>
          <w:p w:rsidR="00FD2051" w:rsidRPr="00097C15" w:rsidRDefault="00FD2051" w:rsidP="00D314B1">
            <w:pPr>
              <w:pStyle w:val="NormalWeb"/>
              <w:rPr>
                <w:sz w:val="26"/>
                <w:szCs w:val="26"/>
              </w:rPr>
            </w:pPr>
            <w:r w:rsidRPr="00097C15">
              <w:rPr>
                <w:sz w:val="26"/>
                <w:szCs w:val="26"/>
              </w:rPr>
              <w:t xml:space="preserve">1. </w:t>
            </w:r>
          </w:p>
        </w:tc>
        <w:tc>
          <w:tcPr>
            <w:tcW w:w="1995" w:type="pct"/>
            <w:tcBorders>
              <w:top w:val="single" w:sz="4" w:space="0" w:color="auto"/>
              <w:left w:val="single" w:sz="4" w:space="0" w:color="auto"/>
              <w:bottom w:val="single" w:sz="4" w:space="0" w:color="auto"/>
              <w:right w:val="single" w:sz="4" w:space="0" w:color="auto"/>
            </w:tcBorders>
          </w:tcPr>
          <w:p w:rsidR="00FD2051" w:rsidRPr="00097C15" w:rsidRDefault="00FD2051" w:rsidP="00D314B1">
            <w:pPr>
              <w:pStyle w:val="NormalWeb"/>
              <w:rPr>
                <w:sz w:val="26"/>
                <w:szCs w:val="26"/>
              </w:rPr>
            </w:pPr>
            <w:r w:rsidRPr="00097C15">
              <w:rPr>
                <w:sz w:val="26"/>
                <w:szCs w:val="26"/>
              </w:rPr>
              <w:t>Sabiedrības informēšana par projekta izstrādes uzsākšanu</w:t>
            </w:r>
          </w:p>
        </w:tc>
        <w:tc>
          <w:tcPr>
            <w:tcW w:w="2561" w:type="pct"/>
            <w:tcBorders>
              <w:top w:val="single" w:sz="4" w:space="0" w:color="auto"/>
              <w:left w:val="single" w:sz="4" w:space="0" w:color="auto"/>
              <w:bottom w:val="single" w:sz="4" w:space="0" w:color="auto"/>
              <w:right w:val="single" w:sz="4" w:space="0" w:color="auto"/>
            </w:tcBorders>
          </w:tcPr>
          <w:p w:rsidR="00FD2051" w:rsidRPr="004F4920" w:rsidRDefault="00A86DA5" w:rsidP="00EF1A05">
            <w:pPr>
              <w:autoSpaceDE w:val="0"/>
              <w:autoSpaceDN w:val="0"/>
              <w:adjustRightInd w:val="0"/>
              <w:jc w:val="both"/>
              <w:rPr>
                <w:color w:val="000000"/>
                <w:sz w:val="26"/>
                <w:szCs w:val="26"/>
              </w:rPr>
            </w:pPr>
            <w:r w:rsidRPr="004F4920">
              <w:rPr>
                <w:sz w:val="26"/>
                <w:szCs w:val="26"/>
              </w:rPr>
              <w:t xml:space="preserve">Ar </w:t>
            </w:r>
            <w:r w:rsidR="00105D95">
              <w:rPr>
                <w:sz w:val="26"/>
                <w:szCs w:val="26"/>
              </w:rPr>
              <w:t>2012</w:t>
            </w:r>
            <w:r w:rsidRPr="004F4920">
              <w:rPr>
                <w:sz w:val="26"/>
                <w:szCs w:val="26"/>
              </w:rPr>
              <w:t xml:space="preserve">.gada 8.marta </w:t>
            </w:r>
            <w:r w:rsidR="008A710E">
              <w:rPr>
                <w:sz w:val="26"/>
                <w:szCs w:val="26"/>
              </w:rPr>
              <w:t xml:space="preserve">Izglītības un zinātnes </w:t>
            </w:r>
            <w:r w:rsidRPr="004F4920">
              <w:rPr>
                <w:sz w:val="26"/>
                <w:szCs w:val="26"/>
              </w:rPr>
              <w:t>ministrijas vēstuli Nr.01-21/1146 iesaistītās institūcijas</w:t>
            </w:r>
            <w:r w:rsidR="004F6F4A">
              <w:rPr>
                <w:sz w:val="26"/>
                <w:szCs w:val="26"/>
              </w:rPr>
              <w:t xml:space="preserve"> -</w:t>
            </w:r>
            <w:r w:rsidRPr="004F4920">
              <w:rPr>
                <w:sz w:val="26"/>
                <w:szCs w:val="26"/>
              </w:rPr>
              <w:t xml:space="preserve"> </w:t>
            </w:r>
            <w:r w:rsidR="004F4920" w:rsidRPr="004F4920">
              <w:rPr>
                <w:color w:val="000000"/>
                <w:sz w:val="26"/>
                <w:szCs w:val="26"/>
              </w:rPr>
              <w:t>Latvijas Darba devēju konfederācija, Pr</w:t>
            </w:r>
            <w:r w:rsidR="00EF1A05">
              <w:rPr>
                <w:color w:val="000000"/>
                <w:sz w:val="26"/>
                <w:szCs w:val="26"/>
              </w:rPr>
              <w:t>ofesionālās izglītības biedrība</w:t>
            </w:r>
            <w:r w:rsidR="004F4920" w:rsidRPr="004F4920">
              <w:rPr>
                <w:color w:val="000000"/>
                <w:sz w:val="26"/>
                <w:szCs w:val="26"/>
              </w:rPr>
              <w:t xml:space="preserve"> </w:t>
            </w:r>
            <w:r w:rsidR="004F6F4A">
              <w:rPr>
                <w:color w:val="000000"/>
                <w:sz w:val="26"/>
                <w:szCs w:val="26"/>
              </w:rPr>
              <w:t>-</w:t>
            </w:r>
            <w:r w:rsidR="004F4920" w:rsidRPr="004F4920">
              <w:rPr>
                <w:color w:val="000000"/>
                <w:sz w:val="26"/>
                <w:szCs w:val="26"/>
              </w:rPr>
              <w:t xml:space="preserve"> </w:t>
            </w:r>
            <w:r w:rsidR="00C97674" w:rsidRPr="004F4920">
              <w:rPr>
                <w:sz w:val="26"/>
                <w:szCs w:val="26"/>
              </w:rPr>
              <w:t>ti</w:t>
            </w:r>
            <w:r w:rsidR="00EF1A05">
              <w:rPr>
                <w:sz w:val="26"/>
                <w:szCs w:val="26"/>
              </w:rPr>
              <w:t>ka informētas par jauna</w:t>
            </w:r>
            <w:r w:rsidR="00C97674" w:rsidRPr="004F4920">
              <w:rPr>
                <w:sz w:val="26"/>
                <w:szCs w:val="26"/>
              </w:rPr>
              <w:t xml:space="preserve"> noteikumu projekta izstr</w:t>
            </w:r>
            <w:r w:rsidR="004F6F4A">
              <w:rPr>
                <w:sz w:val="26"/>
                <w:szCs w:val="26"/>
              </w:rPr>
              <w:t>ādes uzsākšanu</w:t>
            </w:r>
            <w:r w:rsidR="00C97674" w:rsidRPr="004F4920">
              <w:rPr>
                <w:sz w:val="26"/>
                <w:szCs w:val="26"/>
              </w:rPr>
              <w:t>.</w:t>
            </w:r>
            <w:r w:rsidR="00FD2051" w:rsidRPr="004F4920">
              <w:rPr>
                <w:color w:val="000000"/>
                <w:sz w:val="26"/>
                <w:szCs w:val="26"/>
              </w:rPr>
              <w:t xml:space="preserve"> </w:t>
            </w:r>
          </w:p>
        </w:tc>
      </w:tr>
      <w:tr w:rsidR="00FD2051" w:rsidRPr="00097C15">
        <w:trPr>
          <w:trHeight w:val="154"/>
        </w:trPr>
        <w:tc>
          <w:tcPr>
            <w:tcW w:w="444" w:type="pct"/>
            <w:tcBorders>
              <w:top w:val="single" w:sz="4" w:space="0" w:color="auto"/>
              <w:left w:val="single" w:sz="4" w:space="0" w:color="auto"/>
              <w:bottom w:val="single" w:sz="4" w:space="0" w:color="auto"/>
              <w:right w:val="single" w:sz="4" w:space="0" w:color="auto"/>
            </w:tcBorders>
          </w:tcPr>
          <w:p w:rsidR="00FD2051" w:rsidRPr="00097C15" w:rsidRDefault="00FD2051" w:rsidP="00D314B1">
            <w:pPr>
              <w:pStyle w:val="NormalWeb"/>
              <w:rPr>
                <w:sz w:val="26"/>
                <w:szCs w:val="26"/>
              </w:rPr>
            </w:pPr>
            <w:r w:rsidRPr="00097C15">
              <w:rPr>
                <w:sz w:val="26"/>
                <w:szCs w:val="26"/>
              </w:rPr>
              <w:t>2.</w:t>
            </w:r>
          </w:p>
        </w:tc>
        <w:tc>
          <w:tcPr>
            <w:tcW w:w="1995" w:type="pct"/>
            <w:tcBorders>
              <w:top w:val="single" w:sz="4" w:space="0" w:color="auto"/>
              <w:left w:val="single" w:sz="4" w:space="0" w:color="auto"/>
              <w:bottom w:val="single" w:sz="4" w:space="0" w:color="auto"/>
              <w:right w:val="single" w:sz="4" w:space="0" w:color="auto"/>
            </w:tcBorders>
          </w:tcPr>
          <w:p w:rsidR="00FD2051" w:rsidRPr="00097C15" w:rsidRDefault="00FD2051" w:rsidP="00D314B1">
            <w:pPr>
              <w:pStyle w:val="NormalWeb"/>
              <w:rPr>
                <w:sz w:val="26"/>
                <w:szCs w:val="26"/>
              </w:rPr>
            </w:pPr>
            <w:r w:rsidRPr="00097C15">
              <w:rPr>
                <w:sz w:val="26"/>
                <w:szCs w:val="26"/>
              </w:rPr>
              <w:t>Sabiedrības līdzdalība projekta izstrādē.</w:t>
            </w:r>
          </w:p>
        </w:tc>
        <w:tc>
          <w:tcPr>
            <w:tcW w:w="2561" w:type="pct"/>
            <w:tcBorders>
              <w:top w:val="single" w:sz="4" w:space="0" w:color="auto"/>
              <w:left w:val="single" w:sz="4" w:space="0" w:color="auto"/>
              <w:bottom w:val="single" w:sz="4" w:space="0" w:color="auto"/>
              <w:right w:val="single" w:sz="4" w:space="0" w:color="auto"/>
            </w:tcBorders>
          </w:tcPr>
          <w:p w:rsidR="00FD2051" w:rsidRPr="00097C15" w:rsidRDefault="00FD2051" w:rsidP="00A03FD4">
            <w:pPr>
              <w:pStyle w:val="CommentText"/>
              <w:numPr>
                <w:ilvl w:val="0"/>
                <w:numId w:val="21"/>
              </w:numPr>
              <w:ind w:left="37"/>
              <w:jc w:val="both"/>
              <w:rPr>
                <w:color w:val="000000"/>
                <w:sz w:val="26"/>
                <w:szCs w:val="26"/>
              </w:rPr>
            </w:pPr>
            <w:r w:rsidRPr="00097C15">
              <w:rPr>
                <w:color w:val="000000"/>
                <w:sz w:val="26"/>
                <w:szCs w:val="26"/>
              </w:rPr>
              <w:t>Noteikumu</w:t>
            </w:r>
            <w:r w:rsidR="001744DA">
              <w:rPr>
                <w:color w:val="000000"/>
                <w:sz w:val="26"/>
                <w:szCs w:val="26"/>
              </w:rPr>
              <w:t xml:space="preserve"> projekta izstrādes gaitā notika</w:t>
            </w:r>
            <w:r w:rsidRPr="00097C15">
              <w:rPr>
                <w:color w:val="000000"/>
                <w:sz w:val="26"/>
                <w:szCs w:val="26"/>
              </w:rPr>
              <w:t xml:space="preserve"> konsultācijas ar Latvijas Darba devēju  konfederāciju,</w:t>
            </w:r>
            <w:r w:rsidR="003E4B95">
              <w:rPr>
                <w:color w:val="000000"/>
                <w:sz w:val="26"/>
                <w:szCs w:val="26"/>
              </w:rPr>
              <w:t xml:space="preserve"> </w:t>
            </w:r>
            <w:r w:rsidRPr="00097C15">
              <w:rPr>
                <w:color w:val="000000"/>
                <w:sz w:val="26"/>
                <w:szCs w:val="26"/>
              </w:rPr>
              <w:t>Pr</w:t>
            </w:r>
            <w:r w:rsidR="00A86DA5">
              <w:rPr>
                <w:color w:val="000000"/>
                <w:sz w:val="26"/>
                <w:szCs w:val="26"/>
              </w:rPr>
              <w:t>ofesionālās izglītības biedrību</w:t>
            </w:r>
            <w:r w:rsidR="00210A5A">
              <w:rPr>
                <w:color w:val="000000"/>
                <w:sz w:val="26"/>
                <w:szCs w:val="26"/>
              </w:rPr>
              <w:t xml:space="preserve">. </w:t>
            </w:r>
          </w:p>
        </w:tc>
      </w:tr>
      <w:tr w:rsidR="00FD2051" w:rsidRPr="00097C15">
        <w:trPr>
          <w:trHeight w:val="154"/>
        </w:trPr>
        <w:tc>
          <w:tcPr>
            <w:tcW w:w="444" w:type="pct"/>
            <w:tcBorders>
              <w:top w:val="single" w:sz="4" w:space="0" w:color="auto"/>
              <w:left w:val="single" w:sz="4" w:space="0" w:color="auto"/>
              <w:bottom w:val="single" w:sz="4" w:space="0" w:color="auto"/>
              <w:right w:val="single" w:sz="4" w:space="0" w:color="auto"/>
            </w:tcBorders>
          </w:tcPr>
          <w:p w:rsidR="00FD2051" w:rsidRPr="00097C15" w:rsidRDefault="00FD2051" w:rsidP="00D314B1">
            <w:pPr>
              <w:pStyle w:val="NormalWeb"/>
              <w:rPr>
                <w:sz w:val="26"/>
                <w:szCs w:val="26"/>
              </w:rPr>
            </w:pPr>
            <w:r w:rsidRPr="00097C15">
              <w:rPr>
                <w:sz w:val="26"/>
                <w:szCs w:val="26"/>
              </w:rPr>
              <w:t>3.</w:t>
            </w:r>
          </w:p>
        </w:tc>
        <w:tc>
          <w:tcPr>
            <w:tcW w:w="1995" w:type="pct"/>
            <w:tcBorders>
              <w:top w:val="single" w:sz="4" w:space="0" w:color="auto"/>
              <w:left w:val="single" w:sz="4" w:space="0" w:color="auto"/>
              <w:bottom w:val="single" w:sz="4" w:space="0" w:color="auto"/>
              <w:right w:val="single" w:sz="4" w:space="0" w:color="auto"/>
            </w:tcBorders>
          </w:tcPr>
          <w:p w:rsidR="00FD2051" w:rsidRPr="00097C15" w:rsidRDefault="00FD2051" w:rsidP="00D314B1">
            <w:pPr>
              <w:pStyle w:val="NormalWeb"/>
              <w:rPr>
                <w:sz w:val="26"/>
                <w:szCs w:val="26"/>
              </w:rPr>
            </w:pPr>
            <w:r w:rsidRPr="00097C15">
              <w:rPr>
                <w:sz w:val="26"/>
                <w:szCs w:val="26"/>
              </w:rPr>
              <w:t>Sabiedrības līdzdalības rezultāti</w:t>
            </w:r>
          </w:p>
        </w:tc>
        <w:tc>
          <w:tcPr>
            <w:tcW w:w="2561" w:type="pct"/>
            <w:tcBorders>
              <w:top w:val="single" w:sz="4" w:space="0" w:color="auto"/>
              <w:left w:val="single" w:sz="4" w:space="0" w:color="auto"/>
              <w:bottom w:val="single" w:sz="4" w:space="0" w:color="auto"/>
              <w:right w:val="single" w:sz="4" w:space="0" w:color="auto"/>
            </w:tcBorders>
          </w:tcPr>
          <w:p w:rsidR="00FD2051" w:rsidRPr="00097C15" w:rsidRDefault="004F4920" w:rsidP="00E56887">
            <w:pPr>
              <w:pStyle w:val="CommentText"/>
              <w:numPr>
                <w:ilvl w:val="0"/>
                <w:numId w:val="21"/>
              </w:numPr>
              <w:ind w:left="37"/>
              <w:jc w:val="both"/>
              <w:rPr>
                <w:color w:val="000000"/>
                <w:sz w:val="26"/>
                <w:szCs w:val="26"/>
              </w:rPr>
            </w:pPr>
            <w:r>
              <w:rPr>
                <w:color w:val="000000"/>
                <w:sz w:val="26"/>
                <w:szCs w:val="26"/>
              </w:rPr>
              <w:t>Noteikumu p</w:t>
            </w:r>
            <w:r w:rsidR="00BE09A3">
              <w:rPr>
                <w:color w:val="000000"/>
                <w:sz w:val="26"/>
                <w:szCs w:val="26"/>
              </w:rPr>
              <w:t>rojektu atbalsta</w:t>
            </w:r>
            <w:r w:rsidR="00B06FB4">
              <w:rPr>
                <w:color w:val="000000"/>
                <w:sz w:val="26"/>
                <w:szCs w:val="26"/>
              </w:rPr>
              <w:t xml:space="preserve"> </w:t>
            </w:r>
            <w:r w:rsidR="00B06FB4" w:rsidRPr="00097C15">
              <w:rPr>
                <w:color w:val="000000"/>
                <w:sz w:val="26"/>
                <w:szCs w:val="26"/>
              </w:rPr>
              <w:t>P</w:t>
            </w:r>
            <w:r w:rsidR="00BE09A3">
              <w:rPr>
                <w:color w:val="000000"/>
                <w:sz w:val="26"/>
                <w:szCs w:val="26"/>
              </w:rPr>
              <w:t>rofesionālās izglītības biedrība</w:t>
            </w:r>
            <w:r w:rsidR="00B06FB4" w:rsidRPr="00097C15">
              <w:rPr>
                <w:color w:val="000000"/>
                <w:sz w:val="26"/>
                <w:szCs w:val="26"/>
              </w:rPr>
              <w:t>.</w:t>
            </w:r>
            <w:r w:rsidR="003B17BC">
              <w:rPr>
                <w:color w:val="000000"/>
                <w:sz w:val="26"/>
                <w:szCs w:val="26"/>
              </w:rPr>
              <w:t xml:space="preserve"> Latvija</w:t>
            </w:r>
            <w:r w:rsidR="002B6BC2">
              <w:rPr>
                <w:color w:val="000000"/>
                <w:sz w:val="26"/>
                <w:szCs w:val="26"/>
              </w:rPr>
              <w:t>s Darba devēju konfederācija</w:t>
            </w:r>
            <w:r w:rsidR="00ED7661">
              <w:rPr>
                <w:color w:val="000000"/>
                <w:sz w:val="26"/>
                <w:szCs w:val="26"/>
              </w:rPr>
              <w:t xml:space="preserve"> izteica</w:t>
            </w:r>
            <w:r w:rsidR="003B17BC">
              <w:rPr>
                <w:color w:val="000000"/>
                <w:sz w:val="26"/>
                <w:szCs w:val="26"/>
              </w:rPr>
              <w:t xml:space="preserve"> </w:t>
            </w:r>
            <w:r w:rsidR="00DA2993">
              <w:rPr>
                <w:color w:val="000000"/>
                <w:sz w:val="26"/>
                <w:szCs w:val="26"/>
              </w:rPr>
              <w:t>priekšlikumu</w:t>
            </w:r>
            <w:r w:rsidR="00624875">
              <w:rPr>
                <w:color w:val="000000"/>
                <w:sz w:val="26"/>
                <w:szCs w:val="26"/>
              </w:rPr>
              <w:t xml:space="preserve"> - iebildi</w:t>
            </w:r>
            <w:r w:rsidR="002060FD">
              <w:rPr>
                <w:color w:val="000000"/>
                <w:sz w:val="26"/>
                <w:szCs w:val="26"/>
              </w:rPr>
              <w:t xml:space="preserve"> attiecībā uz </w:t>
            </w:r>
            <w:r w:rsidR="006C6401">
              <w:rPr>
                <w:color w:val="000000"/>
                <w:sz w:val="26"/>
                <w:szCs w:val="26"/>
              </w:rPr>
              <w:t xml:space="preserve">kompetences centru </w:t>
            </w:r>
            <w:r w:rsidR="002060FD">
              <w:rPr>
                <w:color w:val="000000"/>
                <w:sz w:val="26"/>
                <w:szCs w:val="26"/>
              </w:rPr>
              <w:t xml:space="preserve">metodisko centru </w:t>
            </w:r>
            <w:r w:rsidR="006F33D3">
              <w:rPr>
                <w:color w:val="000000"/>
                <w:sz w:val="26"/>
                <w:szCs w:val="26"/>
              </w:rPr>
              <w:t>funkcijām, pieprasot tam papildu</w:t>
            </w:r>
            <w:r w:rsidR="002060FD">
              <w:rPr>
                <w:color w:val="000000"/>
                <w:sz w:val="26"/>
                <w:szCs w:val="26"/>
              </w:rPr>
              <w:t xml:space="preserve"> finansējumu. </w:t>
            </w:r>
          </w:p>
        </w:tc>
      </w:tr>
      <w:tr w:rsidR="00FD2051" w:rsidRPr="00097C15">
        <w:trPr>
          <w:trHeight w:val="154"/>
        </w:trPr>
        <w:tc>
          <w:tcPr>
            <w:tcW w:w="444" w:type="pct"/>
            <w:tcBorders>
              <w:top w:val="single" w:sz="4" w:space="0" w:color="auto"/>
              <w:left w:val="single" w:sz="4" w:space="0" w:color="auto"/>
              <w:bottom w:val="single" w:sz="4" w:space="0" w:color="auto"/>
              <w:right w:val="single" w:sz="4" w:space="0" w:color="auto"/>
            </w:tcBorders>
          </w:tcPr>
          <w:p w:rsidR="00FD2051" w:rsidRPr="00097C15" w:rsidRDefault="00FD2051" w:rsidP="00D314B1">
            <w:pPr>
              <w:pStyle w:val="NormalWeb"/>
              <w:rPr>
                <w:sz w:val="26"/>
                <w:szCs w:val="26"/>
              </w:rPr>
            </w:pPr>
            <w:r w:rsidRPr="00097C15">
              <w:rPr>
                <w:sz w:val="26"/>
                <w:szCs w:val="26"/>
              </w:rPr>
              <w:t>4.</w:t>
            </w:r>
          </w:p>
        </w:tc>
        <w:tc>
          <w:tcPr>
            <w:tcW w:w="1995" w:type="pct"/>
            <w:tcBorders>
              <w:top w:val="single" w:sz="4" w:space="0" w:color="auto"/>
              <w:left w:val="single" w:sz="4" w:space="0" w:color="auto"/>
              <w:bottom w:val="single" w:sz="4" w:space="0" w:color="auto"/>
              <w:right w:val="single" w:sz="4" w:space="0" w:color="auto"/>
            </w:tcBorders>
          </w:tcPr>
          <w:p w:rsidR="00FD2051" w:rsidRPr="00097C15" w:rsidRDefault="00FD2051" w:rsidP="00D314B1">
            <w:pPr>
              <w:pStyle w:val="NormalWeb"/>
              <w:rPr>
                <w:sz w:val="26"/>
                <w:szCs w:val="26"/>
              </w:rPr>
            </w:pPr>
            <w:r w:rsidRPr="00097C15">
              <w:rPr>
                <w:sz w:val="26"/>
                <w:szCs w:val="26"/>
              </w:rPr>
              <w:t>Saeimas un ekspertu līdzdalība</w:t>
            </w:r>
          </w:p>
        </w:tc>
        <w:tc>
          <w:tcPr>
            <w:tcW w:w="2561" w:type="pct"/>
            <w:tcBorders>
              <w:top w:val="single" w:sz="4" w:space="0" w:color="auto"/>
              <w:left w:val="single" w:sz="4" w:space="0" w:color="auto"/>
              <w:bottom w:val="single" w:sz="4" w:space="0" w:color="auto"/>
              <w:right w:val="single" w:sz="4" w:space="0" w:color="auto"/>
            </w:tcBorders>
          </w:tcPr>
          <w:p w:rsidR="00FD2051" w:rsidRPr="00097C15" w:rsidRDefault="008E15CC" w:rsidP="00D314B1">
            <w:pPr>
              <w:pStyle w:val="CommentText"/>
              <w:numPr>
                <w:ilvl w:val="0"/>
                <w:numId w:val="21"/>
              </w:numPr>
              <w:ind w:left="37"/>
              <w:jc w:val="both"/>
              <w:rPr>
                <w:sz w:val="26"/>
                <w:szCs w:val="26"/>
              </w:rPr>
            </w:pPr>
            <w:r>
              <w:rPr>
                <w:sz w:val="26"/>
                <w:szCs w:val="26"/>
              </w:rPr>
              <w:t>Konsultācijas nav notikušas.</w:t>
            </w:r>
          </w:p>
        </w:tc>
      </w:tr>
      <w:tr w:rsidR="00080AA8" w:rsidRPr="00097C15">
        <w:trPr>
          <w:trHeight w:val="154"/>
        </w:trPr>
        <w:tc>
          <w:tcPr>
            <w:tcW w:w="444" w:type="pct"/>
            <w:tcBorders>
              <w:top w:val="single" w:sz="4" w:space="0" w:color="auto"/>
              <w:left w:val="single" w:sz="4" w:space="0" w:color="auto"/>
              <w:bottom w:val="single" w:sz="4" w:space="0" w:color="auto"/>
              <w:right w:val="single" w:sz="4" w:space="0" w:color="auto"/>
            </w:tcBorders>
          </w:tcPr>
          <w:p w:rsidR="00080AA8" w:rsidRPr="00097C15" w:rsidRDefault="00080AA8" w:rsidP="00D314B1">
            <w:pPr>
              <w:pStyle w:val="NormalWeb"/>
              <w:rPr>
                <w:sz w:val="26"/>
                <w:szCs w:val="26"/>
              </w:rPr>
            </w:pPr>
            <w:r>
              <w:rPr>
                <w:sz w:val="26"/>
                <w:szCs w:val="26"/>
              </w:rPr>
              <w:t>5.</w:t>
            </w:r>
          </w:p>
        </w:tc>
        <w:tc>
          <w:tcPr>
            <w:tcW w:w="1995" w:type="pct"/>
            <w:tcBorders>
              <w:top w:val="single" w:sz="4" w:space="0" w:color="auto"/>
              <w:left w:val="single" w:sz="4" w:space="0" w:color="auto"/>
              <w:bottom w:val="single" w:sz="4" w:space="0" w:color="auto"/>
              <w:right w:val="single" w:sz="4" w:space="0" w:color="auto"/>
            </w:tcBorders>
          </w:tcPr>
          <w:p w:rsidR="00080AA8" w:rsidRPr="00097C15" w:rsidRDefault="00080AA8" w:rsidP="00D314B1">
            <w:pPr>
              <w:pStyle w:val="NormalWeb"/>
              <w:rPr>
                <w:sz w:val="26"/>
                <w:szCs w:val="26"/>
              </w:rPr>
            </w:pPr>
            <w:r>
              <w:rPr>
                <w:sz w:val="26"/>
                <w:szCs w:val="26"/>
              </w:rPr>
              <w:t>Cita informācija</w:t>
            </w:r>
          </w:p>
        </w:tc>
        <w:tc>
          <w:tcPr>
            <w:tcW w:w="2561" w:type="pct"/>
            <w:tcBorders>
              <w:top w:val="single" w:sz="4" w:space="0" w:color="auto"/>
              <w:left w:val="single" w:sz="4" w:space="0" w:color="auto"/>
              <w:bottom w:val="single" w:sz="4" w:space="0" w:color="auto"/>
              <w:right w:val="single" w:sz="4" w:space="0" w:color="auto"/>
            </w:tcBorders>
          </w:tcPr>
          <w:p w:rsidR="00080AA8" w:rsidRDefault="00080AA8" w:rsidP="00D314B1">
            <w:pPr>
              <w:pStyle w:val="CommentText"/>
              <w:numPr>
                <w:ilvl w:val="0"/>
                <w:numId w:val="21"/>
              </w:numPr>
              <w:ind w:left="37"/>
              <w:jc w:val="both"/>
              <w:rPr>
                <w:sz w:val="26"/>
                <w:szCs w:val="26"/>
              </w:rPr>
            </w:pPr>
            <w:r>
              <w:rPr>
                <w:sz w:val="26"/>
                <w:szCs w:val="26"/>
              </w:rPr>
              <w:t>Nav.</w:t>
            </w:r>
          </w:p>
        </w:tc>
      </w:tr>
    </w:tbl>
    <w:p w:rsidR="00FD2051" w:rsidRDefault="00FD2051" w:rsidP="00784718">
      <w:pPr>
        <w:jc w:val="both"/>
        <w:rPr>
          <w:sz w:val="26"/>
          <w:szCs w:val="26"/>
          <w:highlight w:val="red"/>
        </w:rPr>
      </w:pPr>
    </w:p>
    <w:p w:rsidR="00FD2051" w:rsidRDefault="00FD2051" w:rsidP="00784718">
      <w:pPr>
        <w:jc w:val="both"/>
        <w:rPr>
          <w:sz w:val="26"/>
          <w:szCs w:val="26"/>
          <w:highlight w:val="red"/>
        </w:rPr>
      </w:pPr>
    </w:p>
    <w:p w:rsidR="00C723B7" w:rsidRDefault="00C723B7" w:rsidP="00784718">
      <w:pPr>
        <w:jc w:val="both"/>
        <w:rPr>
          <w:sz w:val="26"/>
          <w:szCs w:val="26"/>
          <w:highlight w:val="red"/>
        </w:rPr>
      </w:pPr>
    </w:p>
    <w:p w:rsidR="00C723B7" w:rsidRPr="00C60580" w:rsidRDefault="00C723B7" w:rsidP="00784718">
      <w:pPr>
        <w:jc w:val="both"/>
        <w:rPr>
          <w:sz w:val="26"/>
          <w:szCs w:val="26"/>
          <w:highlight w:val="red"/>
        </w:rPr>
      </w:pPr>
    </w:p>
    <w:tbl>
      <w:tblPr>
        <w:tblW w:w="520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364"/>
        <w:gridCol w:w="2729"/>
        <w:gridCol w:w="5966"/>
      </w:tblGrid>
      <w:tr w:rsidR="00FD2051" w:rsidRPr="00C60580">
        <w:tc>
          <w:tcPr>
            <w:tcW w:w="5000" w:type="pct"/>
            <w:gridSpan w:val="3"/>
            <w:tcBorders>
              <w:top w:val="outset" w:sz="6" w:space="0" w:color="000000"/>
              <w:left w:val="outset" w:sz="6" w:space="0" w:color="000000"/>
              <w:bottom w:val="outset" w:sz="6" w:space="0" w:color="000000"/>
              <w:right w:val="outset" w:sz="6" w:space="0" w:color="000000"/>
            </w:tcBorders>
          </w:tcPr>
          <w:p w:rsidR="00FD2051" w:rsidRPr="00425C94" w:rsidRDefault="00FD2051" w:rsidP="00784718">
            <w:pPr>
              <w:jc w:val="both"/>
              <w:rPr>
                <w:b/>
                <w:sz w:val="26"/>
                <w:szCs w:val="26"/>
                <w:highlight w:val="red"/>
              </w:rPr>
            </w:pPr>
            <w:r w:rsidRPr="00425C94">
              <w:rPr>
                <w:b/>
                <w:sz w:val="26"/>
                <w:szCs w:val="26"/>
              </w:rPr>
              <w:t>VII. Tiesību akta projekta izpildes nodrošināšana un tās ietekme uz institūcijām</w:t>
            </w:r>
          </w:p>
        </w:tc>
      </w:tr>
      <w:tr w:rsidR="00FD2051" w:rsidRPr="00C60580">
        <w:tc>
          <w:tcPr>
            <w:tcW w:w="201"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1.</w:t>
            </w:r>
          </w:p>
        </w:tc>
        <w:tc>
          <w:tcPr>
            <w:tcW w:w="0" w:type="auto"/>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Projekta izpildē iesaistītās institūcijas</w:t>
            </w:r>
          </w:p>
        </w:tc>
        <w:tc>
          <w:tcPr>
            <w:tcW w:w="3293" w:type="pct"/>
            <w:tcBorders>
              <w:top w:val="outset" w:sz="6" w:space="0" w:color="000000"/>
              <w:left w:val="outset" w:sz="6" w:space="0" w:color="000000"/>
              <w:bottom w:val="outset" w:sz="6" w:space="0" w:color="000000"/>
              <w:right w:val="outset" w:sz="6" w:space="0" w:color="000000"/>
            </w:tcBorders>
          </w:tcPr>
          <w:p w:rsidR="00FD2051" w:rsidRPr="00C60580" w:rsidRDefault="00783A0A" w:rsidP="00F37FE8">
            <w:pPr>
              <w:jc w:val="both"/>
              <w:rPr>
                <w:sz w:val="26"/>
                <w:szCs w:val="26"/>
              </w:rPr>
            </w:pPr>
            <w:r>
              <w:rPr>
                <w:sz w:val="26"/>
                <w:szCs w:val="26"/>
              </w:rPr>
              <w:t>Noteikumu projekta izpildi nodrošinās m</w:t>
            </w:r>
            <w:r w:rsidR="00FD2051" w:rsidRPr="00C60580">
              <w:rPr>
                <w:sz w:val="26"/>
                <w:szCs w:val="26"/>
              </w:rPr>
              <w:t>inistrija</w:t>
            </w:r>
            <w:r w:rsidR="00F37FE8">
              <w:rPr>
                <w:sz w:val="26"/>
                <w:szCs w:val="26"/>
              </w:rPr>
              <w:t>, kuras institucionālajā padotībā</w:t>
            </w:r>
            <w:r w:rsidR="00F5769D">
              <w:rPr>
                <w:sz w:val="26"/>
                <w:szCs w:val="26"/>
              </w:rPr>
              <w:t xml:space="preserve"> </w:t>
            </w:r>
            <w:r w:rsidR="00F37FE8">
              <w:rPr>
                <w:sz w:val="26"/>
                <w:szCs w:val="26"/>
              </w:rPr>
              <w:t xml:space="preserve">attiecīgā izglītības iestāde atrodas </w:t>
            </w:r>
            <w:r w:rsidR="00F5769D">
              <w:rPr>
                <w:sz w:val="26"/>
                <w:szCs w:val="26"/>
              </w:rPr>
              <w:t xml:space="preserve">un </w:t>
            </w:r>
            <w:r w:rsidR="00F37FE8">
              <w:rPr>
                <w:sz w:val="26"/>
                <w:szCs w:val="26"/>
              </w:rPr>
              <w:t>pati izglītības iestāde, kura kvalificēsies kompetences centra statusa ieguvei.</w:t>
            </w:r>
          </w:p>
        </w:tc>
      </w:tr>
      <w:tr w:rsidR="00FD2051" w:rsidRPr="00C60580">
        <w:tc>
          <w:tcPr>
            <w:tcW w:w="201"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2.</w:t>
            </w:r>
          </w:p>
        </w:tc>
        <w:tc>
          <w:tcPr>
            <w:tcW w:w="0" w:type="auto"/>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Projekta izpildes ietekme uz pārvaldes funkcijām</w:t>
            </w:r>
          </w:p>
        </w:tc>
        <w:tc>
          <w:tcPr>
            <w:tcW w:w="3293" w:type="pct"/>
            <w:tcBorders>
              <w:top w:val="outset" w:sz="6" w:space="0" w:color="000000"/>
              <w:left w:val="outset" w:sz="6" w:space="0" w:color="000000"/>
              <w:bottom w:val="outset" w:sz="6" w:space="0" w:color="000000"/>
              <w:right w:val="outset" w:sz="6" w:space="0" w:color="000000"/>
            </w:tcBorders>
          </w:tcPr>
          <w:p w:rsidR="00FD2051" w:rsidRPr="00783A0A" w:rsidRDefault="00783A0A" w:rsidP="004127B7">
            <w:pPr>
              <w:jc w:val="both"/>
              <w:rPr>
                <w:sz w:val="26"/>
                <w:szCs w:val="26"/>
              </w:rPr>
            </w:pPr>
            <w:r w:rsidRPr="00783A0A">
              <w:rPr>
                <w:sz w:val="26"/>
                <w:szCs w:val="26"/>
              </w:rPr>
              <w:t xml:space="preserve">Noteikumu projekts nepaplašina un nesašaurina </w:t>
            </w:r>
            <w:r w:rsidR="00B40A75">
              <w:rPr>
                <w:sz w:val="26"/>
                <w:szCs w:val="26"/>
              </w:rPr>
              <w:t xml:space="preserve">Izglītības un zinātnes </w:t>
            </w:r>
            <w:r w:rsidRPr="00783A0A">
              <w:rPr>
                <w:sz w:val="26"/>
                <w:szCs w:val="26"/>
              </w:rPr>
              <w:t>ministrijas funkcijas</w:t>
            </w:r>
            <w:r w:rsidR="004127B7">
              <w:rPr>
                <w:sz w:val="26"/>
                <w:szCs w:val="26"/>
              </w:rPr>
              <w:t>.</w:t>
            </w:r>
            <w:r w:rsidRPr="00783A0A">
              <w:rPr>
                <w:sz w:val="26"/>
                <w:szCs w:val="26"/>
              </w:rPr>
              <w:t xml:space="preserve"> </w:t>
            </w:r>
          </w:p>
        </w:tc>
      </w:tr>
      <w:tr w:rsidR="00FD2051" w:rsidRPr="00C60580">
        <w:tc>
          <w:tcPr>
            <w:tcW w:w="201"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3.</w:t>
            </w:r>
          </w:p>
        </w:tc>
        <w:tc>
          <w:tcPr>
            <w:tcW w:w="0" w:type="auto"/>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Projekta izpildes ietekme uz pārvaldes institucionālo struktūru.</w:t>
            </w:r>
          </w:p>
          <w:p w:rsidR="00FD2051" w:rsidRPr="00C60580" w:rsidRDefault="00FD2051" w:rsidP="00784718">
            <w:pPr>
              <w:jc w:val="both"/>
              <w:rPr>
                <w:sz w:val="26"/>
                <w:szCs w:val="26"/>
              </w:rPr>
            </w:pPr>
          </w:p>
          <w:p w:rsidR="00FD2051" w:rsidRPr="00C60580" w:rsidRDefault="00FD2051" w:rsidP="00784718">
            <w:pPr>
              <w:jc w:val="both"/>
              <w:rPr>
                <w:sz w:val="26"/>
                <w:szCs w:val="26"/>
              </w:rPr>
            </w:pPr>
            <w:r w:rsidRPr="00C60580">
              <w:rPr>
                <w:sz w:val="26"/>
                <w:szCs w:val="26"/>
              </w:rPr>
              <w:t>Jaunu institūciju izveide</w:t>
            </w:r>
          </w:p>
        </w:tc>
        <w:tc>
          <w:tcPr>
            <w:tcW w:w="3293" w:type="pct"/>
            <w:tcBorders>
              <w:top w:val="outset" w:sz="6" w:space="0" w:color="000000"/>
              <w:left w:val="outset" w:sz="6" w:space="0" w:color="000000"/>
              <w:bottom w:val="outset" w:sz="6" w:space="0" w:color="000000"/>
              <w:right w:val="outset" w:sz="6" w:space="0" w:color="000000"/>
            </w:tcBorders>
          </w:tcPr>
          <w:p w:rsidR="00FD2051" w:rsidRPr="00C60580" w:rsidRDefault="00A061E0" w:rsidP="00784718">
            <w:pPr>
              <w:jc w:val="both"/>
              <w:rPr>
                <w:sz w:val="26"/>
                <w:szCs w:val="26"/>
              </w:rPr>
            </w:pPr>
            <w:r>
              <w:rPr>
                <w:sz w:val="26"/>
                <w:szCs w:val="26"/>
              </w:rPr>
              <w:t>Jaunas institūcijas netiks veidotas.</w:t>
            </w:r>
          </w:p>
        </w:tc>
      </w:tr>
      <w:tr w:rsidR="00FD2051" w:rsidRPr="00C60580">
        <w:tc>
          <w:tcPr>
            <w:tcW w:w="201"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4.</w:t>
            </w:r>
          </w:p>
        </w:tc>
        <w:tc>
          <w:tcPr>
            <w:tcW w:w="0" w:type="auto"/>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Projekta izpildes ietekme uz pārvaldes institucionālo struktūru.</w:t>
            </w:r>
          </w:p>
          <w:p w:rsidR="00FD2051" w:rsidRPr="00C60580" w:rsidRDefault="00FD2051" w:rsidP="00784718">
            <w:pPr>
              <w:jc w:val="both"/>
              <w:rPr>
                <w:sz w:val="26"/>
                <w:szCs w:val="26"/>
              </w:rPr>
            </w:pPr>
          </w:p>
          <w:p w:rsidR="00FD2051" w:rsidRPr="00C60580" w:rsidRDefault="00FD2051" w:rsidP="00784718">
            <w:pPr>
              <w:jc w:val="both"/>
              <w:rPr>
                <w:sz w:val="26"/>
                <w:szCs w:val="26"/>
              </w:rPr>
            </w:pPr>
            <w:r w:rsidRPr="00C60580">
              <w:rPr>
                <w:sz w:val="26"/>
                <w:szCs w:val="26"/>
              </w:rPr>
              <w:t>Esošu institūciju likvidācija</w:t>
            </w:r>
          </w:p>
        </w:tc>
        <w:tc>
          <w:tcPr>
            <w:tcW w:w="3293"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Likvidēt esošas institūcijas nav plānots.</w:t>
            </w:r>
          </w:p>
        </w:tc>
      </w:tr>
      <w:tr w:rsidR="00FD2051" w:rsidRPr="00C60580">
        <w:tc>
          <w:tcPr>
            <w:tcW w:w="201"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lastRenderedPageBreak/>
              <w:t>5.</w:t>
            </w:r>
          </w:p>
        </w:tc>
        <w:tc>
          <w:tcPr>
            <w:tcW w:w="0" w:type="auto"/>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Projekta izpildes ietekme uz pārvaldes institucionālo struktūru.</w:t>
            </w:r>
          </w:p>
          <w:p w:rsidR="00FD2051" w:rsidRPr="00C60580" w:rsidRDefault="00FD2051" w:rsidP="00784718">
            <w:pPr>
              <w:jc w:val="both"/>
              <w:rPr>
                <w:sz w:val="26"/>
                <w:szCs w:val="26"/>
              </w:rPr>
            </w:pPr>
            <w:r w:rsidRPr="00C60580">
              <w:rPr>
                <w:sz w:val="26"/>
                <w:szCs w:val="26"/>
              </w:rPr>
              <w:t>Esošu institūciju reorganizācija</w:t>
            </w:r>
          </w:p>
        </w:tc>
        <w:tc>
          <w:tcPr>
            <w:tcW w:w="3293" w:type="pct"/>
            <w:tcBorders>
              <w:top w:val="outset" w:sz="6" w:space="0" w:color="000000"/>
              <w:left w:val="outset" w:sz="6" w:space="0" w:color="000000"/>
              <w:bottom w:val="outset" w:sz="6" w:space="0" w:color="000000"/>
              <w:right w:val="outset" w:sz="6" w:space="0" w:color="000000"/>
            </w:tcBorders>
          </w:tcPr>
          <w:p w:rsidR="00FD2051" w:rsidRPr="00C60580" w:rsidRDefault="002A0A33" w:rsidP="00784718">
            <w:pPr>
              <w:jc w:val="both"/>
              <w:rPr>
                <w:sz w:val="26"/>
                <w:szCs w:val="26"/>
                <w:highlight w:val="red"/>
              </w:rPr>
            </w:pPr>
            <w:r>
              <w:rPr>
                <w:sz w:val="26"/>
                <w:szCs w:val="26"/>
              </w:rPr>
              <w:t>Izglītības iestāžu reorganizācija nav paredzēta.</w:t>
            </w:r>
          </w:p>
        </w:tc>
      </w:tr>
      <w:tr w:rsidR="00FD2051" w:rsidRPr="00C60580">
        <w:trPr>
          <w:trHeight w:val="185"/>
        </w:trPr>
        <w:tc>
          <w:tcPr>
            <w:tcW w:w="201"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6.</w:t>
            </w:r>
          </w:p>
        </w:tc>
        <w:tc>
          <w:tcPr>
            <w:tcW w:w="0" w:type="auto"/>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Cita informācija</w:t>
            </w:r>
          </w:p>
        </w:tc>
        <w:tc>
          <w:tcPr>
            <w:tcW w:w="3293" w:type="pct"/>
            <w:tcBorders>
              <w:top w:val="outset" w:sz="6" w:space="0" w:color="000000"/>
              <w:left w:val="outset" w:sz="6" w:space="0" w:color="000000"/>
              <w:bottom w:val="outset" w:sz="6" w:space="0" w:color="000000"/>
              <w:right w:val="outset" w:sz="6" w:space="0" w:color="000000"/>
            </w:tcBorders>
          </w:tcPr>
          <w:p w:rsidR="00FD2051" w:rsidRPr="00C60580" w:rsidRDefault="00FD2051" w:rsidP="00784718">
            <w:pPr>
              <w:jc w:val="both"/>
              <w:rPr>
                <w:sz w:val="26"/>
                <w:szCs w:val="26"/>
              </w:rPr>
            </w:pPr>
            <w:r w:rsidRPr="00C60580">
              <w:rPr>
                <w:sz w:val="26"/>
                <w:szCs w:val="26"/>
              </w:rPr>
              <w:t>Nav.</w:t>
            </w:r>
          </w:p>
        </w:tc>
      </w:tr>
    </w:tbl>
    <w:p w:rsidR="00FD2051" w:rsidRPr="00C60580" w:rsidRDefault="00FD2051" w:rsidP="00784718">
      <w:pPr>
        <w:jc w:val="both"/>
        <w:rPr>
          <w:sz w:val="26"/>
          <w:szCs w:val="26"/>
        </w:rPr>
      </w:pPr>
    </w:p>
    <w:p w:rsidR="00FD2051" w:rsidRPr="00C60580" w:rsidRDefault="00FD2051" w:rsidP="00784718">
      <w:pPr>
        <w:jc w:val="both"/>
        <w:rPr>
          <w:sz w:val="26"/>
          <w:szCs w:val="26"/>
        </w:rPr>
      </w:pPr>
    </w:p>
    <w:p w:rsidR="00FD2051" w:rsidRPr="00C60580" w:rsidRDefault="00FD2051" w:rsidP="00784718">
      <w:pPr>
        <w:jc w:val="both"/>
        <w:rPr>
          <w:sz w:val="26"/>
          <w:szCs w:val="26"/>
        </w:rPr>
      </w:pPr>
      <w:r w:rsidRPr="00C60580">
        <w:rPr>
          <w:sz w:val="26"/>
          <w:szCs w:val="26"/>
        </w:rPr>
        <w:t>Izgl</w:t>
      </w:r>
      <w:r w:rsidR="003C06EC">
        <w:rPr>
          <w:sz w:val="26"/>
          <w:szCs w:val="26"/>
        </w:rPr>
        <w:t>ītības un zinātnes ministrs</w:t>
      </w:r>
      <w:r w:rsidR="003C06EC">
        <w:rPr>
          <w:sz w:val="26"/>
          <w:szCs w:val="26"/>
        </w:rPr>
        <w:tab/>
      </w:r>
      <w:r w:rsidR="003C06EC">
        <w:rPr>
          <w:sz w:val="26"/>
          <w:szCs w:val="26"/>
        </w:rPr>
        <w:tab/>
      </w:r>
      <w:r w:rsidR="003C06EC">
        <w:rPr>
          <w:sz w:val="26"/>
          <w:szCs w:val="26"/>
        </w:rPr>
        <w:tab/>
      </w:r>
      <w:r w:rsidR="003C06EC">
        <w:rPr>
          <w:sz w:val="26"/>
          <w:szCs w:val="26"/>
        </w:rPr>
        <w:tab/>
      </w:r>
      <w:r w:rsidR="003C06EC">
        <w:rPr>
          <w:sz w:val="26"/>
          <w:szCs w:val="26"/>
        </w:rPr>
        <w:tab/>
      </w:r>
      <w:r w:rsidR="003C06EC">
        <w:rPr>
          <w:sz w:val="26"/>
          <w:szCs w:val="26"/>
        </w:rPr>
        <w:tab/>
        <w:t>R.Ķīlis</w:t>
      </w:r>
    </w:p>
    <w:p w:rsidR="00FD2051" w:rsidRPr="00C60580" w:rsidRDefault="00FD2051" w:rsidP="00784718">
      <w:pPr>
        <w:jc w:val="both"/>
        <w:rPr>
          <w:sz w:val="26"/>
          <w:szCs w:val="26"/>
        </w:rPr>
      </w:pPr>
      <w:r w:rsidRPr="00C60580">
        <w:rPr>
          <w:sz w:val="26"/>
          <w:szCs w:val="26"/>
        </w:rPr>
        <w:t xml:space="preserve"> </w:t>
      </w:r>
    </w:p>
    <w:p w:rsidR="00FD2051" w:rsidRPr="002E0F99" w:rsidRDefault="00FD2051" w:rsidP="004263E8">
      <w:pPr>
        <w:jc w:val="both"/>
        <w:rPr>
          <w:sz w:val="26"/>
          <w:szCs w:val="26"/>
        </w:rPr>
      </w:pPr>
      <w:r w:rsidRPr="002E0F99">
        <w:rPr>
          <w:sz w:val="26"/>
          <w:szCs w:val="26"/>
        </w:rPr>
        <w:t xml:space="preserve">Vizē: </w:t>
      </w:r>
      <w:r w:rsidRPr="002E0F99">
        <w:rPr>
          <w:sz w:val="26"/>
          <w:szCs w:val="26"/>
        </w:rPr>
        <w:tab/>
      </w:r>
    </w:p>
    <w:p w:rsidR="0031231F" w:rsidRDefault="00B20E3D" w:rsidP="00B20E3D">
      <w:pPr>
        <w:tabs>
          <w:tab w:val="left" w:pos="709"/>
        </w:tabs>
        <w:rPr>
          <w:color w:val="000000"/>
          <w:sz w:val="26"/>
          <w:szCs w:val="26"/>
        </w:rPr>
      </w:pPr>
      <w:r>
        <w:rPr>
          <w:color w:val="000000"/>
          <w:sz w:val="26"/>
          <w:szCs w:val="26"/>
        </w:rPr>
        <w:t>Valsts sekretāre</w:t>
      </w:r>
      <w:r w:rsidR="0031231F">
        <w:rPr>
          <w:color w:val="000000"/>
          <w:sz w:val="26"/>
          <w:szCs w:val="26"/>
        </w:rPr>
        <w:t xml:space="preserve">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S.Liepiņa</w:t>
      </w:r>
    </w:p>
    <w:p w:rsidR="00886C4A" w:rsidRDefault="00886C4A" w:rsidP="004263E8">
      <w:pPr>
        <w:tabs>
          <w:tab w:val="left" w:pos="2805"/>
        </w:tabs>
        <w:jc w:val="both"/>
        <w:rPr>
          <w:sz w:val="26"/>
          <w:szCs w:val="26"/>
        </w:rPr>
      </w:pPr>
    </w:p>
    <w:p w:rsidR="00EE6E32" w:rsidRDefault="00E43974" w:rsidP="004263E8">
      <w:pPr>
        <w:tabs>
          <w:tab w:val="left" w:pos="2805"/>
        </w:tabs>
        <w:jc w:val="both"/>
        <w:rPr>
          <w:sz w:val="22"/>
          <w:szCs w:val="22"/>
        </w:rPr>
      </w:pPr>
      <w:r>
        <w:rPr>
          <w:sz w:val="22"/>
          <w:szCs w:val="22"/>
        </w:rPr>
        <w:tab/>
      </w:r>
    </w:p>
    <w:p w:rsidR="00FD2051" w:rsidRPr="003C06EC" w:rsidRDefault="00B20E3D" w:rsidP="004263E8">
      <w:pPr>
        <w:jc w:val="both"/>
        <w:rPr>
          <w:sz w:val="22"/>
          <w:szCs w:val="22"/>
        </w:rPr>
      </w:pPr>
      <w:r>
        <w:rPr>
          <w:sz w:val="22"/>
          <w:szCs w:val="22"/>
        </w:rPr>
        <w:t>29.0</w:t>
      </w:r>
      <w:r w:rsidR="00B5354A">
        <w:rPr>
          <w:sz w:val="22"/>
          <w:szCs w:val="22"/>
        </w:rPr>
        <w:t>1</w:t>
      </w:r>
      <w:r w:rsidR="003C06EC" w:rsidRPr="003C06EC">
        <w:rPr>
          <w:sz w:val="22"/>
          <w:szCs w:val="22"/>
        </w:rPr>
        <w:t>.</w:t>
      </w:r>
      <w:r w:rsidR="00EA0A48">
        <w:rPr>
          <w:sz w:val="22"/>
          <w:szCs w:val="22"/>
        </w:rPr>
        <w:t>20</w:t>
      </w:r>
      <w:r>
        <w:rPr>
          <w:sz w:val="22"/>
          <w:szCs w:val="22"/>
        </w:rPr>
        <w:t>13</w:t>
      </w:r>
      <w:r w:rsidR="002C3469">
        <w:rPr>
          <w:sz w:val="22"/>
          <w:szCs w:val="22"/>
        </w:rPr>
        <w:t>. 1</w:t>
      </w:r>
      <w:r w:rsidR="009D38C1">
        <w:rPr>
          <w:sz w:val="22"/>
          <w:szCs w:val="22"/>
        </w:rPr>
        <w:t>4</w:t>
      </w:r>
      <w:r w:rsidR="00FD2051" w:rsidRPr="003C06EC">
        <w:rPr>
          <w:sz w:val="22"/>
          <w:szCs w:val="22"/>
        </w:rPr>
        <w:t>:</w:t>
      </w:r>
      <w:r w:rsidR="00FF2393">
        <w:rPr>
          <w:sz w:val="22"/>
          <w:szCs w:val="22"/>
        </w:rPr>
        <w:t>39</w:t>
      </w:r>
    </w:p>
    <w:p w:rsidR="003C06EC" w:rsidRPr="003C06EC" w:rsidRDefault="00B20E3D" w:rsidP="004263E8">
      <w:pPr>
        <w:jc w:val="both"/>
        <w:rPr>
          <w:sz w:val="22"/>
          <w:szCs w:val="22"/>
        </w:rPr>
      </w:pPr>
      <w:r>
        <w:rPr>
          <w:sz w:val="22"/>
          <w:szCs w:val="22"/>
        </w:rPr>
        <w:t>3</w:t>
      </w:r>
      <w:r w:rsidR="009830AB">
        <w:rPr>
          <w:sz w:val="22"/>
          <w:szCs w:val="22"/>
        </w:rPr>
        <w:t>3</w:t>
      </w:r>
      <w:r w:rsidR="00A14C56">
        <w:rPr>
          <w:sz w:val="22"/>
          <w:szCs w:val="22"/>
        </w:rPr>
        <w:t>7</w:t>
      </w:r>
      <w:r w:rsidR="006D2170">
        <w:rPr>
          <w:sz w:val="22"/>
          <w:szCs w:val="22"/>
        </w:rPr>
        <w:t>5</w:t>
      </w:r>
    </w:p>
    <w:p w:rsidR="00EA0A48" w:rsidRDefault="00EA0A48" w:rsidP="004263E8">
      <w:pPr>
        <w:jc w:val="both"/>
        <w:rPr>
          <w:sz w:val="22"/>
          <w:szCs w:val="22"/>
        </w:rPr>
      </w:pPr>
      <w:proofErr w:type="spellStart"/>
      <w:r>
        <w:rPr>
          <w:sz w:val="22"/>
          <w:szCs w:val="22"/>
        </w:rPr>
        <w:t>Dz.Kalniņa</w:t>
      </w:r>
      <w:proofErr w:type="spellEnd"/>
      <w:r w:rsidR="003C06EC" w:rsidRPr="003C06EC">
        <w:rPr>
          <w:sz w:val="22"/>
          <w:szCs w:val="22"/>
        </w:rPr>
        <w:t xml:space="preserve"> </w:t>
      </w:r>
    </w:p>
    <w:p w:rsidR="003C06EC" w:rsidRPr="003C06EC" w:rsidRDefault="003C06EC" w:rsidP="004263E8">
      <w:pPr>
        <w:jc w:val="both"/>
        <w:rPr>
          <w:sz w:val="22"/>
          <w:szCs w:val="22"/>
        </w:rPr>
      </w:pPr>
      <w:r w:rsidRPr="003C06EC">
        <w:rPr>
          <w:sz w:val="22"/>
          <w:szCs w:val="22"/>
        </w:rPr>
        <w:t>67047942</w:t>
      </w:r>
      <w:r w:rsidR="00EA0A48">
        <w:rPr>
          <w:sz w:val="22"/>
          <w:szCs w:val="22"/>
        </w:rPr>
        <w:t xml:space="preserve">, </w:t>
      </w:r>
      <w:hyperlink r:id="rId8" w:history="1">
        <w:r w:rsidRPr="003C06EC">
          <w:rPr>
            <w:rStyle w:val="Hyperlink"/>
            <w:sz w:val="22"/>
            <w:szCs w:val="22"/>
          </w:rPr>
          <w:t>dzintra.kalnina@izm.gov.lv</w:t>
        </w:r>
      </w:hyperlink>
    </w:p>
    <w:sectPr w:rsidR="003C06EC" w:rsidRPr="003C06EC" w:rsidSect="00886C4A">
      <w:headerReference w:type="default" r:id="rId9"/>
      <w:footerReference w:type="default" r:id="rId10"/>
      <w:footerReference w:type="first" r:id="rId11"/>
      <w:pgSz w:w="11906" w:h="16838" w:code="9"/>
      <w:pgMar w:top="1418" w:right="1558" w:bottom="0" w:left="1701" w:header="709" w:footer="709" w:gutter="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D8C" w:rsidRDefault="00EB2D8C" w:rsidP="000C0374">
      <w:r>
        <w:separator/>
      </w:r>
    </w:p>
  </w:endnote>
  <w:endnote w:type="continuationSeparator" w:id="0">
    <w:p w:rsidR="00EB2D8C" w:rsidRDefault="00EB2D8C" w:rsidP="000C0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25" w:rsidRPr="007E5F59" w:rsidRDefault="00C13225" w:rsidP="00C03BCE">
    <w:pPr>
      <w:pStyle w:val="Footer"/>
      <w:jc w:val="both"/>
    </w:pPr>
    <w:r>
      <w:t>IZMAn</w:t>
    </w:r>
    <w:r w:rsidRPr="007E5F59">
      <w:t>ot_</w:t>
    </w:r>
    <w:r w:rsidR="009830AB">
      <w:t>290</w:t>
    </w:r>
    <w:r w:rsidR="002D4BB4">
      <w:t>1</w:t>
    </w:r>
    <w:r w:rsidR="009830AB">
      <w:t>13</w:t>
    </w:r>
    <w:r w:rsidRPr="007E5F59">
      <w:t>_</w:t>
    </w:r>
    <w:r>
      <w:t>PIKC</w:t>
    </w:r>
    <w:r w:rsidRPr="007E5F59">
      <w:t>; Mini</w:t>
    </w:r>
    <w:r w:rsidR="008F5EDD">
      <w:t>stru kabineta noteikumu projekta</w:t>
    </w:r>
    <w:r w:rsidRPr="007E5F59">
      <w:t xml:space="preserve"> „</w:t>
    </w:r>
    <w:r w:rsidRPr="007E5F59">
      <w:rPr>
        <w:bCs/>
      </w:rPr>
      <w:t>Profesionālās izglītības kompetences centra statusa piešķiršanas un anulēšanas kārtība</w:t>
    </w:r>
    <w:r w:rsidRPr="007E5F59">
      <w:t>” sākotnējās ietekmes novērtējuma ziņojums (anotācija)</w:t>
    </w:r>
  </w:p>
  <w:p w:rsidR="00C13225" w:rsidRPr="007E5F59" w:rsidRDefault="00C13225" w:rsidP="00F21575">
    <w:pPr>
      <w:pStyle w:val="naisc"/>
      <w:spacing w:before="0" w:after="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25" w:rsidRPr="007E5F59" w:rsidRDefault="00C13225" w:rsidP="00C03BCE">
    <w:pPr>
      <w:pStyle w:val="Footer"/>
      <w:jc w:val="both"/>
    </w:pPr>
    <w:r>
      <w:t>IZMAn</w:t>
    </w:r>
    <w:r w:rsidRPr="007E5F59">
      <w:t>ot_</w:t>
    </w:r>
    <w:r w:rsidR="009830AB">
      <w:t>290</w:t>
    </w:r>
    <w:r w:rsidR="002D4BB4">
      <w:t>1</w:t>
    </w:r>
    <w:r w:rsidR="009830AB">
      <w:t>13</w:t>
    </w:r>
    <w:r w:rsidRPr="007E5F59">
      <w:t>_</w:t>
    </w:r>
    <w:r>
      <w:t>PIKC</w:t>
    </w:r>
    <w:r w:rsidRPr="007E5F59">
      <w:t>; Mini</w:t>
    </w:r>
    <w:r w:rsidR="00B5354A">
      <w:t>stru kabineta noteikumu projekta</w:t>
    </w:r>
    <w:r w:rsidRPr="007E5F59">
      <w:t xml:space="preserve"> „</w:t>
    </w:r>
    <w:r w:rsidRPr="007E5F59">
      <w:rPr>
        <w:bCs/>
      </w:rPr>
      <w:t>Profesionālās izglītības kompetences centra statusa piešķiršanas un anulēšanas kārtība</w:t>
    </w:r>
    <w:r w:rsidRPr="007E5F59">
      <w:t>” sākotnējās ietekmes novērtējuma ziņojums (anotācija)</w:t>
    </w:r>
  </w:p>
  <w:p w:rsidR="00C13225" w:rsidRPr="007E5F59" w:rsidRDefault="00C13225" w:rsidP="007E5F59">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D8C" w:rsidRDefault="00EB2D8C" w:rsidP="000C0374">
      <w:r>
        <w:separator/>
      </w:r>
    </w:p>
  </w:footnote>
  <w:footnote w:type="continuationSeparator" w:id="0">
    <w:p w:rsidR="00EB2D8C" w:rsidRDefault="00EB2D8C" w:rsidP="000C0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25" w:rsidRDefault="00B36A03">
    <w:pPr>
      <w:pStyle w:val="Header"/>
      <w:framePr w:wrap="auto" w:vAnchor="text" w:hAnchor="margin" w:xAlign="center" w:y="1"/>
      <w:rPr>
        <w:rStyle w:val="PageNumber"/>
      </w:rPr>
    </w:pPr>
    <w:r>
      <w:rPr>
        <w:rStyle w:val="PageNumber"/>
      </w:rPr>
      <w:fldChar w:fldCharType="begin"/>
    </w:r>
    <w:r w:rsidR="00C13225">
      <w:rPr>
        <w:rStyle w:val="PageNumber"/>
      </w:rPr>
      <w:instrText xml:space="preserve">PAGE  </w:instrText>
    </w:r>
    <w:r>
      <w:rPr>
        <w:rStyle w:val="PageNumber"/>
      </w:rPr>
      <w:fldChar w:fldCharType="separate"/>
    </w:r>
    <w:r w:rsidR="006D2170">
      <w:rPr>
        <w:rStyle w:val="PageNumber"/>
        <w:noProof/>
      </w:rPr>
      <w:t>14</w:t>
    </w:r>
    <w:r>
      <w:rPr>
        <w:rStyle w:val="PageNumber"/>
      </w:rPr>
      <w:fldChar w:fldCharType="end"/>
    </w:r>
  </w:p>
  <w:p w:rsidR="00C13225" w:rsidRDefault="00C13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CCEC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925F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F029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5C0F3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043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A4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F8A4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4C3C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367E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A0D4F6"/>
    <w:lvl w:ilvl="0">
      <w:start w:val="1"/>
      <w:numFmt w:val="bullet"/>
      <w:lvlText w:val=""/>
      <w:lvlJc w:val="left"/>
      <w:pPr>
        <w:tabs>
          <w:tab w:val="num" w:pos="360"/>
        </w:tabs>
        <w:ind w:left="360" w:hanging="360"/>
      </w:pPr>
      <w:rPr>
        <w:rFonts w:ascii="Symbol" w:hAnsi="Symbol" w:hint="default"/>
      </w:rPr>
    </w:lvl>
  </w:abstractNum>
  <w:abstractNum w:abstractNumId="10">
    <w:nsid w:val="008E0160"/>
    <w:multiLevelType w:val="hybridMultilevel"/>
    <w:tmpl w:val="2FA07372"/>
    <w:lvl w:ilvl="0" w:tplc="87B49F98">
      <w:start w:val="1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10373FE6"/>
    <w:multiLevelType w:val="hybridMultilevel"/>
    <w:tmpl w:val="C666D1D6"/>
    <w:lvl w:ilvl="0" w:tplc="66926DDA">
      <w:start w:val="2004"/>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19E3548E"/>
    <w:multiLevelType w:val="hybridMultilevel"/>
    <w:tmpl w:val="D88AA966"/>
    <w:lvl w:ilvl="0" w:tplc="C398256A">
      <w:start w:val="29"/>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1DE806BC"/>
    <w:multiLevelType w:val="hybridMultilevel"/>
    <w:tmpl w:val="DEF6047C"/>
    <w:lvl w:ilvl="0" w:tplc="5928E40A">
      <w:start w:val="1"/>
      <w:numFmt w:val="decimal"/>
      <w:lvlText w:val="%1."/>
      <w:lvlJc w:val="left"/>
      <w:pPr>
        <w:ind w:left="735" w:hanging="375"/>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3564775C"/>
    <w:multiLevelType w:val="hybridMultilevel"/>
    <w:tmpl w:val="C8388AF8"/>
    <w:lvl w:ilvl="0" w:tplc="5232CF1E">
      <w:start w:val="2"/>
      <w:numFmt w:val="bullet"/>
      <w:lvlText w:val="–"/>
      <w:lvlJc w:val="left"/>
      <w:pPr>
        <w:ind w:left="780" w:hanging="360"/>
      </w:pPr>
      <w:rPr>
        <w:rFonts w:ascii="Times New Roman" w:eastAsia="Times New Roman" w:hAnsi="Times New Roman" w:hint="default"/>
      </w:rPr>
    </w:lvl>
    <w:lvl w:ilvl="1" w:tplc="04260003">
      <w:start w:val="1"/>
      <w:numFmt w:val="bullet"/>
      <w:lvlText w:val="o"/>
      <w:lvlJc w:val="left"/>
      <w:pPr>
        <w:ind w:left="1500" w:hanging="360"/>
      </w:pPr>
      <w:rPr>
        <w:rFonts w:ascii="Courier New" w:hAnsi="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hint="default"/>
      </w:rPr>
    </w:lvl>
    <w:lvl w:ilvl="8" w:tplc="04260005">
      <w:start w:val="1"/>
      <w:numFmt w:val="bullet"/>
      <w:lvlText w:val=""/>
      <w:lvlJc w:val="left"/>
      <w:pPr>
        <w:ind w:left="6540" w:hanging="360"/>
      </w:pPr>
      <w:rPr>
        <w:rFonts w:ascii="Wingdings" w:hAnsi="Wingdings" w:hint="default"/>
      </w:rPr>
    </w:lvl>
  </w:abstractNum>
  <w:abstractNum w:abstractNumId="15">
    <w:nsid w:val="4000742C"/>
    <w:multiLevelType w:val="hybridMultilevel"/>
    <w:tmpl w:val="890E849A"/>
    <w:lvl w:ilvl="0" w:tplc="0290C9C0">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4E1A1411"/>
    <w:multiLevelType w:val="hybridMultilevel"/>
    <w:tmpl w:val="C632FBD2"/>
    <w:lvl w:ilvl="0" w:tplc="0F20ACF6">
      <w:start w:val="29"/>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50D2434F"/>
    <w:multiLevelType w:val="hybridMultilevel"/>
    <w:tmpl w:val="2B2C9970"/>
    <w:lvl w:ilvl="0" w:tplc="04260011">
      <w:start w:val="1"/>
      <w:numFmt w:val="decimal"/>
      <w:lvlText w:val="%1)"/>
      <w:lvlJc w:val="left"/>
      <w:pPr>
        <w:ind w:left="360" w:hanging="360"/>
      </w:pPr>
      <w:rPr>
        <w:rFonts w:cs="Times New Roman" w:hint="default"/>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18">
    <w:nsid w:val="552A06AD"/>
    <w:multiLevelType w:val="hybridMultilevel"/>
    <w:tmpl w:val="F650140E"/>
    <w:lvl w:ilvl="0" w:tplc="0F1C188C">
      <w:start w:val="30"/>
      <w:numFmt w:val="bullet"/>
      <w:lvlText w:val="-"/>
      <w:lvlJc w:val="left"/>
      <w:pPr>
        <w:ind w:left="360" w:hanging="360"/>
      </w:pPr>
      <w:rPr>
        <w:rFonts w:ascii="Times New Roman" w:eastAsia="Times New Roman" w:hAnsi="Times New Roman" w:hint="default"/>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hint="default"/>
      </w:rPr>
    </w:lvl>
    <w:lvl w:ilvl="8" w:tplc="04260005">
      <w:start w:val="1"/>
      <w:numFmt w:val="bullet"/>
      <w:lvlText w:val=""/>
      <w:lvlJc w:val="left"/>
      <w:pPr>
        <w:ind w:left="6120" w:hanging="360"/>
      </w:pPr>
      <w:rPr>
        <w:rFonts w:ascii="Wingdings" w:hAnsi="Wingdings" w:hint="default"/>
      </w:rPr>
    </w:lvl>
  </w:abstractNum>
  <w:abstractNum w:abstractNumId="19">
    <w:nsid w:val="578A0E90"/>
    <w:multiLevelType w:val="hybridMultilevel"/>
    <w:tmpl w:val="3FCE1654"/>
    <w:lvl w:ilvl="0" w:tplc="84844E90">
      <w:start w:val="3"/>
      <w:numFmt w:val="bullet"/>
      <w:lvlText w:val="-"/>
      <w:lvlJc w:val="left"/>
      <w:pPr>
        <w:ind w:left="360" w:hanging="360"/>
      </w:pPr>
      <w:rPr>
        <w:rFonts w:ascii="Times New Roman" w:eastAsia="Times New Roman" w:hAnsi="Times New Roman" w:hint="default"/>
        <w:i/>
        <w:color w:val="auto"/>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hint="default"/>
      </w:rPr>
    </w:lvl>
    <w:lvl w:ilvl="8" w:tplc="04260005">
      <w:start w:val="1"/>
      <w:numFmt w:val="bullet"/>
      <w:lvlText w:val=""/>
      <w:lvlJc w:val="left"/>
      <w:pPr>
        <w:ind w:left="6120" w:hanging="360"/>
      </w:pPr>
      <w:rPr>
        <w:rFonts w:ascii="Wingdings" w:hAnsi="Wingdings" w:hint="default"/>
      </w:rPr>
    </w:lvl>
  </w:abstractNum>
  <w:abstractNum w:abstractNumId="20">
    <w:nsid w:val="5E2B59C7"/>
    <w:multiLevelType w:val="hybridMultilevel"/>
    <w:tmpl w:val="7D4675A8"/>
    <w:lvl w:ilvl="0" w:tplc="87241A76">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20"/>
  </w:num>
  <w:num w:numId="16">
    <w:abstractNumId w:val="19"/>
  </w:num>
  <w:num w:numId="17">
    <w:abstractNumId w:val="16"/>
  </w:num>
  <w:num w:numId="18">
    <w:abstractNumId w:val="12"/>
  </w:num>
  <w:num w:numId="19">
    <w:abstractNumId w:val="11"/>
  </w:num>
  <w:num w:numId="20">
    <w:abstractNumId w:val="1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0C0374"/>
    <w:rsid w:val="000001A4"/>
    <w:rsid w:val="000004B0"/>
    <w:rsid w:val="00007A68"/>
    <w:rsid w:val="00012458"/>
    <w:rsid w:val="000144B5"/>
    <w:rsid w:val="00014FAC"/>
    <w:rsid w:val="00020D4A"/>
    <w:rsid w:val="000233C5"/>
    <w:rsid w:val="00024FBE"/>
    <w:rsid w:val="00025412"/>
    <w:rsid w:val="00025D99"/>
    <w:rsid w:val="00025F90"/>
    <w:rsid w:val="00030350"/>
    <w:rsid w:val="000314D1"/>
    <w:rsid w:val="00031786"/>
    <w:rsid w:val="00031BA8"/>
    <w:rsid w:val="000330A2"/>
    <w:rsid w:val="000332A8"/>
    <w:rsid w:val="0003376D"/>
    <w:rsid w:val="00034988"/>
    <w:rsid w:val="000416DF"/>
    <w:rsid w:val="00043269"/>
    <w:rsid w:val="00043596"/>
    <w:rsid w:val="00044640"/>
    <w:rsid w:val="000449CE"/>
    <w:rsid w:val="00047863"/>
    <w:rsid w:val="00050F02"/>
    <w:rsid w:val="0005107F"/>
    <w:rsid w:val="000516EB"/>
    <w:rsid w:val="000534BF"/>
    <w:rsid w:val="00056180"/>
    <w:rsid w:val="00056592"/>
    <w:rsid w:val="00057765"/>
    <w:rsid w:val="00061C1D"/>
    <w:rsid w:val="00064B75"/>
    <w:rsid w:val="00064D61"/>
    <w:rsid w:val="0006516B"/>
    <w:rsid w:val="00065AD4"/>
    <w:rsid w:val="0006622E"/>
    <w:rsid w:val="00066297"/>
    <w:rsid w:val="00066F9D"/>
    <w:rsid w:val="00072A8C"/>
    <w:rsid w:val="0007440C"/>
    <w:rsid w:val="00074C6A"/>
    <w:rsid w:val="00076A6D"/>
    <w:rsid w:val="00080AA8"/>
    <w:rsid w:val="0008295D"/>
    <w:rsid w:val="00084BB6"/>
    <w:rsid w:val="0008554C"/>
    <w:rsid w:val="00086D86"/>
    <w:rsid w:val="0009172F"/>
    <w:rsid w:val="00094D02"/>
    <w:rsid w:val="000951D7"/>
    <w:rsid w:val="00096382"/>
    <w:rsid w:val="00096918"/>
    <w:rsid w:val="00097C15"/>
    <w:rsid w:val="000A10CC"/>
    <w:rsid w:val="000A58CF"/>
    <w:rsid w:val="000A7F1D"/>
    <w:rsid w:val="000B1BE8"/>
    <w:rsid w:val="000B2D20"/>
    <w:rsid w:val="000B3469"/>
    <w:rsid w:val="000B48A6"/>
    <w:rsid w:val="000B5093"/>
    <w:rsid w:val="000B6842"/>
    <w:rsid w:val="000C0374"/>
    <w:rsid w:val="000C0C81"/>
    <w:rsid w:val="000C2583"/>
    <w:rsid w:val="000C25F6"/>
    <w:rsid w:val="000C5D12"/>
    <w:rsid w:val="000D352A"/>
    <w:rsid w:val="000E24B3"/>
    <w:rsid w:val="000F01CB"/>
    <w:rsid w:val="000F0B15"/>
    <w:rsid w:val="000F1DBC"/>
    <w:rsid w:val="000F4122"/>
    <w:rsid w:val="000F4907"/>
    <w:rsid w:val="00103F9F"/>
    <w:rsid w:val="00105BA3"/>
    <w:rsid w:val="00105D95"/>
    <w:rsid w:val="0010676F"/>
    <w:rsid w:val="00106D3C"/>
    <w:rsid w:val="00112646"/>
    <w:rsid w:val="00112A98"/>
    <w:rsid w:val="00115FC5"/>
    <w:rsid w:val="001231D8"/>
    <w:rsid w:val="00123A86"/>
    <w:rsid w:val="00123D85"/>
    <w:rsid w:val="00124F55"/>
    <w:rsid w:val="00126F94"/>
    <w:rsid w:val="0012731C"/>
    <w:rsid w:val="00133B5B"/>
    <w:rsid w:val="001364A1"/>
    <w:rsid w:val="0014011A"/>
    <w:rsid w:val="00140A07"/>
    <w:rsid w:val="00140A8C"/>
    <w:rsid w:val="00142635"/>
    <w:rsid w:val="001458C1"/>
    <w:rsid w:val="00154AC6"/>
    <w:rsid w:val="00154FD1"/>
    <w:rsid w:val="00156DCD"/>
    <w:rsid w:val="00161C16"/>
    <w:rsid w:val="001623E0"/>
    <w:rsid w:val="00162BD9"/>
    <w:rsid w:val="00164B26"/>
    <w:rsid w:val="00165F8D"/>
    <w:rsid w:val="001663DF"/>
    <w:rsid w:val="00166A9E"/>
    <w:rsid w:val="00170304"/>
    <w:rsid w:val="001704A0"/>
    <w:rsid w:val="0017227A"/>
    <w:rsid w:val="00173089"/>
    <w:rsid w:val="001744DA"/>
    <w:rsid w:val="001754DE"/>
    <w:rsid w:val="00175E3D"/>
    <w:rsid w:val="00175FCF"/>
    <w:rsid w:val="001801C0"/>
    <w:rsid w:val="001810D3"/>
    <w:rsid w:val="001828A5"/>
    <w:rsid w:val="00184872"/>
    <w:rsid w:val="00185224"/>
    <w:rsid w:val="00187AB1"/>
    <w:rsid w:val="0019700F"/>
    <w:rsid w:val="00197466"/>
    <w:rsid w:val="001A28A1"/>
    <w:rsid w:val="001A48E2"/>
    <w:rsid w:val="001A6B53"/>
    <w:rsid w:val="001B0498"/>
    <w:rsid w:val="001B0D30"/>
    <w:rsid w:val="001B1C4C"/>
    <w:rsid w:val="001B3FA1"/>
    <w:rsid w:val="001B4475"/>
    <w:rsid w:val="001B4EFF"/>
    <w:rsid w:val="001B5270"/>
    <w:rsid w:val="001B5B53"/>
    <w:rsid w:val="001B6551"/>
    <w:rsid w:val="001B7495"/>
    <w:rsid w:val="001C154C"/>
    <w:rsid w:val="001C2FB2"/>
    <w:rsid w:val="001C3AB3"/>
    <w:rsid w:val="001C7F0C"/>
    <w:rsid w:val="001D0F8F"/>
    <w:rsid w:val="001D0FA3"/>
    <w:rsid w:val="001D5074"/>
    <w:rsid w:val="001D642B"/>
    <w:rsid w:val="001D6595"/>
    <w:rsid w:val="001E40F6"/>
    <w:rsid w:val="001E6A2B"/>
    <w:rsid w:val="001E7477"/>
    <w:rsid w:val="001F18E5"/>
    <w:rsid w:val="001F4B35"/>
    <w:rsid w:val="001F6D24"/>
    <w:rsid w:val="00202A78"/>
    <w:rsid w:val="00203099"/>
    <w:rsid w:val="00203BAE"/>
    <w:rsid w:val="002057B0"/>
    <w:rsid w:val="002060FD"/>
    <w:rsid w:val="00206CD6"/>
    <w:rsid w:val="00210A5A"/>
    <w:rsid w:val="00210E3E"/>
    <w:rsid w:val="002125CD"/>
    <w:rsid w:val="0021281F"/>
    <w:rsid w:val="002137CF"/>
    <w:rsid w:val="00213884"/>
    <w:rsid w:val="002175F6"/>
    <w:rsid w:val="00221821"/>
    <w:rsid w:val="0022198F"/>
    <w:rsid w:val="002220CA"/>
    <w:rsid w:val="00222F83"/>
    <w:rsid w:val="002231B7"/>
    <w:rsid w:val="00226051"/>
    <w:rsid w:val="002262E7"/>
    <w:rsid w:val="00231943"/>
    <w:rsid w:val="0023273D"/>
    <w:rsid w:val="002336E3"/>
    <w:rsid w:val="002336FB"/>
    <w:rsid w:val="002342A9"/>
    <w:rsid w:val="00237FD4"/>
    <w:rsid w:val="00241C4E"/>
    <w:rsid w:val="002421AB"/>
    <w:rsid w:val="002437B7"/>
    <w:rsid w:val="00247981"/>
    <w:rsid w:val="00250FDB"/>
    <w:rsid w:val="00251D64"/>
    <w:rsid w:val="00252DB1"/>
    <w:rsid w:val="00252E70"/>
    <w:rsid w:val="002530B5"/>
    <w:rsid w:val="00256720"/>
    <w:rsid w:val="002576CD"/>
    <w:rsid w:val="00260D13"/>
    <w:rsid w:val="00263BA1"/>
    <w:rsid w:val="00263F8B"/>
    <w:rsid w:val="00264DB8"/>
    <w:rsid w:val="0026613A"/>
    <w:rsid w:val="00266854"/>
    <w:rsid w:val="002741C6"/>
    <w:rsid w:val="00274792"/>
    <w:rsid w:val="00274C7B"/>
    <w:rsid w:val="0027549B"/>
    <w:rsid w:val="00276975"/>
    <w:rsid w:val="00276A30"/>
    <w:rsid w:val="00281CEB"/>
    <w:rsid w:val="00282CF7"/>
    <w:rsid w:val="00283AB0"/>
    <w:rsid w:val="0028450E"/>
    <w:rsid w:val="002847F5"/>
    <w:rsid w:val="00284935"/>
    <w:rsid w:val="002863DE"/>
    <w:rsid w:val="002879D1"/>
    <w:rsid w:val="0029122E"/>
    <w:rsid w:val="00291FD1"/>
    <w:rsid w:val="00294E0E"/>
    <w:rsid w:val="002953C3"/>
    <w:rsid w:val="00297F18"/>
    <w:rsid w:val="002A0319"/>
    <w:rsid w:val="002A0A33"/>
    <w:rsid w:val="002A464A"/>
    <w:rsid w:val="002A4A72"/>
    <w:rsid w:val="002A4E37"/>
    <w:rsid w:val="002A65F0"/>
    <w:rsid w:val="002A785F"/>
    <w:rsid w:val="002A7F1B"/>
    <w:rsid w:val="002B2847"/>
    <w:rsid w:val="002B5459"/>
    <w:rsid w:val="002B5C77"/>
    <w:rsid w:val="002B5EFC"/>
    <w:rsid w:val="002B6BC2"/>
    <w:rsid w:val="002C1252"/>
    <w:rsid w:val="002C3469"/>
    <w:rsid w:val="002C4963"/>
    <w:rsid w:val="002C58E7"/>
    <w:rsid w:val="002C5F7B"/>
    <w:rsid w:val="002C7D5A"/>
    <w:rsid w:val="002D1F04"/>
    <w:rsid w:val="002D41BA"/>
    <w:rsid w:val="002D4A25"/>
    <w:rsid w:val="002D4BB4"/>
    <w:rsid w:val="002E0F99"/>
    <w:rsid w:val="002E1C28"/>
    <w:rsid w:val="002E5702"/>
    <w:rsid w:val="002E57D4"/>
    <w:rsid w:val="002E6CE1"/>
    <w:rsid w:val="002F021E"/>
    <w:rsid w:val="002F47C2"/>
    <w:rsid w:val="002F72C9"/>
    <w:rsid w:val="002F7D60"/>
    <w:rsid w:val="002F7F5E"/>
    <w:rsid w:val="0030006F"/>
    <w:rsid w:val="00300C30"/>
    <w:rsid w:val="0030100B"/>
    <w:rsid w:val="0030166E"/>
    <w:rsid w:val="00302A8B"/>
    <w:rsid w:val="00303113"/>
    <w:rsid w:val="00304298"/>
    <w:rsid w:val="00304D1C"/>
    <w:rsid w:val="00307CB2"/>
    <w:rsid w:val="00307E2C"/>
    <w:rsid w:val="00307E3F"/>
    <w:rsid w:val="003100EC"/>
    <w:rsid w:val="00312070"/>
    <w:rsid w:val="0031231F"/>
    <w:rsid w:val="00312754"/>
    <w:rsid w:val="00314B32"/>
    <w:rsid w:val="003155D8"/>
    <w:rsid w:val="0031613F"/>
    <w:rsid w:val="00316BE2"/>
    <w:rsid w:val="0031760D"/>
    <w:rsid w:val="00320192"/>
    <w:rsid w:val="003204F3"/>
    <w:rsid w:val="00320799"/>
    <w:rsid w:val="00320F1D"/>
    <w:rsid w:val="00321485"/>
    <w:rsid w:val="003220E8"/>
    <w:rsid w:val="0032260D"/>
    <w:rsid w:val="0032416F"/>
    <w:rsid w:val="00325DDA"/>
    <w:rsid w:val="003275C6"/>
    <w:rsid w:val="003310E4"/>
    <w:rsid w:val="00332808"/>
    <w:rsid w:val="00333154"/>
    <w:rsid w:val="0033396C"/>
    <w:rsid w:val="00334BF6"/>
    <w:rsid w:val="00335FA5"/>
    <w:rsid w:val="00337572"/>
    <w:rsid w:val="003379C8"/>
    <w:rsid w:val="003449B3"/>
    <w:rsid w:val="003460FD"/>
    <w:rsid w:val="00347B32"/>
    <w:rsid w:val="00354CD4"/>
    <w:rsid w:val="00356523"/>
    <w:rsid w:val="003602EC"/>
    <w:rsid w:val="00360389"/>
    <w:rsid w:val="00361557"/>
    <w:rsid w:val="0036261C"/>
    <w:rsid w:val="00362876"/>
    <w:rsid w:val="003650FD"/>
    <w:rsid w:val="00365A78"/>
    <w:rsid w:val="003679D4"/>
    <w:rsid w:val="00367F4C"/>
    <w:rsid w:val="0037031C"/>
    <w:rsid w:val="00370828"/>
    <w:rsid w:val="00373F32"/>
    <w:rsid w:val="0037434A"/>
    <w:rsid w:val="00374973"/>
    <w:rsid w:val="00380ECC"/>
    <w:rsid w:val="00383F62"/>
    <w:rsid w:val="00384E99"/>
    <w:rsid w:val="003854FF"/>
    <w:rsid w:val="00386F73"/>
    <w:rsid w:val="00391B15"/>
    <w:rsid w:val="003955C0"/>
    <w:rsid w:val="00396C9E"/>
    <w:rsid w:val="003971C1"/>
    <w:rsid w:val="003A05BE"/>
    <w:rsid w:val="003A3C87"/>
    <w:rsid w:val="003A3DDC"/>
    <w:rsid w:val="003A4141"/>
    <w:rsid w:val="003A5521"/>
    <w:rsid w:val="003A7234"/>
    <w:rsid w:val="003B17BC"/>
    <w:rsid w:val="003B6013"/>
    <w:rsid w:val="003B7145"/>
    <w:rsid w:val="003C06EC"/>
    <w:rsid w:val="003C0D2E"/>
    <w:rsid w:val="003C10A9"/>
    <w:rsid w:val="003C2F0B"/>
    <w:rsid w:val="003C6228"/>
    <w:rsid w:val="003C787A"/>
    <w:rsid w:val="003D17A9"/>
    <w:rsid w:val="003D22F2"/>
    <w:rsid w:val="003D4949"/>
    <w:rsid w:val="003D4E8C"/>
    <w:rsid w:val="003D7714"/>
    <w:rsid w:val="003E0048"/>
    <w:rsid w:val="003E02B8"/>
    <w:rsid w:val="003E31BC"/>
    <w:rsid w:val="003E3CD5"/>
    <w:rsid w:val="003E4551"/>
    <w:rsid w:val="003E4B95"/>
    <w:rsid w:val="003E5037"/>
    <w:rsid w:val="003E5729"/>
    <w:rsid w:val="003E6565"/>
    <w:rsid w:val="003E6734"/>
    <w:rsid w:val="003F26CA"/>
    <w:rsid w:val="00400940"/>
    <w:rsid w:val="00401762"/>
    <w:rsid w:val="00402134"/>
    <w:rsid w:val="00404800"/>
    <w:rsid w:val="004127B7"/>
    <w:rsid w:val="00412DEB"/>
    <w:rsid w:val="00413C3E"/>
    <w:rsid w:val="00413DD7"/>
    <w:rsid w:val="0041652B"/>
    <w:rsid w:val="004169F1"/>
    <w:rsid w:val="004208E2"/>
    <w:rsid w:val="00420997"/>
    <w:rsid w:val="00425C94"/>
    <w:rsid w:val="004263E8"/>
    <w:rsid w:val="004264AC"/>
    <w:rsid w:val="004273BA"/>
    <w:rsid w:val="00427883"/>
    <w:rsid w:val="0043239C"/>
    <w:rsid w:val="0043344F"/>
    <w:rsid w:val="00433D4E"/>
    <w:rsid w:val="004366BB"/>
    <w:rsid w:val="00437726"/>
    <w:rsid w:val="0044105F"/>
    <w:rsid w:val="00441CDA"/>
    <w:rsid w:val="00445F80"/>
    <w:rsid w:val="0044651C"/>
    <w:rsid w:val="004473A3"/>
    <w:rsid w:val="00447F0E"/>
    <w:rsid w:val="004512FF"/>
    <w:rsid w:val="00462764"/>
    <w:rsid w:val="00463678"/>
    <w:rsid w:val="00465679"/>
    <w:rsid w:val="00466B25"/>
    <w:rsid w:val="00470D48"/>
    <w:rsid w:val="0047167E"/>
    <w:rsid w:val="00472758"/>
    <w:rsid w:val="00474C27"/>
    <w:rsid w:val="00475BD4"/>
    <w:rsid w:val="00480C07"/>
    <w:rsid w:val="004810D8"/>
    <w:rsid w:val="00485BD3"/>
    <w:rsid w:val="00486F16"/>
    <w:rsid w:val="00487611"/>
    <w:rsid w:val="00491C99"/>
    <w:rsid w:val="00492119"/>
    <w:rsid w:val="004A49F9"/>
    <w:rsid w:val="004A6791"/>
    <w:rsid w:val="004B05DE"/>
    <w:rsid w:val="004B10E2"/>
    <w:rsid w:val="004B2CDD"/>
    <w:rsid w:val="004B3657"/>
    <w:rsid w:val="004B3D05"/>
    <w:rsid w:val="004B6207"/>
    <w:rsid w:val="004B66B9"/>
    <w:rsid w:val="004B77A9"/>
    <w:rsid w:val="004C0426"/>
    <w:rsid w:val="004D0D33"/>
    <w:rsid w:val="004D2CDB"/>
    <w:rsid w:val="004D3158"/>
    <w:rsid w:val="004D767D"/>
    <w:rsid w:val="004E00DF"/>
    <w:rsid w:val="004E053A"/>
    <w:rsid w:val="004E1D04"/>
    <w:rsid w:val="004E1DF8"/>
    <w:rsid w:val="004E21EE"/>
    <w:rsid w:val="004E2963"/>
    <w:rsid w:val="004E3898"/>
    <w:rsid w:val="004E3E84"/>
    <w:rsid w:val="004E5F9D"/>
    <w:rsid w:val="004E65B5"/>
    <w:rsid w:val="004E77D7"/>
    <w:rsid w:val="004F26A6"/>
    <w:rsid w:val="004F2EF5"/>
    <w:rsid w:val="004F309B"/>
    <w:rsid w:val="004F3204"/>
    <w:rsid w:val="004F4920"/>
    <w:rsid w:val="004F6903"/>
    <w:rsid w:val="004F6F4A"/>
    <w:rsid w:val="00501550"/>
    <w:rsid w:val="00502092"/>
    <w:rsid w:val="0050215C"/>
    <w:rsid w:val="005021AC"/>
    <w:rsid w:val="00510415"/>
    <w:rsid w:val="0051247E"/>
    <w:rsid w:val="005168BA"/>
    <w:rsid w:val="00517F10"/>
    <w:rsid w:val="00520A64"/>
    <w:rsid w:val="00521B17"/>
    <w:rsid w:val="00522871"/>
    <w:rsid w:val="0052325A"/>
    <w:rsid w:val="00524865"/>
    <w:rsid w:val="00527003"/>
    <w:rsid w:val="00527AD9"/>
    <w:rsid w:val="00527EAA"/>
    <w:rsid w:val="00530E37"/>
    <w:rsid w:val="00532435"/>
    <w:rsid w:val="005333BF"/>
    <w:rsid w:val="0053445E"/>
    <w:rsid w:val="0053480F"/>
    <w:rsid w:val="00535B29"/>
    <w:rsid w:val="005360F7"/>
    <w:rsid w:val="0053614B"/>
    <w:rsid w:val="00537276"/>
    <w:rsid w:val="00537ADA"/>
    <w:rsid w:val="005416C5"/>
    <w:rsid w:val="00543566"/>
    <w:rsid w:val="00552A08"/>
    <w:rsid w:val="00553D3C"/>
    <w:rsid w:val="00557BA8"/>
    <w:rsid w:val="00557F91"/>
    <w:rsid w:val="00560B00"/>
    <w:rsid w:val="0056138C"/>
    <w:rsid w:val="00563520"/>
    <w:rsid w:val="00564784"/>
    <w:rsid w:val="005648D7"/>
    <w:rsid w:val="0056490B"/>
    <w:rsid w:val="00566A92"/>
    <w:rsid w:val="0057013D"/>
    <w:rsid w:val="00572F90"/>
    <w:rsid w:val="0057306B"/>
    <w:rsid w:val="00573B7B"/>
    <w:rsid w:val="00577118"/>
    <w:rsid w:val="00580FA0"/>
    <w:rsid w:val="00581E87"/>
    <w:rsid w:val="00583754"/>
    <w:rsid w:val="00583B35"/>
    <w:rsid w:val="005843A5"/>
    <w:rsid w:val="00585FCC"/>
    <w:rsid w:val="0058649E"/>
    <w:rsid w:val="005875A3"/>
    <w:rsid w:val="00587668"/>
    <w:rsid w:val="00587A9A"/>
    <w:rsid w:val="00587CEA"/>
    <w:rsid w:val="005901F9"/>
    <w:rsid w:val="00592ABA"/>
    <w:rsid w:val="00594BBD"/>
    <w:rsid w:val="00594BD4"/>
    <w:rsid w:val="005959A9"/>
    <w:rsid w:val="005A0E2F"/>
    <w:rsid w:val="005A2020"/>
    <w:rsid w:val="005A304F"/>
    <w:rsid w:val="005B294F"/>
    <w:rsid w:val="005B4B6A"/>
    <w:rsid w:val="005B50E6"/>
    <w:rsid w:val="005C15F1"/>
    <w:rsid w:val="005C1714"/>
    <w:rsid w:val="005C1BE8"/>
    <w:rsid w:val="005C2769"/>
    <w:rsid w:val="005C3D66"/>
    <w:rsid w:val="005C52D0"/>
    <w:rsid w:val="005C5406"/>
    <w:rsid w:val="005C5482"/>
    <w:rsid w:val="005C6844"/>
    <w:rsid w:val="005C78C8"/>
    <w:rsid w:val="005C7B4A"/>
    <w:rsid w:val="005D4592"/>
    <w:rsid w:val="005D581B"/>
    <w:rsid w:val="005D603A"/>
    <w:rsid w:val="005D60CD"/>
    <w:rsid w:val="005E30E9"/>
    <w:rsid w:val="005E333C"/>
    <w:rsid w:val="005E57E4"/>
    <w:rsid w:val="005F1D51"/>
    <w:rsid w:val="005F3E85"/>
    <w:rsid w:val="005F58BC"/>
    <w:rsid w:val="005F6E06"/>
    <w:rsid w:val="005F78F6"/>
    <w:rsid w:val="00600F7E"/>
    <w:rsid w:val="00603081"/>
    <w:rsid w:val="00603A8A"/>
    <w:rsid w:val="006045EC"/>
    <w:rsid w:val="0061184A"/>
    <w:rsid w:val="00611D8C"/>
    <w:rsid w:val="00617AA2"/>
    <w:rsid w:val="00620F7E"/>
    <w:rsid w:val="00621557"/>
    <w:rsid w:val="00621E21"/>
    <w:rsid w:val="006231C4"/>
    <w:rsid w:val="00624875"/>
    <w:rsid w:val="00624E88"/>
    <w:rsid w:val="00634176"/>
    <w:rsid w:val="006343BD"/>
    <w:rsid w:val="006345C0"/>
    <w:rsid w:val="006346F9"/>
    <w:rsid w:val="00634B31"/>
    <w:rsid w:val="006367FC"/>
    <w:rsid w:val="006405B4"/>
    <w:rsid w:val="00641D2C"/>
    <w:rsid w:val="00642306"/>
    <w:rsid w:val="006424D4"/>
    <w:rsid w:val="0064448C"/>
    <w:rsid w:val="00644BDF"/>
    <w:rsid w:val="00644D20"/>
    <w:rsid w:val="006454EE"/>
    <w:rsid w:val="00647DCB"/>
    <w:rsid w:val="00650E38"/>
    <w:rsid w:val="006558AB"/>
    <w:rsid w:val="00660032"/>
    <w:rsid w:val="006611A5"/>
    <w:rsid w:val="006613E0"/>
    <w:rsid w:val="00662EFB"/>
    <w:rsid w:val="00663C45"/>
    <w:rsid w:val="006661CB"/>
    <w:rsid w:val="00667714"/>
    <w:rsid w:val="00667C54"/>
    <w:rsid w:val="006722BE"/>
    <w:rsid w:val="00673CEC"/>
    <w:rsid w:val="00673DBD"/>
    <w:rsid w:val="00675EF9"/>
    <w:rsid w:val="00677FD4"/>
    <w:rsid w:val="006814AB"/>
    <w:rsid w:val="00681F91"/>
    <w:rsid w:val="0068344F"/>
    <w:rsid w:val="0068654E"/>
    <w:rsid w:val="0068741D"/>
    <w:rsid w:val="0069055F"/>
    <w:rsid w:val="00690929"/>
    <w:rsid w:val="00690A70"/>
    <w:rsid w:val="00691A6D"/>
    <w:rsid w:val="00691CF7"/>
    <w:rsid w:val="006921C4"/>
    <w:rsid w:val="006928BF"/>
    <w:rsid w:val="00692B0A"/>
    <w:rsid w:val="006A037A"/>
    <w:rsid w:val="006A1BB4"/>
    <w:rsid w:val="006A27BF"/>
    <w:rsid w:val="006A3ADD"/>
    <w:rsid w:val="006A562C"/>
    <w:rsid w:val="006B051C"/>
    <w:rsid w:val="006B11B5"/>
    <w:rsid w:val="006B2000"/>
    <w:rsid w:val="006B7545"/>
    <w:rsid w:val="006C042A"/>
    <w:rsid w:val="006C21B7"/>
    <w:rsid w:val="006C2D5F"/>
    <w:rsid w:val="006C5A47"/>
    <w:rsid w:val="006C6401"/>
    <w:rsid w:val="006C6C61"/>
    <w:rsid w:val="006C7237"/>
    <w:rsid w:val="006C76BA"/>
    <w:rsid w:val="006C7EFB"/>
    <w:rsid w:val="006D108B"/>
    <w:rsid w:val="006D1626"/>
    <w:rsid w:val="006D2170"/>
    <w:rsid w:val="006D4124"/>
    <w:rsid w:val="006D63BA"/>
    <w:rsid w:val="006D6975"/>
    <w:rsid w:val="006D760C"/>
    <w:rsid w:val="006E0537"/>
    <w:rsid w:val="006E30B2"/>
    <w:rsid w:val="006E3AC5"/>
    <w:rsid w:val="006E5114"/>
    <w:rsid w:val="006E5BDD"/>
    <w:rsid w:val="006E5CCF"/>
    <w:rsid w:val="006F122C"/>
    <w:rsid w:val="006F1F25"/>
    <w:rsid w:val="006F1F5D"/>
    <w:rsid w:val="006F22F2"/>
    <w:rsid w:val="006F33D3"/>
    <w:rsid w:val="006F4BA1"/>
    <w:rsid w:val="0070292B"/>
    <w:rsid w:val="00705C26"/>
    <w:rsid w:val="00705EBA"/>
    <w:rsid w:val="007103A6"/>
    <w:rsid w:val="007117D7"/>
    <w:rsid w:val="00711E11"/>
    <w:rsid w:val="00712D6F"/>
    <w:rsid w:val="00713FD7"/>
    <w:rsid w:val="0071466F"/>
    <w:rsid w:val="00717489"/>
    <w:rsid w:val="00720193"/>
    <w:rsid w:val="0072232E"/>
    <w:rsid w:val="00722EB1"/>
    <w:rsid w:val="00723110"/>
    <w:rsid w:val="007251A8"/>
    <w:rsid w:val="00732FDA"/>
    <w:rsid w:val="00735F9D"/>
    <w:rsid w:val="007429CA"/>
    <w:rsid w:val="00743764"/>
    <w:rsid w:val="00743A69"/>
    <w:rsid w:val="00745156"/>
    <w:rsid w:val="007467FA"/>
    <w:rsid w:val="00751021"/>
    <w:rsid w:val="00754E06"/>
    <w:rsid w:val="0075718A"/>
    <w:rsid w:val="00757C15"/>
    <w:rsid w:val="007606AF"/>
    <w:rsid w:val="00762004"/>
    <w:rsid w:val="007626BA"/>
    <w:rsid w:val="0076486B"/>
    <w:rsid w:val="00764B12"/>
    <w:rsid w:val="007663A9"/>
    <w:rsid w:val="007666C2"/>
    <w:rsid w:val="00767B43"/>
    <w:rsid w:val="00767C36"/>
    <w:rsid w:val="0077027B"/>
    <w:rsid w:val="00772503"/>
    <w:rsid w:val="00775F74"/>
    <w:rsid w:val="00776B38"/>
    <w:rsid w:val="00781852"/>
    <w:rsid w:val="00783A0A"/>
    <w:rsid w:val="00784718"/>
    <w:rsid w:val="007864E1"/>
    <w:rsid w:val="00786882"/>
    <w:rsid w:val="00786931"/>
    <w:rsid w:val="0078712D"/>
    <w:rsid w:val="00787B78"/>
    <w:rsid w:val="00790111"/>
    <w:rsid w:val="007905BB"/>
    <w:rsid w:val="0079371F"/>
    <w:rsid w:val="007948A8"/>
    <w:rsid w:val="00796AB4"/>
    <w:rsid w:val="007977B0"/>
    <w:rsid w:val="007A0913"/>
    <w:rsid w:val="007A1F86"/>
    <w:rsid w:val="007A231C"/>
    <w:rsid w:val="007A4765"/>
    <w:rsid w:val="007A651A"/>
    <w:rsid w:val="007A7BF0"/>
    <w:rsid w:val="007B1AA8"/>
    <w:rsid w:val="007B41D7"/>
    <w:rsid w:val="007B56AC"/>
    <w:rsid w:val="007B6659"/>
    <w:rsid w:val="007B6A18"/>
    <w:rsid w:val="007B79D3"/>
    <w:rsid w:val="007B7F32"/>
    <w:rsid w:val="007C05CB"/>
    <w:rsid w:val="007C3470"/>
    <w:rsid w:val="007C6F5D"/>
    <w:rsid w:val="007C7972"/>
    <w:rsid w:val="007D4501"/>
    <w:rsid w:val="007D74E2"/>
    <w:rsid w:val="007E0902"/>
    <w:rsid w:val="007E1822"/>
    <w:rsid w:val="007E3F89"/>
    <w:rsid w:val="007E43C3"/>
    <w:rsid w:val="007E5F59"/>
    <w:rsid w:val="007E6DB3"/>
    <w:rsid w:val="007E7ABB"/>
    <w:rsid w:val="007F28A6"/>
    <w:rsid w:val="007F31CD"/>
    <w:rsid w:val="007F6660"/>
    <w:rsid w:val="007F791B"/>
    <w:rsid w:val="007F7F88"/>
    <w:rsid w:val="0080178D"/>
    <w:rsid w:val="00801B15"/>
    <w:rsid w:val="00805C46"/>
    <w:rsid w:val="008109CB"/>
    <w:rsid w:val="0081480F"/>
    <w:rsid w:val="00814DFD"/>
    <w:rsid w:val="00817C68"/>
    <w:rsid w:val="00817D4F"/>
    <w:rsid w:val="00817DB5"/>
    <w:rsid w:val="00820383"/>
    <w:rsid w:val="00820A5D"/>
    <w:rsid w:val="008216FB"/>
    <w:rsid w:val="00822149"/>
    <w:rsid w:val="00823D34"/>
    <w:rsid w:val="00824920"/>
    <w:rsid w:val="00833E49"/>
    <w:rsid w:val="0083539F"/>
    <w:rsid w:val="00840C7C"/>
    <w:rsid w:val="00841AAB"/>
    <w:rsid w:val="00842EF0"/>
    <w:rsid w:val="00844DEB"/>
    <w:rsid w:val="008450C2"/>
    <w:rsid w:val="0084538A"/>
    <w:rsid w:val="008466E2"/>
    <w:rsid w:val="00846731"/>
    <w:rsid w:val="00846C41"/>
    <w:rsid w:val="00850806"/>
    <w:rsid w:val="00851B60"/>
    <w:rsid w:val="00852985"/>
    <w:rsid w:val="00853349"/>
    <w:rsid w:val="00853738"/>
    <w:rsid w:val="00854116"/>
    <w:rsid w:val="00861103"/>
    <w:rsid w:val="00861241"/>
    <w:rsid w:val="008617D1"/>
    <w:rsid w:val="00862296"/>
    <w:rsid w:val="00862DAF"/>
    <w:rsid w:val="008653E4"/>
    <w:rsid w:val="0086555C"/>
    <w:rsid w:val="008659A9"/>
    <w:rsid w:val="00867C10"/>
    <w:rsid w:val="00874735"/>
    <w:rsid w:val="008759EF"/>
    <w:rsid w:val="00877325"/>
    <w:rsid w:val="008800D6"/>
    <w:rsid w:val="00885359"/>
    <w:rsid w:val="00886B3B"/>
    <w:rsid w:val="00886C4A"/>
    <w:rsid w:val="00887AA0"/>
    <w:rsid w:val="008922CC"/>
    <w:rsid w:val="00896F10"/>
    <w:rsid w:val="008A227A"/>
    <w:rsid w:val="008A4B5F"/>
    <w:rsid w:val="008A4C04"/>
    <w:rsid w:val="008A710E"/>
    <w:rsid w:val="008B223F"/>
    <w:rsid w:val="008B34A5"/>
    <w:rsid w:val="008B639A"/>
    <w:rsid w:val="008C018C"/>
    <w:rsid w:val="008C0498"/>
    <w:rsid w:val="008C38C9"/>
    <w:rsid w:val="008C41C3"/>
    <w:rsid w:val="008C4D59"/>
    <w:rsid w:val="008C6D60"/>
    <w:rsid w:val="008C79C3"/>
    <w:rsid w:val="008D21A6"/>
    <w:rsid w:val="008D41F2"/>
    <w:rsid w:val="008D4E6F"/>
    <w:rsid w:val="008D4F8A"/>
    <w:rsid w:val="008E0C89"/>
    <w:rsid w:val="008E0DC4"/>
    <w:rsid w:val="008E0E61"/>
    <w:rsid w:val="008E13CF"/>
    <w:rsid w:val="008E15CC"/>
    <w:rsid w:val="008E2F11"/>
    <w:rsid w:val="008E3DC0"/>
    <w:rsid w:val="008E75E2"/>
    <w:rsid w:val="008F2CDC"/>
    <w:rsid w:val="008F5A87"/>
    <w:rsid w:val="008F5EDD"/>
    <w:rsid w:val="008F7F29"/>
    <w:rsid w:val="009017B3"/>
    <w:rsid w:val="0090328D"/>
    <w:rsid w:val="0090582F"/>
    <w:rsid w:val="00905B1E"/>
    <w:rsid w:val="009072AB"/>
    <w:rsid w:val="00907989"/>
    <w:rsid w:val="00907CFE"/>
    <w:rsid w:val="00911271"/>
    <w:rsid w:val="00915D3B"/>
    <w:rsid w:val="0091736A"/>
    <w:rsid w:val="0092316B"/>
    <w:rsid w:val="009240ED"/>
    <w:rsid w:val="00930851"/>
    <w:rsid w:val="00933B0E"/>
    <w:rsid w:val="00934F0C"/>
    <w:rsid w:val="00936251"/>
    <w:rsid w:val="009371E1"/>
    <w:rsid w:val="00937571"/>
    <w:rsid w:val="0094171C"/>
    <w:rsid w:val="00942187"/>
    <w:rsid w:val="009445C9"/>
    <w:rsid w:val="00944941"/>
    <w:rsid w:val="0094537D"/>
    <w:rsid w:val="009472B7"/>
    <w:rsid w:val="00951200"/>
    <w:rsid w:val="0095196A"/>
    <w:rsid w:val="00954DCE"/>
    <w:rsid w:val="00955803"/>
    <w:rsid w:val="00960D8D"/>
    <w:rsid w:val="00962A38"/>
    <w:rsid w:val="00964776"/>
    <w:rsid w:val="00971F05"/>
    <w:rsid w:val="00974E26"/>
    <w:rsid w:val="009770D8"/>
    <w:rsid w:val="009804A2"/>
    <w:rsid w:val="00980A26"/>
    <w:rsid w:val="009830AB"/>
    <w:rsid w:val="00983166"/>
    <w:rsid w:val="0098343E"/>
    <w:rsid w:val="00983BB0"/>
    <w:rsid w:val="00983FEF"/>
    <w:rsid w:val="00984FA1"/>
    <w:rsid w:val="009852B3"/>
    <w:rsid w:val="00986186"/>
    <w:rsid w:val="00990362"/>
    <w:rsid w:val="00990795"/>
    <w:rsid w:val="009919A2"/>
    <w:rsid w:val="0099269D"/>
    <w:rsid w:val="009942B4"/>
    <w:rsid w:val="00995ABD"/>
    <w:rsid w:val="00996ADF"/>
    <w:rsid w:val="00997CC6"/>
    <w:rsid w:val="009A1D88"/>
    <w:rsid w:val="009A4A6C"/>
    <w:rsid w:val="009A6828"/>
    <w:rsid w:val="009B070E"/>
    <w:rsid w:val="009B3056"/>
    <w:rsid w:val="009B607C"/>
    <w:rsid w:val="009B613E"/>
    <w:rsid w:val="009B72CD"/>
    <w:rsid w:val="009D097C"/>
    <w:rsid w:val="009D1251"/>
    <w:rsid w:val="009D38C1"/>
    <w:rsid w:val="009D3AFD"/>
    <w:rsid w:val="009D4EAC"/>
    <w:rsid w:val="009D587B"/>
    <w:rsid w:val="009D693D"/>
    <w:rsid w:val="009D7240"/>
    <w:rsid w:val="009E2929"/>
    <w:rsid w:val="009E4CD1"/>
    <w:rsid w:val="009E7005"/>
    <w:rsid w:val="009E7AA6"/>
    <w:rsid w:val="009F0522"/>
    <w:rsid w:val="009F191A"/>
    <w:rsid w:val="009F1ABF"/>
    <w:rsid w:val="009F487E"/>
    <w:rsid w:val="009F50FB"/>
    <w:rsid w:val="009F6E05"/>
    <w:rsid w:val="009F716F"/>
    <w:rsid w:val="00A02BB1"/>
    <w:rsid w:val="00A03FD4"/>
    <w:rsid w:val="00A05723"/>
    <w:rsid w:val="00A061E0"/>
    <w:rsid w:val="00A063E3"/>
    <w:rsid w:val="00A07351"/>
    <w:rsid w:val="00A14C56"/>
    <w:rsid w:val="00A163F8"/>
    <w:rsid w:val="00A17814"/>
    <w:rsid w:val="00A202BE"/>
    <w:rsid w:val="00A219FE"/>
    <w:rsid w:val="00A2328F"/>
    <w:rsid w:val="00A238EF"/>
    <w:rsid w:val="00A2459B"/>
    <w:rsid w:val="00A24F2F"/>
    <w:rsid w:val="00A31DF4"/>
    <w:rsid w:val="00A36273"/>
    <w:rsid w:val="00A4121E"/>
    <w:rsid w:val="00A42F70"/>
    <w:rsid w:val="00A4740B"/>
    <w:rsid w:val="00A52733"/>
    <w:rsid w:val="00A52815"/>
    <w:rsid w:val="00A53FF6"/>
    <w:rsid w:val="00A55E66"/>
    <w:rsid w:val="00A56ED3"/>
    <w:rsid w:val="00A6058F"/>
    <w:rsid w:val="00A61861"/>
    <w:rsid w:val="00A61E14"/>
    <w:rsid w:val="00A636B2"/>
    <w:rsid w:val="00A64CBD"/>
    <w:rsid w:val="00A65C22"/>
    <w:rsid w:val="00A72374"/>
    <w:rsid w:val="00A723E8"/>
    <w:rsid w:val="00A73A80"/>
    <w:rsid w:val="00A73DA0"/>
    <w:rsid w:val="00A750F8"/>
    <w:rsid w:val="00A7654F"/>
    <w:rsid w:val="00A80B8D"/>
    <w:rsid w:val="00A828EB"/>
    <w:rsid w:val="00A8414D"/>
    <w:rsid w:val="00A86DA5"/>
    <w:rsid w:val="00A9078F"/>
    <w:rsid w:val="00A94115"/>
    <w:rsid w:val="00A9540F"/>
    <w:rsid w:val="00A96770"/>
    <w:rsid w:val="00AA4A3F"/>
    <w:rsid w:val="00AA59C9"/>
    <w:rsid w:val="00AA794E"/>
    <w:rsid w:val="00AA7FB5"/>
    <w:rsid w:val="00AB00C1"/>
    <w:rsid w:val="00AC02AB"/>
    <w:rsid w:val="00AC2131"/>
    <w:rsid w:val="00AC26AB"/>
    <w:rsid w:val="00AC425C"/>
    <w:rsid w:val="00AC4E01"/>
    <w:rsid w:val="00AC62F8"/>
    <w:rsid w:val="00AD0A13"/>
    <w:rsid w:val="00AD1654"/>
    <w:rsid w:val="00AD1DB0"/>
    <w:rsid w:val="00AD4283"/>
    <w:rsid w:val="00AD7C25"/>
    <w:rsid w:val="00AE088A"/>
    <w:rsid w:val="00AE365C"/>
    <w:rsid w:val="00AE49C4"/>
    <w:rsid w:val="00AE62CD"/>
    <w:rsid w:val="00AE7B90"/>
    <w:rsid w:val="00AF1357"/>
    <w:rsid w:val="00AF1898"/>
    <w:rsid w:val="00AF20BE"/>
    <w:rsid w:val="00AF2340"/>
    <w:rsid w:val="00AF587B"/>
    <w:rsid w:val="00AF6865"/>
    <w:rsid w:val="00AF7B69"/>
    <w:rsid w:val="00B054D3"/>
    <w:rsid w:val="00B06FB4"/>
    <w:rsid w:val="00B100A2"/>
    <w:rsid w:val="00B11128"/>
    <w:rsid w:val="00B117C2"/>
    <w:rsid w:val="00B12A08"/>
    <w:rsid w:val="00B15CC9"/>
    <w:rsid w:val="00B15CDB"/>
    <w:rsid w:val="00B1771C"/>
    <w:rsid w:val="00B20E3D"/>
    <w:rsid w:val="00B24CA9"/>
    <w:rsid w:val="00B26138"/>
    <w:rsid w:val="00B26853"/>
    <w:rsid w:val="00B26B3C"/>
    <w:rsid w:val="00B27D6D"/>
    <w:rsid w:val="00B3166A"/>
    <w:rsid w:val="00B31DA1"/>
    <w:rsid w:val="00B31E5C"/>
    <w:rsid w:val="00B36A03"/>
    <w:rsid w:val="00B377E5"/>
    <w:rsid w:val="00B40A75"/>
    <w:rsid w:val="00B40C28"/>
    <w:rsid w:val="00B44C9E"/>
    <w:rsid w:val="00B45D1A"/>
    <w:rsid w:val="00B45F87"/>
    <w:rsid w:val="00B47C88"/>
    <w:rsid w:val="00B502E6"/>
    <w:rsid w:val="00B51D49"/>
    <w:rsid w:val="00B5354A"/>
    <w:rsid w:val="00B53754"/>
    <w:rsid w:val="00B53D48"/>
    <w:rsid w:val="00B57787"/>
    <w:rsid w:val="00B62155"/>
    <w:rsid w:val="00B62884"/>
    <w:rsid w:val="00B64D80"/>
    <w:rsid w:val="00B654AA"/>
    <w:rsid w:val="00B65AF6"/>
    <w:rsid w:val="00B66700"/>
    <w:rsid w:val="00B7282E"/>
    <w:rsid w:val="00B73E6F"/>
    <w:rsid w:val="00B747EF"/>
    <w:rsid w:val="00B74DF4"/>
    <w:rsid w:val="00B77C1D"/>
    <w:rsid w:val="00B82559"/>
    <w:rsid w:val="00B82839"/>
    <w:rsid w:val="00B95E29"/>
    <w:rsid w:val="00BA0693"/>
    <w:rsid w:val="00BA17F8"/>
    <w:rsid w:val="00BA4933"/>
    <w:rsid w:val="00BA73CB"/>
    <w:rsid w:val="00BB02F7"/>
    <w:rsid w:val="00BB070B"/>
    <w:rsid w:val="00BB11D4"/>
    <w:rsid w:val="00BB2455"/>
    <w:rsid w:val="00BB283E"/>
    <w:rsid w:val="00BB6310"/>
    <w:rsid w:val="00BC3257"/>
    <w:rsid w:val="00BC355F"/>
    <w:rsid w:val="00BC3925"/>
    <w:rsid w:val="00BC438A"/>
    <w:rsid w:val="00BD38C6"/>
    <w:rsid w:val="00BD4664"/>
    <w:rsid w:val="00BE0030"/>
    <w:rsid w:val="00BE041C"/>
    <w:rsid w:val="00BE09A3"/>
    <w:rsid w:val="00BE2947"/>
    <w:rsid w:val="00BE32FD"/>
    <w:rsid w:val="00BE3968"/>
    <w:rsid w:val="00BE3B39"/>
    <w:rsid w:val="00BE7A1C"/>
    <w:rsid w:val="00BF1849"/>
    <w:rsid w:val="00BF27CB"/>
    <w:rsid w:val="00BF28D2"/>
    <w:rsid w:val="00BF4C91"/>
    <w:rsid w:val="00BF56D8"/>
    <w:rsid w:val="00BF5B2B"/>
    <w:rsid w:val="00BF60FE"/>
    <w:rsid w:val="00C0047A"/>
    <w:rsid w:val="00C028DE"/>
    <w:rsid w:val="00C029BA"/>
    <w:rsid w:val="00C02C6B"/>
    <w:rsid w:val="00C02D88"/>
    <w:rsid w:val="00C03738"/>
    <w:rsid w:val="00C03BCE"/>
    <w:rsid w:val="00C07A2D"/>
    <w:rsid w:val="00C07D1F"/>
    <w:rsid w:val="00C12B2F"/>
    <w:rsid w:val="00C13225"/>
    <w:rsid w:val="00C14415"/>
    <w:rsid w:val="00C239A7"/>
    <w:rsid w:val="00C26F4B"/>
    <w:rsid w:val="00C26FFD"/>
    <w:rsid w:val="00C32830"/>
    <w:rsid w:val="00C32FE0"/>
    <w:rsid w:val="00C33084"/>
    <w:rsid w:val="00C3454B"/>
    <w:rsid w:val="00C34876"/>
    <w:rsid w:val="00C34E62"/>
    <w:rsid w:val="00C35AF9"/>
    <w:rsid w:val="00C35E4A"/>
    <w:rsid w:val="00C37C5F"/>
    <w:rsid w:val="00C43FE9"/>
    <w:rsid w:val="00C44F05"/>
    <w:rsid w:val="00C45891"/>
    <w:rsid w:val="00C47927"/>
    <w:rsid w:val="00C47ECF"/>
    <w:rsid w:val="00C52224"/>
    <w:rsid w:val="00C56070"/>
    <w:rsid w:val="00C56392"/>
    <w:rsid w:val="00C56808"/>
    <w:rsid w:val="00C57007"/>
    <w:rsid w:val="00C60580"/>
    <w:rsid w:val="00C616D4"/>
    <w:rsid w:val="00C61AFD"/>
    <w:rsid w:val="00C64913"/>
    <w:rsid w:val="00C666F8"/>
    <w:rsid w:val="00C723B7"/>
    <w:rsid w:val="00C723D4"/>
    <w:rsid w:val="00C73DB2"/>
    <w:rsid w:val="00C75228"/>
    <w:rsid w:val="00C75468"/>
    <w:rsid w:val="00C757C8"/>
    <w:rsid w:val="00C759C5"/>
    <w:rsid w:val="00C77233"/>
    <w:rsid w:val="00C77EB3"/>
    <w:rsid w:val="00C829D2"/>
    <w:rsid w:val="00C835F0"/>
    <w:rsid w:val="00C84F09"/>
    <w:rsid w:val="00C85163"/>
    <w:rsid w:val="00C86C34"/>
    <w:rsid w:val="00C87C5B"/>
    <w:rsid w:val="00C90467"/>
    <w:rsid w:val="00C90BBA"/>
    <w:rsid w:val="00C90CE9"/>
    <w:rsid w:val="00C91365"/>
    <w:rsid w:val="00C9183D"/>
    <w:rsid w:val="00C9331C"/>
    <w:rsid w:val="00C95EA0"/>
    <w:rsid w:val="00C96046"/>
    <w:rsid w:val="00C97674"/>
    <w:rsid w:val="00CA18BE"/>
    <w:rsid w:val="00CA2327"/>
    <w:rsid w:val="00CA4218"/>
    <w:rsid w:val="00CA4631"/>
    <w:rsid w:val="00CA4C6D"/>
    <w:rsid w:val="00CA5885"/>
    <w:rsid w:val="00CA5E48"/>
    <w:rsid w:val="00CA6986"/>
    <w:rsid w:val="00CB0916"/>
    <w:rsid w:val="00CB2ECD"/>
    <w:rsid w:val="00CB4058"/>
    <w:rsid w:val="00CB41C6"/>
    <w:rsid w:val="00CB4828"/>
    <w:rsid w:val="00CB49CC"/>
    <w:rsid w:val="00CB6FD7"/>
    <w:rsid w:val="00CB7E23"/>
    <w:rsid w:val="00CC677D"/>
    <w:rsid w:val="00CC7520"/>
    <w:rsid w:val="00CD2453"/>
    <w:rsid w:val="00CD295B"/>
    <w:rsid w:val="00CD48D2"/>
    <w:rsid w:val="00CD5C38"/>
    <w:rsid w:val="00CD6113"/>
    <w:rsid w:val="00CD6BD8"/>
    <w:rsid w:val="00CE0D67"/>
    <w:rsid w:val="00CE0E95"/>
    <w:rsid w:val="00CE10A7"/>
    <w:rsid w:val="00CE54FA"/>
    <w:rsid w:val="00CE57C1"/>
    <w:rsid w:val="00CE6ED9"/>
    <w:rsid w:val="00CE7C16"/>
    <w:rsid w:val="00CF1BB1"/>
    <w:rsid w:val="00CF257A"/>
    <w:rsid w:val="00CF32D3"/>
    <w:rsid w:val="00CF3AB5"/>
    <w:rsid w:val="00CF3EA1"/>
    <w:rsid w:val="00CF5D06"/>
    <w:rsid w:val="00CF5D5D"/>
    <w:rsid w:val="00CF7647"/>
    <w:rsid w:val="00CF7835"/>
    <w:rsid w:val="00D01F78"/>
    <w:rsid w:val="00D0572B"/>
    <w:rsid w:val="00D057A5"/>
    <w:rsid w:val="00D0719A"/>
    <w:rsid w:val="00D07331"/>
    <w:rsid w:val="00D137A1"/>
    <w:rsid w:val="00D15B7D"/>
    <w:rsid w:val="00D15EB7"/>
    <w:rsid w:val="00D16432"/>
    <w:rsid w:val="00D16AF7"/>
    <w:rsid w:val="00D16C41"/>
    <w:rsid w:val="00D17865"/>
    <w:rsid w:val="00D215B6"/>
    <w:rsid w:val="00D21611"/>
    <w:rsid w:val="00D2392D"/>
    <w:rsid w:val="00D23ECB"/>
    <w:rsid w:val="00D24CCF"/>
    <w:rsid w:val="00D253FF"/>
    <w:rsid w:val="00D25C0C"/>
    <w:rsid w:val="00D314B1"/>
    <w:rsid w:val="00D32F89"/>
    <w:rsid w:val="00D366A3"/>
    <w:rsid w:val="00D43D78"/>
    <w:rsid w:val="00D50289"/>
    <w:rsid w:val="00D50D61"/>
    <w:rsid w:val="00D50D9B"/>
    <w:rsid w:val="00D52A5D"/>
    <w:rsid w:val="00D565A1"/>
    <w:rsid w:val="00D578BE"/>
    <w:rsid w:val="00D60243"/>
    <w:rsid w:val="00D61310"/>
    <w:rsid w:val="00D61AD3"/>
    <w:rsid w:val="00D62995"/>
    <w:rsid w:val="00D637E3"/>
    <w:rsid w:val="00D63BAD"/>
    <w:rsid w:val="00D64288"/>
    <w:rsid w:val="00D65427"/>
    <w:rsid w:val="00D66679"/>
    <w:rsid w:val="00D66A96"/>
    <w:rsid w:val="00D7046A"/>
    <w:rsid w:val="00D71D3E"/>
    <w:rsid w:val="00D72AA1"/>
    <w:rsid w:val="00D72CAE"/>
    <w:rsid w:val="00D744AB"/>
    <w:rsid w:val="00D76843"/>
    <w:rsid w:val="00D8132D"/>
    <w:rsid w:val="00D827FD"/>
    <w:rsid w:val="00D901BB"/>
    <w:rsid w:val="00D9292C"/>
    <w:rsid w:val="00D97842"/>
    <w:rsid w:val="00DA1028"/>
    <w:rsid w:val="00DA214A"/>
    <w:rsid w:val="00DA2993"/>
    <w:rsid w:val="00DA2EA4"/>
    <w:rsid w:val="00DA5B43"/>
    <w:rsid w:val="00DA5E2A"/>
    <w:rsid w:val="00DB0666"/>
    <w:rsid w:val="00DB4430"/>
    <w:rsid w:val="00DB56D7"/>
    <w:rsid w:val="00DB6095"/>
    <w:rsid w:val="00DB665E"/>
    <w:rsid w:val="00DB6823"/>
    <w:rsid w:val="00DB7A78"/>
    <w:rsid w:val="00DC1C6D"/>
    <w:rsid w:val="00DC3F03"/>
    <w:rsid w:val="00DC5436"/>
    <w:rsid w:val="00DC6DE5"/>
    <w:rsid w:val="00DD0CF5"/>
    <w:rsid w:val="00DD1690"/>
    <w:rsid w:val="00DD2E8B"/>
    <w:rsid w:val="00DD53D6"/>
    <w:rsid w:val="00DD6621"/>
    <w:rsid w:val="00DD6B68"/>
    <w:rsid w:val="00DD7A44"/>
    <w:rsid w:val="00DD7CC1"/>
    <w:rsid w:val="00DE2B55"/>
    <w:rsid w:val="00DE5BE9"/>
    <w:rsid w:val="00DF22A3"/>
    <w:rsid w:val="00DF3D43"/>
    <w:rsid w:val="00DF435B"/>
    <w:rsid w:val="00DF6284"/>
    <w:rsid w:val="00E062DC"/>
    <w:rsid w:val="00E104F2"/>
    <w:rsid w:val="00E147AA"/>
    <w:rsid w:val="00E14853"/>
    <w:rsid w:val="00E159C6"/>
    <w:rsid w:val="00E171B3"/>
    <w:rsid w:val="00E21634"/>
    <w:rsid w:val="00E219E8"/>
    <w:rsid w:val="00E22989"/>
    <w:rsid w:val="00E24EFF"/>
    <w:rsid w:val="00E24F91"/>
    <w:rsid w:val="00E26E13"/>
    <w:rsid w:val="00E272AD"/>
    <w:rsid w:val="00E31C1D"/>
    <w:rsid w:val="00E333A8"/>
    <w:rsid w:val="00E350E6"/>
    <w:rsid w:val="00E356FE"/>
    <w:rsid w:val="00E36093"/>
    <w:rsid w:val="00E3724A"/>
    <w:rsid w:val="00E3730E"/>
    <w:rsid w:val="00E37373"/>
    <w:rsid w:val="00E37B9A"/>
    <w:rsid w:val="00E40250"/>
    <w:rsid w:val="00E42E9A"/>
    <w:rsid w:val="00E43974"/>
    <w:rsid w:val="00E4785A"/>
    <w:rsid w:val="00E47EF1"/>
    <w:rsid w:val="00E53850"/>
    <w:rsid w:val="00E53ED2"/>
    <w:rsid w:val="00E5512F"/>
    <w:rsid w:val="00E5588A"/>
    <w:rsid w:val="00E5612C"/>
    <w:rsid w:val="00E56887"/>
    <w:rsid w:val="00E64EEF"/>
    <w:rsid w:val="00E67C22"/>
    <w:rsid w:val="00E70258"/>
    <w:rsid w:val="00E70A54"/>
    <w:rsid w:val="00E71616"/>
    <w:rsid w:val="00E75D77"/>
    <w:rsid w:val="00E761DE"/>
    <w:rsid w:val="00E8479E"/>
    <w:rsid w:val="00E86523"/>
    <w:rsid w:val="00E878C3"/>
    <w:rsid w:val="00E90F4B"/>
    <w:rsid w:val="00E947E7"/>
    <w:rsid w:val="00E97C12"/>
    <w:rsid w:val="00EA0205"/>
    <w:rsid w:val="00EA0A48"/>
    <w:rsid w:val="00EA100C"/>
    <w:rsid w:val="00EA30C3"/>
    <w:rsid w:val="00EA3E16"/>
    <w:rsid w:val="00EA3F32"/>
    <w:rsid w:val="00EA463D"/>
    <w:rsid w:val="00EA46C6"/>
    <w:rsid w:val="00EB1CA4"/>
    <w:rsid w:val="00EB2D8C"/>
    <w:rsid w:val="00EB453A"/>
    <w:rsid w:val="00EB6C36"/>
    <w:rsid w:val="00EC06AC"/>
    <w:rsid w:val="00EC07E4"/>
    <w:rsid w:val="00EC1A8F"/>
    <w:rsid w:val="00EC4151"/>
    <w:rsid w:val="00EC51C8"/>
    <w:rsid w:val="00EC5E08"/>
    <w:rsid w:val="00ED390C"/>
    <w:rsid w:val="00ED65F3"/>
    <w:rsid w:val="00ED664D"/>
    <w:rsid w:val="00ED7661"/>
    <w:rsid w:val="00EE26F6"/>
    <w:rsid w:val="00EE628D"/>
    <w:rsid w:val="00EE6E32"/>
    <w:rsid w:val="00EF1A05"/>
    <w:rsid w:val="00EF2C10"/>
    <w:rsid w:val="00EF5A24"/>
    <w:rsid w:val="00F0056A"/>
    <w:rsid w:val="00F006B3"/>
    <w:rsid w:val="00F00C0D"/>
    <w:rsid w:val="00F00E9B"/>
    <w:rsid w:val="00F06057"/>
    <w:rsid w:val="00F06098"/>
    <w:rsid w:val="00F06F4A"/>
    <w:rsid w:val="00F07D55"/>
    <w:rsid w:val="00F14EA2"/>
    <w:rsid w:val="00F16941"/>
    <w:rsid w:val="00F17E71"/>
    <w:rsid w:val="00F2099E"/>
    <w:rsid w:val="00F20EBB"/>
    <w:rsid w:val="00F21575"/>
    <w:rsid w:val="00F21990"/>
    <w:rsid w:val="00F22A9C"/>
    <w:rsid w:val="00F2312C"/>
    <w:rsid w:val="00F243E6"/>
    <w:rsid w:val="00F24403"/>
    <w:rsid w:val="00F2661A"/>
    <w:rsid w:val="00F30F5B"/>
    <w:rsid w:val="00F31E2A"/>
    <w:rsid w:val="00F3253B"/>
    <w:rsid w:val="00F3359E"/>
    <w:rsid w:val="00F34A94"/>
    <w:rsid w:val="00F3555A"/>
    <w:rsid w:val="00F372FB"/>
    <w:rsid w:val="00F37FE8"/>
    <w:rsid w:val="00F420E0"/>
    <w:rsid w:val="00F42CB9"/>
    <w:rsid w:val="00F446DC"/>
    <w:rsid w:val="00F455D0"/>
    <w:rsid w:val="00F50F72"/>
    <w:rsid w:val="00F52582"/>
    <w:rsid w:val="00F5451B"/>
    <w:rsid w:val="00F54BAA"/>
    <w:rsid w:val="00F569A2"/>
    <w:rsid w:val="00F5769D"/>
    <w:rsid w:val="00F57A55"/>
    <w:rsid w:val="00F60C57"/>
    <w:rsid w:val="00F611E6"/>
    <w:rsid w:val="00F63F0A"/>
    <w:rsid w:val="00F64C13"/>
    <w:rsid w:val="00F653B2"/>
    <w:rsid w:val="00F65AD8"/>
    <w:rsid w:val="00F70212"/>
    <w:rsid w:val="00F7047A"/>
    <w:rsid w:val="00F70874"/>
    <w:rsid w:val="00F74DA1"/>
    <w:rsid w:val="00F80E0B"/>
    <w:rsid w:val="00F83E39"/>
    <w:rsid w:val="00F84005"/>
    <w:rsid w:val="00F84A10"/>
    <w:rsid w:val="00F9066F"/>
    <w:rsid w:val="00F91874"/>
    <w:rsid w:val="00F91D28"/>
    <w:rsid w:val="00F93211"/>
    <w:rsid w:val="00F97A50"/>
    <w:rsid w:val="00FA1D41"/>
    <w:rsid w:val="00FA6D0E"/>
    <w:rsid w:val="00FB05BB"/>
    <w:rsid w:val="00FB236E"/>
    <w:rsid w:val="00FB2AC2"/>
    <w:rsid w:val="00FB46C4"/>
    <w:rsid w:val="00FB5EFE"/>
    <w:rsid w:val="00FB6053"/>
    <w:rsid w:val="00FB6AF0"/>
    <w:rsid w:val="00FC120A"/>
    <w:rsid w:val="00FC1A7F"/>
    <w:rsid w:val="00FC1AC0"/>
    <w:rsid w:val="00FC42AA"/>
    <w:rsid w:val="00FC55F7"/>
    <w:rsid w:val="00FC5C34"/>
    <w:rsid w:val="00FC6975"/>
    <w:rsid w:val="00FC7909"/>
    <w:rsid w:val="00FD2051"/>
    <w:rsid w:val="00FD70EF"/>
    <w:rsid w:val="00FE0644"/>
    <w:rsid w:val="00FE145E"/>
    <w:rsid w:val="00FE193E"/>
    <w:rsid w:val="00FE2F88"/>
    <w:rsid w:val="00FE6D5E"/>
    <w:rsid w:val="00FF2393"/>
    <w:rsid w:val="00FF5474"/>
    <w:rsid w:val="00FF6CF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374"/>
    <w:rPr>
      <w:sz w:val="24"/>
      <w:szCs w:val="24"/>
      <w:lang w:val="lv-LV" w:eastAsia="lv-LV"/>
    </w:rPr>
  </w:style>
  <w:style w:type="paragraph" w:styleId="Heading1">
    <w:name w:val="heading 1"/>
    <w:basedOn w:val="Normal"/>
    <w:next w:val="Normal"/>
    <w:link w:val="Heading1Char"/>
    <w:qFormat/>
    <w:locked/>
    <w:rsid w:val="008617D1"/>
    <w:pPr>
      <w:keepNext/>
      <w:jc w:val="both"/>
      <w:outlineLvl w:val="0"/>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C0374"/>
    <w:pPr>
      <w:spacing w:before="75" w:after="75"/>
      <w:jc w:val="center"/>
    </w:pPr>
  </w:style>
  <w:style w:type="character" w:styleId="Hyperlink">
    <w:name w:val="Hyperlink"/>
    <w:basedOn w:val="DefaultParagraphFont"/>
    <w:rsid w:val="000C0374"/>
    <w:rPr>
      <w:rFonts w:cs="Times New Roman"/>
      <w:color w:val="0000FF"/>
      <w:u w:val="single"/>
    </w:rPr>
  </w:style>
  <w:style w:type="paragraph" w:styleId="Header">
    <w:name w:val="header"/>
    <w:basedOn w:val="Normal"/>
    <w:link w:val="HeaderChar"/>
    <w:semiHidden/>
    <w:rsid w:val="000C0374"/>
    <w:pPr>
      <w:tabs>
        <w:tab w:val="center" w:pos="4153"/>
        <w:tab w:val="right" w:pos="8306"/>
      </w:tabs>
    </w:pPr>
  </w:style>
  <w:style w:type="character" w:customStyle="1" w:styleId="HeaderChar">
    <w:name w:val="Header Char"/>
    <w:basedOn w:val="DefaultParagraphFont"/>
    <w:link w:val="Header"/>
    <w:semiHidden/>
    <w:locked/>
    <w:rsid w:val="000C0374"/>
    <w:rPr>
      <w:rFonts w:eastAsia="Times New Roman" w:cs="Times New Roman"/>
      <w:lang w:eastAsia="lv-LV"/>
    </w:rPr>
  </w:style>
  <w:style w:type="paragraph" w:styleId="Footer">
    <w:name w:val="footer"/>
    <w:basedOn w:val="Normal"/>
    <w:link w:val="FooterChar"/>
    <w:semiHidden/>
    <w:rsid w:val="000C0374"/>
    <w:pPr>
      <w:tabs>
        <w:tab w:val="center" w:pos="4153"/>
        <w:tab w:val="right" w:pos="8306"/>
      </w:tabs>
    </w:pPr>
  </w:style>
  <w:style w:type="character" w:customStyle="1" w:styleId="FooterChar">
    <w:name w:val="Footer Char"/>
    <w:basedOn w:val="DefaultParagraphFont"/>
    <w:link w:val="Footer"/>
    <w:semiHidden/>
    <w:locked/>
    <w:rsid w:val="000C0374"/>
    <w:rPr>
      <w:rFonts w:eastAsia="Times New Roman" w:cs="Times New Roman"/>
      <w:lang w:eastAsia="lv-LV"/>
    </w:rPr>
  </w:style>
  <w:style w:type="paragraph" w:customStyle="1" w:styleId="naisf">
    <w:name w:val="naisf"/>
    <w:basedOn w:val="Normal"/>
    <w:rsid w:val="000C0374"/>
    <w:pPr>
      <w:spacing w:before="100" w:after="100"/>
      <w:jc w:val="both"/>
    </w:pPr>
    <w:rPr>
      <w:szCs w:val="20"/>
      <w:lang w:eastAsia="en-US"/>
    </w:rPr>
  </w:style>
  <w:style w:type="character" w:styleId="PageNumber">
    <w:name w:val="page number"/>
    <w:basedOn w:val="DefaultParagraphFont"/>
    <w:semiHidden/>
    <w:rsid w:val="000C0374"/>
    <w:rPr>
      <w:rFonts w:cs="Times New Roman"/>
    </w:rPr>
  </w:style>
  <w:style w:type="paragraph" w:customStyle="1" w:styleId="tvhtml">
    <w:name w:val="tv_html"/>
    <w:basedOn w:val="Normal"/>
    <w:rsid w:val="0075718A"/>
    <w:pPr>
      <w:spacing w:before="100" w:beforeAutospacing="1" w:after="100" w:afterAutospacing="1"/>
    </w:pPr>
    <w:rPr>
      <w:rFonts w:ascii="Verdana" w:hAnsi="Verdana"/>
      <w:sz w:val="15"/>
      <w:szCs w:val="15"/>
    </w:rPr>
  </w:style>
  <w:style w:type="paragraph" w:customStyle="1" w:styleId="Char">
    <w:name w:val="Char"/>
    <w:basedOn w:val="Normal"/>
    <w:rsid w:val="00472758"/>
    <w:rPr>
      <w:lang w:val="pl-PL" w:eastAsia="pl-PL"/>
    </w:rPr>
  </w:style>
  <w:style w:type="character" w:styleId="CommentReference">
    <w:name w:val="annotation reference"/>
    <w:basedOn w:val="DefaultParagraphFont"/>
    <w:semiHidden/>
    <w:rsid w:val="00C34E62"/>
    <w:rPr>
      <w:rFonts w:cs="Times New Roman"/>
      <w:sz w:val="16"/>
      <w:szCs w:val="16"/>
    </w:rPr>
  </w:style>
  <w:style w:type="paragraph" w:styleId="CommentText">
    <w:name w:val="annotation text"/>
    <w:basedOn w:val="Normal"/>
    <w:link w:val="CommentTextChar"/>
    <w:semiHidden/>
    <w:rsid w:val="00C34E62"/>
    <w:rPr>
      <w:sz w:val="20"/>
      <w:szCs w:val="20"/>
    </w:rPr>
  </w:style>
  <w:style w:type="character" w:customStyle="1" w:styleId="CommentTextChar">
    <w:name w:val="Comment Text Char"/>
    <w:basedOn w:val="DefaultParagraphFont"/>
    <w:link w:val="CommentText"/>
    <w:semiHidden/>
    <w:locked/>
    <w:rsid w:val="00C34E62"/>
    <w:rPr>
      <w:rFonts w:eastAsia="Times New Roman" w:cs="Times New Roman"/>
    </w:rPr>
  </w:style>
  <w:style w:type="paragraph" w:styleId="CommentSubject">
    <w:name w:val="annotation subject"/>
    <w:basedOn w:val="CommentText"/>
    <w:next w:val="CommentText"/>
    <w:link w:val="CommentSubjectChar"/>
    <w:semiHidden/>
    <w:rsid w:val="00C34E62"/>
    <w:rPr>
      <w:b/>
      <w:bCs/>
    </w:rPr>
  </w:style>
  <w:style w:type="character" w:customStyle="1" w:styleId="CommentSubjectChar">
    <w:name w:val="Comment Subject Char"/>
    <w:basedOn w:val="CommentTextChar"/>
    <w:link w:val="CommentSubject"/>
    <w:semiHidden/>
    <w:locked/>
    <w:rsid w:val="00C34E62"/>
    <w:rPr>
      <w:b/>
      <w:bCs/>
    </w:rPr>
  </w:style>
  <w:style w:type="paragraph" w:styleId="BalloonText">
    <w:name w:val="Balloon Text"/>
    <w:basedOn w:val="Normal"/>
    <w:link w:val="BalloonTextChar"/>
    <w:semiHidden/>
    <w:rsid w:val="00C34E62"/>
    <w:rPr>
      <w:rFonts w:ascii="Tahoma" w:hAnsi="Tahoma" w:cs="Tahoma"/>
      <w:sz w:val="16"/>
      <w:szCs w:val="16"/>
    </w:rPr>
  </w:style>
  <w:style w:type="character" w:customStyle="1" w:styleId="BalloonTextChar">
    <w:name w:val="Balloon Text Char"/>
    <w:basedOn w:val="DefaultParagraphFont"/>
    <w:link w:val="BalloonText"/>
    <w:semiHidden/>
    <w:locked/>
    <w:rsid w:val="00C34E62"/>
    <w:rPr>
      <w:rFonts w:ascii="Tahoma" w:hAnsi="Tahoma" w:cs="Tahoma"/>
      <w:sz w:val="16"/>
      <w:szCs w:val="16"/>
    </w:rPr>
  </w:style>
  <w:style w:type="character" w:customStyle="1" w:styleId="tvdoctopindex1">
    <w:name w:val="tv_doc_top_index1"/>
    <w:basedOn w:val="DefaultParagraphFont"/>
    <w:rsid w:val="006611A5"/>
    <w:rPr>
      <w:rFonts w:cs="Times New Roman"/>
      <w:color w:val="auto"/>
      <w:sz w:val="18"/>
      <w:szCs w:val="18"/>
    </w:rPr>
  </w:style>
  <w:style w:type="paragraph" w:styleId="BodyTextIndent2">
    <w:name w:val="Body Text Indent 2"/>
    <w:basedOn w:val="Normal"/>
    <w:link w:val="BodyTextIndent2Char"/>
    <w:rsid w:val="00337572"/>
    <w:pPr>
      <w:suppressAutoHyphens/>
      <w:spacing w:after="120"/>
      <w:ind w:firstLine="709"/>
      <w:jc w:val="both"/>
    </w:pPr>
    <w:rPr>
      <w:sz w:val="28"/>
      <w:szCs w:val="28"/>
      <w:lang w:eastAsia="ar-SA"/>
    </w:rPr>
  </w:style>
  <w:style w:type="character" w:customStyle="1" w:styleId="BodyTextIndent2Char">
    <w:name w:val="Body Text Indent 2 Char"/>
    <w:basedOn w:val="DefaultParagraphFont"/>
    <w:link w:val="BodyTextIndent2"/>
    <w:locked/>
    <w:rsid w:val="00337572"/>
    <w:rPr>
      <w:rFonts w:eastAsia="Times New Roman" w:cs="Times New Roman"/>
      <w:sz w:val="28"/>
      <w:szCs w:val="28"/>
      <w:lang w:eastAsia="ar-SA" w:bidi="ar-SA"/>
    </w:rPr>
  </w:style>
  <w:style w:type="paragraph" w:styleId="ListParagraph">
    <w:name w:val="List Paragraph"/>
    <w:basedOn w:val="Normal"/>
    <w:qFormat/>
    <w:rsid w:val="00337572"/>
    <w:pPr>
      <w:spacing w:after="200" w:line="276" w:lineRule="auto"/>
      <w:ind w:left="720"/>
    </w:pPr>
    <w:rPr>
      <w:rFonts w:ascii="Calibri" w:hAnsi="Calibri"/>
      <w:sz w:val="22"/>
      <w:szCs w:val="22"/>
      <w:lang w:eastAsia="en-US"/>
    </w:rPr>
  </w:style>
  <w:style w:type="paragraph" w:styleId="NoSpacing">
    <w:name w:val="No Spacing"/>
    <w:uiPriority w:val="1"/>
    <w:qFormat/>
    <w:rsid w:val="00E71616"/>
    <w:rPr>
      <w:sz w:val="24"/>
      <w:szCs w:val="24"/>
      <w:lang w:val="en-GB" w:eastAsia="en-US"/>
    </w:rPr>
  </w:style>
  <w:style w:type="paragraph" w:customStyle="1" w:styleId="RakstzRakstz8">
    <w:name w:val="Rakstz. Rakstz.8"/>
    <w:basedOn w:val="Normal"/>
    <w:rsid w:val="00563520"/>
    <w:pPr>
      <w:spacing w:after="160" w:line="240" w:lineRule="exact"/>
    </w:pPr>
    <w:rPr>
      <w:rFonts w:ascii="Tahoma" w:hAnsi="Tahoma"/>
      <w:sz w:val="20"/>
      <w:szCs w:val="20"/>
      <w:lang w:val="en-US" w:eastAsia="en-US"/>
    </w:rPr>
  </w:style>
  <w:style w:type="paragraph" w:styleId="NormalWeb">
    <w:name w:val="Normal (Web)"/>
    <w:basedOn w:val="Normal"/>
    <w:rsid w:val="00097C15"/>
    <w:pPr>
      <w:spacing w:before="100" w:beforeAutospacing="1" w:after="100" w:afterAutospacing="1"/>
    </w:pPr>
    <w:rPr>
      <w:lang w:eastAsia="en-US"/>
    </w:rPr>
  </w:style>
  <w:style w:type="paragraph" w:customStyle="1" w:styleId="CharCharRakstzRakstz">
    <w:name w:val="Char Char Rakstz. Rakstz."/>
    <w:basedOn w:val="Normal"/>
    <w:rsid w:val="00CF3AB5"/>
    <w:pPr>
      <w:spacing w:before="40"/>
    </w:pPr>
    <w:rPr>
      <w:rFonts w:eastAsia="Times New Roman"/>
      <w:sz w:val="20"/>
      <w:szCs w:val="20"/>
      <w:lang w:val="pl-PL" w:eastAsia="pl-PL"/>
    </w:rPr>
  </w:style>
  <w:style w:type="paragraph" w:customStyle="1" w:styleId="CharCharRakstzRakstz0">
    <w:name w:val="Char Char Rakstz. Rakstz."/>
    <w:basedOn w:val="Normal"/>
    <w:rsid w:val="004D767D"/>
    <w:pPr>
      <w:spacing w:before="40"/>
    </w:pPr>
    <w:rPr>
      <w:rFonts w:eastAsia="Times New Roman"/>
      <w:sz w:val="20"/>
      <w:szCs w:val="20"/>
      <w:lang w:val="pl-PL" w:eastAsia="pl-PL"/>
    </w:rPr>
  </w:style>
  <w:style w:type="character" w:customStyle="1" w:styleId="Heading1Char">
    <w:name w:val="Heading 1 Char"/>
    <w:basedOn w:val="DefaultParagraphFont"/>
    <w:link w:val="Heading1"/>
    <w:rsid w:val="008617D1"/>
    <w:rPr>
      <w:rFonts w:eastAsia="Times New Roman"/>
      <w:b/>
      <w:bCs/>
      <w:sz w:val="28"/>
      <w:szCs w:val="28"/>
      <w:lang w:eastAsia="en-US"/>
    </w:rPr>
  </w:style>
  <w:style w:type="paragraph" w:styleId="BlockText">
    <w:name w:val="Block Text"/>
    <w:basedOn w:val="Normal"/>
    <w:rsid w:val="00D16C41"/>
    <w:pPr>
      <w:spacing w:after="120"/>
      <w:ind w:left="1440" w:right="1440"/>
    </w:pPr>
    <w:rPr>
      <w:rFonts w:eastAsia="Times New Roman"/>
      <w:lang w:eastAsia="en-US"/>
    </w:rPr>
  </w:style>
  <w:style w:type="paragraph" w:customStyle="1" w:styleId="Default">
    <w:name w:val="Default"/>
    <w:rsid w:val="00D16C41"/>
    <w:pPr>
      <w:autoSpaceDE w:val="0"/>
      <w:autoSpaceDN w:val="0"/>
      <w:adjustRightInd w:val="0"/>
    </w:pPr>
    <w:rPr>
      <w:color w:val="000000"/>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
      <w:marLeft w:val="38"/>
      <w:marRight w:val="38"/>
      <w:marTop w:val="75"/>
      <w:marBottom w:val="75"/>
      <w:divBdr>
        <w:top w:val="none" w:sz="0" w:space="0" w:color="auto"/>
        <w:left w:val="none" w:sz="0" w:space="0" w:color="auto"/>
        <w:bottom w:val="none" w:sz="0" w:space="0" w:color="auto"/>
        <w:right w:val="none" w:sz="0" w:space="0" w:color="auto"/>
      </w:divBdr>
      <w:divsChild>
        <w:div w:id="2">
          <w:marLeft w:val="0"/>
          <w:marRight w:val="0"/>
          <w:marTop w:val="240"/>
          <w:marBottom w:val="0"/>
          <w:divBdr>
            <w:top w:val="none" w:sz="0" w:space="0" w:color="auto"/>
            <w:left w:val="none" w:sz="0" w:space="0" w:color="auto"/>
            <w:bottom w:val="none" w:sz="0" w:space="0" w:color="auto"/>
            <w:right w:val="none" w:sz="0" w:space="0" w:color="auto"/>
          </w:divBdr>
        </w:div>
      </w:divsChild>
    </w:div>
    <w:div w:id="5">
      <w:marLeft w:val="45"/>
      <w:marRight w:val="45"/>
      <w:marTop w:val="90"/>
      <w:marBottom w:val="90"/>
      <w:divBdr>
        <w:top w:val="none" w:sz="0" w:space="0" w:color="auto"/>
        <w:left w:val="none" w:sz="0" w:space="0" w:color="auto"/>
        <w:bottom w:val="none" w:sz="0" w:space="0" w:color="auto"/>
        <w:right w:val="none" w:sz="0" w:space="0" w:color="auto"/>
      </w:divBdr>
      <w:divsChild>
        <w:div w:id="3">
          <w:marLeft w:val="0"/>
          <w:marRight w:val="0"/>
          <w:marTop w:val="24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45"/>
      <w:marRight w:val="45"/>
      <w:marTop w:val="90"/>
      <w:marBottom w:val="90"/>
      <w:divBdr>
        <w:top w:val="none" w:sz="0" w:space="0" w:color="auto"/>
        <w:left w:val="none" w:sz="0" w:space="0" w:color="auto"/>
        <w:bottom w:val="none" w:sz="0" w:space="0" w:color="auto"/>
        <w:right w:val="none" w:sz="0" w:space="0" w:color="auto"/>
      </w:divBdr>
      <w:divsChild>
        <w:div w:id="4">
          <w:marLeft w:val="0"/>
          <w:marRight w:val="0"/>
          <w:marTop w:val="240"/>
          <w:marBottom w:val="0"/>
          <w:divBdr>
            <w:top w:val="none" w:sz="0" w:space="0" w:color="auto"/>
            <w:left w:val="none" w:sz="0" w:space="0" w:color="auto"/>
            <w:bottom w:val="none" w:sz="0" w:space="0" w:color="auto"/>
            <w:right w:val="none" w:sz="0" w:space="0" w:color="auto"/>
          </w:divBdr>
        </w:div>
      </w:divsChild>
    </w:div>
    <w:div w:id="1384600971">
      <w:bodyDiv w:val="1"/>
      <w:marLeft w:val="0"/>
      <w:marRight w:val="0"/>
      <w:marTop w:val="0"/>
      <w:marBottom w:val="0"/>
      <w:divBdr>
        <w:top w:val="none" w:sz="0" w:space="0" w:color="auto"/>
        <w:left w:val="none" w:sz="0" w:space="0" w:color="auto"/>
        <w:bottom w:val="none" w:sz="0" w:space="0" w:color="auto"/>
        <w:right w:val="none" w:sz="0" w:space="0" w:color="auto"/>
      </w:divBdr>
    </w:div>
    <w:div w:id="1680113387">
      <w:bodyDiv w:val="1"/>
      <w:marLeft w:val="45"/>
      <w:marRight w:val="45"/>
      <w:marTop w:val="90"/>
      <w:marBottom w:val="90"/>
      <w:divBdr>
        <w:top w:val="none" w:sz="0" w:space="0" w:color="auto"/>
        <w:left w:val="none" w:sz="0" w:space="0" w:color="auto"/>
        <w:bottom w:val="none" w:sz="0" w:space="0" w:color="auto"/>
        <w:right w:val="none" w:sz="0" w:space="0" w:color="auto"/>
      </w:divBdr>
      <w:divsChild>
        <w:div w:id="51172683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kalnin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07F3F-7661-406B-BD92-B6A94D28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14</Pages>
  <Words>17768</Words>
  <Characters>10129</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MK noteikumu projekta "Profesionālās izglītības kompetences centra statusa piešķiršanas un anulēšanas kārtība"</vt:lpstr>
    </vt:vector>
  </TitlesOfParts>
  <Company/>
  <LinksUpToDate>false</LinksUpToDate>
  <CharactersWithSpaces>27842</CharactersWithSpaces>
  <SharedDoc>false</SharedDoc>
  <HLinks>
    <vt:vector size="6" baseType="variant">
      <vt:variant>
        <vt:i4>786486</vt:i4>
      </vt:variant>
      <vt:variant>
        <vt:i4>0</vt:i4>
      </vt:variant>
      <vt:variant>
        <vt:i4>0</vt:i4>
      </vt:variant>
      <vt:variant>
        <vt:i4>5</vt:i4>
      </vt:variant>
      <vt:variant>
        <vt:lpwstr>mailto:dzintra.kalnina@izm.gov.lv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"Profesionālās izglītības kompetences centra statusa piešķiršanas un anulēšanas kārtība"</dc:title>
  <dc:subject>anotācija</dc:subject>
  <dc:creator>Dzintra Kalniņa</dc:creator>
  <cp:keywords>3200</cp:keywords>
  <dc:description>tālr.67047942, dzintra.kalnina@izm.gov.lv </dc:description>
  <cp:lastModifiedBy>dkalnina</cp:lastModifiedBy>
  <cp:revision>139</cp:revision>
  <cp:lastPrinted>2012-11-21T12:59:00Z</cp:lastPrinted>
  <dcterms:created xsi:type="dcterms:W3CDTF">2012-10-19T10:58:00Z</dcterms:created>
  <dcterms:modified xsi:type="dcterms:W3CDTF">2013-02-04T06:57:00Z</dcterms:modified>
  <cp:category>IZM</cp:category>
</cp:coreProperties>
</file>