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B9" w:rsidRPr="00EB6654" w:rsidRDefault="00CB7148" w:rsidP="00EB6654">
      <w:pPr>
        <w:jc w:val="center"/>
        <w:rPr>
          <w:b/>
          <w:bCs/>
          <w:sz w:val="28"/>
          <w:szCs w:val="28"/>
        </w:rPr>
      </w:pPr>
      <w:bookmarkStart w:id="0" w:name="OLE_LINK3"/>
      <w:bookmarkStart w:id="1" w:name="OLE_LINK4"/>
      <w:bookmarkStart w:id="2" w:name="OLE_LINK9"/>
      <w:bookmarkStart w:id="3" w:name="OLE_LINK10"/>
      <w:bookmarkStart w:id="4" w:name="OLE_LINK12"/>
      <w:r w:rsidRPr="00CB7148">
        <w:rPr>
          <w:b/>
          <w:bCs/>
          <w:color w:val="000000"/>
          <w:sz w:val="28"/>
          <w:szCs w:val="28"/>
        </w:rPr>
        <w:t xml:space="preserve">Ministru kabineta sēdes protokollēmuma </w:t>
      </w:r>
      <w:r w:rsidRPr="00CB7148">
        <w:rPr>
          <w:b/>
          <w:sz w:val="28"/>
          <w:szCs w:val="28"/>
        </w:rPr>
        <w:t>„</w:t>
      </w:r>
      <w:r w:rsidR="006725A6" w:rsidRPr="00357CF5">
        <w:rPr>
          <w:b/>
          <w:bCs/>
          <w:sz w:val="28"/>
          <w:szCs w:val="28"/>
        </w:rPr>
        <w:t xml:space="preserve">Par Ministru kabineta 2011. gada 15.marta </w:t>
      </w:r>
      <w:r w:rsidR="006725A6">
        <w:rPr>
          <w:b/>
          <w:bCs/>
          <w:sz w:val="28"/>
          <w:szCs w:val="28"/>
        </w:rPr>
        <w:t xml:space="preserve">sēdes </w:t>
      </w:r>
      <w:r w:rsidR="006725A6" w:rsidRPr="00357CF5">
        <w:rPr>
          <w:b/>
          <w:bCs/>
          <w:sz w:val="28"/>
          <w:szCs w:val="28"/>
        </w:rPr>
        <w:t>protokollēmuma (prot. Nr.16 22.§) „Noteikumu projekts „Grozījumi Ministru kabineta 2008.gada 11.novembra noteikumos Nr.940 „Noteikumi par darbības programmas „Infrastruktūra un pakalpojumi” papildinājuma 3.1.3.3.1.apakšaktivitāti „Speciālās izglītības iestāžu infrastruktūras un aprīkojuma uzlabošana””” 2.punktā dotā uzdevuma izpild</w:t>
      </w:r>
      <w:r w:rsidR="006725A6">
        <w:rPr>
          <w:b/>
          <w:bCs/>
          <w:sz w:val="28"/>
          <w:szCs w:val="28"/>
        </w:rPr>
        <w:t>i</w:t>
      </w:r>
      <w:r w:rsidRPr="00CB7148">
        <w:rPr>
          <w:b/>
          <w:sz w:val="28"/>
          <w:szCs w:val="28"/>
        </w:rPr>
        <w:t>”</w:t>
      </w:r>
      <w:r w:rsidR="00794A4C" w:rsidRPr="00CB7148">
        <w:rPr>
          <w:b/>
          <w:sz w:val="28"/>
          <w:szCs w:val="28"/>
        </w:rPr>
        <w:t xml:space="preserve"> </w:t>
      </w:r>
      <w:r w:rsidRPr="00CB7148">
        <w:rPr>
          <w:b/>
          <w:bCs/>
          <w:color w:val="000000"/>
          <w:sz w:val="28"/>
          <w:szCs w:val="28"/>
        </w:rPr>
        <w:t>projekta</w:t>
      </w:r>
      <w:r w:rsidRPr="008D218B">
        <w:rPr>
          <w:bCs/>
          <w:color w:val="000000"/>
          <w:sz w:val="28"/>
          <w:szCs w:val="28"/>
        </w:rPr>
        <w:t xml:space="preserve"> </w:t>
      </w:r>
      <w:r w:rsidR="00552427" w:rsidRPr="00EB6654">
        <w:rPr>
          <w:b/>
          <w:sz w:val="28"/>
          <w:szCs w:val="28"/>
        </w:rPr>
        <w:t>sākotnējās ietekmes novērtējuma ziņojums</w:t>
      </w:r>
      <w:r w:rsidR="000F658B" w:rsidRPr="00EB6654">
        <w:rPr>
          <w:b/>
          <w:sz w:val="28"/>
          <w:szCs w:val="28"/>
        </w:rPr>
        <w:t xml:space="preserve"> (anotācija)</w:t>
      </w:r>
      <w:bookmarkEnd w:id="0"/>
      <w:bookmarkEnd w:id="1"/>
    </w:p>
    <w:bookmarkEnd w:id="2"/>
    <w:bookmarkEnd w:id="3"/>
    <w:bookmarkEnd w:id="4"/>
    <w:p w:rsidR="00552427" w:rsidRPr="0076112F" w:rsidRDefault="00552427" w:rsidP="00552427">
      <w:pPr>
        <w:ind w:firstLine="720"/>
        <w:jc w:val="center"/>
        <w:rPr>
          <w:sz w:val="27"/>
          <w:szCs w:val="27"/>
        </w:rPr>
      </w:pPr>
    </w:p>
    <w:tbl>
      <w:tblPr>
        <w:tblW w:w="512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4"/>
        <w:gridCol w:w="1561"/>
        <w:gridCol w:w="7371"/>
      </w:tblGrid>
      <w:tr w:rsidR="007A6DB9" w:rsidRPr="0076112F" w:rsidTr="005D0D5C">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A6DB9" w:rsidRPr="002F2D34" w:rsidRDefault="007A6DB9" w:rsidP="007A6DB9">
            <w:pPr>
              <w:jc w:val="center"/>
              <w:rPr>
                <w:b/>
                <w:bCs/>
                <w:sz w:val="27"/>
                <w:szCs w:val="27"/>
              </w:rPr>
            </w:pPr>
            <w:r w:rsidRPr="002F2D34">
              <w:rPr>
                <w:b/>
                <w:bCs/>
                <w:sz w:val="27"/>
                <w:szCs w:val="27"/>
              </w:rPr>
              <w:t>I. Tiesību akta projekta izstrādes nepieciešamība</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1.</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Pamatojums</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6725A6" w:rsidRDefault="006725A6" w:rsidP="006725A6">
            <w:pPr>
              <w:jc w:val="both"/>
              <w:rPr>
                <w:sz w:val="28"/>
                <w:szCs w:val="28"/>
              </w:rPr>
            </w:pPr>
            <w:r w:rsidRPr="006725A6">
              <w:rPr>
                <w:bCs/>
                <w:sz w:val="28"/>
                <w:szCs w:val="28"/>
              </w:rPr>
              <w:t>Ministru kabineta 2011. gada 15.marta sēdes protokollēmuma (prot. Nr.16 22.§) „Noteikumu projekts „Grozījumi Ministru kabineta 2008.gada 11.novembra noteikumos Nr.940 „Noteikumi par darbības programmas „Infrastruktūra un pakalpojumi” papildinājuma 3.1.3.3.1.apakšaktivitāti „Speciālās izglītības iestāžu infrastruktūras un aprīkojuma uzlabošana””” 2.punkts.</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2.</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Pašreizējā situācija un problēmas</w:t>
            </w:r>
          </w:p>
        </w:tc>
        <w:tc>
          <w:tcPr>
            <w:tcW w:w="3939" w:type="pct"/>
            <w:tcBorders>
              <w:top w:val="outset" w:sz="6" w:space="0" w:color="000000"/>
              <w:left w:val="outset" w:sz="6" w:space="0" w:color="000000"/>
              <w:bottom w:val="outset" w:sz="6" w:space="0" w:color="000000"/>
              <w:right w:val="outset" w:sz="6" w:space="0" w:color="000000"/>
            </w:tcBorders>
            <w:hideMark/>
          </w:tcPr>
          <w:p w:rsidR="007254E5" w:rsidRPr="005C5FD6" w:rsidRDefault="007254E5" w:rsidP="007254E5">
            <w:pPr>
              <w:spacing w:after="120"/>
              <w:jc w:val="both"/>
              <w:rPr>
                <w:rFonts w:cs="Tahoma"/>
                <w:sz w:val="28"/>
                <w:szCs w:val="28"/>
              </w:rPr>
            </w:pPr>
            <w:r w:rsidRPr="005C5FD6">
              <w:rPr>
                <w:sz w:val="28"/>
                <w:szCs w:val="28"/>
              </w:rPr>
              <w:t xml:space="preserve">Ministru kabineta 2011.gada 15.marta protokollēmuma (prot. Nr. 16, 22.§) „Noteikumu projekts „Grozījumi Ministru kabineta 2008.gada 11.novembra noteikumos Nr.940 „Noteikumi par darbības programmas „Infrastruktūra un pakalpojumi” papildinājuma 3.1.3.3.1.apakšaktivitāti „Speciālās izglītības iestāžu infrastruktūras un aprīkojuma uzlabošana””” 2.punkts nosaka, ka Valsts izglītības attīstības aģentūrai sadarbībā ar 3.1.3.3.1.apakšaktivitātes „Speciālās izglītības iestāžu infrastruktūras un aprīkojuma uzlabošana” (turpmāk – 3.1.3.3.1.apakšaktivitāte) finansējuma saņēmējiem līdz 2011.gada 31.maijam ir </w:t>
            </w:r>
            <w:r>
              <w:rPr>
                <w:sz w:val="28"/>
                <w:szCs w:val="28"/>
              </w:rPr>
              <w:t>jā</w:t>
            </w:r>
            <w:r w:rsidRPr="005C5FD6">
              <w:rPr>
                <w:sz w:val="28"/>
                <w:szCs w:val="28"/>
              </w:rPr>
              <w:t>veic nepieciešamie grozījumi 3.1.3.3.1.apakšaktivitātes ietvaros noslēgtajās vienošanās par projektu īstenošanu, lai nodrošinātu to atbilstību Ministru kabineta 2011.gada 15.marta noteikumiem Nr.1</w:t>
            </w:r>
            <w:r w:rsidR="008816B6">
              <w:rPr>
                <w:sz w:val="28"/>
                <w:szCs w:val="28"/>
              </w:rPr>
              <w:t>9</w:t>
            </w:r>
            <w:r w:rsidRPr="005C5FD6">
              <w:rPr>
                <w:sz w:val="28"/>
                <w:szCs w:val="28"/>
              </w:rPr>
              <w:t>9 „</w:t>
            </w:r>
            <w:r w:rsidRPr="005C5FD6">
              <w:rPr>
                <w:rFonts w:cs="Tahoma"/>
                <w:sz w:val="28"/>
                <w:szCs w:val="28"/>
              </w:rPr>
              <w:t>Grozījumi Ministru kabineta 2008.gada 11.novembra noteikumos Nr.940 „Noteikumi par darbības programmas „Infrastruktūra un pakalpojumi” papildinājuma 3.1.3.3.1.apakšaktivitāti „Speciālās izglītības iestāžu infrastruktūras un aprīkojuma uzlabošana”””.</w:t>
            </w:r>
          </w:p>
          <w:p w:rsidR="007254E5" w:rsidRDefault="007254E5" w:rsidP="007254E5">
            <w:pPr>
              <w:spacing w:after="120"/>
              <w:jc w:val="both"/>
              <w:rPr>
                <w:sz w:val="28"/>
                <w:szCs w:val="28"/>
              </w:rPr>
            </w:pPr>
            <w:r w:rsidRPr="005C5FD6">
              <w:rPr>
                <w:sz w:val="28"/>
                <w:szCs w:val="28"/>
              </w:rPr>
              <w:t>Skaidrojam, ka 2010.gada 18.martā Ministru kabinetā (turpmāk – MK) apstiprinātie darbības programmas „Infrastruktūra un pakalpojumi” papildinājuma (turpmāk – 3.DPP) grozījumi 3.1.3.3.1.apakšaktivitātei noteica 100% ERAF finansējumu, svītrojot nacionālo publisko līdzfinansējumu. Rezultātā kopējais apakšaktivitātes finansējums s</w:t>
            </w:r>
            <w:r>
              <w:rPr>
                <w:sz w:val="28"/>
                <w:szCs w:val="28"/>
              </w:rPr>
              <w:t xml:space="preserve">amazinājās uz esošo ERAF daļu </w:t>
            </w:r>
            <w:r>
              <w:rPr>
                <w:sz w:val="28"/>
                <w:szCs w:val="28"/>
              </w:rPr>
              <w:lastRenderedPageBreak/>
              <w:t>5</w:t>
            </w:r>
            <w:r w:rsidRPr="005C5FD6">
              <w:rPr>
                <w:sz w:val="28"/>
                <w:szCs w:val="28"/>
              </w:rPr>
              <w:t xml:space="preserve">313198 latiem, kas nenosedza ar pašvaldībām noslēgto vienošanos par projektu īstenošanu apmēru, veidojot iztrūkumu 602423 latu apmērā. Ar 2011.gada </w:t>
            </w:r>
            <w:r w:rsidR="00B608AE">
              <w:rPr>
                <w:sz w:val="28"/>
                <w:szCs w:val="28"/>
              </w:rPr>
              <w:t>15</w:t>
            </w:r>
            <w:r w:rsidRPr="00E20D15">
              <w:rPr>
                <w:sz w:val="28"/>
                <w:szCs w:val="28"/>
              </w:rPr>
              <w:t>.marta</w:t>
            </w:r>
            <w:r w:rsidRPr="005C5FD6">
              <w:rPr>
                <w:sz w:val="28"/>
                <w:szCs w:val="28"/>
              </w:rPr>
              <w:t xml:space="preserve"> 3.DPP grozījumiem uz 3.1.3.3.1.apakšaktivitāti tika pārdalīts tajā brīdī ministrijas pārziņā esošajās 3.DPP aktivitātēs izveidojies ERAF atlikums 289637 latu apmērā, kas tikai daļēji nosedza trūkstošo ERAF finansējumu. Šobrīd pašas 3.1.3.3.1.apakšaktivitātes ietvaros ir izveidojies ERAF līdzekļu atlikums 104772 latu apmērā</w:t>
            </w:r>
            <w:r w:rsidR="003E4F3C">
              <w:rPr>
                <w:sz w:val="28"/>
                <w:szCs w:val="28"/>
              </w:rPr>
              <w:t xml:space="preserve"> (veicot</w:t>
            </w:r>
            <w:r w:rsidR="005E15AF">
              <w:rPr>
                <w:sz w:val="28"/>
                <w:szCs w:val="28"/>
              </w:rPr>
              <w:t xml:space="preserve"> </w:t>
            </w:r>
            <w:r w:rsidR="00944100">
              <w:rPr>
                <w:sz w:val="28"/>
                <w:szCs w:val="28"/>
              </w:rPr>
              <w:t>1</w:t>
            </w:r>
            <w:r w:rsidR="006F226D">
              <w:rPr>
                <w:sz w:val="28"/>
                <w:szCs w:val="28"/>
              </w:rPr>
              <w:t>4</w:t>
            </w:r>
            <w:r w:rsidR="005E15AF">
              <w:rPr>
                <w:sz w:val="28"/>
                <w:szCs w:val="28"/>
              </w:rPr>
              <w:t xml:space="preserve"> pabeigtajos projektos </w:t>
            </w:r>
            <w:r w:rsidR="003E4F3C">
              <w:rPr>
                <w:sz w:val="28"/>
                <w:szCs w:val="28"/>
              </w:rPr>
              <w:t>nepieciešamos grozījum</w:t>
            </w:r>
            <w:r w:rsidR="00944100">
              <w:rPr>
                <w:sz w:val="28"/>
                <w:szCs w:val="28"/>
              </w:rPr>
              <w:t>u</w:t>
            </w:r>
            <w:r w:rsidR="003E4F3C">
              <w:rPr>
                <w:sz w:val="28"/>
                <w:szCs w:val="28"/>
              </w:rPr>
              <w:t>s 3.1.3.3.1.apakšaktivitātes ietvaros noslēgtajās vienošanās par projekta īstenošanu</w:t>
            </w:r>
            <w:r w:rsidR="005E15AF">
              <w:rPr>
                <w:sz w:val="28"/>
                <w:szCs w:val="28"/>
              </w:rPr>
              <w:t xml:space="preserve"> ir atbrīvoju</w:t>
            </w:r>
            <w:r w:rsidR="002C542C">
              <w:rPr>
                <w:sz w:val="28"/>
                <w:szCs w:val="28"/>
              </w:rPr>
              <w:t>š</w:t>
            </w:r>
            <w:r w:rsidR="005E15AF">
              <w:rPr>
                <w:sz w:val="28"/>
                <w:szCs w:val="28"/>
              </w:rPr>
              <w:t>ies finanšu līdzekļu ietaupījumi</w:t>
            </w:r>
            <w:r w:rsidR="003E4F3C">
              <w:rPr>
                <w:sz w:val="28"/>
                <w:szCs w:val="28"/>
              </w:rPr>
              <w:t>)</w:t>
            </w:r>
            <w:r w:rsidRPr="005C5FD6">
              <w:rPr>
                <w:sz w:val="28"/>
                <w:szCs w:val="28"/>
              </w:rPr>
              <w:t>, kas tiks novirzīts trūkstošā ERAF finansējuma nosegšanai, taču, lai pilnībā nosegtu trūkstošo ERAF finansējumu un Valsts izglītības attīstības aģentūra</w:t>
            </w:r>
            <w:r w:rsidR="00384DB6">
              <w:rPr>
                <w:sz w:val="28"/>
                <w:szCs w:val="28"/>
              </w:rPr>
              <w:t xml:space="preserve"> (turpmāk – VIAA)</w:t>
            </w:r>
            <w:r w:rsidRPr="005C5FD6">
              <w:rPr>
                <w:sz w:val="28"/>
                <w:szCs w:val="28"/>
              </w:rPr>
              <w:t xml:space="preserve"> varētu izpildīt MK 2011.gada 15.marta protokolēmuma (prot.Nr.16) 22.§ 2.punktā uzdoto, ir nepie</w:t>
            </w:r>
            <w:r>
              <w:rPr>
                <w:sz w:val="28"/>
                <w:szCs w:val="28"/>
              </w:rPr>
              <w:t>ciešami vēl papildu 208014 latu (papildu nepieciešamo finansējumu bija plānots segt pašas apakšaktivitātes ietvaros ietaupījumu rezultātā).</w:t>
            </w:r>
          </w:p>
          <w:p w:rsidR="007254E5" w:rsidRDefault="007254E5" w:rsidP="007254E5">
            <w:pPr>
              <w:spacing w:after="120"/>
              <w:jc w:val="both"/>
              <w:rPr>
                <w:sz w:val="28"/>
                <w:szCs w:val="28"/>
              </w:rPr>
            </w:pPr>
            <w:r>
              <w:rPr>
                <w:sz w:val="28"/>
                <w:szCs w:val="28"/>
              </w:rPr>
              <w:t xml:space="preserve">Finanšu ministrija (turpmāk – FM) 2011.gada 31.maija nosūtīja Izglītības un zinātnes ministrijai (turpmāk – IZM) saskaņošanai </w:t>
            </w:r>
            <w:r w:rsidRPr="00772637">
              <w:rPr>
                <w:sz w:val="28"/>
                <w:szCs w:val="28"/>
              </w:rPr>
              <w:t>informatīv</w:t>
            </w:r>
            <w:r>
              <w:rPr>
                <w:sz w:val="28"/>
                <w:szCs w:val="28"/>
              </w:rPr>
              <w:t>ā</w:t>
            </w:r>
            <w:r w:rsidRPr="00772637">
              <w:rPr>
                <w:sz w:val="28"/>
                <w:szCs w:val="28"/>
              </w:rPr>
              <w:t xml:space="preserve"> ziņojum</w:t>
            </w:r>
            <w:r>
              <w:rPr>
                <w:sz w:val="28"/>
                <w:szCs w:val="28"/>
              </w:rPr>
              <w:t>a</w:t>
            </w:r>
            <w:r w:rsidRPr="00772637">
              <w:rPr>
                <w:sz w:val="28"/>
                <w:szCs w:val="28"/>
              </w:rPr>
              <w:t xml:space="preserve"> projektu „Par 2007.-2013.gada plānošanas perioda ES struktūrfondu un Kohēzijas fonda aktivitāšu un apakšaktivitāšu aktualitātes un īstenošanas turpināšanas izvērtēšanu” (turpmāk – informatīvā ziņojuma projekts)</w:t>
            </w:r>
            <w:r>
              <w:rPr>
                <w:sz w:val="28"/>
                <w:szCs w:val="28"/>
              </w:rPr>
              <w:t xml:space="preserve"> un </w:t>
            </w:r>
            <w:r w:rsidRPr="00606A77">
              <w:rPr>
                <w:sz w:val="28"/>
                <w:szCs w:val="28"/>
              </w:rPr>
              <w:t>Ministru kabineta sēdes protokollēmuma „Informatīvais ziņojums  „Par 2007.–2013.gada plānošanas perioda ES struktūrfondu un Kohēzijas fonda aktivitāšu un apakšaktivitāšu aktualitātes un īstenošanas turpināšanas izvērtēšanu” projektu</w:t>
            </w:r>
            <w:r>
              <w:rPr>
                <w:sz w:val="28"/>
                <w:szCs w:val="28"/>
              </w:rPr>
              <w:t xml:space="preserve"> (turpmāk – protokollēmuma projekts)</w:t>
            </w:r>
            <w:r w:rsidRPr="00606A77">
              <w:rPr>
                <w:sz w:val="28"/>
                <w:szCs w:val="28"/>
              </w:rPr>
              <w:t xml:space="preserve">, </w:t>
            </w:r>
            <w:r>
              <w:rPr>
                <w:sz w:val="28"/>
                <w:szCs w:val="28"/>
              </w:rPr>
              <w:t xml:space="preserve">kas tika sagatavots, pamatojoties uz </w:t>
            </w:r>
            <w:r w:rsidRPr="008E1A41">
              <w:rPr>
                <w:color w:val="000000"/>
                <w:sz w:val="28"/>
                <w:szCs w:val="28"/>
              </w:rPr>
              <w:t>Koalīcijas partiju pārstāvju Eiropas Savienības fondu darba grupas 2011.gada 30.maija sanāksmē</w:t>
            </w:r>
            <w:r>
              <w:rPr>
                <w:color w:val="000000"/>
                <w:sz w:val="28"/>
                <w:szCs w:val="28"/>
              </w:rPr>
              <w:t xml:space="preserve"> nolemto. Informatīvā ziņojumu projektā un protokollēmuma projektā FM</w:t>
            </w:r>
            <w:r w:rsidRPr="004D108C">
              <w:rPr>
                <w:sz w:val="28"/>
                <w:szCs w:val="28"/>
              </w:rPr>
              <w:t xml:space="preserve"> kā Eiropas Savienības struktūrfondu un Kohēzijas fonda vadošā iestāde izvērtēj</w:t>
            </w:r>
            <w:r>
              <w:rPr>
                <w:sz w:val="28"/>
                <w:szCs w:val="28"/>
              </w:rPr>
              <w:t>a</w:t>
            </w:r>
            <w:r w:rsidRPr="004D108C">
              <w:rPr>
                <w:sz w:val="28"/>
                <w:szCs w:val="28"/>
              </w:rPr>
              <w:t xml:space="preserve"> Eiropas Savienības struktūrfondu un Kohēzijas fonda aktivitātes un apakšaktivitātes un sagatavoj</w:t>
            </w:r>
            <w:r>
              <w:rPr>
                <w:sz w:val="28"/>
                <w:szCs w:val="28"/>
              </w:rPr>
              <w:t>a</w:t>
            </w:r>
            <w:r w:rsidRPr="004D108C">
              <w:rPr>
                <w:sz w:val="28"/>
                <w:szCs w:val="28"/>
              </w:rPr>
              <w:t xml:space="preserve"> priekšlikumus grozījumiem darbības programmā „Cilvēkresursi un nodarbinātība”, „Uzņēmējdarbība un inovācijas” un to papildinājumos, kā arī darbības programmas „Infrastruktūra un pakalpojumi” papildinājumā, paredzot finansējuma pārdales</w:t>
            </w:r>
            <w:r>
              <w:rPr>
                <w:sz w:val="28"/>
                <w:szCs w:val="28"/>
              </w:rPr>
              <w:t xml:space="preserve">. </w:t>
            </w:r>
            <w:r>
              <w:rPr>
                <w:color w:val="000000"/>
                <w:sz w:val="28"/>
                <w:szCs w:val="28"/>
              </w:rPr>
              <w:t>Informatīvā ziņojumu projektu un protokollēmuma projektu tika plānots izskatīt Ministru kabineta 2011.gada 7.jūnija sēdē.</w:t>
            </w:r>
            <w:r w:rsidR="008816B6">
              <w:rPr>
                <w:color w:val="000000"/>
                <w:sz w:val="28"/>
                <w:szCs w:val="28"/>
              </w:rPr>
              <w:t xml:space="preserve"> </w:t>
            </w:r>
          </w:p>
          <w:p w:rsidR="007254E5" w:rsidRDefault="007254E5" w:rsidP="007254E5">
            <w:pPr>
              <w:autoSpaceDE w:val="0"/>
              <w:autoSpaceDN w:val="0"/>
              <w:adjustRightInd w:val="0"/>
              <w:spacing w:after="120"/>
              <w:jc w:val="both"/>
              <w:rPr>
                <w:sz w:val="28"/>
                <w:szCs w:val="28"/>
              </w:rPr>
            </w:pPr>
            <w:r w:rsidRPr="00606A77">
              <w:rPr>
                <w:sz w:val="28"/>
                <w:szCs w:val="28"/>
              </w:rPr>
              <w:lastRenderedPageBreak/>
              <w:t xml:space="preserve">IZM, sniedzot 2011.gada 2.jūnijā atzinumu par FM sagatavoto informatīvā ziņojuma projektu un protokollēmuma projektu, lūdza FM </w:t>
            </w:r>
            <w:r>
              <w:rPr>
                <w:sz w:val="28"/>
                <w:szCs w:val="28"/>
              </w:rPr>
              <w:t>p</w:t>
            </w:r>
            <w:r w:rsidRPr="00606A77">
              <w:rPr>
                <w:sz w:val="28"/>
                <w:szCs w:val="28"/>
              </w:rPr>
              <w:t>apildināt protokollēmuma projektu ar jaunu punktu</w:t>
            </w:r>
            <w:r>
              <w:rPr>
                <w:sz w:val="28"/>
                <w:szCs w:val="28"/>
              </w:rPr>
              <w:t xml:space="preserve">, kas paredz </w:t>
            </w:r>
            <w:r w:rsidR="003E4F3C">
              <w:rPr>
                <w:sz w:val="28"/>
                <w:szCs w:val="28"/>
              </w:rPr>
              <w:t>pārdalī</w:t>
            </w:r>
            <w:r>
              <w:rPr>
                <w:sz w:val="28"/>
                <w:szCs w:val="28"/>
              </w:rPr>
              <w:t xml:space="preserve">t IZM pārziņā esošo aktivitāšu ietvaros radušos </w:t>
            </w:r>
            <w:r w:rsidRPr="00606A77">
              <w:rPr>
                <w:sz w:val="28"/>
                <w:szCs w:val="28"/>
              </w:rPr>
              <w:t xml:space="preserve">ERAF </w:t>
            </w:r>
            <w:r>
              <w:rPr>
                <w:sz w:val="28"/>
                <w:szCs w:val="28"/>
              </w:rPr>
              <w:t xml:space="preserve">finansējuma atlikumus </w:t>
            </w:r>
            <w:r w:rsidRPr="00606A77">
              <w:rPr>
                <w:sz w:val="28"/>
                <w:szCs w:val="28"/>
              </w:rPr>
              <w:t>208014 latu apmērā</w:t>
            </w:r>
            <w:r>
              <w:rPr>
                <w:sz w:val="28"/>
                <w:szCs w:val="28"/>
              </w:rPr>
              <w:t xml:space="preserve"> uz IZM</w:t>
            </w:r>
            <w:r w:rsidRPr="00606A77">
              <w:rPr>
                <w:sz w:val="28"/>
                <w:szCs w:val="28"/>
              </w:rPr>
              <w:t xml:space="preserve"> pārziņā esošās darbības programmas „Infrastruktūra un pakalpojumi” papildinājuma</w:t>
            </w:r>
            <w:r>
              <w:rPr>
                <w:sz w:val="28"/>
                <w:szCs w:val="28"/>
              </w:rPr>
              <w:t xml:space="preserve"> 3.1.3.3.1.apakšaktivitāt</w:t>
            </w:r>
            <w:r w:rsidRPr="00606A77">
              <w:rPr>
                <w:sz w:val="28"/>
                <w:szCs w:val="28"/>
              </w:rPr>
              <w:t>i, kas nepieciešams, lai pilnībā nosegtu iztrūkstošo ERAF finansējumu, kas izveidojies ar pašvaldībām noslēgtajās vienošanās par projektu īstenošanu, apakšaktivitātē izņemot nacionālo publisko līdzfinansējumu un nosakot 100% ERAF finansējumu.</w:t>
            </w:r>
            <w:r>
              <w:rPr>
                <w:sz w:val="28"/>
                <w:szCs w:val="28"/>
              </w:rPr>
              <w:t xml:space="preserve"> </w:t>
            </w:r>
            <w:r w:rsidRPr="00C768FF">
              <w:rPr>
                <w:color w:val="000000"/>
                <w:sz w:val="28"/>
                <w:szCs w:val="28"/>
              </w:rPr>
              <w:t xml:space="preserve">FM </w:t>
            </w:r>
            <w:r>
              <w:rPr>
                <w:color w:val="000000"/>
                <w:sz w:val="28"/>
                <w:szCs w:val="28"/>
              </w:rPr>
              <w:t xml:space="preserve">šobrīd </w:t>
            </w:r>
            <w:r w:rsidRPr="00C768FF">
              <w:rPr>
                <w:color w:val="000000"/>
                <w:sz w:val="28"/>
                <w:szCs w:val="28"/>
              </w:rPr>
              <w:t xml:space="preserve">neatbalsta atlikumu pārdali </w:t>
            </w:r>
            <w:r>
              <w:rPr>
                <w:color w:val="000000"/>
                <w:sz w:val="28"/>
                <w:szCs w:val="28"/>
              </w:rPr>
              <w:t>3.1.3.3.1.apakšaktivitātei</w:t>
            </w:r>
            <w:r w:rsidRPr="00C768FF">
              <w:rPr>
                <w:color w:val="000000"/>
                <w:sz w:val="28"/>
                <w:szCs w:val="28"/>
              </w:rPr>
              <w:t>, lai nosegtu trūkstošo ERAF</w:t>
            </w:r>
            <w:r w:rsidRPr="00606A77">
              <w:rPr>
                <w:sz w:val="28"/>
                <w:szCs w:val="28"/>
              </w:rPr>
              <w:t xml:space="preserve"> finansējumu 208014 latu apmēr</w:t>
            </w:r>
            <w:r>
              <w:rPr>
                <w:sz w:val="28"/>
                <w:szCs w:val="28"/>
              </w:rPr>
              <w:t>a, ņemot vērā iespēju, ka pašas aktivitātes ietvaros iepirkumu rezultātā var veidoties ietaupījumi, tā nosedzot trūkstošo finansējumu. Līdz ar to FM piekrīt izpildes termiņa pagarināšanai un pakāpeniskai vienošanās grozījumu veikšanai.</w:t>
            </w:r>
          </w:p>
          <w:p w:rsidR="007C5F78" w:rsidRDefault="007C5F78" w:rsidP="007254E5">
            <w:pPr>
              <w:autoSpaceDE w:val="0"/>
              <w:autoSpaceDN w:val="0"/>
              <w:adjustRightInd w:val="0"/>
              <w:spacing w:after="120"/>
              <w:jc w:val="both"/>
              <w:rPr>
                <w:sz w:val="28"/>
                <w:szCs w:val="28"/>
              </w:rPr>
            </w:pPr>
            <w:r>
              <w:rPr>
                <w:color w:val="000000"/>
                <w:sz w:val="28"/>
                <w:szCs w:val="28"/>
              </w:rPr>
              <w:t>Informatīvā ziņojuma projekts un tam pievienotais Ministru kabineta protokollēmuma projekts 2011.gada 7.jūnija sēdē netika skatīt</w:t>
            </w:r>
            <w:r w:rsidR="00384DB6">
              <w:rPr>
                <w:color w:val="000000"/>
                <w:sz w:val="28"/>
                <w:szCs w:val="28"/>
              </w:rPr>
              <w:t>i</w:t>
            </w:r>
            <w:r>
              <w:rPr>
                <w:color w:val="000000"/>
                <w:sz w:val="28"/>
                <w:szCs w:val="28"/>
              </w:rPr>
              <w:t xml:space="preserve">, bet Ministru kabineta </w:t>
            </w:r>
            <w:r w:rsidR="00384DB6">
              <w:rPr>
                <w:color w:val="000000"/>
                <w:sz w:val="28"/>
                <w:szCs w:val="28"/>
              </w:rPr>
              <w:t xml:space="preserve">2011.gada 14.jūnija </w:t>
            </w:r>
            <w:r>
              <w:rPr>
                <w:color w:val="000000"/>
                <w:sz w:val="28"/>
                <w:szCs w:val="28"/>
              </w:rPr>
              <w:t xml:space="preserve">sēdē tika apstiprināti grozījumi </w:t>
            </w:r>
            <w:r w:rsidR="00384DB6">
              <w:rPr>
                <w:color w:val="000000"/>
                <w:sz w:val="28"/>
                <w:szCs w:val="28"/>
              </w:rPr>
              <w:t>3.DPP</w:t>
            </w:r>
            <w:r>
              <w:rPr>
                <w:color w:val="000000"/>
                <w:sz w:val="28"/>
                <w:szCs w:val="28"/>
              </w:rPr>
              <w:t xml:space="preserve"> (</w:t>
            </w:r>
            <w:r>
              <w:rPr>
                <w:sz w:val="28"/>
                <w:szCs w:val="28"/>
              </w:rPr>
              <w:t>prot. Nr. 36, 20</w:t>
            </w:r>
            <w:r w:rsidRPr="005C5FD6">
              <w:rPr>
                <w:sz w:val="28"/>
                <w:szCs w:val="28"/>
              </w:rPr>
              <w:t>.§)</w:t>
            </w:r>
            <w:r>
              <w:rPr>
                <w:sz w:val="28"/>
                <w:szCs w:val="28"/>
              </w:rPr>
              <w:t>. G</w:t>
            </w:r>
            <w:r>
              <w:rPr>
                <w:color w:val="000000"/>
                <w:sz w:val="28"/>
                <w:szCs w:val="28"/>
              </w:rPr>
              <w:t xml:space="preserve">rozījumi </w:t>
            </w:r>
            <w:r w:rsidR="00384DB6">
              <w:rPr>
                <w:color w:val="000000"/>
                <w:sz w:val="28"/>
                <w:szCs w:val="28"/>
              </w:rPr>
              <w:t>3.DPP</w:t>
            </w:r>
            <w:r w:rsidR="00FD25F2">
              <w:rPr>
                <w:color w:val="000000"/>
                <w:sz w:val="28"/>
                <w:szCs w:val="28"/>
              </w:rPr>
              <w:t xml:space="preserve"> neparedz </w:t>
            </w:r>
            <w:r w:rsidR="00FD25F2">
              <w:rPr>
                <w:sz w:val="28"/>
                <w:szCs w:val="28"/>
              </w:rPr>
              <w:t xml:space="preserve">IZM pārziņā esošo aktivitāšu ietvaros radušos </w:t>
            </w:r>
            <w:r w:rsidR="00FD25F2" w:rsidRPr="00606A77">
              <w:rPr>
                <w:sz w:val="28"/>
                <w:szCs w:val="28"/>
              </w:rPr>
              <w:t xml:space="preserve">ERAF </w:t>
            </w:r>
            <w:r w:rsidR="00FD25F2">
              <w:rPr>
                <w:sz w:val="28"/>
                <w:szCs w:val="28"/>
              </w:rPr>
              <w:t>finansējuma atlikumu pārdali uz 3.1.3.3.1.apakšaktivitāt</w:t>
            </w:r>
            <w:r w:rsidR="00FD25F2" w:rsidRPr="00606A77">
              <w:rPr>
                <w:sz w:val="28"/>
                <w:szCs w:val="28"/>
              </w:rPr>
              <w:t>i</w:t>
            </w:r>
            <w:r w:rsidR="00FD25F2">
              <w:rPr>
                <w:sz w:val="28"/>
                <w:szCs w:val="28"/>
              </w:rPr>
              <w:t>.</w:t>
            </w:r>
          </w:p>
          <w:p w:rsidR="00D46766" w:rsidRDefault="007254E5" w:rsidP="007B1358">
            <w:pPr>
              <w:pStyle w:val="CommentText"/>
              <w:spacing w:after="120"/>
              <w:jc w:val="both"/>
              <w:rPr>
                <w:color w:val="000000"/>
                <w:sz w:val="28"/>
                <w:szCs w:val="28"/>
              </w:rPr>
            </w:pPr>
            <w:r>
              <w:rPr>
                <w:color w:val="000000"/>
                <w:sz w:val="28"/>
                <w:szCs w:val="28"/>
              </w:rPr>
              <w:t xml:space="preserve">Ņemot vērā iepriekšminēto, </w:t>
            </w:r>
            <w:r w:rsidRPr="007E3361">
              <w:rPr>
                <w:color w:val="000000"/>
                <w:sz w:val="28"/>
                <w:szCs w:val="28"/>
              </w:rPr>
              <w:t xml:space="preserve">VIAA nevar </w:t>
            </w:r>
            <w:r>
              <w:rPr>
                <w:color w:val="000000"/>
                <w:sz w:val="28"/>
                <w:szCs w:val="28"/>
              </w:rPr>
              <w:t xml:space="preserve">izpildīt </w:t>
            </w:r>
            <w:r w:rsidRPr="005C5FD6">
              <w:rPr>
                <w:sz w:val="28"/>
                <w:szCs w:val="28"/>
              </w:rPr>
              <w:t>MK 2011.gada 15.marta protokolēmuma (prot.Nr.16) 22.§ 2.punktā uzdoto</w:t>
            </w:r>
            <w:r>
              <w:rPr>
                <w:sz w:val="28"/>
                <w:szCs w:val="28"/>
              </w:rPr>
              <w:t xml:space="preserve"> norādītajā termiņā līdz 2011.gada 31.maijam</w:t>
            </w:r>
            <w:r w:rsidRPr="007E3361">
              <w:rPr>
                <w:color w:val="000000"/>
                <w:sz w:val="28"/>
                <w:szCs w:val="28"/>
              </w:rPr>
              <w:t xml:space="preserve">, jo </w:t>
            </w:r>
            <w:r>
              <w:rPr>
                <w:color w:val="000000"/>
                <w:sz w:val="28"/>
                <w:szCs w:val="28"/>
              </w:rPr>
              <w:t xml:space="preserve">daļa </w:t>
            </w:r>
            <w:r w:rsidRPr="007E3361">
              <w:rPr>
                <w:color w:val="000000"/>
                <w:sz w:val="28"/>
                <w:szCs w:val="28"/>
              </w:rPr>
              <w:t>projektu vēl tiek īstenoti (</w:t>
            </w:r>
            <w:r>
              <w:rPr>
                <w:color w:val="000000"/>
                <w:sz w:val="28"/>
                <w:szCs w:val="28"/>
              </w:rPr>
              <w:t>dažos projektos nav noslēgušies būvniecības iepirkumi un nav zināms, vai veidosies ietaupījumi iepirkumu rezultātā, ņemot vērā būvdarbu cenas pieaugumu tirgū)</w:t>
            </w:r>
            <w:r w:rsidR="007B1358">
              <w:rPr>
                <w:color w:val="000000"/>
                <w:sz w:val="28"/>
                <w:szCs w:val="28"/>
              </w:rPr>
              <w:t>. Šobrīd no 44 projektiem</w:t>
            </w:r>
            <w:r w:rsidR="00D46766">
              <w:rPr>
                <w:color w:val="000000"/>
                <w:sz w:val="28"/>
                <w:szCs w:val="28"/>
              </w:rPr>
              <w:t>:</w:t>
            </w:r>
          </w:p>
          <w:p w:rsidR="00D46766" w:rsidRDefault="007B1358" w:rsidP="00D46766">
            <w:pPr>
              <w:pStyle w:val="CommentText"/>
              <w:numPr>
                <w:ilvl w:val="0"/>
                <w:numId w:val="14"/>
              </w:numPr>
              <w:spacing w:after="120"/>
              <w:jc w:val="both"/>
              <w:rPr>
                <w:color w:val="000000"/>
                <w:sz w:val="28"/>
                <w:szCs w:val="28"/>
              </w:rPr>
            </w:pPr>
            <w:r>
              <w:rPr>
                <w:color w:val="000000"/>
                <w:sz w:val="28"/>
                <w:szCs w:val="28"/>
              </w:rPr>
              <w:t>ir pabeigti 1</w:t>
            </w:r>
            <w:r w:rsidR="00D46766">
              <w:rPr>
                <w:color w:val="000000"/>
                <w:sz w:val="28"/>
                <w:szCs w:val="28"/>
              </w:rPr>
              <w:t>4 projekti;</w:t>
            </w:r>
          </w:p>
          <w:p w:rsidR="00D46766" w:rsidRDefault="007B1358" w:rsidP="00D46766">
            <w:pPr>
              <w:pStyle w:val="CommentText"/>
              <w:numPr>
                <w:ilvl w:val="0"/>
                <w:numId w:val="14"/>
              </w:numPr>
              <w:spacing w:after="120"/>
              <w:jc w:val="both"/>
              <w:rPr>
                <w:color w:val="000000"/>
                <w:sz w:val="28"/>
                <w:szCs w:val="28"/>
              </w:rPr>
            </w:pPr>
            <w:r>
              <w:rPr>
                <w:color w:val="000000"/>
                <w:sz w:val="28"/>
                <w:szCs w:val="28"/>
              </w:rPr>
              <w:t xml:space="preserve">līdz 2011.gada </w:t>
            </w:r>
            <w:r w:rsidR="00D46766">
              <w:rPr>
                <w:color w:val="000000"/>
                <w:sz w:val="28"/>
                <w:szCs w:val="28"/>
              </w:rPr>
              <w:t>30.</w:t>
            </w:r>
            <w:r>
              <w:rPr>
                <w:color w:val="000000"/>
                <w:sz w:val="28"/>
                <w:szCs w:val="28"/>
              </w:rPr>
              <w:t>jūnija</w:t>
            </w:r>
            <w:r w:rsidR="00D46766">
              <w:rPr>
                <w:color w:val="000000"/>
                <w:sz w:val="28"/>
                <w:szCs w:val="28"/>
              </w:rPr>
              <w:t>m</w:t>
            </w:r>
            <w:r>
              <w:rPr>
                <w:color w:val="000000"/>
                <w:sz w:val="28"/>
                <w:szCs w:val="28"/>
              </w:rPr>
              <w:t xml:space="preserve"> tiks pabeigti </w:t>
            </w:r>
            <w:r w:rsidR="00D46766">
              <w:rPr>
                <w:color w:val="000000"/>
                <w:sz w:val="28"/>
                <w:szCs w:val="28"/>
              </w:rPr>
              <w:t>11</w:t>
            </w:r>
            <w:r>
              <w:rPr>
                <w:color w:val="000000"/>
                <w:sz w:val="28"/>
                <w:szCs w:val="28"/>
              </w:rPr>
              <w:t xml:space="preserve"> projekti</w:t>
            </w:r>
            <w:r w:rsidR="00D46766">
              <w:rPr>
                <w:color w:val="000000"/>
                <w:sz w:val="28"/>
                <w:szCs w:val="28"/>
              </w:rPr>
              <w:t xml:space="preserve"> (no kuriem par 1 projektu ir saņemts pieprasījums no finansējuma saņēmēja pagarināt projekta īstenošanas termiņu līdz 2011.gada 31.decembrim);</w:t>
            </w:r>
          </w:p>
          <w:p w:rsidR="00D46766" w:rsidRDefault="00D46766" w:rsidP="00D46766">
            <w:pPr>
              <w:pStyle w:val="CommentText"/>
              <w:numPr>
                <w:ilvl w:val="0"/>
                <w:numId w:val="14"/>
              </w:numPr>
              <w:spacing w:after="120"/>
              <w:jc w:val="both"/>
              <w:rPr>
                <w:color w:val="000000"/>
                <w:sz w:val="28"/>
                <w:szCs w:val="28"/>
              </w:rPr>
            </w:pPr>
            <w:r>
              <w:rPr>
                <w:color w:val="000000"/>
                <w:sz w:val="28"/>
                <w:szCs w:val="28"/>
              </w:rPr>
              <w:t>no 2011.gada 31.augusta līdz 2011.gada 31.decembrim tiks pabeigti 10 projekti;</w:t>
            </w:r>
          </w:p>
          <w:p w:rsidR="00D46766" w:rsidRDefault="00F72970" w:rsidP="00D46766">
            <w:pPr>
              <w:pStyle w:val="CommentText"/>
              <w:numPr>
                <w:ilvl w:val="0"/>
                <w:numId w:val="14"/>
              </w:numPr>
              <w:spacing w:after="120"/>
              <w:jc w:val="both"/>
              <w:rPr>
                <w:sz w:val="28"/>
                <w:szCs w:val="28"/>
              </w:rPr>
            </w:pPr>
            <w:r>
              <w:rPr>
                <w:sz w:val="28"/>
                <w:szCs w:val="28"/>
              </w:rPr>
              <w:t xml:space="preserve">5 projektos notiek </w:t>
            </w:r>
            <w:r w:rsidR="003F1A32" w:rsidRPr="003F1A32">
              <w:rPr>
                <w:sz w:val="28"/>
                <w:szCs w:val="28"/>
              </w:rPr>
              <w:t xml:space="preserve">grozījumu </w:t>
            </w:r>
            <w:r>
              <w:rPr>
                <w:sz w:val="28"/>
                <w:szCs w:val="28"/>
              </w:rPr>
              <w:t xml:space="preserve">veikšana </w:t>
            </w:r>
            <w:r w:rsidR="003F1A32" w:rsidRPr="003F1A32">
              <w:rPr>
                <w:sz w:val="28"/>
                <w:szCs w:val="28"/>
              </w:rPr>
              <w:t xml:space="preserve">noslēgtajās </w:t>
            </w:r>
            <w:r w:rsidR="003F1A32" w:rsidRPr="003F1A32">
              <w:rPr>
                <w:sz w:val="28"/>
                <w:szCs w:val="28"/>
              </w:rPr>
              <w:lastRenderedPageBreak/>
              <w:t>vienošanās par projektu īstenošanu</w:t>
            </w:r>
            <w:r>
              <w:rPr>
                <w:sz w:val="28"/>
                <w:szCs w:val="28"/>
              </w:rPr>
              <w:t>;</w:t>
            </w:r>
          </w:p>
          <w:p w:rsidR="00F72970" w:rsidRPr="003F1A32" w:rsidRDefault="00F72970" w:rsidP="00D46766">
            <w:pPr>
              <w:pStyle w:val="CommentText"/>
              <w:numPr>
                <w:ilvl w:val="0"/>
                <w:numId w:val="14"/>
              </w:numPr>
              <w:spacing w:after="120"/>
              <w:jc w:val="both"/>
              <w:rPr>
                <w:sz w:val="28"/>
                <w:szCs w:val="28"/>
              </w:rPr>
            </w:pPr>
            <w:r>
              <w:rPr>
                <w:sz w:val="28"/>
                <w:szCs w:val="28"/>
              </w:rPr>
              <w:t>4 projekti ir pabeigti (līdz 2011.gada 17.jūnijam), bet maksājuma pieprasījumi vēl nav saņemti.</w:t>
            </w:r>
          </w:p>
          <w:p w:rsidR="007B1358" w:rsidRPr="007B1358" w:rsidRDefault="007B1358" w:rsidP="00D46766">
            <w:pPr>
              <w:pStyle w:val="CommentText"/>
              <w:spacing w:after="120"/>
              <w:jc w:val="both"/>
              <w:rPr>
                <w:color w:val="000000"/>
                <w:sz w:val="28"/>
                <w:szCs w:val="28"/>
              </w:rPr>
            </w:pPr>
            <w:r>
              <w:rPr>
                <w:color w:val="000000"/>
                <w:sz w:val="28"/>
                <w:szCs w:val="28"/>
              </w:rPr>
              <w:t>T</w:t>
            </w:r>
            <w:r w:rsidR="007254E5">
              <w:rPr>
                <w:color w:val="000000"/>
                <w:sz w:val="28"/>
                <w:szCs w:val="28"/>
              </w:rPr>
              <w:t xml:space="preserve">urklāt </w:t>
            </w:r>
            <w:r w:rsidR="007254E5" w:rsidRPr="007E3361">
              <w:rPr>
                <w:color w:val="000000"/>
                <w:sz w:val="28"/>
                <w:szCs w:val="28"/>
              </w:rPr>
              <w:t xml:space="preserve">atlikumi </w:t>
            </w:r>
            <w:r w:rsidR="007254E5">
              <w:rPr>
                <w:color w:val="000000"/>
                <w:sz w:val="28"/>
                <w:szCs w:val="28"/>
              </w:rPr>
              <w:t xml:space="preserve">3.1.3.3.1.apakšaktivitātes ietvaros </w:t>
            </w:r>
            <w:r w:rsidR="007254E5" w:rsidRPr="007E3361">
              <w:rPr>
                <w:color w:val="000000"/>
                <w:sz w:val="28"/>
                <w:szCs w:val="28"/>
              </w:rPr>
              <w:t>atbrīvojas pakāpeniski tikai pēc projekta pabeigšanas</w:t>
            </w:r>
            <w:r w:rsidR="007254E5">
              <w:rPr>
                <w:color w:val="000000"/>
                <w:sz w:val="28"/>
                <w:szCs w:val="28"/>
              </w:rPr>
              <w:t xml:space="preserve"> </w:t>
            </w:r>
            <w:r w:rsidR="007254E5" w:rsidRPr="007E3361">
              <w:rPr>
                <w:color w:val="000000"/>
                <w:sz w:val="28"/>
                <w:szCs w:val="28"/>
              </w:rPr>
              <w:t xml:space="preserve"> </w:t>
            </w:r>
            <w:r w:rsidR="007254E5">
              <w:rPr>
                <w:color w:val="000000"/>
                <w:sz w:val="28"/>
                <w:szCs w:val="28"/>
              </w:rPr>
              <w:t xml:space="preserve">un </w:t>
            </w:r>
            <w:r w:rsidR="007254E5" w:rsidRPr="007E3361">
              <w:rPr>
                <w:color w:val="000000"/>
                <w:sz w:val="28"/>
                <w:szCs w:val="28"/>
              </w:rPr>
              <w:t xml:space="preserve">nav garantijas, ka veidosies </w:t>
            </w:r>
            <w:r w:rsidR="007254E5">
              <w:rPr>
                <w:color w:val="000000"/>
                <w:sz w:val="28"/>
                <w:szCs w:val="28"/>
              </w:rPr>
              <w:t xml:space="preserve">3.1.3.3.1.apakšaktivitātes ietvaros </w:t>
            </w:r>
            <w:r w:rsidR="007254E5" w:rsidRPr="007E3361">
              <w:rPr>
                <w:color w:val="000000"/>
                <w:sz w:val="28"/>
                <w:szCs w:val="28"/>
              </w:rPr>
              <w:t>pašu ietaupījums nepieciešamajā apmērā</w:t>
            </w:r>
            <w:r w:rsidR="007254E5">
              <w:rPr>
                <w:color w:val="000000"/>
                <w:sz w:val="28"/>
                <w:szCs w:val="28"/>
              </w:rPr>
              <w:t xml:space="preserve">. </w:t>
            </w:r>
            <w:r>
              <w:rPr>
                <w:color w:val="000000"/>
                <w:sz w:val="28"/>
                <w:szCs w:val="28"/>
              </w:rPr>
              <w:t>Gadījumā, ja projektu pabeigšanas rezultātā netiks atbrīvoti līdzekļi nepieciešamajā apjomā,</w:t>
            </w:r>
            <w:r w:rsidR="002C542C">
              <w:rPr>
                <w:color w:val="000000"/>
                <w:sz w:val="28"/>
                <w:szCs w:val="28"/>
              </w:rPr>
              <w:t xml:space="preserve"> </w:t>
            </w:r>
            <w:r w:rsidR="00563C74" w:rsidRPr="00E20D15">
              <w:rPr>
                <w:color w:val="000000"/>
                <w:sz w:val="28"/>
                <w:szCs w:val="28"/>
              </w:rPr>
              <w:t>lai</w:t>
            </w:r>
            <w:r>
              <w:rPr>
                <w:color w:val="000000"/>
                <w:sz w:val="28"/>
                <w:szCs w:val="28"/>
              </w:rPr>
              <w:t xml:space="preserve"> </w:t>
            </w:r>
            <w:r w:rsidRPr="00606A77">
              <w:rPr>
                <w:sz w:val="28"/>
                <w:szCs w:val="28"/>
              </w:rPr>
              <w:t xml:space="preserve">pilnībā nosegtu iztrūkstošo </w:t>
            </w:r>
            <w:r>
              <w:rPr>
                <w:color w:val="000000"/>
                <w:sz w:val="28"/>
                <w:szCs w:val="28"/>
              </w:rPr>
              <w:t xml:space="preserve">3.1.3.3.1.apakšaktivitātes </w:t>
            </w:r>
            <w:r w:rsidRPr="00606A77">
              <w:rPr>
                <w:sz w:val="28"/>
                <w:szCs w:val="28"/>
              </w:rPr>
              <w:t>ERAF finansējumu</w:t>
            </w:r>
            <w:r>
              <w:rPr>
                <w:sz w:val="28"/>
                <w:szCs w:val="28"/>
              </w:rPr>
              <w:t xml:space="preserve">, </w:t>
            </w:r>
            <w:r w:rsidRPr="007B1358">
              <w:rPr>
                <w:sz w:val="28"/>
                <w:szCs w:val="28"/>
              </w:rPr>
              <w:t>tad IZM plāno 2011.gada rudenī virzī</w:t>
            </w:r>
            <w:r>
              <w:rPr>
                <w:sz w:val="28"/>
                <w:szCs w:val="28"/>
              </w:rPr>
              <w:t>t</w:t>
            </w:r>
            <w:r w:rsidRPr="007B1358">
              <w:rPr>
                <w:sz w:val="28"/>
                <w:szCs w:val="28"/>
              </w:rPr>
              <w:t xml:space="preserve"> grozījumus </w:t>
            </w:r>
            <w:r>
              <w:rPr>
                <w:sz w:val="28"/>
                <w:szCs w:val="28"/>
              </w:rPr>
              <w:t>3</w:t>
            </w:r>
            <w:r w:rsidRPr="007B1358">
              <w:rPr>
                <w:sz w:val="28"/>
                <w:szCs w:val="28"/>
              </w:rPr>
              <w:t>DPP, pārdalot 3.1.3.1.</w:t>
            </w:r>
            <w:r>
              <w:rPr>
                <w:sz w:val="28"/>
                <w:szCs w:val="28"/>
              </w:rPr>
              <w:t>aktivitātes</w:t>
            </w:r>
            <w:r w:rsidRPr="007B1358">
              <w:rPr>
                <w:sz w:val="28"/>
                <w:szCs w:val="28"/>
              </w:rPr>
              <w:t xml:space="preserve"> un 3.1.3.3.2.</w:t>
            </w:r>
            <w:r>
              <w:rPr>
                <w:sz w:val="28"/>
                <w:szCs w:val="28"/>
              </w:rPr>
              <w:t>apakš</w:t>
            </w:r>
            <w:r w:rsidRPr="007B1358">
              <w:rPr>
                <w:sz w:val="28"/>
                <w:szCs w:val="28"/>
              </w:rPr>
              <w:t>aktiv</w:t>
            </w:r>
            <w:r>
              <w:rPr>
                <w:sz w:val="28"/>
                <w:szCs w:val="28"/>
              </w:rPr>
              <w:t>itātes</w:t>
            </w:r>
            <w:r w:rsidRPr="007B1358">
              <w:rPr>
                <w:sz w:val="28"/>
                <w:szCs w:val="28"/>
              </w:rPr>
              <w:t xml:space="preserve"> atlikumu</w:t>
            </w:r>
            <w:r>
              <w:rPr>
                <w:sz w:val="28"/>
                <w:szCs w:val="28"/>
              </w:rPr>
              <w:t>s</w:t>
            </w:r>
            <w:r w:rsidRPr="007B1358">
              <w:rPr>
                <w:sz w:val="28"/>
                <w:szCs w:val="28"/>
              </w:rPr>
              <w:t xml:space="preserve"> trūkstošajā apmērā</w:t>
            </w:r>
            <w:r>
              <w:rPr>
                <w:sz w:val="28"/>
                <w:szCs w:val="28"/>
              </w:rPr>
              <w:t xml:space="preserve"> uz </w:t>
            </w:r>
            <w:r>
              <w:rPr>
                <w:color w:val="000000"/>
                <w:sz w:val="28"/>
                <w:szCs w:val="28"/>
              </w:rPr>
              <w:t>3.1.3.3.1.apakšaktivitāti.</w:t>
            </w:r>
          </w:p>
          <w:p w:rsidR="00334CCF" w:rsidRPr="0098336A" w:rsidRDefault="007254E5" w:rsidP="0054735C">
            <w:pPr>
              <w:autoSpaceDE w:val="0"/>
              <w:autoSpaceDN w:val="0"/>
              <w:adjustRightInd w:val="0"/>
              <w:spacing w:after="120"/>
              <w:jc w:val="both"/>
              <w:rPr>
                <w:sz w:val="28"/>
                <w:szCs w:val="28"/>
              </w:rPr>
            </w:pPr>
            <w:r w:rsidRPr="007B1358">
              <w:rPr>
                <w:color w:val="000000"/>
                <w:sz w:val="28"/>
                <w:szCs w:val="28"/>
              </w:rPr>
              <w:t xml:space="preserve">Tāpēc IZM sagatavoja </w:t>
            </w:r>
            <w:r w:rsidRPr="007B1358">
              <w:rPr>
                <w:bCs/>
                <w:color w:val="000000"/>
                <w:sz w:val="28"/>
                <w:szCs w:val="28"/>
              </w:rPr>
              <w:t>Ministru kabineta sēdes protokollēmuma</w:t>
            </w:r>
            <w:r w:rsidRPr="008D218B">
              <w:rPr>
                <w:bCs/>
                <w:color w:val="000000"/>
                <w:sz w:val="28"/>
                <w:szCs w:val="28"/>
              </w:rPr>
              <w:t xml:space="preserve"> projektu </w:t>
            </w:r>
            <w:r w:rsidRPr="008D218B">
              <w:rPr>
                <w:sz w:val="28"/>
                <w:szCs w:val="28"/>
              </w:rPr>
              <w:t>„</w:t>
            </w:r>
            <w:r w:rsidR="009D4021" w:rsidRPr="009D4021">
              <w:rPr>
                <w:bCs/>
                <w:sz w:val="28"/>
                <w:szCs w:val="28"/>
              </w:rPr>
              <w:t>Par Ministru kabineta 2011. gada 15.marta sēdes protokollēmuma (prot. Nr.16 22.§) „Noteikumu projekts „Grozījumi Ministru kabineta 2008.gada 11.novembra noteikumos Nr.940 „Noteikumi par darbības programmas „Infrastruktūra un pakalpojumi” papildinājuma 3.1.3.3.1.apakšaktivitāti „Speciālās izglītības iestāžu infrastruktūras un aprīkojuma uzlabošana””” 2.punktā dotā uzdevuma izpildi</w:t>
            </w:r>
            <w:r w:rsidRPr="008D218B">
              <w:rPr>
                <w:sz w:val="28"/>
                <w:szCs w:val="28"/>
              </w:rPr>
              <w:t>”</w:t>
            </w:r>
            <w:r>
              <w:rPr>
                <w:sz w:val="28"/>
                <w:szCs w:val="28"/>
              </w:rPr>
              <w:t xml:space="preserve">, lūdzot pagarināt </w:t>
            </w:r>
            <w:r w:rsidRPr="005C5FD6">
              <w:rPr>
                <w:sz w:val="28"/>
                <w:szCs w:val="28"/>
              </w:rPr>
              <w:t>MK 2011.gada 15.marta protokolēmuma (prot.Nr.16) 22.§ 2.punkt</w:t>
            </w:r>
            <w:r>
              <w:rPr>
                <w:sz w:val="28"/>
                <w:szCs w:val="28"/>
              </w:rPr>
              <w:t>ā noteikto uzdevuma izpildes termiņu līdz 2011.gada 30.decembrim</w:t>
            </w:r>
            <w:r w:rsidR="007B1358">
              <w:rPr>
                <w:sz w:val="28"/>
                <w:szCs w:val="28"/>
              </w:rPr>
              <w:t>, ņemot vērā, ka visiem 3.1.3.3.1.apakšaktivitātes ietvaros noslēgtajiem projektiem</w:t>
            </w:r>
            <w:r w:rsidR="0054735C">
              <w:rPr>
                <w:sz w:val="28"/>
                <w:szCs w:val="28"/>
              </w:rPr>
              <w:t xml:space="preserve"> uz to brīdi jābūt pabeigtiem</w:t>
            </w:r>
            <w:r>
              <w:rPr>
                <w:sz w:val="28"/>
                <w:szCs w:val="28"/>
              </w:rPr>
              <w:t>.</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lastRenderedPageBreak/>
              <w:t>3.</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Saistītie politikas ietekmes novērtējumi un pētījumi</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0C4687" w:rsidRDefault="008D4A96" w:rsidP="000C4687">
            <w:pPr>
              <w:rPr>
                <w:sz w:val="28"/>
                <w:szCs w:val="28"/>
              </w:rPr>
            </w:pPr>
            <w:r>
              <w:rPr>
                <w:sz w:val="28"/>
                <w:szCs w:val="28"/>
              </w:rPr>
              <w:t>Projekts šo jomu neskar</w:t>
            </w:r>
            <w:r w:rsidR="008B4103">
              <w:rPr>
                <w:sz w:val="28"/>
                <w:szCs w:val="28"/>
              </w:rPr>
              <w:t>.</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4.</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Tiesiskā regulējuma mērķis un būtība</w:t>
            </w:r>
          </w:p>
        </w:tc>
        <w:tc>
          <w:tcPr>
            <w:tcW w:w="3939" w:type="pct"/>
            <w:tcBorders>
              <w:top w:val="outset" w:sz="6" w:space="0" w:color="000000"/>
              <w:left w:val="outset" w:sz="6" w:space="0" w:color="000000"/>
              <w:bottom w:val="outset" w:sz="6" w:space="0" w:color="000000"/>
              <w:right w:val="outset" w:sz="6" w:space="0" w:color="000000"/>
            </w:tcBorders>
            <w:hideMark/>
          </w:tcPr>
          <w:p w:rsidR="009F38BD" w:rsidRPr="0054735C" w:rsidRDefault="00C1073C" w:rsidP="00C1073C">
            <w:pPr>
              <w:ind w:right="-1"/>
              <w:jc w:val="both"/>
              <w:rPr>
                <w:bCs/>
                <w:sz w:val="28"/>
                <w:szCs w:val="28"/>
              </w:rPr>
            </w:pPr>
            <w:r w:rsidRPr="00C1073C">
              <w:rPr>
                <w:bCs/>
                <w:color w:val="000000"/>
                <w:sz w:val="28"/>
                <w:szCs w:val="28"/>
              </w:rPr>
              <w:t xml:space="preserve">Ministru kabineta sēdes protokollēmuma </w:t>
            </w:r>
            <w:r w:rsidRPr="00C1073C">
              <w:rPr>
                <w:sz w:val="28"/>
                <w:szCs w:val="28"/>
              </w:rPr>
              <w:t>„</w:t>
            </w:r>
            <w:r w:rsidRPr="00C1073C">
              <w:rPr>
                <w:bCs/>
                <w:sz w:val="28"/>
                <w:szCs w:val="28"/>
              </w:rPr>
              <w:t>Par Ministru kabineta 2011. gada 15.marta sēdes protokollēmuma (prot. Nr.16 22.§) „Noteikumu projekts „Grozījumi Ministru kabineta 2008.gada 11.novembra noteikumos Nr.940 „Noteikumi par darbības programmas „Infrastruktūra un pakalpojumi” papildinājuma 3.1.3.3.1.apakšaktivitāti „Speciālās izglītības iestāžu infrastruktūras un aprīkojuma uzlabošana””” 2.punktā dotā uzdevuma izpildi</w:t>
            </w:r>
            <w:r w:rsidRPr="00C1073C">
              <w:rPr>
                <w:sz w:val="28"/>
                <w:szCs w:val="28"/>
              </w:rPr>
              <w:t xml:space="preserve">” </w:t>
            </w:r>
            <w:r w:rsidR="0054735C" w:rsidRPr="0054735C">
              <w:rPr>
                <w:bCs/>
                <w:color w:val="000000"/>
                <w:sz w:val="28"/>
                <w:szCs w:val="28"/>
              </w:rPr>
              <w:t>projekt</w:t>
            </w:r>
            <w:r w:rsidR="0054735C">
              <w:rPr>
                <w:bCs/>
                <w:color w:val="000000"/>
                <w:sz w:val="28"/>
                <w:szCs w:val="28"/>
              </w:rPr>
              <w:t xml:space="preserve">s paredz </w:t>
            </w:r>
            <w:r w:rsidR="0054735C">
              <w:rPr>
                <w:sz w:val="28"/>
                <w:szCs w:val="28"/>
              </w:rPr>
              <w:t xml:space="preserve">pagarināt </w:t>
            </w:r>
            <w:r w:rsidR="0054735C" w:rsidRPr="005C5FD6">
              <w:rPr>
                <w:sz w:val="28"/>
                <w:szCs w:val="28"/>
              </w:rPr>
              <w:t>MK 2011.gada 15.marta protokolēmuma (prot.Nr.16) 22.§ 2.punkt</w:t>
            </w:r>
            <w:r w:rsidR="0054735C">
              <w:rPr>
                <w:sz w:val="28"/>
                <w:szCs w:val="28"/>
              </w:rPr>
              <w:t xml:space="preserve">ā noteikto </w:t>
            </w:r>
            <w:r w:rsidR="0054735C">
              <w:rPr>
                <w:sz w:val="28"/>
                <w:szCs w:val="28"/>
              </w:rPr>
              <w:lastRenderedPageBreak/>
              <w:t>uzdevuma izpildes termiņu līdz 2011.gada 30.decembrim.</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lastRenderedPageBreak/>
              <w:t>5.</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Projekta izstrādē iesaistītās institūcijas</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0C4687" w:rsidRDefault="004B488F" w:rsidP="000C4687">
            <w:pPr>
              <w:jc w:val="both"/>
              <w:rPr>
                <w:sz w:val="28"/>
                <w:szCs w:val="28"/>
              </w:rPr>
            </w:pPr>
            <w:r w:rsidRPr="000C4687">
              <w:rPr>
                <w:sz w:val="28"/>
                <w:szCs w:val="28"/>
              </w:rPr>
              <w:t>Valsts izglītības attīstības aģentūra</w:t>
            </w:r>
            <w:r w:rsidR="008B4103">
              <w:rPr>
                <w:sz w:val="28"/>
                <w:szCs w:val="28"/>
              </w:rPr>
              <w:t>.</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6.</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Iemesli, kādēļ netika nodrošināta sabiedrības līdzdalība</w:t>
            </w:r>
          </w:p>
        </w:tc>
        <w:tc>
          <w:tcPr>
            <w:tcW w:w="3939" w:type="pct"/>
            <w:tcBorders>
              <w:top w:val="outset" w:sz="6" w:space="0" w:color="000000"/>
              <w:left w:val="outset" w:sz="6" w:space="0" w:color="000000"/>
              <w:bottom w:val="outset" w:sz="6" w:space="0" w:color="000000"/>
              <w:right w:val="outset" w:sz="6" w:space="0" w:color="000000"/>
            </w:tcBorders>
            <w:hideMark/>
          </w:tcPr>
          <w:p w:rsidR="00772DAF" w:rsidRPr="005350B7" w:rsidRDefault="00772DAF" w:rsidP="004B380D">
            <w:pPr>
              <w:jc w:val="both"/>
              <w:rPr>
                <w:sz w:val="28"/>
                <w:szCs w:val="28"/>
              </w:rPr>
            </w:pPr>
            <w:r>
              <w:rPr>
                <w:bCs/>
                <w:color w:val="000000"/>
                <w:sz w:val="28"/>
                <w:szCs w:val="28"/>
              </w:rPr>
              <w:t>P</w:t>
            </w:r>
            <w:r w:rsidRPr="00C1073C">
              <w:rPr>
                <w:bCs/>
                <w:color w:val="000000"/>
                <w:sz w:val="28"/>
                <w:szCs w:val="28"/>
              </w:rPr>
              <w:t xml:space="preserve">rotokollēmuma </w:t>
            </w:r>
            <w:r w:rsidRPr="005350B7">
              <w:rPr>
                <w:sz w:val="28"/>
                <w:szCs w:val="28"/>
                <w:lang w:eastAsia="en-US"/>
              </w:rPr>
              <w:t xml:space="preserve">projekts sagatavots saskaņā ar </w:t>
            </w:r>
            <w:r w:rsidRPr="006725A6">
              <w:rPr>
                <w:bCs/>
                <w:sz w:val="28"/>
                <w:szCs w:val="28"/>
              </w:rPr>
              <w:t>Ministru kabineta 2011. gada 15.marta sēdes protokollēmuma (prot. Nr.16 22.§) „Noteikumu projekts „Grozījumi Ministru kabineta 2008.gada 11.novembra noteikumos Nr.940 „Noteikumi par darbības programmas „Infrastruktūra un pakalpojumi” papildinājuma 3.1.3.3.1.apakšaktivitāti „Speciālās izglītības iestāžu infrastruktūras un a</w:t>
            </w:r>
            <w:r>
              <w:rPr>
                <w:bCs/>
                <w:sz w:val="28"/>
                <w:szCs w:val="28"/>
              </w:rPr>
              <w:t>prīkojuma uzlabošana””” 2.punktu</w:t>
            </w:r>
            <w:r w:rsidRPr="005350B7">
              <w:rPr>
                <w:sz w:val="28"/>
                <w:szCs w:val="28"/>
              </w:rPr>
              <w:t xml:space="preserve">. </w:t>
            </w:r>
          </w:p>
          <w:p w:rsidR="007A6DB9" w:rsidRPr="000C4687" w:rsidRDefault="00772DAF" w:rsidP="00772DAF">
            <w:pPr>
              <w:jc w:val="both"/>
              <w:rPr>
                <w:sz w:val="28"/>
                <w:szCs w:val="28"/>
              </w:rPr>
            </w:pPr>
            <w:r>
              <w:rPr>
                <w:bCs/>
                <w:color w:val="000000"/>
                <w:sz w:val="28"/>
                <w:szCs w:val="28"/>
              </w:rPr>
              <w:t>P</w:t>
            </w:r>
            <w:r w:rsidRPr="00C1073C">
              <w:rPr>
                <w:bCs/>
                <w:color w:val="000000"/>
                <w:sz w:val="28"/>
                <w:szCs w:val="28"/>
              </w:rPr>
              <w:t xml:space="preserve">rotokollēmuma </w:t>
            </w:r>
            <w:r w:rsidRPr="005350B7">
              <w:rPr>
                <w:sz w:val="28"/>
                <w:szCs w:val="28"/>
              </w:rPr>
              <w:t>projekts neaizskar sabiedrības tiesības, tāpēc projekta izstrādes procesā nav nepieciešams iesaistīt sabiedrības pārstāvjus</w:t>
            </w:r>
            <w:r>
              <w:rPr>
                <w:sz w:val="28"/>
                <w:szCs w:val="28"/>
              </w:rPr>
              <w:t>.</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7.</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Cita informācija</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E97606" w:rsidRDefault="00772DAF" w:rsidP="00E97606">
            <w:pPr>
              <w:ind w:left="57" w:right="57"/>
              <w:jc w:val="both"/>
              <w:rPr>
                <w:sz w:val="28"/>
                <w:szCs w:val="28"/>
              </w:rPr>
            </w:pPr>
            <w:r>
              <w:rPr>
                <w:sz w:val="28"/>
                <w:szCs w:val="28"/>
              </w:rPr>
              <w:t>Nav</w:t>
            </w:r>
            <w:r w:rsidR="008B4103">
              <w:rPr>
                <w:sz w:val="28"/>
                <w:szCs w:val="28"/>
              </w:rPr>
              <w:t>.</w:t>
            </w:r>
          </w:p>
        </w:tc>
      </w:tr>
    </w:tbl>
    <w:p w:rsidR="00567484" w:rsidRDefault="007A6DB9" w:rsidP="00CB7148">
      <w:pPr>
        <w:rPr>
          <w:sz w:val="28"/>
          <w:szCs w:val="28"/>
        </w:rPr>
      </w:pPr>
      <w:r w:rsidRPr="0076112F">
        <w:rPr>
          <w:sz w:val="27"/>
          <w:szCs w:val="27"/>
        </w:rPr>
        <w:t> </w:t>
      </w:r>
    </w:p>
    <w:p w:rsidR="00885F63" w:rsidRDefault="009569F9" w:rsidP="00582792">
      <w:pPr>
        <w:jc w:val="both"/>
        <w:rPr>
          <w:sz w:val="28"/>
          <w:szCs w:val="28"/>
        </w:rPr>
      </w:pPr>
      <w:r w:rsidRPr="009569F9">
        <w:rPr>
          <w:sz w:val="28"/>
          <w:szCs w:val="28"/>
        </w:rPr>
        <w:t xml:space="preserve">Anotācijas </w:t>
      </w:r>
      <w:r w:rsidR="00CB7148">
        <w:rPr>
          <w:sz w:val="28"/>
          <w:szCs w:val="28"/>
        </w:rPr>
        <w:t xml:space="preserve">II, III, </w:t>
      </w:r>
      <w:r w:rsidRPr="009569F9">
        <w:rPr>
          <w:sz w:val="28"/>
          <w:szCs w:val="28"/>
        </w:rPr>
        <w:t>IV, V un VI sadaļa</w:t>
      </w:r>
      <w:r w:rsidR="008B4103">
        <w:rPr>
          <w:sz w:val="28"/>
          <w:szCs w:val="28"/>
        </w:rPr>
        <w:t xml:space="preserve"> – </w:t>
      </w:r>
      <w:r w:rsidR="008E4346">
        <w:rPr>
          <w:sz w:val="28"/>
          <w:szCs w:val="28"/>
        </w:rPr>
        <w:t>Projekts šīs</w:t>
      </w:r>
      <w:r w:rsidR="008D4A96">
        <w:rPr>
          <w:sz w:val="28"/>
          <w:szCs w:val="28"/>
        </w:rPr>
        <w:t xml:space="preserve"> jom</w:t>
      </w:r>
      <w:r w:rsidR="008E4346">
        <w:rPr>
          <w:sz w:val="28"/>
          <w:szCs w:val="28"/>
        </w:rPr>
        <w:t>as</w:t>
      </w:r>
      <w:r w:rsidR="008D4A96">
        <w:rPr>
          <w:sz w:val="28"/>
          <w:szCs w:val="28"/>
        </w:rPr>
        <w:t xml:space="preserve"> neskar</w:t>
      </w:r>
      <w:r w:rsidR="008B4103">
        <w:rPr>
          <w:sz w:val="28"/>
          <w:szCs w:val="28"/>
        </w:rPr>
        <w:t>.</w:t>
      </w:r>
    </w:p>
    <w:p w:rsidR="00751978" w:rsidRPr="006941D9" w:rsidRDefault="00751978" w:rsidP="00582792">
      <w:pPr>
        <w:jc w:val="both"/>
        <w:rPr>
          <w:sz w:val="28"/>
          <w:szCs w:val="28"/>
        </w:rPr>
      </w:pPr>
    </w:p>
    <w:tbl>
      <w:tblPr>
        <w:tblW w:w="512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
        <w:gridCol w:w="3260"/>
        <w:gridCol w:w="5670"/>
      </w:tblGrid>
      <w:tr w:rsidR="00100200" w:rsidRPr="006941D9" w:rsidTr="006941D9">
        <w:tc>
          <w:tcPr>
            <w:tcW w:w="5000" w:type="pct"/>
            <w:gridSpan w:val="3"/>
            <w:tcBorders>
              <w:top w:val="outset" w:sz="6" w:space="0" w:color="000000"/>
              <w:left w:val="outset" w:sz="6" w:space="0" w:color="000000"/>
              <w:bottom w:val="outset" w:sz="6" w:space="0" w:color="000000"/>
              <w:right w:val="outset" w:sz="6" w:space="0" w:color="000000"/>
            </w:tcBorders>
            <w:hideMark/>
          </w:tcPr>
          <w:p w:rsidR="00100200" w:rsidRPr="006941D9" w:rsidRDefault="00100200" w:rsidP="000E6C5D">
            <w:pPr>
              <w:ind w:left="-113" w:right="-113"/>
              <w:jc w:val="center"/>
              <w:rPr>
                <w:b/>
                <w:bCs/>
                <w:sz w:val="27"/>
                <w:szCs w:val="27"/>
              </w:rPr>
            </w:pPr>
            <w:r w:rsidRPr="006941D9">
              <w:rPr>
                <w:b/>
                <w:bCs/>
                <w:sz w:val="27"/>
                <w:szCs w:val="27"/>
              </w:rPr>
              <w:t>VII. Tiesību akta projekta izpildes nodrošināšana un tās ietekme uz institūcijām</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1.</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izpildē iesaistītās institūcijas</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F4546D" w:rsidP="004B488F">
            <w:pPr>
              <w:jc w:val="both"/>
              <w:rPr>
                <w:sz w:val="28"/>
                <w:szCs w:val="28"/>
              </w:rPr>
            </w:pPr>
            <w:r w:rsidRPr="004F5A16">
              <w:rPr>
                <w:sz w:val="28"/>
                <w:szCs w:val="28"/>
              </w:rPr>
              <w:t>Izglītības un zinātnes ministrija</w:t>
            </w:r>
            <w:r w:rsidR="004B488F" w:rsidRPr="004F5A16">
              <w:rPr>
                <w:sz w:val="28"/>
                <w:szCs w:val="28"/>
              </w:rPr>
              <w:t xml:space="preserve"> un</w:t>
            </w:r>
            <w:r w:rsidR="00FB1DBA" w:rsidRPr="004F5A16">
              <w:rPr>
                <w:sz w:val="28"/>
                <w:szCs w:val="28"/>
              </w:rPr>
              <w:t xml:space="preserve"> </w:t>
            </w:r>
            <w:r w:rsidRPr="004F5A16">
              <w:rPr>
                <w:sz w:val="28"/>
                <w:szCs w:val="28"/>
              </w:rPr>
              <w:t xml:space="preserve"> Valsts i</w:t>
            </w:r>
            <w:r w:rsidR="00C34957" w:rsidRPr="004F5A16">
              <w:rPr>
                <w:sz w:val="28"/>
                <w:szCs w:val="28"/>
              </w:rPr>
              <w:t>zglītības attīstības aģentūra</w:t>
            </w:r>
            <w:r w:rsidR="007C0014" w:rsidRPr="004F5A16">
              <w:rPr>
                <w:sz w:val="28"/>
                <w:szCs w:val="28"/>
              </w:rPr>
              <w:t>.</w:t>
            </w:r>
            <w:r w:rsidR="00C34957" w:rsidRPr="004F5A16">
              <w:rPr>
                <w:sz w:val="28"/>
                <w:szCs w:val="28"/>
              </w:rPr>
              <w:t xml:space="preserve"> </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2.</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funkcijām</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4B488F" w:rsidP="00C01E21">
            <w:pPr>
              <w:jc w:val="both"/>
              <w:rPr>
                <w:sz w:val="28"/>
                <w:szCs w:val="28"/>
              </w:rPr>
            </w:pPr>
            <w:r w:rsidRPr="004F5A16">
              <w:rPr>
                <w:sz w:val="28"/>
                <w:szCs w:val="28"/>
              </w:rPr>
              <w:t>Projekta izpildē iesaistītās institūcijas projekta izpildi nodrošina to esošo funkciju un uzdevumu ietvaros.</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3.</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institucionālo struktūru.</w:t>
            </w:r>
          </w:p>
          <w:p w:rsidR="00100200" w:rsidRPr="004F5A16" w:rsidRDefault="00100200" w:rsidP="00100200">
            <w:pPr>
              <w:rPr>
                <w:sz w:val="28"/>
                <w:szCs w:val="28"/>
              </w:rPr>
            </w:pPr>
            <w:r w:rsidRPr="004F5A16">
              <w:rPr>
                <w:sz w:val="28"/>
                <w:szCs w:val="28"/>
              </w:rPr>
              <w:t>Jaunu institūciju izveide</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r>
              <w:rPr>
                <w:sz w:val="28"/>
                <w:szCs w:val="28"/>
              </w:rPr>
              <w:t>Projekts šo jomu neskar</w:t>
            </w:r>
            <w:r w:rsidR="008B4103">
              <w:rPr>
                <w:sz w:val="28"/>
                <w:szCs w:val="28"/>
              </w:rPr>
              <w:t>.</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4.</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institucionālo struktūru.</w:t>
            </w:r>
          </w:p>
          <w:p w:rsidR="00100200" w:rsidRPr="004F5A16" w:rsidRDefault="00100200" w:rsidP="00100200">
            <w:pPr>
              <w:rPr>
                <w:sz w:val="28"/>
                <w:szCs w:val="28"/>
              </w:rPr>
            </w:pPr>
            <w:r w:rsidRPr="004F5A16">
              <w:rPr>
                <w:sz w:val="28"/>
                <w:szCs w:val="28"/>
              </w:rPr>
              <w:t>Esošu institūciju likvidācija</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r>
              <w:rPr>
                <w:sz w:val="28"/>
                <w:szCs w:val="28"/>
              </w:rPr>
              <w:t>Projekts šo jomu neskar</w:t>
            </w:r>
            <w:r w:rsidR="008B4103">
              <w:rPr>
                <w:sz w:val="28"/>
                <w:szCs w:val="28"/>
              </w:rPr>
              <w:t>.</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5.</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institucionālo struktūru.</w:t>
            </w:r>
          </w:p>
          <w:p w:rsidR="00100200" w:rsidRPr="004F5A16" w:rsidRDefault="00100200" w:rsidP="00100200">
            <w:pPr>
              <w:rPr>
                <w:sz w:val="28"/>
                <w:szCs w:val="28"/>
              </w:rPr>
            </w:pPr>
            <w:r w:rsidRPr="004F5A16">
              <w:rPr>
                <w:sz w:val="28"/>
                <w:szCs w:val="28"/>
              </w:rPr>
              <w:t>Esošu institūciju reorganizācija</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bookmarkStart w:id="5" w:name="OLE_LINK5"/>
            <w:bookmarkStart w:id="6" w:name="OLE_LINK6"/>
            <w:r>
              <w:rPr>
                <w:sz w:val="28"/>
                <w:szCs w:val="28"/>
              </w:rPr>
              <w:t>Projekts šo jomu neskar</w:t>
            </w:r>
            <w:r w:rsidR="008B4103">
              <w:rPr>
                <w:sz w:val="28"/>
                <w:szCs w:val="28"/>
              </w:rPr>
              <w:t>.</w:t>
            </w:r>
            <w:bookmarkEnd w:id="5"/>
            <w:bookmarkEnd w:id="6"/>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lastRenderedPageBreak/>
              <w:t>6.</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Cita informācija</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r>
              <w:rPr>
                <w:sz w:val="28"/>
                <w:szCs w:val="28"/>
              </w:rPr>
              <w:t>Nav</w:t>
            </w:r>
            <w:r w:rsidR="007D18C5">
              <w:rPr>
                <w:sz w:val="28"/>
                <w:szCs w:val="28"/>
              </w:rPr>
              <w:t>.</w:t>
            </w:r>
          </w:p>
        </w:tc>
      </w:tr>
    </w:tbl>
    <w:p w:rsidR="008B4103" w:rsidRDefault="008B4103" w:rsidP="002E208C">
      <w:pPr>
        <w:jc w:val="both"/>
        <w:rPr>
          <w:sz w:val="28"/>
          <w:szCs w:val="28"/>
        </w:rPr>
      </w:pPr>
    </w:p>
    <w:p w:rsidR="008B4103" w:rsidRPr="004F5A16" w:rsidRDefault="008B4103" w:rsidP="002E208C">
      <w:pPr>
        <w:jc w:val="both"/>
        <w:rPr>
          <w:sz w:val="28"/>
          <w:szCs w:val="28"/>
        </w:rPr>
      </w:pPr>
    </w:p>
    <w:p w:rsidR="004B488F" w:rsidRPr="004F5A16" w:rsidRDefault="00C013BB" w:rsidP="004F5A16">
      <w:pPr>
        <w:pStyle w:val="naisf"/>
        <w:spacing w:before="0" w:after="0"/>
        <w:ind w:firstLine="720"/>
        <w:rPr>
          <w:sz w:val="28"/>
          <w:szCs w:val="28"/>
        </w:rPr>
      </w:pPr>
      <w:r>
        <w:rPr>
          <w:sz w:val="28"/>
          <w:szCs w:val="28"/>
        </w:rPr>
        <w:t>Izglītības un zinātnes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R.Broks</w:t>
      </w:r>
      <w:r w:rsidR="004B488F" w:rsidRPr="004F5A16">
        <w:rPr>
          <w:sz w:val="28"/>
          <w:szCs w:val="28"/>
        </w:rPr>
        <w:tab/>
      </w:r>
    </w:p>
    <w:p w:rsidR="004B488F" w:rsidRPr="004F5A16" w:rsidRDefault="004B488F" w:rsidP="004B488F">
      <w:pPr>
        <w:rPr>
          <w:sz w:val="28"/>
          <w:szCs w:val="28"/>
          <w:lang w:eastAsia="en-US"/>
        </w:rPr>
      </w:pPr>
    </w:p>
    <w:p w:rsidR="007C16FC" w:rsidRPr="0076504E" w:rsidRDefault="007C16FC" w:rsidP="007C16FC">
      <w:pPr>
        <w:autoSpaceDE w:val="0"/>
        <w:autoSpaceDN w:val="0"/>
        <w:adjustRightInd w:val="0"/>
        <w:ind w:firstLine="709"/>
        <w:rPr>
          <w:bCs/>
          <w:color w:val="000000"/>
          <w:sz w:val="26"/>
          <w:szCs w:val="26"/>
        </w:rPr>
      </w:pPr>
      <w:r>
        <w:rPr>
          <w:sz w:val="28"/>
          <w:szCs w:val="28"/>
          <w:lang w:eastAsia="en-US"/>
        </w:rPr>
        <w:t>Vīza:  v</w:t>
      </w:r>
      <w:r w:rsidRPr="0076504E">
        <w:rPr>
          <w:bCs/>
          <w:color w:val="000000"/>
          <w:sz w:val="26"/>
          <w:szCs w:val="26"/>
        </w:rPr>
        <w:t>alsts sekretāra vietniece,</w:t>
      </w:r>
    </w:p>
    <w:p w:rsidR="007C16FC" w:rsidRPr="0076504E" w:rsidRDefault="007C16FC" w:rsidP="007C16FC">
      <w:pPr>
        <w:autoSpaceDE w:val="0"/>
        <w:autoSpaceDN w:val="0"/>
        <w:adjustRightInd w:val="0"/>
        <w:ind w:firstLine="709"/>
        <w:rPr>
          <w:bCs/>
          <w:color w:val="000000"/>
          <w:sz w:val="26"/>
          <w:szCs w:val="26"/>
        </w:rPr>
      </w:pPr>
      <w:r w:rsidRPr="0076504E">
        <w:rPr>
          <w:bCs/>
          <w:color w:val="000000"/>
          <w:sz w:val="26"/>
          <w:szCs w:val="26"/>
        </w:rPr>
        <w:t>valsts sekretāra pienākumu izpildītāja</w:t>
      </w:r>
      <w:r w:rsidRPr="0076504E">
        <w:rPr>
          <w:bCs/>
          <w:color w:val="000000"/>
          <w:sz w:val="26"/>
          <w:szCs w:val="26"/>
        </w:rPr>
        <w:tab/>
      </w:r>
      <w:r w:rsidRPr="0076504E">
        <w:rPr>
          <w:bCs/>
          <w:color w:val="000000"/>
          <w:sz w:val="26"/>
          <w:szCs w:val="26"/>
        </w:rPr>
        <w:tab/>
      </w:r>
      <w:r w:rsidRPr="0076504E">
        <w:rPr>
          <w:bCs/>
          <w:color w:val="000000"/>
          <w:sz w:val="26"/>
          <w:szCs w:val="26"/>
        </w:rPr>
        <w:tab/>
      </w:r>
      <w:r w:rsidRPr="0076504E">
        <w:rPr>
          <w:bCs/>
          <w:color w:val="000000"/>
          <w:sz w:val="26"/>
          <w:szCs w:val="26"/>
        </w:rPr>
        <w:tab/>
      </w:r>
      <w:r w:rsidRPr="0076504E">
        <w:rPr>
          <w:bCs/>
          <w:color w:val="000000"/>
          <w:sz w:val="26"/>
          <w:szCs w:val="26"/>
        </w:rPr>
        <w:tab/>
        <w:t>I.Štāle</w:t>
      </w:r>
    </w:p>
    <w:p w:rsidR="004F5A16" w:rsidRDefault="004F5A16" w:rsidP="00886487">
      <w:pPr>
        <w:rPr>
          <w:sz w:val="28"/>
          <w:szCs w:val="28"/>
        </w:rPr>
      </w:pPr>
    </w:p>
    <w:p w:rsidR="00751978" w:rsidRDefault="00751978" w:rsidP="00886487">
      <w:pPr>
        <w:rPr>
          <w:sz w:val="28"/>
          <w:szCs w:val="28"/>
        </w:rPr>
      </w:pPr>
    </w:p>
    <w:p w:rsidR="00D448DA" w:rsidRDefault="00D448DA" w:rsidP="00886487">
      <w:pPr>
        <w:rPr>
          <w:sz w:val="28"/>
          <w:szCs w:val="28"/>
          <w:lang w:eastAsia="en-US"/>
        </w:rPr>
      </w:pPr>
    </w:p>
    <w:p w:rsidR="00D448DA" w:rsidRDefault="00D448DA" w:rsidP="00886487">
      <w:pPr>
        <w:rPr>
          <w:sz w:val="28"/>
          <w:szCs w:val="28"/>
          <w:lang w:eastAsia="en-US"/>
        </w:rPr>
      </w:pPr>
    </w:p>
    <w:p w:rsidR="00D448DA" w:rsidRPr="00751978" w:rsidRDefault="00D448DA" w:rsidP="00886487">
      <w:pPr>
        <w:rPr>
          <w:sz w:val="28"/>
          <w:szCs w:val="28"/>
          <w:lang w:eastAsia="en-US"/>
        </w:rPr>
      </w:pPr>
    </w:p>
    <w:p w:rsidR="001D7D7C" w:rsidRDefault="004B380D" w:rsidP="00C34957">
      <w:pPr>
        <w:jc w:val="both"/>
        <w:rPr>
          <w:sz w:val="20"/>
          <w:szCs w:val="20"/>
        </w:rPr>
      </w:pPr>
      <w:r>
        <w:rPr>
          <w:sz w:val="20"/>
          <w:szCs w:val="20"/>
        </w:rPr>
        <w:t>30.06.2011 12</w:t>
      </w:r>
      <w:r w:rsidR="00C51136">
        <w:rPr>
          <w:sz w:val="20"/>
          <w:szCs w:val="20"/>
        </w:rPr>
        <w:t>:</w:t>
      </w:r>
      <w:r>
        <w:rPr>
          <w:sz w:val="20"/>
          <w:szCs w:val="20"/>
        </w:rPr>
        <w:t>2</w:t>
      </w:r>
      <w:r w:rsidR="005641DC">
        <w:rPr>
          <w:sz w:val="20"/>
          <w:szCs w:val="20"/>
        </w:rPr>
        <w:t>1</w:t>
      </w:r>
    </w:p>
    <w:p w:rsidR="008B0572" w:rsidRPr="0076112F" w:rsidRDefault="00384DB6" w:rsidP="00C34957">
      <w:pPr>
        <w:jc w:val="both"/>
        <w:rPr>
          <w:sz w:val="20"/>
          <w:szCs w:val="20"/>
        </w:rPr>
      </w:pPr>
      <w:r>
        <w:rPr>
          <w:sz w:val="20"/>
          <w:szCs w:val="20"/>
        </w:rPr>
        <w:t>1</w:t>
      </w:r>
      <w:r w:rsidR="004B380D">
        <w:rPr>
          <w:sz w:val="20"/>
          <w:szCs w:val="20"/>
        </w:rPr>
        <w:t>200</w:t>
      </w:r>
    </w:p>
    <w:p w:rsidR="008B0572" w:rsidRPr="0076112F" w:rsidRDefault="00CC324F" w:rsidP="00C34957">
      <w:pPr>
        <w:jc w:val="both"/>
        <w:rPr>
          <w:sz w:val="20"/>
          <w:szCs w:val="20"/>
        </w:rPr>
      </w:pPr>
      <w:r>
        <w:rPr>
          <w:sz w:val="20"/>
          <w:szCs w:val="20"/>
        </w:rPr>
        <w:t>J.Sviridenkova</w:t>
      </w:r>
    </w:p>
    <w:p w:rsidR="008B0572" w:rsidRPr="0076112F" w:rsidRDefault="00C013BB" w:rsidP="00C34957">
      <w:pPr>
        <w:jc w:val="both"/>
        <w:rPr>
          <w:sz w:val="20"/>
          <w:szCs w:val="20"/>
        </w:rPr>
      </w:pPr>
      <w:r>
        <w:rPr>
          <w:sz w:val="20"/>
          <w:szCs w:val="20"/>
        </w:rPr>
        <w:t>67047</w:t>
      </w:r>
      <w:r w:rsidR="00CC324F">
        <w:rPr>
          <w:sz w:val="20"/>
          <w:szCs w:val="20"/>
        </w:rPr>
        <w:t>774</w:t>
      </w:r>
    </w:p>
    <w:p w:rsidR="008B0572" w:rsidRPr="0076112F" w:rsidRDefault="00CC324F" w:rsidP="00C34957">
      <w:pPr>
        <w:jc w:val="both"/>
        <w:rPr>
          <w:sz w:val="20"/>
          <w:szCs w:val="20"/>
        </w:rPr>
      </w:pPr>
      <w:r>
        <w:rPr>
          <w:sz w:val="20"/>
          <w:szCs w:val="20"/>
        </w:rPr>
        <w:t>jevgenija.sviridenkova</w:t>
      </w:r>
      <w:r w:rsidR="008B0572" w:rsidRPr="0076112F">
        <w:rPr>
          <w:sz w:val="20"/>
          <w:szCs w:val="20"/>
        </w:rPr>
        <w:t>@izm.gov.lv</w:t>
      </w:r>
    </w:p>
    <w:sectPr w:rsidR="008B0572" w:rsidRPr="0076112F" w:rsidSect="00885F63">
      <w:headerReference w:type="default" r:id="rId8"/>
      <w:footerReference w:type="default" r:id="rId9"/>
      <w:footerReference w:type="first" r:id="rId10"/>
      <w:pgSz w:w="11906" w:h="16838"/>
      <w:pgMar w:top="1418" w:right="1134"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32" w:rsidRDefault="003F1A32">
      <w:r>
        <w:separator/>
      </w:r>
    </w:p>
  </w:endnote>
  <w:endnote w:type="continuationSeparator" w:id="0">
    <w:p w:rsidR="003F1A32" w:rsidRDefault="003F1A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32" w:rsidRPr="00CB7148" w:rsidRDefault="003F1A32" w:rsidP="00CB7148">
    <w:pPr>
      <w:jc w:val="both"/>
      <w:rPr>
        <w:szCs w:val="20"/>
      </w:rPr>
    </w:pPr>
    <w:r w:rsidRPr="00EB6654">
      <w:rPr>
        <w:sz w:val="20"/>
        <w:szCs w:val="20"/>
      </w:rPr>
      <w:t>IZMAnot_</w:t>
    </w:r>
    <w:r w:rsidR="00C51136">
      <w:rPr>
        <w:sz w:val="20"/>
        <w:szCs w:val="20"/>
      </w:rPr>
      <w:t>30</w:t>
    </w:r>
    <w:r>
      <w:rPr>
        <w:sz w:val="20"/>
        <w:szCs w:val="20"/>
      </w:rPr>
      <w:t>0611_31331</w:t>
    </w:r>
    <w:r w:rsidRPr="00EB6654">
      <w:rPr>
        <w:sz w:val="20"/>
        <w:szCs w:val="20"/>
      </w:rPr>
      <w:t xml:space="preserve">; </w:t>
    </w:r>
    <w:bookmarkStart w:id="7" w:name="OLE_LINK1"/>
    <w:bookmarkStart w:id="8" w:name="OLE_LINK2"/>
    <w:bookmarkStart w:id="9" w:name="_Hlk295727348"/>
    <w:r w:rsidRPr="00C1073C">
      <w:rPr>
        <w:bCs/>
        <w:color w:val="000000"/>
        <w:sz w:val="20"/>
        <w:szCs w:val="20"/>
      </w:rPr>
      <w:t xml:space="preserve">Ministru kabineta sēdes protokollēmuma </w:t>
    </w:r>
    <w:r w:rsidRPr="00C1073C">
      <w:rPr>
        <w:sz w:val="20"/>
        <w:szCs w:val="20"/>
      </w:rPr>
      <w:t>„</w:t>
    </w:r>
    <w:r w:rsidRPr="00C1073C">
      <w:rPr>
        <w:bCs/>
        <w:sz w:val="20"/>
        <w:szCs w:val="20"/>
      </w:rPr>
      <w:t>Par Ministru kabineta 2011. gada 15.marta sēdes protokollēmuma (prot. Nr.16 22.§) „Noteikumu projekts „Grozījumi Ministru kabineta 2008.gada 11.novembra noteikumos Nr.940 „Noteikumi par darbības programmas „Infrastruktūra un pakalpojumi” papildinājuma 3.1.3.3.1.apakšaktivitāti „Speciālās izglītības iestāžu infrastruktūras un aprīkojuma uzlabošana””” 2.punktā dotā uzdevuma izpildi</w:t>
    </w:r>
    <w:r w:rsidRPr="00C1073C">
      <w:rPr>
        <w:sz w:val="20"/>
        <w:szCs w:val="20"/>
      </w:rPr>
      <w:t xml:space="preserve">” </w:t>
    </w:r>
    <w:r w:rsidRPr="00C1073C">
      <w:rPr>
        <w:bCs/>
        <w:color w:val="000000"/>
        <w:sz w:val="20"/>
        <w:szCs w:val="20"/>
      </w:rPr>
      <w:t>projekta</w:t>
    </w:r>
    <w:r w:rsidRPr="00CB7148">
      <w:rPr>
        <w:bCs/>
        <w:color w:val="000000"/>
        <w:sz w:val="20"/>
        <w:szCs w:val="20"/>
      </w:rPr>
      <w:t xml:space="preserve"> anotācija</w:t>
    </w:r>
    <w:bookmarkEnd w:id="7"/>
    <w:bookmarkEnd w:id="8"/>
    <w:bookmarkEnd w:id="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32" w:rsidRPr="00C1073C" w:rsidRDefault="003F1A32" w:rsidP="00C1073C">
    <w:pPr>
      <w:jc w:val="both"/>
      <w:rPr>
        <w:szCs w:val="20"/>
      </w:rPr>
    </w:pPr>
    <w:r w:rsidRPr="00EB6654">
      <w:rPr>
        <w:sz w:val="20"/>
        <w:szCs w:val="20"/>
      </w:rPr>
      <w:t>IZMAnot_</w:t>
    </w:r>
    <w:r w:rsidR="00C51136">
      <w:rPr>
        <w:sz w:val="20"/>
        <w:szCs w:val="20"/>
      </w:rPr>
      <w:t>30</w:t>
    </w:r>
    <w:r>
      <w:rPr>
        <w:sz w:val="20"/>
        <w:szCs w:val="20"/>
      </w:rPr>
      <w:t>0611_31331</w:t>
    </w:r>
    <w:r w:rsidRPr="00EB6654">
      <w:rPr>
        <w:sz w:val="20"/>
        <w:szCs w:val="20"/>
      </w:rPr>
      <w:t xml:space="preserve">; </w:t>
    </w:r>
    <w:r w:rsidRPr="00C1073C">
      <w:rPr>
        <w:bCs/>
        <w:color w:val="000000"/>
        <w:sz w:val="20"/>
        <w:szCs w:val="20"/>
      </w:rPr>
      <w:t xml:space="preserve">Ministru kabineta sēdes protokollēmuma </w:t>
    </w:r>
    <w:r w:rsidRPr="00C1073C">
      <w:rPr>
        <w:sz w:val="20"/>
        <w:szCs w:val="20"/>
      </w:rPr>
      <w:t>„</w:t>
    </w:r>
    <w:r w:rsidRPr="00C1073C">
      <w:rPr>
        <w:bCs/>
        <w:sz w:val="20"/>
        <w:szCs w:val="20"/>
      </w:rPr>
      <w:t>Par Ministru kabineta 2011. gada 15.marta sēdes protokollēmuma (prot. Nr.16 22.§) „Noteikumu projekts „Grozījumi Ministru kabineta 2008.gada 11.novembra noteikumos Nr.940 „Noteikumi par darbības programmas „Infrastruktūra un pakalpojumi” papildinājuma 3.1.3.3.1.apakšaktivitāti „Speciālās izglītības iestāžu infrastruktūras un aprīkojuma uzlabošana””” 2.punktā dotā uzdevuma izpildi</w:t>
    </w:r>
    <w:r w:rsidRPr="00C1073C">
      <w:rPr>
        <w:sz w:val="20"/>
        <w:szCs w:val="20"/>
      </w:rPr>
      <w:t xml:space="preserve">” </w:t>
    </w:r>
    <w:r w:rsidRPr="00C1073C">
      <w:rPr>
        <w:bCs/>
        <w:color w:val="000000"/>
        <w:sz w:val="20"/>
        <w:szCs w:val="20"/>
      </w:rPr>
      <w:t>projekta</w:t>
    </w:r>
    <w:r w:rsidRPr="00CB7148">
      <w:rPr>
        <w:bCs/>
        <w:color w:val="000000"/>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32" w:rsidRDefault="003F1A32">
      <w:r>
        <w:separator/>
      </w:r>
    </w:p>
  </w:footnote>
  <w:footnote w:type="continuationSeparator" w:id="0">
    <w:p w:rsidR="003F1A32" w:rsidRDefault="003F1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32" w:rsidRDefault="00623AD5">
    <w:pPr>
      <w:pStyle w:val="Header"/>
      <w:jc w:val="center"/>
    </w:pPr>
    <w:fldSimple w:instr=" PAGE   \* MERGEFORMAT ">
      <w:r w:rsidR="005641DC">
        <w:rPr>
          <w:noProof/>
        </w:rPr>
        <w:t>6</w:t>
      </w:r>
    </w:fldSimple>
  </w:p>
  <w:p w:rsidR="003F1A32" w:rsidRDefault="003F1A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F0638A"/>
    <w:lvl w:ilvl="0">
      <w:numFmt w:val="bullet"/>
      <w:lvlText w:val="*"/>
      <w:lvlJc w:val="left"/>
    </w:lvl>
  </w:abstractNum>
  <w:abstractNum w:abstractNumId="1">
    <w:nsid w:val="0FD636D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22C64AC"/>
    <w:multiLevelType w:val="hybridMultilevel"/>
    <w:tmpl w:val="AB94E1C6"/>
    <w:lvl w:ilvl="0" w:tplc="04260001">
      <w:start w:val="1"/>
      <w:numFmt w:val="bullet"/>
      <w:lvlText w:val=""/>
      <w:lvlJc w:val="left"/>
      <w:pPr>
        <w:ind w:left="791" w:hanging="360"/>
      </w:pPr>
      <w:rPr>
        <w:rFonts w:ascii="Symbol" w:hAnsi="Symbol" w:hint="default"/>
      </w:rPr>
    </w:lvl>
    <w:lvl w:ilvl="1" w:tplc="04260003" w:tentative="1">
      <w:start w:val="1"/>
      <w:numFmt w:val="bullet"/>
      <w:lvlText w:val="o"/>
      <w:lvlJc w:val="left"/>
      <w:pPr>
        <w:ind w:left="1511" w:hanging="360"/>
      </w:pPr>
      <w:rPr>
        <w:rFonts w:ascii="Courier New" w:hAnsi="Courier New" w:cs="Courier New" w:hint="default"/>
      </w:rPr>
    </w:lvl>
    <w:lvl w:ilvl="2" w:tplc="04260005" w:tentative="1">
      <w:start w:val="1"/>
      <w:numFmt w:val="bullet"/>
      <w:lvlText w:val=""/>
      <w:lvlJc w:val="left"/>
      <w:pPr>
        <w:ind w:left="2231" w:hanging="360"/>
      </w:pPr>
      <w:rPr>
        <w:rFonts w:ascii="Wingdings" w:hAnsi="Wingdings" w:hint="default"/>
      </w:rPr>
    </w:lvl>
    <w:lvl w:ilvl="3" w:tplc="04260001" w:tentative="1">
      <w:start w:val="1"/>
      <w:numFmt w:val="bullet"/>
      <w:lvlText w:val=""/>
      <w:lvlJc w:val="left"/>
      <w:pPr>
        <w:ind w:left="2951" w:hanging="360"/>
      </w:pPr>
      <w:rPr>
        <w:rFonts w:ascii="Symbol" w:hAnsi="Symbol" w:hint="default"/>
      </w:rPr>
    </w:lvl>
    <w:lvl w:ilvl="4" w:tplc="04260003" w:tentative="1">
      <w:start w:val="1"/>
      <w:numFmt w:val="bullet"/>
      <w:lvlText w:val="o"/>
      <w:lvlJc w:val="left"/>
      <w:pPr>
        <w:ind w:left="3671" w:hanging="360"/>
      </w:pPr>
      <w:rPr>
        <w:rFonts w:ascii="Courier New" w:hAnsi="Courier New" w:cs="Courier New" w:hint="default"/>
      </w:rPr>
    </w:lvl>
    <w:lvl w:ilvl="5" w:tplc="04260005" w:tentative="1">
      <w:start w:val="1"/>
      <w:numFmt w:val="bullet"/>
      <w:lvlText w:val=""/>
      <w:lvlJc w:val="left"/>
      <w:pPr>
        <w:ind w:left="4391" w:hanging="360"/>
      </w:pPr>
      <w:rPr>
        <w:rFonts w:ascii="Wingdings" w:hAnsi="Wingdings" w:hint="default"/>
      </w:rPr>
    </w:lvl>
    <w:lvl w:ilvl="6" w:tplc="04260001" w:tentative="1">
      <w:start w:val="1"/>
      <w:numFmt w:val="bullet"/>
      <w:lvlText w:val=""/>
      <w:lvlJc w:val="left"/>
      <w:pPr>
        <w:ind w:left="5111" w:hanging="360"/>
      </w:pPr>
      <w:rPr>
        <w:rFonts w:ascii="Symbol" w:hAnsi="Symbol" w:hint="default"/>
      </w:rPr>
    </w:lvl>
    <w:lvl w:ilvl="7" w:tplc="04260003" w:tentative="1">
      <w:start w:val="1"/>
      <w:numFmt w:val="bullet"/>
      <w:lvlText w:val="o"/>
      <w:lvlJc w:val="left"/>
      <w:pPr>
        <w:ind w:left="5831" w:hanging="360"/>
      </w:pPr>
      <w:rPr>
        <w:rFonts w:ascii="Courier New" w:hAnsi="Courier New" w:cs="Courier New" w:hint="default"/>
      </w:rPr>
    </w:lvl>
    <w:lvl w:ilvl="8" w:tplc="04260005" w:tentative="1">
      <w:start w:val="1"/>
      <w:numFmt w:val="bullet"/>
      <w:lvlText w:val=""/>
      <w:lvlJc w:val="left"/>
      <w:pPr>
        <w:ind w:left="6551" w:hanging="360"/>
      </w:pPr>
      <w:rPr>
        <w:rFonts w:ascii="Wingdings" w:hAnsi="Wingdings" w:hint="default"/>
      </w:rPr>
    </w:lvl>
  </w:abstractNum>
  <w:abstractNum w:abstractNumId="3">
    <w:nsid w:val="1513280C"/>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8026EE"/>
    <w:multiLevelType w:val="hybridMultilevel"/>
    <w:tmpl w:val="1BA61BAC"/>
    <w:lvl w:ilvl="0" w:tplc="B38A3BF8">
      <w:start w:val="1"/>
      <w:numFmt w:val="decimal"/>
      <w:lvlText w:val="%1."/>
      <w:lvlJc w:val="left"/>
      <w:pPr>
        <w:tabs>
          <w:tab w:val="num" w:pos="1035"/>
        </w:tabs>
        <w:ind w:left="1035" w:hanging="6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8915A22"/>
    <w:multiLevelType w:val="hybridMultilevel"/>
    <w:tmpl w:val="5008B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56322D6"/>
    <w:multiLevelType w:val="hybridMultilevel"/>
    <w:tmpl w:val="E73806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BFE20F4"/>
    <w:multiLevelType w:val="hybridMultilevel"/>
    <w:tmpl w:val="28CEE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6611080"/>
    <w:multiLevelType w:val="hybridMultilevel"/>
    <w:tmpl w:val="7214D2E2"/>
    <w:lvl w:ilvl="0" w:tplc="C224823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EE4791"/>
    <w:multiLevelType w:val="hybridMultilevel"/>
    <w:tmpl w:val="B442E250"/>
    <w:lvl w:ilvl="0" w:tplc="5074D51A">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5"/>
  </w:num>
  <w:num w:numId="3">
    <w:abstractNumId w:val="6"/>
  </w:num>
  <w:num w:numId="4">
    <w:abstractNumId w:val="11"/>
  </w:num>
  <w:num w:numId="5">
    <w:abstractNumId w:val="4"/>
  </w:num>
  <w:num w:numId="6">
    <w:abstractNumId w:val="3"/>
  </w:num>
  <w:num w:numId="7">
    <w:abstractNumId w:val="1"/>
  </w:num>
  <w:num w:numId="8">
    <w:abstractNumId w:val="9"/>
  </w:num>
  <w:num w:numId="9">
    <w:abstractNumId w:val="0"/>
    <w:lvlOverride w:ilvl="0">
      <w:lvl w:ilvl="0">
        <w:numFmt w:val="bullet"/>
        <w:lvlText w:val="•"/>
        <w:legacy w:legacy="1" w:legacySpace="0" w:legacyIndent="0"/>
        <w:lvlJc w:val="left"/>
        <w:rPr>
          <w:rFonts w:ascii="Helv" w:hAnsi="Helv" w:hint="default"/>
        </w:rPr>
      </w:lvl>
    </w:lvlOverride>
  </w:num>
  <w:num w:numId="10">
    <w:abstractNumId w:val="10"/>
  </w:num>
  <w:num w:numId="11">
    <w:abstractNumId w:val="12"/>
  </w:num>
  <w:num w:numId="12">
    <w:abstractNumId w:val="13"/>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0EEB"/>
    <w:rsid w:val="00002858"/>
    <w:rsid w:val="0000333B"/>
    <w:rsid w:val="00003FE1"/>
    <w:rsid w:val="00006F40"/>
    <w:rsid w:val="00010472"/>
    <w:rsid w:val="000177F7"/>
    <w:rsid w:val="000202C8"/>
    <w:rsid w:val="00021BBC"/>
    <w:rsid w:val="00031C26"/>
    <w:rsid w:val="0003406D"/>
    <w:rsid w:val="0003655B"/>
    <w:rsid w:val="00036E48"/>
    <w:rsid w:val="00037ABC"/>
    <w:rsid w:val="00042F7C"/>
    <w:rsid w:val="00051013"/>
    <w:rsid w:val="0005375B"/>
    <w:rsid w:val="00055BC4"/>
    <w:rsid w:val="00070BBE"/>
    <w:rsid w:val="00072B5B"/>
    <w:rsid w:val="00073816"/>
    <w:rsid w:val="00076CC9"/>
    <w:rsid w:val="00077200"/>
    <w:rsid w:val="00080993"/>
    <w:rsid w:val="00084552"/>
    <w:rsid w:val="0008676B"/>
    <w:rsid w:val="00087464"/>
    <w:rsid w:val="000A4F54"/>
    <w:rsid w:val="000B1EE7"/>
    <w:rsid w:val="000B74C3"/>
    <w:rsid w:val="000B7AFC"/>
    <w:rsid w:val="000B7FBB"/>
    <w:rsid w:val="000C33F3"/>
    <w:rsid w:val="000C3C05"/>
    <w:rsid w:val="000C4687"/>
    <w:rsid w:val="000C7749"/>
    <w:rsid w:val="000D2552"/>
    <w:rsid w:val="000D2E33"/>
    <w:rsid w:val="000D40F5"/>
    <w:rsid w:val="000E2E9E"/>
    <w:rsid w:val="000E4B53"/>
    <w:rsid w:val="000E5B60"/>
    <w:rsid w:val="000E6C5D"/>
    <w:rsid w:val="000F0E0C"/>
    <w:rsid w:val="000F35EB"/>
    <w:rsid w:val="000F634F"/>
    <w:rsid w:val="000F658B"/>
    <w:rsid w:val="000F65CD"/>
    <w:rsid w:val="000F6CF4"/>
    <w:rsid w:val="000F7A50"/>
    <w:rsid w:val="000F7A87"/>
    <w:rsid w:val="000F7C84"/>
    <w:rsid w:val="000F7F78"/>
    <w:rsid w:val="00100200"/>
    <w:rsid w:val="00100438"/>
    <w:rsid w:val="00110A2F"/>
    <w:rsid w:val="001131C1"/>
    <w:rsid w:val="00113D02"/>
    <w:rsid w:val="00115313"/>
    <w:rsid w:val="0011546B"/>
    <w:rsid w:val="0011720E"/>
    <w:rsid w:val="00117E39"/>
    <w:rsid w:val="00124F28"/>
    <w:rsid w:val="00130797"/>
    <w:rsid w:val="001457F5"/>
    <w:rsid w:val="001504FF"/>
    <w:rsid w:val="001509A7"/>
    <w:rsid w:val="00151A7E"/>
    <w:rsid w:val="00155F84"/>
    <w:rsid w:val="00156004"/>
    <w:rsid w:val="001560B0"/>
    <w:rsid w:val="00156E0C"/>
    <w:rsid w:val="00157617"/>
    <w:rsid w:val="00164C2C"/>
    <w:rsid w:val="00166824"/>
    <w:rsid w:val="0016698A"/>
    <w:rsid w:val="00167CA9"/>
    <w:rsid w:val="00167FD9"/>
    <w:rsid w:val="001706AE"/>
    <w:rsid w:val="001707AC"/>
    <w:rsid w:val="00173C3B"/>
    <w:rsid w:val="00174A33"/>
    <w:rsid w:val="001767D5"/>
    <w:rsid w:val="00185220"/>
    <w:rsid w:val="001912F9"/>
    <w:rsid w:val="00191511"/>
    <w:rsid w:val="001947AD"/>
    <w:rsid w:val="00196801"/>
    <w:rsid w:val="00197892"/>
    <w:rsid w:val="001A68DD"/>
    <w:rsid w:val="001A7A17"/>
    <w:rsid w:val="001B2883"/>
    <w:rsid w:val="001B2886"/>
    <w:rsid w:val="001B2C80"/>
    <w:rsid w:val="001B32B1"/>
    <w:rsid w:val="001C492A"/>
    <w:rsid w:val="001C5207"/>
    <w:rsid w:val="001C74FD"/>
    <w:rsid w:val="001C75FB"/>
    <w:rsid w:val="001C7F37"/>
    <w:rsid w:val="001D1C19"/>
    <w:rsid w:val="001D21E8"/>
    <w:rsid w:val="001D2573"/>
    <w:rsid w:val="001D3DF8"/>
    <w:rsid w:val="001D4263"/>
    <w:rsid w:val="001D5059"/>
    <w:rsid w:val="001D696B"/>
    <w:rsid w:val="001D7D7C"/>
    <w:rsid w:val="001E2FB0"/>
    <w:rsid w:val="001E4EAD"/>
    <w:rsid w:val="001F2DCC"/>
    <w:rsid w:val="001F4D78"/>
    <w:rsid w:val="001F6339"/>
    <w:rsid w:val="001F65B5"/>
    <w:rsid w:val="001F768B"/>
    <w:rsid w:val="001F773C"/>
    <w:rsid w:val="001F7F25"/>
    <w:rsid w:val="00202205"/>
    <w:rsid w:val="002023FA"/>
    <w:rsid w:val="00205B9B"/>
    <w:rsid w:val="00211013"/>
    <w:rsid w:val="002118B7"/>
    <w:rsid w:val="00211D7C"/>
    <w:rsid w:val="002164EB"/>
    <w:rsid w:val="002166C8"/>
    <w:rsid w:val="002237EB"/>
    <w:rsid w:val="0022397A"/>
    <w:rsid w:val="00224BBE"/>
    <w:rsid w:val="00224C1C"/>
    <w:rsid w:val="00233ECC"/>
    <w:rsid w:val="00240EC9"/>
    <w:rsid w:val="00242C64"/>
    <w:rsid w:val="0024345B"/>
    <w:rsid w:val="00243F1D"/>
    <w:rsid w:val="00244294"/>
    <w:rsid w:val="00244489"/>
    <w:rsid w:val="002527E8"/>
    <w:rsid w:val="002529A4"/>
    <w:rsid w:val="0025461E"/>
    <w:rsid w:val="0026020E"/>
    <w:rsid w:val="00261E2F"/>
    <w:rsid w:val="00262912"/>
    <w:rsid w:val="00265882"/>
    <w:rsid w:val="00266BB2"/>
    <w:rsid w:val="002724A2"/>
    <w:rsid w:val="00280416"/>
    <w:rsid w:val="002828E9"/>
    <w:rsid w:val="00282922"/>
    <w:rsid w:val="00284399"/>
    <w:rsid w:val="002849EF"/>
    <w:rsid w:val="002854C1"/>
    <w:rsid w:val="0028560E"/>
    <w:rsid w:val="0028624E"/>
    <w:rsid w:val="0029184E"/>
    <w:rsid w:val="002923BA"/>
    <w:rsid w:val="00294500"/>
    <w:rsid w:val="00294F35"/>
    <w:rsid w:val="002975BC"/>
    <w:rsid w:val="002A0616"/>
    <w:rsid w:val="002A2B69"/>
    <w:rsid w:val="002A66E5"/>
    <w:rsid w:val="002A69F3"/>
    <w:rsid w:val="002B0AB2"/>
    <w:rsid w:val="002B0E71"/>
    <w:rsid w:val="002B505D"/>
    <w:rsid w:val="002B60B1"/>
    <w:rsid w:val="002C0A46"/>
    <w:rsid w:val="002C4FFF"/>
    <w:rsid w:val="002C542C"/>
    <w:rsid w:val="002C5F62"/>
    <w:rsid w:val="002C6B56"/>
    <w:rsid w:val="002C7F1C"/>
    <w:rsid w:val="002D4E41"/>
    <w:rsid w:val="002E00C7"/>
    <w:rsid w:val="002E0239"/>
    <w:rsid w:val="002E10C6"/>
    <w:rsid w:val="002E1A31"/>
    <w:rsid w:val="002E208C"/>
    <w:rsid w:val="002E2D20"/>
    <w:rsid w:val="002E31E8"/>
    <w:rsid w:val="002E7044"/>
    <w:rsid w:val="002F2D34"/>
    <w:rsid w:val="002F3ADA"/>
    <w:rsid w:val="002F3E81"/>
    <w:rsid w:val="00303AFF"/>
    <w:rsid w:val="00303F99"/>
    <w:rsid w:val="00312877"/>
    <w:rsid w:val="00312E43"/>
    <w:rsid w:val="00315E60"/>
    <w:rsid w:val="0032165A"/>
    <w:rsid w:val="0032324F"/>
    <w:rsid w:val="0032380B"/>
    <w:rsid w:val="003256B4"/>
    <w:rsid w:val="003258B1"/>
    <w:rsid w:val="0033363C"/>
    <w:rsid w:val="00334CCF"/>
    <w:rsid w:val="00336A67"/>
    <w:rsid w:val="00340C74"/>
    <w:rsid w:val="00341FE3"/>
    <w:rsid w:val="0034248E"/>
    <w:rsid w:val="00344878"/>
    <w:rsid w:val="00345A49"/>
    <w:rsid w:val="00346B60"/>
    <w:rsid w:val="00350929"/>
    <w:rsid w:val="003570E8"/>
    <w:rsid w:val="00372CDD"/>
    <w:rsid w:val="00373F9B"/>
    <w:rsid w:val="00374E65"/>
    <w:rsid w:val="0038051F"/>
    <w:rsid w:val="00381E1C"/>
    <w:rsid w:val="00384DB6"/>
    <w:rsid w:val="003869B6"/>
    <w:rsid w:val="00387173"/>
    <w:rsid w:val="003A0F33"/>
    <w:rsid w:val="003A37CB"/>
    <w:rsid w:val="003C0428"/>
    <w:rsid w:val="003C5E5D"/>
    <w:rsid w:val="003C63D5"/>
    <w:rsid w:val="003C76C8"/>
    <w:rsid w:val="003D16F4"/>
    <w:rsid w:val="003D199F"/>
    <w:rsid w:val="003D3220"/>
    <w:rsid w:val="003D6F17"/>
    <w:rsid w:val="003D7293"/>
    <w:rsid w:val="003E4F3C"/>
    <w:rsid w:val="003E7FAA"/>
    <w:rsid w:val="003F0F66"/>
    <w:rsid w:val="003F1A32"/>
    <w:rsid w:val="003F2BD0"/>
    <w:rsid w:val="003F3AB9"/>
    <w:rsid w:val="003F5248"/>
    <w:rsid w:val="003F6B53"/>
    <w:rsid w:val="00400AA2"/>
    <w:rsid w:val="00401147"/>
    <w:rsid w:val="00404413"/>
    <w:rsid w:val="00404BE4"/>
    <w:rsid w:val="004066D5"/>
    <w:rsid w:val="00407636"/>
    <w:rsid w:val="00410B1D"/>
    <w:rsid w:val="00410F71"/>
    <w:rsid w:val="00411E18"/>
    <w:rsid w:val="00413BBC"/>
    <w:rsid w:val="0042441E"/>
    <w:rsid w:val="0042531C"/>
    <w:rsid w:val="00426ECC"/>
    <w:rsid w:val="00434CB2"/>
    <w:rsid w:val="00441A45"/>
    <w:rsid w:val="00444EDC"/>
    <w:rsid w:val="00445EA0"/>
    <w:rsid w:val="004472B9"/>
    <w:rsid w:val="00451B2E"/>
    <w:rsid w:val="004607AB"/>
    <w:rsid w:val="00461B7E"/>
    <w:rsid w:val="0046330F"/>
    <w:rsid w:val="00465947"/>
    <w:rsid w:val="00466CB9"/>
    <w:rsid w:val="0046714A"/>
    <w:rsid w:val="004719C5"/>
    <w:rsid w:val="00474F33"/>
    <w:rsid w:val="00480E15"/>
    <w:rsid w:val="00484B19"/>
    <w:rsid w:val="00486947"/>
    <w:rsid w:val="00490C04"/>
    <w:rsid w:val="00490CA5"/>
    <w:rsid w:val="00493A0F"/>
    <w:rsid w:val="0049463A"/>
    <w:rsid w:val="004A1646"/>
    <w:rsid w:val="004A16FF"/>
    <w:rsid w:val="004A23E7"/>
    <w:rsid w:val="004A4181"/>
    <w:rsid w:val="004B2FC6"/>
    <w:rsid w:val="004B380D"/>
    <w:rsid w:val="004B46B1"/>
    <w:rsid w:val="004B488F"/>
    <w:rsid w:val="004B791E"/>
    <w:rsid w:val="004C290D"/>
    <w:rsid w:val="004C35E9"/>
    <w:rsid w:val="004D0A4D"/>
    <w:rsid w:val="004E05B1"/>
    <w:rsid w:val="004E477C"/>
    <w:rsid w:val="004E6668"/>
    <w:rsid w:val="004E67EA"/>
    <w:rsid w:val="004E77B3"/>
    <w:rsid w:val="004F256D"/>
    <w:rsid w:val="004F4A34"/>
    <w:rsid w:val="004F5A16"/>
    <w:rsid w:val="004F6FEB"/>
    <w:rsid w:val="0050004F"/>
    <w:rsid w:val="00501AD8"/>
    <w:rsid w:val="005129ED"/>
    <w:rsid w:val="005145AD"/>
    <w:rsid w:val="0051773D"/>
    <w:rsid w:val="005224FC"/>
    <w:rsid w:val="005227F8"/>
    <w:rsid w:val="00526E69"/>
    <w:rsid w:val="00531E61"/>
    <w:rsid w:val="005339DB"/>
    <w:rsid w:val="00533A13"/>
    <w:rsid w:val="0054370E"/>
    <w:rsid w:val="0054735C"/>
    <w:rsid w:val="0055191A"/>
    <w:rsid w:val="00552427"/>
    <w:rsid w:val="0056044C"/>
    <w:rsid w:val="00560A27"/>
    <w:rsid w:val="005618F9"/>
    <w:rsid w:val="00563C74"/>
    <w:rsid w:val="005641DC"/>
    <w:rsid w:val="005668FB"/>
    <w:rsid w:val="00566BE8"/>
    <w:rsid w:val="00567484"/>
    <w:rsid w:val="00567B99"/>
    <w:rsid w:val="00575499"/>
    <w:rsid w:val="00581109"/>
    <w:rsid w:val="00582792"/>
    <w:rsid w:val="0058304E"/>
    <w:rsid w:val="005832DA"/>
    <w:rsid w:val="00585001"/>
    <w:rsid w:val="005910FF"/>
    <w:rsid w:val="00593020"/>
    <w:rsid w:val="00595A09"/>
    <w:rsid w:val="00595DD6"/>
    <w:rsid w:val="00597AAD"/>
    <w:rsid w:val="005A0607"/>
    <w:rsid w:val="005A18C6"/>
    <w:rsid w:val="005A1A1A"/>
    <w:rsid w:val="005B017C"/>
    <w:rsid w:val="005B3D63"/>
    <w:rsid w:val="005C0001"/>
    <w:rsid w:val="005C0749"/>
    <w:rsid w:val="005C398B"/>
    <w:rsid w:val="005C434B"/>
    <w:rsid w:val="005C4B80"/>
    <w:rsid w:val="005C6285"/>
    <w:rsid w:val="005C67B6"/>
    <w:rsid w:val="005C6FDF"/>
    <w:rsid w:val="005D0B00"/>
    <w:rsid w:val="005D0D5C"/>
    <w:rsid w:val="005D4634"/>
    <w:rsid w:val="005D4DDB"/>
    <w:rsid w:val="005E0358"/>
    <w:rsid w:val="005E15AF"/>
    <w:rsid w:val="005E1698"/>
    <w:rsid w:val="005E4AE7"/>
    <w:rsid w:val="005E4E69"/>
    <w:rsid w:val="005F1C74"/>
    <w:rsid w:val="005F1F00"/>
    <w:rsid w:val="006009F2"/>
    <w:rsid w:val="00604088"/>
    <w:rsid w:val="0060425F"/>
    <w:rsid w:val="006047E6"/>
    <w:rsid w:val="00606152"/>
    <w:rsid w:val="006067C7"/>
    <w:rsid w:val="006160DE"/>
    <w:rsid w:val="00620BDE"/>
    <w:rsid w:val="006213B4"/>
    <w:rsid w:val="00623AD5"/>
    <w:rsid w:val="00623B06"/>
    <w:rsid w:val="00623BAD"/>
    <w:rsid w:val="0062536C"/>
    <w:rsid w:val="0062744E"/>
    <w:rsid w:val="00631BFE"/>
    <w:rsid w:val="00636D26"/>
    <w:rsid w:val="00637581"/>
    <w:rsid w:val="00641BCA"/>
    <w:rsid w:val="0065045D"/>
    <w:rsid w:val="0065093D"/>
    <w:rsid w:val="006517B5"/>
    <w:rsid w:val="00656384"/>
    <w:rsid w:val="0066247B"/>
    <w:rsid w:val="006710A6"/>
    <w:rsid w:val="006719A1"/>
    <w:rsid w:val="006725A6"/>
    <w:rsid w:val="006753E1"/>
    <w:rsid w:val="00680204"/>
    <w:rsid w:val="006804A7"/>
    <w:rsid w:val="006821C9"/>
    <w:rsid w:val="00682402"/>
    <w:rsid w:val="00683954"/>
    <w:rsid w:val="006931BA"/>
    <w:rsid w:val="006941D9"/>
    <w:rsid w:val="00697BD9"/>
    <w:rsid w:val="006A6E6C"/>
    <w:rsid w:val="006A7A08"/>
    <w:rsid w:val="006A7EB0"/>
    <w:rsid w:val="006B3654"/>
    <w:rsid w:val="006B3C89"/>
    <w:rsid w:val="006B7E81"/>
    <w:rsid w:val="006C3531"/>
    <w:rsid w:val="006C6642"/>
    <w:rsid w:val="006C6901"/>
    <w:rsid w:val="006C6F7E"/>
    <w:rsid w:val="006D1125"/>
    <w:rsid w:val="006D418F"/>
    <w:rsid w:val="006D6167"/>
    <w:rsid w:val="006D6764"/>
    <w:rsid w:val="006D7B92"/>
    <w:rsid w:val="006E0CD7"/>
    <w:rsid w:val="006F226D"/>
    <w:rsid w:val="006F4CDE"/>
    <w:rsid w:val="006F7390"/>
    <w:rsid w:val="0070038F"/>
    <w:rsid w:val="0070254E"/>
    <w:rsid w:val="00703181"/>
    <w:rsid w:val="007043CB"/>
    <w:rsid w:val="0070453C"/>
    <w:rsid w:val="0070465C"/>
    <w:rsid w:val="00707444"/>
    <w:rsid w:val="007125A9"/>
    <w:rsid w:val="007168FF"/>
    <w:rsid w:val="0071707B"/>
    <w:rsid w:val="00724649"/>
    <w:rsid w:val="007254E5"/>
    <w:rsid w:val="0073008D"/>
    <w:rsid w:val="007364A5"/>
    <w:rsid w:val="00737D8D"/>
    <w:rsid w:val="00741DDA"/>
    <w:rsid w:val="007446D6"/>
    <w:rsid w:val="0074704C"/>
    <w:rsid w:val="00747253"/>
    <w:rsid w:val="007516EC"/>
    <w:rsid w:val="00751978"/>
    <w:rsid w:val="00753017"/>
    <w:rsid w:val="0076112F"/>
    <w:rsid w:val="007622B6"/>
    <w:rsid w:val="007726B4"/>
    <w:rsid w:val="00772DAF"/>
    <w:rsid w:val="00774A66"/>
    <w:rsid w:val="007757BB"/>
    <w:rsid w:val="0079208B"/>
    <w:rsid w:val="00794A4C"/>
    <w:rsid w:val="00794DF4"/>
    <w:rsid w:val="00794F9E"/>
    <w:rsid w:val="00796D87"/>
    <w:rsid w:val="007A6DB9"/>
    <w:rsid w:val="007B0609"/>
    <w:rsid w:val="007B1108"/>
    <w:rsid w:val="007B1358"/>
    <w:rsid w:val="007B2A0D"/>
    <w:rsid w:val="007C0014"/>
    <w:rsid w:val="007C074E"/>
    <w:rsid w:val="007C16FC"/>
    <w:rsid w:val="007C25F2"/>
    <w:rsid w:val="007C2877"/>
    <w:rsid w:val="007C5F78"/>
    <w:rsid w:val="007D18C5"/>
    <w:rsid w:val="007D3326"/>
    <w:rsid w:val="007D427E"/>
    <w:rsid w:val="007D7B26"/>
    <w:rsid w:val="007E04D8"/>
    <w:rsid w:val="007E059F"/>
    <w:rsid w:val="007E2475"/>
    <w:rsid w:val="007E6371"/>
    <w:rsid w:val="007E6A18"/>
    <w:rsid w:val="007E7D46"/>
    <w:rsid w:val="007E7DBD"/>
    <w:rsid w:val="007F7D05"/>
    <w:rsid w:val="00802AAC"/>
    <w:rsid w:val="0080778B"/>
    <w:rsid w:val="0081361A"/>
    <w:rsid w:val="00816D31"/>
    <w:rsid w:val="00823624"/>
    <w:rsid w:val="00824590"/>
    <w:rsid w:val="00825609"/>
    <w:rsid w:val="008439E9"/>
    <w:rsid w:val="008441B5"/>
    <w:rsid w:val="00853F6C"/>
    <w:rsid w:val="00854631"/>
    <w:rsid w:val="00854F86"/>
    <w:rsid w:val="008607C0"/>
    <w:rsid w:val="00864939"/>
    <w:rsid w:val="00866DB1"/>
    <w:rsid w:val="00871A92"/>
    <w:rsid w:val="00873C48"/>
    <w:rsid w:val="008816B6"/>
    <w:rsid w:val="00882246"/>
    <w:rsid w:val="00882953"/>
    <w:rsid w:val="00885BAE"/>
    <w:rsid w:val="00885F63"/>
    <w:rsid w:val="00886487"/>
    <w:rsid w:val="00891617"/>
    <w:rsid w:val="00897519"/>
    <w:rsid w:val="008A7CBC"/>
    <w:rsid w:val="008B0572"/>
    <w:rsid w:val="008B0FC7"/>
    <w:rsid w:val="008B2329"/>
    <w:rsid w:val="008B40B5"/>
    <w:rsid w:val="008B4103"/>
    <w:rsid w:val="008B5565"/>
    <w:rsid w:val="008B72D7"/>
    <w:rsid w:val="008C2434"/>
    <w:rsid w:val="008C3705"/>
    <w:rsid w:val="008C7E5A"/>
    <w:rsid w:val="008D4A96"/>
    <w:rsid w:val="008D6C78"/>
    <w:rsid w:val="008E1AEB"/>
    <w:rsid w:val="008E1D5D"/>
    <w:rsid w:val="008E3A12"/>
    <w:rsid w:val="008E4346"/>
    <w:rsid w:val="008E4D5E"/>
    <w:rsid w:val="008E5F88"/>
    <w:rsid w:val="008F1075"/>
    <w:rsid w:val="008F1116"/>
    <w:rsid w:val="008F57DC"/>
    <w:rsid w:val="008F5BE4"/>
    <w:rsid w:val="00913A67"/>
    <w:rsid w:val="0091609E"/>
    <w:rsid w:val="009179AA"/>
    <w:rsid w:val="009306E9"/>
    <w:rsid w:val="00931BEC"/>
    <w:rsid w:val="009320D8"/>
    <w:rsid w:val="00934A0B"/>
    <w:rsid w:val="00943519"/>
    <w:rsid w:val="00944100"/>
    <w:rsid w:val="00946C5B"/>
    <w:rsid w:val="009502AF"/>
    <w:rsid w:val="00955177"/>
    <w:rsid w:val="0095687B"/>
    <w:rsid w:val="009569F9"/>
    <w:rsid w:val="00960678"/>
    <w:rsid w:val="00962CB4"/>
    <w:rsid w:val="00971EA5"/>
    <w:rsid w:val="009753CC"/>
    <w:rsid w:val="0097606F"/>
    <w:rsid w:val="009778D7"/>
    <w:rsid w:val="0098144C"/>
    <w:rsid w:val="00981757"/>
    <w:rsid w:val="009823DB"/>
    <w:rsid w:val="0098336A"/>
    <w:rsid w:val="00983863"/>
    <w:rsid w:val="00984F39"/>
    <w:rsid w:val="00985630"/>
    <w:rsid w:val="00991794"/>
    <w:rsid w:val="00995884"/>
    <w:rsid w:val="00996139"/>
    <w:rsid w:val="009A09B0"/>
    <w:rsid w:val="009A19CF"/>
    <w:rsid w:val="009A64EA"/>
    <w:rsid w:val="009B0FC6"/>
    <w:rsid w:val="009B15CC"/>
    <w:rsid w:val="009B3806"/>
    <w:rsid w:val="009B5908"/>
    <w:rsid w:val="009C2F8D"/>
    <w:rsid w:val="009D1121"/>
    <w:rsid w:val="009D26ED"/>
    <w:rsid w:val="009D4021"/>
    <w:rsid w:val="009D5AAD"/>
    <w:rsid w:val="009D6333"/>
    <w:rsid w:val="009E3FE2"/>
    <w:rsid w:val="009E50B0"/>
    <w:rsid w:val="009F38BD"/>
    <w:rsid w:val="009F7CE6"/>
    <w:rsid w:val="00A0169E"/>
    <w:rsid w:val="00A12684"/>
    <w:rsid w:val="00A15049"/>
    <w:rsid w:val="00A1644F"/>
    <w:rsid w:val="00A238F4"/>
    <w:rsid w:val="00A317D1"/>
    <w:rsid w:val="00A317EB"/>
    <w:rsid w:val="00A35E6B"/>
    <w:rsid w:val="00A40B8F"/>
    <w:rsid w:val="00A422D9"/>
    <w:rsid w:val="00A471A0"/>
    <w:rsid w:val="00A5170B"/>
    <w:rsid w:val="00A518D4"/>
    <w:rsid w:val="00A51CBE"/>
    <w:rsid w:val="00A527D9"/>
    <w:rsid w:val="00A61E42"/>
    <w:rsid w:val="00A63325"/>
    <w:rsid w:val="00A66BA1"/>
    <w:rsid w:val="00A75118"/>
    <w:rsid w:val="00A862F3"/>
    <w:rsid w:val="00A86570"/>
    <w:rsid w:val="00A9177D"/>
    <w:rsid w:val="00A95896"/>
    <w:rsid w:val="00A979D4"/>
    <w:rsid w:val="00AA1E17"/>
    <w:rsid w:val="00AA2E0D"/>
    <w:rsid w:val="00AA6DD1"/>
    <w:rsid w:val="00AA7634"/>
    <w:rsid w:val="00AB67C8"/>
    <w:rsid w:val="00AB68AA"/>
    <w:rsid w:val="00AB7A65"/>
    <w:rsid w:val="00AC1EBC"/>
    <w:rsid w:val="00AC383F"/>
    <w:rsid w:val="00AC416A"/>
    <w:rsid w:val="00AC4992"/>
    <w:rsid w:val="00AD36A9"/>
    <w:rsid w:val="00AD3772"/>
    <w:rsid w:val="00AE23BF"/>
    <w:rsid w:val="00AE30FE"/>
    <w:rsid w:val="00AE63A9"/>
    <w:rsid w:val="00AE6815"/>
    <w:rsid w:val="00AE6AF9"/>
    <w:rsid w:val="00AF134F"/>
    <w:rsid w:val="00AF269C"/>
    <w:rsid w:val="00AF5A36"/>
    <w:rsid w:val="00AF5F84"/>
    <w:rsid w:val="00AF67D6"/>
    <w:rsid w:val="00AF706E"/>
    <w:rsid w:val="00AF753A"/>
    <w:rsid w:val="00B02D5A"/>
    <w:rsid w:val="00B146F1"/>
    <w:rsid w:val="00B15883"/>
    <w:rsid w:val="00B163FB"/>
    <w:rsid w:val="00B2168C"/>
    <w:rsid w:val="00B21DFF"/>
    <w:rsid w:val="00B21E68"/>
    <w:rsid w:val="00B236F7"/>
    <w:rsid w:val="00B23780"/>
    <w:rsid w:val="00B2565F"/>
    <w:rsid w:val="00B33E15"/>
    <w:rsid w:val="00B34F29"/>
    <w:rsid w:val="00B35355"/>
    <w:rsid w:val="00B4195A"/>
    <w:rsid w:val="00B41EFC"/>
    <w:rsid w:val="00B421E1"/>
    <w:rsid w:val="00B501A7"/>
    <w:rsid w:val="00B50D33"/>
    <w:rsid w:val="00B51F6D"/>
    <w:rsid w:val="00B5235D"/>
    <w:rsid w:val="00B52BFC"/>
    <w:rsid w:val="00B52C6E"/>
    <w:rsid w:val="00B55541"/>
    <w:rsid w:val="00B55D07"/>
    <w:rsid w:val="00B5693C"/>
    <w:rsid w:val="00B5787A"/>
    <w:rsid w:val="00B608AE"/>
    <w:rsid w:val="00B617AA"/>
    <w:rsid w:val="00B61CFD"/>
    <w:rsid w:val="00B6233A"/>
    <w:rsid w:val="00B634A0"/>
    <w:rsid w:val="00B70B98"/>
    <w:rsid w:val="00B73AE8"/>
    <w:rsid w:val="00B74831"/>
    <w:rsid w:val="00B77B29"/>
    <w:rsid w:val="00B8048F"/>
    <w:rsid w:val="00B83856"/>
    <w:rsid w:val="00B84E7A"/>
    <w:rsid w:val="00B8594C"/>
    <w:rsid w:val="00B85F11"/>
    <w:rsid w:val="00B860B4"/>
    <w:rsid w:val="00B87629"/>
    <w:rsid w:val="00B939F7"/>
    <w:rsid w:val="00B95D51"/>
    <w:rsid w:val="00BA3331"/>
    <w:rsid w:val="00BA67F7"/>
    <w:rsid w:val="00BB47C5"/>
    <w:rsid w:val="00BB4D0E"/>
    <w:rsid w:val="00BB703D"/>
    <w:rsid w:val="00BC44D7"/>
    <w:rsid w:val="00BD7F84"/>
    <w:rsid w:val="00BE57D9"/>
    <w:rsid w:val="00BE7718"/>
    <w:rsid w:val="00BE7E59"/>
    <w:rsid w:val="00BF14EF"/>
    <w:rsid w:val="00BF17A9"/>
    <w:rsid w:val="00BF7781"/>
    <w:rsid w:val="00C011F0"/>
    <w:rsid w:val="00C013BB"/>
    <w:rsid w:val="00C01E21"/>
    <w:rsid w:val="00C02814"/>
    <w:rsid w:val="00C0461C"/>
    <w:rsid w:val="00C069D6"/>
    <w:rsid w:val="00C07D0F"/>
    <w:rsid w:val="00C1073C"/>
    <w:rsid w:val="00C15FA7"/>
    <w:rsid w:val="00C3089D"/>
    <w:rsid w:val="00C31AC2"/>
    <w:rsid w:val="00C31C97"/>
    <w:rsid w:val="00C34957"/>
    <w:rsid w:val="00C374DB"/>
    <w:rsid w:val="00C412F0"/>
    <w:rsid w:val="00C42113"/>
    <w:rsid w:val="00C429C4"/>
    <w:rsid w:val="00C434FF"/>
    <w:rsid w:val="00C44B3E"/>
    <w:rsid w:val="00C50906"/>
    <w:rsid w:val="00C51136"/>
    <w:rsid w:val="00C518F2"/>
    <w:rsid w:val="00C53A29"/>
    <w:rsid w:val="00C567F2"/>
    <w:rsid w:val="00C711D5"/>
    <w:rsid w:val="00C72D17"/>
    <w:rsid w:val="00C74E48"/>
    <w:rsid w:val="00C773C9"/>
    <w:rsid w:val="00C77668"/>
    <w:rsid w:val="00C80F90"/>
    <w:rsid w:val="00C827CC"/>
    <w:rsid w:val="00C85D82"/>
    <w:rsid w:val="00C96347"/>
    <w:rsid w:val="00C97A2D"/>
    <w:rsid w:val="00CB0D8F"/>
    <w:rsid w:val="00CB2510"/>
    <w:rsid w:val="00CB4CD2"/>
    <w:rsid w:val="00CB7148"/>
    <w:rsid w:val="00CB71BB"/>
    <w:rsid w:val="00CC0323"/>
    <w:rsid w:val="00CC324F"/>
    <w:rsid w:val="00CC498E"/>
    <w:rsid w:val="00CC4CF2"/>
    <w:rsid w:val="00CC60E4"/>
    <w:rsid w:val="00CC7AAE"/>
    <w:rsid w:val="00CC7FE7"/>
    <w:rsid w:val="00CD0944"/>
    <w:rsid w:val="00CD265C"/>
    <w:rsid w:val="00CD6FB6"/>
    <w:rsid w:val="00CD7314"/>
    <w:rsid w:val="00CE0716"/>
    <w:rsid w:val="00CE299F"/>
    <w:rsid w:val="00CE3FF8"/>
    <w:rsid w:val="00CE79A2"/>
    <w:rsid w:val="00CF27BF"/>
    <w:rsid w:val="00D0262D"/>
    <w:rsid w:val="00D05933"/>
    <w:rsid w:val="00D14CB8"/>
    <w:rsid w:val="00D171CE"/>
    <w:rsid w:val="00D20A60"/>
    <w:rsid w:val="00D20FCE"/>
    <w:rsid w:val="00D21726"/>
    <w:rsid w:val="00D23263"/>
    <w:rsid w:val="00D2392C"/>
    <w:rsid w:val="00D24346"/>
    <w:rsid w:val="00D273AA"/>
    <w:rsid w:val="00D3106B"/>
    <w:rsid w:val="00D3246F"/>
    <w:rsid w:val="00D33378"/>
    <w:rsid w:val="00D3550C"/>
    <w:rsid w:val="00D448DA"/>
    <w:rsid w:val="00D46766"/>
    <w:rsid w:val="00D51996"/>
    <w:rsid w:val="00D563E8"/>
    <w:rsid w:val="00D61219"/>
    <w:rsid w:val="00D6195B"/>
    <w:rsid w:val="00D6403B"/>
    <w:rsid w:val="00D64E41"/>
    <w:rsid w:val="00D704A7"/>
    <w:rsid w:val="00D72C4C"/>
    <w:rsid w:val="00D76B1F"/>
    <w:rsid w:val="00D824C8"/>
    <w:rsid w:val="00D84303"/>
    <w:rsid w:val="00D86F46"/>
    <w:rsid w:val="00D87339"/>
    <w:rsid w:val="00D93783"/>
    <w:rsid w:val="00DA0410"/>
    <w:rsid w:val="00DA0A44"/>
    <w:rsid w:val="00DA1CE0"/>
    <w:rsid w:val="00DA277B"/>
    <w:rsid w:val="00DA370C"/>
    <w:rsid w:val="00DA3ABB"/>
    <w:rsid w:val="00DA4761"/>
    <w:rsid w:val="00DA5431"/>
    <w:rsid w:val="00DB0FFE"/>
    <w:rsid w:val="00DB35A5"/>
    <w:rsid w:val="00DB51F8"/>
    <w:rsid w:val="00DB72AA"/>
    <w:rsid w:val="00DC00AA"/>
    <w:rsid w:val="00DC4624"/>
    <w:rsid w:val="00DD1AAB"/>
    <w:rsid w:val="00DD26D5"/>
    <w:rsid w:val="00DE6176"/>
    <w:rsid w:val="00DE73FA"/>
    <w:rsid w:val="00DE7602"/>
    <w:rsid w:val="00E00F38"/>
    <w:rsid w:val="00E02FDD"/>
    <w:rsid w:val="00E05267"/>
    <w:rsid w:val="00E11F9D"/>
    <w:rsid w:val="00E134B3"/>
    <w:rsid w:val="00E20D15"/>
    <w:rsid w:val="00E224E3"/>
    <w:rsid w:val="00E24DAB"/>
    <w:rsid w:val="00E25154"/>
    <w:rsid w:val="00E25192"/>
    <w:rsid w:val="00E3072A"/>
    <w:rsid w:val="00E36B7E"/>
    <w:rsid w:val="00E37964"/>
    <w:rsid w:val="00E46AF3"/>
    <w:rsid w:val="00E50103"/>
    <w:rsid w:val="00E50438"/>
    <w:rsid w:val="00E52211"/>
    <w:rsid w:val="00E52CE1"/>
    <w:rsid w:val="00E530DC"/>
    <w:rsid w:val="00E64262"/>
    <w:rsid w:val="00E6555E"/>
    <w:rsid w:val="00E6665B"/>
    <w:rsid w:val="00E700B9"/>
    <w:rsid w:val="00E70522"/>
    <w:rsid w:val="00E72220"/>
    <w:rsid w:val="00E726A8"/>
    <w:rsid w:val="00E7279E"/>
    <w:rsid w:val="00E729B9"/>
    <w:rsid w:val="00E852EB"/>
    <w:rsid w:val="00E9050B"/>
    <w:rsid w:val="00E9144F"/>
    <w:rsid w:val="00E95B55"/>
    <w:rsid w:val="00E96317"/>
    <w:rsid w:val="00E97606"/>
    <w:rsid w:val="00EA28D2"/>
    <w:rsid w:val="00EA4E3C"/>
    <w:rsid w:val="00EB1186"/>
    <w:rsid w:val="00EB6654"/>
    <w:rsid w:val="00EB72D1"/>
    <w:rsid w:val="00EC0F45"/>
    <w:rsid w:val="00EC59EF"/>
    <w:rsid w:val="00ED1A9B"/>
    <w:rsid w:val="00ED6E8C"/>
    <w:rsid w:val="00EE073D"/>
    <w:rsid w:val="00EE1677"/>
    <w:rsid w:val="00EE1AC3"/>
    <w:rsid w:val="00EE2D46"/>
    <w:rsid w:val="00EE34ED"/>
    <w:rsid w:val="00EE42D9"/>
    <w:rsid w:val="00EE5DF0"/>
    <w:rsid w:val="00EF0267"/>
    <w:rsid w:val="00EF17A2"/>
    <w:rsid w:val="00EF2982"/>
    <w:rsid w:val="00EF42CE"/>
    <w:rsid w:val="00EF486A"/>
    <w:rsid w:val="00EF54E5"/>
    <w:rsid w:val="00EF5BD4"/>
    <w:rsid w:val="00F119B9"/>
    <w:rsid w:val="00F12259"/>
    <w:rsid w:val="00F169D6"/>
    <w:rsid w:val="00F213C6"/>
    <w:rsid w:val="00F21E56"/>
    <w:rsid w:val="00F25406"/>
    <w:rsid w:val="00F274C4"/>
    <w:rsid w:val="00F27D0C"/>
    <w:rsid w:val="00F42D3D"/>
    <w:rsid w:val="00F4546D"/>
    <w:rsid w:val="00F5125F"/>
    <w:rsid w:val="00F52B67"/>
    <w:rsid w:val="00F57CFB"/>
    <w:rsid w:val="00F600BC"/>
    <w:rsid w:val="00F6150D"/>
    <w:rsid w:val="00F62FD7"/>
    <w:rsid w:val="00F64242"/>
    <w:rsid w:val="00F649E3"/>
    <w:rsid w:val="00F656E5"/>
    <w:rsid w:val="00F664A5"/>
    <w:rsid w:val="00F6771D"/>
    <w:rsid w:val="00F71366"/>
    <w:rsid w:val="00F72604"/>
    <w:rsid w:val="00F72970"/>
    <w:rsid w:val="00F72F3F"/>
    <w:rsid w:val="00F7627D"/>
    <w:rsid w:val="00F8262F"/>
    <w:rsid w:val="00F86FA1"/>
    <w:rsid w:val="00F8730F"/>
    <w:rsid w:val="00F87D6A"/>
    <w:rsid w:val="00F90A24"/>
    <w:rsid w:val="00F90CB0"/>
    <w:rsid w:val="00F950E0"/>
    <w:rsid w:val="00F96305"/>
    <w:rsid w:val="00F97E42"/>
    <w:rsid w:val="00FA5451"/>
    <w:rsid w:val="00FA663A"/>
    <w:rsid w:val="00FB1DBA"/>
    <w:rsid w:val="00FB738F"/>
    <w:rsid w:val="00FC3A61"/>
    <w:rsid w:val="00FD2558"/>
    <w:rsid w:val="00FD25F2"/>
    <w:rsid w:val="00FD7256"/>
    <w:rsid w:val="00FE70FC"/>
    <w:rsid w:val="00FF0916"/>
    <w:rsid w:val="00FF680E"/>
    <w:rsid w:val="00FF7B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01"/>
    <w:rPr>
      <w:sz w:val="24"/>
      <w:szCs w:val="24"/>
    </w:rPr>
  </w:style>
  <w:style w:type="paragraph" w:styleId="Heading3">
    <w:name w:val="heading 3"/>
    <w:basedOn w:val="Normal"/>
    <w:link w:val="Heading3Char"/>
    <w:uiPriority w:val="9"/>
    <w:qFormat/>
    <w:rsid w:val="004066D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semiHidden/>
    <w:rsid w:val="00130797"/>
    <w:rPr>
      <w:rFonts w:ascii="Tahoma" w:hAnsi="Tahoma" w:cs="Tahoma"/>
      <w:sz w:val="16"/>
      <w:szCs w:val="16"/>
    </w:rPr>
  </w:style>
  <w:style w:type="character" w:customStyle="1" w:styleId="HeaderChar">
    <w:name w:val="Header Char"/>
    <w:basedOn w:val="DefaultParagraphFont"/>
    <w:link w:val="Header"/>
    <w:uiPriority w:val="99"/>
    <w:rsid w:val="00E726A8"/>
    <w:rPr>
      <w:sz w:val="24"/>
      <w:szCs w:val="24"/>
    </w:rPr>
  </w:style>
  <w:style w:type="paragraph" w:styleId="NormalWeb">
    <w:name w:val="Normal (Web)"/>
    <w:basedOn w:val="Normal"/>
    <w:uiPriority w:val="99"/>
    <w:rsid w:val="00AE6AF9"/>
    <w:pPr>
      <w:spacing w:before="100" w:beforeAutospacing="1" w:after="100" w:afterAutospacing="1"/>
    </w:pPr>
    <w:rPr>
      <w:lang w:val="en-GB" w:eastAsia="en-US"/>
    </w:rPr>
  </w:style>
  <w:style w:type="paragraph" w:customStyle="1" w:styleId="naisf">
    <w:name w:val="naisf"/>
    <w:basedOn w:val="Normal"/>
    <w:rsid w:val="004B488F"/>
    <w:pPr>
      <w:spacing w:before="75" w:after="75"/>
      <w:ind w:firstLine="375"/>
      <w:jc w:val="both"/>
    </w:pPr>
  </w:style>
  <w:style w:type="paragraph" w:styleId="BodyText">
    <w:name w:val="Body Text"/>
    <w:basedOn w:val="Normal"/>
    <w:link w:val="BodyTextChar"/>
    <w:rsid w:val="00F950E0"/>
    <w:pPr>
      <w:tabs>
        <w:tab w:val="num" w:pos="1200"/>
      </w:tabs>
      <w:ind w:right="-6"/>
      <w:jc w:val="both"/>
    </w:pPr>
    <w:rPr>
      <w:szCs w:val="28"/>
      <w:lang w:eastAsia="en-US"/>
    </w:rPr>
  </w:style>
  <w:style w:type="character" w:customStyle="1" w:styleId="BodyTextChar">
    <w:name w:val="Body Text Char"/>
    <w:basedOn w:val="DefaultParagraphFont"/>
    <w:link w:val="BodyText"/>
    <w:rsid w:val="00F950E0"/>
    <w:rPr>
      <w:sz w:val="24"/>
      <w:szCs w:val="28"/>
      <w:lang w:eastAsia="en-US"/>
    </w:rPr>
  </w:style>
  <w:style w:type="paragraph" w:customStyle="1" w:styleId="naisc">
    <w:name w:val="naisc"/>
    <w:basedOn w:val="Normal"/>
    <w:rsid w:val="002C4FFF"/>
    <w:pPr>
      <w:spacing w:before="75" w:after="75"/>
      <w:jc w:val="center"/>
    </w:pPr>
  </w:style>
  <w:style w:type="character" w:customStyle="1" w:styleId="Heading3Char">
    <w:name w:val="Heading 3 Char"/>
    <w:basedOn w:val="DefaultParagraphFont"/>
    <w:link w:val="Heading3"/>
    <w:uiPriority w:val="9"/>
    <w:rsid w:val="004066D5"/>
    <w:rPr>
      <w:b/>
      <w:bCs/>
      <w:sz w:val="27"/>
      <w:szCs w:val="27"/>
    </w:rPr>
  </w:style>
  <w:style w:type="character" w:styleId="CommentReference">
    <w:name w:val="annotation reference"/>
    <w:basedOn w:val="DefaultParagraphFont"/>
    <w:rsid w:val="000E5B60"/>
    <w:rPr>
      <w:sz w:val="16"/>
      <w:szCs w:val="16"/>
    </w:rPr>
  </w:style>
  <w:style w:type="paragraph" w:styleId="CommentText">
    <w:name w:val="annotation text"/>
    <w:basedOn w:val="Normal"/>
    <w:link w:val="CommentTextChar"/>
    <w:rsid w:val="000E5B60"/>
    <w:rPr>
      <w:sz w:val="20"/>
      <w:szCs w:val="20"/>
    </w:rPr>
  </w:style>
  <w:style w:type="character" w:customStyle="1" w:styleId="CommentTextChar">
    <w:name w:val="Comment Text Char"/>
    <w:basedOn w:val="DefaultParagraphFont"/>
    <w:link w:val="CommentText"/>
    <w:rsid w:val="000E5B60"/>
    <w:rPr>
      <w:lang w:val="lv-LV" w:eastAsia="lv-LV"/>
    </w:rPr>
  </w:style>
  <w:style w:type="paragraph" w:styleId="CommentSubject">
    <w:name w:val="annotation subject"/>
    <w:basedOn w:val="CommentText"/>
    <w:next w:val="CommentText"/>
    <w:link w:val="CommentSubjectChar"/>
    <w:rsid w:val="000E5B60"/>
    <w:rPr>
      <w:b/>
      <w:bCs/>
    </w:rPr>
  </w:style>
  <w:style w:type="character" w:customStyle="1" w:styleId="CommentSubjectChar">
    <w:name w:val="Comment Subject Char"/>
    <w:basedOn w:val="CommentTextChar"/>
    <w:link w:val="CommentSubject"/>
    <w:rsid w:val="000E5B60"/>
    <w:rPr>
      <w:b/>
      <w:bCs/>
    </w:rPr>
  </w:style>
  <w:style w:type="table" w:styleId="TableGrid">
    <w:name w:val="Table Grid"/>
    <w:basedOn w:val="TableNormal"/>
    <w:rsid w:val="00724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0F35EB"/>
    <w:pPr>
      <w:spacing w:before="100" w:beforeAutospacing="1" w:after="100" w:afterAutospacing="1"/>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7328-8018-4BC6-B505-9F334BE9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6872</Words>
  <Characters>3918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sēdes protokollēmuma „Par Ministru kabineta 2011.gada 15.marta protokollēmuma (prot. Nr. 16, 22.§) „Noteikumu projekts „Grozījumi Ministru kabineta 2008.gada 11.novembra noteikumos Nr.940 „Noteikumi par darbības programmas „Infrastruktūr</vt:lpstr>
    </vt:vector>
  </TitlesOfParts>
  <Company>Microsoft Corporation</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„Par Ministru kabineta 2011.gada 15.marta protokollēmuma (prot. Nr. 16, 22.§) „Noteikumu projekts „Grozījumi Ministru kabineta 2008.gada 11.novembra noteikumos Nr.940 „Noteikumi par darbības programmas „Infrastruktūra un pakalpojumi” papildinājuma 3.1.3.3.1.apakšaktivitāti „Speciālās izglītības iestāžu infrastruktūras un aprīkojuma uzlabošana””” 2.punktā dotā uzdevuma izpildes termiņu” projekta anotācija</dc:title>
  <dc:subject>Ministru kabineta noteikumu projekta anotācija</dc:subject>
  <dc:creator>Jevgēnija Sviridenkova</dc:creator>
  <cp:keywords/>
  <dc:description>jevgenija.sviridenkova@izm.gov.lv; tālr.67047774</dc:description>
  <cp:lastModifiedBy>jsviridenkova</cp:lastModifiedBy>
  <cp:revision>18</cp:revision>
  <cp:lastPrinted>2010-11-23T15:24:00Z</cp:lastPrinted>
  <dcterms:created xsi:type="dcterms:W3CDTF">2011-06-14T06:05:00Z</dcterms:created>
  <dcterms:modified xsi:type="dcterms:W3CDTF">2011-06-30T09:21:00Z</dcterms:modified>
  <cp:category>IZM</cp:category>
</cp:coreProperties>
</file>