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F9" w:rsidRDefault="00FF06F9" w:rsidP="00FF06F9">
      <w:pPr>
        <w:spacing w:after="0" w:line="240" w:lineRule="auto"/>
        <w:jc w:val="center"/>
        <w:rPr>
          <w:rFonts w:ascii="Times New Roman" w:hAnsi="Times New Roman" w:cs="Times New Roman"/>
          <w:b/>
          <w:sz w:val="28"/>
          <w:szCs w:val="28"/>
        </w:rPr>
      </w:pPr>
      <w:bookmarkStart w:id="0" w:name="OLE_LINK2"/>
      <w:bookmarkStart w:id="1" w:name="OLE_LINK1"/>
      <w:r>
        <w:rPr>
          <w:rFonts w:ascii="Times New Roman" w:hAnsi="Times New Roman" w:cs="Times New Roman"/>
          <w:b/>
          <w:sz w:val="28"/>
          <w:szCs w:val="28"/>
        </w:rPr>
        <w:t xml:space="preserve">Ministru kabineta noteikumu projekta </w:t>
      </w:r>
    </w:p>
    <w:bookmarkEnd w:id="0"/>
    <w:bookmarkEnd w:id="1"/>
    <w:p w:rsidR="00FF06F9" w:rsidRDefault="00FF06F9" w:rsidP="00FF06F9">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shd w:val="clear" w:color="auto" w:fill="FFFFFF"/>
        </w:rPr>
        <w:t>„Grozījums Ministru kabineta 2012.gada 20.novembra noteikumos Nr.785 „Mācību prakses organizācijas un izglītojamo apdrošināšanas kārtība””</w:t>
      </w:r>
      <w:r>
        <w:rPr>
          <w:rFonts w:ascii="Times New Roman" w:hAnsi="Times New Roman" w:cs="Times New Roman"/>
          <w:b/>
          <w:sz w:val="28"/>
          <w:szCs w:val="28"/>
        </w:rPr>
        <w:t xml:space="preserve"> sākotnējās ietekmes novērtējuma </w:t>
      </w:r>
      <w:smartTag w:uri="schemas-tilde-lv/tildestengine" w:element="veidnes">
        <w:smartTagPr>
          <w:attr w:name="id" w:val="-1"/>
          <w:attr w:name="baseform" w:val="ziņojums"/>
          <w:attr w:name="text" w:val="ziņojums"/>
        </w:smartTagPr>
        <w:r>
          <w:rPr>
            <w:rFonts w:ascii="Times New Roman" w:hAnsi="Times New Roman" w:cs="Times New Roman"/>
            <w:b/>
            <w:sz w:val="28"/>
            <w:szCs w:val="28"/>
          </w:rPr>
          <w:t xml:space="preserve">ziņojums </w:t>
        </w:r>
      </w:smartTag>
      <w:r>
        <w:rPr>
          <w:rFonts w:ascii="Times New Roman" w:hAnsi="Times New Roman" w:cs="Times New Roman"/>
          <w:b/>
          <w:sz w:val="28"/>
          <w:szCs w:val="28"/>
        </w:rPr>
        <w:t>(anotācija)</w:t>
      </w:r>
    </w:p>
    <w:p w:rsidR="00FF06F9" w:rsidRDefault="00FF06F9" w:rsidP="00FF06F9">
      <w:pPr>
        <w:spacing w:after="0" w:line="240" w:lineRule="auto"/>
        <w:jc w:val="center"/>
        <w:rPr>
          <w:rFonts w:ascii="Times New Roman" w:hAnsi="Times New Roman" w:cs="Times New Roman"/>
          <w:sz w:val="28"/>
          <w:szCs w:val="28"/>
        </w:rPr>
      </w:pPr>
    </w:p>
    <w:tbl>
      <w:tblPr>
        <w:tblW w:w="10027"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628"/>
        <w:gridCol w:w="2705"/>
        <w:gridCol w:w="6694"/>
      </w:tblGrid>
      <w:tr w:rsidR="00FF06F9" w:rsidTr="00FF06F9">
        <w:trPr>
          <w:tblCellSpacing w:w="0" w:type="dxa"/>
          <w:jc w:val="center"/>
        </w:trPr>
        <w:tc>
          <w:tcPr>
            <w:tcW w:w="10027" w:type="dxa"/>
            <w:gridSpan w:val="3"/>
            <w:tcBorders>
              <w:top w:val="outset" w:sz="6" w:space="0" w:color="auto"/>
              <w:left w:val="outset" w:sz="6" w:space="0" w:color="auto"/>
              <w:bottom w:val="outset" w:sz="6" w:space="0" w:color="auto"/>
              <w:right w:val="outset" w:sz="6" w:space="0" w:color="auto"/>
            </w:tcBorders>
            <w:vAlign w:val="center"/>
            <w:hideMark/>
          </w:tcPr>
          <w:p w:rsidR="00FF06F9" w:rsidRDefault="00FF06F9">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I. Tiesību akta projekta izstrādes nepieciešamība</w:t>
            </w:r>
          </w:p>
        </w:tc>
      </w:tr>
      <w:tr w:rsidR="00FF06F9" w:rsidTr="00FF06F9">
        <w:trPr>
          <w:trHeight w:val="454"/>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705"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rPr>
                <w:rFonts w:ascii="Times New Roman" w:hAnsi="Times New Roman" w:cs="Times New Roman"/>
                <w:sz w:val="28"/>
                <w:szCs w:val="28"/>
              </w:rPr>
            </w:pPr>
            <w:r>
              <w:rPr>
                <w:rFonts w:ascii="Times New Roman" w:hAnsi="Times New Roman" w:cs="Times New Roman"/>
                <w:sz w:val="28"/>
                <w:szCs w:val="28"/>
              </w:rPr>
              <w:t>Pamatojums</w:t>
            </w:r>
          </w:p>
        </w:tc>
        <w:tc>
          <w:tcPr>
            <w:tcW w:w="6694" w:type="dxa"/>
            <w:tcBorders>
              <w:top w:val="outset" w:sz="6" w:space="0" w:color="auto"/>
              <w:left w:val="outset" w:sz="6" w:space="0" w:color="auto"/>
              <w:bottom w:val="outset" w:sz="6" w:space="0" w:color="auto"/>
              <w:right w:val="outset" w:sz="6" w:space="0" w:color="auto"/>
            </w:tcBorders>
          </w:tcPr>
          <w:p w:rsidR="00FF06F9" w:rsidRDefault="00FF06F9">
            <w:pPr>
              <w:spacing w:after="0" w:line="240" w:lineRule="auto"/>
              <w:ind w:left="269" w:right="300"/>
              <w:jc w:val="both"/>
              <w:rPr>
                <w:rFonts w:ascii="Times New Roman" w:hAnsi="Times New Roman" w:cs="Times New Roman"/>
                <w:color w:val="000000" w:themeColor="text1"/>
                <w:sz w:val="28"/>
                <w:szCs w:val="28"/>
                <w:lang w:eastAsia="en-US"/>
              </w:rPr>
            </w:pPr>
            <w:r>
              <w:rPr>
                <w:rFonts w:ascii="Times New Roman" w:eastAsia="Times New Roman" w:hAnsi="Times New Roman" w:cs="Times New Roman"/>
                <w:sz w:val="28"/>
                <w:szCs w:val="28"/>
              </w:rPr>
              <w:t>Ministru kabineta noteikumu projekts „Grozījums Ministru kabineta 2012.gada 20.novembra noteikumos Nr.785 „Mācību prakses organizācijas un izglītojamo apdrošināšanas kārtība”</w:t>
            </w:r>
            <w:r>
              <w:rPr>
                <w:rFonts w:ascii="Times New Roman" w:eastAsia="Times New Roman" w:hAnsi="Times New Roman" w:cs="Times New Roman"/>
                <w:color w:val="000000" w:themeColor="text1"/>
                <w:sz w:val="28"/>
                <w:szCs w:val="28"/>
              </w:rPr>
              <w:t xml:space="preserve">” (turpmāk– noteikumu projekts) </w:t>
            </w:r>
            <w:r>
              <w:rPr>
                <w:rFonts w:ascii="Times New Roman" w:hAnsi="Times New Roman" w:cs="Times New Roman"/>
                <w:color w:val="000000" w:themeColor="text1"/>
                <w:sz w:val="28"/>
                <w:szCs w:val="28"/>
              </w:rPr>
              <w:t>izstrādāts, pamatojoties uz:</w:t>
            </w:r>
          </w:p>
          <w:p w:rsidR="00FF06F9" w:rsidRDefault="00D8798C" w:rsidP="00AE484F">
            <w:pPr>
              <w:numPr>
                <w:ilvl w:val="0"/>
                <w:numId w:val="1"/>
              </w:numPr>
              <w:spacing w:after="0" w:line="240" w:lineRule="auto"/>
              <w:ind w:right="300"/>
              <w:jc w:val="both"/>
              <w:rPr>
                <w:rFonts w:ascii="Times New Roman" w:hAnsi="Times New Roman" w:cs="Times New Roman"/>
                <w:color w:val="000000" w:themeColor="text1"/>
                <w:sz w:val="28"/>
                <w:szCs w:val="28"/>
              </w:rPr>
            </w:pPr>
            <w:hyperlink r:id="rId7" w:anchor="p30" w:history="1">
              <w:r w:rsidR="00FF06F9">
                <w:rPr>
                  <w:rStyle w:val="Hyperlink"/>
                  <w:rFonts w:ascii="Times New Roman" w:hAnsi="Times New Roman" w:cs="Times New Roman"/>
                  <w:i/>
                  <w:color w:val="000000" w:themeColor="text1"/>
                  <w:sz w:val="28"/>
                  <w:szCs w:val="28"/>
                  <w:u w:val="none"/>
                </w:rPr>
                <w:t>Euro</w:t>
              </w:r>
              <w:r w:rsidR="00FF06F9">
                <w:rPr>
                  <w:rStyle w:val="Hyperlink"/>
                  <w:rFonts w:ascii="Times New Roman" w:hAnsi="Times New Roman" w:cs="Times New Roman"/>
                  <w:color w:val="000000" w:themeColor="text1"/>
                  <w:sz w:val="28"/>
                  <w:szCs w:val="28"/>
                  <w:u w:val="none"/>
                </w:rPr>
                <w:t xml:space="preserve"> ieviešanas kārtības likuma</w:t>
              </w:r>
            </w:hyperlink>
            <w:r w:rsidR="00FF06F9">
              <w:rPr>
                <w:rFonts w:ascii="Times New Roman" w:hAnsi="Times New Roman" w:cs="Times New Roman"/>
                <w:color w:val="000000" w:themeColor="text1"/>
                <w:sz w:val="28"/>
                <w:szCs w:val="28"/>
              </w:rPr>
              <w:t xml:space="preserve"> 30.panta pirmo un ceturto daļu;</w:t>
            </w:r>
          </w:p>
          <w:p w:rsidR="00FF06F9" w:rsidRDefault="00D8798C" w:rsidP="00AE484F">
            <w:pPr>
              <w:numPr>
                <w:ilvl w:val="0"/>
                <w:numId w:val="1"/>
              </w:numPr>
              <w:spacing w:after="0" w:line="240" w:lineRule="auto"/>
              <w:ind w:right="300"/>
              <w:jc w:val="both"/>
              <w:rPr>
                <w:rFonts w:ascii="Times New Roman" w:hAnsi="Times New Roman" w:cs="Times New Roman"/>
                <w:color w:val="000000" w:themeColor="text1"/>
                <w:sz w:val="28"/>
                <w:szCs w:val="28"/>
              </w:rPr>
            </w:pPr>
            <w:hyperlink r:id="rId8" w:anchor="p7" w:history="1">
              <w:r w:rsidR="00FF06F9">
                <w:rPr>
                  <w:rStyle w:val="Hyperlink"/>
                  <w:rFonts w:ascii="Times New Roman" w:hAnsi="Times New Roman" w:cs="Times New Roman"/>
                  <w:color w:val="000000" w:themeColor="text1"/>
                  <w:sz w:val="28"/>
                  <w:szCs w:val="28"/>
                  <w:u w:val="none"/>
                </w:rPr>
                <w:t xml:space="preserve">Ministru kabineta 2012.gada 27.jūnija rīkojuma Nr.282 „Par „Koncepciju par normatīvo aktu sakārtošanu saistībā ar </w:t>
              </w:r>
              <w:r w:rsidR="00FF06F9">
                <w:rPr>
                  <w:rStyle w:val="Hyperlink"/>
                  <w:rFonts w:ascii="Times New Roman" w:hAnsi="Times New Roman" w:cs="Times New Roman"/>
                  <w:i/>
                  <w:color w:val="000000" w:themeColor="text1"/>
                  <w:sz w:val="28"/>
                  <w:szCs w:val="28"/>
                  <w:u w:val="none"/>
                </w:rPr>
                <w:t>eiro</w:t>
              </w:r>
              <w:r w:rsidR="00FF06F9">
                <w:rPr>
                  <w:rStyle w:val="Hyperlink"/>
                  <w:rFonts w:ascii="Times New Roman" w:hAnsi="Times New Roman" w:cs="Times New Roman"/>
                  <w:color w:val="000000" w:themeColor="text1"/>
                  <w:sz w:val="28"/>
                  <w:szCs w:val="28"/>
                  <w:u w:val="none"/>
                </w:rPr>
                <w:t xml:space="preserve"> ieviešanu Latvijā””</w:t>
              </w:r>
            </w:hyperlink>
            <w:r w:rsidR="00FF06F9">
              <w:rPr>
                <w:rFonts w:ascii="Times New Roman" w:hAnsi="Times New Roman" w:cs="Times New Roman"/>
                <w:color w:val="000000" w:themeColor="text1"/>
                <w:sz w:val="28"/>
                <w:szCs w:val="28"/>
              </w:rPr>
              <w:t xml:space="preserve"> 7.1.apakšpunktu;</w:t>
            </w:r>
          </w:p>
          <w:p w:rsidR="00FF06F9" w:rsidRDefault="00D8798C" w:rsidP="00AE484F">
            <w:pPr>
              <w:numPr>
                <w:ilvl w:val="0"/>
                <w:numId w:val="1"/>
              </w:numPr>
              <w:spacing w:after="0" w:line="240" w:lineRule="auto"/>
              <w:ind w:right="300"/>
              <w:jc w:val="both"/>
              <w:rPr>
                <w:rFonts w:ascii="Times New Roman" w:hAnsi="Times New Roman" w:cs="Times New Roman"/>
                <w:sz w:val="28"/>
                <w:szCs w:val="28"/>
              </w:rPr>
            </w:pPr>
            <w:hyperlink r:id="rId9" w:history="1">
              <w:r w:rsidR="00FF06F9">
                <w:rPr>
                  <w:rStyle w:val="Hyperlink"/>
                  <w:rFonts w:ascii="Times New Roman" w:hAnsi="Times New Roman" w:cs="Times New Roman"/>
                  <w:color w:val="000000" w:themeColor="text1"/>
                  <w:sz w:val="28"/>
                  <w:szCs w:val="28"/>
                  <w:u w:val="none"/>
                </w:rPr>
                <w:t>Latvijas Nacionālā</w:t>
              </w:r>
              <w:r w:rsidR="00FF06F9">
                <w:rPr>
                  <w:rStyle w:val="Hyperlink"/>
                  <w:rFonts w:ascii="Times New Roman" w:hAnsi="Times New Roman" w:cs="Times New Roman"/>
                  <w:i/>
                  <w:color w:val="000000" w:themeColor="text1"/>
                  <w:sz w:val="28"/>
                  <w:szCs w:val="28"/>
                  <w:u w:val="none"/>
                </w:rPr>
                <w:t xml:space="preserve"> euro</w:t>
              </w:r>
              <w:r w:rsidR="00FF06F9">
                <w:rPr>
                  <w:rStyle w:val="Hyperlink"/>
                  <w:rFonts w:ascii="Times New Roman" w:hAnsi="Times New Roman" w:cs="Times New Roman"/>
                  <w:color w:val="000000" w:themeColor="text1"/>
                  <w:sz w:val="28"/>
                  <w:szCs w:val="28"/>
                  <w:u w:val="none"/>
                </w:rPr>
                <w:t xml:space="preserve"> ieviešanas plāna (apstiprināts ar Ministru kabineta 2013.gada 4.aprīļa rīkojuma Nr.136 „Par Latvijas Nacionālo</w:t>
              </w:r>
              <w:r w:rsidR="00FF06F9">
                <w:rPr>
                  <w:rStyle w:val="Hyperlink"/>
                  <w:rFonts w:ascii="Times New Roman" w:hAnsi="Times New Roman" w:cs="Times New Roman"/>
                  <w:i/>
                  <w:color w:val="000000" w:themeColor="text1"/>
                  <w:sz w:val="28"/>
                  <w:szCs w:val="28"/>
                  <w:u w:val="none"/>
                </w:rPr>
                <w:t xml:space="preserve"> euro</w:t>
              </w:r>
              <w:r w:rsidR="00FF06F9">
                <w:rPr>
                  <w:rStyle w:val="Hyperlink"/>
                  <w:rFonts w:ascii="Times New Roman" w:hAnsi="Times New Roman" w:cs="Times New Roman"/>
                  <w:color w:val="000000" w:themeColor="text1"/>
                  <w:sz w:val="28"/>
                  <w:szCs w:val="28"/>
                  <w:u w:val="none"/>
                </w:rPr>
                <w:t xml:space="preserve"> ieviešanas plānu”)</w:t>
              </w:r>
            </w:hyperlink>
            <w:r w:rsidR="00FF06F9">
              <w:rPr>
                <w:rFonts w:ascii="Times New Roman" w:hAnsi="Times New Roman" w:cs="Times New Roman"/>
                <w:color w:val="000000" w:themeColor="text1"/>
                <w:sz w:val="28"/>
                <w:szCs w:val="28"/>
              </w:rPr>
              <w:t xml:space="preserve"> 1.pielikuma J2.2.1.un J2.2.2 apakšpunktu;</w:t>
            </w:r>
          </w:p>
          <w:p w:rsidR="008A14F9" w:rsidRDefault="00FF06F9" w:rsidP="00601BAB">
            <w:pPr>
              <w:numPr>
                <w:ilvl w:val="0"/>
                <w:numId w:val="1"/>
              </w:numPr>
              <w:spacing w:after="0" w:line="240" w:lineRule="auto"/>
              <w:ind w:right="300"/>
              <w:jc w:val="both"/>
              <w:rPr>
                <w:rFonts w:ascii="Times New Roman" w:hAnsi="Times New Roman" w:cs="Times New Roman"/>
                <w:sz w:val="28"/>
                <w:szCs w:val="28"/>
                <w:lang w:eastAsia="en-US"/>
              </w:rPr>
            </w:pPr>
            <w:r>
              <w:rPr>
                <w:rFonts w:ascii="Times New Roman" w:hAnsi="Times New Roman" w:cs="Times New Roman"/>
                <w:sz w:val="28"/>
                <w:szCs w:val="28"/>
              </w:rPr>
              <w:t xml:space="preserve">Ministru kabineta 2013.gada 29.maija rīkojuma Nr.212 „Par tiesību aktu grozījumu virzību saistībā ar </w:t>
            </w:r>
            <w:r>
              <w:rPr>
                <w:rFonts w:ascii="Times New Roman" w:hAnsi="Times New Roman" w:cs="Times New Roman"/>
                <w:i/>
                <w:sz w:val="28"/>
                <w:szCs w:val="28"/>
              </w:rPr>
              <w:t>euro</w:t>
            </w:r>
            <w:r>
              <w:rPr>
                <w:rFonts w:ascii="Times New Roman" w:hAnsi="Times New Roman" w:cs="Times New Roman"/>
                <w:sz w:val="28"/>
                <w:szCs w:val="28"/>
              </w:rPr>
              <w:t xml:space="preserve"> ieviešanu Latvijā 1.5.apakšpunktu.</w:t>
            </w:r>
          </w:p>
          <w:p w:rsidR="00601BAB" w:rsidRDefault="00601BAB" w:rsidP="00601BAB">
            <w:pPr>
              <w:spacing w:after="0" w:line="240" w:lineRule="auto"/>
              <w:ind w:right="300"/>
              <w:jc w:val="both"/>
              <w:rPr>
                <w:rFonts w:ascii="Times New Roman" w:hAnsi="Times New Roman" w:cs="Times New Roman"/>
                <w:sz w:val="28"/>
                <w:szCs w:val="28"/>
                <w:lang w:eastAsia="en-US"/>
              </w:rPr>
            </w:pPr>
          </w:p>
        </w:tc>
      </w:tr>
      <w:tr w:rsidR="00FF06F9" w:rsidTr="00FF06F9">
        <w:trPr>
          <w:trHeight w:val="472"/>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705"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rPr>
                <w:rFonts w:ascii="Times New Roman" w:hAnsi="Times New Roman" w:cs="Times New Roman"/>
                <w:sz w:val="28"/>
                <w:szCs w:val="28"/>
              </w:rPr>
            </w:pPr>
            <w:r>
              <w:rPr>
                <w:rFonts w:ascii="Times New Roman" w:hAnsi="Times New Roman" w:cs="Times New Roman"/>
                <w:sz w:val="28"/>
                <w:szCs w:val="28"/>
              </w:rPr>
              <w:t>Pašreizējā situācija un problēmas</w:t>
            </w:r>
          </w:p>
        </w:tc>
        <w:tc>
          <w:tcPr>
            <w:tcW w:w="6694" w:type="dxa"/>
            <w:tcBorders>
              <w:top w:val="outset" w:sz="6" w:space="0" w:color="auto"/>
              <w:left w:val="outset" w:sz="6" w:space="0" w:color="auto"/>
              <w:bottom w:val="outset" w:sz="6" w:space="0" w:color="auto"/>
              <w:right w:val="outset" w:sz="6" w:space="0" w:color="auto"/>
            </w:tcBorders>
            <w:hideMark/>
          </w:tcPr>
          <w:p w:rsidR="00FF06F9" w:rsidRDefault="00FF06F9" w:rsidP="00FF06F9">
            <w:pPr>
              <w:spacing w:after="0" w:line="240" w:lineRule="auto"/>
              <w:ind w:left="269" w:right="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Ņemot vērā, ka ar 2014.gada 1.janvāri Latvijā plānots ieviest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ir nepieciešams izstrādāt noteikumu projektu, t.i., nepieciešams nodrošināt Ministru kabineta 2012.gada 20.novembra noteikumu Nr.785 „Mācību prakses organizācijas un izglītojamo apdrošināšanas kārtība” (turpmāk – noteikumi Nr.785) </w:t>
            </w:r>
            <w:r>
              <w:rPr>
                <w:rFonts w:ascii="Times New Roman" w:hAnsi="Times New Roman" w:cs="Times New Roman"/>
                <w:iCs/>
                <w:sz w:val="28"/>
                <w:szCs w:val="28"/>
              </w:rPr>
              <w:t xml:space="preserve">pielāgošanu </w:t>
            </w:r>
            <w:r>
              <w:rPr>
                <w:rFonts w:ascii="Times New Roman" w:hAnsi="Times New Roman" w:cs="Times New Roman"/>
                <w:i/>
                <w:iCs/>
                <w:sz w:val="28"/>
                <w:szCs w:val="28"/>
              </w:rPr>
              <w:t>euro</w:t>
            </w:r>
            <w:r>
              <w:rPr>
                <w:rFonts w:ascii="Times New Roman" w:hAnsi="Times New Roman" w:cs="Times New Roman"/>
                <w:iCs/>
                <w:sz w:val="28"/>
                <w:szCs w:val="28"/>
              </w:rPr>
              <w:t xml:space="preserve"> ieviešanai. Šobrīd spēkā esošo noteikumu Nr.785 12</w:t>
            </w:r>
            <w:r>
              <w:rPr>
                <w:rFonts w:ascii="Times New Roman" w:eastAsia="Times New Roman" w:hAnsi="Times New Roman" w:cs="Times New Roman"/>
                <w:sz w:val="28"/>
                <w:szCs w:val="28"/>
              </w:rPr>
              <w:t xml:space="preserve">.punktā ir noteikts, ka izglītojamā apdrošinājuma summas minimālais apmērs ir 1000 latu. Noteikumos Nr.785 minētā naudas summas ir noteikta latos nevis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Līdz ar to noteikumu Nr.785 12.punktā nepieciešams izdarīt grozījumu, aizstājot  naudas summ</w:t>
            </w:r>
            <w:r w:rsidR="00E21AE7">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kas noteikta latos ar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w:t>
            </w:r>
          </w:p>
          <w:p w:rsidR="008A14F9" w:rsidRDefault="008A14F9" w:rsidP="00FF06F9">
            <w:pPr>
              <w:spacing w:after="0" w:line="240" w:lineRule="auto"/>
              <w:ind w:left="269" w:right="300"/>
              <w:jc w:val="both"/>
              <w:rPr>
                <w:rFonts w:ascii="Times New Roman" w:eastAsia="Times New Roman" w:hAnsi="Times New Roman" w:cs="Times New Roman"/>
                <w:sz w:val="28"/>
                <w:szCs w:val="28"/>
              </w:rPr>
            </w:pPr>
          </w:p>
        </w:tc>
      </w:tr>
      <w:tr w:rsidR="00FF06F9" w:rsidTr="00FF06F9">
        <w:trPr>
          <w:trHeight w:val="685"/>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p>
        </w:tc>
        <w:tc>
          <w:tcPr>
            <w:tcW w:w="2705"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rPr>
                <w:rFonts w:ascii="Times New Roman" w:hAnsi="Times New Roman" w:cs="Times New Roman"/>
                <w:sz w:val="28"/>
                <w:szCs w:val="28"/>
              </w:rPr>
            </w:pPr>
            <w:r>
              <w:rPr>
                <w:rFonts w:ascii="Times New Roman" w:hAnsi="Times New Roman" w:cs="Times New Roman"/>
                <w:sz w:val="28"/>
                <w:szCs w:val="28"/>
              </w:rPr>
              <w:t>Saistītie politikas ietekmes novērtējumi un pētījumi</w:t>
            </w:r>
          </w:p>
        </w:tc>
        <w:tc>
          <w:tcPr>
            <w:tcW w:w="6694"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ind w:left="269" w:right="300"/>
              <w:rPr>
                <w:rFonts w:ascii="Times New Roman" w:hAnsi="Times New Roman" w:cs="Times New Roman"/>
                <w:sz w:val="28"/>
                <w:szCs w:val="28"/>
              </w:rPr>
            </w:pPr>
            <w:r>
              <w:rPr>
                <w:rFonts w:ascii="Times New Roman" w:hAnsi="Times New Roman" w:cs="Times New Roman"/>
                <w:sz w:val="28"/>
                <w:szCs w:val="28"/>
              </w:rPr>
              <w:t>Projekts šo jomu neskar.</w:t>
            </w:r>
          </w:p>
        </w:tc>
      </w:tr>
      <w:tr w:rsidR="00FF06F9" w:rsidTr="00FF06F9">
        <w:trPr>
          <w:trHeight w:val="688"/>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705"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rPr>
                <w:rFonts w:ascii="Times New Roman" w:hAnsi="Times New Roman" w:cs="Times New Roman"/>
                <w:sz w:val="28"/>
                <w:szCs w:val="28"/>
              </w:rPr>
            </w:pPr>
            <w:r>
              <w:rPr>
                <w:rFonts w:ascii="Times New Roman" w:hAnsi="Times New Roman" w:cs="Times New Roman"/>
                <w:sz w:val="28"/>
                <w:szCs w:val="28"/>
              </w:rPr>
              <w:t>Tiesiskā regulējuma mērķis un būtība</w:t>
            </w:r>
          </w:p>
        </w:tc>
        <w:tc>
          <w:tcPr>
            <w:tcW w:w="6694" w:type="dxa"/>
            <w:tcBorders>
              <w:top w:val="outset" w:sz="6" w:space="0" w:color="auto"/>
              <w:left w:val="outset" w:sz="6" w:space="0" w:color="auto"/>
              <w:bottom w:val="outset" w:sz="6" w:space="0" w:color="auto"/>
              <w:right w:val="outset" w:sz="6" w:space="0" w:color="auto"/>
            </w:tcBorders>
          </w:tcPr>
          <w:p w:rsidR="00FF06F9" w:rsidRDefault="00FF06F9">
            <w:pPr>
              <w:spacing w:after="0" w:line="240" w:lineRule="auto"/>
              <w:ind w:left="266"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Projekta mērķis ir pielāgot noteikumus Nr.785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ieviešanai, t.i., konvertēt naudas summu no latiem uz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atbilstoši </w:t>
            </w:r>
            <w:r>
              <w:rPr>
                <w:rFonts w:ascii="Times New Roman" w:hAnsi="Times New Roman" w:cs="Times New Roman"/>
                <w:i/>
                <w:sz w:val="28"/>
                <w:szCs w:val="28"/>
              </w:rPr>
              <w:t>Euro</w:t>
            </w:r>
            <w:r>
              <w:rPr>
                <w:rFonts w:ascii="Times New Roman" w:eastAsia="Times New Roman" w:hAnsi="Times New Roman" w:cs="Times New Roman"/>
                <w:sz w:val="28"/>
                <w:szCs w:val="28"/>
              </w:rPr>
              <w:t xml:space="preserve"> ieviešanas kārtības likuma 6.pantā atrunātajam principam, kas balstīts uz Eiropas Savienības Padomes noteikto valūtas maiņas kursu un matemātiskās noapaļošanas principiem.</w:t>
            </w:r>
          </w:p>
          <w:p w:rsidR="00FF06F9" w:rsidRDefault="00FF06F9">
            <w:pPr>
              <w:spacing w:after="0" w:line="240" w:lineRule="auto"/>
              <w:ind w:left="266"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Eiropas Ekonomikas un finanšu lietu padome (ECOFIN) 2013.gada 9.jūlijā pieņēma galīgo lēmumu par Latvijas pilntiesīgu dalību Ekonomikas un monetārajā savienībā (EMS) no 2014.gada 1.janvāra, atceļot līdz šim spēkā bijušo „atliktās dalības” statusu. Vienlaikus vēl 2005.gadā Latvijas Bankas fiksētais lata kurss attiecībā pret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(0,702804) apstiprināts kā neatsaucami fiksēts pārejas kurss uz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w:t>
            </w:r>
          </w:p>
          <w:p w:rsidR="00FF06F9" w:rsidRDefault="00FF06F9">
            <w:pPr>
              <w:spacing w:after="0" w:line="240" w:lineRule="auto"/>
              <w:ind w:left="266"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Līdz ar to par pamatu noteikumu Nr.785 12.punkta grozījumam ir ņemts Eiropas Savienības Padomes neatsaucami fiksētais lata kurss attiecībā pret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un aprēķins veikts, izmantojot kursu EUR 1 = LVL 0,702804. </w:t>
            </w:r>
          </w:p>
          <w:p w:rsidR="00FF06F9" w:rsidRDefault="00FF06F9" w:rsidP="008A14F9">
            <w:pPr>
              <w:spacing w:after="0" w:line="240" w:lineRule="auto"/>
              <w:ind w:left="266"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Grozītā tiesību norma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valūtā nav personām nelabvēlīgāka par sākotnējo tiesību normu latos un nerada negatīvu ietekmi uz valsts budžetu.</w:t>
            </w:r>
          </w:p>
          <w:p w:rsidR="008A14F9" w:rsidRDefault="008A14F9" w:rsidP="008A14F9">
            <w:pPr>
              <w:spacing w:after="0" w:line="240" w:lineRule="auto"/>
              <w:ind w:left="266" w:right="301"/>
              <w:jc w:val="both"/>
              <w:rPr>
                <w:rFonts w:ascii="Times New Roman" w:hAnsi="Times New Roman" w:cs="Times New Roman"/>
                <w:sz w:val="28"/>
                <w:szCs w:val="28"/>
              </w:rPr>
            </w:pPr>
          </w:p>
        </w:tc>
      </w:tr>
      <w:tr w:rsidR="00FF06F9" w:rsidTr="00FF06F9">
        <w:trPr>
          <w:trHeight w:val="476"/>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2705"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rPr>
                <w:rFonts w:ascii="Times New Roman" w:hAnsi="Times New Roman" w:cs="Times New Roman"/>
                <w:sz w:val="28"/>
                <w:szCs w:val="28"/>
              </w:rPr>
            </w:pPr>
            <w:r>
              <w:rPr>
                <w:rFonts w:ascii="Times New Roman" w:hAnsi="Times New Roman" w:cs="Times New Roman"/>
                <w:sz w:val="28"/>
                <w:szCs w:val="28"/>
              </w:rPr>
              <w:t>Projekta izstrādē iesaistītās institūcijas</w:t>
            </w:r>
          </w:p>
        </w:tc>
        <w:tc>
          <w:tcPr>
            <w:tcW w:w="6694"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ind w:left="269" w:right="300"/>
              <w:jc w:val="both"/>
              <w:rPr>
                <w:rFonts w:ascii="Times New Roman" w:hAnsi="Times New Roman" w:cs="Times New Roman"/>
                <w:sz w:val="28"/>
                <w:szCs w:val="28"/>
              </w:rPr>
            </w:pPr>
            <w:r>
              <w:rPr>
                <w:rFonts w:ascii="Times New Roman" w:hAnsi="Times New Roman" w:cs="Times New Roman"/>
                <w:sz w:val="28"/>
                <w:szCs w:val="28"/>
              </w:rPr>
              <w:t xml:space="preserve">Projekts šo jomu neskar. </w:t>
            </w:r>
          </w:p>
        </w:tc>
      </w:tr>
      <w:tr w:rsidR="00FF06F9" w:rsidTr="00FF06F9">
        <w:trPr>
          <w:trHeight w:val="688"/>
          <w:tblCellSpacing w:w="0" w:type="dxa"/>
          <w:jc w:val="center"/>
        </w:trPr>
        <w:tc>
          <w:tcPr>
            <w:tcW w:w="628" w:type="dxa"/>
            <w:tcBorders>
              <w:top w:val="outset" w:sz="6" w:space="0" w:color="auto"/>
              <w:left w:val="outset" w:sz="6" w:space="0" w:color="auto"/>
              <w:bottom w:val="outset" w:sz="6" w:space="0" w:color="auto"/>
              <w:right w:val="outset" w:sz="6" w:space="0" w:color="auto"/>
            </w:tcBorders>
          </w:tcPr>
          <w:p w:rsidR="00FF06F9" w:rsidRDefault="00FF06F9">
            <w:pPr>
              <w:spacing w:after="0" w:line="240" w:lineRule="auto"/>
              <w:rPr>
                <w:rFonts w:ascii="Times New Roman" w:hAnsi="Times New Roman" w:cs="Times New Roman"/>
                <w:sz w:val="28"/>
                <w:szCs w:val="28"/>
              </w:rPr>
            </w:pPr>
            <w:r>
              <w:rPr>
                <w:rFonts w:ascii="Times New Roman" w:hAnsi="Times New Roman" w:cs="Times New Roman"/>
                <w:sz w:val="28"/>
                <w:szCs w:val="28"/>
              </w:rPr>
              <w:t>6.</w:t>
            </w:r>
          </w:p>
          <w:p w:rsidR="00FF06F9" w:rsidRDefault="00FF06F9">
            <w:pPr>
              <w:spacing w:after="0" w:line="240" w:lineRule="auto"/>
              <w:rPr>
                <w:rFonts w:ascii="Times New Roman" w:hAnsi="Times New Roman" w:cs="Times New Roman"/>
                <w:sz w:val="28"/>
                <w:szCs w:val="28"/>
              </w:rPr>
            </w:pPr>
          </w:p>
        </w:tc>
        <w:tc>
          <w:tcPr>
            <w:tcW w:w="2705"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rPr>
                <w:rFonts w:ascii="Times New Roman" w:hAnsi="Times New Roman" w:cs="Times New Roman"/>
                <w:sz w:val="28"/>
                <w:szCs w:val="28"/>
              </w:rPr>
            </w:pPr>
            <w:r>
              <w:rPr>
                <w:rFonts w:ascii="Times New Roman" w:hAnsi="Times New Roman" w:cs="Times New Roman"/>
                <w:sz w:val="28"/>
                <w:szCs w:val="28"/>
              </w:rPr>
              <w:t>Iemesli, kādēļ netika nodrošināta sabiedrības līdzdalība</w:t>
            </w:r>
          </w:p>
        </w:tc>
        <w:tc>
          <w:tcPr>
            <w:tcW w:w="6694"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ind w:left="266" w:right="301"/>
              <w:jc w:val="both"/>
              <w:rPr>
                <w:rFonts w:ascii="Times New Roman" w:hAnsi="Times New Roman" w:cs="Times New Roman"/>
                <w:bCs/>
                <w:sz w:val="28"/>
                <w:szCs w:val="28"/>
                <w:lang w:eastAsia="en-US"/>
              </w:rPr>
            </w:pPr>
            <w:r>
              <w:rPr>
                <w:rFonts w:ascii="Times New Roman" w:hAnsi="Times New Roman" w:cs="Times New Roman"/>
                <w:bCs/>
                <w:sz w:val="28"/>
                <w:szCs w:val="28"/>
              </w:rPr>
              <w:t>Sabiedrības līdzdalība netika nodrošināta, jo noteikumu projekts ir tehnisks projekts, kas paredz tikai naudas summ</w:t>
            </w:r>
            <w:r w:rsidR="003451CB">
              <w:rPr>
                <w:rFonts w:ascii="Times New Roman" w:hAnsi="Times New Roman" w:cs="Times New Roman"/>
                <w:bCs/>
                <w:sz w:val="28"/>
                <w:szCs w:val="28"/>
              </w:rPr>
              <w:t>as</w:t>
            </w:r>
            <w:r>
              <w:rPr>
                <w:rFonts w:ascii="Times New Roman" w:hAnsi="Times New Roman" w:cs="Times New Roman"/>
                <w:bCs/>
                <w:sz w:val="28"/>
                <w:szCs w:val="28"/>
              </w:rPr>
              <w:t xml:space="preserve"> konvertāciju no latiem uz </w:t>
            </w:r>
            <w:r>
              <w:rPr>
                <w:rFonts w:ascii="Times New Roman" w:hAnsi="Times New Roman" w:cs="Times New Roman"/>
                <w:bCs/>
                <w:i/>
                <w:sz w:val="28"/>
                <w:szCs w:val="28"/>
              </w:rPr>
              <w:t>euro.</w:t>
            </w:r>
            <w:r>
              <w:rPr>
                <w:rFonts w:ascii="Times New Roman" w:hAnsi="Times New Roman" w:cs="Times New Roman"/>
                <w:bCs/>
                <w:sz w:val="28"/>
                <w:szCs w:val="28"/>
              </w:rPr>
              <w:t xml:space="preserve"> </w:t>
            </w:r>
          </w:p>
          <w:p w:rsidR="00FF06F9" w:rsidRDefault="00FF06F9">
            <w:pPr>
              <w:spacing w:after="0" w:line="240" w:lineRule="auto"/>
              <w:ind w:left="266" w:right="301"/>
              <w:jc w:val="both"/>
              <w:rPr>
                <w:rFonts w:ascii="Times New Roman" w:hAnsi="Times New Roman" w:cs="Times New Roman"/>
                <w:bCs/>
                <w:sz w:val="28"/>
                <w:szCs w:val="28"/>
              </w:rPr>
            </w:pPr>
            <w:r>
              <w:rPr>
                <w:rFonts w:ascii="Times New Roman" w:hAnsi="Times New Roman" w:cs="Times New Roman"/>
                <w:bCs/>
                <w:sz w:val="28"/>
                <w:szCs w:val="28"/>
              </w:rPr>
              <w:t>Projekts nemaina pastāvošo tiesisko regulējumu pēc būtības.</w:t>
            </w:r>
          </w:p>
          <w:p w:rsidR="008A14F9" w:rsidRDefault="008A14F9">
            <w:pPr>
              <w:spacing w:after="0" w:line="240" w:lineRule="auto"/>
              <w:ind w:left="266" w:right="301"/>
              <w:jc w:val="both"/>
              <w:rPr>
                <w:rFonts w:ascii="Times New Roman" w:hAnsi="Times New Roman" w:cs="Times New Roman"/>
                <w:bCs/>
                <w:sz w:val="28"/>
                <w:szCs w:val="28"/>
              </w:rPr>
            </w:pPr>
          </w:p>
        </w:tc>
      </w:tr>
      <w:tr w:rsidR="00FF06F9" w:rsidTr="00FF06F9">
        <w:trPr>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FF06F9" w:rsidRDefault="00FF06F9">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2705" w:type="dxa"/>
            <w:tcBorders>
              <w:top w:val="outset" w:sz="6" w:space="0" w:color="auto"/>
              <w:left w:val="outset" w:sz="6" w:space="0" w:color="auto"/>
              <w:bottom w:val="outset" w:sz="6" w:space="0" w:color="auto"/>
              <w:right w:val="outset" w:sz="6" w:space="0" w:color="auto"/>
            </w:tcBorders>
            <w:hideMark/>
          </w:tcPr>
          <w:p w:rsidR="00FF06F9" w:rsidRPr="00FA044C" w:rsidRDefault="00FF06F9">
            <w:pPr>
              <w:spacing w:after="0" w:line="240" w:lineRule="auto"/>
              <w:rPr>
                <w:rFonts w:ascii="Times New Roman" w:hAnsi="Times New Roman" w:cs="Times New Roman"/>
                <w:sz w:val="28"/>
                <w:szCs w:val="28"/>
              </w:rPr>
            </w:pPr>
            <w:r w:rsidRPr="00FA044C">
              <w:rPr>
                <w:rFonts w:ascii="Times New Roman" w:hAnsi="Times New Roman" w:cs="Times New Roman"/>
                <w:sz w:val="28"/>
                <w:szCs w:val="28"/>
              </w:rPr>
              <w:t>Cita informācija</w:t>
            </w:r>
          </w:p>
        </w:tc>
        <w:tc>
          <w:tcPr>
            <w:tcW w:w="6694" w:type="dxa"/>
            <w:tcBorders>
              <w:top w:val="outset" w:sz="6" w:space="0" w:color="auto"/>
              <w:left w:val="outset" w:sz="6" w:space="0" w:color="auto"/>
              <w:bottom w:val="outset" w:sz="6" w:space="0" w:color="auto"/>
              <w:right w:val="outset" w:sz="6" w:space="0" w:color="auto"/>
            </w:tcBorders>
            <w:hideMark/>
          </w:tcPr>
          <w:p w:rsidR="00FF06F9" w:rsidRPr="00FA044C" w:rsidRDefault="00FA044C">
            <w:pPr>
              <w:spacing w:after="0"/>
              <w:rPr>
                <w:rFonts w:ascii="Times New Roman" w:hAnsi="Times New Roman" w:cs="Times New Roman"/>
                <w:sz w:val="28"/>
                <w:szCs w:val="28"/>
              </w:rPr>
            </w:pPr>
            <w:r w:rsidRPr="00FA044C">
              <w:rPr>
                <w:rFonts w:ascii="Times New Roman" w:hAnsi="Times New Roman" w:cs="Times New Roman"/>
                <w:sz w:val="28"/>
                <w:szCs w:val="28"/>
              </w:rPr>
              <w:t xml:space="preserve">      Nav</w:t>
            </w:r>
          </w:p>
        </w:tc>
      </w:tr>
    </w:tbl>
    <w:p w:rsidR="00FF06F9" w:rsidRDefault="00FF06F9" w:rsidP="00FF06F9">
      <w:pPr>
        <w:spacing w:after="0" w:line="240" w:lineRule="auto"/>
        <w:jc w:val="both"/>
        <w:rPr>
          <w:rFonts w:ascii="Times New Roman" w:hAnsi="Times New Roman" w:cs="Times New Roman"/>
          <w:sz w:val="28"/>
          <w:szCs w:val="28"/>
        </w:rPr>
      </w:pPr>
    </w:p>
    <w:p w:rsidR="00FF06F9" w:rsidRDefault="00FF06F9" w:rsidP="00FF06F9">
      <w:pPr>
        <w:spacing w:after="0" w:line="240" w:lineRule="auto"/>
        <w:rPr>
          <w:rFonts w:ascii="Times New Roman" w:eastAsia="Times New Roman" w:hAnsi="Times New Roman" w:cs="Times New Roman"/>
          <w:i/>
          <w:sz w:val="28"/>
          <w:szCs w:val="28"/>
        </w:rPr>
      </w:pPr>
      <w:r>
        <w:rPr>
          <w:rFonts w:ascii="Times New Roman" w:hAnsi="Times New Roman" w:cs="Times New Roman"/>
          <w:i/>
          <w:iCs/>
          <w:sz w:val="28"/>
          <w:szCs w:val="28"/>
        </w:rPr>
        <w:t>Anotācijas II, III, IV, V, VI un VII  sadaļa – projekts šīs jomas neskar</w:t>
      </w:r>
    </w:p>
    <w:p w:rsidR="00FF06F9" w:rsidRDefault="00FF06F9" w:rsidP="00FF06F9">
      <w:pPr>
        <w:spacing w:after="0" w:line="240" w:lineRule="auto"/>
        <w:jc w:val="both"/>
        <w:rPr>
          <w:rFonts w:ascii="Times New Roman" w:eastAsia="Times New Roman" w:hAnsi="Times New Roman" w:cs="Times New Roman"/>
          <w:sz w:val="28"/>
          <w:szCs w:val="28"/>
        </w:rPr>
      </w:pPr>
    </w:p>
    <w:p w:rsidR="00FF06F9" w:rsidRDefault="00FF06F9" w:rsidP="00FF06F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Izglītības un zinātnes ministrs</w:t>
      </w:r>
      <w:r>
        <w:rPr>
          <w:rFonts w:ascii="Times New Roman" w:hAnsi="Times New Roman" w:cs="Times New Roman"/>
          <w:sz w:val="28"/>
          <w:szCs w:val="28"/>
        </w:rPr>
        <w:tab/>
        <w:t xml:space="preserve">                               V.Dombrovskis</w:t>
      </w:r>
    </w:p>
    <w:p w:rsidR="00FF06F9" w:rsidRDefault="00FF06F9" w:rsidP="00FF06F9">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8A14F9" w:rsidRDefault="008A14F9" w:rsidP="00FF06F9">
      <w:pPr>
        <w:spacing w:after="0" w:line="240" w:lineRule="auto"/>
        <w:rPr>
          <w:rFonts w:ascii="Times New Roman" w:hAnsi="Times New Roman" w:cs="Times New Roman"/>
          <w:sz w:val="28"/>
          <w:szCs w:val="28"/>
        </w:rPr>
      </w:pPr>
    </w:p>
    <w:p w:rsidR="00FF06F9" w:rsidRDefault="00FF06F9" w:rsidP="00FF06F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Iesniedzējs: izglītības un zinātnes ministrs</w:t>
      </w:r>
      <w:r>
        <w:rPr>
          <w:rFonts w:ascii="Times New Roman" w:hAnsi="Times New Roman" w:cs="Times New Roman"/>
          <w:sz w:val="28"/>
          <w:szCs w:val="28"/>
        </w:rPr>
        <w:tab/>
        <w:t xml:space="preserve">          V.Dombrovskis</w:t>
      </w:r>
    </w:p>
    <w:p w:rsidR="00FF06F9" w:rsidRDefault="00FF06F9" w:rsidP="00FF06F9">
      <w:pPr>
        <w:spacing w:after="0" w:line="240" w:lineRule="auto"/>
        <w:ind w:firstLine="720"/>
        <w:rPr>
          <w:rFonts w:ascii="Times New Roman" w:hAnsi="Times New Roman" w:cs="Times New Roman"/>
          <w:sz w:val="28"/>
          <w:szCs w:val="28"/>
        </w:rPr>
      </w:pPr>
    </w:p>
    <w:p w:rsidR="00FA044C" w:rsidRDefault="00FA044C" w:rsidP="00FF06F9">
      <w:pPr>
        <w:spacing w:after="0" w:line="240" w:lineRule="auto"/>
        <w:ind w:firstLine="720"/>
        <w:rPr>
          <w:rFonts w:ascii="Times New Roman" w:hAnsi="Times New Roman" w:cs="Times New Roman"/>
          <w:sz w:val="28"/>
          <w:szCs w:val="28"/>
        </w:rPr>
      </w:pPr>
    </w:p>
    <w:p w:rsidR="00FA044C" w:rsidRDefault="00FA044C" w:rsidP="00FF06F9">
      <w:pPr>
        <w:spacing w:after="0" w:line="240" w:lineRule="auto"/>
        <w:ind w:firstLine="720"/>
        <w:rPr>
          <w:rFonts w:ascii="Times New Roman" w:hAnsi="Times New Roman" w:cs="Times New Roman"/>
          <w:sz w:val="28"/>
          <w:szCs w:val="28"/>
        </w:rPr>
      </w:pPr>
    </w:p>
    <w:p w:rsidR="00FF06F9" w:rsidRDefault="00FF06F9" w:rsidP="00FF06F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Vīza: valsts sekretāre                                                S.Liepiņa</w:t>
      </w: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p>
    <w:p w:rsidR="00FF06F9" w:rsidRDefault="00FF06F9" w:rsidP="00FF06F9">
      <w:pPr>
        <w:pStyle w:val="NoSpacing"/>
        <w:rPr>
          <w:sz w:val="20"/>
          <w:szCs w:val="20"/>
        </w:rPr>
      </w:pPr>
      <w:r>
        <w:rPr>
          <w:sz w:val="20"/>
          <w:szCs w:val="20"/>
        </w:rPr>
        <w:t xml:space="preserve">30.07.2013. </w:t>
      </w:r>
    </w:p>
    <w:p w:rsidR="00FF06F9" w:rsidRDefault="00FF06F9" w:rsidP="00FF06F9">
      <w:pPr>
        <w:pStyle w:val="NoSpacing"/>
        <w:rPr>
          <w:sz w:val="20"/>
          <w:szCs w:val="20"/>
        </w:rPr>
      </w:pPr>
      <w:r>
        <w:rPr>
          <w:sz w:val="20"/>
          <w:szCs w:val="20"/>
        </w:rPr>
        <w:t>4</w:t>
      </w:r>
      <w:r w:rsidR="00CA75B6">
        <w:rPr>
          <w:sz w:val="20"/>
          <w:szCs w:val="20"/>
        </w:rPr>
        <w:t>5</w:t>
      </w:r>
      <w:r w:rsidR="005D7630">
        <w:rPr>
          <w:sz w:val="20"/>
          <w:szCs w:val="20"/>
        </w:rPr>
        <w:t>3</w:t>
      </w:r>
    </w:p>
    <w:p w:rsidR="00FF06F9" w:rsidRDefault="00FF06F9" w:rsidP="00FF06F9">
      <w:pPr>
        <w:pStyle w:val="NoSpacing"/>
        <w:rPr>
          <w:sz w:val="20"/>
          <w:szCs w:val="20"/>
        </w:rPr>
      </w:pPr>
      <w:r>
        <w:rPr>
          <w:sz w:val="20"/>
          <w:szCs w:val="20"/>
        </w:rPr>
        <w:t>D.Bīlmanis</w:t>
      </w:r>
    </w:p>
    <w:p w:rsidR="00FF06F9" w:rsidRDefault="00FF06F9" w:rsidP="00FF06F9">
      <w:pPr>
        <w:pStyle w:val="NoSpacing"/>
        <w:rPr>
          <w:sz w:val="20"/>
          <w:szCs w:val="20"/>
        </w:rPr>
      </w:pPr>
      <w:r>
        <w:rPr>
          <w:sz w:val="20"/>
          <w:szCs w:val="20"/>
        </w:rPr>
        <w:t>Izglītības departamenta juriskonsults</w:t>
      </w:r>
    </w:p>
    <w:p w:rsidR="00FF06F9" w:rsidRDefault="00FF06F9" w:rsidP="00FF06F9">
      <w:pPr>
        <w:pStyle w:val="NoSpacing"/>
        <w:rPr>
          <w:sz w:val="20"/>
          <w:szCs w:val="20"/>
        </w:rPr>
      </w:pPr>
      <w:r>
        <w:rPr>
          <w:sz w:val="20"/>
          <w:szCs w:val="20"/>
        </w:rPr>
        <w:t xml:space="preserve">67047702, </w:t>
      </w:r>
      <w:hyperlink r:id="rId10" w:history="1">
        <w:r>
          <w:rPr>
            <w:rStyle w:val="Hyperlink"/>
            <w:sz w:val="20"/>
            <w:szCs w:val="20"/>
          </w:rPr>
          <w:t>dainis.bilmanis@izm.gov.lv</w:t>
        </w:r>
      </w:hyperlink>
      <w:r>
        <w:rPr>
          <w:sz w:val="20"/>
          <w:szCs w:val="20"/>
        </w:rPr>
        <w:t xml:space="preserve"> </w:t>
      </w:r>
    </w:p>
    <w:p w:rsidR="00FF06F9" w:rsidRDefault="00FF06F9" w:rsidP="00FF06F9">
      <w:pPr>
        <w:spacing w:after="0" w:line="240" w:lineRule="auto"/>
        <w:rPr>
          <w:rFonts w:ascii="Times New Roman" w:hAnsi="Times New Roman" w:cs="Times New Roman"/>
          <w:sz w:val="28"/>
          <w:szCs w:val="28"/>
        </w:rPr>
      </w:pPr>
    </w:p>
    <w:p w:rsidR="00FF06F9" w:rsidRDefault="00FF06F9" w:rsidP="00FF06F9"/>
    <w:p w:rsidR="00FF06F9" w:rsidRDefault="00FF06F9" w:rsidP="00FF06F9"/>
    <w:p w:rsidR="00C6262D" w:rsidRDefault="00C6262D"/>
    <w:p w:rsidR="00F67D0A" w:rsidRDefault="00F67D0A"/>
    <w:sectPr w:rsidR="00F67D0A" w:rsidSect="00CA75B6">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937" w:rsidRDefault="000F3937" w:rsidP="006C5BE1">
      <w:pPr>
        <w:spacing w:after="0" w:line="240" w:lineRule="auto"/>
      </w:pPr>
      <w:r>
        <w:separator/>
      </w:r>
    </w:p>
  </w:endnote>
  <w:endnote w:type="continuationSeparator" w:id="1">
    <w:p w:rsidR="000F3937" w:rsidRDefault="000F3937" w:rsidP="006C5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E1" w:rsidRPr="00FE7CCD" w:rsidRDefault="006C5BE1" w:rsidP="006C5BE1">
    <w:pPr>
      <w:pStyle w:val="Footer"/>
      <w:jc w:val="both"/>
      <w:rPr>
        <w:rFonts w:ascii="Times New Roman" w:hAnsi="Times New Roman" w:cs="Times New Roman"/>
        <w:sz w:val="20"/>
        <w:szCs w:val="20"/>
      </w:rPr>
    </w:pPr>
    <w:r w:rsidRPr="00FE7CCD">
      <w:rPr>
        <w:rFonts w:ascii="Times New Roman" w:hAnsi="Times New Roman" w:cs="Times New Roman"/>
        <w:sz w:val="20"/>
        <w:szCs w:val="20"/>
      </w:rPr>
      <w:t>IZM</w:t>
    </w:r>
    <w:r>
      <w:rPr>
        <w:rFonts w:ascii="Times New Roman" w:hAnsi="Times New Roman" w:cs="Times New Roman"/>
        <w:sz w:val="20"/>
        <w:szCs w:val="20"/>
      </w:rPr>
      <w:t>An</w:t>
    </w:r>
    <w:r w:rsidRPr="00FE7CCD">
      <w:rPr>
        <w:rFonts w:ascii="Times New Roman" w:hAnsi="Times New Roman" w:cs="Times New Roman"/>
        <w:sz w:val="20"/>
        <w:szCs w:val="20"/>
      </w:rPr>
      <w:t>ot_</w:t>
    </w:r>
    <w:r>
      <w:rPr>
        <w:rFonts w:ascii="Times New Roman" w:hAnsi="Times New Roman" w:cs="Times New Roman"/>
        <w:sz w:val="20"/>
        <w:szCs w:val="20"/>
      </w:rPr>
      <w:t>300713</w:t>
    </w:r>
    <w:r w:rsidRPr="00FE7CCD">
      <w:rPr>
        <w:rFonts w:ascii="Times New Roman" w:hAnsi="Times New Roman" w:cs="Times New Roman"/>
        <w:sz w:val="20"/>
        <w:szCs w:val="20"/>
      </w:rPr>
      <w:t>_</w:t>
    </w:r>
    <w:r>
      <w:rPr>
        <w:rFonts w:ascii="Times New Roman" w:hAnsi="Times New Roman" w:cs="Times New Roman"/>
        <w:sz w:val="20"/>
        <w:szCs w:val="20"/>
      </w:rPr>
      <w:t>macpraks</w:t>
    </w:r>
    <w:r w:rsidRPr="00FE7CCD">
      <w:rPr>
        <w:rFonts w:ascii="Times New Roman" w:hAnsi="Times New Roman" w:cs="Times New Roman"/>
        <w:sz w:val="20"/>
        <w:szCs w:val="20"/>
      </w:rPr>
      <w:t>; Ministru kabineta noteikumu projekt</w:t>
    </w:r>
    <w:r>
      <w:rPr>
        <w:rFonts w:ascii="Times New Roman" w:hAnsi="Times New Roman" w:cs="Times New Roman"/>
        <w:sz w:val="20"/>
        <w:szCs w:val="20"/>
      </w:rPr>
      <w:t>a</w:t>
    </w:r>
    <w:r w:rsidRPr="00FE7CCD">
      <w:rPr>
        <w:rFonts w:ascii="Times New Roman" w:hAnsi="Times New Roman" w:cs="Times New Roman"/>
        <w:sz w:val="20"/>
        <w:szCs w:val="20"/>
      </w:rPr>
      <w:t xml:space="preserve"> „</w:t>
    </w:r>
    <w:r>
      <w:rPr>
        <w:rFonts w:ascii="Times New Roman" w:hAnsi="Times New Roman" w:cs="Times New Roman"/>
        <w:sz w:val="20"/>
        <w:szCs w:val="20"/>
      </w:rPr>
      <w:t>Grozījums Ministru kabineta 2012.gada 20.novembra noteikumos Nr.785 „Mācību prakses organizācijas un izglītojamo apdrošināšanas kārtība”</w:t>
    </w:r>
    <w:r w:rsidRPr="00FE7CCD">
      <w:rPr>
        <w:rFonts w:ascii="Times New Roman" w:hAnsi="Times New Roman" w:cs="Times New Roman"/>
        <w:sz w:val="20"/>
        <w:szCs w:val="20"/>
      </w:rPr>
      <w:t>”</w:t>
    </w:r>
    <w:r>
      <w:rPr>
        <w:rFonts w:ascii="Times New Roman" w:hAnsi="Times New Roman" w:cs="Times New Roman"/>
        <w:sz w:val="20"/>
        <w:szCs w:val="20"/>
      </w:rPr>
      <w:t xml:space="preserve"> sākotnējās ietekmes novērtējuma ziņojums (anotācija).</w:t>
    </w:r>
  </w:p>
  <w:p w:rsidR="006C5BE1" w:rsidRDefault="006C5BE1" w:rsidP="006C5BE1">
    <w:pPr>
      <w:pStyle w:val="Footer"/>
    </w:pPr>
  </w:p>
  <w:p w:rsidR="006C5BE1" w:rsidRPr="006C5BE1" w:rsidRDefault="006C5BE1" w:rsidP="006C5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4C" w:rsidRPr="00FE7CCD" w:rsidRDefault="00FA044C" w:rsidP="00FA044C">
    <w:pPr>
      <w:pStyle w:val="Footer"/>
      <w:jc w:val="both"/>
      <w:rPr>
        <w:rFonts w:ascii="Times New Roman" w:hAnsi="Times New Roman" w:cs="Times New Roman"/>
        <w:sz w:val="20"/>
        <w:szCs w:val="20"/>
      </w:rPr>
    </w:pPr>
    <w:r w:rsidRPr="00FE7CCD">
      <w:rPr>
        <w:rFonts w:ascii="Times New Roman" w:hAnsi="Times New Roman" w:cs="Times New Roman"/>
        <w:sz w:val="20"/>
        <w:szCs w:val="20"/>
      </w:rPr>
      <w:t>IZM</w:t>
    </w:r>
    <w:r>
      <w:rPr>
        <w:rFonts w:ascii="Times New Roman" w:hAnsi="Times New Roman" w:cs="Times New Roman"/>
        <w:sz w:val="20"/>
        <w:szCs w:val="20"/>
      </w:rPr>
      <w:t>An</w:t>
    </w:r>
    <w:r w:rsidRPr="00FE7CCD">
      <w:rPr>
        <w:rFonts w:ascii="Times New Roman" w:hAnsi="Times New Roman" w:cs="Times New Roman"/>
        <w:sz w:val="20"/>
        <w:szCs w:val="20"/>
      </w:rPr>
      <w:t>ot_</w:t>
    </w:r>
    <w:r>
      <w:rPr>
        <w:rFonts w:ascii="Times New Roman" w:hAnsi="Times New Roman" w:cs="Times New Roman"/>
        <w:sz w:val="20"/>
        <w:szCs w:val="20"/>
      </w:rPr>
      <w:t>300713</w:t>
    </w:r>
    <w:r w:rsidRPr="00FE7CCD">
      <w:rPr>
        <w:rFonts w:ascii="Times New Roman" w:hAnsi="Times New Roman" w:cs="Times New Roman"/>
        <w:sz w:val="20"/>
        <w:szCs w:val="20"/>
      </w:rPr>
      <w:t>_</w:t>
    </w:r>
    <w:r>
      <w:rPr>
        <w:rFonts w:ascii="Times New Roman" w:hAnsi="Times New Roman" w:cs="Times New Roman"/>
        <w:sz w:val="20"/>
        <w:szCs w:val="20"/>
      </w:rPr>
      <w:t>macpraks</w:t>
    </w:r>
    <w:r w:rsidRPr="00FE7CCD">
      <w:rPr>
        <w:rFonts w:ascii="Times New Roman" w:hAnsi="Times New Roman" w:cs="Times New Roman"/>
        <w:sz w:val="20"/>
        <w:szCs w:val="20"/>
      </w:rPr>
      <w:t>; Ministru kabineta noteikumu projekt</w:t>
    </w:r>
    <w:r>
      <w:rPr>
        <w:rFonts w:ascii="Times New Roman" w:hAnsi="Times New Roman" w:cs="Times New Roman"/>
        <w:sz w:val="20"/>
        <w:szCs w:val="20"/>
      </w:rPr>
      <w:t>a</w:t>
    </w:r>
    <w:r w:rsidRPr="00FE7CCD">
      <w:rPr>
        <w:rFonts w:ascii="Times New Roman" w:hAnsi="Times New Roman" w:cs="Times New Roman"/>
        <w:sz w:val="20"/>
        <w:szCs w:val="20"/>
      </w:rPr>
      <w:t xml:space="preserve"> „</w:t>
    </w:r>
    <w:r>
      <w:rPr>
        <w:rFonts w:ascii="Times New Roman" w:hAnsi="Times New Roman" w:cs="Times New Roman"/>
        <w:sz w:val="20"/>
        <w:szCs w:val="20"/>
      </w:rPr>
      <w:t>Grozījums Ministru kabineta 2012.gada 20.novembra noteikumos Nr.785 „Mācību prakses organizācijas un izglītojamo apdrošināšanas kārtība”</w:t>
    </w:r>
    <w:r w:rsidRPr="00FE7CCD">
      <w:rPr>
        <w:rFonts w:ascii="Times New Roman" w:hAnsi="Times New Roman" w:cs="Times New Roman"/>
        <w:sz w:val="20"/>
        <w:szCs w:val="20"/>
      </w:rPr>
      <w:t>”</w:t>
    </w:r>
    <w:r>
      <w:rPr>
        <w:rFonts w:ascii="Times New Roman" w:hAnsi="Times New Roman" w:cs="Times New Roman"/>
        <w:sz w:val="20"/>
        <w:szCs w:val="20"/>
      </w:rPr>
      <w:t xml:space="preserve"> sākotnējās ietekmes novērtējuma ziņojums (anotācija).</w:t>
    </w:r>
  </w:p>
  <w:p w:rsidR="00FA044C" w:rsidRDefault="00FA0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937" w:rsidRDefault="000F3937" w:rsidP="006C5BE1">
      <w:pPr>
        <w:spacing w:after="0" w:line="240" w:lineRule="auto"/>
      </w:pPr>
      <w:r>
        <w:separator/>
      </w:r>
    </w:p>
  </w:footnote>
  <w:footnote w:type="continuationSeparator" w:id="1">
    <w:p w:rsidR="000F3937" w:rsidRDefault="000F3937" w:rsidP="006C5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3297"/>
      <w:docPartObj>
        <w:docPartGallery w:val="Page Numbers (Top of Page)"/>
        <w:docPartUnique/>
      </w:docPartObj>
    </w:sdtPr>
    <w:sdtContent>
      <w:p w:rsidR="00CA75B6" w:rsidRDefault="00D8798C">
        <w:pPr>
          <w:pStyle w:val="Header"/>
          <w:jc w:val="center"/>
        </w:pPr>
        <w:fldSimple w:instr=" PAGE   \* MERGEFORMAT ">
          <w:r w:rsidR="005D7630">
            <w:rPr>
              <w:noProof/>
            </w:rPr>
            <w:t>3</w:t>
          </w:r>
        </w:fldSimple>
      </w:p>
    </w:sdtContent>
  </w:sdt>
  <w:p w:rsidR="00CA75B6" w:rsidRDefault="00CA75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B2BE8"/>
    <w:multiLevelType w:val="hybridMultilevel"/>
    <w:tmpl w:val="7EC245DA"/>
    <w:lvl w:ilvl="0" w:tplc="F01A9A5E">
      <w:start w:val="1"/>
      <w:numFmt w:val="decimal"/>
      <w:lvlText w:val="%1)"/>
      <w:lvlJc w:val="left"/>
      <w:pPr>
        <w:ind w:left="629"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F06F9"/>
    <w:rsid w:val="000F3937"/>
    <w:rsid w:val="003246C3"/>
    <w:rsid w:val="003451CB"/>
    <w:rsid w:val="00584538"/>
    <w:rsid w:val="005D7630"/>
    <w:rsid w:val="00601BAB"/>
    <w:rsid w:val="006C5BE1"/>
    <w:rsid w:val="008A14F9"/>
    <w:rsid w:val="00A9253B"/>
    <w:rsid w:val="00BD1933"/>
    <w:rsid w:val="00C6262D"/>
    <w:rsid w:val="00CA75B6"/>
    <w:rsid w:val="00D8798C"/>
    <w:rsid w:val="00E21AE7"/>
    <w:rsid w:val="00E95CF9"/>
    <w:rsid w:val="00F67D0A"/>
    <w:rsid w:val="00FA044C"/>
    <w:rsid w:val="00FF06F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F06F9"/>
    <w:rPr>
      <w:color w:val="0000FF"/>
      <w:u w:val="single"/>
    </w:rPr>
  </w:style>
  <w:style w:type="paragraph" w:styleId="NoSpacing">
    <w:name w:val="No Spacing"/>
    <w:uiPriority w:val="1"/>
    <w:qFormat/>
    <w:rsid w:val="00FF06F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5B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5BE1"/>
  </w:style>
  <w:style w:type="paragraph" w:styleId="Footer">
    <w:name w:val="footer"/>
    <w:basedOn w:val="Normal"/>
    <w:link w:val="FooterChar"/>
    <w:uiPriority w:val="99"/>
    <w:semiHidden/>
    <w:unhideWhenUsed/>
    <w:rsid w:val="006C5BE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C5BE1"/>
  </w:style>
</w:styles>
</file>

<file path=word/webSettings.xml><?xml version="1.0" encoding="utf-8"?>
<w:webSettings xmlns:r="http://schemas.openxmlformats.org/officeDocument/2006/relationships" xmlns:w="http://schemas.openxmlformats.org/wordprocessingml/2006/main">
  <w:divs>
    <w:div w:id="17170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98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2547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inis.bilmanis@izm.gov.lv" TargetMode="External"/><Relationship Id="rId4" Type="http://schemas.openxmlformats.org/officeDocument/2006/relationships/webSettings" Target="webSettings.xml"/><Relationship Id="rId9" Type="http://schemas.openxmlformats.org/officeDocument/2006/relationships/hyperlink" Target="http://likumi.lv/doc.php?id=2559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497</Words>
  <Characters>3482</Characters>
  <Application>Microsoft Office Word</Application>
  <DocSecurity>0</DocSecurity>
  <Lines>145</Lines>
  <Paragraphs>51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dbilmanis</dc:creator>
  <cp:keywords/>
  <dc:description/>
  <cp:lastModifiedBy>dbilmanis</cp:lastModifiedBy>
  <cp:revision>15</cp:revision>
  <cp:lastPrinted>2013-07-31T12:00:00Z</cp:lastPrinted>
  <dcterms:created xsi:type="dcterms:W3CDTF">2013-07-31T11:36:00Z</dcterms:created>
  <dcterms:modified xsi:type="dcterms:W3CDTF">2013-08-05T12:10:00Z</dcterms:modified>
</cp:coreProperties>
</file>