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8D" w:rsidRPr="0012308A" w:rsidRDefault="00F63B8D" w:rsidP="00F63B8D">
      <w:pPr>
        <w:pStyle w:val="BodyText2"/>
        <w:spacing w:line="240" w:lineRule="auto"/>
        <w:rPr>
          <w:sz w:val="24"/>
          <w:szCs w:val="24"/>
        </w:rPr>
      </w:pPr>
      <w:bookmarkStart w:id="0" w:name="OLE_LINK1"/>
      <w:bookmarkStart w:id="1" w:name="OLE_LINK2"/>
      <w:r w:rsidRPr="00A74905">
        <w:rPr>
          <w:sz w:val="24"/>
          <w:szCs w:val="24"/>
        </w:rPr>
        <w:t>Ministru kabi</w:t>
      </w:r>
      <w:r w:rsidRPr="0012308A">
        <w:rPr>
          <w:sz w:val="24"/>
          <w:szCs w:val="24"/>
        </w:rPr>
        <w:t>neta rīkojuma projekta</w:t>
      </w:r>
    </w:p>
    <w:p w:rsidR="00F822FD" w:rsidRDefault="00F822FD" w:rsidP="00F63B8D">
      <w:pPr>
        <w:pStyle w:val="BodyText2"/>
        <w:spacing w:line="240" w:lineRule="auto"/>
        <w:rPr>
          <w:sz w:val="24"/>
          <w:szCs w:val="24"/>
        </w:rPr>
      </w:pPr>
      <w:r>
        <w:rPr>
          <w:sz w:val="24"/>
          <w:szCs w:val="24"/>
        </w:rPr>
        <w:t>„</w:t>
      </w:r>
      <w:r w:rsidR="00F63B8D" w:rsidRPr="0012308A">
        <w:rPr>
          <w:sz w:val="24"/>
          <w:szCs w:val="24"/>
        </w:rPr>
        <w:t xml:space="preserve">Par </w:t>
      </w:r>
      <w:r w:rsidR="00B4729F">
        <w:rPr>
          <w:sz w:val="24"/>
          <w:szCs w:val="24"/>
        </w:rPr>
        <w:t xml:space="preserve">Rīgas Būvniecības </w:t>
      </w:r>
      <w:r w:rsidR="00243924">
        <w:rPr>
          <w:sz w:val="24"/>
          <w:szCs w:val="24"/>
        </w:rPr>
        <w:t xml:space="preserve">vidusskolas </w:t>
      </w:r>
      <w:r w:rsidR="00B4729F">
        <w:rPr>
          <w:sz w:val="24"/>
          <w:szCs w:val="24"/>
        </w:rPr>
        <w:t>likvidāciju</w:t>
      </w:r>
      <w:r w:rsidR="002D2BA5">
        <w:rPr>
          <w:sz w:val="24"/>
          <w:szCs w:val="24"/>
        </w:rPr>
        <w:t>”</w:t>
      </w:r>
      <w:r>
        <w:rPr>
          <w:sz w:val="24"/>
          <w:szCs w:val="24"/>
        </w:rPr>
        <w:t xml:space="preserve"> </w:t>
      </w:r>
    </w:p>
    <w:p w:rsidR="00F63B8D" w:rsidRDefault="00D72F92" w:rsidP="00F63B8D">
      <w:pPr>
        <w:pStyle w:val="BodyText2"/>
        <w:spacing w:line="240" w:lineRule="auto"/>
        <w:rPr>
          <w:sz w:val="24"/>
          <w:szCs w:val="24"/>
        </w:rPr>
      </w:pPr>
      <w:r>
        <w:rPr>
          <w:sz w:val="24"/>
          <w:szCs w:val="24"/>
        </w:rPr>
        <w:t xml:space="preserve">sākotnējās ietekmes </w:t>
      </w:r>
      <w:r w:rsidR="00303205">
        <w:rPr>
          <w:sz w:val="24"/>
          <w:szCs w:val="24"/>
        </w:rPr>
        <w:t xml:space="preserve">novērtējuma </w:t>
      </w:r>
      <w:r>
        <w:rPr>
          <w:sz w:val="24"/>
          <w:szCs w:val="24"/>
        </w:rPr>
        <w:t>ziņojums</w:t>
      </w:r>
      <w:r w:rsidR="00F63B8D" w:rsidRPr="0012308A">
        <w:rPr>
          <w:sz w:val="24"/>
          <w:szCs w:val="24"/>
        </w:rPr>
        <w:t xml:space="preserve"> </w:t>
      </w:r>
      <w:r>
        <w:rPr>
          <w:sz w:val="24"/>
          <w:szCs w:val="24"/>
        </w:rPr>
        <w:t>(</w:t>
      </w:r>
      <w:r w:rsidR="00F63B8D" w:rsidRPr="0012308A">
        <w:rPr>
          <w:sz w:val="24"/>
          <w:szCs w:val="24"/>
        </w:rPr>
        <w:t>anotācija</w:t>
      </w:r>
      <w:bookmarkEnd w:id="0"/>
      <w:bookmarkEnd w:id="1"/>
      <w:r>
        <w:rPr>
          <w:sz w:val="24"/>
          <w:szCs w:val="24"/>
        </w:rPr>
        <w:t>)</w:t>
      </w:r>
    </w:p>
    <w:p w:rsidR="00F63B8D" w:rsidRPr="0012308A" w:rsidRDefault="00F63B8D" w:rsidP="00F63B8D">
      <w:pPr>
        <w:pStyle w:val="naisc"/>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3823"/>
        <w:gridCol w:w="5068"/>
      </w:tblGrid>
      <w:tr w:rsidR="00084A32">
        <w:tc>
          <w:tcPr>
            <w:tcW w:w="9287" w:type="dxa"/>
            <w:gridSpan w:val="3"/>
          </w:tcPr>
          <w:p w:rsidR="00084A32" w:rsidRPr="007729DB" w:rsidRDefault="00084A32" w:rsidP="007729DB">
            <w:pPr>
              <w:numPr>
                <w:ilvl w:val="0"/>
                <w:numId w:val="3"/>
              </w:numPr>
              <w:jc w:val="center"/>
              <w:rPr>
                <w:b/>
              </w:rPr>
            </w:pPr>
            <w:r w:rsidRPr="007729DB">
              <w:rPr>
                <w:b/>
              </w:rPr>
              <w:t>Tiesību akta projekta izstrādes nepieciešamība</w:t>
            </w:r>
          </w:p>
        </w:tc>
      </w:tr>
      <w:tr w:rsidR="00084A32">
        <w:tc>
          <w:tcPr>
            <w:tcW w:w="396" w:type="dxa"/>
          </w:tcPr>
          <w:p w:rsidR="00084A32" w:rsidRDefault="00084A32" w:rsidP="00607C2F">
            <w:pPr>
              <w:jc w:val="center"/>
            </w:pPr>
            <w:r>
              <w:t>1.</w:t>
            </w:r>
          </w:p>
        </w:tc>
        <w:tc>
          <w:tcPr>
            <w:tcW w:w="3823" w:type="dxa"/>
          </w:tcPr>
          <w:p w:rsidR="00084A32" w:rsidRDefault="00084A32" w:rsidP="007729DB">
            <w:pPr>
              <w:jc w:val="both"/>
            </w:pPr>
            <w:r>
              <w:t>Pamatojums</w:t>
            </w:r>
          </w:p>
        </w:tc>
        <w:tc>
          <w:tcPr>
            <w:tcW w:w="5068" w:type="dxa"/>
          </w:tcPr>
          <w:p w:rsidR="00730F59" w:rsidRDefault="00730F59" w:rsidP="00730F59">
            <w:pPr>
              <w:ind w:firstLine="281"/>
              <w:jc w:val="both"/>
            </w:pPr>
            <w:r w:rsidRPr="004F659E">
              <w:t>Profesionālās izglītības likuma 14.panta pirmajā da</w:t>
            </w:r>
            <w:r>
              <w:t xml:space="preserve">ļā ir noteikts, ka </w:t>
            </w:r>
            <w:r w:rsidRPr="004F659E">
              <w:t>mi</w:t>
            </w:r>
            <w:r>
              <w:t xml:space="preserve">nistrija </w:t>
            </w:r>
            <w:r w:rsidRPr="004F659E">
              <w:t>ierosina Ministru kabinetam dibināt, reorganizēt un likvidēt valsts profesionālā</w:t>
            </w:r>
            <w:r>
              <w:t>s izglītības iestādes.</w:t>
            </w:r>
            <w:r w:rsidRPr="004F659E">
              <w:t xml:space="preserve"> </w:t>
            </w:r>
          </w:p>
          <w:p w:rsidR="00036146" w:rsidRDefault="00730F59" w:rsidP="00730F59">
            <w:pPr>
              <w:ind w:firstLine="281"/>
              <w:jc w:val="both"/>
            </w:pPr>
            <w:r>
              <w:t xml:space="preserve">Saskaņā ar </w:t>
            </w:r>
            <w:r w:rsidRPr="004F659E">
              <w:t xml:space="preserve">Valsts pārvaldes iekārtas likuma 15.panta </w:t>
            </w:r>
            <w:r>
              <w:t xml:space="preserve">ceturtās daļas 1.punktā noteikto </w:t>
            </w:r>
            <w:r w:rsidR="00167F6F">
              <w:t>tiešās pārvaldes iestādi likvidē, to pievienojot citai iestādei, – rezultātā pievienojamā iestāde beidz pastāvēt.</w:t>
            </w:r>
          </w:p>
          <w:p w:rsidR="00652F02" w:rsidRDefault="00652F02" w:rsidP="00652F02">
            <w:pPr>
              <w:pStyle w:val="NoSpacing"/>
              <w:jc w:val="both"/>
              <w:rPr>
                <w:bCs/>
              </w:rPr>
            </w:pPr>
            <w:r>
              <w:rPr>
                <w:bCs/>
              </w:rPr>
              <w:t xml:space="preserve">     </w:t>
            </w:r>
            <w:r w:rsidR="000E0A4A" w:rsidRPr="000E0A4A">
              <w:rPr>
                <w:bCs/>
              </w:rPr>
              <w:t xml:space="preserve">Ministru kabineta  2010.gada 6.janvāra rīkojums Nr.5 „Par Profesionālās izglītības iestāžu tīkla optimizācijas pamatnostādnēm 2010. – 2015.gadam” nosaka Izglītības un zinātnes ministriju (turpmāk  – ministrija) par atbildīgo institūciju </w:t>
            </w:r>
            <w:r w:rsidR="00F97900">
              <w:rPr>
                <w:bCs/>
              </w:rPr>
              <w:t>Profesionālās izglītības iestāžu tīkla optimizācijas pamatnostādņu 2010.-2015.gadam (turpmāk – pamatnostādnes)</w:t>
            </w:r>
            <w:r w:rsidR="000E0A4A" w:rsidRPr="000E0A4A">
              <w:rPr>
                <w:bCs/>
              </w:rPr>
              <w:t xml:space="preserve"> īstenošanā, nodrošinot turpmāku profesionālās izglītības sistēmas strukturālo reformu īstenošanu, optimizējot profesionālās izglītības iestāžu skaitu un izvietojumu reģionos, kā arī</w:t>
            </w:r>
            <w:r w:rsidR="00861A61">
              <w:rPr>
                <w:bCs/>
              </w:rPr>
              <w:t>,</w:t>
            </w:r>
            <w:r w:rsidR="000E0A4A" w:rsidRPr="000E0A4A">
              <w:rPr>
                <w:bCs/>
              </w:rPr>
              <w:t xml:space="preserve">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2819C9" w:rsidRPr="00652F02" w:rsidRDefault="00652F02" w:rsidP="00652F02">
            <w:pPr>
              <w:pStyle w:val="NoSpacing"/>
              <w:jc w:val="both"/>
              <w:rPr>
                <w:bCs/>
              </w:rPr>
            </w:pPr>
            <w:r>
              <w:rPr>
                <w:bCs/>
              </w:rPr>
              <w:t xml:space="preserve">     </w:t>
            </w:r>
            <w:r w:rsidR="00827435">
              <w:t>Ievērojot minēto, ministrija ir izstrādājusi Ministru kabineta r</w:t>
            </w:r>
            <w:r w:rsidR="003B07F2">
              <w:t xml:space="preserve">īkojuma projektu „Par </w:t>
            </w:r>
            <w:r w:rsidR="002E2055">
              <w:t>Rīgas Būvniecības vidusskolas likvidāciju</w:t>
            </w:r>
            <w:r w:rsidR="00827435">
              <w:t>” (turpmāk – rīkojuma projekts).</w:t>
            </w:r>
            <w:r w:rsidR="00431189">
              <w:t xml:space="preserve"> </w:t>
            </w:r>
          </w:p>
        </w:tc>
      </w:tr>
      <w:tr w:rsidR="00084A32">
        <w:tc>
          <w:tcPr>
            <w:tcW w:w="396" w:type="dxa"/>
          </w:tcPr>
          <w:p w:rsidR="00084A32" w:rsidRDefault="00084A32" w:rsidP="00607C2F">
            <w:pPr>
              <w:jc w:val="center"/>
            </w:pPr>
            <w:r>
              <w:t>2.</w:t>
            </w:r>
          </w:p>
        </w:tc>
        <w:tc>
          <w:tcPr>
            <w:tcW w:w="3823" w:type="dxa"/>
          </w:tcPr>
          <w:p w:rsidR="00084A32" w:rsidRDefault="00084A32" w:rsidP="007729DB">
            <w:pPr>
              <w:jc w:val="both"/>
            </w:pPr>
            <w:r>
              <w:t>Pašreizējā situācija un problēmas</w:t>
            </w:r>
          </w:p>
        </w:tc>
        <w:tc>
          <w:tcPr>
            <w:tcW w:w="5068" w:type="dxa"/>
          </w:tcPr>
          <w:p w:rsidR="00F97900" w:rsidRDefault="00474AEB" w:rsidP="00CE7D6D">
            <w:pPr>
              <w:jc w:val="both"/>
              <w:rPr>
                <w:bCs/>
                <w:color w:val="0D0D0D"/>
              </w:rPr>
            </w:pPr>
            <w:r w:rsidRPr="00842709">
              <w:rPr>
                <w:bCs/>
                <w:color w:val="0D0D0D"/>
              </w:rPr>
              <w:t xml:space="preserve">     </w:t>
            </w:r>
            <w:r w:rsidR="00B458BB" w:rsidRPr="00842709">
              <w:rPr>
                <w:bCs/>
                <w:color w:val="0D0D0D"/>
              </w:rPr>
              <w:t>Saskaņā ar Ministru kabineta 2003.gada 16.septembra noteikumu Nr.528 „Izglītības un zinātnes ministri</w:t>
            </w:r>
            <w:r w:rsidR="00D127F2" w:rsidRPr="00842709">
              <w:rPr>
                <w:bCs/>
                <w:color w:val="0D0D0D"/>
              </w:rPr>
              <w:t xml:space="preserve">jas nolikums” </w:t>
            </w:r>
            <w:r w:rsidR="0070710C">
              <w:rPr>
                <w:bCs/>
                <w:color w:val="0D0D0D"/>
              </w:rPr>
              <w:t>24.81</w:t>
            </w:r>
            <w:r w:rsidR="00D127F2" w:rsidRPr="00842709">
              <w:rPr>
                <w:bCs/>
                <w:color w:val="0D0D0D"/>
              </w:rPr>
              <w:t>.</w:t>
            </w:r>
            <w:r w:rsidR="0070710C">
              <w:rPr>
                <w:bCs/>
                <w:color w:val="0D0D0D"/>
              </w:rPr>
              <w:t>¹</w:t>
            </w:r>
            <w:r w:rsidR="00D127F2" w:rsidRPr="00842709">
              <w:rPr>
                <w:bCs/>
                <w:color w:val="0D0D0D"/>
              </w:rPr>
              <w:t>a</w:t>
            </w:r>
            <w:r w:rsidR="00440E59" w:rsidRPr="00842709">
              <w:rPr>
                <w:bCs/>
                <w:color w:val="0D0D0D"/>
              </w:rPr>
              <w:t>pakšpunktu</w:t>
            </w:r>
            <w:r w:rsidR="00727AC4">
              <w:rPr>
                <w:bCs/>
                <w:color w:val="0D0D0D"/>
              </w:rPr>
              <w:t xml:space="preserve"> Rīgas Būvniecības </w:t>
            </w:r>
            <w:r w:rsidR="00141A48" w:rsidRPr="00842709">
              <w:rPr>
                <w:bCs/>
                <w:color w:val="0D0D0D"/>
              </w:rPr>
              <w:t>vidusskola</w:t>
            </w:r>
            <w:r w:rsidR="00D127F2" w:rsidRPr="00842709">
              <w:rPr>
                <w:bCs/>
                <w:color w:val="0D0D0D"/>
              </w:rPr>
              <w:t xml:space="preserve"> </w:t>
            </w:r>
            <w:r w:rsidR="00F97900">
              <w:rPr>
                <w:bCs/>
                <w:color w:val="0D0D0D"/>
              </w:rPr>
              <w:t xml:space="preserve">(turpmāk – vidusskola) </w:t>
            </w:r>
            <w:r w:rsidR="00D62D7D" w:rsidRPr="00842709">
              <w:rPr>
                <w:bCs/>
                <w:color w:val="0D0D0D"/>
              </w:rPr>
              <w:t xml:space="preserve">ir ministrijas padotības iestāde. </w:t>
            </w:r>
          </w:p>
          <w:p w:rsidR="00C64D61" w:rsidRDefault="00C64D61" w:rsidP="00CE7D6D">
            <w:pPr>
              <w:jc w:val="both"/>
              <w:rPr>
                <w:bCs/>
                <w:color w:val="0D0D0D"/>
              </w:rPr>
            </w:pPr>
            <w:r>
              <w:rPr>
                <w:bCs/>
                <w:color w:val="0D0D0D"/>
              </w:rPr>
              <w:t xml:space="preserve">Vidusskolā </w:t>
            </w:r>
            <w:r>
              <w:t>uz 2012.gada 1.septembri mācījās</w:t>
            </w:r>
            <w:r w:rsidR="004137AF">
              <w:t xml:space="preserve"> </w:t>
            </w:r>
            <w:r>
              <w:t>324 izglītojamie</w:t>
            </w:r>
            <w:r>
              <w:rPr>
                <w:bCs/>
                <w:color w:val="0D0D0D"/>
              </w:rPr>
              <w:t>.</w:t>
            </w:r>
            <w:r w:rsidR="004244FC">
              <w:rPr>
                <w:bCs/>
                <w:color w:val="0D0D0D"/>
              </w:rPr>
              <w:t xml:space="preserve"> </w:t>
            </w:r>
            <w:r>
              <w:t xml:space="preserve">Izglītojamo skaits vidusskolā </w:t>
            </w:r>
            <w:r w:rsidR="004137AF">
              <w:t xml:space="preserve">pēdējos gados </w:t>
            </w:r>
            <w:r>
              <w:t xml:space="preserve">nepārtraukti samazinās (2010.gadā – 688, 2011.gadā – 482) un </w:t>
            </w:r>
            <w:r w:rsidR="004137AF">
              <w:t xml:space="preserve">uz 2013.gada 1.janvāri tie ir tikai </w:t>
            </w:r>
            <w:r w:rsidR="008825FB" w:rsidRPr="008825FB">
              <w:t>2</w:t>
            </w:r>
            <w:r w:rsidR="00266345">
              <w:t>88</w:t>
            </w:r>
            <w:r w:rsidRPr="00B7030D">
              <w:rPr>
                <w:b/>
                <w:i/>
              </w:rPr>
              <w:t xml:space="preserve"> </w:t>
            </w:r>
            <w:r>
              <w:t>izglītojamie</w:t>
            </w:r>
            <w:r w:rsidR="00BD299A">
              <w:t xml:space="preserve"> (PROF-2 dati).</w:t>
            </w:r>
          </w:p>
          <w:p w:rsidR="00652F02" w:rsidRDefault="00652F02" w:rsidP="008C1C41">
            <w:pPr>
              <w:jc w:val="both"/>
            </w:pPr>
            <w:r>
              <w:t xml:space="preserve">     </w:t>
            </w:r>
            <w:r w:rsidR="00242D10">
              <w:t>V</w:t>
            </w:r>
            <w:r w:rsidR="00C64D61">
              <w:t>idusskola</w:t>
            </w:r>
            <w:r w:rsidR="004B6021">
              <w:t xml:space="preserve">s pārvaldīšanā atrodas valsts nekustamais īpašums (nekustamā īpašuma kadastra Nr.0100 025 2026) Krišjāņa Valdemāra ielā 163, Rīgā, valstij piekrītošais būvju </w:t>
            </w:r>
            <w:r w:rsidR="004B6021">
              <w:lastRenderedPageBreak/>
              <w:t>nekustamais īpašums (būvju nekustamā īpašuma kadastra Nr.0100 525 0062) Krišjāņa Valdemāra ielā 163, Rīgā, un valsts nekustamais īpašums (nekustamā īpašuma kadastra Nr.0100 124 0292) Murjāņu ielā 59A, Rīgā. Vidusskola mācību procesa nodroš</w:t>
            </w:r>
            <w:r w:rsidR="00B54C92">
              <w:t>ināšanai galvenokārt izmanto ēku</w:t>
            </w:r>
            <w:r w:rsidR="004B6021">
              <w:t xml:space="preserve"> Krišjāņa Valdemāra ielā 163, Rīgā (turpmāk – mācību ēka).</w:t>
            </w:r>
            <w:r w:rsidR="00C64D61">
              <w:t xml:space="preserve"> Mācību ēkas platība ir 10 072m² un tā ir p</w:t>
            </w:r>
            <w:r w:rsidR="004B6021">
              <w:t>aredzēta 1000 izglītojamajiem. Mācību ē</w:t>
            </w:r>
            <w:r w:rsidR="00C64D61">
              <w:t xml:space="preserve">ka daļēji atrodas uz fiziskām personām piederošām zemes vienībām. Nomas maksa saskaņā ar noslēgtajiem līgumiem ir Ls 1 129,56 mēnesī (Ls 13 554,73 gadā). </w:t>
            </w:r>
          </w:p>
          <w:p w:rsidR="008C1C41" w:rsidRDefault="00652F02" w:rsidP="008C1C41">
            <w:pPr>
              <w:jc w:val="both"/>
            </w:pPr>
            <w:r>
              <w:t xml:space="preserve">     </w:t>
            </w:r>
            <w:r w:rsidR="008C1C41">
              <w:t>Vidusskolai nav dienesta viesnīcas. Tāpēc vidusskolas izg</w:t>
            </w:r>
            <w:r w:rsidR="00881D40">
              <w:t>lītojamie tiek izmitināti</w:t>
            </w:r>
            <w:r w:rsidR="008C1C41">
              <w:t xml:space="preserve"> Rīgas Stila un modes profesionālās vidusskolas dienesta viesnīcā Ūdeļu ielā 24, Rīgā.</w:t>
            </w:r>
          </w:p>
          <w:p w:rsidR="004137AF" w:rsidRDefault="00652F02" w:rsidP="001623E4">
            <w:pPr>
              <w:jc w:val="both"/>
            </w:pPr>
            <w:r>
              <w:t xml:space="preserve">     </w:t>
            </w:r>
            <w:r w:rsidR="001B0E32">
              <w:t>Ņemot vērā</w:t>
            </w:r>
            <w:r w:rsidR="004137AF">
              <w:t xml:space="preserve"> nelielo izglītojamo ska</w:t>
            </w:r>
            <w:r w:rsidR="00B54C92">
              <w:t>i</w:t>
            </w:r>
            <w:r w:rsidR="004137AF">
              <w:t>tu vidusskolā un mācību ēkas lielo platību,</w:t>
            </w:r>
            <w:r w:rsidR="001B0E32">
              <w:t xml:space="preserve"> </w:t>
            </w:r>
            <w:r w:rsidR="004137AF">
              <w:t xml:space="preserve"> mācību ēka netiek</w:t>
            </w:r>
            <w:r w:rsidR="001B0E32">
              <w:t xml:space="preserve"> racionāli izmantota</w:t>
            </w:r>
            <w:r w:rsidR="004137AF">
              <w:t>.</w:t>
            </w:r>
            <w:r w:rsidR="001B0E32">
              <w:t xml:space="preserve"> </w:t>
            </w:r>
          </w:p>
          <w:p w:rsidR="00BD69F0" w:rsidRDefault="00652F02" w:rsidP="001623E4">
            <w:pPr>
              <w:jc w:val="both"/>
            </w:pPr>
            <w:r>
              <w:t xml:space="preserve">     </w:t>
            </w:r>
            <w:r w:rsidR="003C7EB3">
              <w:t>V</w:t>
            </w:r>
            <w:r w:rsidR="00A926FD">
              <w:t xml:space="preserve">idusskolai </w:t>
            </w:r>
            <w:r w:rsidR="003C7EB3">
              <w:t xml:space="preserve">valsts budžeta finansējums </w:t>
            </w:r>
            <w:r w:rsidR="00A926FD">
              <w:t>tiek piešķirts</w:t>
            </w:r>
            <w:r w:rsidR="00A94EBB">
              <w:t xml:space="preserve"> saskaņā ar Ministru kabineta 2007.gada 2.oktobra noteikumiem Nr.655 „Noteikumi par profesionālās izglītības programmu īstenošanas izmaksu minimumu uz vienu izglītojamo” </w:t>
            </w:r>
            <w:r w:rsidR="00FA2102">
              <w:t xml:space="preserve">(turpmāk – finanšu normatīvs) </w:t>
            </w:r>
            <w:r w:rsidR="00A94EBB">
              <w:t>un ir atkarīgs n</w:t>
            </w:r>
            <w:r w:rsidR="003C7EB3">
              <w:t>o izglītojam</w:t>
            </w:r>
            <w:r w:rsidR="00A926FD">
              <w:t>o skaita vidusskolā. Pie nelielā</w:t>
            </w:r>
            <w:r w:rsidR="00B54C92">
              <w:t xml:space="preserve"> izglītojamo skaita</w:t>
            </w:r>
            <w:r w:rsidR="003C7EB3">
              <w:t xml:space="preserve"> vidusskolai piešķirtais valsts budžeta finansējums ir</w:t>
            </w:r>
            <w:r w:rsidR="00A94EBB">
              <w:t xml:space="preserve"> nepietiekams, lai segtu visus </w:t>
            </w:r>
            <w:r w:rsidR="003C7EB3">
              <w:t xml:space="preserve">vidusskolas </w:t>
            </w:r>
            <w:r w:rsidR="00A926FD">
              <w:t xml:space="preserve">lieko platību </w:t>
            </w:r>
            <w:r w:rsidR="003C7EB3">
              <w:t>uzturēšanas izdevumus.</w:t>
            </w:r>
          </w:p>
          <w:p w:rsidR="003C7EB3" w:rsidRDefault="00652F02" w:rsidP="001623E4">
            <w:pPr>
              <w:jc w:val="both"/>
            </w:pPr>
            <w:r>
              <w:t xml:space="preserve">     </w:t>
            </w:r>
            <w:r w:rsidR="00BD69F0">
              <w:t xml:space="preserve">Ministrijas budžeta programmā 02.00.00 „Profesionālās izglītības mācību iestādes” apakšprogrammā 02.01.00 „Profesionālās izglītības programmu īstenošana” vidusskolai </w:t>
            </w:r>
            <w:r w:rsidR="00BD69F0" w:rsidRPr="00B04E8C">
              <w:t>2012.gadam apstiprināt</w:t>
            </w:r>
            <w:r w:rsidR="00071B75" w:rsidRPr="00B04E8C">
              <w:t>ā</w:t>
            </w:r>
            <w:r w:rsidR="00BD69F0" w:rsidRPr="00B04E8C">
              <w:t xml:space="preserve"> </w:t>
            </w:r>
            <w:r w:rsidR="00071B75" w:rsidRPr="00B04E8C">
              <w:t>valsts budžeta dotācija no visp</w:t>
            </w:r>
            <w:r w:rsidR="00A926FD" w:rsidRPr="00B04E8C">
              <w:t>ārējiem ieņēmumiem bija Ls 504764,00</w:t>
            </w:r>
            <w:r w:rsidR="00071B75" w:rsidRPr="00B04E8C">
              <w:t xml:space="preserve">, t.sk. </w:t>
            </w:r>
            <w:r w:rsidR="003C7EB3" w:rsidRPr="00B04E8C">
              <w:t xml:space="preserve">precēm un pakalpojumiem </w:t>
            </w:r>
            <w:r w:rsidR="00A926FD" w:rsidRPr="00B04E8C">
              <w:t>Ls 109820, ieņēmumi par telpu nomu un komunālajiem pakalpojumiem Ls 37663.</w:t>
            </w:r>
            <w:r w:rsidR="007B50C0">
              <w:t xml:space="preserve"> </w:t>
            </w:r>
            <w:r w:rsidR="00A94EBB">
              <w:t>V</w:t>
            </w:r>
            <w:r w:rsidR="00A70910">
              <w:t xml:space="preserve">idusskolai 2012.gadā bija šādi ar nekustamo īpašumu izmantošanu saistītie maksājumi: par apkuri Ls 56 486,43, ūdeni un kanalizāciju Ls 1 885,85, elektroenerģiju Ls 16 024,05 un zemes nomu Ls 17 842,56.  </w:t>
            </w:r>
          </w:p>
          <w:p w:rsidR="003C7EB3" w:rsidRPr="00B04E8C" w:rsidRDefault="00742259" w:rsidP="001623E4">
            <w:pPr>
              <w:jc w:val="both"/>
            </w:pPr>
            <w:r w:rsidRPr="00B04E8C">
              <w:t>2013</w:t>
            </w:r>
            <w:r w:rsidR="003C7EB3" w:rsidRPr="00B04E8C">
              <w:t>.gadam apstiprinātā valsts budžeta dotācij</w:t>
            </w:r>
            <w:r w:rsidRPr="00B04E8C">
              <w:t>a no vispārējiem ieņēmumiem ir</w:t>
            </w:r>
            <w:r w:rsidR="00F52DC8" w:rsidRPr="00B04E8C">
              <w:t xml:space="preserve"> Ls 41072</w:t>
            </w:r>
            <w:r w:rsidR="00287524" w:rsidRPr="00B04E8C">
              <w:t>2</w:t>
            </w:r>
            <w:r w:rsidR="003C7EB3" w:rsidRPr="00B04E8C">
              <w:t>, t.</w:t>
            </w:r>
            <w:r w:rsidR="00F52DC8" w:rsidRPr="00B04E8C">
              <w:t xml:space="preserve">sk. precēm un pakalpojumiem </w:t>
            </w:r>
            <w:r w:rsidR="00B54C92">
              <w:t xml:space="preserve">Ls </w:t>
            </w:r>
            <w:r w:rsidR="00F52DC8" w:rsidRPr="00B04E8C">
              <w:t>89877</w:t>
            </w:r>
            <w:r w:rsidR="003C7EB3" w:rsidRPr="00B04E8C">
              <w:t>.</w:t>
            </w:r>
          </w:p>
          <w:p w:rsidR="00A70910" w:rsidRDefault="00652F02" w:rsidP="008228BB">
            <w:pPr>
              <w:jc w:val="both"/>
            </w:pPr>
            <w:r>
              <w:t xml:space="preserve">     </w:t>
            </w:r>
            <w:r w:rsidR="003C7EB3">
              <w:t>L</w:t>
            </w:r>
            <w:r w:rsidR="00F371AE">
              <w:t xml:space="preserve">īdz ar to </w:t>
            </w:r>
            <w:r w:rsidR="00F52DC8">
              <w:t xml:space="preserve">jau </w:t>
            </w:r>
            <w:r w:rsidR="003C7EB3">
              <w:t xml:space="preserve">2012./2013.m.g. apkures sezonā vidusskolai radās parādi par </w:t>
            </w:r>
            <w:r w:rsidR="00F371AE">
              <w:t xml:space="preserve">apkuri Ls 5558,15. Ņemot vērā, ka izglītojamo skaits vidusskolā 2013./2014.m.g. samazināsies </w:t>
            </w:r>
            <w:r w:rsidR="00F52DC8">
              <w:t xml:space="preserve">vēl vairāk, vidusskola nevarēs apmaksāt līdz 2013.gada </w:t>
            </w:r>
            <w:r w:rsidR="00F52DC8">
              <w:lastRenderedPageBreak/>
              <w:t xml:space="preserve">beigām patērēto energoresursu izmaksas un zemes nomas maksu zemes īpašniekiem un nespēs turpmāk nodrošināt darbību mācību ēkā. </w:t>
            </w:r>
          </w:p>
          <w:p w:rsidR="00CF6A40" w:rsidRDefault="00652F02" w:rsidP="001623E4">
            <w:pPr>
              <w:jc w:val="both"/>
            </w:pPr>
            <w:r>
              <w:t xml:space="preserve">     </w:t>
            </w:r>
            <w:r w:rsidR="00810A04">
              <w:t xml:space="preserve">Lai nepieļautu nelietderīgu valsts līdzekļu izlietošanu pustukšas ēkas uzturēšanai un turpmāku parādu pieaugumu, ministrija sadarbībā ar sociālajiem partneriem izvērtēja vairākus iespējamos vidusskolas reorganizācijas risinājumus </w:t>
            </w:r>
            <w:r w:rsidR="008A310B">
              <w:t xml:space="preserve">un </w:t>
            </w:r>
            <w:r w:rsidR="00756190">
              <w:t>pieņēma lēmumu pievienot vidusskolu Rīgas Celtniecības koled</w:t>
            </w:r>
            <w:r w:rsidR="008228BB">
              <w:t xml:space="preserve">žai (turpmāk – koledža), jo </w:t>
            </w:r>
            <w:r w:rsidR="00756190">
              <w:t xml:space="preserve">koledža </w:t>
            </w:r>
            <w:r w:rsidR="008228BB">
              <w:t xml:space="preserve">papildus augstākās izglītības līmeņa studiju programmām </w:t>
            </w:r>
            <w:r w:rsidR="00756190">
              <w:t xml:space="preserve">īsteno </w:t>
            </w:r>
            <w:r w:rsidR="008228BB">
              <w:t xml:space="preserve">arī </w:t>
            </w:r>
            <w:r w:rsidR="00756190">
              <w:t>profesionālās vidējās izglītības programmas būvniecības jomā. Koledžā ir augsta profesionālās vidējās izglītības kvalitāte, nepieciešamā materiāli tehniskā</w:t>
            </w:r>
            <w:r w:rsidR="00B54C92">
              <w:t xml:space="preserve"> bāze un vēlme attīstīties par b</w:t>
            </w:r>
            <w:r w:rsidR="00756190">
              <w:t>ūvniecības centru</w:t>
            </w:r>
            <w:r w:rsidR="00B54C92">
              <w:t xml:space="preserve"> Rīgā</w:t>
            </w:r>
            <w:r w:rsidR="00756190">
              <w:t>, lai īstenotu dažādas būvniecības joma</w:t>
            </w:r>
            <w:r w:rsidR="00B54C92">
              <w:t>s</w:t>
            </w:r>
            <w:r w:rsidR="00756190">
              <w:t xml:space="preserve"> izglītības programmas, tās pēctecīgi saistot ar augstākās izglītības līmeņa studiju programmām.</w:t>
            </w:r>
          </w:p>
          <w:p w:rsidR="00546CAF" w:rsidRDefault="00756190" w:rsidP="001623E4">
            <w:pPr>
              <w:jc w:val="both"/>
            </w:pPr>
            <w:r>
              <w:t xml:space="preserve"> </w:t>
            </w:r>
            <w:r w:rsidR="00652F02">
              <w:t xml:space="preserve">     </w:t>
            </w:r>
            <w:r w:rsidR="00BD299A">
              <w:t>Vidusskola</w:t>
            </w:r>
            <w:r w:rsidR="004F2650">
              <w:t xml:space="preserve"> </w:t>
            </w:r>
            <w:r w:rsidR="00BD299A">
              <w:t xml:space="preserve">2012./2013.m.g īsteno </w:t>
            </w:r>
            <w:r w:rsidR="00B54C92">
              <w:t>šāda</w:t>
            </w:r>
            <w:r w:rsidR="0043765A">
              <w:t>s</w:t>
            </w:r>
            <w:r w:rsidR="004F2650">
              <w:t xml:space="preserve"> </w:t>
            </w:r>
            <w:r w:rsidR="0043765A">
              <w:t>izglīt</w:t>
            </w:r>
            <w:r w:rsidR="00022591">
              <w:t>ības programm</w:t>
            </w:r>
            <w:r w:rsidR="00B54C92">
              <w:t>a</w:t>
            </w:r>
            <w:r w:rsidR="00022591">
              <w:t>s: „Būvdarbi” (157</w:t>
            </w:r>
            <w:r w:rsidR="0043765A">
              <w:t xml:space="preserve"> izglītojami</w:t>
            </w:r>
            <w:r w:rsidR="005F1F25">
              <w:t>e)</w:t>
            </w:r>
            <w:r w:rsidR="0043765A">
              <w:t xml:space="preserve"> ar šādām profesionālajām </w:t>
            </w:r>
            <w:proofErr w:type="spellStart"/>
            <w:r w:rsidR="0043765A">
              <w:t>kvalifikācijām</w:t>
            </w:r>
            <w:proofErr w:type="spellEnd"/>
            <w:r w:rsidR="0043765A">
              <w:t xml:space="preserve">: apdares darbu tehniķis,  </w:t>
            </w:r>
            <w:proofErr w:type="spellStart"/>
            <w:r w:rsidR="0043765A">
              <w:t>būvtehniķis</w:t>
            </w:r>
            <w:proofErr w:type="spellEnd"/>
            <w:r w:rsidR="0043765A">
              <w:t>, apdares darbu strādnieks un namdaris. Vidusskolā tiek īstenota arī programma „Siltuma, gāzes un ūdens tehnoloģija” ar profesionālo kvalifikāciju – sanitārtehnisko iekārtu montētā</w:t>
            </w:r>
            <w:r w:rsidR="005F1F25">
              <w:t>js (49 izglītojamie</w:t>
            </w:r>
            <w:r w:rsidR="002B7F97">
              <w:t xml:space="preserve">), „Apkalpošana uz kuģiem” ar profesionālo kvalifikāciju – ēdināšanas pakalpojumu speciālists uz kuģiem </w:t>
            </w:r>
            <w:r w:rsidR="004B0537">
              <w:t>(50</w:t>
            </w:r>
            <w:r w:rsidR="005F1F25">
              <w:t xml:space="preserve"> izglītojamie)</w:t>
            </w:r>
            <w:r w:rsidR="00546CAF">
              <w:t>, vispārējās vidējās izglītības programmu (33 izglītojamie)</w:t>
            </w:r>
            <w:r w:rsidR="005F1F25">
              <w:t xml:space="preserve"> </w:t>
            </w:r>
            <w:r w:rsidR="002B7F97">
              <w:t xml:space="preserve">un </w:t>
            </w:r>
            <w:r w:rsidR="00546CAF">
              <w:t>kā sadarbības part</w:t>
            </w:r>
            <w:r w:rsidR="00B54C92">
              <w:t>neris Eiropas Sociālā</w:t>
            </w:r>
            <w:r w:rsidR="00546CAF">
              <w:t xml:space="preserve"> fonda</w:t>
            </w:r>
            <w:r w:rsidR="002B7F97">
              <w:t xml:space="preserve"> (turpmāk – ESF) </w:t>
            </w:r>
            <w:r w:rsidR="00546CAF">
              <w:t xml:space="preserve">1.2.1.1.3.apakšaktivitātes projektā „Profesionālās izglītības programmu, </w:t>
            </w:r>
            <w:proofErr w:type="spellStart"/>
            <w:r w:rsidR="00546CAF">
              <w:t>pamatprasmju</w:t>
            </w:r>
            <w:proofErr w:type="spellEnd"/>
            <w:r w:rsidR="00546CAF">
              <w:t xml:space="preserve"> un kompetenču apguve izglītības un profesionālās karjeras turpināšanai” īsteno programmu </w:t>
            </w:r>
            <w:r w:rsidR="002B7F97">
              <w:t xml:space="preserve">„Ēdināšanas pakalpojumi” </w:t>
            </w:r>
            <w:r w:rsidR="005F1F25">
              <w:t xml:space="preserve">(15 izglītojamie) </w:t>
            </w:r>
            <w:r w:rsidR="002B7F97">
              <w:t>ar prof</w:t>
            </w:r>
            <w:r w:rsidR="00546CAF">
              <w:t>esionālo kvalifikāciju – pavārs.</w:t>
            </w:r>
            <w:r w:rsidR="002B7F97">
              <w:t xml:space="preserve"> </w:t>
            </w:r>
          </w:p>
          <w:p w:rsidR="00F0180F" w:rsidRDefault="00652F02" w:rsidP="00F0180F">
            <w:pPr>
              <w:jc w:val="both"/>
            </w:pPr>
            <w:r>
              <w:t xml:space="preserve">     </w:t>
            </w:r>
            <w:r w:rsidR="00273A65">
              <w:t xml:space="preserve">Saskaņā ar vidusskolas datiem uz 2013.gada 1.jūniju </w:t>
            </w:r>
            <w:r w:rsidR="00EA0ECD">
              <w:t xml:space="preserve">no 274 izglītojamajiem </w:t>
            </w:r>
            <w:r w:rsidR="005B72EC">
              <w:t>2012./2013.m.g. noslēgumā vidusskolu jābeidz</w:t>
            </w:r>
            <w:r w:rsidR="00273A65">
              <w:t xml:space="preserve"> 109</w:t>
            </w:r>
            <w:r w:rsidR="005B72EC">
              <w:t xml:space="preserve"> izglītojamajiem</w:t>
            </w:r>
            <w:r w:rsidR="00EA0ECD">
              <w:t xml:space="preserve"> un līdz 2013.gada beigām vēl 30</w:t>
            </w:r>
            <w:r w:rsidR="005B72EC">
              <w:t xml:space="preserve"> izglītojamajiem, t.sk. izglītojamajiem i</w:t>
            </w:r>
            <w:r w:rsidR="00F0180F">
              <w:t xml:space="preserve">zglītības programmā „Ēdināšanas pakalpojumi” </w:t>
            </w:r>
            <w:r w:rsidR="00546CAF">
              <w:t>ar profesionālo kvalifikāciju – pavārs</w:t>
            </w:r>
            <w:r w:rsidR="005B72EC">
              <w:t xml:space="preserve">, kurā </w:t>
            </w:r>
            <w:r w:rsidR="00546CAF">
              <w:t xml:space="preserve"> mācības ilgs līdz 2013.gada 31.decembrim.</w:t>
            </w:r>
            <w:r w:rsidR="00F0180F">
              <w:t xml:space="preserve"> </w:t>
            </w:r>
            <w:r w:rsidR="0071202C">
              <w:t>Ņemot vērā minēto</w:t>
            </w:r>
            <w:r w:rsidR="002B75D7">
              <w:t xml:space="preserve"> un to, ka vidusskolā vairs netiks īstenota izglītības programma „Apkalpošana uz kuģiem”</w:t>
            </w:r>
            <w:r w:rsidR="0071202C">
              <w:t>, uz 2014.gada sākumu vidu</w:t>
            </w:r>
            <w:r w:rsidR="00273A65">
              <w:t xml:space="preserve">sskolā mācīsies </w:t>
            </w:r>
            <w:r w:rsidR="002B75D7">
              <w:t>ne vairāk kā 106</w:t>
            </w:r>
            <w:r w:rsidR="0071202C">
              <w:t xml:space="preserve"> izglītojamie.</w:t>
            </w:r>
          </w:p>
          <w:p w:rsidR="00CF6A40" w:rsidRDefault="00812FF8" w:rsidP="001623E4">
            <w:pPr>
              <w:jc w:val="both"/>
            </w:pPr>
            <w:r>
              <w:lastRenderedPageBreak/>
              <w:t xml:space="preserve">    </w:t>
            </w:r>
            <w:r w:rsidR="00CF6A40">
              <w:t xml:space="preserve">Vidusskolai ir lielas grūtības ar izglītojamo uzņemšanas plāna izpildi pēdējos gados un, ņemot vērā, ka vidusskolas darbība nākošajā finanšu gadā būtu neekonomiska, izglītojamo uzņemšana vidusskolā uz 2013.gada 1.septembri tika atcelta, </w:t>
            </w:r>
            <w:r w:rsidR="00B54C92">
              <w:t xml:space="preserve">paredzot </w:t>
            </w:r>
            <w:r w:rsidR="00CF6A40">
              <w:t>attiecīgo iz</w:t>
            </w:r>
            <w:r w:rsidR="00B54C92">
              <w:t>glītojamo skaitu papildus uzņem</w:t>
            </w:r>
            <w:r w:rsidR="00CF6A40">
              <w:t xml:space="preserve">t koledžā. </w:t>
            </w:r>
          </w:p>
          <w:p w:rsidR="00812FF8" w:rsidRPr="00E34EB2" w:rsidRDefault="00812FF8" w:rsidP="001623E4">
            <w:pPr>
              <w:jc w:val="both"/>
            </w:pPr>
            <w:r>
              <w:t xml:space="preserve">    </w:t>
            </w:r>
            <w:r w:rsidR="00060A04">
              <w:t>Vidusskola na</w:t>
            </w:r>
            <w:r w:rsidR="004F2CF0">
              <w:t>v īstenojusi projektus Eiropas R</w:t>
            </w:r>
            <w:r w:rsidR="00060A04">
              <w:t>eģionālās attīstības fonda</w:t>
            </w:r>
            <w:r w:rsidR="004244FC">
              <w:t xml:space="preserve"> (turpmāk – ERAF)</w:t>
            </w:r>
            <w:r w:rsidR="00060A04">
              <w:t xml:space="preserve"> un </w:t>
            </w:r>
            <w:r w:rsidR="0014348F">
              <w:t>Klimata pārmai</w:t>
            </w:r>
            <w:r w:rsidR="004244FC">
              <w:t xml:space="preserve">ņu finanšu instrumenta ietvaros, </w:t>
            </w:r>
            <w:r w:rsidR="004244FC" w:rsidRPr="00E34EB2">
              <w:t xml:space="preserve">tomēr tā ir bijusi labuma guvēja ministrijas īstenotajā ERAF 3.2.2.1.2.apakšaktivitātes „Izglītības iestāžu informatizācija” projektā „Izglītības un zinātnes ministrijas padotībā esošo izglītības iestāžu informatizācija” (turpmāk – ERAF </w:t>
            </w:r>
            <w:r w:rsidRPr="00E34EB2">
              <w:t>projekts), vienošanās Nr.2010/0105/3DP/3.2.2.1.2/09/IPIA/VIAA/500.</w:t>
            </w:r>
          </w:p>
          <w:p w:rsidR="00812FF8" w:rsidRPr="00E34EB2" w:rsidRDefault="00812FF8" w:rsidP="001623E4">
            <w:pPr>
              <w:jc w:val="both"/>
            </w:pPr>
            <w:r w:rsidRPr="00E34EB2">
              <w:t xml:space="preserve">    Saskaņā ar Ministru kabineta 2008.gada 5.augusta noteikumu Nr.649 „Noteikumi par darbības programmas „Infrastruktūra un pakalpojumi” papildinājuma 3.2.2.1.2.apakšaktivitāti „Izglītības iestāžu informatizācija” (turpmāk – Noteikumi Nr.649) 55.punktā noteikto finansējuma saņēmējs ir tieši atbildīgs par projekta īstenošanu un rezultātu uzturēšanu vismaz piecus gadus pēc projekta īstenošanas. ERAF projekta ietvaros vidusskola tika apgādāta ar 22 stacionārajiem datoriem 15 200,02 latu apmērā, 2 portat</w:t>
            </w:r>
            <w:r w:rsidR="00787FF4" w:rsidRPr="00E34EB2">
              <w:t>īvajiem dato</w:t>
            </w:r>
            <w:r w:rsidRPr="00E34EB2">
              <w:t xml:space="preserve">riem 2 148,42 latu apmērā un 1 </w:t>
            </w:r>
            <w:proofErr w:type="spellStart"/>
            <w:r w:rsidRPr="00E34EB2">
              <w:t>multimēdiju</w:t>
            </w:r>
            <w:proofErr w:type="spellEnd"/>
            <w:r w:rsidRPr="00E34EB2">
              <w:t xml:space="preserve"> komplektu 2 784,65 latu apmērā.</w:t>
            </w:r>
          </w:p>
          <w:p w:rsidR="00812FF8" w:rsidRPr="00E34EB2" w:rsidRDefault="00812FF8" w:rsidP="001623E4">
            <w:pPr>
              <w:jc w:val="both"/>
            </w:pPr>
            <w:r w:rsidRPr="00E34EB2">
              <w:t xml:space="preserve">    Ievērojot to, ka ERAF projekts atrodas piecu gadu </w:t>
            </w:r>
            <w:proofErr w:type="spellStart"/>
            <w:r w:rsidRPr="00E34EB2">
              <w:t>pēcuzraudzības</w:t>
            </w:r>
            <w:proofErr w:type="spellEnd"/>
            <w:r w:rsidRPr="00E34EB2">
              <w:t xml:space="preserve"> periodā, Padomes 2006.gada 11.jūlija Regulas (EK) Nr.1083/2006, ar ko paredz</w:t>
            </w:r>
            <w:r w:rsidR="00F27E6E" w:rsidRPr="00E34EB2">
              <w:t xml:space="preserve"> vispārīgus noteikumus par Eiropas Reģionālās attīst</w:t>
            </w:r>
            <w:r w:rsidR="00787FF4" w:rsidRPr="00E34EB2">
              <w:t>ības fondu, Ei</w:t>
            </w:r>
            <w:r w:rsidR="00F27E6E" w:rsidRPr="00E34EB2">
              <w:t>ropas Sociālo fondu un Kohēzijas fondu un atceļ Regulu (EK) Nr.1260/1999 (turpmāk – Regula Nr.1083/2006), 57.panta 1.punkta izpratnē ERAF projekta labuma guvēju – izglītības iestāžu likvidācija nav uzskatāma par būtisku izmaiņu, ja finansējuma saņēmējs nodrošina 3.2.2.1.2.apakšaktivitātes mērķa – izglītības iestāžu nodrošināšana ar atbilstošu, izmaksu efektīvu, drošu un uzticamu informācijas un komunikāciju tehnoloģiju</w:t>
            </w:r>
            <w:r w:rsidR="00432658" w:rsidRPr="00E34EB2">
              <w:t xml:space="preserve"> (turpmāk – IKT)</w:t>
            </w:r>
            <w:r w:rsidR="00F27E6E" w:rsidRPr="00E34EB2">
              <w:t xml:space="preserve"> infrastruktūru, lai izglītības iestādēs un izglītības procesā plašāk un efektīvāk izmantotu </w:t>
            </w:r>
            <w:r w:rsidR="00BB287E" w:rsidRPr="00E34EB2">
              <w:t>IKT</w:t>
            </w:r>
            <w:r w:rsidR="00F27E6E" w:rsidRPr="00E34EB2">
              <w:t>, tādējādi uzlabojot izglītības kvalitāti un efektivitāti – saglabāšanu, finansējuma saņēmējam piecu gadu laikā pēc projekta īstenošanas</w:t>
            </w:r>
            <w:r w:rsidR="00BB287E" w:rsidRPr="00E34EB2">
              <w:t>,</w:t>
            </w:r>
            <w:r w:rsidR="00F27E6E" w:rsidRPr="00E34EB2">
              <w:t xml:space="preserve"> nodrošinot projekta atbilstību Noteikumu Nr.649 2.pielikuma </w:t>
            </w:r>
            <w:r w:rsidR="00F27E6E" w:rsidRPr="00E34EB2">
              <w:lastRenderedPageBreak/>
              <w:t>„Projekta vērtēšanas kritēriji” 2.sadaļas „Projekta atbilstības kritēriji”</w:t>
            </w:r>
            <w:r w:rsidR="007977D8" w:rsidRPr="00E34EB2">
              <w:t xml:space="preserve"> 18., 19., 20., 21., 22. un 23.punktam.</w:t>
            </w:r>
          </w:p>
          <w:p w:rsidR="00654505" w:rsidRPr="00E34EB2" w:rsidRDefault="007977D8" w:rsidP="001623E4">
            <w:pPr>
              <w:jc w:val="both"/>
              <w:rPr>
                <w:i/>
              </w:rPr>
            </w:pPr>
            <w:r w:rsidRPr="00E34EB2">
              <w:t xml:space="preserve">    Lai saglabātu ERAF projekta rezultātus, </w:t>
            </w:r>
            <w:r w:rsidR="00431F91" w:rsidRPr="00E34EB2">
              <w:t>ievērojot</w:t>
            </w:r>
            <w:r w:rsidR="00721FD3" w:rsidRPr="00E34EB2">
              <w:t xml:space="preserve">, ka IKT vienības ir </w:t>
            </w:r>
            <w:r w:rsidR="00431F91" w:rsidRPr="00E34EB2">
              <w:t xml:space="preserve">uzskaitītas </w:t>
            </w:r>
            <w:r w:rsidR="00721FD3" w:rsidRPr="00E34EB2">
              <w:t>ministrijas bilanc</w:t>
            </w:r>
            <w:r w:rsidR="00431F91" w:rsidRPr="00E34EB2">
              <w:t>ē un saskaņā ar patapinājum</w:t>
            </w:r>
            <w:r w:rsidR="00CB40A0" w:rsidRPr="00E34EB2">
              <w:t>u</w:t>
            </w:r>
            <w:r w:rsidR="00431F91" w:rsidRPr="00E34EB2">
              <w:t xml:space="preserve"> līgumiem nodotas lietošanā</w:t>
            </w:r>
            <w:r w:rsidR="00721FD3" w:rsidRPr="00E34EB2">
              <w:t xml:space="preserve"> labuma guvējiem</w:t>
            </w:r>
            <w:r w:rsidR="00431F91" w:rsidRPr="00E34EB2">
              <w:t>, kā arī</w:t>
            </w:r>
            <w:r w:rsidR="00721FD3" w:rsidRPr="00E34EB2">
              <w:t xml:space="preserve"> </w:t>
            </w:r>
            <w:r w:rsidRPr="00E34EB2">
              <w:t>ņemot vērā vidusskolas un koledžas sniegtos datus par izglītojamo un datoru (stacionāro un portatīvo) skaitu uz 2014.gada</w:t>
            </w:r>
            <w:r w:rsidR="00432658" w:rsidRPr="00E34EB2">
              <w:t xml:space="preserve"> 1.janvāri, kad tiks veikta vidusskolas likvidācija un vidusskolas izglītības programmu, funkciju, tiesību, saistību, prasību, finanšu līdzekļu, bilancē esošās kustamās mantas, lietvedības un arhīva nodošana koledžai, ir izvērtējusi koledžai kā ERAF projekta labuma guvējai pienākošos IKT vienību skaitu un konstatē, ka ERAF projekta ietvaros vidusskolai piegādātie 17 stacionārie datori var tikt nodoti koledžai un 5 stacionārie datori var tikt nodoti valsts sabiedrībai ar ierobežotu atbildību</w:t>
            </w:r>
            <w:r w:rsidR="009275A8">
              <w:t xml:space="preserve"> „Rīgas Tūrisma un radošās industrijas</w:t>
            </w:r>
            <w:r w:rsidR="005A6FC1" w:rsidRPr="00E34EB2">
              <w:t xml:space="preserve"> tehnikums” (turpmāk – tehnikums), ņemot vērā, ka tehnikums ir ERAF projekta labuma guvējs un ar 2013.gada 1.septembri pārņem vienas izglītības programmas īstenošanu no vidusskola</w:t>
            </w:r>
            <w:r w:rsidR="00BB287E" w:rsidRPr="00E34EB2">
              <w:t>s</w:t>
            </w:r>
            <w:r w:rsidR="005A6FC1" w:rsidRPr="00E34EB2">
              <w:t>. Savukārt, 2 portatīvie datori un multimediju komplekts būs nea</w:t>
            </w:r>
            <w:r w:rsidR="005D7B87" w:rsidRPr="00E34EB2">
              <w:t>ttiecināmi finansēšanai no ER</w:t>
            </w:r>
            <w:r w:rsidR="00AE4D7B" w:rsidRPr="00E34EB2">
              <w:t>AF, jo visi ERAF projekta labuma</w:t>
            </w:r>
            <w:r w:rsidR="005D7B87" w:rsidRPr="00E34EB2">
              <w:t xml:space="preserve"> guvēji ir saņēmuši vienu multimediju komplektu un portatīvos datorus atbilstoši noteikumos Nr.649 noteiktajiem projekta atbilstības kritērijiem.</w:t>
            </w:r>
            <w:r w:rsidR="005A6FC1" w:rsidRPr="00E34EB2">
              <w:t xml:space="preserve"> </w:t>
            </w:r>
            <w:r w:rsidR="00654505" w:rsidRPr="00E34EB2">
              <w:t xml:space="preserve">3.2.2.1.2.apakšaktivitātes projektu iesniegumu atlases kritērijus 2008.gadā bija izstrādājusi Īpašo uzdevumu ministrija elektroniskā pārvaldes lietās. </w:t>
            </w:r>
            <w:r w:rsidR="005A6FC1" w:rsidRPr="00E34EB2">
              <w:t>Ievērojot minēto, ERAF projektā pēc vidusskolas likvidācijas radīsies neatbilstoši veiktās izmaksas indikatīvi kopumā 4 933,07 latu apmērā</w:t>
            </w:r>
            <w:r w:rsidR="005D7B87" w:rsidRPr="00E34EB2">
              <w:t xml:space="preserve"> un tās ministrija paredz segt no saviem budžeta līdzekļiem, jo</w:t>
            </w:r>
            <w:r w:rsidR="005A6FC1" w:rsidRPr="00E34EB2">
              <w:t xml:space="preserve"> saskaņā ar Ministru kabineta 2010.gada 10.augusta noteikumos Nr.740 „Kārtība, kādā ziņo par Eiropas Savienības struktūrfondu un </w:t>
            </w:r>
            <w:r w:rsidR="008C2AB2" w:rsidRPr="00E34EB2">
              <w:t xml:space="preserve">Kohēzijas fonda ieviešanā konstatētajām </w:t>
            </w:r>
            <w:proofErr w:type="spellStart"/>
            <w:r w:rsidR="008C2AB2" w:rsidRPr="00E34EB2">
              <w:t>neatbilstīb</w:t>
            </w:r>
            <w:r w:rsidR="00BB287E" w:rsidRPr="00E34EB2">
              <w:t>ām</w:t>
            </w:r>
            <w:proofErr w:type="spellEnd"/>
            <w:r w:rsidR="00BB287E" w:rsidRPr="00E34EB2">
              <w:t>,</w:t>
            </w:r>
            <w:r w:rsidR="008C2AB2" w:rsidRPr="00E34EB2">
              <w:t xml:space="preserve"> pieņem lēmumu par piešķirtā finansējuma izlietojumu un atgūst neatbilstošos izdevumus</w:t>
            </w:r>
            <w:r w:rsidR="005A6FC1" w:rsidRPr="00E34EB2">
              <w:t>”</w:t>
            </w:r>
            <w:r w:rsidR="008C2AB2" w:rsidRPr="00E34EB2">
              <w:t xml:space="preserve"> noteikto </w:t>
            </w:r>
            <w:r w:rsidR="005D7B87" w:rsidRPr="00E34EB2">
              <w:t xml:space="preserve">neatbilstoši veiktās izmaksas </w:t>
            </w:r>
            <w:r w:rsidR="008C2AB2" w:rsidRPr="00E34EB2">
              <w:t>ir atgūstamas no ministrijas kā ERAF projekta finansējuma saņēmēja.</w:t>
            </w:r>
            <w:r w:rsidR="005D7B87" w:rsidRPr="00E34EB2">
              <w:t xml:space="preserve"> </w:t>
            </w:r>
            <w:r w:rsidR="00F306F6" w:rsidRPr="00E34EB2">
              <w:t>Ministrijas</w:t>
            </w:r>
            <w:r w:rsidR="0014437E" w:rsidRPr="00E34EB2">
              <w:t xml:space="preserve"> rīc</w:t>
            </w:r>
            <w:r w:rsidR="00F306F6" w:rsidRPr="00E34EB2">
              <w:t xml:space="preserve">ība, sedzot ERAF projektā neatbilstoši veiktās izmaksas 4 933,07 latu apjomā no ministrijas budžeta, </w:t>
            </w:r>
            <w:r w:rsidR="0014437E" w:rsidRPr="00E34EB2">
              <w:t xml:space="preserve"> ir atzīstama par samērojumu</w:t>
            </w:r>
            <w:r w:rsidR="00F02EF9" w:rsidRPr="00E34EB2">
              <w:t xml:space="preserve"> un valstij izdevīgāko risinājumu</w:t>
            </w:r>
            <w:r w:rsidR="00E65DA6" w:rsidRPr="00E34EB2">
              <w:t xml:space="preserve">, jo vidusskola ar tik mazu izglītojamo skaitu un </w:t>
            </w:r>
            <w:r w:rsidR="00C736AF" w:rsidRPr="00E34EB2">
              <w:t xml:space="preserve">tam neadekvātām </w:t>
            </w:r>
            <w:r w:rsidR="00E65DA6" w:rsidRPr="00E34EB2">
              <w:lastRenderedPageBreak/>
              <w:t>uzturēšanas izmaksām nespēj nodrošin</w:t>
            </w:r>
            <w:r w:rsidR="005B249A" w:rsidRPr="00E34EB2">
              <w:t>āt t</w:t>
            </w:r>
            <w:r w:rsidR="00E65DA6" w:rsidRPr="00E34EB2">
              <w:t>urpmāko darbību vidusskolai</w:t>
            </w:r>
            <w:r w:rsidR="00C736AF" w:rsidRPr="00E34EB2">
              <w:t xml:space="preserve"> atbilstoši izglītojamo skaitam</w:t>
            </w:r>
            <w:r w:rsidR="00E65DA6" w:rsidRPr="00E34EB2">
              <w:t xml:space="preserve"> piešķirtā valsts budžeta ietvaros</w:t>
            </w:r>
            <w:r w:rsidR="00C736AF" w:rsidRPr="00E34EB2">
              <w:t>. M</w:t>
            </w:r>
            <w:r w:rsidR="00E65DA6" w:rsidRPr="00E34EB2">
              <w:t>inistrij</w:t>
            </w:r>
            <w:r w:rsidR="005B249A" w:rsidRPr="00E34EB2">
              <w:t xml:space="preserve">a nevar pieļaut neracionālu un neefektīvu valsts budžeta līdzekļu tērēšanu, lai </w:t>
            </w:r>
            <w:r w:rsidR="00E65DA6" w:rsidRPr="00E34EB2">
              <w:t xml:space="preserve"> </w:t>
            </w:r>
            <w:r w:rsidR="005B249A" w:rsidRPr="00E34EB2">
              <w:t xml:space="preserve">nodrošinātu </w:t>
            </w:r>
            <w:r w:rsidR="00E65DA6" w:rsidRPr="00E34EB2">
              <w:t>vidusskolas uzturēšan</w:t>
            </w:r>
            <w:r w:rsidR="005B249A" w:rsidRPr="00E34EB2">
              <w:t xml:space="preserve">u </w:t>
            </w:r>
            <w:r w:rsidR="00C736AF" w:rsidRPr="00E34EB2">
              <w:t xml:space="preserve">vēl </w:t>
            </w:r>
            <w:r w:rsidR="005B249A" w:rsidRPr="00E34EB2">
              <w:t>2014.gadā un turpmākajos gados.</w:t>
            </w:r>
          </w:p>
          <w:p w:rsidR="00E65DA6" w:rsidRPr="00E34EB2" w:rsidRDefault="008C2AB2" w:rsidP="001623E4">
            <w:pPr>
              <w:jc w:val="both"/>
            </w:pPr>
            <w:r w:rsidRPr="00E34EB2">
              <w:t xml:space="preserve">    </w:t>
            </w:r>
            <w:r w:rsidR="00654505" w:rsidRPr="00E34EB2">
              <w:t xml:space="preserve">  Lai novērstu situācijas, kad ES fondu līdzekļi tiek novirzīti profesionālās izglītības iestādēm, kuras projekta </w:t>
            </w:r>
            <w:proofErr w:type="spellStart"/>
            <w:r w:rsidR="00654505" w:rsidRPr="00E34EB2">
              <w:t>pēcuzraudzības</w:t>
            </w:r>
            <w:proofErr w:type="spellEnd"/>
            <w:r w:rsidR="00654505" w:rsidRPr="00E34EB2">
              <w:t xml:space="preserve"> periodā tiek reorganizētas vai likvidētas, ministrija ES fondu ieguldījumus profesionālās izglītības iestādēs plāno atbilstoši Profesionālās izglītības iestāžu tīkla optimizācijas pamatnostādnēs 2010.-2015.gadam noteiktajam.</w:t>
            </w:r>
          </w:p>
          <w:p w:rsidR="00987866" w:rsidRDefault="00E65DA6" w:rsidP="001623E4">
            <w:pPr>
              <w:jc w:val="both"/>
            </w:pPr>
            <w:r>
              <w:t xml:space="preserve">     </w:t>
            </w:r>
            <w:r w:rsidR="0014348F">
              <w:t xml:space="preserve">Vidusskola ir piedalījusies </w:t>
            </w:r>
            <w:proofErr w:type="spellStart"/>
            <w:r w:rsidR="0014348F">
              <w:t>Leonardo</w:t>
            </w:r>
            <w:proofErr w:type="spellEnd"/>
            <w:r w:rsidR="0014348F">
              <w:t xml:space="preserve"> da </w:t>
            </w:r>
            <w:proofErr w:type="spellStart"/>
            <w:r w:rsidR="0014348F">
              <w:t>Vinci</w:t>
            </w:r>
            <w:proofErr w:type="spellEnd"/>
            <w:r w:rsidR="0014348F">
              <w:t xml:space="preserve"> projektos ar mērķi uzlabot būvniecības nozares audzēkņu profesionālās iemaņas starptautiskās pieredzes apmaiņas ietvaros (prakses apmai</w:t>
            </w:r>
            <w:r w:rsidR="007717F5">
              <w:t>ņu programmas ietvaros)</w:t>
            </w:r>
            <w:r w:rsidR="004F2CF0">
              <w:t>, īstenojusi ESF 1.2.1.1.3.apakšaktivitātes</w:t>
            </w:r>
            <w:r w:rsidR="00FE1F5F">
              <w:t xml:space="preserve"> projektu</w:t>
            </w:r>
            <w:r w:rsidR="007717F5">
              <w:t xml:space="preserve"> </w:t>
            </w:r>
            <w:r w:rsidR="00FE1F5F">
              <w:t xml:space="preserve">„Sākotnējās profesionālās izglītības programmu īstenošanas kvalitātes uzlabošana – Rīgas Būvniecības vidusskolas izglītojamajiem un pedagogiem” (noslēdzies 31.12.2011.) </w:t>
            </w:r>
            <w:r w:rsidR="007717F5">
              <w:t xml:space="preserve">un </w:t>
            </w:r>
            <w:r w:rsidR="00FE1F5F">
              <w:t>kā sadarbības partneris piedalās ESF</w:t>
            </w:r>
            <w:r w:rsidR="0003000E">
              <w:t xml:space="preserve"> 1.2.1.1.4.apakšaktivitātes īstenotajā projektā</w:t>
            </w:r>
            <w:r w:rsidR="007717F5">
              <w:t xml:space="preserve"> „Sākotnējās profesionālās izglītības pievilcības veicināšana”</w:t>
            </w:r>
            <w:r w:rsidR="0003000E">
              <w:t xml:space="preserve"> –, kurā tiek piešķirtas </w:t>
            </w:r>
            <w:proofErr w:type="spellStart"/>
            <w:r w:rsidR="0003000E">
              <w:t>mērķstipendijas</w:t>
            </w:r>
            <w:proofErr w:type="spellEnd"/>
            <w:r w:rsidR="0003000E">
              <w:t xml:space="preserve"> sākotnējā profesionālajā izglītībā studējošiem jauniešiem.</w:t>
            </w:r>
            <w:r w:rsidR="007717F5">
              <w:t xml:space="preserve"> </w:t>
            </w:r>
          </w:p>
          <w:p w:rsidR="00BB186C" w:rsidRPr="009433FA" w:rsidRDefault="00BB287E" w:rsidP="001623E4">
            <w:pPr>
              <w:jc w:val="both"/>
            </w:pPr>
            <w:r>
              <w:t xml:space="preserve">     </w:t>
            </w:r>
            <w:r w:rsidR="00F45865">
              <w:t>Saskaņā</w:t>
            </w:r>
            <w:r w:rsidR="00844106" w:rsidRPr="009433FA">
              <w:t xml:space="preserve"> ar tarifikāciju vidusskolā 2012./2013.m.g. strādā </w:t>
            </w:r>
            <w:r w:rsidR="00BF041C" w:rsidRPr="009433FA">
              <w:t xml:space="preserve">17 vispārējās vidējās izglītības skolotāji </w:t>
            </w:r>
            <w:r w:rsidR="001822F4" w:rsidRPr="009433FA">
              <w:t xml:space="preserve"> </w:t>
            </w:r>
            <w:r w:rsidR="00BF041C" w:rsidRPr="009433FA">
              <w:t>un 13 pro</w:t>
            </w:r>
            <w:r w:rsidR="00B92CBF" w:rsidRPr="009433FA">
              <w:t>fesionālās izglītības skolotāji, saskaņā ar amatu sarakstiem 5 citi pedagoģiskie darbinieki un 27 citi darbinieki.</w:t>
            </w:r>
          </w:p>
          <w:p w:rsidR="00E358AC" w:rsidRPr="00762359" w:rsidRDefault="007A7F9D" w:rsidP="00E358AC">
            <w:pPr>
              <w:jc w:val="both"/>
              <w:rPr>
                <w:b/>
                <w:i/>
              </w:rPr>
            </w:pPr>
            <w:r>
              <w:t xml:space="preserve">Skolotājiem 2013./2014.m.g. tarifikācijā, ņemot vērā nelielo izglītojamo skaitu, </w:t>
            </w:r>
            <w:r w:rsidR="009D2C32">
              <w:t xml:space="preserve">ar 2013.gada 1.septembri </w:t>
            </w:r>
            <w:r>
              <w:t xml:space="preserve">būs nelielas slodzes vidusskolā. </w:t>
            </w:r>
            <w:r w:rsidR="009D2C32">
              <w:t xml:space="preserve">Līdz ar to daļa no skolotājiem varētu pārtraukt darba tiesiskās attiecības vidusskolā nelielās slodzes dēļ. </w:t>
            </w:r>
            <w:r w:rsidR="00312682">
              <w:t xml:space="preserve">Ņemot vērā </w:t>
            </w:r>
            <w:r>
              <w:t xml:space="preserve">minēto un </w:t>
            </w:r>
            <w:r w:rsidR="00312682">
              <w:t>plānoto vidusskolas likvidāciju</w:t>
            </w:r>
            <w:r>
              <w:t xml:space="preserve"> ar 2014.gada 1.j</w:t>
            </w:r>
            <w:r w:rsidR="00E34EB2">
              <w:t>an</w:t>
            </w:r>
            <w:r>
              <w:t>vāri</w:t>
            </w:r>
            <w:r w:rsidR="00312682">
              <w:t>, m</w:t>
            </w:r>
            <w:r w:rsidR="00A41D62">
              <w:t xml:space="preserve">inistrija aicināja </w:t>
            </w:r>
            <w:r w:rsidR="00312682">
              <w:t xml:space="preserve">koledžu un </w:t>
            </w:r>
            <w:r w:rsidR="00A41D62">
              <w:t xml:space="preserve">citas profesionālās izglītības iestādes rast </w:t>
            </w:r>
            <w:r>
              <w:t>iespēju nodrošināt vidusskolas skolotājiem darbu jau ar 2013.gada 1.</w:t>
            </w:r>
            <w:r w:rsidR="000A3DCC">
              <w:t>septembri, kā arī pārējiem darbiniekiem – ar 2014.gada 1.janvāri.</w:t>
            </w:r>
            <w:r w:rsidR="00A41D62">
              <w:t xml:space="preserve"> </w:t>
            </w:r>
            <w:r w:rsidR="000A3DCC">
              <w:t xml:space="preserve">Koledža izteica darba piedāvājumu </w:t>
            </w:r>
            <w:r w:rsidR="00907DDD">
              <w:t xml:space="preserve">trīs </w:t>
            </w:r>
            <w:r w:rsidR="000A3DCC">
              <w:t>vidusskolas skolotājiem</w:t>
            </w:r>
            <w:r w:rsidR="009433FA">
              <w:t xml:space="preserve"> jau ar 2013.gada 1.septembri</w:t>
            </w:r>
            <w:r w:rsidR="000A3DCC">
              <w:t>, pie nosacījuma, ka izglītojamo uzņemšana nor</w:t>
            </w:r>
            <w:r w:rsidR="00907DDD">
              <w:t xml:space="preserve">isināsies atbilstoši plānotajam, pārējiem </w:t>
            </w:r>
            <w:r w:rsidR="00EC76A1">
              <w:t xml:space="preserve">– </w:t>
            </w:r>
            <w:r w:rsidR="00907DDD">
              <w:t>ar 2014.gada 1.janvāri.</w:t>
            </w:r>
            <w:r w:rsidR="000A3DCC">
              <w:t xml:space="preserve">  </w:t>
            </w:r>
            <w:r w:rsidR="00E358AC" w:rsidRPr="00E358AC">
              <w:t xml:space="preserve">Bez darba piedāvājuma </w:t>
            </w:r>
            <w:r w:rsidR="00970641">
              <w:t xml:space="preserve">uz 2014.gada 1.janvāri </w:t>
            </w:r>
            <w:r w:rsidR="00E358AC" w:rsidRPr="00E358AC">
              <w:t xml:space="preserve">varētu palikt </w:t>
            </w:r>
            <w:r w:rsidR="00E358AC" w:rsidRPr="00E358AC">
              <w:lastRenderedPageBreak/>
              <w:t xml:space="preserve">ne vairāk kā </w:t>
            </w:r>
            <w:r w:rsidR="006F6766">
              <w:t xml:space="preserve">trīs vispārējās vidējās izglītības </w:t>
            </w:r>
            <w:r w:rsidR="00E358AC" w:rsidRPr="00E358AC">
              <w:t>skolotāji</w:t>
            </w:r>
            <w:r w:rsidR="00907DDD">
              <w:t xml:space="preserve"> un </w:t>
            </w:r>
            <w:r w:rsidR="00D83729">
              <w:t>12</w:t>
            </w:r>
            <w:r w:rsidR="00907DDD">
              <w:t xml:space="preserve"> tehniskie darbinieki (pamatā pensijas vecumā). </w:t>
            </w:r>
            <w:r w:rsidR="00B35C4E">
              <w:t xml:space="preserve"> </w:t>
            </w:r>
          </w:p>
          <w:p w:rsidR="00CF5B58" w:rsidRDefault="00BB287E" w:rsidP="00522ACA">
            <w:pPr>
              <w:jc w:val="both"/>
            </w:pPr>
            <w:r>
              <w:t xml:space="preserve">     </w:t>
            </w:r>
            <w:r w:rsidR="00CF5B58">
              <w:t xml:space="preserve">Valsts nekustamo īpašumu (nekustamā īpašuma kadastra Nr.0100 025 2026) Krišjāņa Valdemāra ielā 163, Rīgā, un valstij piekrītošo būvju nekustamo īpašumu (būvju nekustamā īpašuma kadastra Nr.0100 525 0062) Krišjāņa Valdemāra </w:t>
            </w:r>
            <w:r w:rsidR="00F86E2B">
              <w:t>ielā 163, Rīgā, plānots nodot Banku augst</w:t>
            </w:r>
            <w:r w:rsidR="00EC76A1">
              <w:t>skolas pārvaldīšanā. Vidusskola</w:t>
            </w:r>
            <w:r w:rsidR="00F86E2B">
              <w:t xml:space="preserve"> līdz tās likvidācijas procesa pilnīgai pabeigšanai saglabā tiesības izmantot minēto nekustamo īpašumu daļu mācību procesa nodrošināšanai, sedzot ar to saistītos uzturēšanas izdevumus.</w:t>
            </w:r>
          </w:p>
          <w:p w:rsidR="00F86E2B" w:rsidRPr="00CF5B58" w:rsidRDefault="00BB287E" w:rsidP="00522ACA">
            <w:pPr>
              <w:jc w:val="both"/>
            </w:pPr>
            <w:r>
              <w:t xml:space="preserve">     </w:t>
            </w:r>
            <w:r w:rsidR="00F86E2B">
              <w:t>Valsts nekustamais īpašums (nekustamā īpašuma kadastra Nr.0100 124 0292) Murjāņu ielā 59A, Rīgā, līdz vidusskolas likvidācijas procesa pilnīgai pabeigšanai tiks pārņemts ministrijas pārvaldīšanā.</w:t>
            </w:r>
          </w:p>
          <w:p w:rsidR="00084A32" w:rsidRPr="00842709" w:rsidRDefault="00084A32" w:rsidP="00C21961">
            <w:pPr>
              <w:ind w:firstLine="281"/>
              <w:jc w:val="both"/>
              <w:rPr>
                <w:color w:val="000000"/>
              </w:rPr>
            </w:pPr>
          </w:p>
        </w:tc>
      </w:tr>
      <w:tr w:rsidR="00084A32">
        <w:tc>
          <w:tcPr>
            <w:tcW w:w="396" w:type="dxa"/>
          </w:tcPr>
          <w:p w:rsidR="00084A32" w:rsidRDefault="00084A32" w:rsidP="00607C2F">
            <w:pPr>
              <w:jc w:val="center"/>
            </w:pPr>
            <w:r>
              <w:lastRenderedPageBreak/>
              <w:t>3.</w:t>
            </w:r>
          </w:p>
        </w:tc>
        <w:tc>
          <w:tcPr>
            <w:tcW w:w="3823" w:type="dxa"/>
          </w:tcPr>
          <w:p w:rsidR="00084A32" w:rsidRDefault="00084A32" w:rsidP="007729DB">
            <w:pPr>
              <w:jc w:val="both"/>
            </w:pPr>
            <w:r>
              <w:t>Saistītie politikas ietekmes novērtējumi un pētījumi</w:t>
            </w:r>
          </w:p>
        </w:tc>
        <w:tc>
          <w:tcPr>
            <w:tcW w:w="5068" w:type="dxa"/>
          </w:tcPr>
          <w:p w:rsidR="00084A32" w:rsidRDefault="00AD79DE" w:rsidP="007729DB">
            <w:pPr>
              <w:jc w:val="both"/>
            </w:pPr>
            <w:r>
              <w:t>Projekts šo jomu neskar</w:t>
            </w:r>
            <w:r w:rsidR="007605E8">
              <w:t>.</w:t>
            </w:r>
          </w:p>
        </w:tc>
      </w:tr>
      <w:tr w:rsidR="00084A32">
        <w:tc>
          <w:tcPr>
            <w:tcW w:w="396" w:type="dxa"/>
          </w:tcPr>
          <w:p w:rsidR="00084A32" w:rsidRDefault="00084A32" w:rsidP="00607C2F">
            <w:pPr>
              <w:jc w:val="center"/>
            </w:pPr>
            <w:r>
              <w:t>4.</w:t>
            </w:r>
          </w:p>
        </w:tc>
        <w:tc>
          <w:tcPr>
            <w:tcW w:w="3823" w:type="dxa"/>
          </w:tcPr>
          <w:p w:rsidR="00084A32" w:rsidRDefault="00084A32" w:rsidP="007729DB">
            <w:pPr>
              <w:jc w:val="both"/>
            </w:pPr>
            <w:r>
              <w:t>Tiesiskā regulējuma mērķis un būtība</w:t>
            </w:r>
          </w:p>
        </w:tc>
        <w:tc>
          <w:tcPr>
            <w:tcW w:w="5068" w:type="dxa"/>
          </w:tcPr>
          <w:p w:rsidR="00D311F0" w:rsidRPr="007C368A" w:rsidRDefault="001C1B5B" w:rsidP="00D311F0">
            <w:pPr>
              <w:pStyle w:val="BodyText"/>
              <w:spacing w:after="0"/>
              <w:ind w:firstLine="281"/>
              <w:jc w:val="both"/>
            </w:pPr>
            <w:r w:rsidRPr="007C368A">
              <w:t>R</w:t>
            </w:r>
            <w:r w:rsidR="00133C20" w:rsidRPr="007C368A">
              <w:t xml:space="preserve">īkojuma projekts paredz </w:t>
            </w:r>
            <w:r w:rsidR="008A310B">
              <w:t>ar 2014.gada 1</w:t>
            </w:r>
            <w:r w:rsidR="00D311F0">
              <w:t>.janvāri</w:t>
            </w:r>
            <w:r w:rsidR="007E4700" w:rsidRPr="007C368A">
              <w:rPr>
                <w:i/>
              </w:rPr>
              <w:t xml:space="preserve"> </w:t>
            </w:r>
            <w:r w:rsidR="00D311F0">
              <w:t xml:space="preserve">likvidēt </w:t>
            </w:r>
            <w:r w:rsidRPr="007C368A">
              <w:t>vidusskolu</w:t>
            </w:r>
            <w:r w:rsidR="003F7221">
              <w:t>,</w:t>
            </w:r>
            <w:r w:rsidR="00D311F0">
              <w:t xml:space="preserve"> to pievienojot koledžai. </w:t>
            </w:r>
            <w:r w:rsidRPr="007C368A">
              <w:t xml:space="preserve"> </w:t>
            </w:r>
          </w:p>
          <w:p w:rsidR="001C1B5B" w:rsidRPr="007C368A" w:rsidRDefault="00D311F0" w:rsidP="001C1B5B">
            <w:pPr>
              <w:pStyle w:val="BodyText"/>
              <w:spacing w:after="0"/>
              <w:ind w:firstLine="281"/>
              <w:jc w:val="both"/>
            </w:pPr>
            <w:r>
              <w:t>Koledža</w:t>
            </w:r>
            <w:r w:rsidR="001C1B5B" w:rsidRPr="007C368A">
              <w:t xml:space="preserve"> tiek noteikta par vidusskolas funkciju, tiesību, saistību, prasību, </w:t>
            </w:r>
            <w:r w:rsidR="00611D67">
              <w:t xml:space="preserve">finanšu līdzekļu, </w:t>
            </w:r>
            <w:r w:rsidR="00384CD1" w:rsidRPr="007C368A">
              <w:t xml:space="preserve">bilancē esošās </w:t>
            </w:r>
            <w:r w:rsidR="00F86E2B">
              <w:t xml:space="preserve">kustamās </w:t>
            </w:r>
            <w:r w:rsidR="001C1B5B" w:rsidRPr="007C368A">
              <w:t>mantas, lietvedības un arhīva pārņēmēju.</w:t>
            </w:r>
          </w:p>
          <w:p w:rsidR="00E02D34" w:rsidRPr="007C368A" w:rsidRDefault="001C1B5B" w:rsidP="001C1B5B">
            <w:pPr>
              <w:pStyle w:val="BodyText"/>
              <w:spacing w:after="0"/>
              <w:ind w:firstLine="281"/>
              <w:jc w:val="both"/>
            </w:pPr>
            <w:r w:rsidRPr="007C368A">
              <w:t xml:space="preserve">Rīkojuma projekts paredz </w:t>
            </w:r>
            <w:r w:rsidR="00D311F0">
              <w:t>vidusskolas likvidācijas</w:t>
            </w:r>
            <w:r w:rsidRPr="007C368A">
              <w:t xml:space="preserve"> komisijas izveidi</w:t>
            </w:r>
            <w:r w:rsidR="00D311F0">
              <w:t>, nosakot tās uzdevumus – nodrošināt</w:t>
            </w:r>
            <w:r w:rsidR="002F0CC9" w:rsidRPr="007C368A">
              <w:t xml:space="preserve"> </w:t>
            </w:r>
            <w:r w:rsidR="006306AE" w:rsidRPr="007C368A">
              <w:t xml:space="preserve">vidusskolas </w:t>
            </w:r>
            <w:r w:rsidRPr="007C368A">
              <w:t>materiālo un finanšu līd</w:t>
            </w:r>
            <w:r w:rsidR="00E02D34" w:rsidRPr="007C368A">
              <w:t xml:space="preserve">zekļu inventarizāciju, </w:t>
            </w:r>
            <w:r w:rsidR="00F86E2B">
              <w:t xml:space="preserve">kustamās </w:t>
            </w:r>
            <w:r w:rsidRPr="007C368A">
              <w:t>m</w:t>
            </w:r>
            <w:r w:rsidR="00E02D34" w:rsidRPr="007C368A">
              <w:t>antas vērtī</w:t>
            </w:r>
            <w:r w:rsidR="00D311F0">
              <w:t>bas un saistību apjoma noteikšanu</w:t>
            </w:r>
            <w:r w:rsidR="00F86E2B">
              <w:t xml:space="preserve"> un</w:t>
            </w:r>
            <w:r w:rsidR="002F0CC9" w:rsidRPr="007C368A">
              <w:t xml:space="preserve"> </w:t>
            </w:r>
            <w:r w:rsidR="00D311F0">
              <w:t xml:space="preserve">bilancē esošās </w:t>
            </w:r>
            <w:r w:rsidR="00F86E2B">
              <w:t xml:space="preserve">kustamās </w:t>
            </w:r>
            <w:r w:rsidRPr="007C368A">
              <w:t>mantas, saistību</w:t>
            </w:r>
            <w:r w:rsidR="007C02D5" w:rsidRPr="007C368A">
              <w:t xml:space="preserve">, </w:t>
            </w:r>
            <w:r w:rsidR="00F86E2B">
              <w:t xml:space="preserve">arhīva un lietvedības nodošanu koledžai, kā arī vidusskolas </w:t>
            </w:r>
            <w:r w:rsidR="00D311F0">
              <w:t xml:space="preserve">slēguma </w:t>
            </w:r>
            <w:r w:rsidR="00F86E2B">
              <w:t xml:space="preserve">bilances </w:t>
            </w:r>
            <w:r w:rsidR="00D311F0">
              <w:t>sagatavošanu</w:t>
            </w:r>
            <w:r w:rsidR="00F86E2B">
              <w:t>.</w:t>
            </w:r>
            <w:r w:rsidR="00D311F0">
              <w:t xml:space="preserve"> </w:t>
            </w:r>
          </w:p>
          <w:p w:rsidR="00073F7B" w:rsidRDefault="006E51F6" w:rsidP="00AE2C10">
            <w:pPr>
              <w:pStyle w:val="BodyText"/>
              <w:spacing w:after="0"/>
              <w:ind w:firstLine="281"/>
              <w:jc w:val="both"/>
            </w:pPr>
            <w:r w:rsidRPr="007C368A">
              <w:t>A</w:t>
            </w:r>
            <w:r w:rsidR="00CC70A5">
              <w:t>r vidusskolas likvidāciju</w:t>
            </w:r>
            <w:r w:rsidRPr="007C368A">
              <w:t xml:space="preserve"> saistītos izdevumus paredzēts segt no </w:t>
            </w:r>
            <w:r w:rsidR="00943B73" w:rsidRPr="007C368A">
              <w:t>min</w:t>
            </w:r>
            <w:r w:rsidR="00943768" w:rsidRPr="007C368A">
              <w:t>istrijas budžeta programmas 02.00</w:t>
            </w:r>
            <w:r w:rsidR="00943B73" w:rsidRPr="007C368A">
              <w:t>.00 „Profesionālās izglītības mācību iestādes”</w:t>
            </w:r>
            <w:r w:rsidR="00E4325E">
              <w:t xml:space="preserve"> apakšprogrammai</w:t>
            </w:r>
            <w:r w:rsidR="00943768" w:rsidRPr="007C368A">
              <w:t xml:space="preserve"> 02.01.00 „Profesionālās izglītības programmu īstenošana”</w:t>
            </w:r>
            <w:r w:rsidR="00943B73" w:rsidRPr="007C368A">
              <w:t xml:space="preserve"> </w:t>
            </w:r>
            <w:r w:rsidR="0066199B" w:rsidRPr="007C368A">
              <w:t>2013</w:t>
            </w:r>
            <w:r w:rsidRPr="007C368A">
              <w:t xml:space="preserve">.gadam apstiprinātajiem </w:t>
            </w:r>
            <w:r w:rsidR="004B526B">
              <w:t xml:space="preserve">valsts </w:t>
            </w:r>
            <w:r w:rsidRPr="007C368A">
              <w:t>budžeta līdzekļiem</w:t>
            </w:r>
            <w:r w:rsidR="00943B73" w:rsidRPr="007C368A">
              <w:t>.</w:t>
            </w:r>
            <w:r w:rsidRPr="007C368A">
              <w:t xml:space="preserve"> </w:t>
            </w:r>
          </w:p>
          <w:p w:rsidR="00EB450A" w:rsidRPr="00295FA5" w:rsidRDefault="00EB450A" w:rsidP="00EB450A">
            <w:pPr>
              <w:pStyle w:val="BodyText"/>
              <w:spacing w:after="0"/>
              <w:ind w:firstLine="281"/>
              <w:jc w:val="both"/>
            </w:pPr>
            <w:r>
              <w:t xml:space="preserve">Vidusskolas likvidācija neskar izglītojamo tiesības uz izglītību. Izglītojamajiem tiek nodrošināta iespēja turpināt apgūt profesionālās izglītības programmas atbilstoši valsts standartiem un akreditētām izglītības programmām  koledžā Gaiziņa ielā 3, Rīgā, kā arī </w:t>
            </w:r>
            <w:r w:rsidR="00EC76A1">
              <w:t xml:space="preserve">pēc nepieciešamības </w:t>
            </w:r>
            <w:r>
              <w:t>izglītojamie tiek nodrošināti ar labiekārtotā</w:t>
            </w:r>
            <w:r w:rsidR="00AB6555">
              <w:t>m vietām dienesta viesnīcā.</w:t>
            </w:r>
          </w:p>
          <w:p w:rsidR="00EB450A" w:rsidRPr="001351C0" w:rsidRDefault="00EB450A" w:rsidP="00F1324C">
            <w:pPr>
              <w:ind w:firstLine="317"/>
              <w:jc w:val="both"/>
            </w:pPr>
          </w:p>
        </w:tc>
      </w:tr>
      <w:tr w:rsidR="00084A32">
        <w:tc>
          <w:tcPr>
            <w:tcW w:w="396" w:type="dxa"/>
          </w:tcPr>
          <w:p w:rsidR="00084A32" w:rsidRDefault="00084A32" w:rsidP="00607C2F">
            <w:pPr>
              <w:jc w:val="center"/>
            </w:pPr>
            <w:r>
              <w:lastRenderedPageBreak/>
              <w:t>5.</w:t>
            </w:r>
          </w:p>
        </w:tc>
        <w:tc>
          <w:tcPr>
            <w:tcW w:w="3823" w:type="dxa"/>
          </w:tcPr>
          <w:p w:rsidR="00084A32" w:rsidRDefault="00084A32" w:rsidP="007729DB">
            <w:pPr>
              <w:jc w:val="both"/>
            </w:pPr>
            <w:r>
              <w:t>Projekta izstrādē iesaistītās institūcijas</w:t>
            </w:r>
          </w:p>
        </w:tc>
        <w:tc>
          <w:tcPr>
            <w:tcW w:w="5068" w:type="dxa"/>
          </w:tcPr>
          <w:p w:rsidR="00084A32" w:rsidRDefault="00AD79DE" w:rsidP="007729DB">
            <w:pPr>
              <w:jc w:val="both"/>
            </w:pPr>
            <w:r>
              <w:t>Ministrija</w:t>
            </w:r>
            <w:r w:rsidR="00DA25A0">
              <w:t xml:space="preserve">, </w:t>
            </w:r>
            <w:r w:rsidR="00FE28A9">
              <w:t>koledža, vidusskola.</w:t>
            </w:r>
          </w:p>
        </w:tc>
      </w:tr>
      <w:tr w:rsidR="00084A32">
        <w:tc>
          <w:tcPr>
            <w:tcW w:w="396" w:type="dxa"/>
          </w:tcPr>
          <w:p w:rsidR="00084A32" w:rsidRDefault="00084A32" w:rsidP="00607C2F">
            <w:pPr>
              <w:jc w:val="center"/>
            </w:pPr>
            <w:r>
              <w:t>6.</w:t>
            </w:r>
          </w:p>
        </w:tc>
        <w:tc>
          <w:tcPr>
            <w:tcW w:w="3823" w:type="dxa"/>
          </w:tcPr>
          <w:p w:rsidR="00084A32" w:rsidRDefault="00084A32" w:rsidP="007729DB">
            <w:pPr>
              <w:jc w:val="both"/>
            </w:pPr>
            <w:r>
              <w:t>Iemesli, kādēļ netika nodrošināta</w:t>
            </w:r>
            <w:r w:rsidR="0063145B">
              <w:t xml:space="preserve"> sabiedrības līdzdalība</w:t>
            </w:r>
          </w:p>
        </w:tc>
        <w:tc>
          <w:tcPr>
            <w:tcW w:w="5068" w:type="dxa"/>
          </w:tcPr>
          <w:p w:rsidR="00084A32" w:rsidRDefault="00625D3C" w:rsidP="00AE2BFE">
            <w:pPr>
              <w:ind w:firstLine="720"/>
              <w:jc w:val="both"/>
            </w:pPr>
            <w:r>
              <w:t xml:space="preserve">Sabiedrības </w:t>
            </w:r>
            <w:r w:rsidR="00290F20">
              <w:t xml:space="preserve">plašāka </w:t>
            </w:r>
            <w:r>
              <w:t xml:space="preserve">līdzdalība nebija nepieciešama, jo minētais </w:t>
            </w:r>
            <w:r w:rsidR="00290F20">
              <w:t>jautājums ir ministrijas kompetencē un saist</w:t>
            </w:r>
            <w:r w:rsidR="00FC4A17">
              <w:t>īts ar valsts budžeta</w:t>
            </w:r>
            <w:r w:rsidR="00290F20">
              <w:t xml:space="preserve"> līdzekļu racionālu izmanto</w:t>
            </w:r>
            <w:r w:rsidR="00FC4A17">
              <w:t>šanu, ņemot vērā, ka vidusskola pie tik maza izglītojamo skaita un neracionāli izmantotām telpām nespēj nodrošināt tālāko darbību.</w:t>
            </w:r>
          </w:p>
        </w:tc>
      </w:tr>
      <w:tr w:rsidR="00084A32">
        <w:tc>
          <w:tcPr>
            <w:tcW w:w="396" w:type="dxa"/>
          </w:tcPr>
          <w:p w:rsidR="00084A32" w:rsidRDefault="00084A32" w:rsidP="00607C2F">
            <w:pPr>
              <w:jc w:val="center"/>
            </w:pPr>
            <w:r>
              <w:t>7.</w:t>
            </w:r>
          </w:p>
        </w:tc>
        <w:tc>
          <w:tcPr>
            <w:tcW w:w="3823" w:type="dxa"/>
          </w:tcPr>
          <w:p w:rsidR="00084A32" w:rsidRDefault="0063145B" w:rsidP="007729DB">
            <w:pPr>
              <w:jc w:val="both"/>
            </w:pPr>
            <w:r>
              <w:t>Cita informācija</w:t>
            </w:r>
          </w:p>
        </w:tc>
        <w:tc>
          <w:tcPr>
            <w:tcW w:w="5068" w:type="dxa"/>
          </w:tcPr>
          <w:p w:rsidR="00D3335E" w:rsidRPr="004D6EA2" w:rsidRDefault="00EC76A1" w:rsidP="00732085">
            <w:pPr>
              <w:autoSpaceDE w:val="0"/>
              <w:autoSpaceDN w:val="0"/>
              <w:adjustRightInd w:val="0"/>
              <w:ind w:firstLine="459"/>
              <w:jc w:val="both"/>
              <w:rPr>
                <w:color w:val="000000"/>
              </w:rPr>
            </w:pPr>
            <w:r>
              <w:rPr>
                <w:color w:val="000000"/>
              </w:rPr>
              <w:t xml:space="preserve">Ministrija </w:t>
            </w:r>
            <w:r w:rsidR="0064448A">
              <w:rPr>
                <w:color w:val="000000"/>
              </w:rPr>
              <w:t xml:space="preserve">2013.gada 29.maijā ar vēstuli Nr.01-15/2330 ir informējusi vidusskolu un koledžu par vidusskolas pievienošanu koledžai ar 2014.gada 1.janvāri, lai nākotnē izveidotu būvniecības centru </w:t>
            </w:r>
            <w:r>
              <w:rPr>
                <w:color w:val="000000"/>
              </w:rPr>
              <w:t xml:space="preserve">Rīgā </w:t>
            </w:r>
            <w:r w:rsidR="0064448A">
              <w:rPr>
                <w:color w:val="000000"/>
              </w:rPr>
              <w:t xml:space="preserve">uz koledžas bāzes. Izglītības iestādes ir informētas, ka koledža tiks noteikta par vidusskolas funkciju, tiesību, saistību, prasību, bilancē esošas mantas, lietvedības un arhīva pārņēmēju. </w:t>
            </w:r>
            <w:r w:rsidR="00732085">
              <w:rPr>
                <w:color w:val="000000"/>
              </w:rPr>
              <w:t xml:space="preserve">Savukārt, vidusskola Pedagoģiskās padomes sēdē ir informējusi vidusskolas kolektīvu un sapulcēs izglītojamos un izglītojamo vecākus – par plānoto vidusskolas likvidāciju. </w:t>
            </w:r>
            <w:r w:rsidR="0064448A">
              <w:rPr>
                <w:color w:val="000000"/>
              </w:rPr>
              <w:t>Līdz ar to i</w:t>
            </w:r>
            <w:r w:rsidR="00D203A5">
              <w:rPr>
                <w:color w:val="000000"/>
              </w:rPr>
              <w:t xml:space="preserve">r izpildīta Izglītības likuma </w:t>
            </w:r>
            <w:r w:rsidR="0064448A">
              <w:rPr>
                <w:color w:val="000000"/>
              </w:rPr>
              <w:t>23.panta piektās daļas prasība par attiecīgo institūciju un personu informēšanu.</w:t>
            </w:r>
          </w:p>
        </w:tc>
      </w:tr>
    </w:tbl>
    <w:p w:rsidR="00E715F3" w:rsidRDefault="00E715F3"/>
    <w:p w:rsidR="00FC5B5A" w:rsidRDefault="00FC5B5A" w:rsidP="00FC5B5A">
      <w:pPr>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3825"/>
        <w:gridCol w:w="5066"/>
      </w:tblGrid>
      <w:tr w:rsidR="00D3335E">
        <w:tc>
          <w:tcPr>
            <w:tcW w:w="9287" w:type="dxa"/>
            <w:gridSpan w:val="3"/>
          </w:tcPr>
          <w:p w:rsidR="00D3335E" w:rsidRPr="00D3335E" w:rsidRDefault="00D3335E" w:rsidP="00D3335E">
            <w:pPr>
              <w:jc w:val="center"/>
              <w:rPr>
                <w:b/>
              </w:rPr>
            </w:pPr>
            <w:r>
              <w:rPr>
                <w:b/>
              </w:rPr>
              <w:t>II. Tiesību akta projekta ietekme uz sabiedrību</w:t>
            </w:r>
          </w:p>
        </w:tc>
      </w:tr>
      <w:tr w:rsidR="00FC5B5A">
        <w:tc>
          <w:tcPr>
            <w:tcW w:w="392" w:type="dxa"/>
          </w:tcPr>
          <w:p w:rsidR="00FC5B5A" w:rsidRDefault="00FC5B5A" w:rsidP="00FC5B5A">
            <w:pPr>
              <w:jc w:val="center"/>
            </w:pPr>
            <w:r>
              <w:t>1.</w:t>
            </w:r>
          </w:p>
        </w:tc>
        <w:tc>
          <w:tcPr>
            <w:tcW w:w="3827" w:type="dxa"/>
          </w:tcPr>
          <w:p w:rsidR="00FC5B5A" w:rsidRDefault="00FC5B5A" w:rsidP="00FC5B5A">
            <w:pPr>
              <w:jc w:val="both"/>
            </w:pPr>
            <w:r>
              <w:t xml:space="preserve">Sabiedrības </w:t>
            </w:r>
            <w:proofErr w:type="spellStart"/>
            <w:r>
              <w:t>mērķgrupa</w:t>
            </w:r>
            <w:proofErr w:type="spellEnd"/>
          </w:p>
        </w:tc>
        <w:tc>
          <w:tcPr>
            <w:tcW w:w="5068" w:type="dxa"/>
          </w:tcPr>
          <w:p w:rsidR="00F32463" w:rsidRDefault="00F32463" w:rsidP="00BC7F4A">
            <w:pPr>
              <w:jc w:val="both"/>
            </w:pPr>
            <w:r>
              <w:t>V</w:t>
            </w:r>
            <w:r w:rsidR="00FC5B5A">
              <w:t xml:space="preserve">idusskolas </w:t>
            </w:r>
            <w:r w:rsidR="00E4325E" w:rsidRPr="00E4325E">
              <w:t>106</w:t>
            </w:r>
            <w:r w:rsidR="00DF4B9F" w:rsidRPr="00E4325E">
              <w:t xml:space="preserve"> </w:t>
            </w:r>
            <w:r w:rsidR="00FC5B5A">
              <w:t xml:space="preserve">izglītojamie, </w:t>
            </w:r>
            <w:r w:rsidR="00273320">
              <w:t>ku</w:t>
            </w:r>
            <w:r w:rsidR="002F527D">
              <w:t>ri</w:t>
            </w:r>
            <w:r>
              <w:t>em būs iespēja turpināt</w:t>
            </w:r>
            <w:r w:rsidR="002F527D">
              <w:t xml:space="preserve"> iegūt izglītību</w:t>
            </w:r>
            <w:r>
              <w:t xml:space="preserve"> koledžas profesionālās izglītības programmās</w:t>
            </w:r>
            <w:r w:rsidR="00F55AF0">
              <w:t>. V</w:t>
            </w:r>
            <w:r w:rsidR="00EC76A1">
              <w:t>idusskolas</w:t>
            </w:r>
            <w:r w:rsidR="002F527D">
              <w:t xml:space="preserve"> </w:t>
            </w:r>
            <w:r w:rsidR="00EC76A1">
              <w:t>35 pedagogi un pedagoģiskie darbinieki un 27 pārējie darbinieki, kuriem tiks piedāvāta iespēja strādāt koledžā vai citās profesionālās izglītības iestādēs.</w:t>
            </w:r>
          </w:p>
        </w:tc>
      </w:tr>
      <w:tr w:rsidR="00FC5B5A">
        <w:tc>
          <w:tcPr>
            <w:tcW w:w="392" w:type="dxa"/>
          </w:tcPr>
          <w:p w:rsidR="00FC5B5A" w:rsidRDefault="00FC5B5A" w:rsidP="00FC5B5A">
            <w:pPr>
              <w:jc w:val="center"/>
            </w:pPr>
            <w:r>
              <w:t>2.</w:t>
            </w:r>
          </w:p>
        </w:tc>
        <w:tc>
          <w:tcPr>
            <w:tcW w:w="3827" w:type="dxa"/>
          </w:tcPr>
          <w:p w:rsidR="00FC5B5A" w:rsidRDefault="00FC5B5A" w:rsidP="00FC5B5A">
            <w:pPr>
              <w:jc w:val="both"/>
            </w:pPr>
            <w:r>
              <w:t xml:space="preserve">Citas sabiedrības grupas (bez </w:t>
            </w:r>
            <w:proofErr w:type="spellStart"/>
            <w:r>
              <w:t>mērķgrupas</w:t>
            </w:r>
            <w:proofErr w:type="spellEnd"/>
            <w:r>
              <w:t>), kuras tiesiskais regulējums arī ietekmē vai varētu ietekmēt</w:t>
            </w:r>
          </w:p>
        </w:tc>
        <w:tc>
          <w:tcPr>
            <w:tcW w:w="5068" w:type="dxa"/>
          </w:tcPr>
          <w:p w:rsidR="00FC5B5A" w:rsidRDefault="00FC5B5A" w:rsidP="00FC5B5A">
            <w:pPr>
              <w:jc w:val="both"/>
            </w:pPr>
            <w:r>
              <w:t xml:space="preserve">Izglītojamo vecāki, institūcijas un organizācijas, kuras sniedz atbalstu </w:t>
            </w:r>
            <w:r w:rsidR="004B5E13">
              <w:t>izglītības iestādēm izglītības procesa nodrošināšanā</w:t>
            </w:r>
            <w:r w:rsidR="00E3040C">
              <w:t>.</w:t>
            </w:r>
            <w:r w:rsidR="008A4D25">
              <w:t xml:space="preserve"> </w:t>
            </w:r>
          </w:p>
          <w:p w:rsidR="008A4D25" w:rsidRDefault="008A4D25" w:rsidP="00FC5B5A">
            <w:pPr>
              <w:jc w:val="both"/>
            </w:pPr>
          </w:p>
        </w:tc>
      </w:tr>
      <w:tr w:rsidR="004B5E13">
        <w:tc>
          <w:tcPr>
            <w:tcW w:w="392" w:type="dxa"/>
          </w:tcPr>
          <w:p w:rsidR="004B5E13" w:rsidRDefault="004B5E13" w:rsidP="00FC5B5A">
            <w:pPr>
              <w:jc w:val="center"/>
            </w:pPr>
            <w:r>
              <w:t>3.</w:t>
            </w:r>
          </w:p>
        </w:tc>
        <w:tc>
          <w:tcPr>
            <w:tcW w:w="3827" w:type="dxa"/>
          </w:tcPr>
          <w:p w:rsidR="004B5E13" w:rsidRDefault="004B5E13" w:rsidP="00FC5B5A">
            <w:pPr>
              <w:jc w:val="both"/>
            </w:pPr>
            <w:r>
              <w:t>Tiesiskā regulējuma finansiālā ietekme</w:t>
            </w:r>
          </w:p>
        </w:tc>
        <w:tc>
          <w:tcPr>
            <w:tcW w:w="5068" w:type="dxa"/>
          </w:tcPr>
          <w:p w:rsidR="004B5E13" w:rsidRDefault="00DF4B9F" w:rsidP="002F527D">
            <w:pPr>
              <w:jc w:val="both"/>
            </w:pPr>
            <w:r>
              <w:t>Projekts šo jomu neskar.</w:t>
            </w:r>
          </w:p>
        </w:tc>
      </w:tr>
      <w:tr w:rsidR="004B5E13">
        <w:tc>
          <w:tcPr>
            <w:tcW w:w="392" w:type="dxa"/>
          </w:tcPr>
          <w:p w:rsidR="004B5E13" w:rsidRDefault="004B5E13" w:rsidP="00FC5B5A">
            <w:pPr>
              <w:jc w:val="center"/>
            </w:pPr>
            <w:r>
              <w:t>4.</w:t>
            </w:r>
          </w:p>
        </w:tc>
        <w:tc>
          <w:tcPr>
            <w:tcW w:w="3827" w:type="dxa"/>
          </w:tcPr>
          <w:p w:rsidR="004B5E13" w:rsidRDefault="004B5E13" w:rsidP="00FC5B5A">
            <w:pPr>
              <w:jc w:val="both"/>
            </w:pPr>
            <w:r>
              <w:t>Tiesiskā regulējuma nefinansiālā ietekme</w:t>
            </w:r>
          </w:p>
        </w:tc>
        <w:tc>
          <w:tcPr>
            <w:tcW w:w="5068" w:type="dxa"/>
          </w:tcPr>
          <w:p w:rsidR="004B5E13" w:rsidRDefault="008A4D25" w:rsidP="000E22C3">
            <w:pPr>
              <w:jc w:val="both"/>
            </w:pPr>
            <w:r>
              <w:t>Pievienojot vidusskolu koled</w:t>
            </w:r>
            <w:r w:rsidR="000E22C3">
              <w:t xml:space="preserve">žai, </w:t>
            </w:r>
            <w:r>
              <w:t xml:space="preserve">palielināsies izglītojamo skaits koledžas profesionālās izglītības programmās, būvniecības programmas tiks koncentrētas tikai vienā izglītības iestādē Rīgā, kā arī tiks racionāli noslogotas koledžas mācību </w:t>
            </w:r>
            <w:r w:rsidR="001457FF">
              <w:t>telpas un darbnīcas.</w:t>
            </w:r>
            <w:r>
              <w:t xml:space="preserve"> </w:t>
            </w:r>
            <w:r w:rsidR="00EC76A1">
              <w:t>Uz koledžas bāzes varēs veidot b</w:t>
            </w:r>
            <w:r>
              <w:t xml:space="preserve">ūvniecības centru Rīgā, uzlabojot koledžas infrastruktūru un materiāli tehnisko nodrošinājumu, lai koledža </w:t>
            </w:r>
            <w:r w:rsidR="00273320">
              <w:t>nodrošinātu darba tirgum nepieciešamo speciālistu saga</w:t>
            </w:r>
            <w:r>
              <w:t>tavošanu.</w:t>
            </w:r>
            <w:r w:rsidR="0066199B">
              <w:t xml:space="preserve"> </w:t>
            </w:r>
          </w:p>
        </w:tc>
      </w:tr>
      <w:tr w:rsidR="00721312">
        <w:tc>
          <w:tcPr>
            <w:tcW w:w="392" w:type="dxa"/>
          </w:tcPr>
          <w:p w:rsidR="00721312" w:rsidRDefault="00721312" w:rsidP="00FC5B5A">
            <w:pPr>
              <w:jc w:val="center"/>
            </w:pPr>
            <w:r>
              <w:t>5.</w:t>
            </w:r>
          </w:p>
        </w:tc>
        <w:tc>
          <w:tcPr>
            <w:tcW w:w="3827" w:type="dxa"/>
          </w:tcPr>
          <w:p w:rsidR="00721312" w:rsidRDefault="00E3040C" w:rsidP="00FC5B5A">
            <w:pPr>
              <w:jc w:val="both"/>
            </w:pPr>
            <w:r>
              <w:t>Administratīvā procesa raksturojums</w:t>
            </w:r>
          </w:p>
        </w:tc>
        <w:tc>
          <w:tcPr>
            <w:tcW w:w="5068" w:type="dxa"/>
          </w:tcPr>
          <w:p w:rsidR="00721312" w:rsidRDefault="00E3040C" w:rsidP="004B5E13">
            <w:pPr>
              <w:jc w:val="both"/>
            </w:pPr>
            <w:r>
              <w:t>Projekts šo jomu neskar.</w:t>
            </w:r>
          </w:p>
        </w:tc>
      </w:tr>
      <w:tr w:rsidR="00721312">
        <w:tc>
          <w:tcPr>
            <w:tcW w:w="392" w:type="dxa"/>
          </w:tcPr>
          <w:p w:rsidR="00721312" w:rsidRDefault="00721312" w:rsidP="00FC5B5A">
            <w:pPr>
              <w:jc w:val="center"/>
            </w:pPr>
            <w:r>
              <w:t>6.</w:t>
            </w:r>
          </w:p>
        </w:tc>
        <w:tc>
          <w:tcPr>
            <w:tcW w:w="3827" w:type="dxa"/>
          </w:tcPr>
          <w:p w:rsidR="00721312" w:rsidRDefault="00E3040C" w:rsidP="00FC5B5A">
            <w:pPr>
              <w:jc w:val="both"/>
            </w:pPr>
            <w:r>
              <w:t xml:space="preserve">Administratīvo izmaksu monetārs </w:t>
            </w:r>
            <w:r>
              <w:lastRenderedPageBreak/>
              <w:t>novērtējums</w:t>
            </w:r>
          </w:p>
        </w:tc>
        <w:tc>
          <w:tcPr>
            <w:tcW w:w="5068" w:type="dxa"/>
          </w:tcPr>
          <w:p w:rsidR="00721312" w:rsidRDefault="00E3040C" w:rsidP="004B5E13">
            <w:pPr>
              <w:jc w:val="both"/>
            </w:pPr>
            <w:r>
              <w:lastRenderedPageBreak/>
              <w:t>Projekts šo jomu neskar.</w:t>
            </w:r>
          </w:p>
        </w:tc>
      </w:tr>
      <w:tr w:rsidR="002E4CAD">
        <w:tc>
          <w:tcPr>
            <w:tcW w:w="392" w:type="dxa"/>
          </w:tcPr>
          <w:p w:rsidR="002E4CAD" w:rsidRDefault="002E4CAD" w:rsidP="00FC5B5A">
            <w:pPr>
              <w:jc w:val="center"/>
            </w:pPr>
            <w:r>
              <w:lastRenderedPageBreak/>
              <w:t>7.</w:t>
            </w:r>
          </w:p>
        </w:tc>
        <w:tc>
          <w:tcPr>
            <w:tcW w:w="3827" w:type="dxa"/>
          </w:tcPr>
          <w:p w:rsidR="002E4CAD" w:rsidRDefault="002E4CAD" w:rsidP="00FC5B5A">
            <w:pPr>
              <w:jc w:val="both"/>
            </w:pPr>
            <w:r>
              <w:t>Cita informācija</w:t>
            </w:r>
          </w:p>
        </w:tc>
        <w:tc>
          <w:tcPr>
            <w:tcW w:w="5068" w:type="dxa"/>
          </w:tcPr>
          <w:p w:rsidR="002E4CAD" w:rsidRDefault="002E4CAD" w:rsidP="004B5E13">
            <w:pPr>
              <w:jc w:val="both"/>
            </w:pPr>
            <w:r>
              <w:t>Nav</w:t>
            </w:r>
            <w:r w:rsidR="00E3040C">
              <w:t>.</w:t>
            </w:r>
          </w:p>
        </w:tc>
      </w:tr>
    </w:tbl>
    <w:p w:rsidR="00084A32" w:rsidRDefault="00084A32" w:rsidP="00F63B8D">
      <w:pPr>
        <w:jc w:val="both"/>
      </w:pPr>
    </w:p>
    <w:p w:rsidR="00483B27" w:rsidRDefault="00483B27" w:rsidP="00F63B8D">
      <w:pPr>
        <w:jc w:val="both"/>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989"/>
        <w:gridCol w:w="1273"/>
        <w:gridCol w:w="1274"/>
        <w:gridCol w:w="1274"/>
        <w:gridCol w:w="1274"/>
        <w:gridCol w:w="1272"/>
      </w:tblGrid>
      <w:tr w:rsidR="00DD42E1" w:rsidRPr="00DD42E1">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b/>
                <w:bCs/>
              </w:rPr>
            </w:pPr>
            <w:r w:rsidRPr="00DD42E1">
              <w:rPr>
                <w:rFonts w:eastAsia="Times New Roman"/>
                <w:b/>
                <w:bCs/>
              </w:rPr>
              <w:t>III. Tiesību akta projekta ietekme uz valsts budžetu un pašvaldību budžetiem</w:t>
            </w:r>
          </w:p>
        </w:tc>
      </w:tr>
      <w:tr w:rsidR="00DD42E1" w:rsidRPr="00DD42E1">
        <w:tc>
          <w:tcPr>
            <w:tcW w:w="1597" w:type="pct"/>
            <w:vMerge w:val="restar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b/>
                <w:bCs/>
              </w:rPr>
            </w:pPr>
            <w:r w:rsidRPr="00DD42E1">
              <w:rPr>
                <w:rFonts w:eastAsia="Times New Roman"/>
                <w:b/>
                <w:bCs/>
              </w:rPr>
              <w:t>Rādītāji</w:t>
            </w:r>
          </w:p>
        </w:tc>
        <w:tc>
          <w:tcPr>
            <w:tcW w:w="13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DD42E1" w:rsidRPr="00DD42E1" w:rsidRDefault="007E6288" w:rsidP="000E750A">
            <w:pPr>
              <w:jc w:val="center"/>
              <w:rPr>
                <w:rFonts w:eastAsia="Times New Roman"/>
                <w:b/>
                <w:bCs/>
              </w:rPr>
            </w:pPr>
            <w:r>
              <w:rPr>
                <w:rFonts w:eastAsia="Times New Roman"/>
                <w:b/>
                <w:bCs/>
              </w:rPr>
              <w:t>2013</w:t>
            </w:r>
            <w:r w:rsidR="00DD42E1" w:rsidRPr="00DD42E1">
              <w:rPr>
                <w:rFonts w:eastAsia="Times New Roman"/>
                <w:b/>
                <w:bCs/>
              </w:rPr>
              <w:t>.gads</w:t>
            </w:r>
          </w:p>
        </w:tc>
        <w:tc>
          <w:tcPr>
            <w:tcW w:w="2041" w:type="pct"/>
            <w:gridSpan w:val="3"/>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Turpmākie trīs gadi (tūkst</w:t>
            </w:r>
            <w:smartTag w:uri="schemas-tilde-lv/tildestengine" w:element="currency">
              <w:smartTagPr>
                <w:attr w:name="currency_id" w:val="48"/>
                <w:attr w:name="currency_key" w:val="LVL"/>
                <w:attr w:name="currency_value" w:val="."/>
                <w:attr w:name="currency_text" w:val="latu"/>
              </w:smartTagPr>
              <w:r w:rsidRPr="00DD42E1">
                <w:rPr>
                  <w:rFonts w:eastAsia="Times New Roman"/>
                </w:rPr>
                <w:t>. latu</w:t>
              </w:r>
            </w:smartTag>
            <w:r w:rsidRPr="00DD42E1">
              <w:rPr>
                <w:rFonts w:eastAsia="Times New Roman"/>
              </w:rPr>
              <w:t>)</w:t>
            </w:r>
          </w:p>
        </w:tc>
      </w:tr>
      <w:tr w:rsidR="00DD42E1" w:rsidRPr="00DD42E1">
        <w:tc>
          <w:tcPr>
            <w:tcW w:w="1597" w:type="pct"/>
            <w:vMerge/>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rPr>
                <w:rFonts w:eastAsia="Times New Roman"/>
                <w:b/>
                <w:bCs/>
              </w:rPr>
            </w:pPr>
          </w:p>
        </w:tc>
        <w:tc>
          <w:tcPr>
            <w:tcW w:w="1361" w:type="pct"/>
            <w:gridSpan w:val="2"/>
            <w:vMerge/>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7E6288" w:rsidP="000E750A">
            <w:pPr>
              <w:jc w:val="center"/>
              <w:rPr>
                <w:rFonts w:eastAsia="Times New Roman"/>
                <w:b/>
                <w:bCs/>
              </w:rPr>
            </w:pPr>
            <w:r>
              <w:rPr>
                <w:rFonts w:eastAsia="Times New Roman"/>
                <w:b/>
                <w:bCs/>
              </w:rPr>
              <w:t>2014</w:t>
            </w:r>
            <w:r w:rsidR="00DD42E1" w:rsidRPr="00DD42E1">
              <w:rPr>
                <w:rFonts w:eastAsia="Times New Roman"/>
                <w:b/>
                <w:bCs/>
              </w:rPr>
              <w:t>.g.</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7E6288" w:rsidP="000E750A">
            <w:pPr>
              <w:jc w:val="center"/>
              <w:rPr>
                <w:rFonts w:eastAsia="Times New Roman"/>
                <w:b/>
                <w:bCs/>
              </w:rPr>
            </w:pPr>
            <w:r>
              <w:rPr>
                <w:rFonts w:eastAsia="Times New Roman"/>
                <w:b/>
                <w:bCs/>
              </w:rPr>
              <w:t>2015</w:t>
            </w:r>
            <w:r w:rsidR="00DD42E1" w:rsidRPr="00DD42E1">
              <w:rPr>
                <w:rFonts w:eastAsia="Times New Roman"/>
                <w:b/>
                <w:bCs/>
              </w:rPr>
              <w:t>.g.</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7E6288" w:rsidP="000E750A">
            <w:pPr>
              <w:jc w:val="center"/>
              <w:rPr>
                <w:rFonts w:eastAsia="Times New Roman"/>
                <w:b/>
                <w:bCs/>
              </w:rPr>
            </w:pPr>
            <w:r>
              <w:rPr>
                <w:rFonts w:eastAsia="Times New Roman"/>
                <w:b/>
                <w:bCs/>
              </w:rPr>
              <w:t>2016</w:t>
            </w:r>
            <w:r w:rsidR="00DD42E1" w:rsidRPr="00DD42E1">
              <w:rPr>
                <w:rFonts w:eastAsia="Times New Roman"/>
                <w:b/>
                <w:bCs/>
              </w:rPr>
              <w:t>.g.</w:t>
            </w:r>
          </w:p>
        </w:tc>
      </w:tr>
      <w:tr w:rsidR="00DD42E1" w:rsidRPr="00DD42E1">
        <w:tc>
          <w:tcPr>
            <w:tcW w:w="1597" w:type="pct"/>
            <w:vMerge/>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rPr>
                <w:rFonts w:eastAsia="Times New Roman"/>
                <w:b/>
                <w:bCs/>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Izmaiņas, salīdzinot ar kārtējo (n) gadu</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0E750A">
            <w:pPr>
              <w:jc w:val="center"/>
              <w:rPr>
                <w:rFonts w:eastAsia="Times New Roman"/>
              </w:rPr>
            </w:pPr>
            <w:r w:rsidRPr="00DD42E1">
              <w:rPr>
                <w:rFonts w:eastAsia="Times New Roman"/>
              </w:rPr>
              <w:t>Izmaiņas, salīdzinot ar kārtējo (n) gadu</w:t>
            </w:r>
          </w:p>
        </w:tc>
      </w:tr>
      <w:tr w:rsidR="00DD42E1" w:rsidRPr="00DD42E1">
        <w:tc>
          <w:tcPr>
            <w:tcW w:w="1597"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1</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5</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DD42E1" w:rsidP="007F0563">
            <w:pPr>
              <w:spacing w:before="100" w:beforeAutospacing="1" w:after="100" w:afterAutospacing="1"/>
              <w:jc w:val="center"/>
              <w:rPr>
                <w:rFonts w:eastAsia="Times New Roman"/>
                <w:sz w:val="20"/>
                <w:szCs w:val="20"/>
              </w:rPr>
            </w:pPr>
            <w:r w:rsidRPr="00DD42E1">
              <w:rPr>
                <w:rFonts w:eastAsia="Times New Roman"/>
                <w:sz w:val="20"/>
                <w:szCs w:val="20"/>
              </w:rPr>
              <w:t>6</w:t>
            </w:r>
          </w:p>
        </w:tc>
      </w:tr>
      <w:tr w:rsidR="00DD42E1" w:rsidRPr="00DD42E1" w:rsidTr="00621722">
        <w:trPr>
          <w:trHeight w:val="316"/>
        </w:trPr>
        <w:tc>
          <w:tcPr>
            <w:tcW w:w="1597" w:type="pct"/>
            <w:tcBorders>
              <w:top w:val="outset" w:sz="6" w:space="0" w:color="000000"/>
              <w:left w:val="outset" w:sz="6" w:space="0" w:color="000000"/>
              <w:bottom w:val="outset" w:sz="6" w:space="0" w:color="000000"/>
              <w:right w:val="outset" w:sz="6" w:space="0" w:color="000000"/>
            </w:tcBorders>
          </w:tcPr>
          <w:p w:rsidR="00DD42E1" w:rsidRPr="00DD42E1" w:rsidRDefault="00DD42E1" w:rsidP="000E750A">
            <w:pPr>
              <w:rPr>
                <w:rFonts w:eastAsia="Times New Roman"/>
              </w:rPr>
            </w:pPr>
            <w:r w:rsidRPr="00DD42E1">
              <w:rPr>
                <w:rFonts w:eastAsia="Times New Roman"/>
              </w:rPr>
              <w:t>1. Budžeta ieņēmumi:</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F351DA" w:rsidP="00621722">
            <w:pPr>
              <w:jc w:val="center"/>
              <w:rPr>
                <w:rFonts w:eastAsia="Times New Roman"/>
              </w:rPr>
            </w:pPr>
            <w:r>
              <w:rPr>
                <w:rFonts w:eastAsia="Times New Roman"/>
              </w:rPr>
              <w:t>491,1</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F351DA" w:rsidP="00621722">
            <w:pPr>
              <w:jc w:val="center"/>
              <w:rPr>
                <w:rFonts w:eastAsia="Times New Roman"/>
              </w:rPr>
            </w:pPr>
            <w:r>
              <w:rPr>
                <w:rFonts w:eastAsia="Times New Roman"/>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F351DA" w:rsidP="000E750A">
            <w:pPr>
              <w:jc w:val="center"/>
              <w:rPr>
                <w:rFonts w:eastAsia="Times New Roman"/>
              </w:rPr>
            </w:pPr>
            <w:r>
              <w:rPr>
                <w:rFonts w:eastAsia="Times New Roman"/>
              </w:rPr>
              <w:t>-80,4</w:t>
            </w:r>
          </w:p>
        </w:tc>
        <w:tc>
          <w:tcPr>
            <w:tcW w:w="0" w:type="auto"/>
            <w:tcBorders>
              <w:top w:val="outset" w:sz="6" w:space="0" w:color="000000"/>
              <w:left w:val="outset" w:sz="6" w:space="0" w:color="000000"/>
              <w:bottom w:val="outset" w:sz="6" w:space="0" w:color="000000"/>
              <w:right w:val="outset" w:sz="6" w:space="0" w:color="000000"/>
            </w:tcBorders>
            <w:vAlign w:val="center"/>
          </w:tcPr>
          <w:p w:rsidR="00DD42E1" w:rsidRPr="00DD42E1" w:rsidRDefault="00F351DA" w:rsidP="000E750A">
            <w:pPr>
              <w:jc w:val="center"/>
              <w:rPr>
                <w:rFonts w:eastAsia="Times New Roman"/>
              </w:rPr>
            </w:pPr>
            <w:r>
              <w:rPr>
                <w:rFonts w:eastAsia="Times New Roman"/>
              </w:rPr>
              <w:t>-80,4</w:t>
            </w:r>
          </w:p>
        </w:tc>
        <w:tc>
          <w:tcPr>
            <w:tcW w:w="680" w:type="pct"/>
            <w:tcBorders>
              <w:top w:val="outset" w:sz="6" w:space="0" w:color="000000"/>
              <w:left w:val="outset" w:sz="6" w:space="0" w:color="000000"/>
              <w:bottom w:val="outset" w:sz="6" w:space="0" w:color="000000"/>
              <w:right w:val="outset" w:sz="6" w:space="0" w:color="000000"/>
            </w:tcBorders>
            <w:vAlign w:val="center"/>
          </w:tcPr>
          <w:p w:rsidR="00DD42E1" w:rsidRPr="00DD42E1" w:rsidRDefault="00F351DA" w:rsidP="00D76EF1">
            <w:pPr>
              <w:jc w:val="center"/>
              <w:rPr>
                <w:rFonts w:eastAsia="Times New Roman"/>
              </w:rPr>
            </w:pPr>
            <w:r>
              <w:rPr>
                <w:rFonts w:eastAsia="Times New Roman"/>
              </w:rPr>
              <w:t>-80,4</w:t>
            </w:r>
          </w:p>
        </w:tc>
      </w:tr>
      <w:tr w:rsidR="00B43048" w:rsidRPr="00DD42E1" w:rsidTr="00B43048">
        <w:tc>
          <w:tcPr>
            <w:tcW w:w="1597" w:type="pct"/>
            <w:tcBorders>
              <w:top w:val="outset" w:sz="6" w:space="0" w:color="000000"/>
              <w:left w:val="outset" w:sz="6" w:space="0" w:color="000000"/>
              <w:bottom w:val="outset" w:sz="6" w:space="0" w:color="000000"/>
              <w:right w:val="outset" w:sz="6" w:space="0" w:color="000000"/>
            </w:tcBorders>
          </w:tcPr>
          <w:p w:rsidR="00B43048" w:rsidRDefault="00B43048" w:rsidP="000E750A">
            <w:pPr>
              <w:rPr>
                <w:rFonts w:eastAsia="Times New Roman"/>
              </w:rPr>
            </w:pPr>
            <w:r w:rsidRPr="00DD42E1">
              <w:rPr>
                <w:rFonts w:eastAsia="Times New Roman"/>
              </w:rPr>
              <w:t xml:space="preserve">1.1. valsts pamatbudžets, </w:t>
            </w:r>
          </w:p>
          <w:p w:rsidR="00B43048" w:rsidRPr="00DD42E1" w:rsidRDefault="00B43048" w:rsidP="000E750A">
            <w:pPr>
              <w:rPr>
                <w:rFonts w:eastAsia="Times New Roman"/>
              </w:rPr>
            </w:pPr>
            <w:r w:rsidRPr="00DD42E1">
              <w:rPr>
                <w:rFonts w:eastAsia="Times New Roman"/>
              </w:rPr>
              <w:t>tai skaitā ieņēmumi no maksas pakalpojumiem un citi pašu ieņēmumi</w:t>
            </w:r>
          </w:p>
        </w:tc>
        <w:tc>
          <w:tcPr>
            <w:tcW w:w="680" w:type="pct"/>
            <w:tcBorders>
              <w:top w:val="outset" w:sz="6" w:space="0" w:color="000000"/>
              <w:left w:val="outset" w:sz="6" w:space="0" w:color="000000"/>
              <w:bottom w:val="outset" w:sz="6" w:space="0" w:color="000000"/>
              <w:right w:val="outset" w:sz="6" w:space="0" w:color="000000"/>
            </w:tcBorders>
          </w:tcPr>
          <w:p w:rsidR="00B43048" w:rsidRDefault="00B43048" w:rsidP="00621722">
            <w:pPr>
              <w:jc w:val="center"/>
              <w:rPr>
                <w:rFonts w:eastAsia="Times New Roman"/>
              </w:rPr>
            </w:pPr>
            <w:r>
              <w:rPr>
                <w:rFonts w:eastAsia="Times New Roman"/>
              </w:rPr>
              <w:t>491,1</w:t>
            </w:r>
          </w:p>
          <w:p w:rsidR="00B43048" w:rsidRDefault="00B43048" w:rsidP="00621722">
            <w:pPr>
              <w:jc w:val="center"/>
              <w:rPr>
                <w:rFonts w:eastAsia="Times New Roman"/>
              </w:rPr>
            </w:pPr>
          </w:p>
          <w:p w:rsidR="00B43048" w:rsidRDefault="00B43048" w:rsidP="00621722">
            <w:pPr>
              <w:jc w:val="center"/>
              <w:rPr>
                <w:rFonts w:eastAsia="Times New Roman"/>
              </w:rPr>
            </w:pPr>
          </w:p>
          <w:p w:rsidR="00B43048" w:rsidRPr="00DD42E1" w:rsidRDefault="00B43048" w:rsidP="00621722">
            <w:pPr>
              <w:jc w:val="center"/>
              <w:rPr>
                <w:rFonts w:eastAsia="Times New Roman"/>
              </w:rPr>
            </w:pPr>
            <w:r>
              <w:rPr>
                <w:rFonts w:eastAsia="Times New Roman"/>
              </w:rPr>
              <w:t>80,4</w:t>
            </w:r>
          </w:p>
        </w:tc>
        <w:tc>
          <w:tcPr>
            <w:tcW w:w="0" w:type="auto"/>
            <w:tcBorders>
              <w:top w:val="outset" w:sz="6" w:space="0" w:color="000000"/>
              <w:left w:val="outset" w:sz="6" w:space="0" w:color="000000"/>
              <w:bottom w:val="outset" w:sz="6" w:space="0" w:color="000000"/>
              <w:right w:val="outset" w:sz="6" w:space="0" w:color="000000"/>
            </w:tcBorders>
          </w:tcPr>
          <w:p w:rsidR="00B43048" w:rsidRDefault="00B43048" w:rsidP="00B43048">
            <w:pPr>
              <w:jc w:val="center"/>
              <w:rPr>
                <w:rFonts w:eastAsia="Times New Roman"/>
              </w:rPr>
            </w:pPr>
            <w:r>
              <w:rPr>
                <w:rFonts w:eastAsia="Times New Roman"/>
              </w:rPr>
              <w:t>-30,0</w:t>
            </w:r>
          </w:p>
          <w:p w:rsidR="00B43048" w:rsidRDefault="00B43048" w:rsidP="00B43048">
            <w:pPr>
              <w:jc w:val="center"/>
              <w:rPr>
                <w:rFonts w:eastAsia="Times New Roman"/>
              </w:rPr>
            </w:pPr>
          </w:p>
          <w:p w:rsidR="00B43048" w:rsidRDefault="00B43048" w:rsidP="00B43048">
            <w:pPr>
              <w:jc w:val="center"/>
              <w:rPr>
                <w:rFonts w:eastAsia="Times New Roman"/>
              </w:rPr>
            </w:pPr>
          </w:p>
          <w:p w:rsidR="00B43048" w:rsidRPr="00DD42E1" w:rsidRDefault="00B43048" w:rsidP="00B43048">
            <w:pPr>
              <w:jc w:val="center"/>
              <w:rPr>
                <w:rFonts w:eastAsia="Times New Roman"/>
              </w:rPr>
            </w:pPr>
            <w:r>
              <w:rPr>
                <w:rFonts w:eastAsia="Times New Roman"/>
              </w:rPr>
              <w:t>-30,0</w:t>
            </w:r>
          </w:p>
        </w:tc>
        <w:tc>
          <w:tcPr>
            <w:tcW w:w="0" w:type="auto"/>
            <w:tcBorders>
              <w:top w:val="outset" w:sz="6" w:space="0" w:color="000000"/>
              <w:left w:val="outset" w:sz="6" w:space="0" w:color="000000"/>
              <w:bottom w:val="outset" w:sz="6" w:space="0" w:color="000000"/>
              <w:right w:val="outset" w:sz="6" w:space="0" w:color="000000"/>
            </w:tcBorders>
          </w:tcPr>
          <w:p w:rsidR="00B43048" w:rsidRDefault="00B43048" w:rsidP="0020492F">
            <w:pPr>
              <w:jc w:val="center"/>
              <w:rPr>
                <w:rFonts w:eastAsia="Times New Roman"/>
              </w:rPr>
            </w:pPr>
            <w:r>
              <w:rPr>
                <w:rFonts w:eastAsia="Times New Roman"/>
              </w:rPr>
              <w:t>-80,4</w:t>
            </w:r>
          </w:p>
          <w:p w:rsidR="00B43048" w:rsidRDefault="00B43048" w:rsidP="0020492F">
            <w:pPr>
              <w:jc w:val="center"/>
              <w:rPr>
                <w:rFonts w:eastAsia="Times New Roman"/>
              </w:rPr>
            </w:pPr>
          </w:p>
          <w:p w:rsidR="00B43048" w:rsidRDefault="00B43048" w:rsidP="0020492F">
            <w:pPr>
              <w:jc w:val="center"/>
              <w:rPr>
                <w:rFonts w:eastAsia="Times New Roman"/>
              </w:rPr>
            </w:pPr>
          </w:p>
          <w:p w:rsidR="00B43048" w:rsidRPr="00DD42E1" w:rsidRDefault="00B43048" w:rsidP="0020492F">
            <w:pPr>
              <w:jc w:val="center"/>
              <w:rPr>
                <w:rFonts w:eastAsia="Times New Roman"/>
              </w:rPr>
            </w:pPr>
            <w:r>
              <w:rPr>
                <w:rFonts w:eastAsia="Times New Roman"/>
              </w:rPr>
              <w:t>-80,4</w:t>
            </w:r>
          </w:p>
        </w:tc>
        <w:tc>
          <w:tcPr>
            <w:tcW w:w="0" w:type="auto"/>
            <w:tcBorders>
              <w:top w:val="outset" w:sz="6" w:space="0" w:color="000000"/>
              <w:left w:val="outset" w:sz="6" w:space="0" w:color="000000"/>
              <w:bottom w:val="outset" w:sz="6" w:space="0" w:color="000000"/>
              <w:right w:val="outset" w:sz="6" w:space="0" w:color="000000"/>
            </w:tcBorders>
          </w:tcPr>
          <w:p w:rsidR="00B43048" w:rsidRDefault="00B43048" w:rsidP="0020492F">
            <w:pPr>
              <w:jc w:val="center"/>
              <w:rPr>
                <w:rFonts w:eastAsia="Times New Roman"/>
              </w:rPr>
            </w:pPr>
            <w:r>
              <w:rPr>
                <w:rFonts w:eastAsia="Times New Roman"/>
              </w:rPr>
              <w:t>-80,4</w:t>
            </w:r>
          </w:p>
          <w:p w:rsidR="00B43048" w:rsidRDefault="00B43048" w:rsidP="0020492F">
            <w:pPr>
              <w:jc w:val="center"/>
              <w:rPr>
                <w:rFonts w:eastAsia="Times New Roman"/>
              </w:rPr>
            </w:pPr>
          </w:p>
          <w:p w:rsidR="00B43048" w:rsidRDefault="00B43048" w:rsidP="0020492F">
            <w:pPr>
              <w:jc w:val="center"/>
              <w:rPr>
                <w:rFonts w:eastAsia="Times New Roman"/>
              </w:rPr>
            </w:pPr>
          </w:p>
          <w:p w:rsidR="00B43048" w:rsidRPr="00DD42E1" w:rsidRDefault="00B43048" w:rsidP="0020492F">
            <w:pPr>
              <w:jc w:val="center"/>
              <w:rPr>
                <w:rFonts w:eastAsia="Times New Roman"/>
              </w:rPr>
            </w:pPr>
            <w:r>
              <w:rPr>
                <w:rFonts w:eastAsia="Times New Roman"/>
              </w:rPr>
              <w:t>-80,4</w:t>
            </w:r>
          </w:p>
        </w:tc>
        <w:tc>
          <w:tcPr>
            <w:tcW w:w="680" w:type="pct"/>
            <w:tcBorders>
              <w:top w:val="outset" w:sz="6" w:space="0" w:color="000000"/>
              <w:left w:val="outset" w:sz="6" w:space="0" w:color="000000"/>
              <w:bottom w:val="outset" w:sz="6" w:space="0" w:color="000000"/>
              <w:right w:val="outset" w:sz="6" w:space="0" w:color="000000"/>
            </w:tcBorders>
          </w:tcPr>
          <w:p w:rsidR="00B43048" w:rsidRDefault="00B43048" w:rsidP="0020492F">
            <w:pPr>
              <w:jc w:val="center"/>
              <w:rPr>
                <w:rFonts w:eastAsia="Times New Roman"/>
              </w:rPr>
            </w:pPr>
            <w:r>
              <w:rPr>
                <w:rFonts w:eastAsia="Times New Roman"/>
              </w:rPr>
              <w:t>-80,4</w:t>
            </w:r>
          </w:p>
          <w:p w:rsidR="00B43048" w:rsidRDefault="00B43048" w:rsidP="0020492F">
            <w:pPr>
              <w:jc w:val="center"/>
              <w:rPr>
                <w:rFonts w:eastAsia="Times New Roman"/>
              </w:rPr>
            </w:pPr>
          </w:p>
          <w:p w:rsidR="00B43048" w:rsidRDefault="00B43048" w:rsidP="0020492F">
            <w:pPr>
              <w:jc w:val="center"/>
              <w:rPr>
                <w:rFonts w:eastAsia="Times New Roman"/>
              </w:rPr>
            </w:pPr>
          </w:p>
          <w:p w:rsidR="00B43048" w:rsidRPr="00DD42E1" w:rsidRDefault="00B43048" w:rsidP="0020492F">
            <w:pPr>
              <w:jc w:val="center"/>
              <w:rPr>
                <w:rFonts w:eastAsia="Times New Roman"/>
              </w:rPr>
            </w:pPr>
            <w:r>
              <w:rPr>
                <w:rFonts w:eastAsia="Times New Roman"/>
              </w:rPr>
              <w:t>-80,4</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1.2. valsts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1.3.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2. Budžeta izdevumi:</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491,1</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r>
      <w:tr w:rsidR="00B43048" w:rsidRPr="00DD42E1">
        <w:trPr>
          <w:trHeight w:val="308"/>
        </w:trPr>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2.1. valsts pamatbudžets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491,1</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20492F">
            <w:pPr>
              <w:jc w:val="center"/>
              <w:rPr>
                <w:rFonts w:eastAsia="Times New Roman"/>
              </w:rPr>
            </w:pPr>
            <w:r>
              <w:rPr>
                <w:rFonts w:eastAsia="Times New Roman"/>
              </w:rPr>
              <w:t>-80,4</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2.2. valsts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2.3.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3. Finansiālā ietekme:</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3.1. valsts pamatbudžets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3.2.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3.3.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p>
        </w:tc>
      </w:tr>
      <w:tr w:rsidR="00B43048" w:rsidRPr="00DD42E1">
        <w:trPr>
          <w:trHeight w:val="1367"/>
        </w:trPr>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4. Finanšu līdzekļi papildu izde</w:t>
            </w:r>
            <w:r w:rsidRPr="00DD42E1">
              <w:rPr>
                <w:rFonts w:eastAsia="Times New Roman"/>
              </w:rPr>
              <w:softHyphen/>
              <w:t>vumu finansēšanai (kompensējošu izdevumu samazinājumu norāda ar "+" zīmi)</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X</w:t>
            </w:r>
          </w:p>
        </w:tc>
        <w:tc>
          <w:tcPr>
            <w:tcW w:w="0" w:type="auto"/>
            <w:tcBorders>
              <w:top w:val="outset" w:sz="6" w:space="0" w:color="000000"/>
              <w:left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680" w:type="pct"/>
            <w:tcBorders>
              <w:top w:val="outset" w:sz="6" w:space="0" w:color="000000"/>
              <w:left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5. Precizēta finansiālā ietekme:</w:t>
            </w:r>
          </w:p>
        </w:tc>
        <w:tc>
          <w:tcPr>
            <w:tcW w:w="680" w:type="pct"/>
            <w:vMerge w:val="restar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jc w:val="center"/>
              <w:rPr>
                <w:rFonts w:eastAsia="Times New Roman"/>
              </w:rPr>
            </w:pPr>
            <w:r w:rsidRPr="00DD42E1">
              <w:rPr>
                <w:rFonts w:eastAsia="Times New Roman"/>
              </w:rPr>
              <w:t>X</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5.1. valsts pamatbudžets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sidRPr="00DD42E1">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5.2. speciālais 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r>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0E750A">
            <w:pPr>
              <w:rPr>
                <w:rFonts w:eastAsia="Times New Roman"/>
              </w:rPr>
            </w:pPr>
            <w:r w:rsidRPr="00DD42E1">
              <w:rPr>
                <w:rFonts w:eastAsia="Times New Roman"/>
              </w:rPr>
              <w:t>5.3. pašvaldību 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ind w:firstLine="38"/>
              <w:jc w:val="center"/>
              <w:rPr>
                <w:rFonts w:eastAsia="Times New Roman"/>
              </w:rPr>
            </w:pPr>
            <w:r>
              <w:rPr>
                <w:rFonts w:eastAsia="Times New Roman"/>
              </w:rPr>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0E750A">
            <w:pPr>
              <w:jc w:val="center"/>
              <w:rPr>
                <w:rFonts w:eastAsia="Times New Roman"/>
              </w:rPr>
            </w:pPr>
            <w:r>
              <w:rPr>
                <w:rFonts w:eastAsia="Times New Roman"/>
              </w:rPr>
              <w:t>0</w:t>
            </w: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2A0AB8">
            <w:pPr>
              <w:rPr>
                <w:rFonts w:eastAsia="Times New Roman"/>
              </w:rPr>
            </w:pPr>
            <w:r w:rsidRPr="00DD42E1">
              <w:rPr>
                <w:rFonts w:eastAsia="Times New Roman"/>
              </w:rPr>
              <w:t>6. Detalizēts ieņēmumu un izdevu</w:t>
            </w:r>
            <w:r w:rsidRPr="00DD42E1">
              <w:rPr>
                <w:rFonts w:eastAsia="Times New Roman"/>
              </w:rPr>
              <w:softHyphen/>
              <w:t>mu aprēķins (ja nepieciešams, detalizētu ieņēmumu un izdevumu aprēķinu var pievienot anotācijas pielikumā):</w:t>
            </w:r>
          </w:p>
        </w:tc>
        <w:tc>
          <w:tcPr>
            <w:tcW w:w="3403" w:type="pct"/>
            <w:gridSpan w:val="5"/>
            <w:vMerge w:val="restart"/>
            <w:tcBorders>
              <w:top w:val="outset" w:sz="6" w:space="0" w:color="000000"/>
              <w:left w:val="outset" w:sz="6" w:space="0" w:color="000000"/>
              <w:bottom w:val="outset" w:sz="6" w:space="0" w:color="000000"/>
              <w:right w:val="outset" w:sz="6" w:space="0" w:color="000000"/>
            </w:tcBorders>
          </w:tcPr>
          <w:p w:rsidR="00B43048" w:rsidRPr="007A0A6E" w:rsidRDefault="00B43048" w:rsidP="007A0A6E">
            <w:pPr>
              <w:ind w:left="183" w:right="184" w:firstLine="360"/>
              <w:jc w:val="both"/>
              <w:rPr>
                <w:rFonts w:eastAsia="Times New Roman"/>
              </w:rPr>
            </w:pPr>
            <w:r w:rsidRPr="007A0A6E">
              <w:rPr>
                <w:rFonts w:eastAsia="Times New Roman"/>
              </w:rPr>
              <w:t>Ministrijas budžeta programmas 02.00.00 „Profesionālās izglītības mācību iestādes” apakšprogrammā 02.01.00 „Profesionālās izglītības programmu īstenošana” vidusskolai 2013.gadam apstiprināti ieņēmumi (tai skaitā ieņēmumi no maksas pakalpojumiem un citi pašu ieņēmumi)</w:t>
            </w:r>
            <w:r w:rsidRPr="007A0A6E">
              <w:rPr>
                <w:rFonts w:eastAsia="Times New Roman"/>
                <w:i/>
              </w:rPr>
              <w:t xml:space="preserve"> </w:t>
            </w:r>
            <w:r w:rsidRPr="007A0A6E">
              <w:rPr>
                <w:rFonts w:eastAsia="Times New Roman"/>
              </w:rPr>
              <w:t>un izdevumi</w:t>
            </w:r>
            <w:r w:rsidRPr="007A0A6E">
              <w:rPr>
                <w:rFonts w:eastAsia="Times New Roman"/>
                <w:i/>
              </w:rPr>
              <w:t xml:space="preserve"> </w:t>
            </w:r>
            <w:r w:rsidRPr="007A0A6E">
              <w:rPr>
                <w:rFonts w:eastAsia="Times New Roman"/>
              </w:rPr>
              <w:t xml:space="preserve">491,1 tūkstoša latu apmērā. Tā kā vidusskolā 2013.gadā </w:t>
            </w:r>
            <w:r w:rsidRPr="007A0A6E">
              <w:rPr>
                <w:rFonts w:eastAsia="Times New Roman"/>
              </w:rPr>
              <w:lastRenderedPageBreak/>
              <w:t xml:space="preserve">ievērojami samazināsies  izglītojamo skaits un  mācību ēku paredzēts nodot Banku augstskolas pārvaldīšanā, samazināsies plānotie pašu ieņēmumi no palīgražošanas (ēdnīcas darbība), telpu nomas un  komunālajiem pakalpojumiem un  arī no šiem ieņēmumiem sedzamie izdevumi:  2013.gadā par 30,0 tūkstošiem latu, 2014.un turpmākajos gados par 80,4 tūkstošiem latu.    </w:t>
            </w:r>
          </w:p>
          <w:p w:rsidR="00B43048" w:rsidRPr="007A0A6E" w:rsidRDefault="00B43048" w:rsidP="007A0A6E">
            <w:pPr>
              <w:ind w:left="183" w:right="184" w:firstLine="360"/>
              <w:jc w:val="both"/>
              <w:rPr>
                <w:rFonts w:eastAsia="Times New Roman"/>
              </w:rPr>
            </w:pPr>
            <w:r w:rsidRPr="007A0A6E">
              <w:rPr>
                <w:rFonts w:eastAsia="Times New Roman"/>
              </w:rPr>
              <w:t xml:space="preserve">Tā kā likvidēta tiek ministrijas padotībā esošā vidusskola, to pievienojot ministrijas padotībā esošajai koledžai, kura jau īsteno profesionālās izglītības programmas, kas tiek finansētas no tās pašas budžeta programmas 02.00.00 „Profesionālās izglītības mācību iestādes” apakšprogrammas 02.01.00 „Profesionālās izglītības programmu īstenošana, ietekmes uz apakšprogrammai apstiprinātās dotācijas no vispārējiem ieņēmumiem apmēru nebūs. Likvidējot vidusskolu, valsts finansēto izglītojamo skaits nesamazinās, jo vidusskolai plānoto izglītojamo uzņemšanu profesionālās izglītības programmās realizēs koledža un turpinās arī  likvidētās vidusskolas uzsākto profesionālās izglītības programmu īstenošanu. </w:t>
            </w:r>
          </w:p>
          <w:p w:rsidR="00B43048" w:rsidRPr="00AA4AEA" w:rsidRDefault="00B43048" w:rsidP="007A0A6E">
            <w:pPr>
              <w:ind w:left="183" w:right="184" w:firstLine="360"/>
              <w:jc w:val="both"/>
            </w:pPr>
            <w:r>
              <w:rPr>
                <w:rFonts w:eastAsia="Times New Roman"/>
              </w:rPr>
              <w:t xml:space="preserve">Profesionālās izglītības iestādes tiek finansētas pēc principa „nauda seko izglītojamajam” saskaņā ar finanšu normatīvu. Līdz ar to valsts budžeta finansējumu atbilstoši pārņemto izglītojamo skaitam saņems koledža, </w:t>
            </w:r>
            <w:r w:rsidRPr="00AA4AEA">
              <w:t>ievērojot ministrijai attiecīgajam gadam profesionālās izglītības programmu īstenošanai apstiprinātās valsts budžeta dotācijas no vispārējiem ieņēmumiem apmēru.</w:t>
            </w:r>
          </w:p>
          <w:p w:rsidR="00B43048" w:rsidRPr="00E32DA0" w:rsidRDefault="00B43048" w:rsidP="007A0A6E">
            <w:pPr>
              <w:ind w:left="183" w:right="184" w:firstLine="360"/>
              <w:jc w:val="both"/>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567D51">
            <w:pPr>
              <w:rPr>
                <w:rFonts w:eastAsia="Times New Roman"/>
              </w:rPr>
            </w:pPr>
            <w:r w:rsidRPr="00DD42E1">
              <w:rPr>
                <w:rFonts w:eastAsia="Times New Roman"/>
              </w:rPr>
              <w:lastRenderedPageBreak/>
              <w:t>6.1. detalizēts ieņēmumu aprēķins</w:t>
            </w:r>
          </w:p>
        </w:tc>
        <w:tc>
          <w:tcPr>
            <w:tcW w:w="3403" w:type="pct"/>
            <w:gridSpan w:val="5"/>
            <w:vMerge/>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8F5DAA">
            <w:pPr>
              <w:ind w:left="183" w:right="184" w:firstLine="360"/>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567D51">
            <w:pPr>
              <w:rPr>
                <w:rFonts w:eastAsia="Times New Roman"/>
              </w:rPr>
            </w:pPr>
            <w:r w:rsidRPr="00DD42E1">
              <w:rPr>
                <w:rFonts w:eastAsia="Times New Roman"/>
              </w:rPr>
              <w:lastRenderedPageBreak/>
              <w:t>6.2. detalizēts izdevumu aprēķins</w:t>
            </w:r>
          </w:p>
        </w:tc>
        <w:tc>
          <w:tcPr>
            <w:tcW w:w="3403" w:type="pct"/>
            <w:gridSpan w:val="5"/>
            <w:vMerge/>
            <w:tcBorders>
              <w:top w:val="outset" w:sz="6" w:space="0" w:color="000000"/>
              <w:left w:val="outset" w:sz="6" w:space="0" w:color="000000"/>
              <w:bottom w:val="outset" w:sz="6" w:space="0" w:color="000000"/>
              <w:right w:val="outset" w:sz="6" w:space="0" w:color="000000"/>
            </w:tcBorders>
            <w:vAlign w:val="center"/>
          </w:tcPr>
          <w:p w:rsidR="00B43048" w:rsidRPr="00DD42E1" w:rsidRDefault="00B43048" w:rsidP="008F5DAA">
            <w:pPr>
              <w:ind w:left="183" w:right="184" w:firstLine="360"/>
              <w:rPr>
                <w:rFonts w:eastAsia="Times New Roman"/>
              </w:rPr>
            </w:pPr>
          </w:p>
        </w:tc>
      </w:tr>
      <w:tr w:rsidR="00B43048" w:rsidRPr="00DD42E1">
        <w:tc>
          <w:tcPr>
            <w:tcW w:w="1597" w:type="pct"/>
            <w:tcBorders>
              <w:top w:val="outset" w:sz="6" w:space="0" w:color="000000"/>
              <w:left w:val="outset" w:sz="6" w:space="0" w:color="000000"/>
              <w:bottom w:val="outset" w:sz="6" w:space="0" w:color="000000"/>
              <w:right w:val="outset" w:sz="6" w:space="0" w:color="000000"/>
            </w:tcBorders>
          </w:tcPr>
          <w:p w:rsidR="00B43048" w:rsidRPr="00DD42E1" w:rsidRDefault="00B43048" w:rsidP="002A0AB8">
            <w:pPr>
              <w:rPr>
                <w:rFonts w:eastAsia="Times New Roman"/>
              </w:rPr>
            </w:pPr>
            <w:r w:rsidRPr="00DD42E1">
              <w:rPr>
                <w:rFonts w:eastAsia="Times New Roman"/>
              </w:rPr>
              <w:t>7. Cita informācija</w:t>
            </w:r>
          </w:p>
        </w:tc>
        <w:tc>
          <w:tcPr>
            <w:tcW w:w="3403" w:type="pct"/>
            <w:gridSpan w:val="5"/>
            <w:tcBorders>
              <w:top w:val="outset" w:sz="6" w:space="0" w:color="000000"/>
              <w:left w:val="outset" w:sz="6" w:space="0" w:color="000000"/>
              <w:bottom w:val="outset" w:sz="6" w:space="0" w:color="000000"/>
              <w:right w:val="outset" w:sz="6" w:space="0" w:color="000000"/>
            </w:tcBorders>
          </w:tcPr>
          <w:p w:rsidR="00B43048" w:rsidRPr="00DD42E1" w:rsidRDefault="00B43048" w:rsidP="004A7C9E">
            <w:pPr>
              <w:ind w:left="183" w:right="184" w:firstLine="360"/>
              <w:jc w:val="both"/>
              <w:rPr>
                <w:rFonts w:eastAsia="Times New Roman"/>
              </w:rPr>
            </w:pPr>
            <w:r>
              <w:rPr>
                <w:rFonts w:eastAsia="Times New Roman"/>
              </w:rPr>
              <w:t>Nav</w:t>
            </w:r>
          </w:p>
        </w:tc>
      </w:tr>
    </w:tbl>
    <w:p w:rsidR="00FC6E8F" w:rsidRDefault="00FC6E8F"/>
    <w:p w:rsidR="00734684" w:rsidRDefault="00734684"/>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977"/>
        <w:gridCol w:w="6379"/>
      </w:tblGrid>
      <w:tr w:rsidR="00FC6E8F" w:rsidRPr="00DD42E1">
        <w:tc>
          <w:tcPr>
            <w:tcW w:w="5000" w:type="pct"/>
            <w:gridSpan w:val="2"/>
            <w:tcBorders>
              <w:top w:val="outset" w:sz="6" w:space="0" w:color="000000"/>
              <w:left w:val="outset" w:sz="6" w:space="0" w:color="000000"/>
              <w:bottom w:val="outset" w:sz="6" w:space="0" w:color="000000"/>
              <w:right w:val="outset" w:sz="6" w:space="0" w:color="000000"/>
            </w:tcBorders>
          </w:tcPr>
          <w:p w:rsidR="00FC6E8F" w:rsidRPr="00BB4752" w:rsidRDefault="00BB4752" w:rsidP="00BB4752">
            <w:pPr>
              <w:spacing w:before="100" w:beforeAutospacing="1" w:after="100" w:afterAutospacing="1"/>
              <w:jc w:val="center"/>
              <w:rPr>
                <w:rFonts w:eastAsia="Times New Roman"/>
                <w:b/>
              </w:rPr>
            </w:pPr>
            <w:r>
              <w:rPr>
                <w:rFonts w:eastAsia="Times New Roman"/>
                <w:b/>
              </w:rPr>
              <w:t>IV. Tiesību akta projekta ietekme uz spēkā esošo tiesību normu sistēmu</w:t>
            </w:r>
          </w:p>
        </w:tc>
      </w:tr>
      <w:tr w:rsidR="00E3040C" w:rsidRPr="00DD42E1">
        <w:tc>
          <w:tcPr>
            <w:tcW w:w="1591" w:type="pct"/>
            <w:tcBorders>
              <w:top w:val="outset" w:sz="6" w:space="0" w:color="000000"/>
              <w:left w:val="outset" w:sz="6" w:space="0" w:color="000000"/>
              <w:bottom w:val="outset" w:sz="6" w:space="0" w:color="000000"/>
              <w:right w:val="outset" w:sz="6" w:space="0" w:color="000000"/>
            </w:tcBorders>
          </w:tcPr>
          <w:p w:rsidR="00E3040C" w:rsidRPr="00DD42E1" w:rsidRDefault="00E3040C" w:rsidP="00E3040C">
            <w:pPr>
              <w:spacing w:before="100" w:beforeAutospacing="1" w:after="100" w:afterAutospacing="1"/>
              <w:jc w:val="both"/>
              <w:rPr>
                <w:rFonts w:eastAsia="Times New Roman"/>
              </w:rPr>
            </w:pPr>
            <w:r>
              <w:rPr>
                <w:rFonts w:eastAsia="Times New Roman"/>
              </w:rPr>
              <w:t>Nepieciešamie saistītie tiesību aktu projekti</w:t>
            </w:r>
          </w:p>
        </w:tc>
        <w:tc>
          <w:tcPr>
            <w:tcW w:w="3409" w:type="pct"/>
            <w:tcBorders>
              <w:top w:val="outset" w:sz="6" w:space="0" w:color="000000"/>
              <w:left w:val="outset" w:sz="6" w:space="0" w:color="000000"/>
              <w:bottom w:val="outset" w:sz="6" w:space="0" w:color="000000"/>
              <w:right w:val="outset" w:sz="6" w:space="0" w:color="000000"/>
            </w:tcBorders>
          </w:tcPr>
          <w:p w:rsidR="00E3040C" w:rsidRPr="00DD42E1" w:rsidRDefault="00E3040C" w:rsidP="00E3040C">
            <w:pPr>
              <w:spacing w:before="100" w:beforeAutospacing="1" w:after="100" w:afterAutospacing="1"/>
              <w:jc w:val="both"/>
              <w:rPr>
                <w:rFonts w:eastAsia="Times New Roman"/>
              </w:rPr>
            </w:pPr>
            <w:r>
              <w:rPr>
                <w:rFonts w:eastAsia="Times New Roman"/>
              </w:rPr>
              <w:t>Ir nepieciešams izdarīt grozījumu Ministru kabineta 2003.gada 16.septembra noteikumos Nr.528 „Izglītības un zinātnes ministrijas nolikums”</w:t>
            </w:r>
            <w:r w:rsidR="00A04413">
              <w:rPr>
                <w:rFonts w:eastAsia="Times New Roman"/>
              </w:rPr>
              <w:t>, svītrojot</w:t>
            </w:r>
            <w:r w:rsidR="00641509">
              <w:rPr>
                <w:rFonts w:eastAsia="Times New Roman"/>
              </w:rPr>
              <w:t xml:space="preserve"> 24.81.¹</w:t>
            </w:r>
            <w:r w:rsidR="00264095">
              <w:rPr>
                <w:rFonts w:eastAsia="Times New Roman"/>
              </w:rPr>
              <w:t>.apakšpunktu</w:t>
            </w:r>
            <w:r w:rsidR="00B049CA">
              <w:rPr>
                <w:rFonts w:eastAsia="Times New Roman"/>
              </w:rPr>
              <w:t>. Atbildīgā institūcija ir ministrija un izpildes termiņš ir 2014.gada 1.marts.</w:t>
            </w:r>
          </w:p>
        </w:tc>
      </w:tr>
      <w:tr w:rsidR="00264095" w:rsidRPr="00DD42E1">
        <w:tc>
          <w:tcPr>
            <w:tcW w:w="1591" w:type="pct"/>
            <w:tcBorders>
              <w:top w:val="outset" w:sz="6" w:space="0" w:color="000000"/>
              <w:left w:val="outset" w:sz="6" w:space="0" w:color="000000"/>
              <w:bottom w:val="outset" w:sz="6" w:space="0" w:color="000000"/>
              <w:right w:val="outset" w:sz="6" w:space="0" w:color="000000"/>
            </w:tcBorders>
          </w:tcPr>
          <w:p w:rsidR="00264095" w:rsidRDefault="00264095" w:rsidP="00E3040C">
            <w:pPr>
              <w:spacing w:before="100" w:beforeAutospacing="1" w:after="100" w:afterAutospacing="1"/>
              <w:jc w:val="both"/>
              <w:rPr>
                <w:rFonts w:eastAsia="Times New Roman"/>
              </w:rPr>
            </w:pPr>
            <w:r>
              <w:rPr>
                <w:rFonts w:eastAsia="Times New Roman"/>
              </w:rPr>
              <w:t>Cita informācija</w:t>
            </w:r>
          </w:p>
        </w:tc>
        <w:tc>
          <w:tcPr>
            <w:tcW w:w="3409" w:type="pct"/>
            <w:tcBorders>
              <w:top w:val="outset" w:sz="6" w:space="0" w:color="000000"/>
              <w:left w:val="outset" w:sz="6" w:space="0" w:color="000000"/>
              <w:bottom w:val="outset" w:sz="6" w:space="0" w:color="000000"/>
              <w:right w:val="outset" w:sz="6" w:space="0" w:color="000000"/>
            </w:tcBorders>
          </w:tcPr>
          <w:p w:rsidR="00264095" w:rsidRPr="004D6EA2" w:rsidRDefault="00E15095" w:rsidP="00E3040C">
            <w:pPr>
              <w:spacing w:before="100" w:beforeAutospacing="1" w:after="100" w:afterAutospacing="1"/>
              <w:jc w:val="both"/>
              <w:rPr>
                <w:rFonts w:eastAsia="Times New Roman"/>
              </w:rPr>
            </w:pPr>
            <w:r>
              <w:rPr>
                <w:rFonts w:eastAsia="Times New Roman"/>
              </w:rPr>
              <w:t>Nav.</w:t>
            </w:r>
          </w:p>
        </w:tc>
      </w:tr>
    </w:tbl>
    <w:p w:rsidR="00B52842" w:rsidRDefault="00B52842" w:rsidP="00F63B8D">
      <w:pPr>
        <w:jc w:val="both"/>
      </w:pPr>
    </w:p>
    <w:p w:rsidR="00AB55DD" w:rsidRDefault="00AB55DD" w:rsidP="00AB55DD">
      <w:pPr>
        <w:ind w:firstLine="720"/>
      </w:pPr>
      <w:r w:rsidRPr="00FC5B5A">
        <w:rPr>
          <w:b/>
        </w:rPr>
        <w:t>Anot</w:t>
      </w:r>
      <w:r>
        <w:rPr>
          <w:b/>
        </w:rPr>
        <w:t>ācijas V</w:t>
      </w:r>
      <w:r w:rsidR="009D4C5A">
        <w:rPr>
          <w:b/>
        </w:rPr>
        <w:t>. un VI.</w:t>
      </w:r>
      <w:r w:rsidRPr="00FC5B5A">
        <w:rPr>
          <w:b/>
        </w:rPr>
        <w:t xml:space="preserve"> sadaļa</w:t>
      </w:r>
      <w:r w:rsidR="008B7678">
        <w:t xml:space="preserve"> – projekts šīs jomas</w:t>
      </w:r>
      <w:r>
        <w:t xml:space="preserve"> neskar.</w:t>
      </w:r>
    </w:p>
    <w:p w:rsidR="00C8418F" w:rsidRDefault="00C8418F" w:rsidP="00F3377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3823"/>
        <w:gridCol w:w="5068"/>
      </w:tblGrid>
      <w:tr w:rsidR="006D2742">
        <w:tc>
          <w:tcPr>
            <w:tcW w:w="9287" w:type="dxa"/>
            <w:gridSpan w:val="3"/>
          </w:tcPr>
          <w:p w:rsidR="006D2742" w:rsidRPr="007729DB" w:rsidRDefault="006D2742" w:rsidP="007729DB">
            <w:pPr>
              <w:jc w:val="center"/>
              <w:rPr>
                <w:b/>
              </w:rPr>
            </w:pPr>
            <w:smartTag w:uri="urn:schemas-microsoft-com:office:smarttags" w:element="stockticker">
              <w:r w:rsidRPr="007729DB">
                <w:rPr>
                  <w:b/>
                </w:rPr>
                <w:t>VII</w:t>
              </w:r>
            </w:smartTag>
            <w:r w:rsidRPr="007729DB">
              <w:rPr>
                <w:b/>
              </w:rPr>
              <w:t>. Tiesību akta projekta izpildes nodrošināšana un tās ietekme uz institūcijām</w:t>
            </w:r>
          </w:p>
        </w:tc>
      </w:tr>
      <w:tr w:rsidR="006D2742">
        <w:tc>
          <w:tcPr>
            <w:tcW w:w="396" w:type="dxa"/>
            <w:vAlign w:val="center"/>
          </w:tcPr>
          <w:p w:rsidR="006D2742" w:rsidRDefault="006D2742" w:rsidP="007729DB">
            <w:pPr>
              <w:jc w:val="center"/>
            </w:pPr>
            <w:r>
              <w:t>1.</w:t>
            </w:r>
          </w:p>
        </w:tc>
        <w:tc>
          <w:tcPr>
            <w:tcW w:w="3823" w:type="dxa"/>
          </w:tcPr>
          <w:p w:rsidR="006D2742" w:rsidRDefault="006D2742" w:rsidP="007729DB">
            <w:pPr>
              <w:jc w:val="both"/>
            </w:pPr>
            <w:r>
              <w:t>Projekta izpildē iesaistītās institūcijas</w:t>
            </w:r>
          </w:p>
        </w:tc>
        <w:tc>
          <w:tcPr>
            <w:tcW w:w="5068" w:type="dxa"/>
          </w:tcPr>
          <w:p w:rsidR="00D92B8A" w:rsidRDefault="00702D1E" w:rsidP="007729DB">
            <w:pPr>
              <w:jc w:val="both"/>
            </w:pPr>
            <w:r>
              <w:t>M</w:t>
            </w:r>
            <w:r w:rsidR="00325C75">
              <w:t>inistrija</w:t>
            </w:r>
            <w:r w:rsidR="00083A5D">
              <w:t>, koledža un vidusskola.</w:t>
            </w:r>
          </w:p>
        </w:tc>
      </w:tr>
      <w:tr w:rsidR="006D2742">
        <w:tc>
          <w:tcPr>
            <w:tcW w:w="396" w:type="dxa"/>
            <w:vAlign w:val="center"/>
          </w:tcPr>
          <w:p w:rsidR="006D2742" w:rsidRDefault="006D2742" w:rsidP="007729DB">
            <w:pPr>
              <w:jc w:val="center"/>
            </w:pPr>
            <w:r>
              <w:t>2.</w:t>
            </w:r>
          </w:p>
        </w:tc>
        <w:tc>
          <w:tcPr>
            <w:tcW w:w="3823" w:type="dxa"/>
          </w:tcPr>
          <w:p w:rsidR="006D2742" w:rsidRDefault="006D2742" w:rsidP="007729DB">
            <w:pPr>
              <w:jc w:val="both"/>
            </w:pPr>
            <w:r>
              <w:t>Projekta izpildes ietekme uz pārvaldes funkcijām</w:t>
            </w:r>
          </w:p>
        </w:tc>
        <w:tc>
          <w:tcPr>
            <w:tcW w:w="5068" w:type="dxa"/>
          </w:tcPr>
          <w:p w:rsidR="006D2742" w:rsidRDefault="00C257EE" w:rsidP="007729DB">
            <w:pPr>
              <w:jc w:val="both"/>
            </w:pPr>
            <w:r>
              <w:t>Rīkojuma projekts nepaplašina un nesašaurina ministrijas funkcijas, jo saskaņā ar Izgl</w:t>
            </w:r>
            <w:r w:rsidR="003004D4">
              <w:t>ītības likuma 15.panta 1.punktu</w:t>
            </w:r>
            <w:r>
              <w:t xml:space="preserve"> ministrija īsteno vienotu valsts politiku un attīstības stratēģiju izglītībā.</w:t>
            </w:r>
          </w:p>
        </w:tc>
      </w:tr>
      <w:tr w:rsidR="006D2742">
        <w:tc>
          <w:tcPr>
            <w:tcW w:w="396" w:type="dxa"/>
            <w:vAlign w:val="center"/>
          </w:tcPr>
          <w:p w:rsidR="006D2742" w:rsidRDefault="006D2742" w:rsidP="007729DB">
            <w:pPr>
              <w:jc w:val="center"/>
            </w:pPr>
            <w:r>
              <w:t>3.</w:t>
            </w:r>
          </w:p>
        </w:tc>
        <w:tc>
          <w:tcPr>
            <w:tcW w:w="3823" w:type="dxa"/>
          </w:tcPr>
          <w:p w:rsidR="006D2742" w:rsidRDefault="006D2742" w:rsidP="007729DB">
            <w:pPr>
              <w:jc w:val="both"/>
            </w:pPr>
            <w:r>
              <w:t>Projekta izpildes ietekme uz pārvaldes institucionālo struktūru.</w:t>
            </w:r>
          </w:p>
          <w:p w:rsidR="006D2742" w:rsidRDefault="006D2742" w:rsidP="007729DB">
            <w:pPr>
              <w:jc w:val="both"/>
            </w:pPr>
            <w:r>
              <w:t>Jaunu institūciju izveide</w:t>
            </w:r>
          </w:p>
        </w:tc>
        <w:tc>
          <w:tcPr>
            <w:tcW w:w="5068" w:type="dxa"/>
          </w:tcPr>
          <w:p w:rsidR="006D2742" w:rsidRDefault="00DF4B9F" w:rsidP="007729DB">
            <w:pPr>
              <w:jc w:val="both"/>
            </w:pPr>
            <w:r>
              <w:t>Projekts šo jomu neskar.</w:t>
            </w:r>
          </w:p>
        </w:tc>
      </w:tr>
      <w:tr w:rsidR="006D2742">
        <w:tc>
          <w:tcPr>
            <w:tcW w:w="396" w:type="dxa"/>
            <w:vAlign w:val="center"/>
          </w:tcPr>
          <w:p w:rsidR="006D2742" w:rsidRDefault="006D2742" w:rsidP="007729DB">
            <w:pPr>
              <w:jc w:val="center"/>
            </w:pPr>
            <w:r>
              <w:t>4.</w:t>
            </w:r>
          </w:p>
        </w:tc>
        <w:tc>
          <w:tcPr>
            <w:tcW w:w="3823" w:type="dxa"/>
          </w:tcPr>
          <w:p w:rsidR="006D2742" w:rsidRDefault="00607C2F" w:rsidP="007729DB">
            <w:pPr>
              <w:jc w:val="both"/>
            </w:pPr>
            <w:r>
              <w:t>Projekta izpildes ietekme uz pārvaldes institucionālo struktūru.</w:t>
            </w:r>
          </w:p>
          <w:p w:rsidR="00607C2F" w:rsidRDefault="00607C2F" w:rsidP="007729DB">
            <w:pPr>
              <w:jc w:val="both"/>
            </w:pPr>
            <w:r>
              <w:lastRenderedPageBreak/>
              <w:t>Esošo institūciju likvidācija</w:t>
            </w:r>
          </w:p>
        </w:tc>
        <w:tc>
          <w:tcPr>
            <w:tcW w:w="5068" w:type="dxa"/>
          </w:tcPr>
          <w:p w:rsidR="006D2742" w:rsidRDefault="007833A1" w:rsidP="007833A1">
            <w:pPr>
              <w:jc w:val="both"/>
            </w:pPr>
            <w:r>
              <w:lastRenderedPageBreak/>
              <w:t xml:space="preserve">Tiek likvidēta ministrijas padotībā esošā vidusskola, tās uzdevumus nododot ministrijas </w:t>
            </w:r>
            <w:r>
              <w:lastRenderedPageBreak/>
              <w:t xml:space="preserve">padotībā esošajai koledžai. </w:t>
            </w:r>
          </w:p>
        </w:tc>
      </w:tr>
      <w:tr w:rsidR="006D2742">
        <w:tc>
          <w:tcPr>
            <w:tcW w:w="396" w:type="dxa"/>
            <w:vAlign w:val="center"/>
          </w:tcPr>
          <w:p w:rsidR="006D2742" w:rsidRDefault="006D2742" w:rsidP="007729DB">
            <w:pPr>
              <w:jc w:val="center"/>
            </w:pPr>
            <w:r>
              <w:lastRenderedPageBreak/>
              <w:t>5.</w:t>
            </w:r>
          </w:p>
        </w:tc>
        <w:tc>
          <w:tcPr>
            <w:tcW w:w="3823" w:type="dxa"/>
          </w:tcPr>
          <w:p w:rsidR="006D2742" w:rsidRDefault="00607C2F" w:rsidP="007729DB">
            <w:pPr>
              <w:jc w:val="both"/>
            </w:pPr>
            <w:r>
              <w:t>Projekta izpildes ietekme uz pārvaldes institucionālo struktūru.</w:t>
            </w:r>
          </w:p>
          <w:p w:rsidR="00607C2F" w:rsidRDefault="00607C2F" w:rsidP="007729DB">
            <w:pPr>
              <w:jc w:val="both"/>
            </w:pPr>
            <w:r>
              <w:t>Esošo institūciju reorganizācija</w:t>
            </w:r>
          </w:p>
        </w:tc>
        <w:tc>
          <w:tcPr>
            <w:tcW w:w="5068" w:type="dxa"/>
          </w:tcPr>
          <w:p w:rsidR="006D2742" w:rsidRDefault="007833A1" w:rsidP="00682748">
            <w:pPr>
              <w:jc w:val="both"/>
            </w:pPr>
            <w:r>
              <w:t>Projekts šo jomu neskar.</w:t>
            </w:r>
          </w:p>
        </w:tc>
      </w:tr>
      <w:tr w:rsidR="006D2742">
        <w:tc>
          <w:tcPr>
            <w:tcW w:w="396" w:type="dxa"/>
            <w:vAlign w:val="center"/>
          </w:tcPr>
          <w:p w:rsidR="006D2742" w:rsidRDefault="006D2742" w:rsidP="007729DB">
            <w:pPr>
              <w:jc w:val="center"/>
            </w:pPr>
            <w:r>
              <w:t>6.</w:t>
            </w:r>
          </w:p>
        </w:tc>
        <w:tc>
          <w:tcPr>
            <w:tcW w:w="3823" w:type="dxa"/>
          </w:tcPr>
          <w:p w:rsidR="006D2742" w:rsidRDefault="00607C2F" w:rsidP="007729DB">
            <w:pPr>
              <w:jc w:val="both"/>
            </w:pPr>
            <w:r>
              <w:t>Cita informācija</w:t>
            </w:r>
          </w:p>
        </w:tc>
        <w:tc>
          <w:tcPr>
            <w:tcW w:w="5068" w:type="dxa"/>
          </w:tcPr>
          <w:p w:rsidR="006D2742" w:rsidRDefault="00323B3C" w:rsidP="007729DB">
            <w:pPr>
              <w:jc w:val="both"/>
            </w:pPr>
            <w:r>
              <w:t>Nav</w:t>
            </w:r>
            <w:r w:rsidR="003004D4">
              <w:t>.</w:t>
            </w:r>
          </w:p>
        </w:tc>
      </w:tr>
    </w:tbl>
    <w:p w:rsidR="00EC24E4" w:rsidRDefault="00EC24E4" w:rsidP="00F63B8D">
      <w:pPr>
        <w:jc w:val="both"/>
      </w:pPr>
    </w:p>
    <w:p w:rsidR="00CB6869" w:rsidRDefault="00CB6869" w:rsidP="00F63B8D">
      <w:pPr>
        <w:jc w:val="both"/>
      </w:pPr>
    </w:p>
    <w:p w:rsidR="00CB6869" w:rsidRDefault="00CB6869" w:rsidP="00F63B8D">
      <w:pPr>
        <w:jc w:val="both"/>
      </w:pPr>
    </w:p>
    <w:p w:rsidR="003D330A" w:rsidRDefault="003D330A" w:rsidP="00F63B8D">
      <w:pPr>
        <w:jc w:val="both"/>
      </w:pPr>
    </w:p>
    <w:p w:rsidR="00C74EFE" w:rsidRPr="00B6716A" w:rsidRDefault="00B469FD" w:rsidP="00B469FD">
      <w:pPr>
        <w:rPr>
          <w:sz w:val="28"/>
          <w:szCs w:val="28"/>
        </w:rPr>
      </w:pPr>
      <w:r w:rsidRPr="00B6716A">
        <w:rPr>
          <w:sz w:val="28"/>
          <w:szCs w:val="28"/>
        </w:rPr>
        <w:t xml:space="preserve">Izglītības </w:t>
      </w:r>
      <w:r w:rsidR="003B07F2">
        <w:rPr>
          <w:sz w:val="28"/>
          <w:szCs w:val="28"/>
        </w:rPr>
        <w:t>un zinātnes ministrs</w:t>
      </w:r>
      <w:r w:rsidR="00C74EFE" w:rsidRPr="00B6716A">
        <w:rPr>
          <w:sz w:val="28"/>
          <w:szCs w:val="28"/>
        </w:rPr>
        <w:tab/>
      </w:r>
      <w:r w:rsidR="00C74EFE" w:rsidRPr="00B6716A">
        <w:rPr>
          <w:sz w:val="28"/>
          <w:szCs w:val="28"/>
        </w:rPr>
        <w:tab/>
        <w:t xml:space="preserve">                   </w:t>
      </w:r>
      <w:r w:rsidR="00207C35" w:rsidRPr="00B6716A">
        <w:rPr>
          <w:sz w:val="28"/>
          <w:szCs w:val="28"/>
        </w:rPr>
        <w:t xml:space="preserve">  </w:t>
      </w:r>
      <w:r w:rsidR="00B6716A">
        <w:rPr>
          <w:sz w:val="28"/>
          <w:szCs w:val="28"/>
        </w:rPr>
        <w:t xml:space="preserve">                    </w:t>
      </w:r>
      <w:r w:rsidR="00013408">
        <w:rPr>
          <w:sz w:val="28"/>
          <w:szCs w:val="28"/>
        </w:rPr>
        <w:t xml:space="preserve"> </w:t>
      </w:r>
      <w:proofErr w:type="spellStart"/>
      <w:r w:rsidR="005F6CBA">
        <w:rPr>
          <w:sz w:val="28"/>
          <w:szCs w:val="28"/>
        </w:rPr>
        <w:t>V.Dombrovskis</w:t>
      </w:r>
      <w:proofErr w:type="spellEnd"/>
    </w:p>
    <w:p w:rsidR="003D330A" w:rsidRPr="00B6716A" w:rsidRDefault="003D330A" w:rsidP="00F63B8D">
      <w:pPr>
        <w:jc w:val="both"/>
        <w:rPr>
          <w:sz w:val="28"/>
          <w:szCs w:val="28"/>
        </w:rPr>
      </w:pPr>
    </w:p>
    <w:p w:rsidR="003D330A" w:rsidRPr="00B6716A" w:rsidRDefault="003D330A" w:rsidP="00F63B8D">
      <w:pPr>
        <w:jc w:val="both"/>
        <w:rPr>
          <w:sz w:val="28"/>
          <w:szCs w:val="28"/>
        </w:rPr>
      </w:pPr>
    </w:p>
    <w:p w:rsidR="00013408" w:rsidRDefault="003D330A" w:rsidP="00F63B8D">
      <w:pPr>
        <w:jc w:val="both"/>
        <w:rPr>
          <w:sz w:val="28"/>
          <w:szCs w:val="28"/>
        </w:rPr>
      </w:pPr>
      <w:r w:rsidRPr="00B6716A">
        <w:rPr>
          <w:sz w:val="28"/>
          <w:szCs w:val="28"/>
        </w:rPr>
        <w:t>Vizē</w:t>
      </w:r>
      <w:r w:rsidR="00F63B8D" w:rsidRPr="00B6716A">
        <w:rPr>
          <w:sz w:val="28"/>
          <w:szCs w:val="28"/>
        </w:rPr>
        <w:t>:</w:t>
      </w:r>
      <w:r w:rsidR="00943B73">
        <w:rPr>
          <w:sz w:val="28"/>
          <w:szCs w:val="28"/>
        </w:rPr>
        <w:t xml:space="preserve"> </w:t>
      </w:r>
    </w:p>
    <w:p w:rsidR="00F63B8D" w:rsidRPr="00B6716A" w:rsidRDefault="00943B73" w:rsidP="00F63B8D">
      <w:pPr>
        <w:jc w:val="both"/>
        <w:rPr>
          <w:sz w:val="28"/>
          <w:szCs w:val="28"/>
        </w:rPr>
      </w:pPr>
      <w:r>
        <w:rPr>
          <w:sz w:val="28"/>
          <w:szCs w:val="28"/>
        </w:rPr>
        <w:t>Valsts sekretār</w:t>
      </w:r>
      <w:r w:rsidR="00793C9E">
        <w:rPr>
          <w:sz w:val="28"/>
          <w:szCs w:val="28"/>
        </w:rPr>
        <w:t>e</w:t>
      </w:r>
      <w:r w:rsidR="00F63B8D" w:rsidRPr="00B6716A">
        <w:rPr>
          <w:sz w:val="28"/>
          <w:szCs w:val="28"/>
        </w:rPr>
        <w:tab/>
      </w:r>
      <w:r w:rsidR="00F63B8D" w:rsidRPr="00B6716A">
        <w:rPr>
          <w:sz w:val="28"/>
          <w:szCs w:val="28"/>
        </w:rPr>
        <w:tab/>
      </w:r>
      <w:r w:rsidR="00F63B8D" w:rsidRPr="00B6716A">
        <w:rPr>
          <w:sz w:val="28"/>
          <w:szCs w:val="28"/>
        </w:rPr>
        <w:tab/>
        <w:t xml:space="preserve">     </w:t>
      </w:r>
      <w:r w:rsidR="00793C9E">
        <w:rPr>
          <w:sz w:val="28"/>
          <w:szCs w:val="28"/>
        </w:rPr>
        <w:t xml:space="preserve">  </w:t>
      </w:r>
      <w:r w:rsidR="00793C9E">
        <w:rPr>
          <w:sz w:val="28"/>
          <w:szCs w:val="28"/>
        </w:rPr>
        <w:tab/>
      </w:r>
      <w:r w:rsidR="00793C9E">
        <w:rPr>
          <w:sz w:val="28"/>
          <w:szCs w:val="28"/>
        </w:rPr>
        <w:tab/>
        <w:t xml:space="preserve">     </w:t>
      </w:r>
      <w:r w:rsidR="00793C9E">
        <w:rPr>
          <w:sz w:val="28"/>
          <w:szCs w:val="28"/>
        </w:rPr>
        <w:tab/>
      </w:r>
      <w:r w:rsidR="00793C9E">
        <w:rPr>
          <w:sz w:val="28"/>
          <w:szCs w:val="28"/>
        </w:rPr>
        <w:tab/>
      </w:r>
      <w:r w:rsidR="00793C9E">
        <w:rPr>
          <w:sz w:val="28"/>
          <w:szCs w:val="28"/>
        </w:rPr>
        <w:tab/>
        <w:t xml:space="preserve">     S.Liepiņa</w:t>
      </w:r>
    </w:p>
    <w:p w:rsidR="00F63B8D" w:rsidRPr="00B6716A" w:rsidRDefault="00F63B8D" w:rsidP="00F63B8D">
      <w:pPr>
        <w:jc w:val="both"/>
        <w:rPr>
          <w:sz w:val="28"/>
          <w:szCs w:val="28"/>
        </w:rPr>
      </w:pPr>
    </w:p>
    <w:p w:rsidR="003004D4" w:rsidRPr="003004D4" w:rsidRDefault="00AD3437" w:rsidP="003004D4">
      <w:pPr>
        <w:spacing w:line="20" w:lineRule="atLeast"/>
        <w:jc w:val="both"/>
        <w:rPr>
          <w:sz w:val="20"/>
          <w:szCs w:val="20"/>
        </w:rPr>
      </w:pPr>
      <w:r>
        <w:rPr>
          <w:sz w:val="20"/>
          <w:szCs w:val="20"/>
        </w:rPr>
        <w:t>3</w:t>
      </w:r>
      <w:r w:rsidR="00CB40A0">
        <w:rPr>
          <w:sz w:val="20"/>
          <w:szCs w:val="20"/>
        </w:rPr>
        <w:t>0</w:t>
      </w:r>
      <w:r w:rsidR="008C2D80">
        <w:rPr>
          <w:sz w:val="20"/>
          <w:szCs w:val="20"/>
        </w:rPr>
        <w:t>.</w:t>
      </w:r>
      <w:r w:rsidR="00F62473">
        <w:rPr>
          <w:sz w:val="20"/>
          <w:szCs w:val="20"/>
        </w:rPr>
        <w:t>08</w:t>
      </w:r>
      <w:r w:rsidR="00AC2424">
        <w:rPr>
          <w:sz w:val="20"/>
          <w:szCs w:val="20"/>
        </w:rPr>
        <w:t>.2013. 1</w:t>
      </w:r>
      <w:r w:rsidR="00CB40A0">
        <w:rPr>
          <w:sz w:val="20"/>
          <w:szCs w:val="20"/>
        </w:rPr>
        <w:t>1</w:t>
      </w:r>
      <w:r w:rsidR="00F276E3">
        <w:rPr>
          <w:sz w:val="20"/>
          <w:szCs w:val="20"/>
        </w:rPr>
        <w:t>:</w:t>
      </w:r>
      <w:r w:rsidR="00CB40A0">
        <w:rPr>
          <w:sz w:val="20"/>
          <w:szCs w:val="20"/>
        </w:rPr>
        <w:t>3</w:t>
      </w:r>
      <w:r w:rsidR="00281A33">
        <w:rPr>
          <w:sz w:val="20"/>
          <w:szCs w:val="20"/>
        </w:rPr>
        <w:t>7</w:t>
      </w:r>
    </w:p>
    <w:p w:rsidR="00F63B8D" w:rsidRPr="003004D4" w:rsidRDefault="00AD3437" w:rsidP="003004D4">
      <w:pPr>
        <w:jc w:val="both"/>
        <w:rPr>
          <w:sz w:val="20"/>
          <w:szCs w:val="20"/>
        </w:rPr>
      </w:pPr>
      <w:r>
        <w:rPr>
          <w:sz w:val="20"/>
          <w:szCs w:val="20"/>
        </w:rPr>
        <w:t>2</w:t>
      </w:r>
      <w:r w:rsidR="00FF68B3">
        <w:rPr>
          <w:sz w:val="20"/>
          <w:szCs w:val="20"/>
        </w:rPr>
        <w:t>7</w:t>
      </w:r>
      <w:r w:rsidR="00A51180">
        <w:rPr>
          <w:sz w:val="20"/>
          <w:szCs w:val="20"/>
        </w:rPr>
        <w:t>57</w:t>
      </w:r>
    </w:p>
    <w:p w:rsidR="00F63B8D" w:rsidRPr="00335CFF" w:rsidRDefault="00C2197E" w:rsidP="00F63B8D">
      <w:pPr>
        <w:pStyle w:val="naisc"/>
        <w:spacing w:before="0" w:beforeAutospacing="0" w:after="0" w:afterAutospacing="0"/>
        <w:jc w:val="both"/>
        <w:rPr>
          <w:sz w:val="20"/>
          <w:szCs w:val="20"/>
        </w:rPr>
      </w:pPr>
      <w:proofErr w:type="spellStart"/>
      <w:r>
        <w:rPr>
          <w:sz w:val="20"/>
          <w:szCs w:val="20"/>
        </w:rPr>
        <w:t>Dz.Gorbunova</w:t>
      </w:r>
      <w:proofErr w:type="spellEnd"/>
    </w:p>
    <w:p w:rsidR="00AD3437" w:rsidRDefault="00C2197E" w:rsidP="009865D3">
      <w:pPr>
        <w:pStyle w:val="naisc"/>
        <w:spacing w:before="0" w:beforeAutospacing="0" w:after="0" w:afterAutospacing="0"/>
        <w:jc w:val="both"/>
        <w:rPr>
          <w:sz w:val="20"/>
          <w:szCs w:val="20"/>
        </w:rPr>
      </w:pPr>
      <w:r>
        <w:rPr>
          <w:sz w:val="20"/>
          <w:szCs w:val="20"/>
        </w:rPr>
        <w:t>67047855</w:t>
      </w:r>
      <w:r w:rsidR="00F63B8D" w:rsidRPr="00335CFF">
        <w:rPr>
          <w:sz w:val="20"/>
          <w:szCs w:val="20"/>
        </w:rPr>
        <w:t xml:space="preserve">, </w:t>
      </w:r>
      <w:r w:rsidR="00AD3437" w:rsidRPr="00AD3437">
        <w:rPr>
          <w:sz w:val="20"/>
          <w:szCs w:val="20"/>
        </w:rPr>
        <w:t>dzintra.gorbunova@izm.gov.lv</w:t>
      </w:r>
    </w:p>
    <w:p w:rsidR="00AD3437" w:rsidRDefault="00AD3437" w:rsidP="009865D3">
      <w:pPr>
        <w:pStyle w:val="naisc"/>
        <w:spacing w:before="0" w:beforeAutospacing="0" w:after="0" w:afterAutospacing="0"/>
        <w:jc w:val="both"/>
        <w:rPr>
          <w:sz w:val="20"/>
          <w:szCs w:val="20"/>
        </w:rPr>
      </w:pPr>
      <w:proofErr w:type="spellStart"/>
      <w:r>
        <w:rPr>
          <w:sz w:val="20"/>
          <w:szCs w:val="20"/>
        </w:rPr>
        <w:t>V.Dadzīte</w:t>
      </w:r>
      <w:proofErr w:type="spellEnd"/>
    </w:p>
    <w:p w:rsidR="00AD3437" w:rsidRDefault="00AD3437" w:rsidP="009865D3">
      <w:pPr>
        <w:pStyle w:val="naisc"/>
        <w:spacing w:before="0" w:beforeAutospacing="0" w:after="0" w:afterAutospacing="0"/>
        <w:jc w:val="both"/>
        <w:rPr>
          <w:sz w:val="20"/>
          <w:szCs w:val="20"/>
        </w:rPr>
      </w:pPr>
      <w:r>
        <w:rPr>
          <w:sz w:val="20"/>
          <w:szCs w:val="20"/>
        </w:rPr>
        <w:t xml:space="preserve">67047751, </w:t>
      </w:r>
      <w:r w:rsidRPr="00AD3437">
        <w:rPr>
          <w:sz w:val="20"/>
          <w:szCs w:val="20"/>
        </w:rPr>
        <w:t>velga.dadzite@izm.gov.lv</w:t>
      </w:r>
    </w:p>
    <w:p w:rsidR="00AD3437" w:rsidRDefault="00AD3437" w:rsidP="009865D3">
      <w:pPr>
        <w:pStyle w:val="naisc"/>
        <w:spacing w:before="0" w:beforeAutospacing="0" w:after="0" w:afterAutospacing="0"/>
        <w:jc w:val="both"/>
        <w:rPr>
          <w:sz w:val="20"/>
          <w:szCs w:val="20"/>
        </w:rPr>
      </w:pPr>
      <w:proofErr w:type="spellStart"/>
      <w:r>
        <w:rPr>
          <w:sz w:val="20"/>
          <w:szCs w:val="20"/>
        </w:rPr>
        <w:t>M.Adamane</w:t>
      </w:r>
      <w:proofErr w:type="spellEnd"/>
    </w:p>
    <w:p w:rsidR="00DE4F93" w:rsidRDefault="00AD3437" w:rsidP="00AD3437">
      <w:pPr>
        <w:pStyle w:val="naisc"/>
        <w:spacing w:before="0" w:beforeAutospacing="0" w:after="0" w:afterAutospacing="0"/>
        <w:jc w:val="both"/>
      </w:pPr>
      <w:r>
        <w:rPr>
          <w:sz w:val="20"/>
          <w:szCs w:val="20"/>
        </w:rPr>
        <w:t>67047756</w:t>
      </w:r>
      <w:r w:rsidR="00B84F31">
        <w:rPr>
          <w:sz w:val="20"/>
          <w:szCs w:val="20"/>
        </w:rPr>
        <w:t>, m</w:t>
      </w:r>
      <w:r>
        <w:rPr>
          <w:sz w:val="20"/>
          <w:szCs w:val="20"/>
        </w:rPr>
        <w:t>adara.adamane@izm.gov.lv</w:t>
      </w:r>
    </w:p>
    <w:p w:rsidR="001333C1" w:rsidRPr="00DE4F93" w:rsidRDefault="00DE4F93" w:rsidP="00DE4F93">
      <w:pPr>
        <w:tabs>
          <w:tab w:val="left" w:pos="1635"/>
        </w:tabs>
      </w:pPr>
      <w:r>
        <w:tab/>
      </w:r>
    </w:p>
    <w:sectPr w:rsidR="001333C1" w:rsidRPr="00DE4F93" w:rsidSect="00A04BD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93" w:rsidRDefault="00E20E93">
      <w:r>
        <w:separator/>
      </w:r>
    </w:p>
  </w:endnote>
  <w:endnote w:type="continuationSeparator" w:id="0">
    <w:p w:rsidR="00E20E93" w:rsidRDefault="00E20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D" w:rsidRPr="00186C21" w:rsidRDefault="0061072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D" w:rsidRPr="00EB5B17" w:rsidRDefault="00652F02" w:rsidP="00EB5B17">
    <w:pPr>
      <w:pStyle w:val="BodyText2"/>
      <w:spacing w:line="240" w:lineRule="auto"/>
      <w:jc w:val="both"/>
      <w:rPr>
        <w:b w:val="0"/>
        <w:bCs w:val="0"/>
        <w:sz w:val="20"/>
        <w:szCs w:val="20"/>
      </w:rPr>
    </w:pPr>
    <w:r>
      <w:rPr>
        <w:b w:val="0"/>
        <w:bCs w:val="0"/>
        <w:sz w:val="20"/>
        <w:szCs w:val="20"/>
      </w:rPr>
      <w:t>IZMAnot_</w:t>
    </w:r>
    <w:r w:rsidR="00CB40A0">
      <w:rPr>
        <w:b w:val="0"/>
        <w:bCs w:val="0"/>
        <w:sz w:val="20"/>
        <w:szCs w:val="20"/>
      </w:rPr>
      <w:t>30</w:t>
    </w:r>
    <w:r w:rsidR="00F62473">
      <w:rPr>
        <w:b w:val="0"/>
        <w:bCs w:val="0"/>
        <w:sz w:val="20"/>
        <w:szCs w:val="20"/>
      </w:rPr>
      <w:t>08</w:t>
    </w:r>
    <w:r w:rsidR="001D5A58">
      <w:rPr>
        <w:b w:val="0"/>
        <w:bCs w:val="0"/>
        <w:sz w:val="20"/>
        <w:szCs w:val="20"/>
      </w:rPr>
      <w:t>13</w:t>
    </w:r>
    <w:r w:rsidR="0061072D" w:rsidRPr="00335CFF">
      <w:rPr>
        <w:b w:val="0"/>
        <w:bCs w:val="0"/>
        <w:sz w:val="20"/>
        <w:szCs w:val="20"/>
      </w:rPr>
      <w:t>_</w:t>
    </w:r>
    <w:r w:rsidR="008F55F4">
      <w:rPr>
        <w:b w:val="0"/>
        <w:bCs w:val="0"/>
        <w:sz w:val="20"/>
        <w:szCs w:val="20"/>
      </w:rPr>
      <w:t>RigasBV</w:t>
    </w:r>
    <w:r w:rsidR="0061072D" w:rsidRPr="00335CFF">
      <w:rPr>
        <w:b w:val="0"/>
        <w:bCs w:val="0"/>
        <w:sz w:val="20"/>
        <w:szCs w:val="20"/>
      </w:rPr>
      <w:t>;</w:t>
    </w:r>
    <w:r w:rsidR="0061072D" w:rsidRPr="00AF35C4">
      <w:rPr>
        <w:b w:val="0"/>
        <w:bCs w:val="0"/>
        <w:sz w:val="20"/>
        <w:szCs w:val="20"/>
      </w:rPr>
      <w:t xml:space="preserve"> Ministru kabineta </w:t>
    </w:r>
    <w:r w:rsidR="0061072D">
      <w:rPr>
        <w:b w:val="0"/>
        <w:bCs w:val="0"/>
        <w:sz w:val="20"/>
        <w:szCs w:val="20"/>
      </w:rPr>
      <w:t xml:space="preserve">rīkojuma </w:t>
    </w:r>
    <w:r w:rsidR="0061072D" w:rsidRPr="00AF35C4">
      <w:rPr>
        <w:b w:val="0"/>
        <w:bCs w:val="0"/>
        <w:sz w:val="20"/>
        <w:szCs w:val="20"/>
      </w:rPr>
      <w:t>projekt</w:t>
    </w:r>
    <w:r w:rsidR="008F55F4">
      <w:rPr>
        <w:b w:val="0"/>
        <w:bCs w:val="0"/>
        <w:sz w:val="20"/>
        <w:szCs w:val="20"/>
      </w:rPr>
      <w:t>a „Par Rīgas Būvniecības vidusskolas likvidāciju</w:t>
    </w:r>
    <w:r w:rsidR="0061072D">
      <w:rPr>
        <w:b w:val="0"/>
        <w:bCs w:val="0"/>
        <w:sz w:val="20"/>
        <w:szCs w:val="20"/>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D" w:rsidRPr="00EB5B17" w:rsidRDefault="00920067" w:rsidP="00C74EFE">
    <w:pPr>
      <w:pStyle w:val="BodyText2"/>
      <w:spacing w:line="240" w:lineRule="auto"/>
      <w:jc w:val="both"/>
      <w:rPr>
        <w:b w:val="0"/>
        <w:bCs w:val="0"/>
        <w:sz w:val="20"/>
        <w:szCs w:val="20"/>
      </w:rPr>
    </w:pPr>
    <w:r>
      <w:rPr>
        <w:b w:val="0"/>
        <w:bCs w:val="0"/>
        <w:sz w:val="20"/>
        <w:szCs w:val="20"/>
      </w:rPr>
      <w:t>IZMAnot_30</w:t>
    </w:r>
    <w:r w:rsidR="00F62473">
      <w:rPr>
        <w:b w:val="0"/>
        <w:bCs w:val="0"/>
        <w:sz w:val="20"/>
        <w:szCs w:val="20"/>
      </w:rPr>
      <w:t>08</w:t>
    </w:r>
    <w:r w:rsidR="001D5A58">
      <w:rPr>
        <w:b w:val="0"/>
        <w:bCs w:val="0"/>
        <w:sz w:val="20"/>
        <w:szCs w:val="20"/>
      </w:rPr>
      <w:t>13</w:t>
    </w:r>
    <w:r w:rsidR="0061072D" w:rsidRPr="00335CFF">
      <w:rPr>
        <w:b w:val="0"/>
        <w:bCs w:val="0"/>
        <w:sz w:val="20"/>
        <w:szCs w:val="20"/>
      </w:rPr>
      <w:t>_</w:t>
    </w:r>
    <w:r w:rsidR="008F55F4">
      <w:rPr>
        <w:b w:val="0"/>
        <w:bCs w:val="0"/>
        <w:sz w:val="20"/>
        <w:szCs w:val="20"/>
      </w:rPr>
      <w:t>RigasBV</w:t>
    </w:r>
    <w:r w:rsidR="0061072D" w:rsidRPr="00335CFF">
      <w:rPr>
        <w:b w:val="0"/>
        <w:bCs w:val="0"/>
        <w:sz w:val="20"/>
        <w:szCs w:val="20"/>
      </w:rPr>
      <w:t>;</w:t>
    </w:r>
    <w:r w:rsidR="0061072D" w:rsidRPr="00AF35C4">
      <w:rPr>
        <w:b w:val="0"/>
        <w:bCs w:val="0"/>
        <w:sz w:val="20"/>
        <w:szCs w:val="20"/>
      </w:rPr>
      <w:t xml:space="preserve"> Ministru kabineta </w:t>
    </w:r>
    <w:r w:rsidR="0061072D">
      <w:rPr>
        <w:b w:val="0"/>
        <w:bCs w:val="0"/>
        <w:sz w:val="20"/>
        <w:szCs w:val="20"/>
      </w:rPr>
      <w:t xml:space="preserve">rīkojuma </w:t>
    </w:r>
    <w:r w:rsidR="0061072D" w:rsidRPr="00AF35C4">
      <w:rPr>
        <w:b w:val="0"/>
        <w:bCs w:val="0"/>
        <w:sz w:val="20"/>
        <w:szCs w:val="20"/>
      </w:rPr>
      <w:t>projekt</w:t>
    </w:r>
    <w:r w:rsidR="008F55F4">
      <w:rPr>
        <w:b w:val="0"/>
        <w:bCs w:val="0"/>
        <w:sz w:val="20"/>
        <w:szCs w:val="20"/>
      </w:rPr>
      <w:t>a „Par Rīgas Būvniecības vidusskolas likvidāciju</w:t>
    </w:r>
    <w:r w:rsidR="0061072D">
      <w:rPr>
        <w:b w:val="0"/>
        <w:bCs w:val="0"/>
        <w:sz w:val="20"/>
        <w:szCs w:val="20"/>
      </w:rPr>
      <w:t>” sākotnējās ietekmes novērtējuma ziņojums (anotācija)</w:t>
    </w:r>
  </w:p>
  <w:p w:rsidR="0061072D" w:rsidRPr="00C74EFE" w:rsidRDefault="0061072D" w:rsidP="00C74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93" w:rsidRDefault="00E20E93">
      <w:r>
        <w:separator/>
      </w:r>
    </w:p>
  </w:footnote>
  <w:footnote w:type="continuationSeparator" w:id="0">
    <w:p w:rsidR="00E20E93" w:rsidRDefault="00E2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7" w:rsidRDefault="00920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D" w:rsidRDefault="00E436B2" w:rsidP="00AE31DE">
    <w:pPr>
      <w:pStyle w:val="Header"/>
      <w:framePr w:wrap="auto" w:vAnchor="text" w:hAnchor="margin" w:xAlign="center" w:y="1"/>
      <w:rPr>
        <w:rStyle w:val="PageNumber"/>
      </w:rPr>
    </w:pPr>
    <w:r>
      <w:rPr>
        <w:rStyle w:val="PageNumber"/>
      </w:rPr>
      <w:fldChar w:fldCharType="begin"/>
    </w:r>
    <w:r w:rsidR="0061072D">
      <w:rPr>
        <w:rStyle w:val="PageNumber"/>
      </w:rPr>
      <w:instrText xml:space="preserve">PAGE  </w:instrText>
    </w:r>
    <w:r>
      <w:rPr>
        <w:rStyle w:val="PageNumber"/>
      </w:rPr>
      <w:fldChar w:fldCharType="separate"/>
    </w:r>
    <w:r w:rsidR="00920067">
      <w:rPr>
        <w:rStyle w:val="PageNumber"/>
        <w:noProof/>
      </w:rPr>
      <w:t>11</w:t>
    </w:r>
    <w:r>
      <w:rPr>
        <w:rStyle w:val="PageNumber"/>
      </w:rPr>
      <w:fldChar w:fldCharType="end"/>
    </w:r>
  </w:p>
  <w:p w:rsidR="0061072D" w:rsidRDefault="00610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7" w:rsidRDefault="00920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49F"/>
    <w:multiLevelType w:val="hybridMultilevel"/>
    <w:tmpl w:val="2C1A40D2"/>
    <w:lvl w:ilvl="0" w:tplc="86AA86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08609D5"/>
    <w:multiLevelType w:val="hybridMultilevel"/>
    <w:tmpl w:val="14E4EED2"/>
    <w:lvl w:ilvl="0" w:tplc="E8F6D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BB00934"/>
    <w:multiLevelType w:val="multilevel"/>
    <w:tmpl w:val="0A6C5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63B8D"/>
    <w:rsid w:val="000022A6"/>
    <w:rsid w:val="00013408"/>
    <w:rsid w:val="00015DDB"/>
    <w:rsid w:val="00022255"/>
    <w:rsid w:val="00022591"/>
    <w:rsid w:val="000245A1"/>
    <w:rsid w:val="00024D7E"/>
    <w:rsid w:val="00027452"/>
    <w:rsid w:val="0003000E"/>
    <w:rsid w:val="00033CCA"/>
    <w:rsid w:val="00034E21"/>
    <w:rsid w:val="000358E0"/>
    <w:rsid w:val="00035B0F"/>
    <w:rsid w:val="00036146"/>
    <w:rsid w:val="000375EE"/>
    <w:rsid w:val="00037792"/>
    <w:rsid w:val="00037D6F"/>
    <w:rsid w:val="000404FB"/>
    <w:rsid w:val="00044662"/>
    <w:rsid w:val="00045C2E"/>
    <w:rsid w:val="00045DC6"/>
    <w:rsid w:val="00047FF8"/>
    <w:rsid w:val="000501E1"/>
    <w:rsid w:val="00050DDA"/>
    <w:rsid w:val="00051D39"/>
    <w:rsid w:val="00052C07"/>
    <w:rsid w:val="00052C17"/>
    <w:rsid w:val="00055021"/>
    <w:rsid w:val="00060A04"/>
    <w:rsid w:val="00062635"/>
    <w:rsid w:val="000648AC"/>
    <w:rsid w:val="00064A8F"/>
    <w:rsid w:val="00064F5A"/>
    <w:rsid w:val="00071B75"/>
    <w:rsid w:val="00073F7B"/>
    <w:rsid w:val="000762C4"/>
    <w:rsid w:val="00076D8C"/>
    <w:rsid w:val="000778D6"/>
    <w:rsid w:val="00077F33"/>
    <w:rsid w:val="0008008A"/>
    <w:rsid w:val="00080ED5"/>
    <w:rsid w:val="00083A5D"/>
    <w:rsid w:val="00084001"/>
    <w:rsid w:val="00084A32"/>
    <w:rsid w:val="00085E04"/>
    <w:rsid w:val="00097B31"/>
    <w:rsid w:val="00097DCD"/>
    <w:rsid w:val="000A2C0F"/>
    <w:rsid w:val="000A30EE"/>
    <w:rsid w:val="000A3DCC"/>
    <w:rsid w:val="000A4219"/>
    <w:rsid w:val="000A4CB5"/>
    <w:rsid w:val="000B1439"/>
    <w:rsid w:val="000B5BAA"/>
    <w:rsid w:val="000B606A"/>
    <w:rsid w:val="000B6CD5"/>
    <w:rsid w:val="000B7515"/>
    <w:rsid w:val="000C0B2A"/>
    <w:rsid w:val="000C2660"/>
    <w:rsid w:val="000C5D43"/>
    <w:rsid w:val="000D0A24"/>
    <w:rsid w:val="000D0A4F"/>
    <w:rsid w:val="000D1F33"/>
    <w:rsid w:val="000D5891"/>
    <w:rsid w:val="000E0A4A"/>
    <w:rsid w:val="000E1362"/>
    <w:rsid w:val="000E22C3"/>
    <w:rsid w:val="000E3403"/>
    <w:rsid w:val="000E750A"/>
    <w:rsid w:val="000F4DC7"/>
    <w:rsid w:val="000F4E82"/>
    <w:rsid w:val="000F4F3B"/>
    <w:rsid w:val="001002D9"/>
    <w:rsid w:val="001015E2"/>
    <w:rsid w:val="001019E2"/>
    <w:rsid w:val="00105DF4"/>
    <w:rsid w:val="00107275"/>
    <w:rsid w:val="001104B0"/>
    <w:rsid w:val="00113067"/>
    <w:rsid w:val="00114907"/>
    <w:rsid w:val="00115F54"/>
    <w:rsid w:val="001169FB"/>
    <w:rsid w:val="00121ECC"/>
    <w:rsid w:val="00126AE4"/>
    <w:rsid w:val="001272BC"/>
    <w:rsid w:val="00131BAA"/>
    <w:rsid w:val="00131C30"/>
    <w:rsid w:val="001333C1"/>
    <w:rsid w:val="00133AB7"/>
    <w:rsid w:val="00133C20"/>
    <w:rsid w:val="001351C0"/>
    <w:rsid w:val="001356F7"/>
    <w:rsid w:val="00136B1B"/>
    <w:rsid w:val="00140530"/>
    <w:rsid w:val="00141A48"/>
    <w:rsid w:val="00142174"/>
    <w:rsid w:val="0014304D"/>
    <w:rsid w:val="0014348F"/>
    <w:rsid w:val="0014437E"/>
    <w:rsid w:val="001457FF"/>
    <w:rsid w:val="00146BEA"/>
    <w:rsid w:val="001471AC"/>
    <w:rsid w:val="0015018D"/>
    <w:rsid w:val="00151B9A"/>
    <w:rsid w:val="00151FE6"/>
    <w:rsid w:val="0015627C"/>
    <w:rsid w:val="00157767"/>
    <w:rsid w:val="001618D0"/>
    <w:rsid w:val="001623E4"/>
    <w:rsid w:val="00162C24"/>
    <w:rsid w:val="00164C30"/>
    <w:rsid w:val="00165463"/>
    <w:rsid w:val="00167959"/>
    <w:rsid w:val="00167F6F"/>
    <w:rsid w:val="00167FEA"/>
    <w:rsid w:val="001701C6"/>
    <w:rsid w:val="0017443A"/>
    <w:rsid w:val="00176350"/>
    <w:rsid w:val="00176FA9"/>
    <w:rsid w:val="00180095"/>
    <w:rsid w:val="00180B9D"/>
    <w:rsid w:val="00180C35"/>
    <w:rsid w:val="00180F48"/>
    <w:rsid w:val="001822F4"/>
    <w:rsid w:val="001829A7"/>
    <w:rsid w:val="001872B2"/>
    <w:rsid w:val="00192DD2"/>
    <w:rsid w:val="001934C4"/>
    <w:rsid w:val="00193B6A"/>
    <w:rsid w:val="001940BC"/>
    <w:rsid w:val="00194B84"/>
    <w:rsid w:val="001953CC"/>
    <w:rsid w:val="00195760"/>
    <w:rsid w:val="001959B2"/>
    <w:rsid w:val="001A150A"/>
    <w:rsid w:val="001A30BD"/>
    <w:rsid w:val="001A33C8"/>
    <w:rsid w:val="001A3B59"/>
    <w:rsid w:val="001A3B6B"/>
    <w:rsid w:val="001A52C7"/>
    <w:rsid w:val="001A5627"/>
    <w:rsid w:val="001B0A6B"/>
    <w:rsid w:val="001B0E32"/>
    <w:rsid w:val="001B2650"/>
    <w:rsid w:val="001B43B4"/>
    <w:rsid w:val="001B7468"/>
    <w:rsid w:val="001C1B5B"/>
    <w:rsid w:val="001C271C"/>
    <w:rsid w:val="001C664B"/>
    <w:rsid w:val="001D25B5"/>
    <w:rsid w:val="001D5A58"/>
    <w:rsid w:val="001E48B7"/>
    <w:rsid w:val="001E7335"/>
    <w:rsid w:val="001E7951"/>
    <w:rsid w:val="001F1691"/>
    <w:rsid w:val="001F1812"/>
    <w:rsid w:val="001F3339"/>
    <w:rsid w:val="001F60B8"/>
    <w:rsid w:val="00200733"/>
    <w:rsid w:val="002009F5"/>
    <w:rsid w:val="002016D8"/>
    <w:rsid w:val="00202387"/>
    <w:rsid w:val="00203D84"/>
    <w:rsid w:val="0020401D"/>
    <w:rsid w:val="0020492F"/>
    <w:rsid w:val="00207C35"/>
    <w:rsid w:val="002133BB"/>
    <w:rsid w:val="002156DB"/>
    <w:rsid w:val="00215FBF"/>
    <w:rsid w:val="002168D7"/>
    <w:rsid w:val="0022086A"/>
    <w:rsid w:val="00222931"/>
    <w:rsid w:val="00222A77"/>
    <w:rsid w:val="00223DC2"/>
    <w:rsid w:val="00224823"/>
    <w:rsid w:val="00227394"/>
    <w:rsid w:val="00234D9D"/>
    <w:rsid w:val="00242797"/>
    <w:rsid w:val="00242D10"/>
    <w:rsid w:val="0024348F"/>
    <w:rsid w:val="00243924"/>
    <w:rsid w:val="00243A9A"/>
    <w:rsid w:val="0024527B"/>
    <w:rsid w:val="002463A3"/>
    <w:rsid w:val="00247C64"/>
    <w:rsid w:val="00250A70"/>
    <w:rsid w:val="002515D7"/>
    <w:rsid w:val="0025245F"/>
    <w:rsid w:val="00253712"/>
    <w:rsid w:val="002539BA"/>
    <w:rsid w:val="00254323"/>
    <w:rsid w:val="00257426"/>
    <w:rsid w:val="00264095"/>
    <w:rsid w:val="00266345"/>
    <w:rsid w:val="002670B6"/>
    <w:rsid w:val="00267CF0"/>
    <w:rsid w:val="00267FB9"/>
    <w:rsid w:val="002710CB"/>
    <w:rsid w:val="00272A3E"/>
    <w:rsid w:val="00273320"/>
    <w:rsid w:val="0027350C"/>
    <w:rsid w:val="00273A65"/>
    <w:rsid w:val="00275D55"/>
    <w:rsid w:val="002805A3"/>
    <w:rsid w:val="002819C9"/>
    <w:rsid w:val="00281A33"/>
    <w:rsid w:val="002854E5"/>
    <w:rsid w:val="00287524"/>
    <w:rsid w:val="00290F20"/>
    <w:rsid w:val="0029116C"/>
    <w:rsid w:val="002924D8"/>
    <w:rsid w:val="002955F7"/>
    <w:rsid w:val="00295FA5"/>
    <w:rsid w:val="00297BFF"/>
    <w:rsid w:val="002A0AB8"/>
    <w:rsid w:val="002A0E8C"/>
    <w:rsid w:val="002A1D97"/>
    <w:rsid w:val="002A24C8"/>
    <w:rsid w:val="002A4DFD"/>
    <w:rsid w:val="002B0544"/>
    <w:rsid w:val="002B2A24"/>
    <w:rsid w:val="002B2ADE"/>
    <w:rsid w:val="002B3BC1"/>
    <w:rsid w:val="002B53DA"/>
    <w:rsid w:val="002B65F9"/>
    <w:rsid w:val="002B75D7"/>
    <w:rsid w:val="002B7F97"/>
    <w:rsid w:val="002C0005"/>
    <w:rsid w:val="002C0CB2"/>
    <w:rsid w:val="002C31B5"/>
    <w:rsid w:val="002D29CF"/>
    <w:rsid w:val="002D2BA5"/>
    <w:rsid w:val="002D38AA"/>
    <w:rsid w:val="002D55E2"/>
    <w:rsid w:val="002D5CF6"/>
    <w:rsid w:val="002D64D9"/>
    <w:rsid w:val="002E02B4"/>
    <w:rsid w:val="002E2055"/>
    <w:rsid w:val="002E252A"/>
    <w:rsid w:val="002E4CAD"/>
    <w:rsid w:val="002E5850"/>
    <w:rsid w:val="002E6BC8"/>
    <w:rsid w:val="002F0CC9"/>
    <w:rsid w:val="002F527D"/>
    <w:rsid w:val="002F58F6"/>
    <w:rsid w:val="002F6437"/>
    <w:rsid w:val="003004D4"/>
    <w:rsid w:val="00303205"/>
    <w:rsid w:val="00306BFE"/>
    <w:rsid w:val="00312682"/>
    <w:rsid w:val="003178F8"/>
    <w:rsid w:val="00317CD5"/>
    <w:rsid w:val="00320DEC"/>
    <w:rsid w:val="00323369"/>
    <w:rsid w:val="00323B3C"/>
    <w:rsid w:val="0032443A"/>
    <w:rsid w:val="00325C75"/>
    <w:rsid w:val="0032629D"/>
    <w:rsid w:val="0032708F"/>
    <w:rsid w:val="0032769F"/>
    <w:rsid w:val="003317AA"/>
    <w:rsid w:val="00331F13"/>
    <w:rsid w:val="00333B4D"/>
    <w:rsid w:val="003365B6"/>
    <w:rsid w:val="00340961"/>
    <w:rsid w:val="00340A6F"/>
    <w:rsid w:val="0034761D"/>
    <w:rsid w:val="003527DF"/>
    <w:rsid w:val="0036118B"/>
    <w:rsid w:val="00365127"/>
    <w:rsid w:val="00365AF8"/>
    <w:rsid w:val="00371526"/>
    <w:rsid w:val="003742DD"/>
    <w:rsid w:val="00374714"/>
    <w:rsid w:val="00374FAB"/>
    <w:rsid w:val="00377320"/>
    <w:rsid w:val="00377BA9"/>
    <w:rsid w:val="00381259"/>
    <w:rsid w:val="00383E2C"/>
    <w:rsid w:val="00384B3D"/>
    <w:rsid w:val="00384CD1"/>
    <w:rsid w:val="00384DDC"/>
    <w:rsid w:val="00384F7D"/>
    <w:rsid w:val="00385A6C"/>
    <w:rsid w:val="0038753E"/>
    <w:rsid w:val="00390EED"/>
    <w:rsid w:val="0039120B"/>
    <w:rsid w:val="00391B67"/>
    <w:rsid w:val="003935F9"/>
    <w:rsid w:val="003953E3"/>
    <w:rsid w:val="00396429"/>
    <w:rsid w:val="00397F48"/>
    <w:rsid w:val="003A085F"/>
    <w:rsid w:val="003A21CE"/>
    <w:rsid w:val="003A6806"/>
    <w:rsid w:val="003B07F2"/>
    <w:rsid w:val="003B0C0B"/>
    <w:rsid w:val="003B0E23"/>
    <w:rsid w:val="003B3331"/>
    <w:rsid w:val="003B3C1D"/>
    <w:rsid w:val="003B5C9D"/>
    <w:rsid w:val="003B670F"/>
    <w:rsid w:val="003B70D9"/>
    <w:rsid w:val="003C0B7B"/>
    <w:rsid w:val="003C2797"/>
    <w:rsid w:val="003C2EC7"/>
    <w:rsid w:val="003C44EA"/>
    <w:rsid w:val="003C6024"/>
    <w:rsid w:val="003C6197"/>
    <w:rsid w:val="003C6E0F"/>
    <w:rsid w:val="003C7A24"/>
    <w:rsid w:val="003C7EB3"/>
    <w:rsid w:val="003D05F1"/>
    <w:rsid w:val="003D11D0"/>
    <w:rsid w:val="003D14E6"/>
    <w:rsid w:val="003D2234"/>
    <w:rsid w:val="003D225D"/>
    <w:rsid w:val="003D2C30"/>
    <w:rsid w:val="003D330A"/>
    <w:rsid w:val="003D4006"/>
    <w:rsid w:val="003D6F90"/>
    <w:rsid w:val="003E467A"/>
    <w:rsid w:val="003E51D9"/>
    <w:rsid w:val="003E5C83"/>
    <w:rsid w:val="003F1216"/>
    <w:rsid w:val="003F1749"/>
    <w:rsid w:val="003F2A69"/>
    <w:rsid w:val="003F7221"/>
    <w:rsid w:val="003F7DAA"/>
    <w:rsid w:val="003F7DFB"/>
    <w:rsid w:val="00401003"/>
    <w:rsid w:val="004045C7"/>
    <w:rsid w:val="004137AF"/>
    <w:rsid w:val="00414391"/>
    <w:rsid w:val="00416CC6"/>
    <w:rsid w:val="00417226"/>
    <w:rsid w:val="00421D80"/>
    <w:rsid w:val="004235A8"/>
    <w:rsid w:val="004244FC"/>
    <w:rsid w:val="00431189"/>
    <w:rsid w:val="00431C6A"/>
    <w:rsid w:val="00431F91"/>
    <w:rsid w:val="00432658"/>
    <w:rsid w:val="004331AB"/>
    <w:rsid w:val="00435DBC"/>
    <w:rsid w:val="0043765A"/>
    <w:rsid w:val="004402D9"/>
    <w:rsid w:val="00440E59"/>
    <w:rsid w:val="0044232A"/>
    <w:rsid w:val="00442417"/>
    <w:rsid w:val="0044242B"/>
    <w:rsid w:val="00443DCF"/>
    <w:rsid w:val="00445166"/>
    <w:rsid w:val="0044792D"/>
    <w:rsid w:val="00450D5A"/>
    <w:rsid w:val="004523E0"/>
    <w:rsid w:val="0045369D"/>
    <w:rsid w:val="00453D64"/>
    <w:rsid w:val="00453F5E"/>
    <w:rsid w:val="00457A20"/>
    <w:rsid w:val="004602B3"/>
    <w:rsid w:val="004609E9"/>
    <w:rsid w:val="00461905"/>
    <w:rsid w:val="00462388"/>
    <w:rsid w:val="004629B8"/>
    <w:rsid w:val="004638B8"/>
    <w:rsid w:val="004647C4"/>
    <w:rsid w:val="00464E25"/>
    <w:rsid w:val="0046768D"/>
    <w:rsid w:val="00472DCC"/>
    <w:rsid w:val="004739B9"/>
    <w:rsid w:val="00474AEB"/>
    <w:rsid w:val="0047508C"/>
    <w:rsid w:val="0047750B"/>
    <w:rsid w:val="00483B27"/>
    <w:rsid w:val="00484DA4"/>
    <w:rsid w:val="004862EB"/>
    <w:rsid w:val="00490BC2"/>
    <w:rsid w:val="0049204D"/>
    <w:rsid w:val="004920BA"/>
    <w:rsid w:val="004A4278"/>
    <w:rsid w:val="004A4EFE"/>
    <w:rsid w:val="004A693D"/>
    <w:rsid w:val="004A7419"/>
    <w:rsid w:val="004A7C9E"/>
    <w:rsid w:val="004B0537"/>
    <w:rsid w:val="004B3A86"/>
    <w:rsid w:val="004B3F92"/>
    <w:rsid w:val="004B526B"/>
    <w:rsid w:val="004B5E13"/>
    <w:rsid w:val="004B6021"/>
    <w:rsid w:val="004C0D5D"/>
    <w:rsid w:val="004C1B82"/>
    <w:rsid w:val="004C62A7"/>
    <w:rsid w:val="004C65E2"/>
    <w:rsid w:val="004C74E3"/>
    <w:rsid w:val="004D0A49"/>
    <w:rsid w:val="004D185E"/>
    <w:rsid w:val="004D1B62"/>
    <w:rsid w:val="004D1D06"/>
    <w:rsid w:val="004D47C7"/>
    <w:rsid w:val="004D4FD4"/>
    <w:rsid w:val="004D6238"/>
    <w:rsid w:val="004D6EA2"/>
    <w:rsid w:val="004E2D82"/>
    <w:rsid w:val="004E31A0"/>
    <w:rsid w:val="004E322F"/>
    <w:rsid w:val="004E6064"/>
    <w:rsid w:val="004E62C3"/>
    <w:rsid w:val="004E6A5E"/>
    <w:rsid w:val="004F180F"/>
    <w:rsid w:val="004F2650"/>
    <w:rsid w:val="004F2CF0"/>
    <w:rsid w:val="004F305E"/>
    <w:rsid w:val="004F4276"/>
    <w:rsid w:val="004F78C8"/>
    <w:rsid w:val="00500A83"/>
    <w:rsid w:val="005017E9"/>
    <w:rsid w:val="005023C9"/>
    <w:rsid w:val="005166F1"/>
    <w:rsid w:val="00521703"/>
    <w:rsid w:val="00521FAE"/>
    <w:rsid w:val="00522ACA"/>
    <w:rsid w:val="005230AC"/>
    <w:rsid w:val="00523365"/>
    <w:rsid w:val="00524AD1"/>
    <w:rsid w:val="0052536C"/>
    <w:rsid w:val="00530D09"/>
    <w:rsid w:val="0053198A"/>
    <w:rsid w:val="005328C8"/>
    <w:rsid w:val="00537E2B"/>
    <w:rsid w:val="00544291"/>
    <w:rsid w:val="00546CAF"/>
    <w:rsid w:val="005478B1"/>
    <w:rsid w:val="00552FE6"/>
    <w:rsid w:val="00554B84"/>
    <w:rsid w:val="00560273"/>
    <w:rsid w:val="0056268B"/>
    <w:rsid w:val="005634DB"/>
    <w:rsid w:val="005643C3"/>
    <w:rsid w:val="00564524"/>
    <w:rsid w:val="00565507"/>
    <w:rsid w:val="005668C2"/>
    <w:rsid w:val="00567127"/>
    <w:rsid w:val="00567D51"/>
    <w:rsid w:val="005702A4"/>
    <w:rsid w:val="00572695"/>
    <w:rsid w:val="00572A33"/>
    <w:rsid w:val="00576A03"/>
    <w:rsid w:val="00580461"/>
    <w:rsid w:val="005804F2"/>
    <w:rsid w:val="00581108"/>
    <w:rsid w:val="005819BE"/>
    <w:rsid w:val="00582658"/>
    <w:rsid w:val="00590077"/>
    <w:rsid w:val="005908C8"/>
    <w:rsid w:val="005918D5"/>
    <w:rsid w:val="00591B07"/>
    <w:rsid w:val="00593741"/>
    <w:rsid w:val="00596595"/>
    <w:rsid w:val="005A6FC1"/>
    <w:rsid w:val="005A71D8"/>
    <w:rsid w:val="005B178E"/>
    <w:rsid w:val="005B249A"/>
    <w:rsid w:val="005B3815"/>
    <w:rsid w:val="005B3E84"/>
    <w:rsid w:val="005B3F82"/>
    <w:rsid w:val="005B445F"/>
    <w:rsid w:val="005B5267"/>
    <w:rsid w:val="005B5C7D"/>
    <w:rsid w:val="005B72D4"/>
    <w:rsid w:val="005B72EC"/>
    <w:rsid w:val="005C08BC"/>
    <w:rsid w:val="005C341F"/>
    <w:rsid w:val="005D64BF"/>
    <w:rsid w:val="005D7B87"/>
    <w:rsid w:val="005E006B"/>
    <w:rsid w:val="005E364B"/>
    <w:rsid w:val="005E5187"/>
    <w:rsid w:val="005E7FB7"/>
    <w:rsid w:val="005F1F25"/>
    <w:rsid w:val="005F2599"/>
    <w:rsid w:val="005F2E86"/>
    <w:rsid w:val="005F4C8D"/>
    <w:rsid w:val="005F6CBA"/>
    <w:rsid w:val="00606515"/>
    <w:rsid w:val="00607C2F"/>
    <w:rsid w:val="0061072D"/>
    <w:rsid w:val="00610D43"/>
    <w:rsid w:val="00611D67"/>
    <w:rsid w:val="0061373D"/>
    <w:rsid w:val="00614F27"/>
    <w:rsid w:val="0061577A"/>
    <w:rsid w:val="006158DC"/>
    <w:rsid w:val="00617FDA"/>
    <w:rsid w:val="00621722"/>
    <w:rsid w:val="00623981"/>
    <w:rsid w:val="00623EF1"/>
    <w:rsid w:val="00625D3C"/>
    <w:rsid w:val="00626ECB"/>
    <w:rsid w:val="006306AE"/>
    <w:rsid w:val="0063145B"/>
    <w:rsid w:val="00632420"/>
    <w:rsid w:val="00633F09"/>
    <w:rsid w:val="00635DBB"/>
    <w:rsid w:val="00636815"/>
    <w:rsid w:val="00641509"/>
    <w:rsid w:val="0064448A"/>
    <w:rsid w:val="00644DE0"/>
    <w:rsid w:val="00650EDD"/>
    <w:rsid w:val="00651946"/>
    <w:rsid w:val="00652F02"/>
    <w:rsid w:val="006534C7"/>
    <w:rsid w:val="0065374E"/>
    <w:rsid w:val="00654505"/>
    <w:rsid w:val="006550EF"/>
    <w:rsid w:val="0066199B"/>
    <w:rsid w:val="006646CC"/>
    <w:rsid w:val="00667BA1"/>
    <w:rsid w:val="00667F55"/>
    <w:rsid w:val="006730D0"/>
    <w:rsid w:val="00674113"/>
    <w:rsid w:val="0067666A"/>
    <w:rsid w:val="00676E72"/>
    <w:rsid w:val="00677EB5"/>
    <w:rsid w:val="0068090C"/>
    <w:rsid w:val="0068101E"/>
    <w:rsid w:val="00681DC4"/>
    <w:rsid w:val="00682748"/>
    <w:rsid w:val="006850FA"/>
    <w:rsid w:val="00685A1D"/>
    <w:rsid w:val="00687507"/>
    <w:rsid w:val="00691052"/>
    <w:rsid w:val="00691386"/>
    <w:rsid w:val="00693435"/>
    <w:rsid w:val="006954A7"/>
    <w:rsid w:val="00696522"/>
    <w:rsid w:val="00696E30"/>
    <w:rsid w:val="006A02BE"/>
    <w:rsid w:val="006A0915"/>
    <w:rsid w:val="006A1AF5"/>
    <w:rsid w:val="006A2178"/>
    <w:rsid w:val="006A4C06"/>
    <w:rsid w:val="006A6C52"/>
    <w:rsid w:val="006A6E70"/>
    <w:rsid w:val="006A783E"/>
    <w:rsid w:val="006B4116"/>
    <w:rsid w:val="006B4118"/>
    <w:rsid w:val="006B4850"/>
    <w:rsid w:val="006B4F6B"/>
    <w:rsid w:val="006B606A"/>
    <w:rsid w:val="006C0F2B"/>
    <w:rsid w:val="006C5232"/>
    <w:rsid w:val="006C5B85"/>
    <w:rsid w:val="006D0590"/>
    <w:rsid w:val="006D2742"/>
    <w:rsid w:val="006D2F6A"/>
    <w:rsid w:val="006D3069"/>
    <w:rsid w:val="006D3CCE"/>
    <w:rsid w:val="006D46DF"/>
    <w:rsid w:val="006D4938"/>
    <w:rsid w:val="006D52E1"/>
    <w:rsid w:val="006D5DC6"/>
    <w:rsid w:val="006D673D"/>
    <w:rsid w:val="006D6859"/>
    <w:rsid w:val="006D6CC7"/>
    <w:rsid w:val="006E51F6"/>
    <w:rsid w:val="006E68FE"/>
    <w:rsid w:val="006E7787"/>
    <w:rsid w:val="006F0E0A"/>
    <w:rsid w:val="006F1582"/>
    <w:rsid w:val="006F18BE"/>
    <w:rsid w:val="006F3B75"/>
    <w:rsid w:val="006F3BA4"/>
    <w:rsid w:val="006F3C3E"/>
    <w:rsid w:val="006F6766"/>
    <w:rsid w:val="00701F6A"/>
    <w:rsid w:val="00702D1E"/>
    <w:rsid w:val="00703BD4"/>
    <w:rsid w:val="007045F4"/>
    <w:rsid w:val="00704800"/>
    <w:rsid w:val="00706466"/>
    <w:rsid w:val="0070710C"/>
    <w:rsid w:val="0071061E"/>
    <w:rsid w:val="00711FB6"/>
    <w:rsid w:val="0071202C"/>
    <w:rsid w:val="0072078E"/>
    <w:rsid w:val="00721312"/>
    <w:rsid w:val="007219BE"/>
    <w:rsid w:val="00721C41"/>
    <w:rsid w:val="00721FD3"/>
    <w:rsid w:val="00722AC7"/>
    <w:rsid w:val="00723AA6"/>
    <w:rsid w:val="00724AB8"/>
    <w:rsid w:val="007260B8"/>
    <w:rsid w:val="0072721F"/>
    <w:rsid w:val="00727AC4"/>
    <w:rsid w:val="00730F59"/>
    <w:rsid w:val="00732085"/>
    <w:rsid w:val="00733918"/>
    <w:rsid w:val="00733B7C"/>
    <w:rsid w:val="00734635"/>
    <w:rsid w:val="00734684"/>
    <w:rsid w:val="0073624A"/>
    <w:rsid w:val="00736628"/>
    <w:rsid w:val="00740C3B"/>
    <w:rsid w:val="00741A5D"/>
    <w:rsid w:val="00742259"/>
    <w:rsid w:val="007466C7"/>
    <w:rsid w:val="00751B54"/>
    <w:rsid w:val="00754D7D"/>
    <w:rsid w:val="00755346"/>
    <w:rsid w:val="00756190"/>
    <w:rsid w:val="00756366"/>
    <w:rsid w:val="007605E8"/>
    <w:rsid w:val="00762359"/>
    <w:rsid w:val="007638AA"/>
    <w:rsid w:val="00766924"/>
    <w:rsid w:val="007677BB"/>
    <w:rsid w:val="00771571"/>
    <w:rsid w:val="007717F5"/>
    <w:rsid w:val="0077251C"/>
    <w:rsid w:val="007729DB"/>
    <w:rsid w:val="0077305B"/>
    <w:rsid w:val="00774310"/>
    <w:rsid w:val="00774CF7"/>
    <w:rsid w:val="00775677"/>
    <w:rsid w:val="00776EB0"/>
    <w:rsid w:val="007833A1"/>
    <w:rsid w:val="00784AB8"/>
    <w:rsid w:val="00787FF4"/>
    <w:rsid w:val="00792516"/>
    <w:rsid w:val="00793C9E"/>
    <w:rsid w:val="0079558B"/>
    <w:rsid w:val="00795ABC"/>
    <w:rsid w:val="00796A3B"/>
    <w:rsid w:val="007973A8"/>
    <w:rsid w:val="007977D8"/>
    <w:rsid w:val="007A0A6E"/>
    <w:rsid w:val="007A62C9"/>
    <w:rsid w:val="007A7F9D"/>
    <w:rsid w:val="007B08A2"/>
    <w:rsid w:val="007B50C0"/>
    <w:rsid w:val="007C02D5"/>
    <w:rsid w:val="007C0826"/>
    <w:rsid w:val="007C2939"/>
    <w:rsid w:val="007C368A"/>
    <w:rsid w:val="007C381A"/>
    <w:rsid w:val="007C3FE3"/>
    <w:rsid w:val="007D0005"/>
    <w:rsid w:val="007D0C10"/>
    <w:rsid w:val="007D18F3"/>
    <w:rsid w:val="007D36E9"/>
    <w:rsid w:val="007E0B70"/>
    <w:rsid w:val="007E0C21"/>
    <w:rsid w:val="007E3BEB"/>
    <w:rsid w:val="007E4700"/>
    <w:rsid w:val="007E4D1A"/>
    <w:rsid w:val="007E6288"/>
    <w:rsid w:val="007E680D"/>
    <w:rsid w:val="007F0563"/>
    <w:rsid w:val="007F2398"/>
    <w:rsid w:val="007F4EBA"/>
    <w:rsid w:val="007F64CE"/>
    <w:rsid w:val="008000CD"/>
    <w:rsid w:val="0080103A"/>
    <w:rsid w:val="008029EE"/>
    <w:rsid w:val="00803470"/>
    <w:rsid w:val="008037B5"/>
    <w:rsid w:val="00810A04"/>
    <w:rsid w:val="00811CD1"/>
    <w:rsid w:val="00812FF8"/>
    <w:rsid w:val="0081396A"/>
    <w:rsid w:val="00813A19"/>
    <w:rsid w:val="00815736"/>
    <w:rsid w:val="008178C1"/>
    <w:rsid w:val="00822172"/>
    <w:rsid w:val="008228BB"/>
    <w:rsid w:val="00823922"/>
    <w:rsid w:val="00823962"/>
    <w:rsid w:val="0082528B"/>
    <w:rsid w:val="0082639C"/>
    <w:rsid w:val="008266F7"/>
    <w:rsid w:val="008270BF"/>
    <w:rsid w:val="00827435"/>
    <w:rsid w:val="00827834"/>
    <w:rsid w:val="00827E6C"/>
    <w:rsid w:val="0083107D"/>
    <w:rsid w:val="00832F38"/>
    <w:rsid w:val="008343F9"/>
    <w:rsid w:val="008360DA"/>
    <w:rsid w:val="008425E2"/>
    <w:rsid w:val="00842709"/>
    <w:rsid w:val="00844106"/>
    <w:rsid w:val="00844AE0"/>
    <w:rsid w:val="00844E1B"/>
    <w:rsid w:val="00846BEA"/>
    <w:rsid w:val="008477D2"/>
    <w:rsid w:val="00850C91"/>
    <w:rsid w:val="00851654"/>
    <w:rsid w:val="00852B8A"/>
    <w:rsid w:val="00856CDB"/>
    <w:rsid w:val="00861A61"/>
    <w:rsid w:val="00877F67"/>
    <w:rsid w:val="00880FF8"/>
    <w:rsid w:val="00881D40"/>
    <w:rsid w:val="008825FB"/>
    <w:rsid w:val="00882974"/>
    <w:rsid w:val="008842A9"/>
    <w:rsid w:val="00884B68"/>
    <w:rsid w:val="008869B7"/>
    <w:rsid w:val="008874E3"/>
    <w:rsid w:val="00887985"/>
    <w:rsid w:val="008916CF"/>
    <w:rsid w:val="0089262D"/>
    <w:rsid w:val="00893C8C"/>
    <w:rsid w:val="0089449B"/>
    <w:rsid w:val="00895721"/>
    <w:rsid w:val="008969C1"/>
    <w:rsid w:val="008A0900"/>
    <w:rsid w:val="008A1B65"/>
    <w:rsid w:val="008A310B"/>
    <w:rsid w:val="008A4D25"/>
    <w:rsid w:val="008A59D8"/>
    <w:rsid w:val="008A68FE"/>
    <w:rsid w:val="008A7A70"/>
    <w:rsid w:val="008B1B7A"/>
    <w:rsid w:val="008B25FA"/>
    <w:rsid w:val="008B7678"/>
    <w:rsid w:val="008B7E37"/>
    <w:rsid w:val="008C1C41"/>
    <w:rsid w:val="008C2AB2"/>
    <w:rsid w:val="008C2D80"/>
    <w:rsid w:val="008C3717"/>
    <w:rsid w:val="008C5F18"/>
    <w:rsid w:val="008D27DD"/>
    <w:rsid w:val="008D3D4F"/>
    <w:rsid w:val="008D46A5"/>
    <w:rsid w:val="008E0F31"/>
    <w:rsid w:val="008E43DE"/>
    <w:rsid w:val="008E670F"/>
    <w:rsid w:val="008E6826"/>
    <w:rsid w:val="008E697A"/>
    <w:rsid w:val="008F0EC4"/>
    <w:rsid w:val="008F12A7"/>
    <w:rsid w:val="008F1432"/>
    <w:rsid w:val="008F1536"/>
    <w:rsid w:val="008F27FA"/>
    <w:rsid w:val="008F353B"/>
    <w:rsid w:val="008F4100"/>
    <w:rsid w:val="008F55F4"/>
    <w:rsid w:val="008F5C56"/>
    <w:rsid w:val="008F5DAA"/>
    <w:rsid w:val="00900C8F"/>
    <w:rsid w:val="00901583"/>
    <w:rsid w:val="00903981"/>
    <w:rsid w:val="00904F66"/>
    <w:rsid w:val="009055E8"/>
    <w:rsid w:val="00907C1C"/>
    <w:rsid w:val="00907D05"/>
    <w:rsid w:val="00907DDD"/>
    <w:rsid w:val="009101CF"/>
    <w:rsid w:val="0091183B"/>
    <w:rsid w:val="00911E9D"/>
    <w:rsid w:val="0091353A"/>
    <w:rsid w:val="00914179"/>
    <w:rsid w:val="00920067"/>
    <w:rsid w:val="009213BE"/>
    <w:rsid w:val="0092214D"/>
    <w:rsid w:val="00923D5A"/>
    <w:rsid w:val="009243A3"/>
    <w:rsid w:val="00925454"/>
    <w:rsid w:val="009274A9"/>
    <w:rsid w:val="009275A8"/>
    <w:rsid w:val="00930C16"/>
    <w:rsid w:val="00936A85"/>
    <w:rsid w:val="00940450"/>
    <w:rsid w:val="00941F50"/>
    <w:rsid w:val="009427D0"/>
    <w:rsid w:val="009433FA"/>
    <w:rsid w:val="00943768"/>
    <w:rsid w:val="00943B73"/>
    <w:rsid w:val="00945A43"/>
    <w:rsid w:val="009534C2"/>
    <w:rsid w:val="00953CB4"/>
    <w:rsid w:val="00954181"/>
    <w:rsid w:val="00955ADE"/>
    <w:rsid w:val="00957065"/>
    <w:rsid w:val="00966DD6"/>
    <w:rsid w:val="00970641"/>
    <w:rsid w:val="00971B8C"/>
    <w:rsid w:val="00976F5D"/>
    <w:rsid w:val="009826E0"/>
    <w:rsid w:val="009835AD"/>
    <w:rsid w:val="009852A4"/>
    <w:rsid w:val="00985835"/>
    <w:rsid w:val="009865D3"/>
    <w:rsid w:val="00987243"/>
    <w:rsid w:val="00987866"/>
    <w:rsid w:val="009878AE"/>
    <w:rsid w:val="00991224"/>
    <w:rsid w:val="009917D8"/>
    <w:rsid w:val="00991E6A"/>
    <w:rsid w:val="00992267"/>
    <w:rsid w:val="0099356B"/>
    <w:rsid w:val="009A02A5"/>
    <w:rsid w:val="009A0362"/>
    <w:rsid w:val="009A2E71"/>
    <w:rsid w:val="009B0694"/>
    <w:rsid w:val="009B19DF"/>
    <w:rsid w:val="009B5D9D"/>
    <w:rsid w:val="009C16B3"/>
    <w:rsid w:val="009C20A7"/>
    <w:rsid w:val="009C26EC"/>
    <w:rsid w:val="009C37E6"/>
    <w:rsid w:val="009C4C94"/>
    <w:rsid w:val="009C6005"/>
    <w:rsid w:val="009C61B9"/>
    <w:rsid w:val="009C68C7"/>
    <w:rsid w:val="009C6C29"/>
    <w:rsid w:val="009C7255"/>
    <w:rsid w:val="009C7A7B"/>
    <w:rsid w:val="009D119B"/>
    <w:rsid w:val="009D1533"/>
    <w:rsid w:val="009D2C32"/>
    <w:rsid w:val="009D2D71"/>
    <w:rsid w:val="009D3452"/>
    <w:rsid w:val="009D39AD"/>
    <w:rsid w:val="009D4C5A"/>
    <w:rsid w:val="009D5A67"/>
    <w:rsid w:val="009D650B"/>
    <w:rsid w:val="009D7778"/>
    <w:rsid w:val="009E72BA"/>
    <w:rsid w:val="009E738A"/>
    <w:rsid w:val="009F1647"/>
    <w:rsid w:val="009F22D3"/>
    <w:rsid w:val="009F315F"/>
    <w:rsid w:val="009F5F8B"/>
    <w:rsid w:val="009F61B8"/>
    <w:rsid w:val="009F64A6"/>
    <w:rsid w:val="009F76FE"/>
    <w:rsid w:val="009F77F8"/>
    <w:rsid w:val="00A02511"/>
    <w:rsid w:val="00A027F4"/>
    <w:rsid w:val="00A04413"/>
    <w:rsid w:val="00A04BDF"/>
    <w:rsid w:val="00A05BA0"/>
    <w:rsid w:val="00A124E7"/>
    <w:rsid w:val="00A15760"/>
    <w:rsid w:val="00A1696D"/>
    <w:rsid w:val="00A25A53"/>
    <w:rsid w:val="00A26DA7"/>
    <w:rsid w:val="00A2712C"/>
    <w:rsid w:val="00A3118E"/>
    <w:rsid w:val="00A3223D"/>
    <w:rsid w:val="00A406EA"/>
    <w:rsid w:val="00A4109B"/>
    <w:rsid w:val="00A41D62"/>
    <w:rsid w:val="00A43811"/>
    <w:rsid w:val="00A50674"/>
    <w:rsid w:val="00A510FA"/>
    <w:rsid w:val="00A51180"/>
    <w:rsid w:val="00A515BF"/>
    <w:rsid w:val="00A5407E"/>
    <w:rsid w:val="00A54CD2"/>
    <w:rsid w:val="00A56ED8"/>
    <w:rsid w:val="00A60AD5"/>
    <w:rsid w:val="00A614F9"/>
    <w:rsid w:val="00A6158E"/>
    <w:rsid w:val="00A64BD7"/>
    <w:rsid w:val="00A6689B"/>
    <w:rsid w:val="00A70910"/>
    <w:rsid w:val="00A710CD"/>
    <w:rsid w:val="00A71DA8"/>
    <w:rsid w:val="00A7377B"/>
    <w:rsid w:val="00A73E50"/>
    <w:rsid w:val="00A80910"/>
    <w:rsid w:val="00A80D9D"/>
    <w:rsid w:val="00A80DEA"/>
    <w:rsid w:val="00A819F5"/>
    <w:rsid w:val="00A84C55"/>
    <w:rsid w:val="00A876EB"/>
    <w:rsid w:val="00A926FD"/>
    <w:rsid w:val="00A9350C"/>
    <w:rsid w:val="00A940F7"/>
    <w:rsid w:val="00A94169"/>
    <w:rsid w:val="00A94EBB"/>
    <w:rsid w:val="00A954A9"/>
    <w:rsid w:val="00A976B7"/>
    <w:rsid w:val="00AA4AEA"/>
    <w:rsid w:val="00AB0A71"/>
    <w:rsid w:val="00AB42B6"/>
    <w:rsid w:val="00AB43B5"/>
    <w:rsid w:val="00AB4466"/>
    <w:rsid w:val="00AB5331"/>
    <w:rsid w:val="00AB55DD"/>
    <w:rsid w:val="00AB6555"/>
    <w:rsid w:val="00AC16E4"/>
    <w:rsid w:val="00AC2424"/>
    <w:rsid w:val="00AC3056"/>
    <w:rsid w:val="00AC7A4B"/>
    <w:rsid w:val="00AD3437"/>
    <w:rsid w:val="00AD65E9"/>
    <w:rsid w:val="00AD79DE"/>
    <w:rsid w:val="00AE0A83"/>
    <w:rsid w:val="00AE23B6"/>
    <w:rsid w:val="00AE2BFE"/>
    <w:rsid w:val="00AE2C10"/>
    <w:rsid w:val="00AE31DE"/>
    <w:rsid w:val="00AE4B2D"/>
    <w:rsid w:val="00AE4D7B"/>
    <w:rsid w:val="00AE6ACF"/>
    <w:rsid w:val="00AF3C86"/>
    <w:rsid w:val="00AF48CD"/>
    <w:rsid w:val="00AF54B1"/>
    <w:rsid w:val="00AF5EBB"/>
    <w:rsid w:val="00B0349F"/>
    <w:rsid w:val="00B0357E"/>
    <w:rsid w:val="00B049CA"/>
    <w:rsid w:val="00B04E8C"/>
    <w:rsid w:val="00B06BFC"/>
    <w:rsid w:val="00B07333"/>
    <w:rsid w:val="00B07F2C"/>
    <w:rsid w:val="00B11CC7"/>
    <w:rsid w:val="00B14C7A"/>
    <w:rsid w:val="00B2032D"/>
    <w:rsid w:val="00B215BD"/>
    <w:rsid w:val="00B222DF"/>
    <w:rsid w:val="00B25013"/>
    <w:rsid w:val="00B25E61"/>
    <w:rsid w:val="00B25F9A"/>
    <w:rsid w:val="00B26613"/>
    <w:rsid w:val="00B323C4"/>
    <w:rsid w:val="00B35C4E"/>
    <w:rsid w:val="00B36363"/>
    <w:rsid w:val="00B37C97"/>
    <w:rsid w:val="00B40613"/>
    <w:rsid w:val="00B43048"/>
    <w:rsid w:val="00B458BB"/>
    <w:rsid w:val="00B45FAB"/>
    <w:rsid w:val="00B469FD"/>
    <w:rsid w:val="00B4729F"/>
    <w:rsid w:val="00B52063"/>
    <w:rsid w:val="00B524E4"/>
    <w:rsid w:val="00B52842"/>
    <w:rsid w:val="00B52BE5"/>
    <w:rsid w:val="00B52EB5"/>
    <w:rsid w:val="00B54631"/>
    <w:rsid w:val="00B54C92"/>
    <w:rsid w:val="00B560A2"/>
    <w:rsid w:val="00B57127"/>
    <w:rsid w:val="00B60F3E"/>
    <w:rsid w:val="00B6399E"/>
    <w:rsid w:val="00B65EC8"/>
    <w:rsid w:val="00B66E39"/>
    <w:rsid w:val="00B66F2C"/>
    <w:rsid w:val="00B6716A"/>
    <w:rsid w:val="00B67757"/>
    <w:rsid w:val="00B67A47"/>
    <w:rsid w:val="00B7030D"/>
    <w:rsid w:val="00B71769"/>
    <w:rsid w:val="00B717D4"/>
    <w:rsid w:val="00B7233F"/>
    <w:rsid w:val="00B728E8"/>
    <w:rsid w:val="00B747ED"/>
    <w:rsid w:val="00B77674"/>
    <w:rsid w:val="00B80368"/>
    <w:rsid w:val="00B80FF0"/>
    <w:rsid w:val="00B8282B"/>
    <w:rsid w:val="00B84F31"/>
    <w:rsid w:val="00B863D3"/>
    <w:rsid w:val="00B864B6"/>
    <w:rsid w:val="00B87E04"/>
    <w:rsid w:val="00B91600"/>
    <w:rsid w:val="00B92CBF"/>
    <w:rsid w:val="00B92F36"/>
    <w:rsid w:val="00B95B1E"/>
    <w:rsid w:val="00B9607E"/>
    <w:rsid w:val="00B9651B"/>
    <w:rsid w:val="00BA1B02"/>
    <w:rsid w:val="00BA2ED0"/>
    <w:rsid w:val="00BB0CB6"/>
    <w:rsid w:val="00BB145E"/>
    <w:rsid w:val="00BB186C"/>
    <w:rsid w:val="00BB287E"/>
    <w:rsid w:val="00BB3872"/>
    <w:rsid w:val="00BB4752"/>
    <w:rsid w:val="00BB4B7E"/>
    <w:rsid w:val="00BB6362"/>
    <w:rsid w:val="00BB6EA5"/>
    <w:rsid w:val="00BB7BB7"/>
    <w:rsid w:val="00BC1832"/>
    <w:rsid w:val="00BC23EC"/>
    <w:rsid w:val="00BC52BE"/>
    <w:rsid w:val="00BC591E"/>
    <w:rsid w:val="00BC7519"/>
    <w:rsid w:val="00BC788A"/>
    <w:rsid w:val="00BC7AD1"/>
    <w:rsid w:val="00BC7F4A"/>
    <w:rsid w:val="00BD0125"/>
    <w:rsid w:val="00BD02B0"/>
    <w:rsid w:val="00BD14F8"/>
    <w:rsid w:val="00BD1C4C"/>
    <w:rsid w:val="00BD299A"/>
    <w:rsid w:val="00BD55FB"/>
    <w:rsid w:val="00BD69F0"/>
    <w:rsid w:val="00BE13FD"/>
    <w:rsid w:val="00BE1C81"/>
    <w:rsid w:val="00BE2C36"/>
    <w:rsid w:val="00BE4A25"/>
    <w:rsid w:val="00BE53D8"/>
    <w:rsid w:val="00BF041C"/>
    <w:rsid w:val="00BF42E8"/>
    <w:rsid w:val="00BF4DAC"/>
    <w:rsid w:val="00BF6427"/>
    <w:rsid w:val="00C0213F"/>
    <w:rsid w:val="00C0520B"/>
    <w:rsid w:val="00C10BAF"/>
    <w:rsid w:val="00C11D5F"/>
    <w:rsid w:val="00C14DA6"/>
    <w:rsid w:val="00C15CFE"/>
    <w:rsid w:val="00C17819"/>
    <w:rsid w:val="00C17C4E"/>
    <w:rsid w:val="00C20412"/>
    <w:rsid w:val="00C21961"/>
    <w:rsid w:val="00C2197E"/>
    <w:rsid w:val="00C223F8"/>
    <w:rsid w:val="00C257EE"/>
    <w:rsid w:val="00C25E65"/>
    <w:rsid w:val="00C34481"/>
    <w:rsid w:val="00C34655"/>
    <w:rsid w:val="00C42CF4"/>
    <w:rsid w:val="00C43268"/>
    <w:rsid w:val="00C44F93"/>
    <w:rsid w:val="00C45FDD"/>
    <w:rsid w:val="00C47873"/>
    <w:rsid w:val="00C53732"/>
    <w:rsid w:val="00C53896"/>
    <w:rsid w:val="00C54ACB"/>
    <w:rsid w:val="00C6418B"/>
    <w:rsid w:val="00C64D61"/>
    <w:rsid w:val="00C66758"/>
    <w:rsid w:val="00C66D7C"/>
    <w:rsid w:val="00C67CE6"/>
    <w:rsid w:val="00C72003"/>
    <w:rsid w:val="00C733AC"/>
    <w:rsid w:val="00C736AF"/>
    <w:rsid w:val="00C742CD"/>
    <w:rsid w:val="00C74BB0"/>
    <w:rsid w:val="00C74EFE"/>
    <w:rsid w:val="00C753D5"/>
    <w:rsid w:val="00C7569A"/>
    <w:rsid w:val="00C77CE2"/>
    <w:rsid w:val="00C77E1A"/>
    <w:rsid w:val="00C80ABF"/>
    <w:rsid w:val="00C811EF"/>
    <w:rsid w:val="00C8418F"/>
    <w:rsid w:val="00C84C0F"/>
    <w:rsid w:val="00C84CDE"/>
    <w:rsid w:val="00C8516D"/>
    <w:rsid w:val="00C87BF0"/>
    <w:rsid w:val="00C902A1"/>
    <w:rsid w:val="00C9230B"/>
    <w:rsid w:val="00C92397"/>
    <w:rsid w:val="00C92CB2"/>
    <w:rsid w:val="00C932D7"/>
    <w:rsid w:val="00C95138"/>
    <w:rsid w:val="00C9750E"/>
    <w:rsid w:val="00CB2A87"/>
    <w:rsid w:val="00CB315A"/>
    <w:rsid w:val="00CB36F6"/>
    <w:rsid w:val="00CB40A0"/>
    <w:rsid w:val="00CB4B48"/>
    <w:rsid w:val="00CB5FF8"/>
    <w:rsid w:val="00CB6869"/>
    <w:rsid w:val="00CC1241"/>
    <w:rsid w:val="00CC2907"/>
    <w:rsid w:val="00CC322F"/>
    <w:rsid w:val="00CC542F"/>
    <w:rsid w:val="00CC5847"/>
    <w:rsid w:val="00CC5FB5"/>
    <w:rsid w:val="00CC6385"/>
    <w:rsid w:val="00CC70A5"/>
    <w:rsid w:val="00CD2974"/>
    <w:rsid w:val="00CD3C84"/>
    <w:rsid w:val="00CD74BF"/>
    <w:rsid w:val="00CE1D45"/>
    <w:rsid w:val="00CE45F2"/>
    <w:rsid w:val="00CE47A5"/>
    <w:rsid w:val="00CE4DA8"/>
    <w:rsid w:val="00CE6036"/>
    <w:rsid w:val="00CE6590"/>
    <w:rsid w:val="00CE7604"/>
    <w:rsid w:val="00CE7D6D"/>
    <w:rsid w:val="00CF057D"/>
    <w:rsid w:val="00CF137C"/>
    <w:rsid w:val="00CF184F"/>
    <w:rsid w:val="00CF1DA1"/>
    <w:rsid w:val="00CF1DAB"/>
    <w:rsid w:val="00CF3203"/>
    <w:rsid w:val="00CF331E"/>
    <w:rsid w:val="00CF3982"/>
    <w:rsid w:val="00CF4F9D"/>
    <w:rsid w:val="00CF5235"/>
    <w:rsid w:val="00CF5B58"/>
    <w:rsid w:val="00CF6A40"/>
    <w:rsid w:val="00D01E39"/>
    <w:rsid w:val="00D02BEC"/>
    <w:rsid w:val="00D05282"/>
    <w:rsid w:val="00D1044D"/>
    <w:rsid w:val="00D10A88"/>
    <w:rsid w:val="00D11FAF"/>
    <w:rsid w:val="00D127F2"/>
    <w:rsid w:val="00D1360A"/>
    <w:rsid w:val="00D203A5"/>
    <w:rsid w:val="00D253CA"/>
    <w:rsid w:val="00D25DD9"/>
    <w:rsid w:val="00D25FB1"/>
    <w:rsid w:val="00D2667D"/>
    <w:rsid w:val="00D301AC"/>
    <w:rsid w:val="00D30A0E"/>
    <w:rsid w:val="00D311F0"/>
    <w:rsid w:val="00D3335E"/>
    <w:rsid w:val="00D34504"/>
    <w:rsid w:val="00D40128"/>
    <w:rsid w:val="00D40F63"/>
    <w:rsid w:val="00D413CF"/>
    <w:rsid w:val="00D42658"/>
    <w:rsid w:val="00D505E2"/>
    <w:rsid w:val="00D510C0"/>
    <w:rsid w:val="00D5203B"/>
    <w:rsid w:val="00D55C47"/>
    <w:rsid w:val="00D56119"/>
    <w:rsid w:val="00D56997"/>
    <w:rsid w:val="00D6145A"/>
    <w:rsid w:val="00D62D7D"/>
    <w:rsid w:val="00D64594"/>
    <w:rsid w:val="00D66673"/>
    <w:rsid w:val="00D70F25"/>
    <w:rsid w:val="00D72F92"/>
    <w:rsid w:val="00D752DB"/>
    <w:rsid w:val="00D755EB"/>
    <w:rsid w:val="00D75802"/>
    <w:rsid w:val="00D76BA0"/>
    <w:rsid w:val="00D76EF1"/>
    <w:rsid w:val="00D81515"/>
    <w:rsid w:val="00D83729"/>
    <w:rsid w:val="00D86EAF"/>
    <w:rsid w:val="00D90441"/>
    <w:rsid w:val="00D91079"/>
    <w:rsid w:val="00D927A8"/>
    <w:rsid w:val="00D92B8A"/>
    <w:rsid w:val="00D931F7"/>
    <w:rsid w:val="00D93B9D"/>
    <w:rsid w:val="00D951B9"/>
    <w:rsid w:val="00DA2213"/>
    <w:rsid w:val="00DA25A0"/>
    <w:rsid w:val="00DA55A9"/>
    <w:rsid w:val="00DA7B4D"/>
    <w:rsid w:val="00DB104C"/>
    <w:rsid w:val="00DB1292"/>
    <w:rsid w:val="00DB3200"/>
    <w:rsid w:val="00DB6C22"/>
    <w:rsid w:val="00DB7749"/>
    <w:rsid w:val="00DC2068"/>
    <w:rsid w:val="00DC394E"/>
    <w:rsid w:val="00DC3D9D"/>
    <w:rsid w:val="00DC5282"/>
    <w:rsid w:val="00DC5B4B"/>
    <w:rsid w:val="00DC67D9"/>
    <w:rsid w:val="00DD19B5"/>
    <w:rsid w:val="00DD3B5F"/>
    <w:rsid w:val="00DD42E1"/>
    <w:rsid w:val="00DD4AF2"/>
    <w:rsid w:val="00DD51FE"/>
    <w:rsid w:val="00DD76E8"/>
    <w:rsid w:val="00DE4F93"/>
    <w:rsid w:val="00DE5652"/>
    <w:rsid w:val="00DE5B55"/>
    <w:rsid w:val="00DE62BB"/>
    <w:rsid w:val="00DE6857"/>
    <w:rsid w:val="00DF12E1"/>
    <w:rsid w:val="00DF32DD"/>
    <w:rsid w:val="00DF350B"/>
    <w:rsid w:val="00DF4B9F"/>
    <w:rsid w:val="00DF6B8D"/>
    <w:rsid w:val="00E02D34"/>
    <w:rsid w:val="00E04EE2"/>
    <w:rsid w:val="00E07FB8"/>
    <w:rsid w:val="00E11C34"/>
    <w:rsid w:val="00E12CEA"/>
    <w:rsid w:val="00E13D09"/>
    <w:rsid w:val="00E15095"/>
    <w:rsid w:val="00E173F4"/>
    <w:rsid w:val="00E1756A"/>
    <w:rsid w:val="00E17F6B"/>
    <w:rsid w:val="00E20E93"/>
    <w:rsid w:val="00E22E5E"/>
    <w:rsid w:val="00E23686"/>
    <w:rsid w:val="00E246BE"/>
    <w:rsid w:val="00E26889"/>
    <w:rsid w:val="00E277EB"/>
    <w:rsid w:val="00E3040C"/>
    <w:rsid w:val="00E32DA0"/>
    <w:rsid w:val="00E33F8A"/>
    <w:rsid w:val="00E34EB2"/>
    <w:rsid w:val="00E358AC"/>
    <w:rsid w:val="00E35BF7"/>
    <w:rsid w:val="00E406AB"/>
    <w:rsid w:val="00E40772"/>
    <w:rsid w:val="00E40E87"/>
    <w:rsid w:val="00E4325E"/>
    <w:rsid w:val="00E436B2"/>
    <w:rsid w:val="00E47A08"/>
    <w:rsid w:val="00E52957"/>
    <w:rsid w:val="00E540AC"/>
    <w:rsid w:val="00E565FB"/>
    <w:rsid w:val="00E56DEA"/>
    <w:rsid w:val="00E5758E"/>
    <w:rsid w:val="00E576D7"/>
    <w:rsid w:val="00E57B64"/>
    <w:rsid w:val="00E618ED"/>
    <w:rsid w:val="00E62577"/>
    <w:rsid w:val="00E62666"/>
    <w:rsid w:val="00E62DC6"/>
    <w:rsid w:val="00E65518"/>
    <w:rsid w:val="00E65DA6"/>
    <w:rsid w:val="00E7099E"/>
    <w:rsid w:val="00E715F3"/>
    <w:rsid w:val="00E72FF1"/>
    <w:rsid w:val="00E74A57"/>
    <w:rsid w:val="00E766CA"/>
    <w:rsid w:val="00E773AF"/>
    <w:rsid w:val="00E80DDC"/>
    <w:rsid w:val="00E8250E"/>
    <w:rsid w:val="00E90AA9"/>
    <w:rsid w:val="00E92628"/>
    <w:rsid w:val="00E92B4F"/>
    <w:rsid w:val="00E94B5C"/>
    <w:rsid w:val="00E9602A"/>
    <w:rsid w:val="00E96AE4"/>
    <w:rsid w:val="00E9738E"/>
    <w:rsid w:val="00EA0ECD"/>
    <w:rsid w:val="00EA22C7"/>
    <w:rsid w:val="00EA277C"/>
    <w:rsid w:val="00EA2BFD"/>
    <w:rsid w:val="00EA354D"/>
    <w:rsid w:val="00EA3D4D"/>
    <w:rsid w:val="00EA60A3"/>
    <w:rsid w:val="00EB1C38"/>
    <w:rsid w:val="00EB2952"/>
    <w:rsid w:val="00EB450A"/>
    <w:rsid w:val="00EB530C"/>
    <w:rsid w:val="00EB5B17"/>
    <w:rsid w:val="00EB7B81"/>
    <w:rsid w:val="00EC078F"/>
    <w:rsid w:val="00EC24E4"/>
    <w:rsid w:val="00EC76A1"/>
    <w:rsid w:val="00EC7D1E"/>
    <w:rsid w:val="00EC7EE5"/>
    <w:rsid w:val="00ED04CC"/>
    <w:rsid w:val="00ED1E2E"/>
    <w:rsid w:val="00ED231D"/>
    <w:rsid w:val="00ED2391"/>
    <w:rsid w:val="00ED2F5B"/>
    <w:rsid w:val="00ED3624"/>
    <w:rsid w:val="00ED42F6"/>
    <w:rsid w:val="00ED6115"/>
    <w:rsid w:val="00ED65FC"/>
    <w:rsid w:val="00ED66A5"/>
    <w:rsid w:val="00ED66C3"/>
    <w:rsid w:val="00EE0DC6"/>
    <w:rsid w:val="00EE1110"/>
    <w:rsid w:val="00EE1A58"/>
    <w:rsid w:val="00EE5304"/>
    <w:rsid w:val="00EE54E2"/>
    <w:rsid w:val="00EE7841"/>
    <w:rsid w:val="00EF068C"/>
    <w:rsid w:val="00EF1660"/>
    <w:rsid w:val="00EF1A2D"/>
    <w:rsid w:val="00EF344D"/>
    <w:rsid w:val="00EF40E1"/>
    <w:rsid w:val="00EF56ED"/>
    <w:rsid w:val="00F0163B"/>
    <w:rsid w:val="00F01718"/>
    <w:rsid w:val="00F0180F"/>
    <w:rsid w:val="00F01A62"/>
    <w:rsid w:val="00F0251E"/>
    <w:rsid w:val="00F02EF9"/>
    <w:rsid w:val="00F045B0"/>
    <w:rsid w:val="00F07524"/>
    <w:rsid w:val="00F1324C"/>
    <w:rsid w:val="00F150FE"/>
    <w:rsid w:val="00F176F3"/>
    <w:rsid w:val="00F17E58"/>
    <w:rsid w:val="00F208DC"/>
    <w:rsid w:val="00F20ACE"/>
    <w:rsid w:val="00F22B99"/>
    <w:rsid w:val="00F25875"/>
    <w:rsid w:val="00F276E3"/>
    <w:rsid w:val="00F27E6E"/>
    <w:rsid w:val="00F3042C"/>
    <w:rsid w:val="00F306F6"/>
    <w:rsid w:val="00F32463"/>
    <w:rsid w:val="00F3294A"/>
    <w:rsid w:val="00F33051"/>
    <w:rsid w:val="00F33773"/>
    <w:rsid w:val="00F351DA"/>
    <w:rsid w:val="00F35724"/>
    <w:rsid w:val="00F35AC9"/>
    <w:rsid w:val="00F371AE"/>
    <w:rsid w:val="00F378C6"/>
    <w:rsid w:val="00F4077C"/>
    <w:rsid w:val="00F42197"/>
    <w:rsid w:val="00F4267D"/>
    <w:rsid w:val="00F43512"/>
    <w:rsid w:val="00F45865"/>
    <w:rsid w:val="00F476DB"/>
    <w:rsid w:val="00F50003"/>
    <w:rsid w:val="00F52173"/>
    <w:rsid w:val="00F52DC8"/>
    <w:rsid w:val="00F54225"/>
    <w:rsid w:val="00F5475E"/>
    <w:rsid w:val="00F55AF0"/>
    <w:rsid w:val="00F56D4C"/>
    <w:rsid w:val="00F574B5"/>
    <w:rsid w:val="00F61352"/>
    <w:rsid w:val="00F62473"/>
    <w:rsid w:val="00F63B8D"/>
    <w:rsid w:val="00F642F7"/>
    <w:rsid w:val="00F67733"/>
    <w:rsid w:val="00F7264C"/>
    <w:rsid w:val="00F76277"/>
    <w:rsid w:val="00F767F6"/>
    <w:rsid w:val="00F80218"/>
    <w:rsid w:val="00F817AD"/>
    <w:rsid w:val="00F822FD"/>
    <w:rsid w:val="00F823BA"/>
    <w:rsid w:val="00F83F11"/>
    <w:rsid w:val="00F842F6"/>
    <w:rsid w:val="00F86E2B"/>
    <w:rsid w:val="00F90F54"/>
    <w:rsid w:val="00F913DA"/>
    <w:rsid w:val="00F939CC"/>
    <w:rsid w:val="00F93B8D"/>
    <w:rsid w:val="00F94C6D"/>
    <w:rsid w:val="00F97900"/>
    <w:rsid w:val="00F9794E"/>
    <w:rsid w:val="00FA1889"/>
    <w:rsid w:val="00FA2102"/>
    <w:rsid w:val="00FA599F"/>
    <w:rsid w:val="00FA7212"/>
    <w:rsid w:val="00FB03A2"/>
    <w:rsid w:val="00FB0643"/>
    <w:rsid w:val="00FB0A87"/>
    <w:rsid w:val="00FB1753"/>
    <w:rsid w:val="00FB1E52"/>
    <w:rsid w:val="00FB49F6"/>
    <w:rsid w:val="00FB615B"/>
    <w:rsid w:val="00FB7B0D"/>
    <w:rsid w:val="00FC2E92"/>
    <w:rsid w:val="00FC3974"/>
    <w:rsid w:val="00FC4A17"/>
    <w:rsid w:val="00FC5258"/>
    <w:rsid w:val="00FC5B5A"/>
    <w:rsid w:val="00FC6E8F"/>
    <w:rsid w:val="00FC7A6C"/>
    <w:rsid w:val="00FD1653"/>
    <w:rsid w:val="00FD28DB"/>
    <w:rsid w:val="00FD340B"/>
    <w:rsid w:val="00FD5680"/>
    <w:rsid w:val="00FD6099"/>
    <w:rsid w:val="00FD72A1"/>
    <w:rsid w:val="00FD7AB4"/>
    <w:rsid w:val="00FE1F5F"/>
    <w:rsid w:val="00FE28A9"/>
    <w:rsid w:val="00FE3F99"/>
    <w:rsid w:val="00FE5F3F"/>
    <w:rsid w:val="00FE7F98"/>
    <w:rsid w:val="00FF00E3"/>
    <w:rsid w:val="00FF169B"/>
    <w:rsid w:val="00FF21C9"/>
    <w:rsid w:val="00FF220F"/>
    <w:rsid w:val="00FF2CC1"/>
    <w:rsid w:val="00FF68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basedOn w:val="DefaultParagraphFont"/>
    <w:link w:val="Header"/>
    <w:rsid w:val="00F63B8D"/>
    <w:rPr>
      <w:rFonts w:ascii="Times New Roman" w:eastAsia="Calibri" w:hAnsi="Times New Roman" w:cs="Times New Roman"/>
      <w:sz w:val="24"/>
      <w:szCs w:val="24"/>
      <w:lang w:eastAsia="lv-LV"/>
    </w:rPr>
  </w:style>
  <w:style w:type="character" w:styleId="PageNumber">
    <w:name w:val="page number"/>
    <w:basedOn w:val="DefaultParagraphFont"/>
    <w:rsid w:val="00F63B8D"/>
    <w:rPr>
      <w:rFonts w:cs="Times New Roman"/>
    </w:rPr>
  </w:style>
  <w:style w:type="character" w:styleId="Hyperlink">
    <w:name w:val="Hyperlink"/>
    <w:basedOn w:val="DefaultParagraphFont"/>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nhideWhenUsed/>
    <w:rsid w:val="00D253CA"/>
    <w:pPr>
      <w:tabs>
        <w:tab w:val="center" w:pos="4153"/>
        <w:tab w:val="right" w:pos="8306"/>
      </w:tabs>
    </w:pPr>
  </w:style>
  <w:style w:type="character" w:customStyle="1" w:styleId="FooterChar">
    <w:name w:val="Footer Char"/>
    <w:basedOn w:val="DefaultParagraphFont"/>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rsid w:val="00774310"/>
    <w:pPr>
      <w:spacing w:after="120"/>
    </w:pPr>
  </w:style>
  <w:style w:type="paragraph" w:customStyle="1" w:styleId="1">
    <w:name w:val="1"/>
    <w:basedOn w:val="Normal"/>
    <w:rsid w:val="00774310"/>
    <w:pPr>
      <w:widowControl w:val="0"/>
      <w:adjustRightInd w:val="0"/>
      <w:spacing w:after="160" w:line="240" w:lineRule="exact"/>
      <w:jc w:val="both"/>
    </w:pPr>
    <w:rPr>
      <w:rFonts w:ascii="Tahoma" w:eastAsia="Times New Roman" w:hAnsi="Tahoma"/>
      <w:sz w:val="20"/>
      <w:szCs w:val="20"/>
      <w:lang w:val="en-US" w:eastAsia="en-US"/>
    </w:rPr>
  </w:style>
  <w:style w:type="character" w:styleId="CommentReference">
    <w:name w:val="annotation reference"/>
    <w:basedOn w:val="DefaultParagraphFont"/>
    <w:uiPriority w:val="99"/>
    <w:semiHidden/>
    <w:unhideWhenUsed/>
    <w:rsid w:val="00C20412"/>
    <w:rPr>
      <w:sz w:val="16"/>
      <w:szCs w:val="16"/>
    </w:rPr>
  </w:style>
  <w:style w:type="paragraph" w:styleId="CommentText">
    <w:name w:val="annotation text"/>
    <w:basedOn w:val="Normal"/>
    <w:link w:val="CommentTextChar"/>
    <w:uiPriority w:val="99"/>
    <w:semiHidden/>
    <w:unhideWhenUsed/>
    <w:rsid w:val="00C20412"/>
    <w:rPr>
      <w:sz w:val="20"/>
      <w:szCs w:val="20"/>
    </w:rPr>
  </w:style>
  <w:style w:type="character" w:customStyle="1" w:styleId="CommentTextChar">
    <w:name w:val="Comment Text Char"/>
    <w:basedOn w:val="DefaultParagraphFont"/>
    <w:link w:val="CommentText"/>
    <w:uiPriority w:val="99"/>
    <w:semiHidden/>
    <w:rsid w:val="00C2041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20412"/>
    <w:rPr>
      <w:b/>
      <w:bCs/>
    </w:rPr>
  </w:style>
  <w:style w:type="character" w:customStyle="1" w:styleId="CommentSubjectChar">
    <w:name w:val="Comment Subject Char"/>
    <w:basedOn w:val="CommentTextChar"/>
    <w:link w:val="CommentSubject"/>
    <w:uiPriority w:val="99"/>
    <w:semiHidden/>
    <w:rsid w:val="00C20412"/>
    <w:rPr>
      <w:b/>
      <w:bCs/>
    </w:rPr>
  </w:style>
  <w:style w:type="paragraph" w:styleId="BalloonText">
    <w:name w:val="Balloon Text"/>
    <w:basedOn w:val="Normal"/>
    <w:link w:val="BalloonTextChar"/>
    <w:uiPriority w:val="99"/>
    <w:semiHidden/>
    <w:unhideWhenUsed/>
    <w:rsid w:val="00C20412"/>
    <w:rPr>
      <w:rFonts w:ascii="Tahoma" w:hAnsi="Tahoma" w:cs="Tahoma"/>
      <w:sz w:val="16"/>
      <w:szCs w:val="16"/>
    </w:rPr>
  </w:style>
  <w:style w:type="character" w:customStyle="1" w:styleId="BalloonTextChar">
    <w:name w:val="Balloon Text Char"/>
    <w:basedOn w:val="DefaultParagraphFont"/>
    <w:link w:val="BalloonText"/>
    <w:uiPriority w:val="99"/>
    <w:semiHidden/>
    <w:rsid w:val="00C20412"/>
    <w:rPr>
      <w:rFonts w:ascii="Tahoma" w:hAnsi="Tahoma" w:cs="Tahoma"/>
      <w:sz w:val="16"/>
      <w:szCs w:val="16"/>
    </w:rPr>
  </w:style>
  <w:style w:type="paragraph" w:styleId="NoSpacing">
    <w:name w:val="No Spacing"/>
    <w:uiPriority w:val="1"/>
    <w:qFormat/>
    <w:rsid w:val="000E0A4A"/>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20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9331E-3CB5-4F99-A12C-838AFA96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14881</Words>
  <Characters>8483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rīkojuma projektu „Par Apguldes Profesionālās vidusskolas reorganizāciju” sākotnējās ietekmes novērtējuma ziņojums (anotācija)</vt:lpstr>
    </vt:vector>
  </TitlesOfParts>
  <Manager>Jānis Gaigals</Manager>
  <Company>Izglītības un zinātnes ministrija</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Apguldes Profesionālās vidusskolas reorganizāciju” sākotnējās ietekmes novērtējuma ziņojums (anotācija)</dc:title>
  <dc:subject>Anotācija</dc:subject>
  <dc:creator>Dzintra Gorbunova</dc:creator>
  <cp:keywords>Izglītības un zinātnes ministrija</cp:keywords>
  <dc:description>dzintra.gorbunova@izm.gov.lv
67047855</dc:description>
  <cp:lastModifiedBy>dgorbunova</cp:lastModifiedBy>
  <cp:revision>11</cp:revision>
  <cp:lastPrinted>2013-09-05T05:56:00Z</cp:lastPrinted>
  <dcterms:created xsi:type="dcterms:W3CDTF">2013-09-02T05:59:00Z</dcterms:created>
  <dcterms:modified xsi:type="dcterms:W3CDTF">2013-09-05T05:59:00Z</dcterms:modified>
  <cp:category/>
</cp:coreProperties>
</file>