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B1" w:rsidRPr="000A02D6" w:rsidRDefault="00D85DB1" w:rsidP="00C438B9">
      <w:pPr>
        <w:pStyle w:val="naisc"/>
        <w:spacing w:before="0" w:after="0"/>
        <w:rPr>
          <w:b/>
          <w:bCs/>
          <w:sz w:val="24"/>
          <w:szCs w:val="24"/>
        </w:rPr>
      </w:pPr>
      <w:r w:rsidRPr="000A02D6">
        <w:rPr>
          <w:b/>
          <w:bCs/>
          <w:sz w:val="24"/>
          <w:szCs w:val="24"/>
        </w:rPr>
        <w:t xml:space="preserve">Ministru kabineta noteikumu projekta </w:t>
      </w:r>
    </w:p>
    <w:p w:rsidR="00D85DB1" w:rsidRDefault="00D85DB1" w:rsidP="00F3343F">
      <w:pPr>
        <w:pStyle w:val="NormalWeb"/>
        <w:spacing w:before="0" w:beforeAutospacing="0" w:after="0" w:afterAutospacing="0"/>
        <w:jc w:val="center"/>
        <w:rPr>
          <w:rFonts w:ascii="Times New Roman" w:hAnsi="Times New Roman" w:cs="Times New Roman"/>
          <w:b/>
          <w:bCs/>
          <w:sz w:val="24"/>
          <w:szCs w:val="24"/>
        </w:rPr>
      </w:pPr>
      <w:r w:rsidRPr="000A02D6">
        <w:rPr>
          <w:rFonts w:ascii="Times New Roman" w:hAnsi="Times New Roman" w:cs="Times New Roman"/>
          <w:b/>
          <w:bCs/>
          <w:sz w:val="24"/>
          <w:szCs w:val="24"/>
        </w:rPr>
        <w:t xml:space="preserve">„Profesionālo kvalifikāciju saraksts, kuras iegūstot kārtojami centralizētie profesionālās kvalifikācijas eksāmeni” </w:t>
      </w:r>
    </w:p>
    <w:p w:rsidR="00D85DB1" w:rsidRPr="000A02D6" w:rsidRDefault="00D85DB1" w:rsidP="00F3343F">
      <w:pPr>
        <w:pStyle w:val="NormalWeb"/>
        <w:spacing w:before="0" w:beforeAutospacing="0" w:after="0" w:afterAutospacing="0"/>
        <w:jc w:val="center"/>
        <w:rPr>
          <w:rFonts w:ascii="Times New Roman" w:hAnsi="Times New Roman" w:cs="Times New Roman"/>
          <w:sz w:val="24"/>
          <w:szCs w:val="24"/>
        </w:rPr>
      </w:pPr>
      <w:r w:rsidRPr="000A02D6">
        <w:rPr>
          <w:rFonts w:ascii="Times New Roman" w:hAnsi="Times New Roman" w:cs="Times New Roman"/>
          <w:b/>
          <w:bCs/>
          <w:sz w:val="24"/>
          <w:szCs w:val="24"/>
        </w:rPr>
        <w:t>sākotnējās ietekmes novērtējuma ziņojums (anotācija)</w:t>
      </w:r>
    </w:p>
    <w:p w:rsidR="00D85DB1" w:rsidRPr="000A02D6" w:rsidRDefault="00D85DB1" w:rsidP="00957165">
      <w:pPr>
        <w:pStyle w:val="naisc"/>
        <w:spacing w:before="0" w:after="0"/>
        <w:rPr>
          <w:b/>
          <w:bCs/>
          <w:sz w:val="24"/>
          <w:szCs w:val="24"/>
        </w:rPr>
      </w:pPr>
    </w:p>
    <w:p w:rsidR="00D85DB1" w:rsidRPr="000A02D6" w:rsidRDefault="00D85DB1" w:rsidP="00F44C86"/>
    <w:tbl>
      <w:tblPr>
        <w:tblW w:w="964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2"/>
        <w:gridCol w:w="3271"/>
        <w:gridCol w:w="5817"/>
      </w:tblGrid>
      <w:tr w:rsidR="00D85DB1" w:rsidRPr="000A02D6">
        <w:trPr>
          <w:tblCellSpacing w:w="0" w:type="dxa"/>
        </w:trPr>
        <w:tc>
          <w:tcPr>
            <w:tcW w:w="9640" w:type="dxa"/>
            <w:gridSpan w:val="3"/>
            <w:vAlign w:val="center"/>
          </w:tcPr>
          <w:p w:rsidR="00D85DB1" w:rsidRPr="000A02D6" w:rsidRDefault="00D85DB1" w:rsidP="00234BCE">
            <w:pPr>
              <w:spacing w:before="68" w:after="68"/>
              <w:jc w:val="center"/>
            </w:pPr>
            <w:r w:rsidRPr="000A02D6">
              <w:rPr>
                <w:b/>
                <w:bCs/>
              </w:rPr>
              <w:t> I. Tiesību akta projekta izstrādes nepieciešamība</w:t>
            </w:r>
          </w:p>
        </w:tc>
      </w:tr>
      <w:tr w:rsidR="00D85DB1" w:rsidRPr="000A02D6">
        <w:trPr>
          <w:trHeight w:val="630"/>
          <w:tblCellSpacing w:w="0" w:type="dxa"/>
        </w:trPr>
        <w:tc>
          <w:tcPr>
            <w:tcW w:w="552" w:type="dxa"/>
          </w:tcPr>
          <w:p w:rsidR="00D85DB1" w:rsidRPr="000A02D6" w:rsidRDefault="00D85DB1" w:rsidP="00234BCE">
            <w:pPr>
              <w:spacing w:before="68" w:after="68"/>
            </w:pPr>
            <w:r w:rsidRPr="000A02D6">
              <w:t> 1.</w:t>
            </w:r>
          </w:p>
        </w:tc>
        <w:tc>
          <w:tcPr>
            <w:tcW w:w="3271" w:type="dxa"/>
          </w:tcPr>
          <w:p w:rsidR="00D85DB1" w:rsidRPr="000A02D6" w:rsidRDefault="00D85DB1" w:rsidP="00234BCE">
            <w:pPr>
              <w:spacing w:before="68" w:after="68"/>
            </w:pPr>
            <w:r w:rsidRPr="000A02D6">
              <w:t>Pamatojums</w:t>
            </w:r>
          </w:p>
        </w:tc>
        <w:tc>
          <w:tcPr>
            <w:tcW w:w="5817" w:type="dxa"/>
          </w:tcPr>
          <w:p w:rsidR="00D85DB1" w:rsidRPr="000A02D6" w:rsidRDefault="00D85DB1" w:rsidP="00030339">
            <w:pPr>
              <w:jc w:val="both"/>
            </w:pPr>
            <w:r w:rsidRPr="000A02D6">
              <w:t xml:space="preserve"> Ministru kabineta noteikumu projekts </w:t>
            </w:r>
            <w:bookmarkStart w:id="0" w:name="OLE_LINK1"/>
            <w:bookmarkStart w:id="1" w:name="OLE_LINK2"/>
            <w:r w:rsidRPr="000A02D6">
              <w:t>„Profesionālo kvalifikāciju saraksts, kuras iegūstot kārtojami centralizētie profesionālās kvalifikācijas eksāmeni</w:t>
            </w:r>
            <w:r w:rsidRPr="000A02D6">
              <w:rPr>
                <w:b/>
                <w:bCs/>
              </w:rPr>
              <w:t xml:space="preserve">” </w:t>
            </w:r>
            <w:bookmarkEnd w:id="0"/>
            <w:bookmarkEnd w:id="1"/>
            <w:r w:rsidRPr="000A02D6">
              <w:t xml:space="preserve">(turpmāk – noteikumu projekts) izstrādāts saskaņā ar Profesionālās izglītības likuma 29.panta </w:t>
            </w:r>
            <w:r>
              <w:t xml:space="preserve">trešo </w:t>
            </w:r>
            <w:r w:rsidRPr="000A02D6">
              <w:t>daļu, k</w:t>
            </w:r>
            <w:r>
              <w:t xml:space="preserve">ur </w:t>
            </w:r>
            <w:r w:rsidRPr="000A02D6">
              <w:t>no</w:t>
            </w:r>
            <w:r>
              <w:t>teikts</w:t>
            </w:r>
            <w:r w:rsidRPr="000A02D6">
              <w:t>, ka Ministru kabinets apstiprina profesionālo kvalifikāciju sarakstu, kuras iegūstot kārtojami centralizētie profesionālās kvalifikācijas eksāmeni (turpmāk – centralizētais eksāmens).</w:t>
            </w:r>
            <w:r>
              <w:t xml:space="preserve"> Noteikumu projekts veicina </w:t>
            </w:r>
            <w:r w:rsidRPr="00030339">
              <w:rPr>
                <w:sz w:val="23"/>
                <w:szCs w:val="23"/>
              </w:rPr>
              <w:t>Valdības rīcības plān</w:t>
            </w:r>
            <w:r>
              <w:rPr>
                <w:sz w:val="23"/>
                <w:szCs w:val="23"/>
              </w:rPr>
              <w:t>a</w:t>
            </w:r>
            <w:r w:rsidRPr="00030339">
              <w:rPr>
                <w:sz w:val="23"/>
                <w:szCs w:val="23"/>
              </w:rPr>
              <w:t xml:space="preserve"> Deklarācijas par Valda Dombrovska vadītā Ministru kabineta iecerēto darbību īstenošanai</w:t>
            </w:r>
            <w:r>
              <w:rPr>
                <w:sz w:val="23"/>
                <w:szCs w:val="23"/>
              </w:rPr>
              <w:t xml:space="preserve"> 7.3.punktā paredzētā pasākuma realizāciju.</w:t>
            </w:r>
          </w:p>
        </w:tc>
      </w:tr>
      <w:tr w:rsidR="00D85DB1" w:rsidRPr="000A02D6">
        <w:trPr>
          <w:trHeight w:val="472"/>
          <w:tblCellSpacing w:w="0" w:type="dxa"/>
        </w:trPr>
        <w:tc>
          <w:tcPr>
            <w:tcW w:w="552" w:type="dxa"/>
          </w:tcPr>
          <w:p w:rsidR="00D85DB1" w:rsidRPr="000A02D6" w:rsidRDefault="00D85DB1" w:rsidP="00234BCE">
            <w:pPr>
              <w:spacing w:before="68" w:after="68"/>
            </w:pPr>
            <w:r w:rsidRPr="000A02D6">
              <w:t> 2.</w:t>
            </w:r>
          </w:p>
        </w:tc>
        <w:tc>
          <w:tcPr>
            <w:tcW w:w="3271" w:type="dxa"/>
          </w:tcPr>
          <w:p w:rsidR="00D85DB1" w:rsidRPr="000A02D6" w:rsidRDefault="00D85DB1" w:rsidP="00234BCE">
            <w:pPr>
              <w:spacing w:before="68" w:after="68"/>
            </w:pPr>
            <w:r w:rsidRPr="000A02D6">
              <w:t>Pašreizējā situācija un problēmas</w:t>
            </w:r>
          </w:p>
        </w:tc>
        <w:tc>
          <w:tcPr>
            <w:tcW w:w="5817" w:type="dxa"/>
          </w:tcPr>
          <w:p w:rsidR="00D85DB1" w:rsidRDefault="00D85DB1" w:rsidP="00BA1ED1">
            <w:pPr>
              <w:jc w:val="both"/>
            </w:pPr>
            <w:r>
              <w:t>Ministru kabineta 2011.gada 30.augusta noteikumos</w:t>
            </w:r>
            <w:r w:rsidRPr="000A02D6">
              <w:t xml:space="preserve"> Nr.664 „Profesionālo kvalifikāciju saraksts, kuras iegūstot kārtojami centralizētie profesionālās kvalifikācijas eksāmeni” (turpmāk – MK noteikumi Nr.664) </w:t>
            </w:r>
            <w:r>
              <w:t xml:space="preserve">ir norādīts </w:t>
            </w:r>
            <w:r w:rsidRPr="000A02D6">
              <w:t>profesionāl</w:t>
            </w:r>
            <w:r>
              <w:t>o</w:t>
            </w:r>
            <w:r w:rsidRPr="000A02D6">
              <w:t xml:space="preserve"> kvalifikācij</w:t>
            </w:r>
            <w:r>
              <w:t>u saraksts</w:t>
            </w:r>
            <w:r w:rsidRPr="000A02D6">
              <w:t>, kur</w:t>
            </w:r>
            <w:r>
              <w:t>as iegūstot kārtojami centralizētie profesionālās kvalifikācijas eksāmeni.</w:t>
            </w:r>
          </w:p>
          <w:p w:rsidR="00D85DB1" w:rsidRDefault="00D85DB1" w:rsidP="00BA1ED1">
            <w:pPr>
              <w:jc w:val="both"/>
            </w:pPr>
            <w:r>
              <w:t>MK noteikumu Nr.664 m</w:t>
            </w:r>
            <w:r w:rsidRPr="00DC6356">
              <w:t xml:space="preserve">ērķis </w:t>
            </w:r>
            <w:r>
              <w:t xml:space="preserve">ir </w:t>
            </w:r>
            <w:r w:rsidRPr="00DC6356">
              <w:t>nodrošināt vienot</w:t>
            </w:r>
            <w:r>
              <w:t xml:space="preserve">as prasības, gala pārbaudījumos, vienādu </w:t>
            </w:r>
            <w:r w:rsidRPr="00DC6356">
              <w:t>kvalifikācij</w:t>
            </w:r>
            <w:r>
              <w:t>u</w:t>
            </w:r>
            <w:r w:rsidRPr="00DC6356">
              <w:t xml:space="preserve"> iegūšana</w:t>
            </w:r>
            <w:r>
              <w:t>i dažādās izglītības iestādēs, saglabājot izvēles brīvību izglītības iestādēm profesionālās izglītības programmas satura izstrādē un realizācijā.</w:t>
            </w:r>
          </w:p>
          <w:p w:rsidR="00D85DB1" w:rsidRDefault="00D85DB1" w:rsidP="00BA1ED1">
            <w:pPr>
              <w:jc w:val="both"/>
            </w:pPr>
            <w:r>
              <w:t>Kā vienīgais kritērijs profesionālo kvalifikāciju izvēlē, kuras iegūstot kārtojami centralizētie profesionālās kvalifikācijas eksāmeni, ir izglītības iestāžu skaits, kuras realizē profesionālās izglītības programmas, kuru noslēgumā tiek iegūtas vienādas profesionālās kvalifikācijas. Ja konkrētu profesionālo kvalifikāciju iegūst vairāk kā vienā izglītības iestādē, tā ir iekļauta MK noteikumos Nr.664.</w:t>
            </w:r>
          </w:p>
          <w:p w:rsidR="00D85DB1" w:rsidRDefault="00D85DB1" w:rsidP="00BA1ED1">
            <w:pPr>
              <w:jc w:val="both"/>
            </w:pPr>
            <w:r w:rsidRPr="006354DD">
              <w:t>Valsts izglītības informācijas sistēmas dati par  profesionālās izglītības iestādēs apgūstamajām profesionālajām kvalifikācijām liecina, ka vairāk kā vienā profesionālās izglītības iestādē tiek apgūtas jaunas profesionālās kvalifikācijas un jau 2013./2014. mācību gadā tajās paredzēts organizēt eksāmenus.</w:t>
            </w:r>
          </w:p>
          <w:p w:rsidR="00F53064" w:rsidRDefault="00D85DB1" w:rsidP="00437CAE">
            <w:pPr>
              <w:jc w:val="both"/>
            </w:pPr>
            <w:r>
              <w:t xml:space="preserve">Atsevišķām </w:t>
            </w:r>
            <w:r w:rsidRPr="00437CAE">
              <w:t>profesionāl</w:t>
            </w:r>
            <w:r>
              <w:t>ajām</w:t>
            </w:r>
            <w:r w:rsidRPr="00437CAE">
              <w:t xml:space="preserve"> kvalifikācij</w:t>
            </w:r>
            <w:r>
              <w:t>ām</w:t>
            </w:r>
            <w:r w:rsidRPr="00437CAE">
              <w:t xml:space="preserve">, kuras iekļautas MK noteikumos Nr.664 nav </w:t>
            </w:r>
            <w:r>
              <w:t xml:space="preserve">lietderīgi </w:t>
            </w:r>
            <w:r w:rsidRPr="00437CAE">
              <w:t xml:space="preserve">organizēt </w:t>
            </w:r>
            <w:r>
              <w:t>centralizētos eksāmenus, jo to ieguvi realizē viena izglītības iestāde.</w:t>
            </w:r>
          </w:p>
          <w:p w:rsidR="00D85DB1" w:rsidRPr="000A02D6" w:rsidRDefault="00D85DB1" w:rsidP="00437CAE">
            <w:pPr>
              <w:jc w:val="both"/>
            </w:pPr>
            <w:r>
              <w:t>Atsevišķām</w:t>
            </w:r>
            <w:r w:rsidRPr="00437CAE">
              <w:t xml:space="preserve"> profesionālajām kvalifikācijām, nemainot profesijas standarta saturu, mainīts nosaukums, kas iekļauts arī profesiju klasifikatorā </w:t>
            </w:r>
            <w:r w:rsidRPr="00EC3004">
              <w:t xml:space="preserve">(Ministru kabineta 2010.gada </w:t>
            </w:r>
            <w:r w:rsidRPr="00EC3004">
              <w:lastRenderedPageBreak/>
              <w:t>18.maija noteikumi Nr.461</w:t>
            </w:r>
            <w:r w:rsidRPr="00A74C1D">
              <w:t>)</w:t>
            </w:r>
            <w:r>
              <w:t>,</w:t>
            </w:r>
            <w:r w:rsidRPr="00437CAE">
              <w:t xml:space="preserve"> līdz ar to nepieciešams </w:t>
            </w:r>
            <w:r>
              <w:t xml:space="preserve">precizēt </w:t>
            </w:r>
            <w:r w:rsidRPr="00437CAE">
              <w:t xml:space="preserve">profesionālo kvalifikāciju </w:t>
            </w:r>
            <w:r>
              <w:t>nosaukumus</w:t>
            </w:r>
            <w:r w:rsidRPr="00437CAE">
              <w:t>, kurās kārtojami centralizētie eksāmeni.</w:t>
            </w:r>
          </w:p>
        </w:tc>
      </w:tr>
      <w:tr w:rsidR="00D85DB1" w:rsidRPr="000A02D6">
        <w:trPr>
          <w:trHeight w:val="736"/>
          <w:tblCellSpacing w:w="0" w:type="dxa"/>
        </w:trPr>
        <w:tc>
          <w:tcPr>
            <w:tcW w:w="552" w:type="dxa"/>
          </w:tcPr>
          <w:p w:rsidR="00D85DB1" w:rsidRPr="000A02D6" w:rsidRDefault="00D85DB1" w:rsidP="00234BCE">
            <w:pPr>
              <w:spacing w:before="68" w:after="68"/>
            </w:pPr>
            <w:r w:rsidRPr="000A02D6">
              <w:lastRenderedPageBreak/>
              <w:t> 3.</w:t>
            </w:r>
          </w:p>
        </w:tc>
        <w:tc>
          <w:tcPr>
            <w:tcW w:w="3271" w:type="dxa"/>
          </w:tcPr>
          <w:p w:rsidR="00D85DB1" w:rsidRPr="000A02D6" w:rsidRDefault="00D85DB1" w:rsidP="00234BCE">
            <w:pPr>
              <w:spacing w:before="68" w:after="68"/>
            </w:pPr>
            <w:r w:rsidRPr="000A02D6">
              <w:t>Saistītie politikas ietekmes novērtējumi un pētījumi</w:t>
            </w:r>
          </w:p>
        </w:tc>
        <w:tc>
          <w:tcPr>
            <w:tcW w:w="5817" w:type="dxa"/>
          </w:tcPr>
          <w:p w:rsidR="00D85DB1" w:rsidRPr="000A02D6" w:rsidRDefault="00D85DB1" w:rsidP="006354DD">
            <w:pPr>
              <w:pStyle w:val="naiskr"/>
              <w:spacing w:before="0" w:after="0"/>
            </w:pPr>
            <w:r w:rsidRPr="000A02D6">
              <w:t>Noteikumu projekts šo jomu neskar.</w:t>
            </w:r>
          </w:p>
        </w:tc>
      </w:tr>
      <w:tr w:rsidR="00D85DB1" w:rsidRPr="000A02D6">
        <w:trPr>
          <w:trHeight w:val="384"/>
          <w:tblCellSpacing w:w="0" w:type="dxa"/>
        </w:trPr>
        <w:tc>
          <w:tcPr>
            <w:tcW w:w="552" w:type="dxa"/>
          </w:tcPr>
          <w:p w:rsidR="00D85DB1" w:rsidRPr="000A02D6" w:rsidRDefault="00D85DB1" w:rsidP="00234BCE">
            <w:pPr>
              <w:spacing w:before="68" w:after="68"/>
            </w:pPr>
            <w:r w:rsidRPr="000A02D6">
              <w:t> 4.</w:t>
            </w:r>
          </w:p>
        </w:tc>
        <w:tc>
          <w:tcPr>
            <w:tcW w:w="3271" w:type="dxa"/>
          </w:tcPr>
          <w:p w:rsidR="00D85DB1" w:rsidRPr="000A02D6" w:rsidRDefault="00D85DB1" w:rsidP="00234BCE">
            <w:pPr>
              <w:spacing w:before="68" w:after="68"/>
            </w:pPr>
            <w:r w:rsidRPr="000A02D6">
              <w:t>Tiesiskā regulējuma mērķis un būtība</w:t>
            </w:r>
          </w:p>
        </w:tc>
        <w:tc>
          <w:tcPr>
            <w:tcW w:w="5817" w:type="dxa"/>
          </w:tcPr>
          <w:p w:rsidR="00D85DB1" w:rsidRDefault="00D85DB1" w:rsidP="00437CAE">
            <w:pPr>
              <w:jc w:val="both"/>
            </w:pPr>
            <w:r w:rsidRPr="00437CAE">
              <w:t xml:space="preserve">Lai saglabātu </w:t>
            </w:r>
            <w:r>
              <w:t xml:space="preserve">Profesionālās izglītības likuma 29.panta trešajā daļā ietverto </w:t>
            </w:r>
            <w:r w:rsidRPr="00437CAE">
              <w:t>principu - vienādas prasības vienādu profesionālo kvalifikāciju iegūšanai un precizētu profesionālās kvalifikācijas atbilstoši tautsaimniecības attīstības nepieciešamajām profesijām, nepieciešamas izmaiņas profesionālo kvalifikāciju sarakstā, kurās kārtojami centralizētie eksāmeni.</w:t>
            </w:r>
          </w:p>
          <w:p w:rsidR="008B4047" w:rsidRDefault="00D85DB1" w:rsidP="00B90C46">
            <w:pPr>
              <w:jc w:val="both"/>
            </w:pPr>
            <w:r>
              <w:t xml:space="preserve">Noteikumu projektā </w:t>
            </w:r>
            <w:r w:rsidR="008B4047">
              <w:t xml:space="preserve">precizēti profesionālo kvalifikāciju nosaukumi atbilstoši profesiju klasifikatoram un </w:t>
            </w:r>
            <w:r>
              <w:t>ietvertas profesionālās kvalifikācijas, kuras radītas no jauna atbilstoši tautsaimniecības attīstības nepieciešamajām profesijām</w:t>
            </w:r>
            <w:r w:rsidR="008B4047">
              <w:t>: elektrotehniķis</w:t>
            </w:r>
            <w:r>
              <w:t>,</w:t>
            </w:r>
            <w:r w:rsidR="008B4047">
              <w:t xml:space="preserve"> gāzmetinātājs (OAW), inženierkomunikāciju montētājs, inženierkomunikāciju tehniķis, klientu apkalpošanas speciālists, komercpakalpojumu darbinieks, kosmētiķis, loģistikas darbinieks, lokmetinātājs metināšanās ar mehanizēto iekārtu aktīvās gāzes vidē (MAG), pārtikas produktu ražošanas tehniķis un tērpu stila speciālists. </w:t>
            </w:r>
          </w:p>
          <w:p w:rsidR="00D85DB1" w:rsidRPr="00B90C46" w:rsidRDefault="008B4047" w:rsidP="00BD29A4">
            <w:pPr>
              <w:jc w:val="both"/>
            </w:pPr>
            <w:r>
              <w:t>Noteikumu projektā</w:t>
            </w:r>
            <w:r w:rsidR="00D85DB1">
              <w:t xml:space="preserve"> nav iekļautas profesionālās kvalifikācijas, kuras tiek realizētas vienā izglītības iestādē</w:t>
            </w:r>
            <w:r>
              <w:t>: agrārā sektora komercdarbinieks, automehāniķa palīgs, drēbnieks, montāžas darbu atslēdznieks, mūrnieks, palīgšuvējs, saimniecības vadītājs un šuvējs.</w:t>
            </w:r>
          </w:p>
        </w:tc>
      </w:tr>
      <w:tr w:rsidR="00D85DB1" w:rsidRPr="000A02D6">
        <w:trPr>
          <w:trHeight w:val="476"/>
          <w:tblCellSpacing w:w="0" w:type="dxa"/>
        </w:trPr>
        <w:tc>
          <w:tcPr>
            <w:tcW w:w="552" w:type="dxa"/>
          </w:tcPr>
          <w:p w:rsidR="00D85DB1" w:rsidRPr="000A02D6" w:rsidRDefault="00D85DB1" w:rsidP="00234BCE">
            <w:pPr>
              <w:spacing w:before="68" w:after="68"/>
            </w:pPr>
            <w:r w:rsidRPr="000A02D6">
              <w:t> 5.</w:t>
            </w:r>
          </w:p>
        </w:tc>
        <w:tc>
          <w:tcPr>
            <w:tcW w:w="3271" w:type="dxa"/>
          </w:tcPr>
          <w:p w:rsidR="00D85DB1" w:rsidRPr="000A02D6" w:rsidRDefault="00D85DB1" w:rsidP="00234BCE">
            <w:pPr>
              <w:spacing w:before="68" w:after="68"/>
            </w:pPr>
            <w:r w:rsidRPr="000A02D6">
              <w:t>Projekta izstrādē iesaistītās institūcijas</w:t>
            </w:r>
          </w:p>
        </w:tc>
        <w:tc>
          <w:tcPr>
            <w:tcW w:w="5817" w:type="dxa"/>
          </w:tcPr>
          <w:p w:rsidR="00D85DB1" w:rsidRPr="000A02D6" w:rsidRDefault="00D85DB1" w:rsidP="00234BCE">
            <w:pPr>
              <w:tabs>
                <w:tab w:val="left" w:pos="0"/>
              </w:tabs>
              <w:spacing w:before="68" w:after="68"/>
            </w:pPr>
            <w:r w:rsidRPr="006354DD">
              <w:t>Noteikumu projekts šo jomu neskar.</w:t>
            </w:r>
          </w:p>
        </w:tc>
      </w:tr>
      <w:tr w:rsidR="00D85DB1" w:rsidRPr="000A02D6">
        <w:trPr>
          <w:trHeight w:val="936"/>
          <w:tblCellSpacing w:w="0" w:type="dxa"/>
        </w:trPr>
        <w:tc>
          <w:tcPr>
            <w:tcW w:w="552" w:type="dxa"/>
          </w:tcPr>
          <w:p w:rsidR="00D85DB1" w:rsidRPr="000A02D6" w:rsidRDefault="00D85DB1" w:rsidP="00234BCE">
            <w:pPr>
              <w:spacing w:before="68" w:after="68"/>
            </w:pPr>
            <w:r w:rsidRPr="000A02D6">
              <w:t> 6.</w:t>
            </w:r>
          </w:p>
        </w:tc>
        <w:tc>
          <w:tcPr>
            <w:tcW w:w="3271" w:type="dxa"/>
          </w:tcPr>
          <w:p w:rsidR="00D85DB1" w:rsidRPr="000A02D6" w:rsidRDefault="00D85DB1" w:rsidP="00234BCE">
            <w:pPr>
              <w:spacing w:before="68" w:after="68"/>
            </w:pPr>
            <w:r w:rsidRPr="000A02D6">
              <w:t>Iemesli, kādēļ netika nodrošināta sabiedrības līdzdalība</w:t>
            </w:r>
          </w:p>
        </w:tc>
        <w:tc>
          <w:tcPr>
            <w:tcW w:w="5817" w:type="dxa"/>
          </w:tcPr>
          <w:p w:rsidR="00D85DB1" w:rsidRPr="000A02D6" w:rsidRDefault="00D85DB1" w:rsidP="0061471F">
            <w:pPr>
              <w:tabs>
                <w:tab w:val="left" w:pos="0"/>
                <w:tab w:val="left" w:pos="127"/>
              </w:tabs>
              <w:spacing w:before="68" w:after="68"/>
              <w:ind w:hanging="15"/>
              <w:jc w:val="both"/>
            </w:pPr>
            <w:r w:rsidRPr="000A02D6">
              <w:t>Sabiedrības līdzdalība nav nodrošināta, jo Ministru kabineta noteikumu projekts nekādā veidā neierobežo nevienas personu grupas vai indivīda tiesības.</w:t>
            </w:r>
          </w:p>
        </w:tc>
      </w:tr>
      <w:tr w:rsidR="00D85DB1" w:rsidRPr="000A02D6">
        <w:trPr>
          <w:tblCellSpacing w:w="0" w:type="dxa"/>
        </w:trPr>
        <w:tc>
          <w:tcPr>
            <w:tcW w:w="552" w:type="dxa"/>
          </w:tcPr>
          <w:p w:rsidR="00D85DB1" w:rsidRPr="000A02D6" w:rsidRDefault="00D85DB1" w:rsidP="00234BCE">
            <w:pPr>
              <w:spacing w:before="68" w:after="68"/>
            </w:pPr>
            <w:r w:rsidRPr="000A02D6">
              <w:t> 7.</w:t>
            </w:r>
          </w:p>
        </w:tc>
        <w:tc>
          <w:tcPr>
            <w:tcW w:w="3271" w:type="dxa"/>
          </w:tcPr>
          <w:p w:rsidR="00D85DB1" w:rsidRPr="000A02D6" w:rsidRDefault="00D85DB1" w:rsidP="00234BCE">
            <w:pPr>
              <w:spacing w:before="68" w:after="68"/>
            </w:pPr>
            <w:r w:rsidRPr="000A02D6">
              <w:t>Cita informācija</w:t>
            </w:r>
          </w:p>
        </w:tc>
        <w:tc>
          <w:tcPr>
            <w:tcW w:w="5817" w:type="dxa"/>
          </w:tcPr>
          <w:p w:rsidR="00D85DB1" w:rsidRPr="000A02D6" w:rsidRDefault="00E318B8" w:rsidP="00E54730">
            <w:pPr>
              <w:spacing w:before="68" w:after="68"/>
              <w:jc w:val="both"/>
            </w:pPr>
            <w:r>
              <w:t>Saskaņošanas procesa gaitā par projektu tika informēta Profesionālās izglītības biedrība un IZM padotības profesionālās izglītības iestādes</w:t>
            </w:r>
            <w:r w:rsidR="00D85DB1" w:rsidRPr="000A02D6">
              <w:t>.</w:t>
            </w:r>
          </w:p>
        </w:tc>
      </w:tr>
    </w:tbl>
    <w:p w:rsidR="00D85DB1" w:rsidRPr="000A02D6" w:rsidRDefault="00D85DB1" w:rsidP="00F44C86">
      <w:pPr>
        <w:jc w:val="center"/>
      </w:pPr>
    </w:p>
    <w:tbl>
      <w:tblPr>
        <w:tblpPr w:leftFromText="180" w:rightFromText="180" w:vertAnchor="text" w:horzAnchor="margin" w:tblpXSpec="center" w:tblpY="149"/>
        <w:tblW w:w="94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260"/>
        <w:gridCol w:w="5670"/>
      </w:tblGrid>
      <w:tr w:rsidR="00D85DB1" w:rsidRPr="000A02D6" w:rsidTr="00EC3004">
        <w:trPr>
          <w:tblCellSpacing w:w="0" w:type="dxa"/>
        </w:trPr>
        <w:tc>
          <w:tcPr>
            <w:tcW w:w="9497" w:type="dxa"/>
            <w:gridSpan w:val="3"/>
            <w:vAlign w:val="center"/>
          </w:tcPr>
          <w:p w:rsidR="00D85DB1" w:rsidRPr="000A02D6" w:rsidRDefault="00D85DB1" w:rsidP="00C03102">
            <w:pPr>
              <w:pStyle w:val="naisnod"/>
            </w:pPr>
            <w:r w:rsidRPr="000A02D6">
              <w:t>II Tiesību akta projekta ietekme uz sabiedrību</w:t>
            </w:r>
          </w:p>
        </w:tc>
      </w:tr>
      <w:tr w:rsidR="00D85DB1" w:rsidRPr="000A02D6" w:rsidTr="00EC3004">
        <w:trPr>
          <w:trHeight w:val="467"/>
          <w:tblCellSpacing w:w="0" w:type="dxa"/>
        </w:trPr>
        <w:tc>
          <w:tcPr>
            <w:tcW w:w="567" w:type="dxa"/>
          </w:tcPr>
          <w:p w:rsidR="00D85DB1" w:rsidRPr="000A02D6" w:rsidRDefault="00D85DB1" w:rsidP="00C03102">
            <w:pPr>
              <w:pStyle w:val="naiskr"/>
              <w:spacing w:after="0"/>
              <w:ind w:left="181" w:hanging="181"/>
              <w:jc w:val="center"/>
            </w:pPr>
            <w:r w:rsidRPr="000A02D6">
              <w:t>1.</w:t>
            </w:r>
          </w:p>
        </w:tc>
        <w:tc>
          <w:tcPr>
            <w:tcW w:w="3260" w:type="dxa"/>
          </w:tcPr>
          <w:p w:rsidR="00D85DB1" w:rsidRPr="000A02D6" w:rsidRDefault="00D85DB1" w:rsidP="00C03102">
            <w:pPr>
              <w:pStyle w:val="naiskr"/>
              <w:spacing w:after="0"/>
              <w:ind w:left="170"/>
            </w:pPr>
            <w:r w:rsidRPr="000A02D6">
              <w:t>Sabiedrības mērķgrupa</w:t>
            </w:r>
          </w:p>
        </w:tc>
        <w:tc>
          <w:tcPr>
            <w:tcW w:w="5670" w:type="dxa"/>
          </w:tcPr>
          <w:p w:rsidR="00D85DB1" w:rsidRPr="000A02D6" w:rsidRDefault="00893EF7" w:rsidP="00E54730">
            <w:pPr>
              <w:pStyle w:val="naiskr"/>
              <w:jc w:val="both"/>
              <w:rPr>
                <w:i/>
                <w:iCs/>
                <w:highlight w:val="yellow"/>
              </w:rPr>
            </w:pPr>
            <w:r>
              <w:t xml:space="preserve">Noteikumu projekta tiesiskais regulējums attieksies uz </w:t>
            </w:r>
            <w:r w:rsidR="00D85DB1" w:rsidRPr="000A02D6">
              <w:t>75 profesionālās izglītības iestād</w:t>
            </w:r>
            <w:r>
              <w:t>ēm</w:t>
            </w:r>
            <w:r w:rsidR="00E54730">
              <w:t xml:space="preserve">, kurās tiks organizēti profesionālās kvalifikācijas eksāmeni </w:t>
            </w:r>
            <w:r w:rsidR="00D85DB1" w:rsidRPr="000A02D6">
              <w:t>un aptuveni 7000 izglītoja</w:t>
            </w:r>
            <w:r>
              <w:t>majiem</w:t>
            </w:r>
            <w:r w:rsidR="00D85DB1" w:rsidRPr="000A02D6">
              <w:t>.</w:t>
            </w:r>
          </w:p>
        </w:tc>
      </w:tr>
      <w:tr w:rsidR="00D85DB1" w:rsidRPr="000A02D6" w:rsidTr="00EC3004">
        <w:trPr>
          <w:trHeight w:val="523"/>
          <w:tblCellSpacing w:w="0" w:type="dxa"/>
        </w:trPr>
        <w:tc>
          <w:tcPr>
            <w:tcW w:w="567" w:type="dxa"/>
          </w:tcPr>
          <w:p w:rsidR="00D85DB1" w:rsidRPr="000A02D6" w:rsidRDefault="00D85DB1" w:rsidP="00C03102">
            <w:pPr>
              <w:pStyle w:val="naiskr"/>
              <w:jc w:val="center"/>
            </w:pPr>
            <w:r w:rsidRPr="000A02D6">
              <w:t>2.</w:t>
            </w:r>
          </w:p>
        </w:tc>
        <w:tc>
          <w:tcPr>
            <w:tcW w:w="3260" w:type="dxa"/>
          </w:tcPr>
          <w:p w:rsidR="00D85DB1" w:rsidRPr="000A02D6" w:rsidRDefault="00D85DB1" w:rsidP="00C03102">
            <w:pPr>
              <w:pStyle w:val="naiskr"/>
              <w:ind w:left="170"/>
            </w:pPr>
            <w:r w:rsidRPr="000A02D6">
              <w:t xml:space="preserve">Citas sabiedrības grupas (bez mērķgrupas), kuras tiesiskais regulējums arī ietekmē vai </w:t>
            </w:r>
            <w:r w:rsidRPr="000A02D6">
              <w:lastRenderedPageBreak/>
              <w:t>varētu ietekmēt</w:t>
            </w:r>
          </w:p>
        </w:tc>
        <w:tc>
          <w:tcPr>
            <w:tcW w:w="5670" w:type="dxa"/>
          </w:tcPr>
          <w:p w:rsidR="00D85DB1" w:rsidRPr="000A02D6" w:rsidRDefault="00CD0C4D" w:rsidP="00893EF7">
            <w:pPr>
              <w:pStyle w:val="naiskr"/>
              <w:jc w:val="both"/>
              <w:rPr>
                <w:i/>
                <w:iCs/>
              </w:rPr>
            </w:pPr>
            <w:r>
              <w:lastRenderedPageBreak/>
              <w:t>Valsts izglītības satura centr</w:t>
            </w:r>
            <w:r w:rsidR="00893EF7">
              <w:t>s</w:t>
            </w:r>
          </w:p>
        </w:tc>
      </w:tr>
      <w:tr w:rsidR="00D85DB1" w:rsidRPr="000A02D6" w:rsidTr="00EC3004">
        <w:trPr>
          <w:trHeight w:val="517"/>
          <w:tblCellSpacing w:w="0" w:type="dxa"/>
        </w:trPr>
        <w:tc>
          <w:tcPr>
            <w:tcW w:w="567" w:type="dxa"/>
          </w:tcPr>
          <w:p w:rsidR="00D85DB1" w:rsidRPr="000A02D6" w:rsidRDefault="00D85DB1" w:rsidP="00C03102">
            <w:pPr>
              <w:pStyle w:val="naiskr"/>
              <w:jc w:val="center"/>
            </w:pPr>
            <w:r w:rsidRPr="000A02D6">
              <w:lastRenderedPageBreak/>
              <w:t>3.</w:t>
            </w:r>
          </w:p>
        </w:tc>
        <w:tc>
          <w:tcPr>
            <w:tcW w:w="3260" w:type="dxa"/>
          </w:tcPr>
          <w:p w:rsidR="00D85DB1" w:rsidRPr="000A02D6" w:rsidRDefault="00D85DB1" w:rsidP="00C03102">
            <w:pPr>
              <w:pStyle w:val="naiskr"/>
              <w:ind w:left="170"/>
            </w:pPr>
            <w:r w:rsidRPr="000A02D6">
              <w:t xml:space="preserve">Tiesiskā regulējuma finansiālā ietekme </w:t>
            </w:r>
          </w:p>
        </w:tc>
        <w:tc>
          <w:tcPr>
            <w:tcW w:w="5670" w:type="dxa"/>
          </w:tcPr>
          <w:p w:rsidR="00D85DB1" w:rsidRPr="000A02D6" w:rsidRDefault="00E440FC" w:rsidP="00B8562D">
            <w:pPr>
              <w:pStyle w:val="naiskr"/>
              <w:jc w:val="both"/>
              <w:rPr>
                <w:i/>
                <w:iCs/>
              </w:rPr>
            </w:pPr>
            <w:r>
              <w:t>Noteikumu projektā paredzēt</w:t>
            </w:r>
            <w:r w:rsidR="00B8562D">
              <w:t>ie</w:t>
            </w:r>
            <w:r>
              <w:t xml:space="preserve"> </w:t>
            </w:r>
            <w:r w:rsidR="00B8562D">
              <w:t>grozījumi</w:t>
            </w:r>
            <w:r>
              <w:t>, nerada papildus finansiālo slogu i</w:t>
            </w:r>
            <w:r w:rsidR="007E36AA" w:rsidRPr="00CB76FB">
              <w:t>zglītības iestād</w:t>
            </w:r>
            <w:r>
              <w:t>ēm</w:t>
            </w:r>
            <w:r w:rsidR="007E36AA">
              <w:t>, kuru dibinātāji ir privātpersonas</w:t>
            </w:r>
            <w:r>
              <w:t xml:space="preserve">. </w:t>
            </w:r>
            <w:r w:rsidR="00B8562D">
              <w:t>N</w:t>
            </w:r>
            <w:r>
              <w:t>oteikumu projektā paredzēt</w:t>
            </w:r>
            <w:r w:rsidR="00B8562D">
              <w:t>o</w:t>
            </w:r>
            <w:r>
              <w:t xml:space="preserve"> </w:t>
            </w:r>
            <w:r w:rsidR="00B8562D">
              <w:t xml:space="preserve">grozījumu realizāciju </w:t>
            </w:r>
            <w:r w:rsidR="00B8562D">
              <w:t>Valsts izglītības satura centrs</w:t>
            </w:r>
            <w:r w:rsidR="00B8562D">
              <w:t xml:space="preserve"> nodrošinās esošo budžeta līdzekļu ietvaros.</w:t>
            </w:r>
          </w:p>
        </w:tc>
      </w:tr>
      <w:tr w:rsidR="00D85DB1" w:rsidRPr="000A02D6" w:rsidTr="00EC3004">
        <w:trPr>
          <w:trHeight w:val="517"/>
          <w:tblCellSpacing w:w="0" w:type="dxa"/>
        </w:trPr>
        <w:tc>
          <w:tcPr>
            <w:tcW w:w="567" w:type="dxa"/>
          </w:tcPr>
          <w:p w:rsidR="00D85DB1" w:rsidRPr="000A02D6" w:rsidRDefault="00D85DB1" w:rsidP="00C03102">
            <w:pPr>
              <w:pStyle w:val="naiskr"/>
              <w:jc w:val="center"/>
            </w:pPr>
            <w:r w:rsidRPr="000A02D6">
              <w:t>4.</w:t>
            </w:r>
          </w:p>
        </w:tc>
        <w:tc>
          <w:tcPr>
            <w:tcW w:w="3260" w:type="dxa"/>
          </w:tcPr>
          <w:p w:rsidR="00D85DB1" w:rsidRPr="000A02D6" w:rsidRDefault="00D85DB1" w:rsidP="00C03102">
            <w:pPr>
              <w:pStyle w:val="naiskr"/>
              <w:ind w:left="170"/>
            </w:pPr>
            <w:r w:rsidRPr="000A02D6">
              <w:t>Tiesiskā regulējuma nefinansiālā ietekme</w:t>
            </w:r>
          </w:p>
        </w:tc>
        <w:tc>
          <w:tcPr>
            <w:tcW w:w="5670" w:type="dxa"/>
          </w:tcPr>
          <w:p w:rsidR="00D85DB1" w:rsidRPr="000A02D6" w:rsidRDefault="00BA7E62" w:rsidP="00C03102">
            <w:pPr>
              <w:pStyle w:val="naiskr"/>
              <w:jc w:val="both"/>
            </w:pPr>
            <w:r>
              <w:t>Noteikumu projektā</w:t>
            </w:r>
            <w:r w:rsidR="00D85DB1" w:rsidRPr="000A02D6">
              <w:t xml:space="preserve"> šo jomu neskar.</w:t>
            </w:r>
          </w:p>
        </w:tc>
      </w:tr>
      <w:tr w:rsidR="00D85DB1" w:rsidRPr="000A02D6" w:rsidTr="00EC3004">
        <w:trPr>
          <w:trHeight w:val="716"/>
          <w:tblCellSpacing w:w="0" w:type="dxa"/>
        </w:trPr>
        <w:tc>
          <w:tcPr>
            <w:tcW w:w="567" w:type="dxa"/>
          </w:tcPr>
          <w:p w:rsidR="00D85DB1" w:rsidRPr="000A02D6" w:rsidRDefault="00D85DB1" w:rsidP="00C03102">
            <w:pPr>
              <w:pStyle w:val="naiskr"/>
              <w:jc w:val="center"/>
            </w:pPr>
            <w:r w:rsidRPr="000A02D6">
              <w:t>5.</w:t>
            </w:r>
          </w:p>
        </w:tc>
        <w:tc>
          <w:tcPr>
            <w:tcW w:w="3260" w:type="dxa"/>
          </w:tcPr>
          <w:p w:rsidR="00D85DB1" w:rsidRPr="000A02D6" w:rsidRDefault="00D85DB1" w:rsidP="00C03102">
            <w:pPr>
              <w:pStyle w:val="naiskr"/>
              <w:ind w:left="170"/>
            </w:pPr>
            <w:r w:rsidRPr="000A02D6">
              <w:t>Administratīvās procedūras raksturojums</w:t>
            </w:r>
          </w:p>
        </w:tc>
        <w:tc>
          <w:tcPr>
            <w:tcW w:w="5670" w:type="dxa"/>
          </w:tcPr>
          <w:p w:rsidR="00D85DB1" w:rsidRPr="000A02D6" w:rsidRDefault="00D85DB1" w:rsidP="00E54730">
            <w:pPr>
              <w:pStyle w:val="naiskr"/>
              <w:jc w:val="both"/>
              <w:rPr>
                <w:i/>
                <w:iCs/>
              </w:rPr>
            </w:pPr>
            <w:r w:rsidRPr="000A02D6">
              <w:t>Noteikumu projekt</w:t>
            </w:r>
            <w:r w:rsidR="00BA7E62">
              <w:t>ā tiek saglabātas līdzšinējās  administratīvās procedūras</w:t>
            </w:r>
            <w:r w:rsidRPr="000A02D6">
              <w:t>.</w:t>
            </w:r>
            <w:r w:rsidR="00BA7E62">
              <w:t xml:space="preserve"> Atbilstoši noteikumu projektā paredzētajiem grozījumiem, turpmāk Valsts izglītības satura centrs gatavos eksāmenus</w:t>
            </w:r>
            <w:r w:rsidR="00E54730">
              <w:t xml:space="preserve"> tām </w:t>
            </w:r>
            <w:r w:rsidR="00BA7E62">
              <w:t>profesionālajām kvalifikācijām, kuras iekļautas noteikumu projektā</w:t>
            </w:r>
            <w:r w:rsidR="00E54730">
              <w:t>.</w:t>
            </w:r>
          </w:p>
        </w:tc>
      </w:tr>
      <w:tr w:rsidR="00D85DB1" w:rsidRPr="000A02D6" w:rsidTr="00EC3004">
        <w:trPr>
          <w:trHeight w:val="709"/>
          <w:tblCellSpacing w:w="0" w:type="dxa"/>
        </w:trPr>
        <w:tc>
          <w:tcPr>
            <w:tcW w:w="567" w:type="dxa"/>
          </w:tcPr>
          <w:p w:rsidR="00D85DB1" w:rsidRPr="000A02D6" w:rsidRDefault="00D85DB1" w:rsidP="00C03102">
            <w:pPr>
              <w:pStyle w:val="naiskr"/>
              <w:jc w:val="center"/>
            </w:pPr>
            <w:r w:rsidRPr="000A02D6">
              <w:t>6.</w:t>
            </w:r>
          </w:p>
        </w:tc>
        <w:tc>
          <w:tcPr>
            <w:tcW w:w="3260" w:type="dxa"/>
          </w:tcPr>
          <w:p w:rsidR="00D85DB1" w:rsidRPr="000A02D6" w:rsidRDefault="00D85DB1" w:rsidP="00C03102">
            <w:pPr>
              <w:pStyle w:val="naiskr"/>
              <w:ind w:left="170"/>
            </w:pPr>
            <w:r w:rsidRPr="000A02D6">
              <w:t>Administratīvo izmaksu monetārs novērtējums</w:t>
            </w:r>
          </w:p>
        </w:tc>
        <w:tc>
          <w:tcPr>
            <w:tcW w:w="5670" w:type="dxa"/>
          </w:tcPr>
          <w:p w:rsidR="00D85DB1" w:rsidRPr="000A02D6" w:rsidRDefault="00D85DB1" w:rsidP="00C03102">
            <w:pPr>
              <w:pStyle w:val="naiskr"/>
              <w:jc w:val="both"/>
            </w:pPr>
            <w:r w:rsidRPr="000A02D6">
              <w:t>Noteikumu projekts šo jomu neskar.</w:t>
            </w:r>
          </w:p>
        </w:tc>
      </w:tr>
      <w:tr w:rsidR="00D85DB1" w:rsidRPr="000A02D6" w:rsidTr="00EC3004">
        <w:trPr>
          <w:tblCellSpacing w:w="0" w:type="dxa"/>
        </w:trPr>
        <w:tc>
          <w:tcPr>
            <w:tcW w:w="567" w:type="dxa"/>
          </w:tcPr>
          <w:p w:rsidR="00D85DB1" w:rsidRPr="000A02D6" w:rsidRDefault="00D85DB1" w:rsidP="00C03102">
            <w:pPr>
              <w:pStyle w:val="naiskr"/>
              <w:jc w:val="center"/>
            </w:pPr>
            <w:r w:rsidRPr="000A02D6">
              <w:t>7.</w:t>
            </w:r>
          </w:p>
        </w:tc>
        <w:tc>
          <w:tcPr>
            <w:tcW w:w="3260" w:type="dxa"/>
          </w:tcPr>
          <w:p w:rsidR="00D85DB1" w:rsidRPr="000A02D6" w:rsidRDefault="00D85DB1" w:rsidP="00C03102">
            <w:pPr>
              <w:pStyle w:val="naiskr"/>
              <w:ind w:left="170"/>
            </w:pPr>
            <w:r w:rsidRPr="000A02D6">
              <w:t>Cita informācija.</w:t>
            </w:r>
          </w:p>
        </w:tc>
        <w:tc>
          <w:tcPr>
            <w:tcW w:w="5670" w:type="dxa"/>
          </w:tcPr>
          <w:p w:rsidR="00D85DB1" w:rsidRPr="000A02D6" w:rsidRDefault="00D85DB1" w:rsidP="00C03102">
            <w:pPr>
              <w:pStyle w:val="naiskr"/>
              <w:jc w:val="both"/>
              <w:rPr>
                <w:i/>
                <w:iCs/>
              </w:rPr>
            </w:pPr>
            <w:r w:rsidRPr="000A02D6">
              <w:t>Nav</w:t>
            </w:r>
          </w:p>
        </w:tc>
      </w:tr>
    </w:tbl>
    <w:p w:rsidR="00D85DB1" w:rsidRPr="000A02D6" w:rsidRDefault="00D85DB1" w:rsidP="00F44C86">
      <w:pPr>
        <w:jc w:val="center"/>
      </w:pPr>
    </w:p>
    <w:p w:rsidR="00D85DB1" w:rsidRPr="000A02D6" w:rsidRDefault="00D85DB1" w:rsidP="00F44C86">
      <w:pPr>
        <w:jc w:val="center"/>
      </w:pPr>
      <w:r w:rsidRPr="000A02D6">
        <w:t xml:space="preserve">Anotācijas III sadaļa – </w:t>
      </w:r>
      <w:r>
        <w:t>noteikumu</w:t>
      </w:r>
      <w:r w:rsidRPr="000A02D6">
        <w:t xml:space="preserve"> projekts šo jomu neskar</w:t>
      </w:r>
      <w:r>
        <w:t>.</w:t>
      </w:r>
    </w:p>
    <w:tbl>
      <w:tblPr>
        <w:tblpPr w:leftFromText="180" w:rightFromText="180" w:vertAnchor="text" w:horzAnchor="margin" w:tblpXSpec="center" w:tblpY="366"/>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2"/>
        <w:gridCol w:w="2880"/>
        <w:gridCol w:w="5804"/>
      </w:tblGrid>
      <w:tr w:rsidR="00D85DB1" w:rsidRPr="000A02D6">
        <w:trPr>
          <w:tblCellSpacing w:w="0" w:type="dxa"/>
        </w:trPr>
        <w:tc>
          <w:tcPr>
            <w:tcW w:w="9366" w:type="dxa"/>
            <w:gridSpan w:val="3"/>
            <w:vAlign w:val="center"/>
          </w:tcPr>
          <w:p w:rsidR="00D85DB1" w:rsidRPr="000A02D6" w:rsidRDefault="00D85DB1" w:rsidP="00E565AD">
            <w:pPr>
              <w:pStyle w:val="naisnod"/>
            </w:pPr>
            <w:r w:rsidRPr="000A02D6">
              <w:t>   IV  Tiesību akta projekta ietekme uz</w:t>
            </w:r>
            <w:r w:rsidRPr="000A02D6">
              <w:br/>
              <w:t>spēkā esošo tiesību normu sistēmu</w:t>
            </w:r>
          </w:p>
        </w:tc>
      </w:tr>
      <w:tr w:rsidR="00D85DB1" w:rsidRPr="000A02D6">
        <w:trPr>
          <w:trHeight w:val="650"/>
          <w:tblCellSpacing w:w="0" w:type="dxa"/>
        </w:trPr>
        <w:tc>
          <w:tcPr>
            <w:tcW w:w="682" w:type="dxa"/>
          </w:tcPr>
          <w:p w:rsidR="00D85DB1" w:rsidRPr="000A02D6" w:rsidRDefault="00D85DB1" w:rsidP="00E565AD">
            <w:pPr>
              <w:pStyle w:val="naiskr"/>
              <w:spacing w:before="0"/>
              <w:ind w:left="181" w:hanging="181"/>
              <w:jc w:val="center"/>
            </w:pPr>
            <w:r w:rsidRPr="000A02D6">
              <w:t>1.</w:t>
            </w:r>
          </w:p>
        </w:tc>
        <w:tc>
          <w:tcPr>
            <w:tcW w:w="2880" w:type="dxa"/>
          </w:tcPr>
          <w:p w:rsidR="00D85DB1" w:rsidRPr="000A02D6" w:rsidRDefault="00D85DB1" w:rsidP="00E565AD">
            <w:pPr>
              <w:pStyle w:val="naiskr"/>
              <w:spacing w:before="0" w:after="0"/>
              <w:ind w:left="180" w:hanging="10"/>
            </w:pPr>
            <w:r w:rsidRPr="000A02D6">
              <w:t>Nepieciešamie saistītie tiesību akta projekti</w:t>
            </w:r>
          </w:p>
        </w:tc>
        <w:tc>
          <w:tcPr>
            <w:tcW w:w="5804" w:type="dxa"/>
          </w:tcPr>
          <w:p w:rsidR="00D85DB1" w:rsidRPr="000A02D6" w:rsidRDefault="00D85DB1" w:rsidP="00BD3C72">
            <w:pPr>
              <w:pStyle w:val="naiskr"/>
              <w:spacing w:before="0" w:after="0"/>
              <w:rPr>
                <w:i/>
                <w:iCs/>
              </w:rPr>
            </w:pPr>
            <w:r>
              <w:t>Noteikumu projekts šo jomu neskar.</w:t>
            </w:r>
          </w:p>
        </w:tc>
      </w:tr>
      <w:tr w:rsidR="00D85DB1" w:rsidRPr="000A02D6">
        <w:trPr>
          <w:trHeight w:val="333"/>
          <w:tblCellSpacing w:w="0" w:type="dxa"/>
        </w:trPr>
        <w:tc>
          <w:tcPr>
            <w:tcW w:w="682" w:type="dxa"/>
          </w:tcPr>
          <w:p w:rsidR="00D85DB1" w:rsidRPr="000A02D6" w:rsidRDefault="00D85DB1" w:rsidP="00E565AD">
            <w:pPr>
              <w:pStyle w:val="naiskr"/>
              <w:spacing w:before="0"/>
              <w:ind w:left="181" w:hanging="181"/>
              <w:jc w:val="center"/>
            </w:pPr>
            <w:r w:rsidRPr="000A02D6">
              <w:t>2.</w:t>
            </w:r>
          </w:p>
        </w:tc>
        <w:tc>
          <w:tcPr>
            <w:tcW w:w="2880" w:type="dxa"/>
          </w:tcPr>
          <w:p w:rsidR="00D85DB1" w:rsidRPr="000A02D6" w:rsidRDefault="00D85DB1" w:rsidP="00E565AD">
            <w:pPr>
              <w:pStyle w:val="naiskr"/>
              <w:spacing w:before="0" w:after="0"/>
              <w:ind w:left="180" w:hanging="10"/>
            </w:pPr>
            <w:r w:rsidRPr="000A02D6">
              <w:t>Cita informācija</w:t>
            </w:r>
          </w:p>
        </w:tc>
        <w:tc>
          <w:tcPr>
            <w:tcW w:w="5804" w:type="dxa"/>
          </w:tcPr>
          <w:p w:rsidR="00D85DB1" w:rsidRPr="000A02D6" w:rsidRDefault="00F27A8E" w:rsidP="00F27A8E">
            <w:pPr>
              <w:pStyle w:val="naiskr"/>
              <w:spacing w:before="0" w:after="0"/>
              <w:jc w:val="both"/>
            </w:pPr>
            <w:r>
              <w:t xml:space="preserve">Līdz ar noteikumu projekta spēkā stāšanos, spēku zaudēs </w:t>
            </w:r>
            <w:r w:rsidRPr="00F27A8E">
              <w:t xml:space="preserve"> Ministru kabineta 2011.gada 30.augusta noteikum</w:t>
            </w:r>
            <w:r>
              <w:t>i</w:t>
            </w:r>
            <w:r w:rsidRPr="00F27A8E">
              <w:t xml:space="preserve"> Nr.664 „Profesionālo kvalifikāciju saraksts, kuras iegūstot kārtojami centralizētie profesionālās kvalifikācijas eksāmeni”</w:t>
            </w:r>
          </w:p>
        </w:tc>
      </w:tr>
    </w:tbl>
    <w:p w:rsidR="00D85DB1" w:rsidRPr="000A02D6" w:rsidRDefault="00D85DB1" w:rsidP="00F44C86">
      <w:pPr>
        <w:jc w:val="center"/>
      </w:pPr>
    </w:p>
    <w:p w:rsidR="00D85DB1" w:rsidRPr="000A02D6" w:rsidRDefault="00D85DB1" w:rsidP="00F44C86">
      <w:pPr>
        <w:jc w:val="center"/>
      </w:pPr>
    </w:p>
    <w:p w:rsidR="00D85DB1" w:rsidRPr="000A02D6" w:rsidRDefault="00D85DB1" w:rsidP="00F44C86">
      <w:pPr>
        <w:jc w:val="center"/>
      </w:pPr>
      <w:r w:rsidRPr="000A02D6">
        <w:t xml:space="preserve"> Anotācijas V un VI sadaļa – </w:t>
      </w:r>
      <w:r>
        <w:t>noteikumu</w:t>
      </w:r>
      <w:r w:rsidRPr="000A02D6">
        <w:t xml:space="preserve"> projekts šo jomu neskar.</w:t>
      </w:r>
    </w:p>
    <w:p w:rsidR="00D85DB1" w:rsidRPr="000A02D6" w:rsidRDefault="00D85DB1" w:rsidP="00F44C86">
      <w:pPr>
        <w:jc w:val="center"/>
      </w:pPr>
    </w:p>
    <w:tbl>
      <w:tblPr>
        <w:tblW w:w="964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8"/>
        <w:gridCol w:w="3113"/>
        <w:gridCol w:w="5959"/>
      </w:tblGrid>
      <w:tr w:rsidR="00D85DB1" w:rsidRPr="000A02D6">
        <w:trPr>
          <w:tblCellSpacing w:w="0" w:type="dxa"/>
        </w:trPr>
        <w:tc>
          <w:tcPr>
            <w:tcW w:w="9640" w:type="dxa"/>
            <w:gridSpan w:val="3"/>
            <w:vAlign w:val="center"/>
          </w:tcPr>
          <w:p w:rsidR="00D85DB1" w:rsidRPr="000A02D6" w:rsidRDefault="00D85DB1" w:rsidP="00234BCE">
            <w:pPr>
              <w:spacing w:before="68" w:after="68"/>
              <w:jc w:val="center"/>
              <w:rPr>
                <w:b/>
                <w:bCs/>
              </w:rPr>
            </w:pPr>
            <w:r w:rsidRPr="000A02D6">
              <w:rPr>
                <w:b/>
                <w:bCs/>
              </w:rPr>
              <w:t>VII. Tiesību akta projekta izpildes nodrošināšana un tās ietekme uz institūcijām</w:t>
            </w:r>
          </w:p>
        </w:tc>
      </w:tr>
      <w:tr w:rsidR="00D85DB1" w:rsidRPr="000A02D6">
        <w:trPr>
          <w:trHeight w:val="630"/>
          <w:tblCellSpacing w:w="0" w:type="dxa"/>
        </w:trPr>
        <w:tc>
          <w:tcPr>
            <w:tcW w:w="568" w:type="dxa"/>
          </w:tcPr>
          <w:p w:rsidR="00D85DB1" w:rsidRPr="000A02D6" w:rsidRDefault="00D85DB1" w:rsidP="00234BCE">
            <w:pPr>
              <w:spacing w:before="68" w:after="68"/>
            </w:pPr>
            <w:r w:rsidRPr="000A02D6">
              <w:t> 1.</w:t>
            </w:r>
          </w:p>
        </w:tc>
        <w:tc>
          <w:tcPr>
            <w:tcW w:w="3113" w:type="dxa"/>
          </w:tcPr>
          <w:p w:rsidR="00D85DB1" w:rsidRPr="000A02D6" w:rsidRDefault="00D85DB1" w:rsidP="00234BCE">
            <w:pPr>
              <w:spacing w:before="68" w:after="68"/>
            </w:pPr>
            <w:r w:rsidRPr="000A02D6">
              <w:t>Projekta izpildē iesaistītās institūcijas</w:t>
            </w:r>
          </w:p>
        </w:tc>
        <w:tc>
          <w:tcPr>
            <w:tcW w:w="5959" w:type="dxa"/>
          </w:tcPr>
          <w:p w:rsidR="00D85DB1" w:rsidRPr="000A02D6" w:rsidRDefault="00E54730" w:rsidP="00E54730">
            <w:pPr>
              <w:jc w:val="both"/>
            </w:pPr>
            <w:r w:rsidRPr="00E54730">
              <w:t>75 profesionālās izglītības iestād</w:t>
            </w:r>
            <w:r>
              <w:t>es</w:t>
            </w:r>
            <w:r w:rsidRPr="00E54730">
              <w:t>, kurās tiks organizēti profesionālās kvalifikācijas eksāmeni un aptuveni 7000 izglītojamie</w:t>
            </w:r>
            <w:r>
              <w:t>, kā arī Valsts izglītības satura centrs</w:t>
            </w:r>
            <w:r w:rsidRPr="00E54730">
              <w:t>.</w:t>
            </w:r>
          </w:p>
        </w:tc>
      </w:tr>
      <w:tr w:rsidR="00D85DB1" w:rsidRPr="000A02D6">
        <w:trPr>
          <w:trHeight w:val="472"/>
          <w:tblCellSpacing w:w="0" w:type="dxa"/>
        </w:trPr>
        <w:tc>
          <w:tcPr>
            <w:tcW w:w="568" w:type="dxa"/>
          </w:tcPr>
          <w:p w:rsidR="00D85DB1" w:rsidRPr="000A02D6" w:rsidRDefault="00D85DB1" w:rsidP="00234BCE">
            <w:pPr>
              <w:spacing w:before="68" w:after="68"/>
            </w:pPr>
            <w:r w:rsidRPr="000A02D6">
              <w:t> 2.</w:t>
            </w:r>
          </w:p>
        </w:tc>
        <w:tc>
          <w:tcPr>
            <w:tcW w:w="3113" w:type="dxa"/>
          </w:tcPr>
          <w:p w:rsidR="00D85DB1" w:rsidRPr="000A02D6" w:rsidRDefault="00D85DB1" w:rsidP="00234BCE">
            <w:pPr>
              <w:spacing w:before="68" w:after="68"/>
            </w:pPr>
            <w:r w:rsidRPr="000A02D6">
              <w:t>Projekta izpildes ietekme uz pārvaldes funkcijām</w:t>
            </w:r>
          </w:p>
        </w:tc>
        <w:tc>
          <w:tcPr>
            <w:tcW w:w="5959" w:type="dxa"/>
          </w:tcPr>
          <w:p w:rsidR="00D85DB1" w:rsidRPr="00473F67" w:rsidRDefault="00D85DB1" w:rsidP="00234BCE">
            <w:pPr>
              <w:pStyle w:val="BodyText"/>
              <w:jc w:val="both"/>
              <w:rPr>
                <w:sz w:val="24"/>
                <w:szCs w:val="24"/>
                <w:lang w:eastAsia="en-US"/>
              </w:rPr>
            </w:pPr>
            <w:r w:rsidRPr="00473F67">
              <w:rPr>
                <w:sz w:val="24"/>
                <w:szCs w:val="24"/>
                <w:lang w:eastAsia="en-US"/>
              </w:rPr>
              <w:t xml:space="preserve"> Noteikumu projekts šo jomu neskar.</w:t>
            </w:r>
          </w:p>
          <w:p w:rsidR="00D85DB1" w:rsidRPr="00473F67" w:rsidRDefault="00D85DB1" w:rsidP="00234BCE">
            <w:pPr>
              <w:pStyle w:val="BodyText"/>
              <w:jc w:val="both"/>
              <w:rPr>
                <w:sz w:val="24"/>
                <w:szCs w:val="24"/>
                <w:lang w:eastAsia="en-US"/>
              </w:rPr>
            </w:pPr>
          </w:p>
        </w:tc>
      </w:tr>
      <w:tr w:rsidR="00D85DB1" w:rsidRPr="000A02D6">
        <w:trPr>
          <w:trHeight w:val="1071"/>
          <w:tblCellSpacing w:w="0" w:type="dxa"/>
        </w:trPr>
        <w:tc>
          <w:tcPr>
            <w:tcW w:w="568" w:type="dxa"/>
          </w:tcPr>
          <w:p w:rsidR="00D85DB1" w:rsidRPr="000A02D6" w:rsidRDefault="00D85DB1" w:rsidP="00234BCE">
            <w:pPr>
              <w:spacing w:before="68" w:after="68"/>
            </w:pPr>
            <w:r w:rsidRPr="000A02D6">
              <w:t> 3.</w:t>
            </w:r>
          </w:p>
        </w:tc>
        <w:tc>
          <w:tcPr>
            <w:tcW w:w="3113" w:type="dxa"/>
          </w:tcPr>
          <w:p w:rsidR="00D85DB1" w:rsidRPr="000A02D6" w:rsidRDefault="00D85DB1" w:rsidP="0031493B">
            <w:pPr>
              <w:pStyle w:val="naisf"/>
              <w:spacing w:before="0" w:beforeAutospacing="0" w:after="0" w:afterAutospacing="0"/>
              <w:ind w:right="57"/>
            </w:pPr>
            <w:r w:rsidRPr="000A02D6">
              <w:t>Projekta izpildes ietekme uz pārvaldes institucionālo struktūru.</w:t>
            </w:r>
          </w:p>
          <w:p w:rsidR="00D85DB1" w:rsidRPr="000A02D6" w:rsidRDefault="00D85DB1" w:rsidP="00234BCE">
            <w:r w:rsidRPr="000A02D6">
              <w:t>Jaunu institūciju izveide</w:t>
            </w:r>
          </w:p>
        </w:tc>
        <w:tc>
          <w:tcPr>
            <w:tcW w:w="5959" w:type="dxa"/>
          </w:tcPr>
          <w:p w:rsidR="00D85DB1" w:rsidRPr="000A02D6" w:rsidRDefault="00D85DB1" w:rsidP="00493245">
            <w:pPr>
              <w:pStyle w:val="naisnod"/>
              <w:spacing w:before="0" w:after="0"/>
              <w:ind w:right="57"/>
              <w:jc w:val="both"/>
              <w:rPr>
                <w:b w:val="0"/>
                <w:bCs w:val="0"/>
              </w:rPr>
            </w:pPr>
            <w:r w:rsidRPr="000A02D6">
              <w:rPr>
                <w:b w:val="0"/>
                <w:bCs w:val="0"/>
                <w:color w:val="000000"/>
              </w:rPr>
              <w:t xml:space="preserve"> </w:t>
            </w:r>
            <w:r w:rsidRPr="000A02D6">
              <w:rPr>
                <w:b w:val="0"/>
                <w:bCs w:val="0"/>
              </w:rPr>
              <w:t>Noteikumu</w:t>
            </w:r>
            <w:r w:rsidRPr="000A02D6">
              <w:rPr>
                <w:b w:val="0"/>
                <w:bCs w:val="0"/>
                <w:color w:val="000000"/>
              </w:rPr>
              <w:t xml:space="preserve"> projekta izpildei nav nepieciešams radīt jaunas institūcijas.</w:t>
            </w:r>
          </w:p>
          <w:p w:rsidR="00D85DB1" w:rsidRPr="000A02D6" w:rsidRDefault="00D85DB1" w:rsidP="00F44C86">
            <w:pPr>
              <w:pStyle w:val="naisnod"/>
              <w:spacing w:before="0" w:after="0"/>
              <w:ind w:left="57" w:right="57"/>
              <w:jc w:val="left"/>
            </w:pPr>
          </w:p>
        </w:tc>
      </w:tr>
      <w:tr w:rsidR="00D85DB1" w:rsidRPr="000A02D6">
        <w:trPr>
          <w:trHeight w:val="384"/>
          <w:tblCellSpacing w:w="0" w:type="dxa"/>
        </w:trPr>
        <w:tc>
          <w:tcPr>
            <w:tcW w:w="568" w:type="dxa"/>
          </w:tcPr>
          <w:p w:rsidR="00D85DB1" w:rsidRPr="000A02D6" w:rsidRDefault="00D85DB1" w:rsidP="00234BCE">
            <w:pPr>
              <w:spacing w:before="68" w:after="68"/>
            </w:pPr>
            <w:r w:rsidRPr="000A02D6">
              <w:t> 4.</w:t>
            </w:r>
          </w:p>
        </w:tc>
        <w:tc>
          <w:tcPr>
            <w:tcW w:w="3113" w:type="dxa"/>
          </w:tcPr>
          <w:p w:rsidR="00D85DB1" w:rsidRPr="000A02D6" w:rsidRDefault="00D85DB1" w:rsidP="0031493B">
            <w:pPr>
              <w:pStyle w:val="naisf"/>
              <w:spacing w:before="0" w:beforeAutospacing="0" w:after="0" w:afterAutospacing="0"/>
              <w:ind w:right="57"/>
            </w:pPr>
            <w:r w:rsidRPr="000A02D6">
              <w:t xml:space="preserve">Projekta izpildes ietekme uz pārvaldes institucionālo </w:t>
            </w:r>
            <w:r w:rsidRPr="000A02D6">
              <w:lastRenderedPageBreak/>
              <w:t>struktūru.</w:t>
            </w:r>
          </w:p>
          <w:p w:rsidR="00D85DB1" w:rsidRPr="000A02D6" w:rsidRDefault="00D85DB1" w:rsidP="00234BCE">
            <w:r w:rsidRPr="000A02D6">
              <w:t>Esošu institūciju likvidācija</w:t>
            </w:r>
          </w:p>
        </w:tc>
        <w:tc>
          <w:tcPr>
            <w:tcW w:w="5959" w:type="dxa"/>
          </w:tcPr>
          <w:p w:rsidR="00D85DB1" w:rsidRPr="000A02D6" w:rsidRDefault="00D85DB1" w:rsidP="00234BCE">
            <w:pPr>
              <w:pStyle w:val="naiskr"/>
              <w:spacing w:before="0" w:after="0"/>
            </w:pPr>
            <w:r w:rsidRPr="000A02D6">
              <w:lastRenderedPageBreak/>
              <w:t xml:space="preserve"> Noteikumu projekts šo jomu neskar.</w:t>
            </w:r>
          </w:p>
        </w:tc>
      </w:tr>
      <w:tr w:rsidR="00D85DB1" w:rsidRPr="000A02D6">
        <w:trPr>
          <w:trHeight w:val="476"/>
          <w:tblCellSpacing w:w="0" w:type="dxa"/>
        </w:trPr>
        <w:tc>
          <w:tcPr>
            <w:tcW w:w="568" w:type="dxa"/>
          </w:tcPr>
          <w:p w:rsidR="00D85DB1" w:rsidRPr="000A02D6" w:rsidRDefault="00D85DB1" w:rsidP="00234BCE">
            <w:pPr>
              <w:spacing w:before="68" w:after="68"/>
            </w:pPr>
            <w:r w:rsidRPr="000A02D6">
              <w:lastRenderedPageBreak/>
              <w:t> 5.</w:t>
            </w:r>
          </w:p>
        </w:tc>
        <w:tc>
          <w:tcPr>
            <w:tcW w:w="3113" w:type="dxa"/>
          </w:tcPr>
          <w:p w:rsidR="00D85DB1" w:rsidRPr="000A02D6" w:rsidRDefault="00D85DB1" w:rsidP="0031493B">
            <w:pPr>
              <w:pStyle w:val="naisf"/>
              <w:spacing w:before="0" w:beforeAutospacing="0" w:after="0" w:afterAutospacing="0"/>
              <w:ind w:right="57"/>
            </w:pPr>
            <w:r w:rsidRPr="000A02D6">
              <w:t>Projekta izpildes ietekme uz pārvaldes institucionālo struktūru.</w:t>
            </w:r>
          </w:p>
          <w:p w:rsidR="00D85DB1" w:rsidRPr="000A02D6" w:rsidRDefault="00D85DB1" w:rsidP="00234BCE">
            <w:r w:rsidRPr="000A02D6">
              <w:t>Esošu institūciju reorganizācija</w:t>
            </w:r>
          </w:p>
        </w:tc>
        <w:tc>
          <w:tcPr>
            <w:tcW w:w="5959" w:type="dxa"/>
          </w:tcPr>
          <w:p w:rsidR="00D85DB1" w:rsidRPr="000A02D6" w:rsidRDefault="00D85DB1" w:rsidP="00234BCE">
            <w:pPr>
              <w:tabs>
                <w:tab w:val="left" w:pos="0"/>
              </w:tabs>
              <w:spacing w:before="68" w:after="68"/>
            </w:pPr>
            <w:r w:rsidRPr="000A02D6">
              <w:t xml:space="preserve"> Noteikumu projekts šo jomu neskar.</w:t>
            </w:r>
          </w:p>
          <w:p w:rsidR="00D85DB1" w:rsidRPr="000A02D6" w:rsidRDefault="00D85DB1" w:rsidP="00234BCE">
            <w:pPr>
              <w:tabs>
                <w:tab w:val="left" w:pos="0"/>
              </w:tabs>
              <w:spacing w:before="68" w:after="68"/>
            </w:pPr>
          </w:p>
        </w:tc>
      </w:tr>
      <w:tr w:rsidR="00D85DB1" w:rsidRPr="000A02D6">
        <w:trPr>
          <w:trHeight w:val="386"/>
          <w:tblCellSpacing w:w="0" w:type="dxa"/>
        </w:trPr>
        <w:tc>
          <w:tcPr>
            <w:tcW w:w="568" w:type="dxa"/>
          </w:tcPr>
          <w:p w:rsidR="00D85DB1" w:rsidRPr="000A02D6" w:rsidRDefault="00D85DB1" w:rsidP="00F44C86">
            <w:pPr>
              <w:spacing w:before="68" w:after="68"/>
            </w:pPr>
            <w:r w:rsidRPr="000A02D6">
              <w:t> 6.</w:t>
            </w:r>
          </w:p>
        </w:tc>
        <w:tc>
          <w:tcPr>
            <w:tcW w:w="3113" w:type="dxa"/>
          </w:tcPr>
          <w:p w:rsidR="00D85DB1" w:rsidRPr="000A02D6" w:rsidRDefault="00D85DB1" w:rsidP="00F44C86">
            <w:pPr>
              <w:spacing w:before="68" w:after="68"/>
            </w:pPr>
            <w:r w:rsidRPr="000A02D6">
              <w:t>Cita informācija</w:t>
            </w:r>
          </w:p>
        </w:tc>
        <w:tc>
          <w:tcPr>
            <w:tcW w:w="5959" w:type="dxa"/>
          </w:tcPr>
          <w:p w:rsidR="00D85DB1" w:rsidRPr="000A02D6" w:rsidRDefault="00D85DB1" w:rsidP="004F244B">
            <w:pPr>
              <w:jc w:val="both"/>
            </w:pPr>
            <w:r w:rsidRPr="000A02D6">
              <w:t xml:space="preserve"> Nav.</w:t>
            </w:r>
          </w:p>
        </w:tc>
      </w:tr>
    </w:tbl>
    <w:p w:rsidR="00D85DB1" w:rsidRPr="000A02D6" w:rsidRDefault="00D85DB1" w:rsidP="00F44C86">
      <w:pPr>
        <w:tabs>
          <w:tab w:val="left" w:pos="5040"/>
          <w:tab w:val="left" w:pos="6840"/>
        </w:tabs>
        <w:ind w:firstLine="720"/>
        <w:jc w:val="both"/>
      </w:pPr>
    </w:p>
    <w:p w:rsidR="00D85DB1" w:rsidRPr="000A02D6" w:rsidRDefault="00D85DB1" w:rsidP="00F44C86">
      <w:pPr>
        <w:tabs>
          <w:tab w:val="left" w:pos="5040"/>
          <w:tab w:val="left" w:pos="6840"/>
        </w:tabs>
        <w:ind w:firstLine="720"/>
        <w:jc w:val="both"/>
      </w:pPr>
    </w:p>
    <w:p w:rsidR="00D85DB1" w:rsidRPr="000A02D6" w:rsidRDefault="00D85DB1" w:rsidP="000A02D6">
      <w:pPr>
        <w:tabs>
          <w:tab w:val="left" w:pos="3790"/>
        </w:tabs>
        <w:ind w:firstLine="720"/>
        <w:jc w:val="both"/>
      </w:pPr>
      <w:r>
        <w:tab/>
      </w:r>
    </w:p>
    <w:p w:rsidR="00D85DB1" w:rsidRPr="000A02D6" w:rsidRDefault="00D85DB1" w:rsidP="00F44C86">
      <w:pPr>
        <w:tabs>
          <w:tab w:val="left" w:pos="5040"/>
          <w:tab w:val="left" w:pos="6840"/>
        </w:tabs>
        <w:ind w:firstLine="720"/>
        <w:jc w:val="both"/>
      </w:pPr>
    </w:p>
    <w:p w:rsidR="00D85DB1" w:rsidRDefault="00D85DB1" w:rsidP="00F44C86">
      <w:pPr>
        <w:tabs>
          <w:tab w:val="left" w:pos="5040"/>
          <w:tab w:val="left" w:pos="6840"/>
        </w:tabs>
        <w:ind w:firstLine="720"/>
        <w:jc w:val="both"/>
      </w:pPr>
      <w:r w:rsidRPr="000A02D6">
        <w:t>Izglītības un zinātnes ministrs</w:t>
      </w:r>
      <w:r w:rsidRPr="000A02D6">
        <w:tab/>
      </w:r>
      <w:r w:rsidRPr="000A02D6">
        <w:tab/>
      </w:r>
      <w:r w:rsidRPr="000A02D6">
        <w:tab/>
        <w:t>V.Dombrovskis</w:t>
      </w:r>
    </w:p>
    <w:p w:rsidR="00D85DB1" w:rsidRDefault="00D85DB1" w:rsidP="00F44C86">
      <w:pPr>
        <w:tabs>
          <w:tab w:val="left" w:pos="5040"/>
          <w:tab w:val="left" w:pos="6840"/>
        </w:tabs>
        <w:ind w:firstLine="720"/>
        <w:jc w:val="both"/>
      </w:pPr>
    </w:p>
    <w:p w:rsidR="00D85DB1" w:rsidRDefault="00D85DB1" w:rsidP="00F44C86">
      <w:pPr>
        <w:tabs>
          <w:tab w:val="left" w:pos="5040"/>
          <w:tab w:val="left" w:pos="6840"/>
        </w:tabs>
        <w:ind w:firstLine="720"/>
        <w:jc w:val="both"/>
      </w:pPr>
      <w:r>
        <w:t>Vīzē:</w:t>
      </w:r>
    </w:p>
    <w:p w:rsidR="00D85DB1" w:rsidRPr="000A02D6" w:rsidRDefault="00D85DB1" w:rsidP="00F44C86">
      <w:pPr>
        <w:tabs>
          <w:tab w:val="left" w:pos="5040"/>
          <w:tab w:val="left" w:pos="6840"/>
        </w:tabs>
        <w:ind w:firstLine="720"/>
        <w:jc w:val="both"/>
      </w:pPr>
      <w:r>
        <w:t>Valsts sekretāre</w:t>
      </w:r>
      <w:r>
        <w:tab/>
      </w:r>
      <w:r>
        <w:tab/>
      </w:r>
      <w:r>
        <w:tab/>
        <w:t>S.Liepiņa</w:t>
      </w:r>
    </w:p>
    <w:p w:rsidR="00D85DB1" w:rsidRPr="000A02D6" w:rsidRDefault="00D85DB1" w:rsidP="00F44C86"/>
    <w:p w:rsidR="00D85DB1" w:rsidRPr="000A02D6" w:rsidRDefault="00D85DB1" w:rsidP="00F44C86">
      <w:pPr>
        <w:jc w:val="both"/>
      </w:pPr>
      <w:bookmarkStart w:id="2" w:name="_GoBack"/>
      <w:bookmarkEnd w:id="2"/>
    </w:p>
    <w:p w:rsidR="00D85DB1" w:rsidRDefault="00D85DB1" w:rsidP="00F44C86">
      <w:pPr>
        <w:jc w:val="both"/>
      </w:pPr>
    </w:p>
    <w:p w:rsidR="00D85DB1" w:rsidRPr="000A02D6" w:rsidRDefault="00A54A67" w:rsidP="006875ED">
      <w:pPr>
        <w:ind w:firstLine="720"/>
        <w:rPr>
          <w:sz w:val="16"/>
          <w:szCs w:val="16"/>
        </w:rPr>
      </w:pPr>
      <w:r>
        <w:rPr>
          <w:sz w:val="16"/>
          <w:szCs w:val="16"/>
        </w:rPr>
        <w:t>27</w:t>
      </w:r>
      <w:r w:rsidR="00D85DB1" w:rsidRPr="000A02D6">
        <w:rPr>
          <w:sz w:val="16"/>
          <w:szCs w:val="16"/>
        </w:rPr>
        <w:t>.0</w:t>
      </w:r>
      <w:r w:rsidR="00F46801">
        <w:rPr>
          <w:sz w:val="16"/>
          <w:szCs w:val="16"/>
        </w:rPr>
        <w:t>9</w:t>
      </w:r>
      <w:r w:rsidR="00D85DB1" w:rsidRPr="000A02D6">
        <w:rPr>
          <w:sz w:val="16"/>
          <w:szCs w:val="16"/>
        </w:rPr>
        <w:t>.2013. 1</w:t>
      </w:r>
      <w:r w:rsidR="00F46801">
        <w:rPr>
          <w:sz w:val="16"/>
          <w:szCs w:val="16"/>
        </w:rPr>
        <w:t>4</w:t>
      </w:r>
      <w:r w:rsidR="00D85DB1" w:rsidRPr="000A02D6">
        <w:rPr>
          <w:sz w:val="16"/>
          <w:szCs w:val="16"/>
        </w:rPr>
        <w:t>:</w:t>
      </w:r>
      <w:r w:rsidR="00D85DB1">
        <w:rPr>
          <w:sz w:val="16"/>
          <w:szCs w:val="16"/>
        </w:rPr>
        <w:t>00</w:t>
      </w:r>
    </w:p>
    <w:p w:rsidR="00D85DB1" w:rsidRPr="000A02D6" w:rsidRDefault="008A00B8" w:rsidP="00D34B5E">
      <w:pPr>
        <w:tabs>
          <w:tab w:val="left" w:pos="3855"/>
        </w:tabs>
        <w:ind w:firstLine="709"/>
        <w:rPr>
          <w:sz w:val="16"/>
          <w:szCs w:val="16"/>
        </w:rPr>
      </w:pPr>
      <w:r>
        <w:rPr>
          <w:sz w:val="16"/>
          <w:szCs w:val="16"/>
        </w:rPr>
        <w:t>796</w:t>
      </w:r>
      <w:r w:rsidR="00D85DB1" w:rsidRPr="000A02D6">
        <w:rPr>
          <w:sz w:val="16"/>
          <w:szCs w:val="16"/>
        </w:rPr>
        <w:tab/>
      </w:r>
    </w:p>
    <w:p w:rsidR="00D85DB1" w:rsidRPr="000A02D6" w:rsidRDefault="00A54A67" w:rsidP="00F44C86">
      <w:pPr>
        <w:ind w:firstLine="720"/>
        <w:rPr>
          <w:sz w:val="16"/>
          <w:szCs w:val="16"/>
        </w:rPr>
      </w:pPr>
      <w:r>
        <w:rPr>
          <w:sz w:val="16"/>
          <w:szCs w:val="16"/>
        </w:rPr>
        <w:t>I.Buķis-Fleitmanis</w:t>
      </w:r>
    </w:p>
    <w:p w:rsidR="00D85DB1" w:rsidRPr="001C791F" w:rsidRDefault="00D85DB1" w:rsidP="00D34B5E">
      <w:pPr>
        <w:ind w:firstLine="720"/>
        <w:rPr>
          <w:sz w:val="4"/>
          <w:szCs w:val="4"/>
        </w:rPr>
      </w:pPr>
      <w:r w:rsidRPr="000A02D6">
        <w:rPr>
          <w:sz w:val="16"/>
          <w:szCs w:val="16"/>
        </w:rPr>
        <w:t>6</w:t>
      </w:r>
      <w:r w:rsidR="00A54A67">
        <w:rPr>
          <w:sz w:val="16"/>
          <w:szCs w:val="16"/>
        </w:rPr>
        <w:t>7503026</w:t>
      </w:r>
      <w:r w:rsidRPr="000A02D6">
        <w:rPr>
          <w:sz w:val="16"/>
          <w:szCs w:val="16"/>
        </w:rPr>
        <w:t xml:space="preserve">, </w:t>
      </w:r>
      <w:r w:rsidR="00A54A67">
        <w:rPr>
          <w:sz w:val="16"/>
          <w:szCs w:val="16"/>
        </w:rPr>
        <w:t>igors.bukis-fleitmanis@visc.gov.lv</w:t>
      </w:r>
    </w:p>
    <w:sectPr w:rsidR="00D85DB1" w:rsidRPr="001C791F" w:rsidSect="00EC3004">
      <w:headerReference w:type="default" r:id="rId8"/>
      <w:footerReference w:type="default" r:id="rId9"/>
      <w:footerReference w:type="first" r:id="rId10"/>
      <w:pgSz w:w="11906" w:h="16838"/>
      <w:pgMar w:top="851"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DD" w:rsidRDefault="001009DD" w:rsidP="00F44C86">
      <w:r>
        <w:separator/>
      </w:r>
    </w:p>
  </w:endnote>
  <w:endnote w:type="continuationSeparator" w:id="0">
    <w:p w:rsidR="001009DD" w:rsidRDefault="001009DD" w:rsidP="00F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B1" w:rsidRPr="00F3343F" w:rsidRDefault="00D85DB1" w:rsidP="00F3343F">
    <w:pPr>
      <w:pStyle w:val="naisc"/>
      <w:spacing w:before="0" w:after="0"/>
      <w:jc w:val="both"/>
      <w:rPr>
        <w:sz w:val="20"/>
        <w:szCs w:val="20"/>
      </w:rPr>
    </w:pPr>
    <w:r w:rsidRPr="00F3343F">
      <w:rPr>
        <w:sz w:val="20"/>
        <w:szCs w:val="20"/>
      </w:rPr>
      <w:t>IZMAnot_</w:t>
    </w:r>
    <w:r>
      <w:rPr>
        <w:sz w:val="20"/>
        <w:szCs w:val="20"/>
      </w:rPr>
      <w:t>310713_CPKE_saraksts</w:t>
    </w:r>
    <w:r w:rsidRPr="00F3343F">
      <w:rPr>
        <w:sz w:val="20"/>
        <w:szCs w:val="20"/>
      </w:rPr>
      <w:t xml:space="preserve">; Ministru kabineta </w:t>
    </w:r>
    <w:r>
      <w:rPr>
        <w:sz w:val="20"/>
        <w:szCs w:val="20"/>
      </w:rPr>
      <w:t xml:space="preserve">noteikumu </w:t>
    </w:r>
    <w:r w:rsidRPr="00F3343F">
      <w:rPr>
        <w:sz w:val="20"/>
        <w:szCs w:val="20"/>
      </w:rPr>
      <w:t>projekta „</w:t>
    </w:r>
    <w:r>
      <w:rPr>
        <w:sz w:val="20"/>
        <w:szCs w:val="20"/>
      </w:rPr>
      <w:t>Profesionālo kvalifikāciju saraksts, kuras iegūstot kārtojami centralizētie profesionālās kvalifikācijas eksāmeni</w:t>
    </w:r>
    <w:r w:rsidRPr="00F3343F">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B1" w:rsidRPr="00F3343F" w:rsidRDefault="00D85DB1" w:rsidP="00F3343F">
    <w:pPr>
      <w:pStyle w:val="naisc"/>
      <w:spacing w:before="0" w:after="0"/>
      <w:jc w:val="both"/>
      <w:rPr>
        <w:sz w:val="20"/>
        <w:szCs w:val="20"/>
      </w:rPr>
    </w:pPr>
    <w:r w:rsidRPr="00F3343F">
      <w:rPr>
        <w:sz w:val="20"/>
        <w:szCs w:val="20"/>
      </w:rPr>
      <w:t>IZMAnot_</w:t>
    </w:r>
    <w:r>
      <w:rPr>
        <w:sz w:val="20"/>
        <w:szCs w:val="20"/>
      </w:rPr>
      <w:t>310713_CPKE_saraksts</w:t>
    </w:r>
    <w:r w:rsidRPr="00F3343F">
      <w:rPr>
        <w:sz w:val="20"/>
        <w:szCs w:val="20"/>
      </w:rPr>
      <w:t>; Ministru kabineta rīkojuma projekta „</w:t>
    </w:r>
    <w:r>
      <w:rPr>
        <w:sz w:val="20"/>
        <w:szCs w:val="20"/>
      </w:rPr>
      <w:t>Profesionālo kvalifikāciju saraksts, kuras iegūstot kārtojami centralizētie profesionālās kvalifikācijas eksāmeni</w:t>
    </w:r>
    <w:r w:rsidRPr="00F3343F">
      <w:rPr>
        <w:sz w:val="20"/>
        <w:szCs w:val="20"/>
      </w:rPr>
      <w:t>” sākotnējās ietekmes n</w:t>
    </w:r>
    <w:r>
      <w:rPr>
        <w:sz w:val="20"/>
        <w:szCs w:val="20"/>
      </w:rPr>
      <w:t>ovērtējuma ziņojums (anotācija)</w:t>
    </w:r>
  </w:p>
  <w:p w:rsidR="00D85DB1" w:rsidRPr="00F3343F" w:rsidRDefault="00D85DB1" w:rsidP="00F3343F">
    <w:pPr>
      <w:pStyle w:val="naisc"/>
      <w:spacing w:before="0" w:after="0"/>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DD" w:rsidRDefault="001009DD" w:rsidP="00F44C86">
      <w:r>
        <w:separator/>
      </w:r>
    </w:p>
  </w:footnote>
  <w:footnote w:type="continuationSeparator" w:id="0">
    <w:p w:rsidR="001009DD" w:rsidRDefault="001009DD" w:rsidP="00F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B1" w:rsidRDefault="00EC3004">
    <w:pPr>
      <w:pStyle w:val="Header"/>
      <w:jc w:val="center"/>
    </w:pPr>
    <w:r>
      <w:fldChar w:fldCharType="begin"/>
    </w:r>
    <w:r>
      <w:instrText xml:space="preserve"> PAGE   \* MERGEFORMAT </w:instrText>
    </w:r>
    <w:r>
      <w:fldChar w:fldCharType="separate"/>
    </w:r>
    <w:r w:rsidR="008A00B8">
      <w:rPr>
        <w:noProof/>
      </w:rPr>
      <w:t>4</w:t>
    </w:r>
    <w:r>
      <w:rPr>
        <w:noProof/>
      </w:rPr>
      <w:fldChar w:fldCharType="end"/>
    </w:r>
  </w:p>
  <w:p w:rsidR="00D85DB1" w:rsidRDefault="00D85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66A35"/>
    <w:multiLevelType w:val="hybridMultilevel"/>
    <w:tmpl w:val="F872BDBC"/>
    <w:lvl w:ilvl="0" w:tplc="779052FE">
      <w:start w:val="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86"/>
    <w:rsid w:val="00001838"/>
    <w:rsid w:val="000111F4"/>
    <w:rsid w:val="000148DD"/>
    <w:rsid w:val="00030339"/>
    <w:rsid w:val="000317C1"/>
    <w:rsid w:val="00034457"/>
    <w:rsid w:val="00034D1C"/>
    <w:rsid w:val="000362D2"/>
    <w:rsid w:val="00046D09"/>
    <w:rsid w:val="000606F1"/>
    <w:rsid w:val="00061994"/>
    <w:rsid w:val="00063904"/>
    <w:rsid w:val="00066911"/>
    <w:rsid w:val="00074CAF"/>
    <w:rsid w:val="00092674"/>
    <w:rsid w:val="00096DB3"/>
    <w:rsid w:val="000A02D6"/>
    <w:rsid w:val="000A2BB5"/>
    <w:rsid w:val="000B365B"/>
    <w:rsid w:val="000C09B9"/>
    <w:rsid w:val="000D0C87"/>
    <w:rsid w:val="000F37E9"/>
    <w:rsid w:val="000F6757"/>
    <w:rsid w:val="000F6C9E"/>
    <w:rsid w:val="001009DD"/>
    <w:rsid w:val="0010678C"/>
    <w:rsid w:val="0011433F"/>
    <w:rsid w:val="001227DB"/>
    <w:rsid w:val="0012295F"/>
    <w:rsid w:val="00142635"/>
    <w:rsid w:val="0015374E"/>
    <w:rsid w:val="00156ECE"/>
    <w:rsid w:val="00174597"/>
    <w:rsid w:val="0018083A"/>
    <w:rsid w:val="00192A90"/>
    <w:rsid w:val="001953EF"/>
    <w:rsid w:val="001A2A88"/>
    <w:rsid w:val="001C791F"/>
    <w:rsid w:val="001D09A3"/>
    <w:rsid w:val="001E0B42"/>
    <w:rsid w:val="00205F8F"/>
    <w:rsid w:val="00216BEF"/>
    <w:rsid w:val="00217CCE"/>
    <w:rsid w:val="002241EB"/>
    <w:rsid w:val="00234BCE"/>
    <w:rsid w:val="00236E10"/>
    <w:rsid w:val="002603E3"/>
    <w:rsid w:val="00271925"/>
    <w:rsid w:val="00275935"/>
    <w:rsid w:val="00277222"/>
    <w:rsid w:val="0028556A"/>
    <w:rsid w:val="00293E9A"/>
    <w:rsid w:val="002B425F"/>
    <w:rsid w:val="002D0460"/>
    <w:rsid w:val="002D4818"/>
    <w:rsid w:val="002E3AB1"/>
    <w:rsid w:val="002E4F5A"/>
    <w:rsid w:val="002F4960"/>
    <w:rsid w:val="002F7635"/>
    <w:rsid w:val="0030399E"/>
    <w:rsid w:val="00304EF9"/>
    <w:rsid w:val="0031493B"/>
    <w:rsid w:val="003160BB"/>
    <w:rsid w:val="003256FF"/>
    <w:rsid w:val="00326872"/>
    <w:rsid w:val="00337D17"/>
    <w:rsid w:val="00340BF7"/>
    <w:rsid w:val="003671CA"/>
    <w:rsid w:val="00375876"/>
    <w:rsid w:val="003771A8"/>
    <w:rsid w:val="00380671"/>
    <w:rsid w:val="00383113"/>
    <w:rsid w:val="00393780"/>
    <w:rsid w:val="003A57C4"/>
    <w:rsid w:val="003B1FB0"/>
    <w:rsid w:val="003B4853"/>
    <w:rsid w:val="003C619C"/>
    <w:rsid w:val="00400692"/>
    <w:rsid w:val="00401BB0"/>
    <w:rsid w:val="004105CE"/>
    <w:rsid w:val="00415DB4"/>
    <w:rsid w:val="0041685E"/>
    <w:rsid w:val="004259D6"/>
    <w:rsid w:val="00425A81"/>
    <w:rsid w:val="00437CAE"/>
    <w:rsid w:val="00443C3F"/>
    <w:rsid w:val="004505F7"/>
    <w:rsid w:val="0045136D"/>
    <w:rsid w:val="00470AC2"/>
    <w:rsid w:val="00473F67"/>
    <w:rsid w:val="00477EC4"/>
    <w:rsid w:val="00493245"/>
    <w:rsid w:val="00496E85"/>
    <w:rsid w:val="004B076E"/>
    <w:rsid w:val="004B2280"/>
    <w:rsid w:val="004B3709"/>
    <w:rsid w:val="004B453A"/>
    <w:rsid w:val="004C43C1"/>
    <w:rsid w:val="004C5C7C"/>
    <w:rsid w:val="004C6EF0"/>
    <w:rsid w:val="004D1AF5"/>
    <w:rsid w:val="004D308E"/>
    <w:rsid w:val="004D716A"/>
    <w:rsid w:val="004E6919"/>
    <w:rsid w:val="004F244B"/>
    <w:rsid w:val="00516936"/>
    <w:rsid w:val="00516DE3"/>
    <w:rsid w:val="005177C4"/>
    <w:rsid w:val="00527513"/>
    <w:rsid w:val="00543EE6"/>
    <w:rsid w:val="005510B9"/>
    <w:rsid w:val="00554DD8"/>
    <w:rsid w:val="0055542C"/>
    <w:rsid w:val="00560CAB"/>
    <w:rsid w:val="00573727"/>
    <w:rsid w:val="00580835"/>
    <w:rsid w:val="00581452"/>
    <w:rsid w:val="005A50C2"/>
    <w:rsid w:val="005B3F46"/>
    <w:rsid w:val="005C035C"/>
    <w:rsid w:val="005C58CE"/>
    <w:rsid w:val="005D1593"/>
    <w:rsid w:val="005D2FA8"/>
    <w:rsid w:val="00604A1D"/>
    <w:rsid w:val="0060507D"/>
    <w:rsid w:val="006071ED"/>
    <w:rsid w:val="00607475"/>
    <w:rsid w:val="0061471F"/>
    <w:rsid w:val="00632ABE"/>
    <w:rsid w:val="006354DD"/>
    <w:rsid w:val="006371E9"/>
    <w:rsid w:val="0064206B"/>
    <w:rsid w:val="00654AB7"/>
    <w:rsid w:val="00662C98"/>
    <w:rsid w:val="00666A1B"/>
    <w:rsid w:val="00674D83"/>
    <w:rsid w:val="00677E6C"/>
    <w:rsid w:val="006875ED"/>
    <w:rsid w:val="006B053B"/>
    <w:rsid w:val="006B154B"/>
    <w:rsid w:val="006B1924"/>
    <w:rsid w:val="006C3A85"/>
    <w:rsid w:val="006D3AE8"/>
    <w:rsid w:val="006E2ADB"/>
    <w:rsid w:val="006E630B"/>
    <w:rsid w:val="006E65BF"/>
    <w:rsid w:val="006F56D8"/>
    <w:rsid w:val="00702913"/>
    <w:rsid w:val="00720C0E"/>
    <w:rsid w:val="0073548D"/>
    <w:rsid w:val="007416EF"/>
    <w:rsid w:val="0074370A"/>
    <w:rsid w:val="00751F16"/>
    <w:rsid w:val="00767F1E"/>
    <w:rsid w:val="00773DC4"/>
    <w:rsid w:val="00785123"/>
    <w:rsid w:val="00793814"/>
    <w:rsid w:val="007958FC"/>
    <w:rsid w:val="007A35D1"/>
    <w:rsid w:val="007A4E1B"/>
    <w:rsid w:val="007A5EF2"/>
    <w:rsid w:val="007B354A"/>
    <w:rsid w:val="007B740E"/>
    <w:rsid w:val="007C2089"/>
    <w:rsid w:val="007D19C7"/>
    <w:rsid w:val="007E36AA"/>
    <w:rsid w:val="008069E9"/>
    <w:rsid w:val="008118B1"/>
    <w:rsid w:val="00822FF0"/>
    <w:rsid w:val="0083233B"/>
    <w:rsid w:val="0083277D"/>
    <w:rsid w:val="008336DD"/>
    <w:rsid w:val="008429F2"/>
    <w:rsid w:val="0084784F"/>
    <w:rsid w:val="00887116"/>
    <w:rsid w:val="00893EF7"/>
    <w:rsid w:val="008A00B8"/>
    <w:rsid w:val="008B0C3B"/>
    <w:rsid w:val="008B1A8A"/>
    <w:rsid w:val="008B4047"/>
    <w:rsid w:val="008D34F8"/>
    <w:rsid w:val="008D55FC"/>
    <w:rsid w:val="008D7AD4"/>
    <w:rsid w:val="008E2A0A"/>
    <w:rsid w:val="008F23CF"/>
    <w:rsid w:val="008F3803"/>
    <w:rsid w:val="00906F01"/>
    <w:rsid w:val="00911244"/>
    <w:rsid w:val="0091246C"/>
    <w:rsid w:val="00953B4B"/>
    <w:rsid w:val="00957165"/>
    <w:rsid w:val="009605C4"/>
    <w:rsid w:val="00967382"/>
    <w:rsid w:val="0097580F"/>
    <w:rsid w:val="0097785B"/>
    <w:rsid w:val="0097793B"/>
    <w:rsid w:val="00980A6B"/>
    <w:rsid w:val="009818ED"/>
    <w:rsid w:val="0098250D"/>
    <w:rsid w:val="0098301F"/>
    <w:rsid w:val="00994B83"/>
    <w:rsid w:val="009A17E8"/>
    <w:rsid w:val="009A3A5A"/>
    <w:rsid w:val="009A7B59"/>
    <w:rsid w:val="009B63EF"/>
    <w:rsid w:val="009E39FA"/>
    <w:rsid w:val="00A01258"/>
    <w:rsid w:val="00A03773"/>
    <w:rsid w:val="00A0774A"/>
    <w:rsid w:val="00A17B7C"/>
    <w:rsid w:val="00A437CD"/>
    <w:rsid w:val="00A461A5"/>
    <w:rsid w:val="00A54A67"/>
    <w:rsid w:val="00A67680"/>
    <w:rsid w:val="00A74C1D"/>
    <w:rsid w:val="00A84D2E"/>
    <w:rsid w:val="00A97673"/>
    <w:rsid w:val="00AA0897"/>
    <w:rsid w:val="00AA0D7B"/>
    <w:rsid w:val="00AA6A7A"/>
    <w:rsid w:val="00AB61F9"/>
    <w:rsid w:val="00AE0FE6"/>
    <w:rsid w:val="00AF2810"/>
    <w:rsid w:val="00B02993"/>
    <w:rsid w:val="00B048DC"/>
    <w:rsid w:val="00B110B0"/>
    <w:rsid w:val="00B161B9"/>
    <w:rsid w:val="00B3195E"/>
    <w:rsid w:val="00B403AA"/>
    <w:rsid w:val="00B457E6"/>
    <w:rsid w:val="00B46349"/>
    <w:rsid w:val="00B57C14"/>
    <w:rsid w:val="00B65C63"/>
    <w:rsid w:val="00B71313"/>
    <w:rsid w:val="00B74D5F"/>
    <w:rsid w:val="00B7545C"/>
    <w:rsid w:val="00B81D0D"/>
    <w:rsid w:val="00B83D0D"/>
    <w:rsid w:val="00B8562D"/>
    <w:rsid w:val="00B90C46"/>
    <w:rsid w:val="00B922A1"/>
    <w:rsid w:val="00BA1ED1"/>
    <w:rsid w:val="00BA7E62"/>
    <w:rsid w:val="00BD1AE5"/>
    <w:rsid w:val="00BD29A4"/>
    <w:rsid w:val="00BD3C72"/>
    <w:rsid w:val="00BE2CA8"/>
    <w:rsid w:val="00BE4318"/>
    <w:rsid w:val="00BF16D6"/>
    <w:rsid w:val="00BF2822"/>
    <w:rsid w:val="00BF7812"/>
    <w:rsid w:val="00C03102"/>
    <w:rsid w:val="00C122B3"/>
    <w:rsid w:val="00C40A77"/>
    <w:rsid w:val="00C438B9"/>
    <w:rsid w:val="00C43C69"/>
    <w:rsid w:val="00C464D9"/>
    <w:rsid w:val="00C60955"/>
    <w:rsid w:val="00C653E0"/>
    <w:rsid w:val="00C82CB2"/>
    <w:rsid w:val="00C85179"/>
    <w:rsid w:val="00C85FDA"/>
    <w:rsid w:val="00C9577F"/>
    <w:rsid w:val="00CB6B06"/>
    <w:rsid w:val="00CB76FB"/>
    <w:rsid w:val="00CC1D73"/>
    <w:rsid w:val="00CD0C4D"/>
    <w:rsid w:val="00CD2491"/>
    <w:rsid w:val="00CD33A7"/>
    <w:rsid w:val="00CE2C74"/>
    <w:rsid w:val="00CF04A1"/>
    <w:rsid w:val="00CF196C"/>
    <w:rsid w:val="00D05EB6"/>
    <w:rsid w:val="00D229BC"/>
    <w:rsid w:val="00D3039E"/>
    <w:rsid w:val="00D30774"/>
    <w:rsid w:val="00D309E4"/>
    <w:rsid w:val="00D34B5E"/>
    <w:rsid w:val="00D364E5"/>
    <w:rsid w:val="00D3726D"/>
    <w:rsid w:val="00D46FB9"/>
    <w:rsid w:val="00D527C5"/>
    <w:rsid w:val="00D600F5"/>
    <w:rsid w:val="00D60135"/>
    <w:rsid w:val="00D67A80"/>
    <w:rsid w:val="00D74B3B"/>
    <w:rsid w:val="00D7574C"/>
    <w:rsid w:val="00D807BE"/>
    <w:rsid w:val="00D840B3"/>
    <w:rsid w:val="00D840D0"/>
    <w:rsid w:val="00D8432A"/>
    <w:rsid w:val="00D85DB1"/>
    <w:rsid w:val="00D95B2E"/>
    <w:rsid w:val="00DA06B5"/>
    <w:rsid w:val="00DA2488"/>
    <w:rsid w:val="00DA3D9A"/>
    <w:rsid w:val="00DA4C62"/>
    <w:rsid w:val="00DA6EA6"/>
    <w:rsid w:val="00DB7868"/>
    <w:rsid w:val="00DC6356"/>
    <w:rsid w:val="00DD56B0"/>
    <w:rsid w:val="00DE7293"/>
    <w:rsid w:val="00DE7DEF"/>
    <w:rsid w:val="00DF548D"/>
    <w:rsid w:val="00DF5C32"/>
    <w:rsid w:val="00E05EFE"/>
    <w:rsid w:val="00E27A1D"/>
    <w:rsid w:val="00E309A1"/>
    <w:rsid w:val="00E318B8"/>
    <w:rsid w:val="00E35E60"/>
    <w:rsid w:val="00E440FC"/>
    <w:rsid w:val="00E45604"/>
    <w:rsid w:val="00E54730"/>
    <w:rsid w:val="00E565AD"/>
    <w:rsid w:val="00E57943"/>
    <w:rsid w:val="00EA08BD"/>
    <w:rsid w:val="00EA54FE"/>
    <w:rsid w:val="00EA5A4D"/>
    <w:rsid w:val="00EB6DAE"/>
    <w:rsid w:val="00EC2D39"/>
    <w:rsid w:val="00EC3004"/>
    <w:rsid w:val="00ED0A4E"/>
    <w:rsid w:val="00EE3E64"/>
    <w:rsid w:val="00F27A8E"/>
    <w:rsid w:val="00F27AAB"/>
    <w:rsid w:val="00F30E98"/>
    <w:rsid w:val="00F32E5A"/>
    <w:rsid w:val="00F3343F"/>
    <w:rsid w:val="00F44C86"/>
    <w:rsid w:val="00F44EA0"/>
    <w:rsid w:val="00F46801"/>
    <w:rsid w:val="00F5302B"/>
    <w:rsid w:val="00F53064"/>
    <w:rsid w:val="00F66790"/>
    <w:rsid w:val="00F66B3F"/>
    <w:rsid w:val="00F77CD5"/>
    <w:rsid w:val="00F86E11"/>
    <w:rsid w:val="00F96E07"/>
    <w:rsid w:val="00FA52FC"/>
    <w:rsid w:val="00FB2796"/>
    <w:rsid w:val="00FB709D"/>
    <w:rsid w:val="00FC0005"/>
    <w:rsid w:val="00FC5F2D"/>
    <w:rsid w:val="00FE2C70"/>
    <w:rsid w:val="00FE3F6A"/>
    <w:rsid w:val="00FF35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6"/>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F44C86"/>
    <w:pPr>
      <w:spacing w:before="100" w:beforeAutospacing="1" w:after="100" w:afterAutospacing="1"/>
    </w:pPr>
  </w:style>
  <w:style w:type="paragraph" w:styleId="Header">
    <w:name w:val="header"/>
    <w:basedOn w:val="Normal"/>
    <w:link w:val="HeaderChar"/>
    <w:uiPriority w:val="99"/>
    <w:rsid w:val="00F44C86"/>
    <w:pPr>
      <w:tabs>
        <w:tab w:val="center" w:pos="4153"/>
        <w:tab w:val="right" w:pos="8306"/>
      </w:tabs>
    </w:pPr>
  </w:style>
  <w:style w:type="character" w:customStyle="1" w:styleId="HeaderChar">
    <w:name w:val="Header Char"/>
    <w:link w:val="Header"/>
    <w:uiPriority w:val="99"/>
    <w:locked/>
    <w:rsid w:val="00F44C86"/>
    <w:rPr>
      <w:rFonts w:ascii="Times New Roman" w:hAnsi="Times New Roman" w:cs="Times New Roman"/>
      <w:sz w:val="24"/>
      <w:szCs w:val="24"/>
      <w:lang w:eastAsia="lv-LV"/>
    </w:rPr>
  </w:style>
  <w:style w:type="paragraph" w:styleId="BodyText">
    <w:name w:val="Body Text"/>
    <w:basedOn w:val="Normal"/>
    <w:link w:val="BodyTextChar"/>
    <w:uiPriority w:val="99"/>
    <w:rsid w:val="00F44C86"/>
    <w:rPr>
      <w:sz w:val="28"/>
      <w:szCs w:val="28"/>
    </w:rPr>
  </w:style>
  <w:style w:type="character" w:customStyle="1" w:styleId="BodyTextChar">
    <w:name w:val="Body Text Char"/>
    <w:link w:val="BodyText"/>
    <w:uiPriority w:val="99"/>
    <w:locked/>
    <w:rsid w:val="00F44C86"/>
    <w:rPr>
      <w:rFonts w:ascii="Times New Roman" w:hAnsi="Times New Roman" w:cs="Times New Roman"/>
      <w:sz w:val="24"/>
      <w:szCs w:val="24"/>
    </w:rPr>
  </w:style>
  <w:style w:type="paragraph" w:customStyle="1" w:styleId="naiskr">
    <w:name w:val="naiskr"/>
    <w:basedOn w:val="Normal"/>
    <w:uiPriority w:val="99"/>
    <w:rsid w:val="00F44C86"/>
    <w:pPr>
      <w:spacing w:before="75" w:after="75"/>
    </w:pPr>
  </w:style>
  <w:style w:type="paragraph" w:customStyle="1" w:styleId="naisnod">
    <w:name w:val="naisnod"/>
    <w:basedOn w:val="Normal"/>
    <w:uiPriority w:val="99"/>
    <w:rsid w:val="00F44C86"/>
    <w:pPr>
      <w:spacing w:before="150" w:after="150"/>
      <w:jc w:val="center"/>
    </w:pPr>
    <w:rPr>
      <w:b/>
      <w:bCs/>
    </w:rPr>
  </w:style>
  <w:style w:type="paragraph" w:customStyle="1" w:styleId="naisc">
    <w:name w:val="naisc"/>
    <w:basedOn w:val="Normal"/>
    <w:uiPriority w:val="99"/>
    <w:rsid w:val="00F44C86"/>
    <w:pPr>
      <w:spacing w:before="450" w:after="300"/>
      <w:jc w:val="center"/>
    </w:pPr>
    <w:rPr>
      <w:sz w:val="26"/>
      <w:szCs w:val="26"/>
    </w:rPr>
  </w:style>
  <w:style w:type="paragraph" w:customStyle="1" w:styleId="StyleRight">
    <w:name w:val="Style Right"/>
    <w:basedOn w:val="Normal"/>
    <w:uiPriority w:val="99"/>
    <w:rsid w:val="00F44C86"/>
    <w:pPr>
      <w:spacing w:after="120"/>
      <w:ind w:firstLine="720"/>
      <w:jc w:val="right"/>
    </w:pPr>
    <w:rPr>
      <w:sz w:val="28"/>
      <w:szCs w:val="28"/>
      <w:lang w:eastAsia="en-US"/>
    </w:rPr>
  </w:style>
  <w:style w:type="paragraph" w:styleId="FootnoteText">
    <w:name w:val="footnote text"/>
    <w:basedOn w:val="Normal"/>
    <w:link w:val="FootnoteTextChar"/>
    <w:uiPriority w:val="99"/>
    <w:semiHidden/>
    <w:rsid w:val="00F44C86"/>
    <w:rPr>
      <w:sz w:val="20"/>
      <w:szCs w:val="20"/>
    </w:rPr>
  </w:style>
  <w:style w:type="character" w:customStyle="1" w:styleId="FootnoteTextChar">
    <w:name w:val="Footnote Text Char"/>
    <w:link w:val="FootnoteText"/>
    <w:uiPriority w:val="99"/>
    <w:semiHidden/>
    <w:locked/>
    <w:rsid w:val="00F44C86"/>
    <w:rPr>
      <w:rFonts w:ascii="Times New Roman" w:hAnsi="Times New Roman" w:cs="Times New Roman"/>
      <w:sz w:val="20"/>
      <w:szCs w:val="20"/>
      <w:lang w:eastAsia="lv-LV"/>
    </w:rPr>
  </w:style>
  <w:style w:type="paragraph" w:styleId="Footer">
    <w:name w:val="footer"/>
    <w:basedOn w:val="Normal"/>
    <w:link w:val="FooterChar"/>
    <w:uiPriority w:val="99"/>
    <w:rsid w:val="00F44C86"/>
    <w:pPr>
      <w:tabs>
        <w:tab w:val="center" w:pos="4153"/>
        <w:tab w:val="right" w:pos="8306"/>
      </w:tabs>
    </w:pPr>
  </w:style>
  <w:style w:type="character" w:customStyle="1" w:styleId="FooterChar">
    <w:name w:val="Footer Char"/>
    <w:link w:val="Footer"/>
    <w:uiPriority w:val="99"/>
    <w:locked/>
    <w:rsid w:val="00F44C86"/>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FC0005"/>
    <w:pPr>
      <w:spacing w:after="120"/>
      <w:ind w:left="283"/>
    </w:pPr>
  </w:style>
  <w:style w:type="character" w:customStyle="1" w:styleId="BodyTextIndentChar">
    <w:name w:val="Body Text Indent Char"/>
    <w:link w:val="BodyTextIndent"/>
    <w:uiPriority w:val="99"/>
    <w:locked/>
    <w:rsid w:val="00FC0005"/>
    <w:rPr>
      <w:rFonts w:ascii="Times New Roman" w:hAnsi="Times New Roman" w:cs="Times New Roman"/>
      <w:sz w:val="24"/>
      <w:szCs w:val="24"/>
    </w:rPr>
  </w:style>
  <w:style w:type="paragraph" w:customStyle="1" w:styleId="RakstzRakstz">
    <w:name w:val="Rakstz. Rakstz."/>
    <w:basedOn w:val="Normal"/>
    <w:uiPriority w:val="99"/>
    <w:rsid w:val="00FC0005"/>
    <w:pPr>
      <w:spacing w:before="40"/>
    </w:pPr>
    <w:rPr>
      <w:sz w:val="28"/>
      <w:szCs w:val="28"/>
      <w:lang w:eastAsia="en-US"/>
    </w:rPr>
  </w:style>
  <w:style w:type="paragraph" w:styleId="NormalWeb">
    <w:name w:val="Normal (Web)"/>
    <w:basedOn w:val="Normal"/>
    <w:uiPriority w:val="99"/>
    <w:rsid w:val="00C438B9"/>
    <w:pPr>
      <w:spacing w:before="100" w:beforeAutospacing="1" w:after="100" w:afterAutospacing="1"/>
    </w:pPr>
    <w:rPr>
      <w:rFonts w:ascii="Verdana" w:hAnsi="Verdana" w:cs="Verdana"/>
      <w:sz w:val="15"/>
      <w:szCs w:val="15"/>
    </w:rPr>
  </w:style>
  <w:style w:type="character" w:styleId="Strong">
    <w:name w:val="Strong"/>
    <w:uiPriority w:val="99"/>
    <w:qFormat/>
    <w:rsid w:val="00C438B9"/>
    <w:rPr>
      <w:b/>
      <w:bCs/>
    </w:rPr>
  </w:style>
  <w:style w:type="paragraph" w:styleId="BalloonText">
    <w:name w:val="Balloon Text"/>
    <w:basedOn w:val="Normal"/>
    <w:link w:val="BalloonTextChar"/>
    <w:uiPriority w:val="99"/>
    <w:semiHidden/>
    <w:rsid w:val="006B1924"/>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rPr>
  </w:style>
  <w:style w:type="character" w:styleId="Hyperlink">
    <w:name w:val="Hyperlink"/>
    <w:uiPriority w:val="99"/>
    <w:rsid w:val="003256FF"/>
    <w:rPr>
      <w:color w:val="0000FF"/>
      <w:u w:val="single"/>
    </w:rPr>
  </w:style>
  <w:style w:type="paragraph" w:customStyle="1" w:styleId="Default">
    <w:name w:val="Default"/>
    <w:uiPriority w:val="99"/>
    <w:rsid w:val="0003033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967382"/>
    <w:rPr>
      <w:sz w:val="16"/>
      <w:szCs w:val="16"/>
    </w:rPr>
  </w:style>
  <w:style w:type="paragraph" w:styleId="CommentText">
    <w:name w:val="annotation text"/>
    <w:basedOn w:val="Normal"/>
    <w:link w:val="CommentTextChar"/>
    <w:uiPriority w:val="99"/>
    <w:semiHidden/>
    <w:rsid w:val="00967382"/>
    <w:rPr>
      <w:sz w:val="20"/>
      <w:szCs w:val="20"/>
    </w:rPr>
  </w:style>
  <w:style w:type="character" w:customStyle="1" w:styleId="CommentTextChar">
    <w:name w:val="Comment Text Char"/>
    <w:link w:val="CommentText"/>
    <w:uiPriority w:val="99"/>
    <w:semiHidden/>
    <w:locked/>
    <w:rsid w:val="0096738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67382"/>
    <w:rPr>
      <w:b/>
      <w:bCs/>
    </w:rPr>
  </w:style>
  <w:style w:type="character" w:customStyle="1" w:styleId="CommentSubjectChar">
    <w:name w:val="Comment Subject Char"/>
    <w:link w:val="CommentSubject"/>
    <w:uiPriority w:val="99"/>
    <w:semiHidden/>
    <w:locked/>
    <w:rsid w:val="0096738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6"/>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F44C86"/>
    <w:pPr>
      <w:spacing w:before="100" w:beforeAutospacing="1" w:after="100" w:afterAutospacing="1"/>
    </w:pPr>
  </w:style>
  <w:style w:type="paragraph" w:styleId="Header">
    <w:name w:val="header"/>
    <w:basedOn w:val="Normal"/>
    <w:link w:val="HeaderChar"/>
    <w:uiPriority w:val="99"/>
    <w:rsid w:val="00F44C86"/>
    <w:pPr>
      <w:tabs>
        <w:tab w:val="center" w:pos="4153"/>
        <w:tab w:val="right" w:pos="8306"/>
      </w:tabs>
    </w:pPr>
  </w:style>
  <w:style w:type="character" w:customStyle="1" w:styleId="HeaderChar">
    <w:name w:val="Header Char"/>
    <w:link w:val="Header"/>
    <w:uiPriority w:val="99"/>
    <w:locked/>
    <w:rsid w:val="00F44C86"/>
    <w:rPr>
      <w:rFonts w:ascii="Times New Roman" w:hAnsi="Times New Roman" w:cs="Times New Roman"/>
      <w:sz w:val="24"/>
      <w:szCs w:val="24"/>
      <w:lang w:eastAsia="lv-LV"/>
    </w:rPr>
  </w:style>
  <w:style w:type="paragraph" w:styleId="BodyText">
    <w:name w:val="Body Text"/>
    <w:basedOn w:val="Normal"/>
    <w:link w:val="BodyTextChar"/>
    <w:uiPriority w:val="99"/>
    <w:rsid w:val="00F44C86"/>
    <w:rPr>
      <w:sz w:val="28"/>
      <w:szCs w:val="28"/>
    </w:rPr>
  </w:style>
  <w:style w:type="character" w:customStyle="1" w:styleId="BodyTextChar">
    <w:name w:val="Body Text Char"/>
    <w:link w:val="BodyText"/>
    <w:uiPriority w:val="99"/>
    <w:locked/>
    <w:rsid w:val="00F44C86"/>
    <w:rPr>
      <w:rFonts w:ascii="Times New Roman" w:hAnsi="Times New Roman" w:cs="Times New Roman"/>
      <w:sz w:val="24"/>
      <w:szCs w:val="24"/>
    </w:rPr>
  </w:style>
  <w:style w:type="paragraph" w:customStyle="1" w:styleId="naiskr">
    <w:name w:val="naiskr"/>
    <w:basedOn w:val="Normal"/>
    <w:uiPriority w:val="99"/>
    <w:rsid w:val="00F44C86"/>
    <w:pPr>
      <w:spacing w:before="75" w:after="75"/>
    </w:pPr>
  </w:style>
  <w:style w:type="paragraph" w:customStyle="1" w:styleId="naisnod">
    <w:name w:val="naisnod"/>
    <w:basedOn w:val="Normal"/>
    <w:uiPriority w:val="99"/>
    <w:rsid w:val="00F44C86"/>
    <w:pPr>
      <w:spacing w:before="150" w:after="150"/>
      <w:jc w:val="center"/>
    </w:pPr>
    <w:rPr>
      <w:b/>
      <w:bCs/>
    </w:rPr>
  </w:style>
  <w:style w:type="paragraph" w:customStyle="1" w:styleId="naisc">
    <w:name w:val="naisc"/>
    <w:basedOn w:val="Normal"/>
    <w:uiPriority w:val="99"/>
    <w:rsid w:val="00F44C86"/>
    <w:pPr>
      <w:spacing w:before="450" w:after="300"/>
      <w:jc w:val="center"/>
    </w:pPr>
    <w:rPr>
      <w:sz w:val="26"/>
      <w:szCs w:val="26"/>
    </w:rPr>
  </w:style>
  <w:style w:type="paragraph" w:customStyle="1" w:styleId="StyleRight">
    <w:name w:val="Style Right"/>
    <w:basedOn w:val="Normal"/>
    <w:uiPriority w:val="99"/>
    <w:rsid w:val="00F44C86"/>
    <w:pPr>
      <w:spacing w:after="120"/>
      <w:ind w:firstLine="720"/>
      <w:jc w:val="right"/>
    </w:pPr>
    <w:rPr>
      <w:sz w:val="28"/>
      <w:szCs w:val="28"/>
      <w:lang w:eastAsia="en-US"/>
    </w:rPr>
  </w:style>
  <w:style w:type="paragraph" w:styleId="FootnoteText">
    <w:name w:val="footnote text"/>
    <w:basedOn w:val="Normal"/>
    <w:link w:val="FootnoteTextChar"/>
    <w:uiPriority w:val="99"/>
    <w:semiHidden/>
    <w:rsid w:val="00F44C86"/>
    <w:rPr>
      <w:sz w:val="20"/>
      <w:szCs w:val="20"/>
    </w:rPr>
  </w:style>
  <w:style w:type="character" w:customStyle="1" w:styleId="FootnoteTextChar">
    <w:name w:val="Footnote Text Char"/>
    <w:link w:val="FootnoteText"/>
    <w:uiPriority w:val="99"/>
    <w:semiHidden/>
    <w:locked/>
    <w:rsid w:val="00F44C86"/>
    <w:rPr>
      <w:rFonts w:ascii="Times New Roman" w:hAnsi="Times New Roman" w:cs="Times New Roman"/>
      <w:sz w:val="20"/>
      <w:szCs w:val="20"/>
      <w:lang w:eastAsia="lv-LV"/>
    </w:rPr>
  </w:style>
  <w:style w:type="paragraph" w:styleId="Footer">
    <w:name w:val="footer"/>
    <w:basedOn w:val="Normal"/>
    <w:link w:val="FooterChar"/>
    <w:uiPriority w:val="99"/>
    <w:rsid w:val="00F44C86"/>
    <w:pPr>
      <w:tabs>
        <w:tab w:val="center" w:pos="4153"/>
        <w:tab w:val="right" w:pos="8306"/>
      </w:tabs>
    </w:pPr>
  </w:style>
  <w:style w:type="character" w:customStyle="1" w:styleId="FooterChar">
    <w:name w:val="Footer Char"/>
    <w:link w:val="Footer"/>
    <w:uiPriority w:val="99"/>
    <w:locked/>
    <w:rsid w:val="00F44C86"/>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FC0005"/>
    <w:pPr>
      <w:spacing w:after="120"/>
      <w:ind w:left="283"/>
    </w:pPr>
  </w:style>
  <w:style w:type="character" w:customStyle="1" w:styleId="BodyTextIndentChar">
    <w:name w:val="Body Text Indent Char"/>
    <w:link w:val="BodyTextIndent"/>
    <w:uiPriority w:val="99"/>
    <w:locked/>
    <w:rsid w:val="00FC0005"/>
    <w:rPr>
      <w:rFonts w:ascii="Times New Roman" w:hAnsi="Times New Roman" w:cs="Times New Roman"/>
      <w:sz w:val="24"/>
      <w:szCs w:val="24"/>
    </w:rPr>
  </w:style>
  <w:style w:type="paragraph" w:customStyle="1" w:styleId="RakstzRakstz">
    <w:name w:val="Rakstz. Rakstz."/>
    <w:basedOn w:val="Normal"/>
    <w:uiPriority w:val="99"/>
    <w:rsid w:val="00FC0005"/>
    <w:pPr>
      <w:spacing w:before="40"/>
    </w:pPr>
    <w:rPr>
      <w:sz w:val="28"/>
      <w:szCs w:val="28"/>
      <w:lang w:eastAsia="en-US"/>
    </w:rPr>
  </w:style>
  <w:style w:type="paragraph" w:styleId="NormalWeb">
    <w:name w:val="Normal (Web)"/>
    <w:basedOn w:val="Normal"/>
    <w:uiPriority w:val="99"/>
    <w:rsid w:val="00C438B9"/>
    <w:pPr>
      <w:spacing w:before="100" w:beforeAutospacing="1" w:after="100" w:afterAutospacing="1"/>
    </w:pPr>
    <w:rPr>
      <w:rFonts w:ascii="Verdana" w:hAnsi="Verdana" w:cs="Verdana"/>
      <w:sz w:val="15"/>
      <w:szCs w:val="15"/>
    </w:rPr>
  </w:style>
  <w:style w:type="character" w:styleId="Strong">
    <w:name w:val="Strong"/>
    <w:uiPriority w:val="99"/>
    <w:qFormat/>
    <w:rsid w:val="00C438B9"/>
    <w:rPr>
      <w:b/>
      <w:bCs/>
    </w:rPr>
  </w:style>
  <w:style w:type="paragraph" w:styleId="BalloonText">
    <w:name w:val="Balloon Text"/>
    <w:basedOn w:val="Normal"/>
    <w:link w:val="BalloonTextChar"/>
    <w:uiPriority w:val="99"/>
    <w:semiHidden/>
    <w:rsid w:val="006B1924"/>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rPr>
  </w:style>
  <w:style w:type="character" w:styleId="Hyperlink">
    <w:name w:val="Hyperlink"/>
    <w:uiPriority w:val="99"/>
    <w:rsid w:val="003256FF"/>
    <w:rPr>
      <w:color w:val="0000FF"/>
      <w:u w:val="single"/>
    </w:rPr>
  </w:style>
  <w:style w:type="paragraph" w:customStyle="1" w:styleId="Default">
    <w:name w:val="Default"/>
    <w:uiPriority w:val="99"/>
    <w:rsid w:val="0003033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967382"/>
    <w:rPr>
      <w:sz w:val="16"/>
      <w:szCs w:val="16"/>
    </w:rPr>
  </w:style>
  <w:style w:type="paragraph" w:styleId="CommentText">
    <w:name w:val="annotation text"/>
    <w:basedOn w:val="Normal"/>
    <w:link w:val="CommentTextChar"/>
    <w:uiPriority w:val="99"/>
    <w:semiHidden/>
    <w:rsid w:val="00967382"/>
    <w:rPr>
      <w:sz w:val="20"/>
      <w:szCs w:val="20"/>
    </w:rPr>
  </w:style>
  <w:style w:type="character" w:customStyle="1" w:styleId="CommentTextChar">
    <w:name w:val="Comment Text Char"/>
    <w:link w:val="CommentText"/>
    <w:uiPriority w:val="99"/>
    <w:semiHidden/>
    <w:locked/>
    <w:rsid w:val="0096738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67382"/>
    <w:rPr>
      <w:b/>
      <w:bCs/>
    </w:rPr>
  </w:style>
  <w:style w:type="character" w:customStyle="1" w:styleId="CommentSubjectChar">
    <w:name w:val="Comment Subject Char"/>
    <w:link w:val="CommentSubject"/>
    <w:uiPriority w:val="99"/>
    <w:semiHidden/>
    <w:locked/>
    <w:rsid w:val="0096738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930417">
      <w:marLeft w:val="0"/>
      <w:marRight w:val="0"/>
      <w:marTop w:val="0"/>
      <w:marBottom w:val="0"/>
      <w:divBdr>
        <w:top w:val="none" w:sz="0" w:space="0" w:color="auto"/>
        <w:left w:val="none" w:sz="0" w:space="0" w:color="auto"/>
        <w:bottom w:val="none" w:sz="0" w:space="0" w:color="auto"/>
        <w:right w:val="none" w:sz="0" w:space="0" w:color="auto"/>
      </w:divBdr>
      <w:divsChild>
        <w:div w:id="1715930413">
          <w:marLeft w:val="0"/>
          <w:marRight w:val="0"/>
          <w:marTop w:val="0"/>
          <w:marBottom w:val="0"/>
          <w:divBdr>
            <w:top w:val="none" w:sz="0" w:space="0" w:color="auto"/>
            <w:left w:val="none" w:sz="0" w:space="0" w:color="auto"/>
            <w:bottom w:val="none" w:sz="0" w:space="0" w:color="auto"/>
            <w:right w:val="none" w:sz="0" w:space="0" w:color="auto"/>
          </w:divBdr>
          <w:divsChild>
            <w:div w:id="1715930412">
              <w:marLeft w:val="0"/>
              <w:marRight w:val="0"/>
              <w:marTop w:val="0"/>
              <w:marBottom w:val="0"/>
              <w:divBdr>
                <w:top w:val="none" w:sz="0" w:space="0" w:color="auto"/>
                <w:left w:val="none" w:sz="0" w:space="0" w:color="auto"/>
                <w:bottom w:val="none" w:sz="0" w:space="0" w:color="auto"/>
                <w:right w:val="none" w:sz="0" w:space="0" w:color="auto"/>
              </w:divBdr>
              <w:divsChild>
                <w:div w:id="1715930414">
                  <w:marLeft w:val="0"/>
                  <w:marRight w:val="0"/>
                  <w:marTop w:val="0"/>
                  <w:marBottom w:val="0"/>
                  <w:divBdr>
                    <w:top w:val="none" w:sz="0" w:space="0" w:color="auto"/>
                    <w:left w:val="none" w:sz="0" w:space="0" w:color="auto"/>
                    <w:bottom w:val="none" w:sz="0" w:space="0" w:color="auto"/>
                    <w:right w:val="none" w:sz="0" w:space="0" w:color="auto"/>
                  </w:divBdr>
                  <w:divsChild>
                    <w:div w:id="1715930415">
                      <w:marLeft w:val="0"/>
                      <w:marRight w:val="0"/>
                      <w:marTop w:val="0"/>
                      <w:marBottom w:val="0"/>
                      <w:divBdr>
                        <w:top w:val="none" w:sz="0" w:space="0" w:color="auto"/>
                        <w:left w:val="none" w:sz="0" w:space="0" w:color="auto"/>
                        <w:bottom w:val="none" w:sz="0" w:space="0" w:color="auto"/>
                        <w:right w:val="none" w:sz="0" w:space="0" w:color="auto"/>
                      </w:divBdr>
                      <w:divsChild>
                        <w:div w:id="1715930418">
                          <w:marLeft w:val="0"/>
                          <w:marRight w:val="0"/>
                          <w:marTop w:val="0"/>
                          <w:marBottom w:val="0"/>
                          <w:divBdr>
                            <w:top w:val="none" w:sz="0" w:space="0" w:color="auto"/>
                            <w:left w:val="none" w:sz="0" w:space="0" w:color="auto"/>
                            <w:bottom w:val="none" w:sz="0" w:space="0" w:color="auto"/>
                            <w:right w:val="none" w:sz="0" w:space="0" w:color="auto"/>
                          </w:divBdr>
                          <w:divsChild>
                            <w:div w:id="1715930411">
                              <w:marLeft w:val="0"/>
                              <w:marRight w:val="0"/>
                              <w:marTop w:val="0"/>
                              <w:marBottom w:val="567"/>
                              <w:divBdr>
                                <w:top w:val="none" w:sz="0" w:space="0" w:color="auto"/>
                                <w:left w:val="none" w:sz="0" w:space="0" w:color="auto"/>
                                <w:bottom w:val="none" w:sz="0" w:space="0" w:color="auto"/>
                                <w:right w:val="none" w:sz="0" w:space="0" w:color="auto"/>
                              </w:divBdr>
                            </w:div>
                            <w:div w:id="171593041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806</Words>
  <Characters>6500</Characters>
  <Application>Microsoft Office Word</Application>
  <DocSecurity>0</DocSecurity>
  <Lines>216</Lines>
  <Paragraphs>104</Paragraphs>
  <ScaleCrop>false</ScaleCrop>
  <HeadingPairs>
    <vt:vector size="2" baseType="variant">
      <vt:variant>
        <vt:lpstr>Title</vt:lpstr>
      </vt:variant>
      <vt:variant>
        <vt:i4>1</vt:i4>
      </vt:variant>
    </vt:vector>
  </HeadingPairs>
  <TitlesOfParts>
    <vt:vector size="1" baseType="lpstr">
      <vt:lpstr>Ministru kabineta rīkojuma projekta „Profesionālo kvalifikāciju saraksts, kuras iegūstot kārtojami profesionālās kvalifikācijas eksāmeni” anotācija</vt:lpstr>
    </vt:vector>
  </TitlesOfParts>
  <Manager>visc@visc.gov.lv</Manager>
  <Company>Valsts izglītības satura centrs</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„Profesionālo kvalifikāciju saraksts, kuras iegūstot kārtojami profesionālās kvalifikācijas eksāmeni” anotācija</dc:title>
  <dc:subject>Anotācija</dc:subject>
  <dc:creator>R.Ančupāne</dc:creator>
  <cp:keywords/>
  <dc:description>67814354 ruta.ancupane@visc.gov.lv</dc:description>
  <cp:lastModifiedBy>igorsbf</cp:lastModifiedBy>
  <cp:revision>22</cp:revision>
  <cp:lastPrinted>2013-07-10T12:06:00Z</cp:lastPrinted>
  <dcterms:created xsi:type="dcterms:W3CDTF">2013-08-16T06:31:00Z</dcterms:created>
  <dcterms:modified xsi:type="dcterms:W3CDTF">2013-10-01T13:51:00Z</dcterms:modified>
</cp:coreProperties>
</file>