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702" w:rsidRPr="00CE78E3" w:rsidRDefault="00A34702" w:rsidP="0077650E">
      <w:pPr>
        <w:pStyle w:val="BodyText"/>
        <w:spacing w:before="120"/>
        <w:rPr>
          <w:sz w:val="28"/>
          <w:szCs w:val="28"/>
        </w:rPr>
      </w:pPr>
      <w:r w:rsidRPr="00CE78E3">
        <w:rPr>
          <w:sz w:val="28"/>
          <w:szCs w:val="28"/>
        </w:rPr>
        <w:t xml:space="preserve">Informatīvais </w:t>
      </w:r>
      <w:smartTag w:uri="schemas-tilde-lv/tildestengine" w:element="veidnes">
        <w:smartTagPr>
          <w:attr w:name="text" w:val="ziņojums"/>
          <w:attr w:name="baseform" w:val="ziņojums"/>
          <w:attr w:name="id" w:val="-1"/>
        </w:smartTagPr>
        <w:r w:rsidRPr="00CE78E3">
          <w:rPr>
            <w:sz w:val="28"/>
            <w:szCs w:val="28"/>
          </w:rPr>
          <w:t>ziņojums</w:t>
        </w:r>
      </w:smartTag>
    </w:p>
    <w:p w:rsidR="00A34702" w:rsidRPr="00CE78E3" w:rsidRDefault="00A34702" w:rsidP="0077650E">
      <w:pPr>
        <w:pStyle w:val="BodyText"/>
        <w:rPr>
          <w:sz w:val="28"/>
          <w:szCs w:val="28"/>
        </w:rPr>
      </w:pPr>
    </w:p>
    <w:p w:rsidR="00A34702" w:rsidRPr="00CE78E3" w:rsidRDefault="00A34702" w:rsidP="0077650E">
      <w:pPr>
        <w:pStyle w:val="BodyText"/>
        <w:spacing w:after="120"/>
        <w:rPr>
          <w:sz w:val="28"/>
          <w:szCs w:val="28"/>
        </w:rPr>
      </w:pPr>
      <w:r>
        <w:rPr>
          <w:sz w:val="28"/>
          <w:szCs w:val="28"/>
        </w:rPr>
        <w:t xml:space="preserve">par </w:t>
      </w:r>
      <w:r w:rsidRPr="00CE78E3">
        <w:rPr>
          <w:sz w:val="28"/>
          <w:szCs w:val="28"/>
        </w:rPr>
        <w:t xml:space="preserve">Ministru kabineta š.g. </w:t>
      </w:r>
      <w:r w:rsidR="00641A28">
        <w:rPr>
          <w:sz w:val="28"/>
          <w:szCs w:val="28"/>
        </w:rPr>
        <w:t>2</w:t>
      </w:r>
      <w:r w:rsidR="00E76B03">
        <w:rPr>
          <w:sz w:val="28"/>
          <w:szCs w:val="28"/>
        </w:rPr>
        <w:t>9</w:t>
      </w:r>
      <w:r w:rsidR="007776BB">
        <w:rPr>
          <w:sz w:val="28"/>
          <w:szCs w:val="28"/>
        </w:rPr>
        <w:t>.</w:t>
      </w:r>
      <w:r w:rsidR="00E76B03">
        <w:rPr>
          <w:sz w:val="28"/>
          <w:szCs w:val="28"/>
        </w:rPr>
        <w:t>nov</w:t>
      </w:r>
      <w:r w:rsidR="00E875A2">
        <w:rPr>
          <w:sz w:val="28"/>
          <w:szCs w:val="28"/>
        </w:rPr>
        <w:t>embra</w:t>
      </w:r>
      <w:r w:rsidR="0063110B">
        <w:rPr>
          <w:sz w:val="28"/>
          <w:szCs w:val="28"/>
        </w:rPr>
        <w:t xml:space="preserve"> </w:t>
      </w:r>
      <w:r w:rsidRPr="00CE78E3">
        <w:rPr>
          <w:sz w:val="28"/>
          <w:szCs w:val="28"/>
        </w:rPr>
        <w:t>sēdes darba kartības punkt</w:t>
      </w:r>
      <w:r w:rsidR="00D123DF">
        <w:rPr>
          <w:sz w:val="28"/>
          <w:szCs w:val="28"/>
        </w:rPr>
        <w:t>u</w:t>
      </w:r>
    </w:p>
    <w:p w:rsidR="00A34702" w:rsidRPr="00CE78E3" w:rsidRDefault="00A34702" w:rsidP="0077650E">
      <w:pPr>
        <w:pStyle w:val="BodyText"/>
        <w:spacing w:before="120"/>
        <w:rPr>
          <w:sz w:val="28"/>
          <w:szCs w:val="28"/>
        </w:rPr>
      </w:pPr>
      <w:r w:rsidRPr="00CE78E3">
        <w:rPr>
          <w:sz w:val="28"/>
          <w:szCs w:val="28"/>
        </w:rPr>
        <w:t>“Par 20</w:t>
      </w:r>
      <w:r>
        <w:rPr>
          <w:sz w:val="28"/>
          <w:szCs w:val="28"/>
        </w:rPr>
        <w:t>1</w:t>
      </w:r>
      <w:r w:rsidR="00141806">
        <w:rPr>
          <w:sz w:val="28"/>
          <w:szCs w:val="28"/>
        </w:rPr>
        <w:t>1</w:t>
      </w:r>
      <w:r w:rsidRPr="00CE78E3">
        <w:rPr>
          <w:sz w:val="28"/>
          <w:szCs w:val="28"/>
        </w:rPr>
        <w:t xml:space="preserve">.gada </w:t>
      </w:r>
      <w:r w:rsidR="00E76B03">
        <w:rPr>
          <w:sz w:val="28"/>
          <w:szCs w:val="28"/>
        </w:rPr>
        <w:t>5</w:t>
      </w:r>
      <w:r w:rsidR="00E875A2">
        <w:rPr>
          <w:sz w:val="28"/>
          <w:szCs w:val="28"/>
        </w:rPr>
        <w:t>.-</w:t>
      </w:r>
      <w:r w:rsidR="00E76B03">
        <w:rPr>
          <w:sz w:val="28"/>
          <w:szCs w:val="28"/>
        </w:rPr>
        <w:t>6</w:t>
      </w:r>
      <w:r w:rsidR="00E875A2">
        <w:rPr>
          <w:sz w:val="28"/>
          <w:szCs w:val="28"/>
        </w:rPr>
        <w:t>.</w:t>
      </w:r>
      <w:r w:rsidR="00E76B03">
        <w:rPr>
          <w:sz w:val="28"/>
          <w:szCs w:val="28"/>
        </w:rPr>
        <w:t>dec</w:t>
      </w:r>
      <w:r w:rsidR="00E875A2">
        <w:rPr>
          <w:sz w:val="28"/>
          <w:szCs w:val="28"/>
        </w:rPr>
        <w:t>embra</w:t>
      </w:r>
      <w:r w:rsidRPr="00CE78E3">
        <w:rPr>
          <w:sz w:val="28"/>
          <w:szCs w:val="28"/>
        </w:rPr>
        <w:t xml:space="preserve"> Eiropas </w:t>
      </w:r>
      <w:r w:rsidRPr="007B18F7">
        <w:rPr>
          <w:sz w:val="28"/>
          <w:szCs w:val="28"/>
        </w:rPr>
        <w:t>Savienības Konkurētspējas</w:t>
      </w:r>
      <w:r w:rsidRPr="00CE78E3">
        <w:rPr>
          <w:sz w:val="28"/>
          <w:szCs w:val="28"/>
        </w:rPr>
        <w:t xml:space="preserve"> ministru padomē izskatāmajiem jautājumiem”</w:t>
      </w:r>
    </w:p>
    <w:p w:rsidR="00A34702" w:rsidRPr="00CE78E3" w:rsidRDefault="00A34702" w:rsidP="0077650E">
      <w:pPr>
        <w:jc w:val="center"/>
        <w:rPr>
          <w:b/>
          <w:sz w:val="28"/>
          <w:szCs w:val="28"/>
          <w:lang w:val="lv-LV"/>
        </w:rPr>
      </w:pPr>
    </w:p>
    <w:p w:rsidR="00A34702" w:rsidRPr="00AF2B59" w:rsidRDefault="00A34702" w:rsidP="00302347">
      <w:pPr>
        <w:pStyle w:val="Heading2"/>
        <w:spacing w:before="0" w:after="0"/>
        <w:ind w:firstLine="720"/>
        <w:jc w:val="both"/>
        <w:rPr>
          <w:rFonts w:ascii="Times New Roman" w:hAnsi="Times New Roman" w:cs="Times New Roman"/>
          <w:b w:val="0"/>
          <w:lang w:val="lv-LV"/>
        </w:rPr>
      </w:pPr>
      <w:r w:rsidRPr="00CE78E3">
        <w:rPr>
          <w:rFonts w:ascii="Times New Roman" w:hAnsi="Times New Roman" w:cs="Times New Roman"/>
          <w:b w:val="0"/>
          <w:lang w:val="lv-LV"/>
        </w:rPr>
        <w:t xml:space="preserve">Š.g. </w:t>
      </w:r>
      <w:r w:rsidR="00E76B03">
        <w:rPr>
          <w:rFonts w:ascii="Times New Roman" w:hAnsi="Times New Roman" w:cs="Times New Roman"/>
          <w:b w:val="0"/>
          <w:lang w:val="lv-LV"/>
        </w:rPr>
        <w:t>5</w:t>
      </w:r>
      <w:r w:rsidR="00E875A2">
        <w:rPr>
          <w:rFonts w:ascii="Times New Roman" w:hAnsi="Times New Roman" w:cs="Times New Roman"/>
          <w:b w:val="0"/>
          <w:lang w:val="lv-LV"/>
        </w:rPr>
        <w:t>.-</w:t>
      </w:r>
      <w:r w:rsidR="00E76B03">
        <w:rPr>
          <w:rFonts w:ascii="Times New Roman" w:hAnsi="Times New Roman" w:cs="Times New Roman"/>
          <w:b w:val="0"/>
          <w:lang w:val="lv-LV"/>
        </w:rPr>
        <w:t>6</w:t>
      </w:r>
      <w:r w:rsidR="0012451B">
        <w:rPr>
          <w:rFonts w:ascii="Times New Roman" w:hAnsi="Times New Roman" w:cs="Times New Roman"/>
          <w:b w:val="0"/>
          <w:lang w:val="lv-LV"/>
        </w:rPr>
        <w:t>.</w:t>
      </w:r>
      <w:r w:rsidR="00E76B03">
        <w:rPr>
          <w:rFonts w:ascii="Times New Roman" w:hAnsi="Times New Roman" w:cs="Times New Roman"/>
          <w:b w:val="0"/>
          <w:lang w:val="lv-LV"/>
        </w:rPr>
        <w:t>dec</w:t>
      </w:r>
      <w:r w:rsidR="00E875A2">
        <w:rPr>
          <w:rFonts w:ascii="Times New Roman" w:hAnsi="Times New Roman" w:cs="Times New Roman"/>
          <w:b w:val="0"/>
          <w:lang w:val="lv-LV"/>
        </w:rPr>
        <w:t>embrī</w:t>
      </w:r>
      <w:r w:rsidR="00D70969">
        <w:rPr>
          <w:rFonts w:ascii="Times New Roman" w:hAnsi="Times New Roman" w:cs="Times New Roman"/>
          <w:b w:val="0"/>
          <w:lang w:val="lv-LV"/>
        </w:rPr>
        <w:t xml:space="preserve"> </w:t>
      </w:r>
      <w:r w:rsidR="00151A7C">
        <w:rPr>
          <w:rFonts w:ascii="Times New Roman" w:hAnsi="Times New Roman" w:cs="Times New Roman"/>
          <w:b w:val="0"/>
          <w:lang w:val="lv-LV"/>
        </w:rPr>
        <w:t>Briselē</w:t>
      </w:r>
      <w:r w:rsidRPr="00AF2B59">
        <w:rPr>
          <w:rFonts w:ascii="Times New Roman" w:hAnsi="Times New Roman" w:cs="Times New Roman"/>
          <w:b w:val="0"/>
          <w:lang w:val="lv-LV"/>
        </w:rPr>
        <w:t xml:space="preserve"> (</w:t>
      </w:r>
      <w:r w:rsidR="00151A7C">
        <w:rPr>
          <w:rFonts w:ascii="Times New Roman" w:hAnsi="Times New Roman" w:cs="Times New Roman"/>
          <w:b w:val="0"/>
          <w:lang w:val="lv-LV"/>
        </w:rPr>
        <w:t>Beļģijā</w:t>
      </w:r>
      <w:r w:rsidRPr="00AF2B59">
        <w:rPr>
          <w:rFonts w:ascii="Times New Roman" w:hAnsi="Times New Roman" w:cs="Times New Roman"/>
          <w:b w:val="0"/>
          <w:lang w:val="lv-LV"/>
        </w:rPr>
        <w:t>) notiks Eiropas Savienības Konkurētspējas ministru padome</w:t>
      </w:r>
      <w:r w:rsidRPr="00AF2B59">
        <w:rPr>
          <w:rFonts w:ascii="Times New Roman" w:hAnsi="Times New Roman" w:cs="Times New Roman"/>
          <w:b w:val="0"/>
          <w:bCs w:val="0"/>
          <w:lang w:val="lv-LV"/>
        </w:rPr>
        <w:t xml:space="preserve">. </w:t>
      </w:r>
      <w:r w:rsidRPr="00AF2B59">
        <w:rPr>
          <w:rFonts w:ascii="Times New Roman" w:hAnsi="Times New Roman" w:cs="Times New Roman"/>
          <w:b w:val="0"/>
          <w:lang w:val="lv-LV"/>
        </w:rPr>
        <w:t>Plānots, ka tajā tiks izskatīti šādi jautājumi, kas ir Izglītības un zinātnes ministrijas kompetencē:</w:t>
      </w:r>
    </w:p>
    <w:p w:rsidR="000A780C" w:rsidRPr="00AF2B59" w:rsidRDefault="000A780C" w:rsidP="000A780C">
      <w:pPr>
        <w:rPr>
          <w:lang w:val="lv-LV"/>
        </w:rPr>
      </w:pPr>
    </w:p>
    <w:p w:rsidR="00A34702" w:rsidRPr="00A91E1A" w:rsidRDefault="00C71C15" w:rsidP="00A91E1A">
      <w:pPr>
        <w:pStyle w:val="EntEmet"/>
        <w:ind w:left="360" w:hanging="360"/>
        <w:jc w:val="both"/>
        <w:rPr>
          <w:b/>
          <w:bCs/>
          <w:iCs/>
          <w:color w:val="FF0000"/>
          <w:sz w:val="28"/>
          <w:szCs w:val="28"/>
          <w:lang w:val="lv-LV"/>
        </w:rPr>
      </w:pPr>
      <w:r w:rsidRPr="00A91E1A">
        <w:rPr>
          <w:sz w:val="28"/>
          <w:szCs w:val="28"/>
          <w:lang w:val="lv-LV"/>
        </w:rPr>
        <w:t xml:space="preserve">1. </w:t>
      </w:r>
      <w:r w:rsidR="00F96CD9" w:rsidRPr="00A91E1A">
        <w:rPr>
          <w:sz w:val="28"/>
          <w:szCs w:val="28"/>
          <w:lang w:val="lv-LV"/>
        </w:rPr>
        <w:t xml:space="preserve"> </w:t>
      </w:r>
      <w:r w:rsidR="00A91E1A" w:rsidRPr="00A91E1A">
        <w:rPr>
          <w:sz w:val="28"/>
          <w:szCs w:val="28"/>
          <w:lang w:val="lv-LV"/>
        </w:rPr>
        <w:t>Padomes secinājum</w:t>
      </w:r>
      <w:r w:rsidR="00A91E1A">
        <w:rPr>
          <w:sz w:val="28"/>
          <w:szCs w:val="28"/>
          <w:lang w:val="lv-LV"/>
        </w:rPr>
        <w:t>i</w:t>
      </w:r>
      <w:r w:rsidR="00A91E1A" w:rsidRPr="00A91E1A">
        <w:rPr>
          <w:sz w:val="28"/>
          <w:szCs w:val="28"/>
          <w:lang w:val="lv-LV"/>
        </w:rPr>
        <w:t xml:space="preserve"> par </w:t>
      </w:r>
      <w:r w:rsidR="00A91E1A">
        <w:rPr>
          <w:sz w:val="28"/>
          <w:szCs w:val="28"/>
          <w:lang w:val="lv-LV"/>
        </w:rPr>
        <w:t>vienotās</w:t>
      </w:r>
      <w:r w:rsidR="00A91E1A" w:rsidRPr="00A91E1A">
        <w:rPr>
          <w:sz w:val="28"/>
          <w:szCs w:val="28"/>
          <w:lang w:val="lv-LV"/>
        </w:rPr>
        <w:t xml:space="preserve"> plānošanas iniciatīvu sākšanu šādās jomās: „Veselīgas un produktīvas jūras un okeāni”, „Urbānā Eiropa – globāli </w:t>
      </w:r>
      <w:proofErr w:type="spellStart"/>
      <w:r w:rsidR="00A91E1A" w:rsidRPr="00A91E1A">
        <w:rPr>
          <w:sz w:val="28"/>
          <w:szCs w:val="28"/>
          <w:lang w:val="lv-LV"/>
        </w:rPr>
        <w:t>urbāni</w:t>
      </w:r>
      <w:proofErr w:type="spellEnd"/>
      <w:r w:rsidR="00A91E1A" w:rsidRPr="00A91E1A">
        <w:rPr>
          <w:sz w:val="28"/>
          <w:szCs w:val="28"/>
          <w:lang w:val="lv-LV"/>
        </w:rPr>
        <w:t xml:space="preserve"> izaicinājumi, vienoti Eiropas risinājumi”, „Pieslēdzoties Eiropas klimata zināšanām”, „Ūdens izaicinājumi mainīgajai pasaulei” un „</w:t>
      </w:r>
      <w:proofErr w:type="spellStart"/>
      <w:r w:rsidR="00A91E1A" w:rsidRPr="00A91E1A">
        <w:rPr>
          <w:sz w:val="28"/>
          <w:szCs w:val="28"/>
          <w:lang w:val="lv-LV"/>
        </w:rPr>
        <w:t>Mikrobiālais</w:t>
      </w:r>
      <w:proofErr w:type="spellEnd"/>
      <w:r w:rsidR="00A91E1A" w:rsidRPr="00A91E1A">
        <w:rPr>
          <w:sz w:val="28"/>
          <w:szCs w:val="28"/>
          <w:lang w:val="lv-LV"/>
        </w:rPr>
        <w:t xml:space="preserve"> izaicinājums – draudošas briesmas cilvēces veselībai”</w:t>
      </w:r>
      <w:r w:rsidR="00A91E1A">
        <w:rPr>
          <w:sz w:val="28"/>
          <w:szCs w:val="28"/>
          <w:lang w:val="lv-LV"/>
        </w:rPr>
        <w:t>;</w:t>
      </w:r>
      <w:r w:rsidR="00A91E1A" w:rsidRPr="00A91E1A">
        <w:rPr>
          <w:b/>
          <w:sz w:val="28"/>
          <w:szCs w:val="28"/>
          <w:lang w:val="lv-LV"/>
        </w:rPr>
        <w:t xml:space="preserve"> </w:t>
      </w:r>
      <w:r w:rsidRPr="00A91E1A">
        <w:rPr>
          <w:sz w:val="28"/>
          <w:szCs w:val="28"/>
          <w:highlight w:val="yellow"/>
          <w:lang w:val="lv-LV"/>
        </w:rPr>
        <w:t xml:space="preserve"> </w:t>
      </w:r>
      <w:r w:rsidRPr="00A91E1A">
        <w:rPr>
          <w:sz w:val="28"/>
          <w:szCs w:val="28"/>
          <w:lang w:val="lv-LV"/>
        </w:rPr>
        <w:t xml:space="preserve">                                </w:t>
      </w:r>
      <w:r w:rsidR="00AF2B59" w:rsidRPr="00A91E1A">
        <w:rPr>
          <w:sz w:val="28"/>
          <w:szCs w:val="28"/>
          <w:lang w:val="lv-LV"/>
        </w:rPr>
        <w:t xml:space="preserve">                           </w:t>
      </w:r>
    </w:p>
    <w:p w:rsidR="00C71C15" w:rsidRPr="00A91E1A" w:rsidRDefault="00C71C15" w:rsidP="00A91E1A">
      <w:pPr>
        <w:pStyle w:val="Prliminairetype"/>
        <w:spacing w:before="0"/>
        <w:jc w:val="both"/>
        <w:rPr>
          <w:rFonts w:eastAsiaTheme="minorHAnsi"/>
          <w:bCs/>
          <w:sz w:val="28"/>
          <w:szCs w:val="28"/>
        </w:rPr>
      </w:pPr>
      <w:r w:rsidRPr="00A91E1A">
        <w:rPr>
          <w:b w:val="0"/>
          <w:sz w:val="28"/>
          <w:szCs w:val="28"/>
        </w:rPr>
        <w:t xml:space="preserve">2. </w:t>
      </w:r>
      <w:r w:rsidR="00B70882" w:rsidRPr="00A91E1A">
        <w:rPr>
          <w:b w:val="0"/>
          <w:noProof/>
          <w:sz w:val="28"/>
          <w:szCs w:val="28"/>
        </w:rPr>
        <w:t>Padomes secinājumi</w:t>
      </w:r>
      <w:r w:rsidR="00A91E1A" w:rsidRPr="00A91E1A">
        <w:rPr>
          <w:b w:val="0"/>
          <w:noProof/>
          <w:sz w:val="28"/>
          <w:szCs w:val="28"/>
        </w:rPr>
        <w:t xml:space="preserve"> </w:t>
      </w:r>
      <w:r w:rsidR="003152D8">
        <w:rPr>
          <w:b w:val="0"/>
          <w:noProof/>
          <w:sz w:val="28"/>
          <w:szCs w:val="28"/>
        </w:rPr>
        <w:t>par p</w:t>
      </w:r>
      <w:proofErr w:type="spellStart"/>
      <w:r w:rsidR="00A91E1A" w:rsidRPr="00A91E1A">
        <w:rPr>
          <w:b w:val="0"/>
          <w:sz w:val="28"/>
          <w:szCs w:val="28"/>
          <w:lang w:val="lv-LV"/>
        </w:rPr>
        <w:t>artnerīb</w:t>
      </w:r>
      <w:r w:rsidR="003152D8">
        <w:rPr>
          <w:b w:val="0"/>
          <w:sz w:val="28"/>
          <w:szCs w:val="28"/>
          <w:lang w:val="lv-LV"/>
        </w:rPr>
        <w:t>ām</w:t>
      </w:r>
      <w:proofErr w:type="spellEnd"/>
      <w:r w:rsidR="00A91E1A" w:rsidRPr="00A91E1A">
        <w:rPr>
          <w:b w:val="0"/>
          <w:sz w:val="28"/>
          <w:szCs w:val="28"/>
          <w:lang w:val="lv-LV"/>
        </w:rPr>
        <w:t xml:space="preserve"> pētniecībā </w:t>
      </w:r>
      <w:proofErr w:type="gramStart"/>
      <w:r w:rsidR="00A91E1A" w:rsidRPr="00A91E1A">
        <w:rPr>
          <w:b w:val="0"/>
          <w:sz w:val="28"/>
          <w:szCs w:val="28"/>
          <w:lang w:val="lv-LV"/>
        </w:rPr>
        <w:t>un</w:t>
      </w:r>
      <w:proofErr w:type="gramEnd"/>
      <w:r w:rsidR="00A91E1A" w:rsidRPr="00A91E1A">
        <w:rPr>
          <w:b w:val="0"/>
          <w:sz w:val="28"/>
          <w:szCs w:val="28"/>
          <w:lang w:val="lv-LV"/>
        </w:rPr>
        <w:t xml:space="preserve"> inovācijā</w:t>
      </w:r>
      <w:r w:rsidR="00E03344">
        <w:rPr>
          <w:b w:val="0"/>
          <w:sz w:val="28"/>
          <w:szCs w:val="28"/>
          <w:lang w:val="lv-LV"/>
        </w:rPr>
        <w:t>.</w:t>
      </w:r>
    </w:p>
    <w:p w:rsidR="00A34702" w:rsidRDefault="00A34702" w:rsidP="00263035">
      <w:pPr>
        <w:pStyle w:val="ListParagraph"/>
        <w:spacing w:after="0" w:line="240" w:lineRule="auto"/>
        <w:ind w:left="714" w:hanging="288"/>
        <w:jc w:val="both"/>
        <w:rPr>
          <w:sz w:val="28"/>
          <w:szCs w:val="28"/>
        </w:rPr>
      </w:pPr>
    </w:p>
    <w:p w:rsidR="00D959C9" w:rsidRPr="00D959C9" w:rsidRDefault="00A34702" w:rsidP="00E03344">
      <w:pPr>
        <w:pStyle w:val="Titreobjet"/>
        <w:spacing w:before="0" w:after="0"/>
        <w:jc w:val="both"/>
        <w:rPr>
          <w:noProof/>
          <w:sz w:val="28"/>
          <w:szCs w:val="28"/>
          <w:lang w:val="lv-LV"/>
        </w:rPr>
      </w:pPr>
      <w:r w:rsidRPr="000818D3">
        <w:rPr>
          <w:color w:val="000000"/>
          <w:sz w:val="28"/>
          <w:szCs w:val="28"/>
          <w:lang w:val="lv-LV"/>
        </w:rPr>
        <w:t xml:space="preserve">1. </w:t>
      </w:r>
      <w:r w:rsidR="00C642E8" w:rsidRPr="00A91E1A">
        <w:rPr>
          <w:sz w:val="28"/>
          <w:szCs w:val="28"/>
          <w:lang w:val="lv-LV"/>
        </w:rPr>
        <w:t>Padomes secinājum</w:t>
      </w:r>
      <w:r w:rsidR="00C642E8">
        <w:rPr>
          <w:sz w:val="28"/>
          <w:szCs w:val="28"/>
          <w:lang w:val="lv-LV"/>
        </w:rPr>
        <w:t>i</w:t>
      </w:r>
      <w:r w:rsidR="00C642E8" w:rsidRPr="00A91E1A">
        <w:rPr>
          <w:sz w:val="28"/>
          <w:szCs w:val="28"/>
          <w:lang w:val="lv-LV"/>
        </w:rPr>
        <w:t xml:space="preserve"> par </w:t>
      </w:r>
      <w:r w:rsidR="00C642E8">
        <w:rPr>
          <w:sz w:val="28"/>
          <w:szCs w:val="28"/>
          <w:lang w:val="lv-LV"/>
        </w:rPr>
        <w:t>vienotās</w:t>
      </w:r>
      <w:r w:rsidR="00C642E8" w:rsidRPr="00A91E1A">
        <w:rPr>
          <w:sz w:val="28"/>
          <w:szCs w:val="28"/>
          <w:lang w:val="lv-LV"/>
        </w:rPr>
        <w:t xml:space="preserve"> plānošanas iniciatīvu sākšanu šādās jomās: „Veselīgas un produktīvas jūras un okeāni”, „Urbānā Eiropa – globāli </w:t>
      </w:r>
      <w:proofErr w:type="spellStart"/>
      <w:r w:rsidR="00C642E8" w:rsidRPr="00A91E1A">
        <w:rPr>
          <w:sz w:val="28"/>
          <w:szCs w:val="28"/>
          <w:lang w:val="lv-LV"/>
        </w:rPr>
        <w:t>urbāni</w:t>
      </w:r>
      <w:proofErr w:type="spellEnd"/>
      <w:r w:rsidR="00C642E8" w:rsidRPr="00A91E1A">
        <w:rPr>
          <w:sz w:val="28"/>
          <w:szCs w:val="28"/>
          <w:lang w:val="lv-LV"/>
        </w:rPr>
        <w:t xml:space="preserve"> izaicinājumi, vienoti Eiropas risinājumi”, „Pieslēdzoties Eiropas klimata zināšanām”, „Ūdens izaicinājumi mainīgajai pasaulei” un „</w:t>
      </w:r>
      <w:proofErr w:type="spellStart"/>
      <w:r w:rsidR="00C642E8" w:rsidRPr="00A91E1A">
        <w:rPr>
          <w:sz w:val="28"/>
          <w:szCs w:val="28"/>
          <w:lang w:val="lv-LV"/>
        </w:rPr>
        <w:t>Mikrobiālais</w:t>
      </w:r>
      <w:proofErr w:type="spellEnd"/>
      <w:r w:rsidR="00C642E8" w:rsidRPr="00A91E1A">
        <w:rPr>
          <w:sz w:val="28"/>
          <w:szCs w:val="28"/>
          <w:lang w:val="lv-LV"/>
        </w:rPr>
        <w:t xml:space="preserve"> izaicinājums – draudošas briesmas cilvēces veselībai”</w:t>
      </w:r>
    </w:p>
    <w:p w:rsidR="007C0CD3" w:rsidRPr="00F37F45" w:rsidRDefault="007C0CD3" w:rsidP="007C0CD3">
      <w:pPr>
        <w:autoSpaceDE w:val="0"/>
        <w:autoSpaceDN w:val="0"/>
        <w:adjustRightInd w:val="0"/>
        <w:jc w:val="both"/>
        <w:rPr>
          <w:b/>
          <w:sz w:val="28"/>
          <w:szCs w:val="28"/>
          <w:highlight w:val="yellow"/>
          <w:lang w:val="lv-LV"/>
        </w:rPr>
      </w:pPr>
    </w:p>
    <w:p w:rsidR="00D82CB2" w:rsidRPr="00EC0FCE" w:rsidRDefault="00D82CB2" w:rsidP="00D82CB2">
      <w:pPr>
        <w:pStyle w:val="ListBullet"/>
        <w:numPr>
          <w:ilvl w:val="0"/>
          <w:numId w:val="0"/>
        </w:numPr>
        <w:spacing w:before="0" w:after="0"/>
        <w:rPr>
          <w:sz w:val="28"/>
          <w:szCs w:val="28"/>
        </w:rPr>
      </w:pPr>
      <w:r w:rsidRPr="00EE008E">
        <w:rPr>
          <w:sz w:val="28"/>
          <w:szCs w:val="28"/>
        </w:rPr>
        <w:t>Pēc Eiropas Komisijas (EK) 2008. gada 15. jūlija paziņojuma „Ceļā uz pētniecības vienotu</w:t>
      </w:r>
      <w:r w:rsidR="00DB026A">
        <w:rPr>
          <w:sz w:val="28"/>
          <w:szCs w:val="28"/>
        </w:rPr>
        <w:t xml:space="preserve"> plānošanu</w:t>
      </w:r>
      <w:r w:rsidRPr="00EE008E">
        <w:rPr>
          <w:sz w:val="28"/>
          <w:szCs w:val="28"/>
        </w:rPr>
        <w:t>: sadarboties, lai risinātu kopīgas problēmas efektīvākam risinājumam” par vienoto plānošanu, 2008. gad</w:t>
      </w:r>
      <w:r w:rsidR="00DB026A">
        <w:rPr>
          <w:sz w:val="28"/>
          <w:szCs w:val="28"/>
        </w:rPr>
        <w:t>ā</w:t>
      </w:r>
      <w:r w:rsidRPr="00EE008E">
        <w:rPr>
          <w:sz w:val="28"/>
          <w:szCs w:val="28"/>
        </w:rPr>
        <w:t xml:space="preserve"> uzsāk</w:t>
      </w:r>
      <w:r w:rsidR="00DB026A">
        <w:rPr>
          <w:sz w:val="28"/>
          <w:szCs w:val="28"/>
        </w:rPr>
        <w:t>ās</w:t>
      </w:r>
      <w:r w:rsidRPr="00EE008E">
        <w:rPr>
          <w:sz w:val="28"/>
          <w:szCs w:val="28"/>
        </w:rPr>
        <w:t xml:space="preserve"> vienot</w:t>
      </w:r>
      <w:r w:rsidR="00DB026A">
        <w:rPr>
          <w:sz w:val="28"/>
          <w:szCs w:val="28"/>
        </w:rPr>
        <w:t>ā</w:t>
      </w:r>
      <w:r w:rsidRPr="00EE008E">
        <w:rPr>
          <w:sz w:val="28"/>
          <w:szCs w:val="28"/>
        </w:rPr>
        <w:t xml:space="preserve"> plānošan</w:t>
      </w:r>
      <w:r w:rsidR="00DB026A">
        <w:rPr>
          <w:sz w:val="28"/>
          <w:szCs w:val="28"/>
        </w:rPr>
        <w:t>a</w:t>
      </w:r>
      <w:r w:rsidRPr="00EE008E">
        <w:rPr>
          <w:sz w:val="28"/>
          <w:szCs w:val="28"/>
        </w:rPr>
        <w:t xml:space="preserve"> kā dalībvalstu virzītu procesu uz brīvprātības pamatiem un atvērtas piekļuves principiem</w:t>
      </w:r>
      <w:r w:rsidR="00EC0FCE">
        <w:rPr>
          <w:sz w:val="28"/>
          <w:szCs w:val="28"/>
        </w:rPr>
        <w:t xml:space="preserve">, un 2010.gadā </w:t>
      </w:r>
      <w:r w:rsidR="00EC0FCE" w:rsidRPr="00EC0FCE">
        <w:rPr>
          <w:sz w:val="28"/>
          <w:szCs w:val="28"/>
        </w:rPr>
        <w:t xml:space="preserve">tika uzsāktas trīs pirmās </w:t>
      </w:r>
      <w:r w:rsidR="00EC0FCE">
        <w:rPr>
          <w:sz w:val="28"/>
          <w:szCs w:val="28"/>
        </w:rPr>
        <w:t>vienotās plānošanas iniciatīvas</w:t>
      </w:r>
      <w:r w:rsidR="00EC0FCE" w:rsidRPr="00EC0FCE">
        <w:rPr>
          <w:sz w:val="28"/>
          <w:szCs w:val="28"/>
        </w:rPr>
        <w:t>, t.s. „pirmais vilnis”: „Lauksaimniecība, droša pārtika un klimata izmaiņas”, „Veselīgs uzturs veselīgai dzīve” un „Kultūras mantojums un globālās pārmaiņas- jauns izaicinājums Eiropai”</w:t>
      </w:r>
      <w:r w:rsidRPr="00EC0FCE">
        <w:rPr>
          <w:sz w:val="28"/>
          <w:szCs w:val="28"/>
        </w:rPr>
        <w:t>.</w:t>
      </w:r>
    </w:p>
    <w:p w:rsidR="00EC0FCE" w:rsidRPr="009B3094" w:rsidRDefault="00DB026A" w:rsidP="009B3094">
      <w:pPr>
        <w:jc w:val="both"/>
        <w:rPr>
          <w:sz w:val="28"/>
          <w:szCs w:val="28"/>
          <w:lang w:val="lv-LV"/>
        </w:rPr>
      </w:pPr>
      <w:r w:rsidRPr="00DB026A">
        <w:rPr>
          <w:sz w:val="28"/>
          <w:szCs w:val="28"/>
          <w:lang w:val="lv-LV"/>
        </w:rPr>
        <w:t>2010. gad</w:t>
      </w:r>
      <w:r>
        <w:rPr>
          <w:sz w:val="28"/>
          <w:szCs w:val="28"/>
          <w:lang w:val="lv-LV"/>
        </w:rPr>
        <w:t>ā</w:t>
      </w:r>
      <w:r w:rsidRPr="00DB026A">
        <w:rPr>
          <w:sz w:val="28"/>
          <w:szCs w:val="28"/>
          <w:lang w:val="lv-LV"/>
        </w:rPr>
        <w:t xml:space="preserve"> tika apstiprinātas 6 jaunas </w:t>
      </w:r>
      <w:r>
        <w:rPr>
          <w:sz w:val="28"/>
          <w:szCs w:val="28"/>
          <w:lang w:val="lv-LV"/>
        </w:rPr>
        <w:t>vienotās plānošanas iniciatīvu</w:t>
      </w:r>
      <w:r w:rsidRPr="00DB026A">
        <w:rPr>
          <w:sz w:val="28"/>
          <w:szCs w:val="28"/>
          <w:lang w:val="lv-LV"/>
        </w:rPr>
        <w:t xml:space="preserve"> tēmas, t.s. „otrais vilnis”: „</w:t>
      </w:r>
      <w:proofErr w:type="spellStart"/>
      <w:r w:rsidRPr="00DB026A">
        <w:rPr>
          <w:sz w:val="28"/>
          <w:szCs w:val="28"/>
          <w:lang w:val="lv-LV"/>
        </w:rPr>
        <w:t>Mikrobiālais</w:t>
      </w:r>
      <w:proofErr w:type="spellEnd"/>
      <w:r w:rsidRPr="00DB026A">
        <w:rPr>
          <w:sz w:val="28"/>
          <w:szCs w:val="28"/>
          <w:lang w:val="lv-LV"/>
        </w:rPr>
        <w:t xml:space="preserve"> izaicinājums – draudošas briesmas cilvēces veselībai”, „Pieslēdzoties Eiropas klimata zināšanām (</w:t>
      </w:r>
      <w:proofErr w:type="spellStart"/>
      <w:r w:rsidRPr="00DB026A">
        <w:rPr>
          <w:sz w:val="28"/>
          <w:szCs w:val="28"/>
          <w:lang w:val="lv-LV"/>
        </w:rPr>
        <w:t>Clik'EU</w:t>
      </w:r>
      <w:proofErr w:type="spellEnd"/>
      <w:r w:rsidRPr="00DB026A">
        <w:rPr>
          <w:sz w:val="28"/>
          <w:szCs w:val="28"/>
          <w:lang w:val="lv-LV"/>
        </w:rPr>
        <w:t xml:space="preserve">)”, „Vairāk gadu, labāka dzīve – demogrāfisko izmaiņu potenciāls un izaicinājums”, „Urbānā Eiropa – globālie izaicinājumi, vietējie risinājumi”, „Ūdens izaicinājumi mainīgajai pasaulei” un „Veselīgas un produktīvas jūras un okeāni”. </w:t>
      </w:r>
      <w:r w:rsidR="00EC0FCE" w:rsidRPr="009B3094">
        <w:rPr>
          <w:sz w:val="28"/>
          <w:szCs w:val="28"/>
          <w:lang w:val="lv-LV"/>
        </w:rPr>
        <w:t xml:space="preserve"> </w:t>
      </w:r>
      <w:r w:rsidR="009B3094" w:rsidRPr="009B3094">
        <w:rPr>
          <w:sz w:val="28"/>
          <w:szCs w:val="28"/>
          <w:lang w:val="lv-LV"/>
        </w:rPr>
        <w:t>„O</w:t>
      </w:r>
      <w:r w:rsidR="00EC0FCE" w:rsidRPr="009B3094">
        <w:rPr>
          <w:sz w:val="28"/>
          <w:szCs w:val="28"/>
          <w:lang w:val="lv-LV"/>
        </w:rPr>
        <w:t>trā viļņa” vienotās plānošanas iniciatīvas dos ieguldījumu ES dalībvalstu sadrumstalotās pētniecības mazināšanā un pastiprinās prasmju, zināšanu un resursu mobilizāciju, kas sekmēs Eiropas vadošās lomas nostiprināšanu un konkurētspēju.</w:t>
      </w:r>
    </w:p>
    <w:p w:rsidR="00EC0FCE" w:rsidRPr="00EC0FCE" w:rsidRDefault="00EC0FCE" w:rsidP="00EC0FCE">
      <w:pPr>
        <w:pStyle w:val="Text1"/>
        <w:spacing w:before="0" w:after="0"/>
        <w:ind w:left="0"/>
        <w:rPr>
          <w:sz w:val="28"/>
          <w:szCs w:val="28"/>
        </w:rPr>
      </w:pPr>
      <w:r w:rsidRPr="00EC0FCE">
        <w:rPr>
          <w:sz w:val="28"/>
          <w:szCs w:val="28"/>
        </w:rPr>
        <w:t>Dalībvalstis tiek aicinātas attīstīt kopīgu vīziju, izstrādāt Stratēģisk</w:t>
      </w:r>
      <w:r w:rsidR="003152D8">
        <w:rPr>
          <w:sz w:val="28"/>
          <w:szCs w:val="28"/>
        </w:rPr>
        <w:t>o</w:t>
      </w:r>
      <w:r w:rsidRPr="00EC0FCE">
        <w:rPr>
          <w:sz w:val="28"/>
          <w:szCs w:val="28"/>
        </w:rPr>
        <w:t xml:space="preserve"> Pētniecības darba kārtību, izveidot un vadīt kopīgu vadības struktūru. Dalībvalstis tiek aicinātas veidot ekspertīzi EK ietvaros, un, ieviešot </w:t>
      </w:r>
      <w:r w:rsidR="00695C7A" w:rsidRPr="00EC0FCE">
        <w:rPr>
          <w:sz w:val="28"/>
          <w:szCs w:val="28"/>
        </w:rPr>
        <w:t>Stratēģisk</w:t>
      </w:r>
      <w:r w:rsidR="00695C7A">
        <w:rPr>
          <w:sz w:val="28"/>
          <w:szCs w:val="28"/>
        </w:rPr>
        <w:t>o</w:t>
      </w:r>
      <w:r w:rsidR="00695C7A" w:rsidRPr="00EC0FCE">
        <w:rPr>
          <w:sz w:val="28"/>
          <w:szCs w:val="28"/>
        </w:rPr>
        <w:t xml:space="preserve"> Pētniecības darba kārtību</w:t>
      </w:r>
      <w:r w:rsidRPr="00EC0FCE">
        <w:rPr>
          <w:sz w:val="28"/>
          <w:szCs w:val="28"/>
        </w:rPr>
        <w:t xml:space="preserve"> un koordinējot </w:t>
      </w:r>
      <w:r w:rsidR="00695C7A">
        <w:rPr>
          <w:sz w:val="28"/>
          <w:szCs w:val="28"/>
        </w:rPr>
        <w:t>vienotās plānošanas</w:t>
      </w:r>
      <w:r w:rsidRPr="00EC0FCE">
        <w:rPr>
          <w:sz w:val="28"/>
          <w:szCs w:val="28"/>
        </w:rPr>
        <w:t xml:space="preserve"> ieviešanu un nodrošinot </w:t>
      </w:r>
      <w:r w:rsidRPr="00EC0FCE">
        <w:rPr>
          <w:sz w:val="28"/>
          <w:szCs w:val="28"/>
        </w:rPr>
        <w:lastRenderedPageBreak/>
        <w:t>vispārīgu saskaņu ar citām programmām un iniciatīvām, vienlaikus izvairoties no dublēšanās esošajās un nākotnes iniciatīvās.</w:t>
      </w:r>
    </w:p>
    <w:p w:rsidR="00EC0FCE" w:rsidRPr="00EC0FCE" w:rsidRDefault="00695C7A" w:rsidP="00EC0FCE">
      <w:pPr>
        <w:pStyle w:val="Text1"/>
        <w:spacing w:before="0" w:after="0"/>
        <w:ind w:left="0"/>
        <w:rPr>
          <w:sz w:val="28"/>
          <w:szCs w:val="28"/>
        </w:rPr>
      </w:pPr>
      <w:r w:rsidRPr="00EC0FCE">
        <w:rPr>
          <w:sz w:val="28"/>
          <w:szCs w:val="28"/>
        </w:rPr>
        <w:t>Stratēģisk</w:t>
      </w:r>
      <w:r>
        <w:rPr>
          <w:sz w:val="28"/>
          <w:szCs w:val="28"/>
        </w:rPr>
        <w:t>aja</w:t>
      </w:r>
      <w:r w:rsidRPr="00EC0FCE">
        <w:rPr>
          <w:sz w:val="28"/>
          <w:szCs w:val="28"/>
        </w:rPr>
        <w:t>i Pētniecības darba kārtīb</w:t>
      </w:r>
      <w:r>
        <w:rPr>
          <w:sz w:val="28"/>
          <w:szCs w:val="28"/>
        </w:rPr>
        <w:t>ai</w:t>
      </w:r>
      <w:r w:rsidR="00EC0FCE" w:rsidRPr="00EC0FCE">
        <w:rPr>
          <w:sz w:val="28"/>
          <w:szCs w:val="28"/>
        </w:rPr>
        <w:t xml:space="preserve"> jāparedz situācijas analīze, informācijas apmaiņa par nacionālajām programmām, pētniecības pasākumiem un kapacitātēm,  jāapmainās ar informāciju, labākajām praksēm, </w:t>
      </w:r>
      <w:proofErr w:type="spellStart"/>
      <w:r w:rsidR="00EC0FCE" w:rsidRPr="00EC0FCE">
        <w:rPr>
          <w:sz w:val="28"/>
          <w:szCs w:val="28"/>
        </w:rPr>
        <w:t>metodoloģijām</w:t>
      </w:r>
      <w:proofErr w:type="spellEnd"/>
      <w:r w:rsidR="00EC0FCE" w:rsidRPr="00EC0FCE">
        <w:rPr>
          <w:sz w:val="28"/>
          <w:szCs w:val="28"/>
        </w:rPr>
        <w:t xml:space="preserve"> un vadlīnijām, jānosaka pētniecības pasākumu jomas, jānodrošina koordinācija un </w:t>
      </w:r>
      <w:proofErr w:type="spellStart"/>
      <w:r w:rsidR="00EC0FCE" w:rsidRPr="00EC0FCE">
        <w:rPr>
          <w:sz w:val="28"/>
          <w:szCs w:val="28"/>
        </w:rPr>
        <w:t>sinerģiju</w:t>
      </w:r>
      <w:proofErr w:type="spellEnd"/>
      <w:r w:rsidR="00EC0FCE" w:rsidRPr="00EC0FCE">
        <w:rPr>
          <w:sz w:val="28"/>
          <w:szCs w:val="28"/>
        </w:rPr>
        <w:t xml:space="preserve"> attīstība, pētniecības infrastruktūras pieejamība, jāiedrošina sadarbība starp publisko un privāto sektoru, jāsekmē </w:t>
      </w:r>
      <w:proofErr w:type="spellStart"/>
      <w:r w:rsidR="00EC0FCE" w:rsidRPr="00EC0FCE">
        <w:rPr>
          <w:sz w:val="28"/>
          <w:szCs w:val="28"/>
        </w:rPr>
        <w:t>daudzdisciplināra</w:t>
      </w:r>
      <w:proofErr w:type="spellEnd"/>
      <w:r w:rsidR="00EC0FCE" w:rsidRPr="00EC0FCE">
        <w:rPr>
          <w:sz w:val="28"/>
          <w:szCs w:val="28"/>
        </w:rPr>
        <w:t xml:space="preserve"> pieeja un jāstimulē sadarbība jūrniecības un jūrlietu sektoros, jāsekmē zināšanu, inovāciju pieejamība, jāattīsta tīkli starp pētniecības centriem par jūras un okeānu izpētes jautājumiem u.c.</w:t>
      </w:r>
    </w:p>
    <w:p w:rsidR="00EC0FCE" w:rsidRPr="00EC0FCE" w:rsidRDefault="00EC0FCE" w:rsidP="00EC0FCE">
      <w:pPr>
        <w:pStyle w:val="Text1"/>
        <w:spacing w:before="0" w:after="0"/>
        <w:ind w:left="0"/>
        <w:rPr>
          <w:sz w:val="28"/>
          <w:szCs w:val="28"/>
        </w:rPr>
      </w:pPr>
      <w:r w:rsidRPr="00EC0FCE">
        <w:rPr>
          <w:sz w:val="28"/>
          <w:szCs w:val="28"/>
        </w:rPr>
        <w:t xml:space="preserve">EK tiek aicināta darboties kā koordinatoram, kas iesaka komplementārus pasākumus, lai atbalstītu </w:t>
      </w:r>
      <w:r w:rsidR="00DB48B4">
        <w:rPr>
          <w:sz w:val="28"/>
          <w:szCs w:val="28"/>
        </w:rPr>
        <w:t>vienoto plānošanu</w:t>
      </w:r>
      <w:r w:rsidRPr="00EC0FCE">
        <w:rPr>
          <w:sz w:val="28"/>
          <w:szCs w:val="28"/>
        </w:rPr>
        <w:t xml:space="preserve">. Šādi pasākumi </w:t>
      </w:r>
      <w:r w:rsidR="003152D8">
        <w:rPr>
          <w:sz w:val="28"/>
          <w:szCs w:val="28"/>
        </w:rPr>
        <w:t>varētu nozīmēt kopēju</w:t>
      </w:r>
      <w:r w:rsidRPr="00EC0FCE">
        <w:rPr>
          <w:sz w:val="28"/>
          <w:szCs w:val="28"/>
        </w:rPr>
        <w:t xml:space="preserve"> koordinācij</w:t>
      </w:r>
      <w:r w:rsidR="003152D8">
        <w:rPr>
          <w:sz w:val="28"/>
          <w:szCs w:val="28"/>
        </w:rPr>
        <w:t>u</w:t>
      </w:r>
      <w:r w:rsidRPr="00EC0FCE">
        <w:rPr>
          <w:sz w:val="28"/>
          <w:szCs w:val="28"/>
        </w:rPr>
        <w:t>, vadības, pārvaldes struktūr</w:t>
      </w:r>
      <w:r w:rsidR="003152D8">
        <w:rPr>
          <w:sz w:val="28"/>
          <w:szCs w:val="28"/>
        </w:rPr>
        <w:t>u</w:t>
      </w:r>
      <w:r w:rsidRPr="00EC0FCE">
        <w:rPr>
          <w:sz w:val="28"/>
          <w:szCs w:val="28"/>
        </w:rPr>
        <w:t xml:space="preserve"> un </w:t>
      </w:r>
      <w:r w:rsidR="00DB48B4" w:rsidRPr="00EC0FCE">
        <w:rPr>
          <w:sz w:val="28"/>
          <w:szCs w:val="28"/>
        </w:rPr>
        <w:t>Stratēģisk</w:t>
      </w:r>
      <w:r w:rsidR="00DB48B4">
        <w:rPr>
          <w:sz w:val="28"/>
          <w:szCs w:val="28"/>
        </w:rPr>
        <w:t>ās</w:t>
      </w:r>
      <w:r w:rsidR="00DB48B4" w:rsidRPr="00EC0FCE">
        <w:rPr>
          <w:sz w:val="28"/>
          <w:szCs w:val="28"/>
        </w:rPr>
        <w:t xml:space="preserve"> Pētniecības darba kārtīb</w:t>
      </w:r>
      <w:r w:rsidR="00DB48B4">
        <w:rPr>
          <w:sz w:val="28"/>
          <w:szCs w:val="28"/>
        </w:rPr>
        <w:t>as</w:t>
      </w:r>
      <w:r w:rsidRPr="00EC0FCE">
        <w:rPr>
          <w:sz w:val="28"/>
          <w:szCs w:val="28"/>
        </w:rPr>
        <w:t xml:space="preserve"> ieviešan</w:t>
      </w:r>
      <w:r w:rsidR="003152D8">
        <w:rPr>
          <w:sz w:val="28"/>
          <w:szCs w:val="28"/>
        </w:rPr>
        <w:t>u</w:t>
      </w:r>
      <w:r w:rsidRPr="00EC0FCE">
        <w:rPr>
          <w:sz w:val="28"/>
          <w:szCs w:val="28"/>
        </w:rPr>
        <w:t>, datu, informācijas un analīzes nodrošināšan</w:t>
      </w:r>
      <w:r w:rsidR="003152D8">
        <w:rPr>
          <w:sz w:val="28"/>
          <w:szCs w:val="28"/>
        </w:rPr>
        <w:t>u</w:t>
      </w:r>
      <w:r w:rsidRPr="00EC0FCE">
        <w:rPr>
          <w:sz w:val="28"/>
          <w:szCs w:val="28"/>
        </w:rPr>
        <w:t xml:space="preserve">. EK jānodrošina </w:t>
      </w:r>
      <w:r w:rsidR="00DB48B4" w:rsidRPr="00EC0FCE">
        <w:rPr>
          <w:sz w:val="28"/>
          <w:szCs w:val="28"/>
        </w:rPr>
        <w:t>Stratēģisk</w:t>
      </w:r>
      <w:r w:rsidR="00DB48B4">
        <w:rPr>
          <w:sz w:val="28"/>
          <w:szCs w:val="28"/>
        </w:rPr>
        <w:t>ās</w:t>
      </w:r>
      <w:r w:rsidR="00DB48B4" w:rsidRPr="00EC0FCE">
        <w:rPr>
          <w:sz w:val="28"/>
          <w:szCs w:val="28"/>
        </w:rPr>
        <w:t xml:space="preserve"> Pētniecības darba kārtīb</w:t>
      </w:r>
      <w:r w:rsidR="00DB48B4">
        <w:rPr>
          <w:sz w:val="28"/>
          <w:szCs w:val="28"/>
        </w:rPr>
        <w:t>as</w:t>
      </w:r>
      <w:r w:rsidRPr="00EC0FCE">
        <w:rPr>
          <w:sz w:val="28"/>
          <w:szCs w:val="28"/>
        </w:rPr>
        <w:t xml:space="preserve"> ieviešana caur ES pasākumiem un finansējumu. EK jāpiedāvā atbalsts iniciatīvu ieviešanā, nodrošinot to </w:t>
      </w:r>
      <w:proofErr w:type="spellStart"/>
      <w:r w:rsidRPr="00EC0FCE">
        <w:rPr>
          <w:sz w:val="28"/>
          <w:szCs w:val="28"/>
        </w:rPr>
        <w:t>komplementaritāti</w:t>
      </w:r>
      <w:proofErr w:type="spellEnd"/>
      <w:r w:rsidRPr="00EC0FCE">
        <w:rPr>
          <w:sz w:val="28"/>
          <w:szCs w:val="28"/>
        </w:rPr>
        <w:t xml:space="preserve"> ar citām programmām un iniciatīvām, īpaši ar nākamās </w:t>
      </w:r>
      <w:proofErr w:type="spellStart"/>
      <w:r w:rsidRPr="00EC0FCE">
        <w:rPr>
          <w:sz w:val="28"/>
          <w:szCs w:val="28"/>
        </w:rPr>
        <w:t>Ietvarprogrammas</w:t>
      </w:r>
      <w:proofErr w:type="spellEnd"/>
      <w:r w:rsidRPr="00EC0FCE">
        <w:rPr>
          <w:sz w:val="28"/>
          <w:szCs w:val="28"/>
        </w:rPr>
        <w:t xml:space="preserve"> pētniecībā un inovācijā  Horizonts 2020 instrumentiem. EK regulāri jāziņo par </w:t>
      </w:r>
      <w:r w:rsidR="003152D8">
        <w:rPr>
          <w:sz w:val="28"/>
          <w:szCs w:val="28"/>
        </w:rPr>
        <w:t>vienotās plānošanas</w:t>
      </w:r>
      <w:r w:rsidRPr="00EC0FCE">
        <w:rPr>
          <w:sz w:val="28"/>
          <w:szCs w:val="28"/>
        </w:rPr>
        <w:t xml:space="preserve"> progresu un rezultātiem.</w:t>
      </w:r>
    </w:p>
    <w:p w:rsidR="00EC0FCE" w:rsidRPr="00EC0FCE" w:rsidRDefault="00EC0FCE" w:rsidP="00D82CB2">
      <w:pPr>
        <w:pStyle w:val="ListBullet"/>
        <w:numPr>
          <w:ilvl w:val="0"/>
          <w:numId w:val="0"/>
        </w:numPr>
        <w:spacing w:before="0" w:after="0"/>
        <w:rPr>
          <w:sz w:val="28"/>
          <w:szCs w:val="28"/>
        </w:rPr>
      </w:pPr>
    </w:p>
    <w:p w:rsidR="00D82CB2" w:rsidRPr="00EE008E" w:rsidRDefault="00D82CB2" w:rsidP="00792124">
      <w:pPr>
        <w:jc w:val="both"/>
        <w:rPr>
          <w:rFonts w:eastAsia="Arial Unicode MS"/>
          <w:sz w:val="28"/>
          <w:szCs w:val="28"/>
          <w:lang w:val="lv-LV"/>
        </w:rPr>
      </w:pPr>
      <w:r w:rsidRPr="00EE008E">
        <w:rPr>
          <w:rFonts w:eastAsia="Arial Unicode MS"/>
          <w:b/>
          <w:sz w:val="28"/>
          <w:szCs w:val="28"/>
          <w:lang w:val="lv-LV"/>
        </w:rPr>
        <w:t>Latvija atbalsta secinājumu projekta pieņemšanu un vienotas plānošanas pieeju pētniecības jomās</w:t>
      </w:r>
      <w:r w:rsidRPr="00EE008E">
        <w:rPr>
          <w:rFonts w:eastAsia="Arial Unicode MS"/>
          <w:sz w:val="28"/>
          <w:szCs w:val="28"/>
          <w:lang w:val="lv-LV"/>
        </w:rPr>
        <w:t xml:space="preserve">, kuras paredz risināt aktuālus sabiedrības veselībai svarīgus, sociālus un ekonomiskas dabas jautājumus, ar globalizāciju saistītas aktualitātes, kā arī ar klimata un vides pārmaiņu procesu saistītas problēmas. </w:t>
      </w:r>
    </w:p>
    <w:p w:rsidR="00D82CB2" w:rsidRPr="00EE008E" w:rsidRDefault="00D82CB2" w:rsidP="00792124">
      <w:pPr>
        <w:jc w:val="both"/>
        <w:rPr>
          <w:rFonts w:eastAsia="Arial Unicode MS"/>
          <w:sz w:val="28"/>
          <w:szCs w:val="28"/>
          <w:lang w:val="lv-LV"/>
        </w:rPr>
      </w:pPr>
      <w:r w:rsidRPr="00EE008E">
        <w:rPr>
          <w:rFonts w:eastAsia="Arial Unicode MS"/>
          <w:b/>
          <w:sz w:val="28"/>
          <w:szCs w:val="28"/>
          <w:lang w:val="lv-LV"/>
        </w:rPr>
        <w:t>Latvija uzskata</w:t>
      </w:r>
      <w:r w:rsidRPr="00EE008E">
        <w:rPr>
          <w:rFonts w:eastAsia="Arial Unicode MS"/>
          <w:sz w:val="28"/>
          <w:szCs w:val="28"/>
          <w:lang w:val="lv-LV"/>
        </w:rPr>
        <w:t xml:space="preserve">, ka progress, kas sasniegts vienotajā plānošanā, kā arī pasākumi, kas tiek veikti vienotās plānošanas iniciatīvu sakarā, liecina, ka, tikai konsolidējot Eiropas pētniecības resursus, ir iespējama efektīva pētniecības veikšana, zināšanu pārneses un Eiropas Pētniecības telpas īstenošana, kas ir īpaši svarīgi laikā, kad Eiropas pētniecībai un inovācijai jārisina Eiropas un pasaules līmeņa problēmas, kur vienas valsts kapacitāte un resursi ir ierobežoti.  </w:t>
      </w:r>
    </w:p>
    <w:p w:rsidR="00D82CB2" w:rsidRPr="00EE008E" w:rsidRDefault="00D82CB2" w:rsidP="00792124">
      <w:pPr>
        <w:jc w:val="both"/>
        <w:rPr>
          <w:rFonts w:eastAsia="Arial Unicode MS"/>
          <w:sz w:val="28"/>
          <w:szCs w:val="28"/>
          <w:lang w:val="lv-LV"/>
        </w:rPr>
      </w:pPr>
      <w:r w:rsidRPr="00EE008E">
        <w:rPr>
          <w:rFonts w:eastAsia="Arial Unicode MS"/>
          <w:b/>
          <w:sz w:val="28"/>
          <w:szCs w:val="28"/>
          <w:lang w:val="lv-LV"/>
        </w:rPr>
        <w:t>Latvija norāda</w:t>
      </w:r>
      <w:r w:rsidRPr="00EE008E">
        <w:rPr>
          <w:rFonts w:eastAsia="Arial Unicode MS"/>
          <w:sz w:val="28"/>
          <w:szCs w:val="28"/>
          <w:lang w:val="lv-LV"/>
        </w:rPr>
        <w:t xml:space="preserve">, ka vienotā plānošana ir administratīvo un finansiālo pasākumu process, kas ļauj koncentrēt Eiropas pētniecības cilvēku, finanšu un administratīvos resursus, kā arī ļauj novērst pētniecības sadrumstalotības problēmu intelektuālā potenciāla un pieejamās pētniecības infrastruktūras ziņā. </w:t>
      </w:r>
    </w:p>
    <w:p w:rsidR="00D82CB2" w:rsidRPr="00EE008E" w:rsidRDefault="00D82CB2" w:rsidP="00792124">
      <w:pPr>
        <w:jc w:val="both"/>
        <w:rPr>
          <w:rFonts w:eastAsia="Arial Unicode MS"/>
          <w:sz w:val="28"/>
          <w:szCs w:val="28"/>
          <w:lang w:val="lv-LV"/>
        </w:rPr>
      </w:pPr>
      <w:r w:rsidRPr="00EE008E">
        <w:rPr>
          <w:rFonts w:eastAsia="Arial Unicode MS"/>
          <w:b/>
          <w:sz w:val="28"/>
          <w:szCs w:val="28"/>
          <w:lang w:val="lv-LV"/>
        </w:rPr>
        <w:t>Vienlaikus Latvija norāda</w:t>
      </w:r>
      <w:r w:rsidRPr="00EE008E">
        <w:rPr>
          <w:rFonts w:eastAsia="Arial Unicode MS"/>
          <w:sz w:val="28"/>
          <w:szCs w:val="28"/>
          <w:lang w:val="lv-LV"/>
        </w:rPr>
        <w:t xml:space="preserve">, ka ne „pirmā viļņa”, ne „otrā viļņa” vienotās plānošanas iniciatīvas neaptver visas sociālās, drošības, klimata pārmaiņu, enerģētiskās krīzes, ekoloģiskās un citas problēmas, ar kurām saskaras Eiropas sabiedrība. </w:t>
      </w:r>
    </w:p>
    <w:p w:rsidR="00E34AAC" w:rsidRDefault="00D82CB2" w:rsidP="00792124">
      <w:pPr>
        <w:jc w:val="both"/>
        <w:rPr>
          <w:rFonts w:eastAsia="Arial Unicode MS"/>
          <w:sz w:val="28"/>
          <w:szCs w:val="28"/>
          <w:lang w:val="lv-LV"/>
        </w:rPr>
      </w:pPr>
      <w:r w:rsidRPr="00EE008E">
        <w:rPr>
          <w:rFonts w:eastAsia="Arial Unicode MS"/>
          <w:sz w:val="28"/>
          <w:szCs w:val="28"/>
          <w:lang w:val="lv-LV"/>
        </w:rPr>
        <w:t xml:space="preserve">Tāpēc </w:t>
      </w:r>
      <w:r w:rsidRPr="00EE008E">
        <w:rPr>
          <w:rFonts w:eastAsia="Arial Unicode MS"/>
          <w:b/>
          <w:sz w:val="28"/>
          <w:szCs w:val="28"/>
          <w:lang w:val="lv-LV"/>
        </w:rPr>
        <w:t>Latvija uzskata</w:t>
      </w:r>
      <w:r w:rsidRPr="00EE008E">
        <w:rPr>
          <w:rFonts w:eastAsia="Arial Unicode MS"/>
          <w:sz w:val="28"/>
          <w:szCs w:val="28"/>
          <w:lang w:val="lv-LV"/>
        </w:rPr>
        <w:t>, ka jau tuvākajā nākotnē jāuzsāk jaunu vienotās plānošanas iniciatīvu izskatīšana, pievēršot uzmanību, ka arī tajās ES dalībvalstīs, kas ES iestājās 2004. gadā un vēlāk (EU-12), pētnieki risina dažādu zinātņu nozaru jautājumus, kas var kalpot par pamatu „trešā viļņa” vienotās plānošanas iniciatīvām, kā arī ne viena vien EU-12 valsts varētu kļūt par iniciatīvas vadošo valsti.</w:t>
      </w:r>
    </w:p>
    <w:p w:rsidR="00EE008E" w:rsidRDefault="00EE008E" w:rsidP="00792124">
      <w:pPr>
        <w:jc w:val="both"/>
        <w:rPr>
          <w:rFonts w:eastAsia="Arial Unicode MS"/>
          <w:sz w:val="28"/>
          <w:szCs w:val="28"/>
          <w:lang w:val="lv-LV"/>
        </w:rPr>
      </w:pPr>
    </w:p>
    <w:p w:rsidR="00EE008E" w:rsidRPr="00EE008E" w:rsidRDefault="00EE008E" w:rsidP="00EE008E">
      <w:pPr>
        <w:jc w:val="both"/>
        <w:rPr>
          <w:rFonts w:eastAsiaTheme="minorHAnsi"/>
          <w:color w:val="000000"/>
          <w:sz w:val="28"/>
          <w:szCs w:val="28"/>
          <w:lang w:val="lv-LV"/>
        </w:rPr>
      </w:pPr>
    </w:p>
    <w:p w:rsidR="00E34AAC" w:rsidRPr="00562F37" w:rsidRDefault="00E34AAC" w:rsidP="00E34AAC">
      <w:pPr>
        <w:jc w:val="both"/>
        <w:rPr>
          <w:rFonts w:eastAsiaTheme="minorHAnsi"/>
          <w:color w:val="000000"/>
          <w:sz w:val="28"/>
          <w:szCs w:val="28"/>
          <w:lang w:val="lv-LV"/>
        </w:rPr>
      </w:pPr>
      <w:r w:rsidRPr="009375E5">
        <w:rPr>
          <w:rFonts w:eastAsiaTheme="minorHAnsi"/>
          <w:b/>
          <w:color w:val="000000"/>
          <w:sz w:val="28"/>
          <w:szCs w:val="28"/>
          <w:lang w:val="lv-LV"/>
        </w:rPr>
        <w:t>2</w:t>
      </w:r>
      <w:r>
        <w:rPr>
          <w:rFonts w:eastAsiaTheme="minorHAnsi"/>
          <w:color w:val="000000"/>
          <w:sz w:val="28"/>
          <w:szCs w:val="28"/>
          <w:lang w:val="lv-LV"/>
        </w:rPr>
        <w:t xml:space="preserve">. </w:t>
      </w:r>
      <w:r w:rsidR="00562F37" w:rsidRPr="00562F37">
        <w:rPr>
          <w:b/>
          <w:sz w:val="28"/>
          <w:szCs w:val="28"/>
          <w:lang w:val="lv-LV"/>
        </w:rPr>
        <w:t xml:space="preserve">Padomes </w:t>
      </w:r>
      <w:r w:rsidR="003152D8" w:rsidRPr="003152D8">
        <w:rPr>
          <w:b/>
          <w:noProof/>
          <w:sz w:val="28"/>
          <w:szCs w:val="28"/>
        </w:rPr>
        <w:t>secinājumi par p</w:t>
      </w:r>
      <w:proofErr w:type="spellStart"/>
      <w:r w:rsidR="003152D8" w:rsidRPr="003152D8">
        <w:rPr>
          <w:b/>
          <w:sz w:val="28"/>
          <w:szCs w:val="28"/>
          <w:lang w:val="lv-LV"/>
        </w:rPr>
        <w:t>artnerībām</w:t>
      </w:r>
      <w:proofErr w:type="spellEnd"/>
      <w:r w:rsidR="003152D8" w:rsidRPr="003152D8">
        <w:rPr>
          <w:b/>
          <w:sz w:val="28"/>
          <w:szCs w:val="28"/>
          <w:lang w:val="lv-LV"/>
        </w:rPr>
        <w:t xml:space="preserve"> pētniecībā un inovācijā</w:t>
      </w:r>
      <w:r w:rsidR="003152D8" w:rsidRPr="00562F37">
        <w:rPr>
          <w:b/>
          <w:sz w:val="28"/>
          <w:szCs w:val="28"/>
          <w:lang w:val="lv-LV"/>
        </w:rPr>
        <w:t xml:space="preserve"> </w:t>
      </w:r>
    </w:p>
    <w:p w:rsidR="00B50E72" w:rsidRDefault="00B50E72" w:rsidP="0071723E">
      <w:pPr>
        <w:jc w:val="both"/>
        <w:rPr>
          <w:rFonts w:eastAsiaTheme="minorHAnsi"/>
          <w:color w:val="000000"/>
          <w:sz w:val="28"/>
          <w:szCs w:val="28"/>
          <w:lang w:val="lv-LV"/>
        </w:rPr>
      </w:pPr>
    </w:p>
    <w:p w:rsidR="003152D8" w:rsidRPr="004F17DB" w:rsidRDefault="003152D8" w:rsidP="003152D8">
      <w:pPr>
        <w:widowControl w:val="0"/>
        <w:tabs>
          <w:tab w:val="num" w:pos="567"/>
        </w:tabs>
        <w:jc w:val="both"/>
        <w:rPr>
          <w:sz w:val="28"/>
          <w:szCs w:val="28"/>
          <w:lang w:val="lv-LV"/>
        </w:rPr>
      </w:pPr>
      <w:r w:rsidRPr="004F17DB">
        <w:rPr>
          <w:noProof/>
          <w:sz w:val="28"/>
          <w:szCs w:val="28"/>
          <w:lang w:val="lv-LV"/>
        </w:rPr>
        <w:t xml:space="preserve">2011. gada 21. septembrī </w:t>
      </w:r>
      <w:r w:rsidR="004F17DB">
        <w:rPr>
          <w:noProof/>
          <w:sz w:val="28"/>
          <w:szCs w:val="28"/>
          <w:lang w:val="lv-LV"/>
        </w:rPr>
        <w:t>EK</w:t>
      </w:r>
      <w:r w:rsidRPr="004F17DB">
        <w:rPr>
          <w:noProof/>
          <w:sz w:val="28"/>
          <w:szCs w:val="28"/>
          <w:lang w:val="lv-LV"/>
        </w:rPr>
        <w:t xml:space="preserve"> publicēja komunikāciju par partnerībām zinātnē un inovācijā</w:t>
      </w:r>
      <w:r w:rsidRPr="004F17DB">
        <w:rPr>
          <w:sz w:val="28"/>
          <w:szCs w:val="28"/>
          <w:lang w:val="lv-LV"/>
        </w:rPr>
        <w:t>.</w:t>
      </w:r>
    </w:p>
    <w:p w:rsidR="003152D8" w:rsidRPr="004F17DB" w:rsidRDefault="003152D8" w:rsidP="003152D8">
      <w:pPr>
        <w:widowControl w:val="0"/>
        <w:tabs>
          <w:tab w:val="num" w:pos="567"/>
        </w:tabs>
        <w:jc w:val="both"/>
        <w:rPr>
          <w:sz w:val="28"/>
          <w:szCs w:val="28"/>
          <w:lang w:val="lv-LV"/>
        </w:rPr>
      </w:pPr>
      <w:r w:rsidRPr="004F17DB">
        <w:rPr>
          <w:sz w:val="28"/>
          <w:szCs w:val="28"/>
          <w:lang w:val="lv-LV"/>
        </w:rPr>
        <w:t xml:space="preserve">Padome ir ņēmusi vērā EK atbildi uz rekomendācijām par programmu ARTEMIS un ENIAC pirmo </w:t>
      </w:r>
      <w:proofErr w:type="spellStart"/>
      <w:r w:rsidRPr="004F17DB">
        <w:rPr>
          <w:sz w:val="28"/>
          <w:szCs w:val="28"/>
          <w:lang w:val="lv-LV"/>
        </w:rPr>
        <w:t>vidusp</w:t>
      </w:r>
      <w:r w:rsidR="004F17DB">
        <w:rPr>
          <w:sz w:val="28"/>
          <w:szCs w:val="28"/>
          <w:lang w:val="lv-LV"/>
        </w:rPr>
        <w:t>o</w:t>
      </w:r>
      <w:r w:rsidRPr="004F17DB">
        <w:rPr>
          <w:sz w:val="28"/>
          <w:szCs w:val="28"/>
          <w:lang w:val="lv-LV"/>
        </w:rPr>
        <w:t>sma</w:t>
      </w:r>
      <w:proofErr w:type="spellEnd"/>
      <w:r w:rsidRPr="004F17DB">
        <w:rPr>
          <w:sz w:val="28"/>
          <w:szCs w:val="28"/>
          <w:lang w:val="lv-LV"/>
        </w:rPr>
        <w:t xml:space="preserve"> novērtējumu  un iniciatīvās „</w:t>
      </w:r>
      <w:proofErr w:type="spellStart"/>
      <w:r w:rsidRPr="004F17DB">
        <w:rPr>
          <w:sz w:val="28"/>
          <w:szCs w:val="28"/>
          <w:lang w:val="lv-LV"/>
        </w:rPr>
        <w:t>Inovatīvi</w:t>
      </w:r>
      <w:proofErr w:type="spellEnd"/>
      <w:r w:rsidRPr="004F17DB">
        <w:rPr>
          <w:sz w:val="28"/>
          <w:szCs w:val="28"/>
          <w:lang w:val="lv-LV"/>
        </w:rPr>
        <w:t xml:space="preserve"> medikamenti”, </w:t>
      </w:r>
      <w:proofErr w:type="spellStart"/>
      <w:r w:rsidRPr="004F17DB">
        <w:rPr>
          <w:i/>
          <w:sz w:val="28"/>
          <w:szCs w:val="28"/>
          <w:lang w:val="lv-LV"/>
        </w:rPr>
        <w:t>Clean</w:t>
      </w:r>
      <w:proofErr w:type="spellEnd"/>
      <w:r w:rsidRPr="004F17DB">
        <w:rPr>
          <w:i/>
          <w:sz w:val="28"/>
          <w:szCs w:val="28"/>
          <w:lang w:val="lv-LV"/>
        </w:rPr>
        <w:t xml:space="preserve"> </w:t>
      </w:r>
      <w:proofErr w:type="spellStart"/>
      <w:r w:rsidRPr="004F17DB">
        <w:rPr>
          <w:i/>
          <w:sz w:val="28"/>
          <w:szCs w:val="28"/>
          <w:lang w:val="lv-LV"/>
        </w:rPr>
        <w:t>Sky</w:t>
      </w:r>
      <w:proofErr w:type="spellEnd"/>
      <w:r w:rsidRPr="004F17DB">
        <w:rPr>
          <w:sz w:val="28"/>
          <w:szCs w:val="28"/>
          <w:lang w:val="lv-LV"/>
        </w:rPr>
        <w:t xml:space="preserve"> un „Kurināmā elementi un ūdeņradis”, un EK informāciju par Eiropas inovāciju pilot-partnerību „Aktīva un veselīga novecošana AHA – pirmā pieredze pārvaldībā un procesos”. Padome atzīst, ka dalībvalstīm un Eiropas Savienībai (ES) jāstimulē efektīva esošo publisko un privāto resursu izmantošana pētniecībā un inovācijā un atzīmē, ka jau pastāv atšķirīgas partnerības kategorijas pētniecības un inovācijas jomā: </w:t>
      </w:r>
    </w:p>
    <w:p w:rsidR="003152D8" w:rsidRPr="004F17DB" w:rsidRDefault="003152D8" w:rsidP="003152D8">
      <w:pPr>
        <w:widowControl w:val="0"/>
        <w:tabs>
          <w:tab w:val="num" w:pos="567"/>
        </w:tabs>
        <w:jc w:val="both"/>
        <w:rPr>
          <w:sz w:val="28"/>
          <w:szCs w:val="28"/>
          <w:lang w:val="lv-LV"/>
        </w:rPr>
      </w:pPr>
      <w:r w:rsidRPr="004F17DB">
        <w:rPr>
          <w:sz w:val="28"/>
          <w:szCs w:val="28"/>
          <w:lang w:val="lv-LV"/>
        </w:rPr>
        <w:t>1. publiskā-publiskā partnerība (P2P), kā piemēram ERA-NET, ERA-NET Plus, 185. panta iniciatīvas, vienotās plānošanas iniciatīvas;</w:t>
      </w:r>
    </w:p>
    <w:p w:rsidR="003152D8" w:rsidRPr="004F17DB" w:rsidRDefault="003152D8" w:rsidP="003152D8">
      <w:pPr>
        <w:widowControl w:val="0"/>
        <w:tabs>
          <w:tab w:val="num" w:pos="567"/>
        </w:tabs>
        <w:jc w:val="both"/>
        <w:rPr>
          <w:bCs/>
          <w:sz w:val="28"/>
          <w:szCs w:val="28"/>
          <w:lang w:val="lv-LV"/>
        </w:rPr>
      </w:pPr>
      <w:r w:rsidRPr="004F17DB">
        <w:rPr>
          <w:sz w:val="28"/>
          <w:szCs w:val="28"/>
          <w:lang w:val="lv-LV"/>
        </w:rPr>
        <w:t>2. publiskā-privātā partnerība (PPP), piemēram, vienotās tehnoloģiju iniciatīvas</w:t>
      </w:r>
      <w:r w:rsidRPr="004F17DB">
        <w:rPr>
          <w:bCs/>
          <w:sz w:val="28"/>
          <w:szCs w:val="28"/>
          <w:lang w:val="lv-LV"/>
        </w:rPr>
        <w:t>;</w:t>
      </w:r>
    </w:p>
    <w:p w:rsidR="003152D8" w:rsidRPr="004F17DB" w:rsidRDefault="003152D8" w:rsidP="003152D8">
      <w:pPr>
        <w:widowControl w:val="0"/>
        <w:tabs>
          <w:tab w:val="num" w:pos="567"/>
        </w:tabs>
        <w:jc w:val="both"/>
        <w:rPr>
          <w:bCs/>
          <w:sz w:val="28"/>
          <w:szCs w:val="28"/>
          <w:lang w:val="lv-LV"/>
        </w:rPr>
      </w:pPr>
      <w:r w:rsidRPr="004F17DB">
        <w:rPr>
          <w:bCs/>
          <w:sz w:val="28"/>
          <w:szCs w:val="28"/>
          <w:lang w:val="lv-LV"/>
        </w:rPr>
        <w:t>3. zināšanu un inovāciju apvienības (kas darbojas Eiropas Inovāciju un Tehnoloģiju institūta (EIT) ietvaros;</w:t>
      </w:r>
    </w:p>
    <w:p w:rsidR="003152D8" w:rsidRPr="004F17DB" w:rsidRDefault="003152D8" w:rsidP="003152D8">
      <w:pPr>
        <w:widowControl w:val="0"/>
        <w:tabs>
          <w:tab w:val="num" w:pos="567"/>
        </w:tabs>
        <w:jc w:val="both"/>
        <w:rPr>
          <w:sz w:val="28"/>
          <w:szCs w:val="28"/>
          <w:lang w:val="lv-LV"/>
        </w:rPr>
      </w:pPr>
      <w:r w:rsidRPr="004F17DB">
        <w:rPr>
          <w:sz w:val="28"/>
          <w:szCs w:val="28"/>
          <w:lang w:val="lv-LV"/>
        </w:rPr>
        <w:t xml:space="preserve">4. Eiropas Inovāciju partnerības, kuras īsteno saskaņā ar </w:t>
      </w:r>
      <w:proofErr w:type="spellStart"/>
      <w:r w:rsidRPr="004F17DB">
        <w:rPr>
          <w:sz w:val="28"/>
          <w:szCs w:val="28"/>
          <w:lang w:val="lv-LV"/>
        </w:rPr>
        <w:t>pamatiniciatīvu</w:t>
      </w:r>
      <w:proofErr w:type="spellEnd"/>
      <w:r w:rsidRPr="004F17DB">
        <w:rPr>
          <w:sz w:val="28"/>
          <w:szCs w:val="28"/>
          <w:lang w:val="lv-LV"/>
        </w:rPr>
        <w:t xml:space="preserve"> „Inovāciju Savienība” iniciatīvu.</w:t>
      </w:r>
    </w:p>
    <w:p w:rsidR="003152D8" w:rsidRPr="004F17DB" w:rsidRDefault="003152D8" w:rsidP="003152D8">
      <w:pPr>
        <w:jc w:val="both"/>
        <w:rPr>
          <w:sz w:val="28"/>
          <w:szCs w:val="28"/>
          <w:lang w:val="lv-LV"/>
        </w:rPr>
      </w:pPr>
      <w:r w:rsidRPr="004F17DB">
        <w:rPr>
          <w:sz w:val="28"/>
          <w:szCs w:val="28"/>
          <w:lang w:val="lv-LV"/>
        </w:rPr>
        <w:t>Padome atzīst, ka P2P un PPP pieeja var palīdzēt mobilizēt publiskos un privātos resursus, kas vērsti galveno sociālo izaicinājumu risināšanai visefektīvākajā veidā, sekmēt resursu optimālu izmantojumu, stiprināt Eiropas Pētniecības telpu (</w:t>
      </w:r>
      <w:proofErr w:type="spellStart"/>
      <w:r w:rsidRPr="004F17DB">
        <w:rPr>
          <w:i/>
          <w:sz w:val="28"/>
          <w:szCs w:val="28"/>
          <w:lang w:val="lv-LV"/>
        </w:rPr>
        <w:t>European</w:t>
      </w:r>
      <w:proofErr w:type="spellEnd"/>
      <w:r w:rsidRPr="004F17DB">
        <w:rPr>
          <w:i/>
          <w:sz w:val="28"/>
          <w:szCs w:val="28"/>
          <w:lang w:val="lv-LV"/>
        </w:rPr>
        <w:t xml:space="preserve"> </w:t>
      </w:r>
      <w:proofErr w:type="spellStart"/>
      <w:r w:rsidRPr="004F17DB">
        <w:rPr>
          <w:i/>
          <w:sz w:val="28"/>
          <w:szCs w:val="28"/>
          <w:lang w:val="lv-LV"/>
        </w:rPr>
        <w:t>Research</w:t>
      </w:r>
      <w:proofErr w:type="spellEnd"/>
      <w:r w:rsidRPr="004F17DB">
        <w:rPr>
          <w:i/>
          <w:sz w:val="28"/>
          <w:szCs w:val="28"/>
          <w:lang w:val="lv-LV"/>
        </w:rPr>
        <w:t xml:space="preserve"> </w:t>
      </w:r>
      <w:proofErr w:type="spellStart"/>
      <w:r w:rsidRPr="004F17DB">
        <w:rPr>
          <w:i/>
          <w:sz w:val="28"/>
          <w:szCs w:val="28"/>
          <w:lang w:val="lv-LV"/>
        </w:rPr>
        <w:t>Area</w:t>
      </w:r>
      <w:proofErr w:type="spellEnd"/>
      <w:r w:rsidRPr="004F17DB">
        <w:rPr>
          <w:sz w:val="28"/>
          <w:szCs w:val="28"/>
          <w:lang w:val="lv-LV"/>
        </w:rPr>
        <w:t xml:space="preserve">, ERA), pilnībā attīstīt Eiropas intelektuālo kapitālu, mazināt lieku dublēšanos un sekmēt labāku koordināciju starp instrumentiem, mazināt sadrumstalotību publiskajā un privātajā izpētē, stiprināt </w:t>
      </w:r>
      <w:proofErr w:type="spellStart"/>
      <w:r w:rsidRPr="004F17DB">
        <w:rPr>
          <w:sz w:val="28"/>
          <w:szCs w:val="28"/>
          <w:lang w:val="lv-LV"/>
        </w:rPr>
        <w:t>sinerģiju</w:t>
      </w:r>
      <w:proofErr w:type="spellEnd"/>
      <w:r w:rsidRPr="004F17DB">
        <w:rPr>
          <w:sz w:val="28"/>
          <w:szCs w:val="28"/>
          <w:lang w:val="lv-LV"/>
        </w:rPr>
        <w:t xml:space="preserve"> starp esošajiem instrumentiem. </w:t>
      </w:r>
    </w:p>
    <w:p w:rsidR="003152D8" w:rsidRPr="004F17DB" w:rsidRDefault="003152D8" w:rsidP="003152D8">
      <w:pPr>
        <w:jc w:val="both"/>
        <w:rPr>
          <w:sz w:val="28"/>
          <w:szCs w:val="28"/>
          <w:lang w:val="lv-LV"/>
        </w:rPr>
      </w:pPr>
      <w:r w:rsidRPr="004F17DB">
        <w:rPr>
          <w:sz w:val="28"/>
          <w:szCs w:val="28"/>
          <w:lang w:val="lv-LV"/>
        </w:rPr>
        <w:t>Padome uzsver nepieciešamību ar partnerības pieeju piešķirt Eiropas un dalībvalstu līmenim pievienoto vērtību, uzlabot iespēju dalībai dažādos partnerības formās, saglabājot brīvprātības dabu un rēķinoties ar nacionālo pieeju zinātnes finansējuma izlietojumam, palielināt un saglabāt visu partneru, ieskaitot privātā sektora, īpaši mazo un vidējo u</w:t>
      </w:r>
      <w:r w:rsidR="004F17DB">
        <w:rPr>
          <w:sz w:val="28"/>
          <w:szCs w:val="28"/>
          <w:lang w:val="lv-LV"/>
        </w:rPr>
        <w:t>z</w:t>
      </w:r>
      <w:r w:rsidRPr="004F17DB">
        <w:rPr>
          <w:sz w:val="28"/>
          <w:szCs w:val="28"/>
          <w:lang w:val="lv-LV"/>
        </w:rPr>
        <w:t xml:space="preserve">ņēmumu (MVU), dalību PPP, attīstīt </w:t>
      </w:r>
      <w:proofErr w:type="spellStart"/>
      <w:r w:rsidRPr="004F17DB">
        <w:rPr>
          <w:sz w:val="28"/>
          <w:szCs w:val="28"/>
          <w:lang w:val="lv-LV"/>
        </w:rPr>
        <w:t>sinerģiju</w:t>
      </w:r>
      <w:proofErr w:type="spellEnd"/>
      <w:r w:rsidRPr="004F17DB">
        <w:rPr>
          <w:sz w:val="28"/>
          <w:szCs w:val="28"/>
          <w:lang w:val="lv-LV"/>
        </w:rPr>
        <w:t xml:space="preserve"> starp Ietvara programmu pētniecībai un inovācijai Horizonts 2020 un Vienoto stratēģisko ietvaru Kohēzijas politikai, samazināt administratīvo slogu un vienkāršot nosacījumus un procedūras.</w:t>
      </w:r>
    </w:p>
    <w:p w:rsidR="003152D8" w:rsidRPr="004F17DB" w:rsidRDefault="003152D8" w:rsidP="003152D8">
      <w:pPr>
        <w:jc w:val="both"/>
        <w:rPr>
          <w:sz w:val="28"/>
          <w:szCs w:val="28"/>
          <w:lang w:val="lv-LV"/>
        </w:rPr>
      </w:pPr>
      <w:r w:rsidRPr="004F17DB">
        <w:rPr>
          <w:sz w:val="28"/>
          <w:szCs w:val="28"/>
          <w:lang w:val="lv-LV"/>
        </w:rPr>
        <w:t xml:space="preserve">Padome uzsver nepieciešamību uzlabot esošo </w:t>
      </w:r>
      <w:r w:rsidR="004F17DB">
        <w:rPr>
          <w:sz w:val="28"/>
          <w:szCs w:val="28"/>
          <w:lang w:val="lv-LV"/>
        </w:rPr>
        <w:t xml:space="preserve">P2P </w:t>
      </w:r>
      <w:r w:rsidRPr="004F17DB">
        <w:rPr>
          <w:sz w:val="28"/>
          <w:szCs w:val="28"/>
          <w:lang w:val="lv-LV"/>
        </w:rPr>
        <w:t xml:space="preserve">instrumentu efektivitāti un EK vēlmi apvienot esošos instrumentus. Tiek uzsvērta nepieciešamība pēc </w:t>
      </w:r>
      <w:proofErr w:type="spellStart"/>
      <w:r w:rsidRPr="004F17DB">
        <w:rPr>
          <w:sz w:val="28"/>
          <w:szCs w:val="28"/>
          <w:lang w:val="lv-LV"/>
        </w:rPr>
        <w:t>sinerģijas</w:t>
      </w:r>
      <w:proofErr w:type="spellEnd"/>
      <w:r w:rsidRPr="004F17DB">
        <w:rPr>
          <w:sz w:val="28"/>
          <w:szCs w:val="28"/>
          <w:lang w:val="lv-LV"/>
        </w:rPr>
        <w:t xml:space="preserve"> starp </w:t>
      </w:r>
      <w:r w:rsidR="004F17DB">
        <w:rPr>
          <w:sz w:val="28"/>
          <w:szCs w:val="28"/>
          <w:lang w:val="lv-LV"/>
        </w:rPr>
        <w:t>vienotās plānošanas</w:t>
      </w:r>
      <w:r w:rsidRPr="004F17DB">
        <w:rPr>
          <w:sz w:val="28"/>
          <w:szCs w:val="28"/>
          <w:lang w:val="lv-LV"/>
        </w:rPr>
        <w:t xml:space="preserve"> un </w:t>
      </w:r>
      <w:proofErr w:type="spellStart"/>
      <w:r w:rsidRPr="004F17DB">
        <w:rPr>
          <w:sz w:val="28"/>
          <w:szCs w:val="28"/>
          <w:lang w:val="lv-LV"/>
        </w:rPr>
        <w:t>Ietvarprogrammas</w:t>
      </w:r>
      <w:proofErr w:type="spellEnd"/>
      <w:r w:rsidRPr="004F17DB">
        <w:rPr>
          <w:sz w:val="28"/>
          <w:szCs w:val="28"/>
          <w:lang w:val="lv-LV"/>
        </w:rPr>
        <w:t xml:space="preserve"> (IP) instrumentiem. Saistībā ar ERA attīstību tiek skatīti jautājumi par ilgtermiņa partnerībām un IP pārvaldību, finansēšanu un pārrobežu sadarbības uzlabošanu.</w:t>
      </w:r>
    </w:p>
    <w:p w:rsidR="003152D8" w:rsidRPr="004F17DB" w:rsidRDefault="003152D8" w:rsidP="003152D8">
      <w:pPr>
        <w:jc w:val="both"/>
        <w:rPr>
          <w:sz w:val="28"/>
          <w:szCs w:val="28"/>
          <w:lang w:val="lv-LV"/>
        </w:rPr>
      </w:pPr>
      <w:r w:rsidRPr="004F17DB">
        <w:rPr>
          <w:sz w:val="28"/>
          <w:szCs w:val="28"/>
          <w:lang w:val="lv-LV"/>
        </w:rPr>
        <w:t xml:space="preserve">Padome piekrīt, ka nākotnē </w:t>
      </w:r>
      <w:r w:rsidR="004F17DB">
        <w:rPr>
          <w:sz w:val="28"/>
          <w:szCs w:val="28"/>
          <w:lang w:val="lv-LV"/>
        </w:rPr>
        <w:t>PPP</w:t>
      </w:r>
      <w:r w:rsidRPr="004F17DB">
        <w:rPr>
          <w:sz w:val="28"/>
          <w:szCs w:val="28"/>
          <w:lang w:val="lv-LV"/>
        </w:rPr>
        <w:t xml:space="preserve"> būtu jāsekmē ražošanas konkurētspējas sekmēšanai, jārisina lielo sociālo izaicinājumu jautājumi u.c. EK iesaka izveidot speciālu PPP organizāciju saskaņā ar jaunās Finanšu regulas 201. pantu. PPP jābalstās uz ie</w:t>
      </w:r>
      <w:r w:rsidR="004F17DB">
        <w:rPr>
          <w:sz w:val="28"/>
          <w:szCs w:val="28"/>
          <w:lang w:val="lv-LV"/>
        </w:rPr>
        <w:t>sp</w:t>
      </w:r>
      <w:r w:rsidRPr="004F17DB">
        <w:rPr>
          <w:sz w:val="28"/>
          <w:szCs w:val="28"/>
          <w:lang w:val="lv-LV"/>
        </w:rPr>
        <w:t xml:space="preserve">ēju dalībvalstīm nacionālā līmenī izlemt, vai un kā tās vēlas </w:t>
      </w:r>
      <w:r w:rsidR="00AD1566">
        <w:rPr>
          <w:sz w:val="28"/>
          <w:szCs w:val="28"/>
          <w:lang w:val="lv-LV"/>
        </w:rPr>
        <w:t xml:space="preserve">tās </w:t>
      </w:r>
      <w:r w:rsidRPr="004F17DB">
        <w:rPr>
          <w:sz w:val="28"/>
          <w:szCs w:val="28"/>
          <w:lang w:val="lv-LV"/>
        </w:rPr>
        <w:t xml:space="preserve">atbalstīt. </w:t>
      </w:r>
    </w:p>
    <w:p w:rsidR="003152D8" w:rsidRPr="004F17DB" w:rsidRDefault="003152D8" w:rsidP="003152D8">
      <w:pPr>
        <w:jc w:val="both"/>
        <w:outlineLvl w:val="0"/>
        <w:rPr>
          <w:bCs/>
          <w:sz w:val="28"/>
          <w:szCs w:val="28"/>
          <w:lang w:val="lv-LV"/>
        </w:rPr>
      </w:pPr>
      <w:r w:rsidRPr="004F17DB">
        <w:rPr>
          <w:bCs/>
          <w:sz w:val="28"/>
          <w:szCs w:val="28"/>
          <w:lang w:val="lv-LV"/>
        </w:rPr>
        <w:lastRenderedPageBreak/>
        <w:t xml:space="preserve">Padome atgādina par EIT un </w:t>
      </w:r>
      <w:r w:rsidR="00F263A6">
        <w:rPr>
          <w:bCs/>
          <w:sz w:val="28"/>
          <w:szCs w:val="28"/>
          <w:lang w:val="lv-LV"/>
        </w:rPr>
        <w:t>zināšanu un inovāciju apvienības</w:t>
      </w:r>
      <w:r w:rsidRPr="004F17DB">
        <w:rPr>
          <w:bCs/>
          <w:sz w:val="28"/>
          <w:szCs w:val="28"/>
          <w:lang w:val="lv-LV"/>
        </w:rPr>
        <w:t xml:space="preserve"> veikto nozīmīgo lomu izglītības, pētniecības un uzņēmējdarbības pušu integrācijā Horizonts 2020 kontekstā. </w:t>
      </w:r>
      <w:r w:rsidRPr="00F263A6">
        <w:rPr>
          <w:bCs/>
          <w:sz w:val="28"/>
          <w:szCs w:val="28"/>
          <w:lang w:val="lv-LV"/>
        </w:rPr>
        <w:t>Attiecībā uz E</w:t>
      </w:r>
      <w:r w:rsidR="00F263A6" w:rsidRPr="00F263A6">
        <w:rPr>
          <w:bCs/>
          <w:sz w:val="28"/>
          <w:szCs w:val="28"/>
          <w:lang w:val="lv-LV"/>
        </w:rPr>
        <w:t>iropas inovāciju partnerībām</w:t>
      </w:r>
      <w:r w:rsidRPr="004F17DB">
        <w:rPr>
          <w:bCs/>
          <w:sz w:val="28"/>
          <w:szCs w:val="28"/>
          <w:lang w:val="lv-LV"/>
        </w:rPr>
        <w:t xml:space="preserve"> dalībvalstīm jābūt iesaistītām lēmumu pieņemšanas procesā, </w:t>
      </w:r>
      <w:r w:rsidR="00F263A6">
        <w:rPr>
          <w:bCs/>
          <w:sz w:val="28"/>
          <w:szCs w:val="28"/>
          <w:lang w:val="lv-LV"/>
        </w:rPr>
        <w:t>to</w:t>
      </w:r>
      <w:r w:rsidRPr="004F17DB">
        <w:rPr>
          <w:bCs/>
          <w:sz w:val="28"/>
          <w:szCs w:val="28"/>
          <w:lang w:val="lv-LV"/>
        </w:rPr>
        <w:t xml:space="preserve"> īstenošanai jānotiek caur atbilstošiem politiskajiem un administratīvajiem kanāliem, ieskaitot </w:t>
      </w:r>
      <w:proofErr w:type="spellStart"/>
      <w:r w:rsidRPr="004F17DB">
        <w:rPr>
          <w:bCs/>
          <w:sz w:val="28"/>
          <w:szCs w:val="28"/>
          <w:lang w:val="lv-LV"/>
        </w:rPr>
        <w:t>programmkomitejas</w:t>
      </w:r>
      <w:proofErr w:type="spellEnd"/>
      <w:r w:rsidRPr="004F17DB">
        <w:rPr>
          <w:bCs/>
          <w:sz w:val="28"/>
          <w:szCs w:val="28"/>
          <w:lang w:val="lv-LV"/>
        </w:rPr>
        <w:t xml:space="preserve">, EK tie aicināta nodrošināt </w:t>
      </w:r>
      <w:r w:rsidR="00F263A6">
        <w:rPr>
          <w:bCs/>
          <w:sz w:val="28"/>
          <w:szCs w:val="28"/>
          <w:lang w:val="lv-LV"/>
        </w:rPr>
        <w:t>šī instrumenta</w:t>
      </w:r>
      <w:r w:rsidRPr="004F17DB">
        <w:rPr>
          <w:bCs/>
          <w:sz w:val="28"/>
          <w:szCs w:val="28"/>
          <w:lang w:val="lv-LV"/>
        </w:rPr>
        <w:t xml:space="preserve"> vienkāršošanu un labāku koordināciju. </w:t>
      </w:r>
    </w:p>
    <w:p w:rsidR="003152D8" w:rsidRPr="00F263A6" w:rsidRDefault="00F263A6" w:rsidP="003152D8">
      <w:pPr>
        <w:jc w:val="both"/>
        <w:outlineLvl w:val="0"/>
        <w:rPr>
          <w:noProof/>
          <w:sz w:val="28"/>
          <w:szCs w:val="28"/>
          <w:lang w:val="lv-LV"/>
        </w:rPr>
      </w:pPr>
      <w:r>
        <w:rPr>
          <w:noProof/>
          <w:sz w:val="28"/>
          <w:szCs w:val="28"/>
          <w:lang w:val="lv-LV"/>
        </w:rPr>
        <w:t>Vienlaikus</w:t>
      </w:r>
      <w:r w:rsidR="003152D8" w:rsidRPr="00F263A6">
        <w:rPr>
          <w:noProof/>
          <w:sz w:val="28"/>
          <w:szCs w:val="28"/>
          <w:lang w:val="lv-LV"/>
        </w:rPr>
        <w:t xml:space="preserve"> Padome aicina EK informēt dalībvalstis par katru izlemto rīcību attiecībā uz jauniem instrumentiem nākotnē, kā arī par esošo instrumentu racionalizāciju, ieskaitot </w:t>
      </w:r>
      <w:r>
        <w:rPr>
          <w:noProof/>
          <w:sz w:val="28"/>
          <w:szCs w:val="28"/>
          <w:lang w:val="lv-LV"/>
        </w:rPr>
        <w:t xml:space="preserve">to </w:t>
      </w:r>
      <w:r w:rsidR="003152D8" w:rsidRPr="00F263A6">
        <w:rPr>
          <w:noProof/>
          <w:sz w:val="28"/>
          <w:szCs w:val="28"/>
          <w:lang w:val="lv-LV"/>
        </w:rPr>
        <w:t>iespējamo apvienošanu. Padome vēlas izvairīties no papildus admin</w:t>
      </w:r>
      <w:r>
        <w:rPr>
          <w:noProof/>
          <w:sz w:val="28"/>
          <w:szCs w:val="28"/>
          <w:lang w:val="lv-LV"/>
        </w:rPr>
        <w:t>is</w:t>
      </w:r>
      <w:r w:rsidR="003152D8" w:rsidRPr="00F263A6">
        <w:rPr>
          <w:noProof/>
          <w:sz w:val="28"/>
          <w:szCs w:val="28"/>
          <w:lang w:val="lv-LV"/>
        </w:rPr>
        <w:t xml:space="preserve">tratīviem pasākumiem un vēlas veikt stratēģiskus pasākumus pēc esoša 7. IP parauga. </w:t>
      </w:r>
      <w:r>
        <w:rPr>
          <w:noProof/>
          <w:sz w:val="28"/>
          <w:szCs w:val="28"/>
          <w:lang w:val="lv-LV"/>
        </w:rPr>
        <w:t xml:space="preserve">Savukārt </w:t>
      </w:r>
      <w:r w:rsidR="003152D8" w:rsidRPr="00F263A6">
        <w:rPr>
          <w:noProof/>
          <w:sz w:val="28"/>
          <w:szCs w:val="28"/>
          <w:lang w:val="lv-LV"/>
        </w:rPr>
        <w:t>EK vēlas ieviest vienkāršus noteikumus visām Horizonts 2020 iniciatīvām, tādējādi atvieglot dalību tajās, nodrošinot elastību un saturēt kopā instrumentus</w:t>
      </w:r>
      <w:r>
        <w:rPr>
          <w:noProof/>
          <w:sz w:val="28"/>
          <w:szCs w:val="28"/>
          <w:lang w:val="lv-LV"/>
        </w:rPr>
        <w:t xml:space="preserve"> ar</w:t>
      </w:r>
      <w:r w:rsidR="003152D8" w:rsidRPr="00F263A6">
        <w:rPr>
          <w:noProof/>
          <w:sz w:val="28"/>
          <w:szCs w:val="28"/>
          <w:lang w:val="lv-LV"/>
        </w:rPr>
        <w:t xml:space="preserve"> dažād</w:t>
      </w:r>
      <w:r>
        <w:rPr>
          <w:noProof/>
          <w:sz w:val="28"/>
          <w:szCs w:val="28"/>
          <w:lang w:val="lv-LV"/>
        </w:rPr>
        <w:t>u</w:t>
      </w:r>
      <w:r w:rsidR="003152D8" w:rsidRPr="00F263A6">
        <w:rPr>
          <w:noProof/>
          <w:sz w:val="28"/>
          <w:szCs w:val="28"/>
          <w:lang w:val="lv-LV"/>
        </w:rPr>
        <w:t xml:space="preserve"> uzbūv</w:t>
      </w:r>
      <w:r>
        <w:rPr>
          <w:noProof/>
          <w:sz w:val="28"/>
          <w:szCs w:val="28"/>
          <w:lang w:val="lv-LV"/>
        </w:rPr>
        <w:t>i</w:t>
      </w:r>
      <w:r w:rsidR="003152D8" w:rsidRPr="00F263A6">
        <w:rPr>
          <w:noProof/>
          <w:sz w:val="28"/>
          <w:szCs w:val="28"/>
          <w:lang w:val="lv-LV"/>
        </w:rPr>
        <w:t>.</w:t>
      </w:r>
    </w:p>
    <w:p w:rsidR="00562F37" w:rsidRPr="00F263A6" w:rsidRDefault="00562F37" w:rsidP="00562F37">
      <w:pPr>
        <w:jc w:val="both"/>
        <w:rPr>
          <w:sz w:val="28"/>
          <w:szCs w:val="28"/>
          <w:lang w:val="lv-LV"/>
        </w:rPr>
      </w:pPr>
    </w:p>
    <w:p w:rsidR="003152D8" w:rsidRPr="003152D8" w:rsidRDefault="003152D8" w:rsidP="003152D8">
      <w:pPr>
        <w:pStyle w:val="Prliminairetype"/>
        <w:spacing w:before="0"/>
        <w:jc w:val="both"/>
        <w:rPr>
          <w:b w:val="0"/>
          <w:color w:val="FF0000"/>
          <w:sz w:val="28"/>
          <w:szCs w:val="28"/>
          <w:lang w:val="lv-LV"/>
        </w:rPr>
      </w:pPr>
      <w:r w:rsidRPr="003152D8">
        <w:rPr>
          <w:sz w:val="28"/>
          <w:szCs w:val="28"/>
          <w:lang w:val="lv-LV"/>
        </w:rPr>
        <w:t xml:space="preserve">Latvija kopumā atbalsta </w:t>
      </w:r>
      <w:r w:rsidRPr="003152D8">
        <w:rPr>
          <w:b w:val="0"/>
          <w:sz w:val="28"/>
          <w:szCs w:val="28"/>
          <w:lang w:val="lv-LV"/>
        </w:rPr>
        <w:t xml:space="preserve">Padomes secinājumus par partnerībām pētniecībā un inovācijā. </w:t>
      </w:r>
    </w:p>
    <w:p w:rsidR="003152D8" w:rsidRPr="003152D8" w:rsidRDefault="003152D8" w:rsidP="003152D8">
      <w:pPr>
        <w:jc w:val="both"/>
        <w:rPr>
          <w:b/>
          <w:sz w:val="28"/>
          <w:szCs w:val="28"/>
          <w:lang w:val="lv-LV"/>
        </w:rPr>
      </w:pPr>
      <w:r w:rsidRPr="003152D8">
        <w:rPr>
          <w:b/>
          <w:sz w:val="28"/>
          <w:szCs w:val="28"/>
          <w:lang w:val="lv-LV"/>
        </w:rPr>
        <w:t>Latvija atbalsta</w:t>
      </w:r>
      <w:r w:rsidRPr="003152D8">
        <w:rPr>
          <w:sz w:val="28"/>
          <w:szCs w:val="28"/>
          <w:lang w:val="lv-LV"/>
        </w:rPr>
        <w:t xml:space="preserve"> </w:t>
      </w:r>
      <w:r w:rsidRPr="003152D8">
        <w:rPr>
          <w:rFonts w:eastAsiaTheme="minorHAnsi"/>
          <w:bCs/>
          <w:sz w:val="28"/>
          <w:szCs w:val="28"/>
          <w:lang w:val="lv-LV"/>
        </w:rPr>
        <w:t xml:space="preserve">visaptverošas pētniecības un inovācijas stratēģijas izstrādi, jo tā palīdzēs sasniegt </w:t>
      </w:r>
      <w:r w:rsidRPr="003152D8">
        <w:rPr>
          <w:noProof/>
          <w:sz w:val="28"/>
          <w:szCs w:val="28"/>
          <w:lang w:val="lv-LV"/>
        </w:rPr>
        <w:t>stratēģijas „Eiropa 2020” mērķus attiecībā uz ilgtspējīgu un visaptverošu izaugsmi un ļaus nodrošināt sabalansētu pētniecības un inovāciju attsītību.</w:t>
      </w:r>
    </w:p>
    <w:p w:rsidR="003152D8" w:rsidRPr="003152D8" w:rsidRDefault="003152D8" w:rsidP="003152D8">
      <w:pPr>
        <w:jc w:val="both"/>
        <w:rPr>
          <w:sz w:val="28"/>
          <w:szCs w:val="28"/>
          <w:lang w:val="lv-LV"/>
        </w:rPr>
      </w:pPr>
      <w:r w:rsidRPr="003152D8">
        <w:rPr>
          <w:b/>
          <w:sz w:val="28"/>
          <w:szCs w:val="28"/>
          <w:lang w:val="lv-LV"/>
        </w:rPr>
        <w:t xml:space="preserve">Latvija atzīst </w:t>
      </w:r>
      <w:r w:rsidRPr="003152D8">
        <w:rPr>
          <w:sz w:val="28"/>
          <w:szCs w:val="28"/>
          <w:lang w:val="lv-LV"/>
        </w:rPr>
        <w:t>ES Zi</w:t>
      </w:r>
      <w:r>
        <w:rPr>
          <w:sz w:val="28"/>
          <w:szCs w:val="28"/>
          <w:lang w:val="lv-LV"/>
        </w:rPr>
        <w:t xml:space="preserve">nātnes un tehnoloģiju </w:t>
      </w:r>
      <w:proofErr w:type="spellStart"/>
      <w:r>
        <w:rPr>
          <w:sz w:val="28"/>
          <w:szCs w:val="28"/>
          <w:lang w:val="lv-LV"/>
        </w:rPr>
        <w:t>Ietvar</w:t>
      </w:r>
      <w:r w:rsidRPr="003152D8">
        <w:rPr>
          <w:sz w:val="28"/>
          <w:szCs w:val="28"/>
          <w:lang w:val="lv-LV"/>
        </w:rPr>
        <w:t>programmu</w:t>
      </w:r>
      <w:proofErr w:type="spellEnd"/>
      <w:r w:rsidRPr="003152D8">
        <w:rPr>
          <w:sz w:val="28"/>
          <w:szCs w:val="28"/>
          <w:lang w:val="lv-LV"/>
        </w:rPr>
        <w:t xml:space="preserve"> lielo pozitīvo nozīmi uz Eiropas un Latvijas zinātnes attīstību, konkurētspējas veicināšanu, pētnieciskā faktora stiprināšanu un pētnieku iesaistīšanos starptautiskajā apritē sekmēšanu. </w:t>
      </w:r>
    </w:p>
    <w:p w:rsidR="003152D8" w:rsidRPr="003152D8" w:rsidRDefault="003152D8" w:rsidP="003152D8">
      <w:pPr>
        <w:jc w:val="both"/>
        <w:rPr>
          <w:sz w:val="28"/>
          <w:szCs w:val="28"/>
          <w:lang w:val="lv-LV"/>
        </w:rPr>
      </w:pPr>
      <w:r w:rsidRPr="003152D8">
        <w:rPr>
          <w:b/>
          <w:sz w:val="28"/>
          <w:szCs w:val="28"/>
          <w:lang w:val="lv-LV"/>
        </w:rPr>
        <w:t>Latvija atzīst</w:t>
      </w:r>
      <w:r w:rsidRPr="003152D8">
        <w:rPr>
          <w:sz w:val="28"/>
          <w:szCs w:val="28"/>
          <w:lang w:val="lv-LV"/>
        </w:rPr>
        <w:t xml:space="preserve"> 7. </w:t>
      </w:r>
      <w:proofErr w:type="spellStart"/>
      <w:r>
        <w:rPr>
          <w:sz w:val="28"/>
          <w:szCs w:val="28"/>
          <w:lang w:val="lv-LV"/>
        </w:rPr>
        <w:t>Ietvar</w:t>
      </w:r>
      <w:r w:rsidRPr="003152D8">
        <w:rPr>
          <w:sz w:val="28"/>
          <w:szCs w:val="28"/>
          <w:lang w:val="lv-LV"/>
        </w:rPr>
        <w:t>programm</w:t>
      </w:r>
      <w:r>
        <w:rPr>
          <w:sz w:val="28"/>
          <w:szCs w:val="28"/>
          <w:lang w:val="lv-LV"/>
        </w:rPr>
        <w:t>as</w:t>
      </w:r>
      <w:proofErr w:type="spellEnd"/>
      <w:r w:rsidRPr="003152D8">
        <w:rPr>
          <w:sz w:val="28"/>
          <w:szCs w:val="28"/>
          <w:lang w:val="lv-LV"/>
        </w:rPr>
        <w:t xml:space="preserve"> lielo ietekmi uz Eiropas sociālajiem un politiskajiem procesiem un atsaukšanās uz globālajām problēmām (t.s. globālajiem izaicinājumiem), kas skar visu Eiropu un ietekmē visas nozares. </w:t>
      </w:r>
    </w:p>
    <w:p w:rsidR="003152D8" w:rsidRPr="003152D8" w:rsidRDefault="003152D8" w:rsidP="003152D8">
      <w:pPr>
        <w:jc w:val="both"/>
        <w:rPr>
          <w:sz w:val="28"/>
          <w:szCs w:val="28"/>
          <w:lang w:val="lv-LV"/>
        </w:rPr>
      </w:pPr>
      <w:r w:rsidRPr="003152D8">
        <w:rPr>
          <w:b/>
          <w:sz w:val="28"/>
          <w:szCs w:val="28"/>
          <w:lang w:val="lv-LV"/>
        </w:rPr>
        <w:t>Latvija uzskata</w:t>
      </w:r>
      <w:r w:rsidRPr="003152D8">
        <w:rPr>
          <w:sz w:val="28"/>
          <w:szCs w:val="28"/>
          <w:lang w:val="lv-LV"/>
        </w:rPr>
        <w:t>, ka Eiropas zinātnei arī turpmāk lielā mērā vajadzētu saistīt pētniecības mērķus ar sociālo un politisko procesu problemātiskajiem jautājumiem, lai palīdzētu risināt globāla mēroga problēmas.</w:t>
      </w:r>
    </w:p>
    <w:p w:rsidR="003152D8" w:rsidRPr="003152D8" w:rsidRDefault="003152D8" w:rsidP="003152D8">
      <w:pPr>
        <w:pStyle w:val="CommentText"/>
        <w:jc w:val="both"/>
        <w:rPr>
          <w:b/>
          <w:sz w:val="28"/>
          <w:szCs w:val="28"/>
          <w:lang w:val="lv-LV"/>
        </w:rPr>
      </w:pPr>
      <w:r w:rsidRPr="003152D8">
        <w:rPr>
          <w:b/>
          <w:sz w:val="28"/>
          <w:szCs w:val="28"/>
          <w:lang w:val="lv-LV"/>
        </w:rPr>
        <w:t>Latvija par īpaši nozīmīgu uzskata</w:t>
      </w:r>
      <w:r w:rsidRPr="003152D8">
        <w:rPr>
          <w:sz w:val="28"/>
          <w:szCs w:val="28"/>
          <w:lang w:val="lv-LV"/>
        </w:rPr>
        <w:t xml:space="preserve"> pētniecības infrastruktūru jautājumu, un ir to norādījusi savā sagatavotajā nostājā par Horizonts 2020 veidošanu. Pētniecības infrastruktūras ir cieši saistītas ar zinātniskās ekselences kritēriju, </w:t>
      </w:r>
      <w:r w:rsidRPr="003152D8">
        <w:rPr>
          <w:b/>
          <w:sz w:val="28"/>
          <w:szCs w:val="28"/>
          <w:lang w:val="lv-LV"/>
        </w:rPr>
        <w:t>tāpēc Latvija uzskata</w:t>
      </w:r>
      <w:r w:rsidRPr="003152D8">
        <w:rPr>
          <w:sz w:val="28"/>
          <w:szCs w:val="28"/>
          <w:lang w:val="lv-LV"/>
        </w:rPr>
        <w:t>, ka jāveido cieša integrācija starp reģionālajām infrastruktūrām un Eiropas pētniecības infrastruktūru tīklu.</w:t>
      </w:r>
    </w:p>
    <w:p w:rsidR="003152D8" w:rsidRPr="003152D8" w:rsidRDefault="003152D8" w:rsidP="003152D8">
      <w:pPr>
        <w:jc w:val="both"/>
        <w:rPr>
          <w:sz w:val="28"/>
          <w:szCs w:val="28"/>
          <w:lang w:val="lv-LV"/>
        </w:rPr>
      </w:pPr>
      <w:r w:rsidRPr="003152D8">
        <w:rPr>
          <w:b/>
          <w:sz w:val="28"/>
          <w:szCs w:val="28"/>
          <w:lang w:val="lv-LV"/>
        </w:rPr>
        <w:t>Latvija atbalsta principu</w:t>
      </w:r>
      <w:r w:rsidRPr="003152D8">
        <w:rPr>
          <w:sz w:val="28"/>
          <w:szCs w:val="28"/>
          <w:lang w:val="lv-LV"/>
        </w:rPr>
        <w:t>, ka ir svarīgi piemērot vienādus nosacījumus visām ES pētniecības, attīstības un inovāciju programmām, tādējādi radot vienādus noteikumus, kas palīdzēs nodrošināt uz uzticību balstītu pieeju pētniecības programmām.</w:t>
      </w:r>
    </w:p>
    <w:p w:rsidR="003152D8" w:rsidRPr="003152D8" w:rsidRDefault="003152D8" w:rsidP="003152D8">
      <w:pPr>
        <w:autoSpaceDE w:val="0"/>
        <w:autoSpaceDN w:val="0"/>
        <w:adjustRightInd w:val="0"/>
        <w:jc w:val="both"/>
        <w:rPr>
          <w:rFonts w:eastAsiaTheme="minorHAnsi"/>
          <w:sz w:val="28"/>
          <w:szCs w:val="28"/>
          <w:lang w:val="lv-LV"/>
        </w:rPr>
      </w:pPr>
      <w:r w:rsidRPr="003152D8">
        <w:rPr>
          <w:rFonts w:eastAsiaTheme="minorHAnsi"/>
          <w:b/>
          <w:sz w:val="28"/>
          <w:szCs w:val="28"/>
          <w:lang w:val="lv-LV"/>
        </w:rPr>
        <w:t>Latvijai ir būtiski</w:t>
      </w:r>
      <w:r w:rsidRPr="003152D8">
        <w:rPr>
          <w:rFonts w:eastAsiaTheme="minorHAnsi"/>
          <w:sz w:val="28"/>
          <w:szCs w:val="28"/>
          <w:lang w:val="lv-LV"/>
        </w:rPr>
        <w:t xml:space="preserve">, ka tiek turpināts darbs, lai uzlabotu mazo un vidējo uzņēmumu spēju sekmīgāk iesaistīties </w:t>
      </w:r>
      <w:proofErr w:type="spellStart"/>
      <w:r w:rsidR="00792124">
        <w:rPr>
          <w:sz w:val="28"/>
          <w:szCs w:val="28"/>
          <w:lang w:val="lv-LV"/>
        </w:rPr>
        <w:t>Ietvarprogrammas</w:t>
      </w:r>
      <w:proofErr w:type="spellEnd"/>
      <w:r w:rsidRPr="003152D8">
        <w:rPr>
          <w:rFonts w:eastAsiaTheme="minorHAnsi"/>
          <w:sz w:val="28"/>
          <w:szCs w:val="28"/>
          <w:lang w:val="lv-LV"/>
        </w:rPr>
        <w:t xml:space="preserve"> projektos. Galvenokārt tas saistīts ar 7. </w:t>
      </w:r>
      <w:proofErr w:type="spellStart"/>
      <w:r w:rsidR="00512B4A">
        <w:rPr>
          <w:sz w:val="28"/>
          <w:szCs w:val="28"/>
          <w:lang w:val="lv-LV"/>
        </w:rPr>
        <w:t>Ietvarprogrammas</w:t>
      </w:r>
      <w:proofErr w:type="spellEnd"/>
      <w:r w:rsidRPr="003152D8">
        <w:rPr>
          <w:rFonts w:eastAsiaTheme="minorHAnsi"/>
          <w:sz w:val="28"/>
          <w:szCs w:val="28"/>
          <w:lang w:val="lv-LV"/>
        </w:rPr>
        <w:t xml:space="preserve"> vienkāršošanu un birokrātisko šķēršļu mazināšanu, jo bieži projektu un pieteikumu gatavošana finansējuma saņemšanai ir ne vien sarežģīta, bet arī laikietilpīga, lai mazo un vidējo uzņēmumu ierobežotu resursu (brīvi naudas līdzekļi, cilvēkresursi u.c.) </w:t>
      </w:r>
      <w:r w:rsidRPr="003152D8">
        <w:rPr>
          <w:rFonts w:eastAsiaTheme="minorHAnsi"/>
          <w:sz w:val="28"/>
          <w:szCs w:val="28"/>
          <w:lang w:val="lv-LV"/>
        </w:rPr>
        <w:lastRenderedPageBreak/>
        <w:t xml:space="preserve">apstākļos būtu ieinteresēti šo finanšu instrumentu apgūšanā un sniegto iespēju izmantošanā. </w:t>
      </w:r>
    </w:p>
    <w:p w:rsidR="003152D8" w:rsidRPr="003152D8" w:rsidRDefault="003152D8" w:rsidP="003152D8">
      <w:pPr>
        <w:autoSpaceDE w:val="0"/>
        <w:autoSpaceDN w:val="0"/>
        <w:adjustRightInd w:val="0"/>
        <w:jc w:val="both"/>
        <w:rPr>
          <w:b/>
          <w:sz w:val="28"/>
          <w:szCs w:val="28"/>
          <w:lang w:val="lv-LV"/>
        </w:rPr>
      </w:pPr>
      <w:r w:rsidRPr="003152D8">
        <w:rPr>
          <w:rFonts w:eastAsiaTheme="minorHAnsi"/>
          <w:b/>
          <w:sz w:val="28"/>
          <w:szCs w:val="28"/>
          <w:lang w:val="lv-LV"/>
        </w:rPr>
        <w:t>Latvija uzskata</w:t>
      </w:r>
      <w:r w:rsidRPr="003152D8">
        <w:rPr>
          <w:rFonts w:eastAsiaTheme="minorHAnsi"/>
          <w:sz w:val="28"/>
          <w:szCs w:val="28"/>
          <w:lang w:val="lv-LV"/>
        </w:rPr>
        <w:t>, ka ātra un viegla piekļuve finansējumam šādiem uzņēmumiem ir īpaši būtiska globālās konkurences un straujās tehnoloģisko inovāciju attīstības laikā.</w:t>
      </w:r>
    </w:p>
    <w:p w:rsidR="003152D8" w:rsidRPr="003152D8" w:rsidRDefault="003152D8" w:rsidP="003152D8">
      <w:pPr>
        <w:jc w:val="both"/>
        <w:rPr>
          <w:rFonts w:eastAsia="Arial Unicode MS"/>
          <w:sz w:val="28"/>
          <w:szCs w:val="28"/>
          <w:lang w:val="lv-LV"/>
        </w:rPr>
      </w:pPr>
      <w:r w:rsidRPr="003152D8">
        <w:rPr>
          <w:rFonts w:eastAsia="Arial Unicode MS"/>
          <w:b/>
          <w:sz w:val="28"/>
          <w:szCs w:val="28"/>
          <w:lang w:val="lv-LV"/>
        </w:rPr>
        <w:t>Latvija uzskata</w:t>
      </w:r>
      <w:r w:rsidRPr="003152D8">
        <w:rPr>
          <w:rFonts w:eastAsia="Arial Unicode MS"/>
          <w:sz w:val="28"/>
          <w:szCs w:val="28"/>
          <w:lang w:val="lv-LV"/>
        </w:rPr>
        <w:t>, ka progress, kas sasniegts vienotajā plānošanā, kā arī pasākumi, kas tiek veikti vienotās plānošanas iniciatīvu sakarā, liecina, ka, tikai konsolidējot Eiropas pētniecības resursus, ir iespējama efektīva pētniecības veikšana, zināšanu pārneses un vienotas</w:t>
      </w:r>
      <w:r w:rsidR="00792124">
        <w:rPr>
          <w:rFonts w:eastAsia="Arial Unicode MS"/>
          <w:sz w:val="28"/>
          <w:szCs w:val="28"/>
          <w:lang w:val="lv-LV"/>
        </w:rPr>
        <w:t xml:space="preserve"> Eiropas Pētniecības telpas </w:t>
      </w:r>
      <w:r w:rsidRPr="003152D8">
        <w:rPr>
          <w:rFonts w:eastAsia="Arial Unicode MS"/>
          <w:sz w:val="28"/>
          <w:szCs w:val="28"/>
          <w:lang w:val="lv-LV"/>
        </w:rPr>
        <w:t xml:space="preserve">īstenošana. Tas ir īpaši svarīgi laikā, kad Eiropas pētniecībai un inovācijai jārisina Eiropas un/vai pasaules līmeņa problēmas, kur vienas valsts kapacitāte un resursi ir ierobežoti. </w:t>
      </w:r>
    </w:p>
    <w:p w:rsidR="003152D8" w:rsidRPr="003152D8" w:rsidRDefault="003152D8" w:rsidP="003152D8">
      <w:pPr>
        <w:jc w:val="both"/>
        <w:rPr>
          <w:rFonts w:eastAsia="Arial Unicode MS"/>
          <w:sz w:val="28"/>
          <w:szCs w:val="28"/>
          <w:lang w:val="lv-LV"/>
        </w:rPr>
      </w:pPr>
      <w:r w:rsidRPr="003152D8">
        <w:rPr>
          <w:rFonts w:eastAsia="Arial Unicode MS"/>
          <w:b/>
          <w:sz w:val="28"/>
          <w:szCs w:val="28"/>
          <w:lang w:val="lv-LV"/>
        </w:rPr>
        <w:t>Tāpēc Latvija norāda</w:t>
      </w:r>
      <w:r w:rsidRPr="003152D8">
        <w:rPr>
          <w:rFonts w:eastAsia="Arial Unicode MS"/>
          <w:sz w:val="28"/>
          <w:szCs w:val="28"/>
          <w:lang w:val="lv-LV"/>
        </w:rPr>
        <w:t xml:space="preserve">, ka vienotā plānošana ir zinātnisko, administratīvo un finansiālo pasākumu process, kas ļauj koncentrēt Eiropas pētniecības cilvēku, finanšu un administratīvos resursus, kā arī ļauj novērst pētniecības sadrumstalotības problēmu intelektuālā potenciāla un pieejamās pētniecības infrastruktūras ziņā. </w:t>
      </w:r>
    </w:p>
    <w:p w:rsidR="003152D8" w:rsidRPr="003152D8" w:rsidRDefault="003152D8" w:rsidP="003152D8">
      <w:pPr>
        <w:autoSpaceDE w:val="0"/>
        <w:autoSpaceDN w:val="0"/>
        <w:adjustRightInd w:val="0"/>
        <w:jc w:val="both"/>
        <w:rPr>
          <w:rFonts w:eastAsia="Calibri"/>
          <w:sz w:val="28"/>
          <w:szCs w:val="28"/>
          <w:lang w:val="lv-LV"/>
        </w:rPr>
      </w:pPr>
      <w:r w:rsidRPr="003152D8">
        <w:rPr>
          <w:rFonts w:eastAsia="Calibri"/>
          <w:b/>
          <w:sz w:val="28"/>
          <w:szCs w:val="28"/>
          <w:lang w:val="lv-LV"/>
        </w:rPr>
        <w:t>Latvija augstu vērtē un atbalsta</w:t>
      </w:r>
      <w:r w:rsidRPr="003152D8">
        <w:rPr>
          <w:rFonts w:eastAsia="Calibri"/>
          <w:sz w:val="28"/>
          <w:szCs w:val="28"/>
          <w:lang w:val="lv-LV"/>
        </w:rPr>
        <w:t xml:space="preserve"> Eiropas pūliņus vienotu plānošanas un partnerības pasākumu pētniecībā izveidošanā un īstenošanā un ar interesi gaidīs </w:t>
      </w:r>
      <w:proofErr w:type="spellStart"/>
      <w:r w:rsidRPr="003152D8">
        <w:rPr>
          <w:rFonts w:eastAsia="Calibri"/>
          <w:sz w:val="28"/>
          <w:szCs w:val="28"/>
          <w:lang w:val="lv-LV"/>
        </w:rPr>
        <w:t>pilotpartnerības</w:t>
      </w:r>
      <w:proofErr w:type="spellEnd"/>
      <w:r w:rsidRPr="003152D8">
        <w:rPr>
          <w:rFonts w:eastAsia="Calibri"/>
          <w:sz w:val="28"/>
          <w:szCs w:val="28"/>
          <w:lang w:val="lv-LV"/>
        </w:rPr>
        <w:t xml:space="preserve"> AHA pirmos rezultātus. </w:t>
      </w:r>
    </w:p>
    <w:p w:rsidR="003152D8" w:rsidRPr="003152D8" w:rsidRDefault="003152D8" w:rsidP="003152D8">
      <w:pPr>
        <w:autoSpaceDE w:val="0"/>
        <w:autoSpaceDN w:val="0"/>
        <w:adjustRightInd w:val="0"/>
        <w:jc w:val="both"/>
        <w:rPr>
          <w:rFonts w:eastAsia="Calibri"/>
          <w:sz w:val="28"/>
          <w:szCs w:val="28"/>
          <w:lang w:val="lv-LV"/>
        </w:rPr>
      </w:pPr>
      <w:r w:rsidRPr="003152D8">
        <w:rPr>
          <w:rFonts w:eastAsia="Calibri"/>
          <w:sz w:val="28"/>
          <w:szCs w:val="28"/>
          <w:lang w:val="lv-LV"/>
        </w:rPr>
        <w:t xml:space="preserve">Tomēr </w:t>
      </w:r>
      <w:r w:rsidRPr="003152D8">
        <w:rPr>
          <w:rFonts w:eastAsia="Calibri"/>
          <w:b/>
          <w:sz w:val="28"/>
          <w:szCs w:val="28"/>
          <w:lang w:val="lv-LV"/>
        </w:rPr>
        <w:t>vienlaikus Latvija uzskata</w:t>
      </w:r>
      <w:r w:rsidRPr="003152D8">
        <w:rPr>
          <w:rFonts w:eastAsia="Calibri"/>
          <w:sz w:val="28"/>
          <w:szCs w:val="28"/>
          <w:lang w:val="lv-LV"/>
        </w:rPr>
        <w:t xml:space="preserve">, ka būtu svarīgi izvērtēt </w:t>
      </w:r>
      <w:r w:rsidRPr="003152D8">
        <w:rPr>
          <w:rFonts w:eastAsiaTheme="minorHAnsi"/>
          <w:color w:val="000000"/>
          <w:sz w:val="28"/>
          <w:szCs w:val="28"/>
          <w:lang w:val="lv-LV"/>
        </w:rPr>
        <w:t>Eiropas inovāciju partnerību</w:t>
      </w:r>
      <w:r w:rsidRPr="003152D8">
        <w:rPr>
          <w:rFonts w:eastAsia="Calibri"/>
          <w:sz w:val="28"/>
          <w:szCs w:val="28"/>
          <w:lang w:val="lv-LV"/>
        </w:rPr>
        <w:t xml:space="preserve"> un citu instrumentu (</w:t>
      </w:r>
      <w:r w:rsidR="00512B4A">
        <w:rPr>
          <w:rFonts w:eastAsia="Calibri"/>
          <w:sz w:val="28"/>
          <w:szCs w:val="28"/>
          <w:lang w:val="lv-LV"/>
        </w:rPr>
        <w:t>vienotās</w:t>
      </w:r>
      <w:r w:rsidRPr="003152D8">
        <w:rPr>
          <w:rFonts w:eastAsia="Calibri"/>
          <w:sz w:val="28"/>
          <w:szCs w:val="28"/>
          <w:lang w:val="lv-LV"/>
        </w:rPr>
        <w:t xml:space="preserve"> plānošanas iniciatīvas, kopīgās tehnoloģiju iniciatīvas) tēmas, lai izvairītos no to pārklāšanās un dublēšanās.</w:t>
      </w:r>
    </w:p>
    <w:p w:rsidR="003152D8" w:rsidRPr="003152D8" w:rsidRDefault="003152D8" w:rsidP="003152D8">
      <w:pPr>
        <w:autoSpaceDE w:val="0"/>
        <w:autoSpaceDN w:val="0"/>
        <w:adjustRightInd w:val="0"/>
        <w:jc w:val="both"/>
        <w:rPr>
          <w:sz w:val="28"/>
          <w:szCs w:val="28"/>
          <w:lang w:val="lv-LV"/>
        </w:rPr>
      </w:pPr>
      <w:r w:rsidRPr="003152D8">
        <w:rPr>
          <w:rFonts w:eastAsia="Calibri"/>
          <w:b/>
          <w:sz w:val="28"/>
          <w:szCs w:val="28"/>
          <w:lang w:val="lv-LV"/>
        </w:rPr>
        <w:t>Latvija iestājas par</w:t>
      </w:r>
      <w:r w:rsidRPr="003152D8">
        <w:rPr>
          <w:rFonts w:eastAsia="Calibri"/>
          <w:sz w:val="28"/>
          <w:szCs w:val="28"/>
          <w:lang w:val="lv-LV"/>
        </w:rPr>
        <w:t xml:space="preserve"> </w:t>
      </w:r>
      <w:r w:rsidRPr="003152D8">
        <w:rPr>
          <w:rFonts w:eastAsia="Calibri"/>
          <w:b/>
          <w:sz w:val="28"/>
          <w:szCs w:val="28"/>
          <w:lang w:val="lv-LV"/>
        </w:rPr>
        <w:t xml:space="preserve"> </w:t>
      </w:r>
      <w:r w:rsidRPr="003152D8">
        <w:rPr>
          <w:sz w:val="28"/>
          <w:szCs w:val="28"/>
          <w:lang w:val="lv-LV"/>
        </w:rPr>
        <w:t xml:space="preserve">pieejamo atbalsta instrumentu apvienošanu un izstrādāšanu. Latvija uzskata, ka kopīgu programmu izveide palīdzēs taupīt finanšu un cilvēkresursus, kā arī padarīs tos  vieglāk pieejamus zinātniekiem un mazajiem un vidējiem uzņēmumiem. </w:t>
      </w:r>
    </w:p>
    <w:p w:rsidR="003152D8" w:rsidRPr="003152D8" w:rsidRDefault="003152D8" w:rsidP="003152D8">
      <w:pPr>
        <w:autoSpaceDE w:val="0"/>
        <w:autoSpaceDN w:val="0"/>
        <w:adjustRightInd w:val="0"/>
        <w:jc w:val="both"/>
        <w:rPr>
          <w:sz w:val="28"/>
          <w:szCs w:val="28"/>
          <w:lang w:val="lv-LV"/>
        </w:rPr>
      </w:pPr>
      <w:r w:rsidRPr="003152D8">
        <w:rPr>
          <w:b/>
          <w:sz w:val="28"/>
          <w:szCs w:val="28"/>
          <w:lang w:val="lv-LV"/>
        </w:rPr>
        <w:t>Vienlaikus Latvija aicina ņemt vērā</w:t>
      </w:r>
      <w:r w:rsidRPr="003152D8">
        <w:rPr>
          <w:sz w:val="28"/>
          <w:szCs w:val="28"/>
          <w:lang w:val="lv-LV"/>
        </w:rPr>
        <w:t xml:space="preserve"> cilvēkresursu kapacitātes aspektu, kas ir aktuāls mazām valstīm. Šī aspekta dēļ mazo valstu dalība visos finanšu instrumentos var būt apgrūtināta, un tas var negatīvi atsaukties uz šo valstu zinātniskās ekselences rādītājiem. </w:t>
      </w:r>
    </w:p>
    <w:p w:rsidR="003152D8" w:rsidRPr="003152D8" w:rsidRDefault="003152D8" w:rsidP="003152D8">
      <w:pPr>
        <w:pStyle w:val="CommentText"/>
        <w:jc w:val="both"/>
        <w:rPr>
          <w:rFonts w:eastAsia="Calibri"/>
          <w:sz w:val="28"/>
          <w:szCs w:val="28"/>
          <w:lang w:val="lv-LV"/>
        </w:rPr>
      </w:pPr>
      <w:r w:rsidRPr="003152D8">
        <w:rPr>
          <w:rFonts w:eastAsia="Calibri"/>
          <w:b/>
          <w:sz w:val="28"/>
          <w:szCs w:val="28"/>
          <w:lang w:val="lv-LV"/>
        </w:rPr>
        <w:t>Latvijai būtu svarīgi</w:t>
      </w:r>
      <w:r w:rsidRPr="003152D8">
        <w:rPr>
          <w:rFonts w:eastAsia="Calibri"/>
          <w:sz w:val="28"/>
          <w:szCs w:val="28"/>
          <w:lang w:val="lv-LV"/>
        </w:rPr>
        <w:t xml:space="preserve"> saprast arī to, kā tiks finansētas un pārvaldītas </w:t>
      </w:r>
      <w:r w:rsidRPr="003152D8">
        <w:rPr>
          <w:rFonts w:eastAsiaTheme="minorHAnsi"/>
          <w:color w:val="000000"/>
          <w:sz w:val="28"/>
          <w:szCs w:val="28"/>
          <w:lang w:val="lv-LV"/>
        </w:rPr>
        <w:t>Eiropas inovāciju partnerības, jo pagaidām nav skaidra šo jauno instrumentu pārvaldība, ieskaitot administratīvās procedūras</w:t>
      </w:r>
      <w:r w:rsidRPr="003152D8">
        <w:rPr>
          <w:rFonts w:eastAsia="Calibri"/>
          <w:sz w:val="28"/>
          <w:szCs w:val="28"/>
          <w:lang w:val="lv-LV"/>
        </w:rPr>
        <w:t xml:space="preserve">. </w:t>
      </w:r>
    </w:p>
    <w:p w:rsidR="00B70882" w:rsidRPr="003152D8" w:rsidRDefault="003152D8" w:rsidP="003152D8">
      <w:pPr>
        <w:jc w:val="both"/>
        <w:rPr>
          <w:rFonts w:eastAsiaTheme="minorHAnsi"/>
          <w:color w:val="000000"/>
          <w:sz w:val="28"/>
          <w:szCs w:val="28"/>
          <w:lang w:val="lv-LV"/>
        </w:rPr>
      </w:pPr>
      <w:r w:rsidRPr="003152D8">
        <w:rPr>
          <w:sz w:val="28"/>
          <w:szCs w:val="28"/>
          <w:lang w:val="lv-LV"/>
        </w:rPr>
        <w:t>Latvijas nostāja par ES daudzgadu budžetu 2014.-2020. gadam pausta Ārlietu ministrijas pozīcijā Nr.1 „Par ES daudzgadu budžetu 2014.-2020. gadam”.</w:t>
      </w:r>
    </w:p>
    <w:p w:rsidR="00F44FE1" w:rsidRDefault="00F44FE1" w:rsidP="00562F37">
      <w:pPr>
        <w:jc w:val="both"/>
        <w:rPr>
          <w:rFonts w:eastAsiaTheme="minorHAnsi"/>
          <w:color w:val="000000"/>
          <w:sz w:val="28"/>
          <w:szCs w:val="28"/>
          <w:lang w:val="lv-LV"/>
        </w:rPr>
      </w:pPr>
    </w:p>
    <w:p w:rsidR="00763247" w:rsidRPr="00763247" w:rsidRDefault="00763247" w:rsidP="00763247">
      <w:pPr>
        <w:ind w:left="567" w:hanging="567"/>
        <w:rPr>
          <w:b/>
          <w:sz w:val="28"/>
          <w:szCs w:val="28"/>
          <w:lang w:val="lv-LV"/>
        </w:rPr>
      </w:pPr>
      <w:r w:rsidRPr="00763247">
        <w:rPr>
          <w:b/>
          <w:color w:val="000000"/>
          <w:sz w:val="28"/>
          <w:szCs w:val="28"/>
          <w:lang w:val="lv-LV"/>
        </w:rPr>
        <w:tab/>
      </w:r>
      <w:r w:rsidRPr="00763247">
        <w:rPr>
          <w:b/>
          <w:sz w:val="28"/>
          <w:szCs w:val="28"/>
          <w:lang w:val="lv-LV"/>
        </w:rPr>
        <w:t xml:space="preserve"> </w:t>
      </w:r>
    </w:p>
    <w:p w:rsidR="00A34702" w:rsidRDefault="00A34702" w:rsidP="00472289">
      <w:pPr>
        <w:ind w:left="2977" w:hanging="2977"/>
        <w:jc w:val="both"/>
        <w:rPr>
          <w:sz w:val="28"/>
          <w:szCs w:val="28"/>
          <w:lang w:val="lv-LV"/>
        </w:rPr>
      </w:pPr>
      <w:r w:rsidRPr="00197B96">
        <w:rPr>
          <w:sz w:val="28"/>
          <w:szCs w:val="28"/>
          <w:lang w:val="lv-LV"/>
        </w:rPr>
        <w:t>Delegācijas vadītājs:</w:t>
      </w:r>
      <w:r w:rsidRPr="00197B96">
        <w:rPr>
          <w:sz w:val="28"/>
          <w:szCs w:val="28"/>
          <w:lang w:val="lv-LV"/>
        </w:rPr>
        <w:tab/>
      </w:r>
      <w:r w:rsidR="00E76B03">
        <w:rPr>
          <w:b/>
          <w:sz w:val="28"/>
          <w:szCs w:val="28"/>
          <w:lang w:val="lv-LV"/>
        </w:rPr>
        <w:t>Roberts Ķīlis</w:t>
      </w:r>
      <w:r w:rsidR="00197B96">
        <w:rPr>
          <w:sz w:val="28"/>
          <w:szCs w:val="28"/>
          <w:lang w:val="lv-LV"/>
        </w:rPr>
        <w:t xml:space="preserve">, </w:t>
      </w:r>
      <w:r w:rsidR="00327935">
        <w:rPr>
          <w:sz w:val="28"/>
          <w:szCs w:val="28"/>
          <w:lang w:val="lv-LV"/>
        </w:rPr>
        <w:t>i</w:t>
      </w:r>
      <w:r w:rsidR="00E76B03">
        <w:rPr>
          <w:sz w:val="28"/>
          <w:szCs w:val="28"/>
          <w:lang w:val="lv-LV"/>
        </w:rPr>
        <w:t>zglītības un zinātnes ministrs</w:t>
      </w:r>
      <w:r w:rsidR="00B53BDA">
        <w:rPr>
          <w:sz w:val="28"/>
          <w:szCs w:val="28"/>
          <w:lang w:val="lv-LV"/>
        </w:rPr>
        <w:t>,</w:t>
      </w:r>
    </w:p>
    <w:p w:rsidR="00580C7B" w:rsidRPr="00197B96" w:rsidRDefault="00580C7B" w:rsidP="00580C7B">
      <w:pPr>
        <w:ind w:left="2977" w:hanging="97"/>
        <w:jc w:val="both"/>
        <w:rPr>
          <w:sz w:val="28"/>
          <w:szCs w:val="28"/>
          <w:lang w:val="lv-LV"/>
        </w:rPr>
      </w:pPr>
      <w:r>
        <w:rPr>
          <w:b/>
          <w:sz w:val="28"/>
          <w:szCs w:val="28"/>
          <w:lang w:val="lv-LV"/>
        </w:rPr>
        <w:t xml:space="preserve"> </w:t>
      </w:r>
      <w:r w:rsidRPr="00580C7B">
        <w:rPr>
          <w:b/>
          <w:sz w:val="28"/>
          <w:szCs w:val="28"/>
          <w:lang w:val="lv-LV"/>
        </w:rPr>
        <w:t xml:space="preserve">Mareks </w:t>
      </w:r>
      <w:proofErr w:type="spellStart"/>
      <w:r w:rsidRPr="00580C7B">
        <w:rPr>
          <w:b/>
          <w:sz w:val="28"/>
          <w:szCs w:val="28"/>
          <w:lang w:val="lv-LV"/>
        </w:rPr>
        <w:t>Gruškevi</w:t>
      </w:r>
      <w:r>
        <w:rPr>
          <w:b/>
          <w:sz w:val="28"/>
          <w:szCs w:val="28"/>
          <w:lang w:val="lv-LV"/>
        </w:rPr>
        <w:t>c</w:t>
      </w:r>
      <w:r w:rsidRPr="00580C7B">
        <w:rPr>
          <w:b/>
          <w:sz w:val="28"/>
          <w:szCs w:val="28"/>
          <w:lang w:val="lv-LV"/>
        </w:rPr>
        <w:t>s</w:t>
      </w:r>
      <w:proofErr w:type="spellEnd"/>
      <w:r>
        <w:rPr>
          <w:sz w:val="28"/>
          <w:szCs w:val="28"/>
          <w:lang w:val="lv-LV"/>
        </w:rPr>
        <w:t>, Izglītības un zinātnes ministrijas valsts sekretārs</w:t>
      </w:r>
    </w:p>
    <w:p w:rsidR="00A34702" w:rsidRPr="00CE78E3" w:rsidRDefault="00A34702" w:rsidP="008D47C4">
      <w:pPr>
        <w:pStyle w:val="BodyText2"/>
        <w:spacing w:after="60"/>
        <w:ind w:left="2835" w:hanging="2835"/>
        <w:rPr>
          <w:bCs/>
          <w:sz w:val="28"/>
          <w:szCs w:val="28"/>
        </w:rPr>
      </w:pPr>
    </w:p>
    <w:p w:rsidR="00A34702" w:rsidRPr="00CE78E3" w:rsidRDefault="00A34702" w:rsidP="00E76B03">
      <w:pPr>
        <w:pStyle w:val="BodyText2"/>
        <w:tabs>
          <w:tab w:val="left" w:pos="2880"/>
        </w:tabs>
        <w:spacing w:after="60"/>
        <w:ind w:left="2880" w:hanging="2880"/>
        <w:rPr>
          <w:bCs/>
          <w:sz w:val="28"/>
          <w:szCs w:val="28"/>
        </w:rPr>
      </w:pPr>
      <w:r w:rsidRPr="00CE78E3">
        <w:rPr>
          <w:sz w:val="28"/>
          <w:szCs w:val="28"/>
        </w:rPr>
        <w:t>Delegācijas dalībnieki:</w:t>
      </w:r>
      <w:r w:rsidRPr="00CE78E3">
        <w:rPr>
          <w:sz w:val="28"/>
          <w:szCs w:val="28"/>
        </w:rPr>
        <w:tab/>
      </w:r>
      <w:r w:rsidRPr="002E2FBF">
        <w:rPr>
          <w:b/>
          <w:sz w:val="28"/>
          <w:szCs w:val="28"/>
        </w:rPr>
        <w:t xml:space="preserve">Liene </w:t>
      </w:r>
      <w:proofErr w:type="spellStart"/>
      <w:r w:rsidR="009B5C7D">
        <w:rPr>
          <w:b/>
          <w:sz w:val="28"/>
          <w:szCs w:val="28"/>
        </w:rPr>
        <w:t>Bramane</w:t>
      </w:r>
      <w:proofErr w:type="spellEnd"/>
      <w:r w:rsidRPr="002E2FBF">
        <w:rPr>
          <w:sz w:val="28"/>
          <w:szCs w:val="28"/>
        </w:rPr>
        <w:t>,</w:t>
      </w:r>
      <w:r w:rsidRPr="00CE78E3">
        <w:rPr>
          <w:sz w:val="28"/>
          <w:szCs w:val="28"/>
        </w:rPr>
        <w:t xml:space="preserve"> </w:t>
      </w:r>
      <w:r>
        <w:rPr>
          <w:sz w:val="28"/>
          <w:szCs w:val="28"/>
        </w:rPr>
        <w:t>Izglītības un zinātnes ministrijas</w:t>
      </w:r>
      <w:r w:rsidRPr="00CE78E3">
        <w:rPr>
          <w:sz w:val="28"/>
          <w:szCs w:val="28"/>
        </w:rPr>
        <w:t xml:space="preserve"> nozares </w:t>
      </w:r>
      <w:r w:rsidR="0070614C">
        <w:rPr>
          <w:sz w:val="28"/>
          <w:szCs w:val="28"/>
        </w:rPr>
        <w:t>padomniece</w:t>
      </w:r>
      <w:r w:rsidRPr="00CE78E3">
        <w:rPr>
          <w:sz w:val="28"/>
          <w:szCs w:val="28"/>
        </w:rPr>
        <w:t>.</w:t>
      </w:r>
    </w:p>
    <w:p w:rsidR="00A34702" w:rsidRPr="00CE78E3" w:rsidRDefault="00A34702" w:rsidP="0077650E">
      <w:pPr>
        <w:jc w:val="both"/>
        <w:rPr>
          <w:sz w:val="28"/>
          <w:szCs w:val="28"/>
          <w:lang w:val="lv-LV"/>
        </w:rPr>
      </w:pPr>
    </w:p>
    <w:p w:rsidR="00A34702" w:rsidRPr="00CE78E3" w:rsidRDefault="00A34702" w:rsidP="0077650E">
      <w:pPr>
        <w:jc w:val="both"/>
        <w:rPr>
          <w:sz w:val="28"/>
          <w:szCs w:val="28"/>
          <w:lang w:val="lv-LV"/>
        </w:rPr>
      </w:pPr>
    </w:p>
    <w:p w:rsidR="00A16959" w:rsidRDefault="00A16959" w:rsidP="0077650E">
      <w:pPr>
        <w:jc w:val="both"/>
        <w:rPr>
          <w:sz w:val="28"/>
          <w:szCs w:val="28"/>
          <w:lang w:val="lv-LV"/>
        </w:rPr>
      </w:pPr>
      <w:r>
        <w:rPr>
          <w:sz w:val="28"/>
          <w:szCs w:val="28"/>
          <w:lang w:val="lv-LV"/>
        </w:rPr>
        <w:t xml:space="preserve">Izglītības un zinātnes ministra vietā, </w:t>
      </w:r>
    </w:p>
    <w:p w:rsidR="00B53BDA" w:rsidRDefault="00A16959" w:rsidP="0077650E">
      <w:pPr>
        <w:jc w:val="both"/>
        <w:rPr>
          <w:sz w:val="28"/>
          <w:szCs w:val="28"/>
          <w:lang w:val="lv-LV"/>
        </w:rPr>
      </w:pPr>
      <w:r>
        <w:rPr>
          <w:sz w:val="28"/>
          <w:szCs w:val="28"/>
          <w:lang w:val="lv-LV"/>
        </w:rPr>
        <w:t>v</w:t>
      </w:r>
      <w:r w:rsidR="00B53BDA">
        <w:rPr>
          <w:sz w:val="28"/>
          <w:szCs w:val="28"/>
          <w:lang w:val="lv-LV"/>
        </w:rPr>
        <w:t xml:space="preserve">ides aizsardzības un reģionālās </w:t>
      </w:r>
    </w:p>
    <w:p w:rsidR="00A34702" w:rsidRPr="00CE78E3" w:rsidRDefault="00B53BDA" w:rsidP="0077650E">
      <w:pPr>
        <w:jc w:val="both"/>
        <w:rPr>
          <w:sz w:val="28"/>
          <w:szCs w:val="28"/>
          <w:lang w:val="lv-LV"/>
        </w:rPr>
      </w:pPr>
      <w:r>
        <w:rPr>
          <w:sz w:val="28"/>
          <w:szCs w:val="28"/>
          <w:lang w:val="lv-LV"/>
        </w:rPr>
        <w:t>attīstības</w:t>
      </w:r>
      <w:r w:rsidR="00A34702" w:rsidRPr="00CE78E3">
        <w:rPr>
          <w:sz w:val="28"/>
          <w:szCs w:val="28"/>
          <w:lang w:val="lv-LV"/>
        </w:rPr>
        <w:t xml:space="preserve"> ministr</w:t>
      </w:r>
      <w:r w:rsidR="0070614C">
        <w:rPr>
          <w:sz w:val="28"/>
          <w:szCs w:val="28"/>
          <w:lang w:val="lv-LV"/>
        </w:rPr>
        <w:t>s</w:t>
      </w:r>
      <w:r w:rsidR="00A34702" w:rsidRPr="00CE78E3">
        <w:rPr>
          <w:sz w:val="28"/>
          <w:szCs w:val="28"/>
          <w:lang w:val="lv-LV"/>
        </w:rPr>
        <w:t xml:space="preserve"> </w:t>
      </w:r>
      <w:r w:rsidR="00A34702" w:rsidRPr="00CE78E3">
        <w:rPr>
          <w:sz w:val="28"/>
          <w:szCs w:val="28"/>
          <w:lang w:val="lv-LV"/>
        </w:rPr>
        <w:tab/>
      </w:r>
      <w:r w:rsidR="00A34702" w:rsidRPr="00CE78E3">
        <w:rPr>
          <w:sz w:val="28"/>
          <w:szCs w:val="28"/>
          <w:lang w:val="lv-LV"/>
        </w:rPr>
        <w:tab/>
      </w:r>
      <w:r w:rsidR="00A34702" w:rsidRPr="00CE78E3">
        <w:rPr>
          <w:sz w:val="28"/>
          <w:szCs w:val="28"/>
          <w:lang w:val="lv-LV"/>
        </w:rPr>
        <w:tab/>
      </w:r>
      <w:r w:rsidR="00A34702" w:rsidRPr="00CE78E3">
        <w:rPr>
          <w:sz w:val="28"/>
          <w:szCs w:val="28"/>
          <w:lang w:val="lv-LV"/>
        </w:rPr>
        <w:tab/>
      </w:r>
      <w:r w:rsidR="00A34702" w:rsidRPr="00CE78E3">
        <w:rPr>
          <w:sz w:val="28"/>
          <w:szCs w:val="28"/>
          <w:lang w:val="lv-LV"/>
        </w:rPr>
        <w:tab/>
      </w:r>
      <w:r w:rsidR="00A34702" w:rsidRPr="00CE78E3">
        <w:rPr>
          <w:sz w:val="28"/>
          <w:szCs w:val="28"/>
          <w:lang w:val="lv-LV"/>
        </w:rPr>
        <w:tab/>
      </w:r>
      <w:r>
        <w:rPr>
          <w:sz w:val="28"/>
          <w:szCs w:val="28"/>
          <w:lang w:val="lv-LV"/>
        </w:rPr>
        <w:tab/>
      </w:r>
      <w:r w:rsidR="002B5B6D">
        <w:rPr>
          <w:sz w:val="28"/>
          <w:szCs w:val="28"/>
          <w:lang w:val="lv-LV"/>
        </w:rPr>
        <w:t xml:space="preserve">   </w:t>
      </w:r>
      <w:r w:rsidR="00A21FDC">
        <w:rPr>
          <w:sz w:val="28"/>
          <w:szCs w:val="28"/>
          <w:lang w:val="lv-LV"/>
        </w:rPr>
        <w:t xml:space="preserve">      </w:t>
      </w:r>
      <w:proofErr w:type="spellStart"/>
      <w:r>
        <w:rPr>
          <w:sz w:val="28"/>
          <w:szCs w:val="28"/>
          <w:lang w:val="lv-LV"/>
        </w:rPr>
        <w:t>E.Sprūdžs</w:t>
      </w:r>
      <w:proofErr w:type="spellEnd"/>
    </w:p>
    <w:p w:rsidR="00A34702" w:rsidRPr="00CE78E3" w:rsidRDefault="00A34702" w:rsidP="0077650E">
      <w:pPr>
        <w:jc w:val="both"/>
        <w:rPr>
          <w:sz w:val="28"/>
          <w:szCs w:val="28"/>
          <w:lang w:val="lv-LV"/>
        </w:rPr>
      </w:pPr>
    </w:p>
    <w:p w:rsidR="00A34702" w:rsidRDefault="00A34702" w:rsidP="00324067">
      <w:pPr>
        <w:rPr>
          <w:sz w:val="28"/>
          <w:szCs w:val="28"/>
          <w:lang w:val="lv-LV"/>
        </w:rPr>
      </w:pPr>
      <w:r w:rsidRPr="009D7ABF">
        <w:rPr>
          <w:sz w:val="28"/>
          <w:szCs w:val="28"/>
          <w:lang w:val="lv-LV"/>
        </w:rPr>
        <w:t xml:space="preserve">Vīza: </w:t>
      </w:r>
      <w:r w:rsidRPr="009D7ABF">
        <w:rPr>
          <w:sz w:val="28"/>
          <w:szCs w:val="28"/>
          <w:lang w:val="lv-LV"/>
        </w:rPr>
        <w:tab/>
      </w:r>
    </w:p>
    <w:p w:rsidR="007F1D62" w:rsidRDefault="007F1D62" w:rsidP="007F1D62">
      <w:pPr>
        <w:autoSpaceDE w:val="0"/>
        <w:autoSpaceDN w:val="0"/>
        <w:adjustRightInd w:val="0"/>
        <w:rPr>
          <w:rFonts w:eastAsiaTheme="minorHAnsi"/>
          <w:bCs/>
          <w:color w:val="000000"/>
          <w:sz w:val="24"/>
          <w:szCs w:val="24"/>
          <w:lang w:val="lv-LV"/>
        </w:rPr>
      </w:pPr>
    </w:p>
    <w:p w:rsidR="0034637F" w:rsidRPr="00B53BDA" w:rsidRDefault="0034637F" w:rsidP="0034637F">
      <w:pPr>
        <w:autoSpaceDE w:val="0"/>
        <w:autoSpaceDN w:val="0"/>
        <w:adjustRightInd w:val="0"/>
        <w:rPr>
          <w:rFonts w:eastAsia="Calibri"/>
          <w:bCs/>
          <w:color w:val="000000"/>
          <w:sz w:val="28"/>
          <w:szCs w:val="28"/>
          <w:lang w:val="lv-LV"/>
        </w:rPr>
      </w:pPr>
      <w:r w:rsidRPr="00B53BDA">
        <w:rPr>
          <w:rFonts w:eastAsia="Calibri"/>
          <w:bCs/>
          <w:color w:val="000000"/>
          <w:sz w:val="28"/>
          <w:szCs w:val="28"/>
          <w:lang w:val="lv-LV"/>
        </w:rPr>
        <w:t>Valsts sekretāra vietniece,</w:t>
      </w:r>
    </w:p>
    <w:p w:rsidR="0034637F" w:rsidRPr="0034637F" w:rsidRDefault="0034637F" w:rsidP="0034637F">
      <w:pPr>
        <w:autoSpaceDE w:val="0"/>
        <w:autoSpaceDN w:val="0"/>
        <w:adjustRightInd w:val="0"/>
        <w:rPr>
          <w:rFonts w:eastAsia="Calibri"/>
          <w:bCs/>
          <w:color w:val="000000"/>
          <w:sz w:val="28"/>
          <w:szCs w:val="28"/>
          <w:lang w:val="lv-LV"/>
        </w:rPr>
      </w:pPr>
      <w:r w:rsidRPr="00B53BDA">
        <w:rPr>
          <w:rFonts w:eastAsia="Calibri"/>
          <w:bCs/>
          <w:color w:val="000000"/>
          <w:sz w:val="28"/>
          <w:szCs w:val="28"/>
          <w:lang w:val="lv-LV"/>
        </w:rPr>
        <w:t>valsts sekretāra pienākumu izpildītāja</w:t>
      </w:r>
      <w:r w:rsidRPr="00B53BDA">
        <w:rPr>
          <w:rFonts w:eastAsia="Calibri"/>
          <w:bCs/>
          <w:color w:val="000000"/>
          <w:sz w:val="28"/>
          <w:szCs w:val="28"/>
          <w:lang w:val="lv-LV"/>
        </w:rPr>
        <w:tab/>
      </w:r>
      <w:r w:rsidRPr="00B53BDA">
        <w:rPr>
          <w:rFonts w:eastAsia="Calibri"/>
          <w:bCs/>
          <w:color w:val="000000"/>
          <w:sz w:val="28"/>
          <w:szCs w:val="28"/>
          <w:lang w:val="lv-LV"/>
        </w:rPr>
        <w:tab/>
      </w:r>
      <w:r w:rsidRPr="00B53BDA">
        <w:rPr>
          <w:rFonts w:eastAsia="Calibri"/>
          <w:bCs/>
          <w:color w:val="000000"/>
          <w:sz w:val="28"/>
          <w:szCs w:val="28"/>
          <w:lang w:val="lv-LV"/>
        </w:rPr>
        <w:tab/>
        <w:t xml:space="preserve">                    </w:t>
      </w:r>
      <w:r w:rsidR="00B53BDA">
        <w:rPr>
          <w:rFonts w:eastAsia="Calibri"/>
          <w:bCs/>
          <w:color w:val="000000"/>
          <w:sz w:val="28"/>
          <w:szCs w:val="28"/>
          <w:lang w:val="lv-LV"/>
        </w:rPr>
        <w:t>L.Sīka</w:t>
      </w:r>
    </w:p>
    <w:p w:rsidR="00A3459C" w:rsidRDefault="00A3459C" w:rsidP="0077650E">
      <w:pPr>
        <w:rPr>
          <w:sz w:val="22"/>
          <w:szCs w:val="22"/>
          <w:lang w:val="lv-LV"/>
        </w:rPr>
      </w:pPr>
    </w:p>
    <w:p w:rsidR="00A3459C" w:rsidRDefault="00A3459C" w:rsidP="0077650E">
      <w:pPr>
        <w:rPr>
          <w:sz w:val="22"/>
          <w:szCs w:val="22"/>
          <w:lang w:val="lv-LV"/>
        </w:rPr>
      </w:pPr>
    </w:p>
    <w:p w:rsidR="00A34702" w:rsidRPr="00291945" w:rsidRDefault="003D6622" w:rsidP="0077650E">
      <w:pPr>
        <w:rPr>
          <w:sz w:val="28"/>
          <w:szCs w:val="28"/>
          <w:lang w:val="lv-LV"/>
        </w:rPr>
      </w:pPr>
      <w:r>
        <w:rPr>
          <w:sz w:val="22"/>
          <w:szCs w:val="22"/>
          <w:lang w:val="lv-LV"/>
        </w:rPr>
        <w:t>28</w:t>
      </w:r>
      <w:r w:rsidR="00A34702" w:rsidRPr="00291945">
        <w:rPr>
          <w:sz w:val="22"/>
          <w:szCs w:val="22"/>
          <w:lang w:val="lv-LV"/>
        </w:rPr>
        <w:t>.</w:t>
      </w:r>
      <w:r w:rsidR="00E76B03">
        <w:rPr>
          <w:sz w:val="22"/>
          <w:szCs w:val="22"/>
          <w:lang w:val="lv-LV"/>
        </w:rPr>
        <w:t>11</w:t>
      </w:r>
      <w:r w:rsidR="003D42A9" w:rsidRPr="00291945">
        <w:rPr>
          <w:sz w:val="22"/>
          <w:szCs w:val="22"/>
          <w:lang w:val="lv-LV"/>
        </w:rPr>
        <w:t>.20</w:t>
      </w:r>
      <w:r w:rsidR="00D70969" w:rsidRPr="00291945">
        <w:rPr>
          <w:sz w:val="22"/>
          <w:szCs w:val="22"/>
          <w:lang w:val="lv-LV"/>
        </w:rPr>
        <w:t>1</w:t>
      </w:r>
      <w:r w:rsidR="00251121" w:rsidRPr="00291945">
        <w:rPr>
          <w:sz w:val="22"/>
          <w:szCs w:val="22"/>
          <w:lang w:val="lv-LV"/>
        </w:rPr>
        <w:t>1</w:t>
      </w:r>
      <w:r w:rsidR="00A34702" w:rsidRPr="00291945">
        <w:rPr>
          <w:sz w:val="22"/>
          <w:szCs w:val="22"/>
          <w:lang w:val="lv-LV"/>
        </w:rPr>
        <w:t xml:space="preserve">. </w:t>
      </w:r>
      <w:r w:rsidR="00E03344">
        <w:rPr>
          <w:sz w:val="22"/>
          <w:szCs w:val="22"/>
          <w:lang w:val="lv-LV"/>
        </w:rPr>
        <w:t>11:00</w:t>
      </w:r>
    </w:p>
    <w:p w:rsidR="00A34702" w:rsidRPr="004C699A" w:rsidRDefault="00E03344" w:rsidP="0077650E">
      <w:pPr>
        <w:rPr>
          <w:sz w:val="22"/>
          <w:szCs w:val="22"/>
          <w:lang w:val="lv-LV"/>
        </w:rPr>
      </w:pPr>
      <w:r>
        <w:rPr>
          <w:sz w:val="22"/>
          <w:szCs w:val="22"/>
          <w:lang w:val="lv-LV"/>
        </w:rPr>
        <w:t>1785</w:t>
      </w:r>
    </w:p>
    <w:p w:rsidR="00A34702" w:rsidRPr="004C699A" w:rsidRDefault="00A34702" w:rsidP="00B31875">
      <w:pPr>
        <w:jc w:val="both"/>
        <w:rPr>
          <w:sz w:val="22"/>
          <w:szCs w:val="22"/>
          <w:lang w:val="lv-LV"/>
        </w:rPr>
      </w:pPr>
      <w:r w:rsidRPr="004C699A">
        <w:rPr>
          <w:sz w:val="22"/>
          <w:szCs w:val="22"/>
          <w:lang w:val="lv-LV"/>
        </w:rPr>
        <w:t>Izglītības un zinātnes ministrijas</w:t>
      </w:r>
    </w:p>
    <w:p w:rsidR="00A34702" w:rsidRPr="004C699A" w:rsidRDefault="00A34702" w:rsidP="00B31875">
      <w:pPr>
        <w:jc w:val="both"/>
        <w:rPr>
          <w:sz w:val="22"/>
          <w:szCs w:val="22"/>
          <w:lang w:val="lv-LV"/>
        </w:rPr>
      </w:pPr>
      <w:r w:rsidRPr="004C699A">
        <w:rPr>
          <w:sz w:val="22"/>
          <w:szCs w:val="22"/>
          <w:lang w:val="lv-LV"/>
        </w:rPr>
        <w:t>Zinātnes, tehnoloģiju un inovāciju departamenta</w:t>
      </w:r>
    </w:p>
    <w:p w:rsidR="00A34702" w:rsidRPr="004C699A" w:rsidRDefault="00A34702" w:rsidP="00B31875">
      <w:pPr>
        <w:jc w:val="both"/>
        <w:rPr>
          <w:sz w:val="22"/>
          <w:szCs w:val="22"/>
          <w:lang w:val="lv-LV"/>
        </w:rPr>
      </w:pPr>
      <w:r w:rsidRPr="004C699A">
        <w:rPr>
          <w:sz w:val="22"/>
          <w:szCs w:val="22"/>
          <w:lang w:val="lv-LV"/>
        </w:rPr>
        <w:t>vecākā referente</w:t>
      </w:r>
    </w:p>
    <w:p w:rsidR="00A34702" w:rsidRPr="004C699A" w:rsidRDefault="00A34702" w:rsidP="0077650E">
      <w:pPr>
        <w:rPr>
          <w:sz w:val="22"/>
          <w:szCs w:val="22"/>
          <w:lang w:val="lv-LV"/>
        </w:rPr>
      </w:pPr>
      <w:r w:rsidRPr="004C699A">
        <w:rPr>
          <w:sz w:val="22"/>
          <w:szCs w:val="22"/>
          <w:lang w:val="lv-LV"/>
        </w:rPr>
        <w:t>B.Beinaroviča</w:t>
      </w:r>
    </w:p>
    <w:p w:rsidR="00A34702" w:rsidRPr="004C699A" w:rsidRDefault="00A34702" w:rsidP="0077650E">
      <w:pPr>
        <w:rPr>
          <w:sz w:val="22"/>
          <w:szCs w:val="22"/>
          <w:lang w:val="lv-LV"/>
        </w:rPr>
      </w:pPr>
      <w:r w:rsidRPr="004C699A">
        <w:rPr>
          <w:sz w:val="22"/>
          <w:szCs w:val="22"/>
          <w:lang w:val="lv-LV"/>
        </w:rPr>
        <w:t xml:space="preserve">67047885, </w:t>
      </w:r>
      <w:hyperlink r:id="rId8" w:history="1">
        <w:r w:rsidRPr="004C699A">
          <w:rPr>
            <w:rStyle w:val="Hyperlink"/>
            <w:sz w:val="22"/>
            <w:szCs w:val="22"/>
            <w:lang w:val="lv-LV"/>
          </w:rPr>
          <w:t>baiba.beinarovica@izm.gov.lv</w:t>
        </w:r>
      </w:hyperlink>
      <w:r w:rsidRPr="004C699A">
        <w:rPr>
          <w:sz w:val="22"/>
          <w:szCs w:val="22"/>
          <w:lang w:val="lv-LV"/>
        </w:rPr>
        <w:t xml:space="preserve">  </w:t>
      </w:r>
    </w:p>
    <w:p w:rsidR="00A34702" w:rsidRPr="00CE78E3" w:rsidRDefault="00A34702" w:rsidP="0077650E">
      <w:pPr>
        <w:jc w:val="both"/>
        <w:rPr>
          <w:sz w:val="28"/>
          <w:szCs w:val="28"/>
          <w:lang w:val="lv-LV"/>
        </w:rPr>
      </w:pPr>
    </w:p>
    <w:p w:rsidR="00A34702" w:rsidRPr="00CE78E3" w:rsidRDefault="00A34702">
      <w:pPr>
        <w:rPr>
          <w:sz w:val="28"/>
          <w:szCs w:val="28"/>
          <w:lang w:val="lv-LV"/>
        </w:rPr>
      </w:pPr>
    </w:p>
    <w:sectPr w:rsidR="00A34702" w:rsidRPr="00CE78E3" w:rsidSect="00EA3B48">
      <w:headerReference w:type="even" r:id="rId9"/>
      <w:headerReference w:type="default" r:id="rId10"/>
      <w:footerReference w:type="default" r:id="rId11"/>
      <w:footerReference w:type="first" r:id="rId12"/>
      <w:pgSz w:w="11906" w:h="16838" w:code="9"/>
      <w:pgMar w:top="1134" w:right="1134" w:bottom="851" w:left="1701" w:header="454" w:footer="3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DCD" w:rsidRDefault="00094DCD" w:rsidP="00B33D6E">
      <w:r>
        <w:separator/>
      </w:r>
    </w:p>
  </w:endnote>
  <w:endnote w:type="continuationSeparator" w:id="0">
    <w:p w:rsidR="00094DCD" w:rsidRDefault="00094DCD" w:rsidP="00B33D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1010600010101010101"/>
    <w:charset w:val="00"/>
    <w:family w:val="auto"/>
    <w:pitch w:val="variable"/>
    <w:sig w:usb0="0001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CA3" w:rsidRPr="00A46F23" w:rsidRDefault="00E174C7" w:rsidP="00EC1CA3">
    <w:pPr>
      <w:pStyle w:val="BodyText"/>
      <w:spacing w:before="120"/>
      <w:jc w:val="both"/>
      <w:rPr>
        <w:b w:val="0"/>
        <w:sz w:val="20"/>
      </w:rPr>
    </w:pPr>
    <w:r w:rsidRPr="002645BC">
      <w:rPr>
        <w:b w:val="0"/>
        <w:sz w:val="20"/>
      </w:rPr>
      <w:fldChar w:fldCharType="begin"/>
    </w:r>
    <w:r w:rsidR="00EC1CA3" w:rsidRPr="002645BC">
      <w:rPr>
        <w:b w:val="0"/>
        <w:sz w:val="20"/>
      </w:rPr>
      <w:instrText xml:space="preserve"> FILENAME </w:instrText>
    </w:r>
    <w:r w:rsidRPr="002645BC">
      <w:rPr>
        <w:b w:val="0"/>
        <w:sz w:val="20"/>
      </w:rPr>
      <w:fldChar w:fldCharType="separate"/>
    </w:r>
    <w:r w:rsidR="008C5D15">
      <w:rPr>
        <w:b w:val="0"/>
        <w:noProof/>
        <w:sz w:val="20"/>
      </w:rPr>
      <w:t>IZMInf_</w:t>
    </w:r>
    <w:r w:rsidR="003D6622">
      <w:rPr>
        <w:b w:val="0"/>
        <w:noProof/>
        <w:sz w:val="20"/>
      </w:rPr>
      <w:t>28</w:t>
    </w:r>
    <w:r w:rsidR="00E76B03">
      <w:rPr>
        <w:b w:val="0"/>
        <w:noProof/>
        <w:sz w:val="20"/>
      </w:rPr>
      <w:t>11</w:t>
    </w:r>
    <w:r w:rsidR="008C5D15">
      <w:rPr>
        <w:b w:val="0"/>
        <w:noProof/>
        <w:sz w:val="20"/>
      </w:rPr>
      <w:t>11_konkuretspeja</w:t>
    </w:r>
    <w:r w:rsidRPr="002645BC">
      <w:rPr>
        <w:b w:val="0"/>
        <w:sz w:val="20"/>
      </w:rPr>
      <w:fldChar w:fldCharType="end"/>
    </w:r>
    <w:r w:rsidR="00EC1CA3" w:rsidRPr="002645BC">
      <w:rPr>
        <w:b w:val="0"/>
        <w:sz w:val="20"/>
      </w:rPr>
      <w:t>;</w:t>
    </w:r>
    <w:r w:rsidR="00EC1CA3">
      <w:rPr>
        <w:b w:val="0"/>
        <w:sz w:val="20"/>
      </w:rPr>
      <w:t xml:space="preserve"> </w:t>
    </w:r>
    <w:r w:rsidR="00EC1CA3" w:rsidRPr="00A46F23">
      <w:rPr>
        <w:b w:val="0"/>
        <w:sz w:val="20"/>
      </w:rPr>
      <w:t>Par 20</w:t>
    </w:r>
    <w:r w:rsidR="00EC1CA3">
      <w:rPr>
        <w:b w:val="0"/>
        <w:sz w:val="20"/>
      </w:rPr>
      <w:t>11</w:t>
    </w:r>
    <w:r w:rsidR="00EC1CA3" w:rsidRPr="00A46F23">
      <w:rPr>
        <w:b w:val="0"/>
        <w:sz w:val="20"/>
      </w:rPr>
      <w:t xml:space="preserve">.gada </w:t>
    </w:r>
    <w:r w:rsidR="00E76B03">
      <w:rPr>
        <w:b w:val="0"/>
        <w:sz w:val="20"/>
      </w:rPr>
      <w:t>5</w:t>
    </w:r>
    <w:r w:rsidR="009300B8">
      <w:rPr>
        <w:b w:val="0"/>
        <w:sz w:val="20"/>
      </w:rPr>
      <w:t>.-</w:t>
    </w:r>
    <w:r w:rsidR="00E76B03">
      <w:rPr>
        <w:b w:val="0"/>
        <w:sz w:val="20"/>
      </w:rPr>
      <w:t>6</w:t>
    </w:r>
    <w:r w:rsidR="00EC1CA3">
      <w:rPr>
        <w:b w:val="0"/>
        <w:sz w:val="20"/>
      </w:rPr>
      <w:t>.</w:t>
    </w:r>
    <w:r w:rsidR="00E76B03">
      <w:rPr>
        <w:b w:val="0"/>
        <w:sz w:val="20"/>
      </w:rPr>
      <w:t>dec</w:t>
    </w:r>
    <w:r w:rsidR="009300B8">
      <w:rPr>
        <w:b w:val="0"/>
        <w:sz w:val="20"/>
      </w:rPr>
      <w:t>embra</w:t>
    </w:r>
    <w:r w:rsidR="00EC1CA3" w:rsidRPr="00A46F23">
      <w:rPr>
        <w:b w:val="0"/>
        <w:sz w:val="20"/>
      </w:rPr>
      <w:t xml:space="preserve"> </w:t>
    </w:r>
    <w:r w:rsidR="00EC1CA3">
      <w:rPr>
        <w:b w:val="0"/>
        <w:sz w:val="20"/>
      </w:rPr>
      <w:t xml:space="preserve">Eiropas Savienības </w:t>
    </w:r>
    <w:r w:rsidR="00EC1CA3" w:rsidRPr="00A46F23">
      <w:rPr>
        <w:b w:val="0"/>
        <w:sz w:val="20"/>
      </w:rPr>
      <w:t xml:space="preserve">Konkurētspējas </w:t>
    </w:r>
    <w:r w:rsidR="00EC1CA3">
      <w:rPr>
        <w:b w:val="0"/>
        <w:sz w:val="20"/>
      </w:rPr>
      <w:t xml:space="preserve">ministru </w:t>
    </w:r>
    <w:r w:rsidR="00EC1CA3" w:rsidRPr="00A46F23">
      <w:rPr>
        <w:b w:val="0"/>
        <w:sz w:val="20"/>
      </w:rPr>
      <w:t>padomē izskatāmajiem jautājumiem</w:t>
    </w:r>
  </w:p>
  <w:p w:rsidR="00A34702" w:rsidRPr="00047E20" w:rsidRDefault="00A34702" w:rsidP="00047E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B03" w:rsidRPr="00A46F23" w:rsidRDefault="00E174C7" w:rsidP="00E76B03">
    <w:pPr>
      <w:pStyle w:val="BodyText"/>
      <w:spacing w:before="120"/>
      <w:jc w:val="both"/>
      <w:rPr>
        <w:b w:val="0"/>
        <w:sz w:val="20"/>
      </w:rPr>
    </w:pPr>
    <w:r w:rsidRPr="002645BC">
      <w:rPr>
        <w:b w:val="0"/>
        <w:sz w:val="20"/>
      </w:rPr>
      <w:fldChar w:fldCharType="begin"/>
    </w:r>
    <w:r w:rsidR="00E76B03" w:rsidRPr="002645BC">
      <w:rPr>
        <w:b w:val="0"/>
        <w:sz w:val="20"/>
      </w:rPr>
      <w:instrText xml:space="preserve"> FILENAME </w:instrText>
    </w:r>
    <w:r w:rsidRPr="002645BC">
      <w:rPr>
        <w:b w:val="0"/>
        <w:sz w:val="20"/>
      </w:rPr>
      <w:fldChar w:fldCharType="separate"/>
    </w:r>
    <w:r w:rsidR="00E76B03">
      <w:rPr>
        <w:b w:val="0"/>
        <w:noProof/>
        <w:sz w:val="20"/>
      </w:rPr>
      <w:t>IZMInf_</w:t>
    </w:r>
    <w:r w:rsidR="003D6622">
      <w:rPr>
        <w:b w:val="0"/>
        <w:noProof/>
        <w:sz w:val="20"/>
      </w:rPr>
      <w:t>28</w:t>
    </w:r>
    <w:r w:rsidR="00E76B03">
      <w:rPr>
        <w:b w:val="0"/>
        <w:noProof/>
        <w:sz w:val="20"/>
      </w:rPr>
      <w:t>1111_konkuretspeja</w:t>
    </w:r>
    <w:r w:rsidRPr="002645BC">
      <w:rPr>
        <w:b w:val="0"/>
        <w:sz w:val="20"/>
      </w:rPr>
      <w:fldChar w:fldCharType="end"/>
    </w:r>
    <w:r w:rsidR="00E76B03" w:rsidRPr="002645BC">
      <w:rPr>
        <w:b w:val="0"/>
        <w:sz w:val="20"/>
      </w:rPr>
      <w:t>;</w:t>
    </w:r>
    <w:r w:rsidR="00E76B03">
      <w:rPr>
        <w:b w:val="0"/>
        <w:sz w:val="20"/>
      </w:rPr>
      <w:t xml:space="preserve"> </w:t>
    </w:r>
    <w:r w:rsidR="00E76B03" w:rsidRPr="00A46F23">
      <w:rPr>
        <w:b w:val="0"/>
        <w:sz w:val="20"/>
      </w:rPr>
      <w:t>Par 20</w:t>
    </w:r>
    <w:r w:rsidR="00E76B03">
      <w:rPr>
        <w:b w:val="0"/>
        <w:sz w:val="20"/>
      </w:rPr>
      <w:t>11</w:t>
    </w:r>
    <w:r w:rsidR="00E76B03" w:rsidRPr="00A46F23">
      <w:rPr>
        <w:b w:val="0"/>
        <w:sz w:val="20"/>
      </w:rPr>
      <w:t xml:space="preserve">.gada </w:t>
    </w:r>
    <w:r w:rsidR="00E76B03">
      <w:rPr>
        <w:b w:val="0"/>
        <w:sz w:val="20"/>
      </w:rPr>
      <w:t>5.-6.decembra</w:t>
    </w:r>
    <w:r w:rsidR="00E76B03" w:rsidRPr="00A46F23">
      <w:rPr>
        <w:b w:val="0"/>
        <w:sz w:val="20"/>
      </w:rPr>
      <w:t xml:space="preserve"> </w:t>
    </w:r>
    <w:r w:rsidR="00E76B03">
      <w:rPr>
        <w:b w:val="0"/>
        <w:sz w:val="20"/>
      </w:rPr>
      <w:t xml:space="preserve">Eiropas Savienības </w:t>
    </w:r>
    <w:r w:rsidR="00E76B03" w:rsidRPr="00A46F23">
      <w:rPr>
        <w:b w:val="0"/>
        <w:sz w:val="20"/>
      </w:rPr>
      <w:t xml:space="preserve">Konkurētspējas </w:t>
    </w:r>
    <w:r w:rsidR="00E76B03">
      <w:rPr>
        <w:b w:val="0"/>
        <w:sz w:val="20"/>
      </w:rPr>
      <w:t xml:space="preserve">ministru </w:t>
    </w:r>
    <w:r w:rsidR="00E76B03" w:rsidRPr="00A46F23">
      <w:rPr>
        <w:b w:val="0"/>
        <w:sz w:val="20"/>
      </w:rPr>
      <w:t>padomē izskatāmajiem jautājumiem</w:t>
    </w:r>
  </w:p>
  <w:p w:rsidR="00A34702" w:rsidRPr="00E76B03" w:rsidRDefault="00A34702" w:rsidP="00E76B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DCD" w:rsidRDefault="00094DCD" w:rsidP="00B33D6E">
      <w:r>
        <w:separator/>
      </w:r>
    </w:p>
  </w:footnote>
  <w:footnote w:type="continuationSeparator" w:id="0">
    <w:p w:rsidR="00094DCD" w:rsidRDefault="00094DCD" w:rsidP="00B33D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702" w:rsidRDefault="00E174C7" w:rsidP="00B77EA2">
    <w:pPr>
      <w:pStyle w:val="Header"/>
      <w:framePr w:wrap="around" w:vAnchor="text" w:hAnchor="margin" w:xAlign="center" w:y="1"/>
      <w:rPr>
        <w:rStyle w:val="PageNumber"/>
      </w:rPr>
    </w:pPr>
    <w:r>
      <w:rPr>
        <w:rStyle w:val="PageNumber"/>
      </w:rPr>
      <w:fldChar w:fldCharType="begin"/>
    </w:r>
    <w:r w:rsidR="00A34702">
      <w:rPr>
        <w:rStyle w:val="PageNumber"/>
      </w:rPr>
      <w:instrText xml:space="preserve">PAGE  </w:instrText>
    </w:r>
    <w:r>
      <w:rPr>
        <w:rStyle w:val="PageNumber"/>
      </w:rPr>
      <w:fldChar w:fldCharType="end"/>
    </w:r>
  </w:p>
  <w:p w:rsidR="00A34702" w:rsidRDefault="00A347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702" w:rsidRDefault="00E174C7" w:rsidP="00B77EA2">
    <w:pPr>
      <w:pStyle w:val="Header"/>
      <w:framePr w:wrap="around" w:vAnchor="text" w:hAnchor="margin" w:xAlign="center" w:y="1"/>
      <w:rPr>
        <w:rStyle w:val="PageNumber"/>
      </w:rPr>
    </w:pPr>
    <w:r>
      <w:rPr>
        <w:rStyle w:val="PageNumber"/>
      </w:rPr>
      <w:fldChar w:fldCharType="begin"/>
    </w:r>
    <w:r w:rsidR="00A34702">
      <w:rPr>
        <w:rStyle w:val="PageNumber"/>
      </w:rPr>
      <w:instrText xml:space="preserve">PAGE  </w:instrText>
    </w:r>
    <w:r>
      <w:rPr>
        <w:rStyle w:val="PageNumber"/>
      </w:rPr>
      <w:fldChar w:fldCharType="separate"/>
    </w:r>
    <w:r w:rsidR="00E03344">
      <w:rPr>
        <w:rStyle w:val="PageNumber"/>
        <w:noProof/>
      </w:rPr>
      <w:t>2</w:t>
    </w:r>
    <w:r>
      <w:rPr>
        <w:rStyle w:val="PageNumber"/>
      </w:rPr>
      <w:fldChar w:fldCharType="end"/>
    </w:r>
  </w:p>
  <w:p w:rsidR="00A34702" w:rsidRDefault="00A347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C7F83"/>
    <w:multiLevelType w:val="singleLevel"/>
    <w:tmpl w:val="D9565B10"/>
    <w:name w:val="Tiret 1__1"/>
    <w:lvl w:ilvl="0">
      <w:start w:val="1"/>
      <w:numFmt w:val="bullet"/>
      <w:lvlRestart w:val="0"/>
      <w:pStyle w:val="Tiret1"/>
      <w:lvlText w:val="–"/>
      <w:lvlJc w:val="left"/>
      <w:pPr>
        <w:tabs>
          <w:tab w:val="num" w:pos="1417"/>
        </w:tabs>
        <w:ind w:left="1417" w:hanging="567"/>
      </w:pPr>
    </w:lvl>
  </w:abstractNum>
  <w:abstractNum w:abstractNumId="1">
    <w:nsid w:val="18D13109"/>
    <w:multiLevelType w:val="multilevel"/>
    <w:tmpl w:val="D8EC8FF4"/>
    <w:name w:val="List Bullet 2"/>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2E27467F"/>
    <w:multiLevelType w:val="singleLevel"/>
    <w:tmpl w:val="8F5C4410"/>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3">
    <w:nsid w:val="4420307B"/>
    <w:multiLevelType w:val="hybridMultilevel"/>
    <w:tmpl w:val="178A85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C5652A5"/>
    <w:multiLevelType w:val="hybridMultilevel"/>
    <w:tmpl w:val="2B025630"/>
    <w:lvl w:ilvl="0" w:tplc="D296803E">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nsid w:val="5C240D15"/>
    <w:multiLevelType w:val="hybridMultilevel"/>
    <w:tmpl w:val="08145930"/>
    <w:lvl w:ilvl="0" w:tplc="2A8A7DC6">
      <w:start w:val="1"/>
      <w:numFmt w:val="bullet"/>
      <w:lvlText w:val="-"/>
      <w:lvlJc w:val="left"/>
      <w:pPr>
        <w:ind w:left="720" w:hanging="360"/>
      </w:pPr>
      <w:rPr>
        <w:rFonts w:ascii="Vrinda" w:hAnsi="Vrind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6D2B5511"/>
    <w:multiLevelType w:val="singleLevel"/>
    <w:tmpl w:val="74A09970"/>
    <w:lvl w:ilvl="0">
      <w:start w:val="1"/>
      <w:numFmt w:val="bullet"/>
      <w:pStyle w:val="ListBullet"/>
      <w:lvlText w:val=""/>
      <w:lvlJc w:val="left"/>
      <w:pPr>
        <w:tabs>
          <w:tab w:val="num" w:pos="283"/>
        </w:tabs>
        <w:ind w:left="283" w:hanging="283"/>
      </w:pPr>
      <w:rPr>
        <w:rFonts w:ascii="Symbol" w:hAnsi="Symbol" w:hint="default"/>
      </w:rPr>
    </w:lvl>
  </w:abstractNum>
  <w:abstractNum w:abstractNumId="7">
    <w:nsid w:val="79C96D36"/>
    <w:multiLevelType w:val="multilevel"/>
    <w:tmpl w:val="B30A145C"/>
    <w:name w:val="Tiret 1"/>
    <w:lvl w:ilvl="0">
      <w:start w:val="1"/>
      <w:numFmt w:val="decimal"/>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7D5F6ED1"/>
    <w:multiLevelType w:val="hybridMultilevel"/>
    <w:tmpl w:val="9CF83B7C"/>
    <w:lvl w:ilvl="0" w:tplc="5074E3CC">
      <w:start w:val="1"/>
      <w:numFmt w:val="decimal"/>
      <w:pStyle w:val="Numeracin"/>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num w:numId="1">
    <w:abstractNumId w:val="6"/>
  </w:num>
  <w:num w:numId="2">
    <w:abstractNumId w:val="8"/>
  </w:num>
  <w:num w:numId="3">
    <w:abstractNumId w:val="5"/>
  </w:num>
  <w:num w:numId="4">
    <w:abstractNumId w:val="2"/>
  </w:num>
  <w:num w:numId="5">
    <w:abstractNumId w:val="0"/>
  </w:num>
  <w:num w:numId="6">
    <w:abstractNumId w:val="1"/>
  </w:num>
  <w:num w:numId="7">
    <w:abstractNumId w:val="4"/>
  </w:num>
  <w:num w:numId="8">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77650E"/>
    <w:rsid w:val="00003600"/>
    <w:rsid w:val="000056E8"/>
    <w:rsid w:val="0001095C"/>
    <w:rsid w:val="00015C99"/>
    <w:rsid w:val="00017319"/>
    <w:rsid w:val="00020847"/>
    <w:rsid w:val="000266CD"/>
    <w:rsid w:val="000273B0"/>
    <w:rsid w:val="0002744F"/>
    <w:rsid w:val="00031C2D"/>
    <w:rsid w:val="000332C9"/>
    <w:rsid w:val="00036979"/>
    <w:rsid w:val="000427DD"/>
    <w:rsid w:val="00042D11"/>
    <w:rsid w:val="00047317"/>
    <w:rsid w:val="0004758A"/>
    <w:rsid w:val="00047E20"/>
    <w:rsid w:val="000504F4"/>
    <w:rsid w:val="00050734"/>
    <w:rsid w:val="00051C9E"/>
    <w:rsid w:val="00054301"/>
    <w:rsid w:val="00065994"/>
    <w:rsid w:val="00067A1C"/>
    <w:rsid w:val="00070D9E"/>
    <w:rsid w:val="00074145"/>
    <w:rsid w:val="00075BF0"/>
    <w:rsid w:val="00081184"/>
    <w:rsid w:val="000818D3"/>
    <w:rsid w:val="00085EDD"/>
    <w:rsid w:val="000873DE"/>
    <w:rsid w:val="00092024"/>
    <w:rsid w:val="0009327E"/>
    <w:rsid w:val="00093C22"/>
    <w:rsid w:val="00094195"/>
    <w:rsid w:val="00094DCD"/>
    <w:rsid w:val="00097A06"/>
    <w:rsid w:val="000A10E8"/>
    <w:rsid w:val="000A22F9"/>
    <w:rsid w:val="000A3192"/>
    <w:rsid w:val="000A4FE8"/>
    <w:rsid w:val="000A5F4E"/>
    <w:rsid w:val="000A780C"/>
    <w:rsid w:val="000A7BF3"/>
    <w:rsid w:val="000B180C"/>
    <w:rsid w:val="000B218F"/>
    <w:rsid w:val="000B3F6C"/>
    <w:rsid w:val="000C0170"/>
    <w:rsid w:val="000C01FB"/>
    <w:rsid w:val="000C04F1"/>
    <w:rsid w:val="000C1E50"/>
    <w:rsid w:val="000C285D"/>
    <w:rsid w:val="000C3E02"/>
    <w:rsid w:val="000D01C5"/>
    <w:rsid w:val="000D020F"/>
    <w:rsid w:val="000D0422"/>
    <w:rsid w:val="000D395E"/>
    <w:rsid w:val="000D6A64"/>
    <w:rsid w:val="000E0FEF"/>
    <w:rsid w:val="000E4DC5"/>
    <w:rsid w:val="000E5937"/>
    <w:rsid w:val="000F3651"/>
    <w:rsid w:val="000F64F5"/>
    <w:rsid w:val="00101493"/>
    <w:rsid w:val="00101944"/>
    <w:rsid w:val="00102DAA"/>
    <w:rsid w:val="001123BF"/>
    <w:rsid w:val="001139B4"/>
    <w:rsid w:val="00114A0B"/>
    <w:rsid w:val="00114DFC"/>
    <w:rsid w:val="00123761"/>
    <w:rsid w:val="0012451B"/>
    <w:rsid w:val="0013059C"/>
    <w:rsid w:val="00130ABE"/>
    <w:rsid w:val="00132C7F"/>
    <w:rsid w:val="00133DB5"/>
    <w:rsid w:val="00137032"/>
    <w:rsid w:val="00140118"/>
    <w:rsid w:val="00141806"/>
    <w:rsid w:val="001429A0"/>
    <w:rsid w:val="001431D8"/>
    <w:rsid w:val="0014663A"/>
    <w:rsid w:val="00146739"/>
    <w:rsid w:val="001472CF"/>
    <w:rsid w:val="00150A82"/>
    <w:rsid w:val="00151A7C"/>
    <w:rsid w:val="00155B5D"/>
    <w:rsid w:val="00155E80"/>
    <w:rsid w:val="00160974"/>
    <w:rsid w:val="00164668"/>
    <w:rsid w:val="00164DB2"/>
    <w:rsid w:val="001650C6"/>
    <w:rsid w:val="00165F76"/>
    <w:rsid w:val="00171310"/>
    <w:rsid w:val="001729C9"/>
    <w:rsid w:val="00173482"/>
    <w:rsid w:val="00175B86"/>
    <w:rsid w:val="00175CED"/>
    <w:rsid w:val="00176275"/>
    <w:rsid w:val="00181532"/>
    <w:rsid w:val="001822D6"/>
    <w:rsid w:val="00182581"/>
    <w:rsid w:val="00182CA7"/>
    <w:rsid w:val="00184359"/>
    <w:rsid w:val="00184ABA"/>
    <w:rsid w:val="001863BB"/>
    <w:rsid w:val="00187D2F"/>
    <w:rsid w:val="001902EC"/>
    <w:rsid w:val="001924F9"/>
    <w:rsid w:val="00194848"/>
    <w:rsid w:val="00195836"/>
    <w:rsid w:val="00197B96"/>
    <w:rsid w:val="001A6BFD"/>
    <w:rsid w:val="001A7625"/>
    <w:rsid w:val="001B0BA0"/>
    <w:rsid w:val="001B1886"/>
    <w:rsid w:val="001B2F5D"/>
    <w:rsid w:val="001B3B48"/>
    <w:rsid w:val="001B51D8"/>
    <w:rsid w:val="001C1013"/>
    <w:rsid w:val="001C1279"/>
    <w:rsid w:val="001C2436"/>
    <w:rsid w:val="001C32EB"/>
    <w:rsid w:val="001C4F11"/>
    <w:rsid w:val="001C68CC"/>
    <w:rsid w:val="001D1376"/>
    <w:rsid w:val="001D2CE2"/>
    <w:rsid w:val="001D63E0"/>
    <w:rsid w:val="001D7B2B"/>
    <w:rsid w:val="001E00F9"/>
    <w:rsid w:val="001E04E4"/>
    <w:rsid w:val="001E123C"/>
    <w:rsid w:val="001E1E33"/>
    <w:rsid w:val="001E1F9A"/>
    <w:rsid w:val="001E55F1"/>
    <w:rsid w:val="001E5B21"/>
    <w:rsid w:val="001E60B3"/>
    <w:rsid w:val="001E68A3"/>
    <w:rsid w:val="001F03A9"/>
    <w:rsid w:val="001F069B"/>
    <w:rsid w:val="001F06AC"/>
    <w:rsid w:val="001F3AD5"/>
    <w:rsid w:val="001F46D8"/>
    <w:rsid w:val="00201D32"/>
    <w:rsid w:val="00202DD0"/>
    <w:rsid w:val="002042CB"/>
    <w:rsid w:val="00205152"/>
    <w:rsid w:val="002075E1"/>
    <w:rsid w:val="002077B3"/>
    <w:rsid w:val="00207E36"/>
    <w:rsid w:val="00211960"/>
    <w:rsid w:val="002151F7"/>
    <w:rsid w:val="00217C60"/>
    <w:rsid w:val="002202C1"/>
    <w:rsid w:val="00222BC6"/>
    <w:rsid w:val="00227701"/>
    <w:rsid w:val="0023360A"/>
    <w:rsid w:val="00234F92"/>
    <w:rsid w:val="00236230"/>
    <w:rsid w:val="00240D6F"/>
    <w:rsid w:val="00241004"/>
    <w:rsid w:val="00247CF4"/>
    <w:rsid w:val="00251121"/>
    <w:rsid w:val="00253EB1"/>
    <w:rsid w:val="00254128"/>
    <w:rsid w:val="0025421E"/>
    <w:rsid w:val="0025488A"/>
    <w:rsid w:val="0025665F"/>
    <w:rsid w:val="00256D10"/>
    <w:rsid w:val="002618E3"/>
    <w:rsid w:val="00263035"/>
    <w:rsid w:val="002633FE"/>
    <w:rsid w:val="002637FE"/>
    <w:rsid w:val="002645BC"/>
    <w:rsid w:val="002646D1"/>
    <w:rsid w:val="002655C0"/>
    <w:rsid w:val="002725E1"/>
    <w:rsid w:val="0027508B"/>
    <w:rsid w:val="00275765"/>
    <w:rsid w:val="00275833"/>
    <w:rsid w:val="00276D68"/>
    <w:rsid w:val="00282776"/>
    <w:rsid w:val="002828E6"/>
    <w:rsid w:val="00283022"/>
    <w:rsid w:val="00283EBC"/>
    <w:rsid w:val="00284C91"/>
    <w:rsid w:val="00285E43"/>
    <w:rsid w:val="002864FD"/>
    <w:rsid w:val="00291945"/>
    <w:rsid w:val="00294288"/>
    <w:rsid w:val="00294A1F"/>
    <w:rsid w:val="00294E1C"/>
    <w:rsid w:val="002A166F"/>
    <w:rsid w:val="002A1DEC"/>
    <w:rsid w:val="002A4535"/>
    <w:rsid w:val="002B123E"/>
    <w:rsid w:val="002B30DB"/>
    <w:rsid w:val="002B58A7"/>
    <w:rsid w:val="002B5B6D"/>
    <w:rsid w:val="002B6466"/>
    <w:rsid w:val="002B7538"/>
    <w:rsid w:val="002B7D16"/>
    <w:rsid w:val="002C4A6C"/>
    <w:rsid w:val="002C4AC4"/>
    <w:rsid w:val="002D10BD"/>
    <w:rsid w:val="002D1765"/>
    <w:rsid w:val="002E2FBF"/>
    <w:rsid w:val="002E3403"/>
    <w:rsid w:val="002E3C1F"/>
    <w:rsid w:val="002E3CE5"/>
    <w:rsid w:val="002E5156"/>
    <w:rsid w:val="002E6DDE"/>
    <w:rsid w:val="002E6FA3"/>
    <w:rsid w:val="002F5A3F"/>
    <w:rsid w:val="00302347"/>
    <w:rsid w:val="00303D2E"/>
    <w:rsid w:val="00304896"/>
    <w:rsid w:val="00305EA5"/>
    <w:rsid w:val="00306CE2"/>
    <w:rsid w:val="00307CF9"/>
    <w:rsid w:val="0031237A"/>
    <w:rsid w:val="00312468"/>
    <w:rsid w:val="00314E19"/>
    <w:rsid w:val="00315290"/>
    <w:rsid w:val="003152D8"/>
    <w:rsid w:val="0031681E"/>
    <w:rsid w:val="00324067"/>
    <w:rsid w:val="00327935"/>
    <w:rsid w:val="00332B57"/>
    <w:rsid w:val="0033617C"/>
    <w:rsid w:val="0033748D"/>
    <w:rsid w:val="00340755"/>
    <w:rsid w:val="00340E4D"/>
    <w:rsid w:val="00340EC2"/>
    <w:rsid w:val="00343812"/>
    <w:rsid w:val="00346350"/>
    <w:rsid w:val="0034637F"/>
    <w:rsid w:val="003514F2"/>
    <w:rsid w:val="003516B4"/>
    <w:rsid w:val="0035262E"/>
    <w:rsid w:val="0035370B"/>
    <w:rsid w:val="00354543"/>
    <w:rsid w:val="00360C5D"/>
    <w:rsid w:val="00360D89"/>
    <w:rsid w:val="00361417"/>
    <w:rsid w:val="003617CC"/>
    <w:rsid w:val="003621A1"/>
    <w:rsid w:val="00363266"/>
    <w:rsid w:val="00363844"/>
    <w:rsid w:val="00371797"/>
    <w:rsid w:val="003723A3"/>
    <w:rsid w:val="0037753A"/>
    <w:rsid w:val="00381E46"/>
    <w:rsid w:val="003829A7"/>
    <w:rsid w:val="00387402"/>
    <w:rsid w:val="003907AC"/>
    <w:rsid w:val="00390F53"/>
    <w:rsid w:val="00397E9E"/>
    <w:rsid w:val="003A4412"/>
    <w:rsid w:val="003B42F6"/>
    <w:rsid w:val="003B54A8"/>
    <w:rsid w:val="003B5F94"/>
    <w:rsid w:val="003B6169"/>
    <w:rsid w:val="003C056D"/>
    <w:rsid w:val="003C0742"/>
    <w:rsid w:val="003C4C02"/>
    <w:rsid w:val="003C4F93"/>
    <w:rsid w:val="003C6AA3"/>
    <w:rsid w:val="003C7BC9"/>
    <w:rsid w:val="003D3D7D"/>
    <w:rsid w:val="003D42A9"/>
    <w:rsid w:val="003D528B"/>
    <w:rsid w:val="003D6622"/>
    <w:rsid w:val="003D6CD7"/>
    <w:rsid w:val="003D6FA5"/>
    <w:rsid w:val="003E1C16"/>
    <w:rsid w:val="003E221B"/>
    <w:rsid w:val="003E31E6"/>
    <w:rsid w:val="003E542E"/>
    <w:rsid w:val="003E79E3"/>
    <w:rsid w:val="003F09AD"/>
    <w:rsid w:val="003F1748"/>
    <w:rsid w:val="003F239F"/>
    <w:rsid w:val="003F3589"/>
    <w:rsid w:val="003F59DF"/>
    <w:rsid w:val="003F5D7D"/>
    <w:rsid w:val="004018AB"/>
    <w:rsid w:val="00401E9C"/>
    <w:rsid w:val="00402C2C"/>
    <w:rsid w:val="00406C31"/>
    <w:rsid w:val="00413B9A"/>
    <w:rsid w:val="00413BE2"/>
    <w:rsid w:val="00414E5A"/>
    <w:rsid w:val="004178CD"/>
    <w:rsid w:val="004179C0"/>
    <w:rsid w:val="00421D4B"/>
    <w:rsid w:val="0042559C"/>
    <w:rsid w:val="00425F32"/>
    <w:rsid w:val="00426709"/>
    <w:rsid w:val="004321B6"/>
    <w:rsid w:val="0043257F"/>
    <w:rsid w:val="00433D4B"/>
    <w:rsid w:val="00433FB0"/>
    <w:rsid w:val="004379C4"/>
    <w:rsid w:val="0044451E"/>
    <w:rsid w:val="0044456C"/>
    <w:rsid w:val="00445EB9"/>
    <w:rsid w:val="004463AB"/>
    <w:rsid w:val="004468E6"/>
    <w:rsid w:val="00447541"/>
    <w:rsid w:val="00447FDE"/>
    <w:rsid w:val="00451CBD"/>
    <w:rsid w:val="004530FB"/>
    <w:rsid w:val="00453A54"/>
    <w:rsid w:val="00454A25"/>
    <w:rsid w:val="0045638F"/>
    <w:rsid w:val="00456BFE"/>
    <w:rsid w:val="004615D0"/>
    <w:rsid w:val="00463781"/>
    <w:rsid w:val="004651C0"/>
    <w:rsid w:val="00465B8D"/>
    <w:rsid w:val="00466545"/>
    <w:rsid w:val="004667F5"/>
    <w:rsid w:val="0046773C"/>
    <w:rsid w:val="00470C3E"/>
    <w:rsid w:val="00471132"/>
    <w:rsid w:val="0047122E"/>
    <w:rsid w:val="00472289"/>
    <w:rsid w:val="00476993"/>
    <w:rsid w:val="00476C17"/>
    <w:rsid w:val="0048054E"/>
    <w:rsid w:val="00485561"/>
    <w:rsid w:val="00486E4A"/>
    <w:rsid w:val="004963F0"/>
    <w:rsid w:val="0049745D"/>
    <w:rsid w:val="00497611"/>
    <w:rsid w:val="004A0A84"/>
    <w:rsid w:val="004A20AC"/>
    <w:rsid w:val="004A4445"/>
    <w:rsid w:val="004A58DC"/>
    <w:rsid w:val="004A5A28"/>
    <w:rsid w:val="004A6C60"/>
    <w:rsid w:val="004A7A45"/>
    <w:rsid w:val="004B090C"/>
    <w:rsid w:val="004B17DC"/>
    <w:rsid w:val="004B184A"/>
    <w:rsid w:val="004B4965"/>
    <w:rsid w:val="004B6B5C"/>
    <w:rsid w:val="004C2848"/>
    <w:rsid w:val="004C28D3"/>
    <w:rsid w:val="004C30E6"/>
    <w:rsid w:val="004C43C1"/>
    <w:rsid w:val="004C51D5"/>
    <w:rsid w:val="004C51EF"/>
    <w:rsid w:val="004C54DE"/>
    <w:rsid w:val="004C5A4F"/>
    <w:rsid w:val="004C699A"/>
    <w:rsid w:val="004C775B"/>
    <w:rsid w:val="004D0452"/>
    <w:rsid w:val="004D190F"/>
    <w:rsid w:val="004D1CC4"/>
    <w:rsid w:val="004D493F"/>
    <w:rsid w:val="004D4F76"/>
    <w:rsid w:val="004E20EF"/>
    <w:rsid w:val="004E410C"/>
    <w:rsid w:val="004F17DB"/>
    <w:rsid w:val="004F2A24"/>
    <w:rsid w:val="004F36FE"/>
    <w:rsid w:val="004F52C0"/>
    <w:rsid w:val="004F55CF"/>
    <w:rsid w:val="004F5E20"/>
    <w:rsid w:val="004F7F4D"/>
    <w:rsid w:val="00502F76"/>
    <w:rsid w:val="00503172"/>
    <w:rsid w:val="00503CEF"/>
    <w:rsid w:val="00503E1D"/>
    <w:rsid w:val="00504D89"/>
    <w:rsid w:val="00512B4A"/>
    <w:rsid w:val="00513629"/>
    <w:rsid w:val="00517365"/>
    <w:rsid w:val="00520AF6"/>
    <w:rsid w:val="00522358"/>
    <w:rsid w:val="00522FB4"/>
    <w:rsid w:val="00524F8D"/>
    <w:rsid w:val="00525465"/>
    <w:rsid w:val="00531897"/>
    <w:rsid w:val="00534748"/>
    <w:rsid w:val="00540476"/>
    <w:rsid w:val="00541A27"/>
    <w:rsid w:val="00541D60"/>
    <w:rsid w:val="00544F06"/>
    <w:rsid w:val="00546A03"/>
    <w:rsid w:val="00547CC2"/>
    <w:rsid w:val="00547FF3"/>
    <w:rsid w:val="00550271"/>
    <w:rsid w:val="0055035F"/>
    <w:rsid w:val="005602E9"/>
    <w:rsid w:val="00561916"/>
    <w:rsid w:val="00562F37"/>
    <w:rsid w:val="00564BB1"/>
    <w:rsid w:val="0056681F"/>
    <w:rsid w:val="005727D0"/>
    <w:rsid w:val="00572E9F"/>
    <w:rsid w:val="0057376C"/>
    <w:rsid w:val="005758D5"/>
    <w:rsid w:val="00575F36"/>
    <w:rsid w:val="00580C7B"/>
    <w:rsid w:val="00581709"/>
    <w:rsid w:val="00582F9A"/>
    <w:rsid w:val="00583513"/>
    <w:rsid w:val="00586CCA"/>
    <w:rsid w:val="00587417"/>
    <w:rsid w:val="00587DAC"/>
    <w:rsid w:val="00593E63"/>
    <w:rsid w:val="00594AE0"/>
    <w:rsid w:val="005963BC"/>
    <w:rsid w:val="005A7CDE"/>
    <w:rsid w:val="005B00D1"/>
    <w:rsid w:val="005B0205"/>
    <w:rsid w:val="005B06A0"/>
    <w:rsid w:val="005B1F6C"/>
    <w:rsid w:val="005B2244"/>
    <w:rsid w:val="005B2A1E"/>
    <w:rsid w:val="005B31F1"/>
    <w:rsid w:val="005B41BA"/>
    <w:rsid w:val="005B41D7"/>
    <w:rsid w:val="005B72D1"/>
    <w:rsid w:val="005C105D"/>
    <w:rsid w:val="005C3025"/>
    <w:rsid w:val="005C5636"/>
    <w:rsid w:val="005C5976"/>
    <w:rsid w:val="005D2799"/>
    <w:rsid w:val="005D5538"/>
    <w:rsid w:val="005E0FBA"/>
    <w:rsid w:val="005E4881"/>
    <w:rsid w:val="005E48A7"/>
    <w:rsid w:val="005E4AC6"/>
    <w:rsid w:val="005E55E7"/>
    <w:rsid w:val="005F2340"/>
    <w:rsid w:val="005F255C"/>
    <w:rsid w:val="005F3834"/>
    <w:rsid w:val="005F39D7"/>
    <w:rsid w:val="005F44F2"/>
    <w:rsid w:val="005F49D8"/>
    <w:rsid w:val="005F4B5C"/>
    <w:rsid w:val="005F6235"/>
    <w:rsid w:val="0060358C"/>
    <w:rsid w:val="0060535D"/>
    <w:rsid w:val="00605D6C"/>
    <w:rsid w:val="006063AB"/>
    <w:rsid w:val="006073AE"/>
    <w:rsid w:val="00612DBB"/>
    <w:rsid w:val="006148D5"/>
    <w:rsid w:val="006158E1"/>
    <w:rsid w:val="00615E28"/>
    <w:rsid w:val="0061677B"/>
    <w:rsid w:val="00616ECD"/>
    <w:rsid w:val="00622453"/>
    <w:rsid w:val="00622D49"/>
    <w:rsid w:val="0062431A"/>
    <w:rsid w:val="00627089"/>
    <w:rsid w:val="0063110B"/>
    <w:rsid w:val="00631610"/>
    <w:rsid w:val="00632FC1"/>
    <w:rsid w:val="006359A3"/>
    <w:rsid w:val="00641A28"/>
    <w:rsid w:val="00653CFF"/>
    <w:rsid w:val="00656873"/>
    <w:rsid w:val="006608B4"/>
    <w:rsid w:val="006664C4"/>
    <w:rsid w:val="00670E0B"/>
    <w:rsid w:val="00671F1E"/>
    <w:rsid w:val="00672524"/>
    <w:rsid w:val="006731E3"/>
    <w:rsid w:val="00673F8F"/>
    <w:rsid w:val="00676219"/>
    <w:rsid w:val="006800EF"/>
    <w:rsid w:val="00680FB7"/>
    <w:rsid w:val="00683078"/>
    <w:rsid w:val="00683DED"/>
    <w:rsid w:val="00685610"/>
    <w:rsid w:val="006862D0"/>
    <w:rsid w:val="006905CE"/>
    <w:rsid w:val="00693DD6"/>
    <w:rsid w:val="00695C7A"/>
    <w:rsid w:val="006A02E2"/>
    <w:rsid w:val="006A032F"/>
    <w:rsid w:val="006A0621"/>
    <w:rsid w:val="006A2A13"/>
    <w:rsid w:val="006A4CC3"/>
    <w:rsid w:val="006A5739"/>
    <w:rsid w:val="006A6DE1"/>
    <w:rsid w:val="006B24DF"/>
    <w:rsid w:val="006B27A3"/>
    <w:rsid w:val="006B2C8D"/>
    <w:rsid w:val="006B3C20"/>
    <w:rsid w:val="006B5CAF"/>
    <w:rsid w:val="006C0472"/>
    <w:rsid w:val="006C1555"/>
    <w:rsid w:val="006C199A"/>
    <w:rsid w:val="006C3553"/>
    <w:rsid w:val="006C40EE"/>
    <w:rsid w:val="006C5086"/>
    <w:rsid w:val="006C652D"/>
    <w:rsid w:val="006D1F2D"/>
    <w:rsid w:val="006D49AD"/>
    <w:rsid w:val="006E0FE0"/>
    <w:rsid w:val="006E1A71"/>
    <w:rsid w:val="006E7B74"/>
    <w:rsid w:val="006F0971"/>
    <w:rsid w:val="006F4015"/>
    <w:rsid w:val="006F49EC"/>
    <w:rsid w:val="00700A33"/>
    <w:rsid w:val="00700E5D"/>
    <w:rsid w:val="0070614C"/>
    <w:rsid w:val="00711133"/>
    <w:rsid w:val="007114A0"/>
    <w:rsid w:val="00712245"/>
    <w:rsid w:val="00713ADF"/>
    <w:rsid w:val="0071442C"/>
    <w:rsid w:val="00715245"/>
    <w:rsid w:val="00715AFC"/>
    <w:rsid w:val="007166A3"/>
    <w:rsid w:val="0071723E"/>
    <w:rsid w:val="00720A2B"/>
    <w:rsid w:val="00720C91"/>
    <w:rsid w:val="007230AF"/>
    <w:rsid w:val="00724F63"/>
    <w:rsid w:val="007260D9"/>
    <w:rsid w:val="0072611F"/>
    <w:rsid w:val="00726683"/>
    <w:rsid w:val="00735869"/>
    <w:rsid w:val="0073635F"/>
    <w:rsid w:val="0073700A"/>
    <w:rsid w:val="00742393"/>
    <w:rsid w:val="00746633"/>
    <w:rsid w:val="007467E4"/>
    <w:rsid w:val="007473E8"/>
    <w:rsid w:val="00750BBA"/>
    <w:rsid w:val="0075364C"/>
    <w:rsid w:val="00755B83"/>
    <w:rsid w:val="00757B7D"/>
    <w:rsid w:val="00760C8C"/>
    <w:rsid w:val="00761D4A"/>
    <w:rsid w:val="00761DB4"/>
    <w:rsid w:val="00763247"/>
    <w:rsid w:val="00764350"/>
    <w:rsid w:val="007650C7"/>
    <w:rsid w:val="00765409"/>
    <w:rsid w:val="007714AA"/>
    <w:rsid w:val="00772A4E"/>
    <w:rsid w:val="00775832"/>
    <w:rsid w:val="0077650E"/>
    <w:rsid w:val="007776BB"/>
    <w:rsid w:val="00777C11"/>
    <w:rsid w:val="0078078C"/>
    <w:rsid w:val="00784E07"/>
    <w:rsid w:val="00786451"/>
    <w:rsid w:val="0079015F"/>
    <w:rsid w:val="0079165E"/>
    <w:rsid w:val="00792124"/>
    <w:rsid w:val="007934FD"/>
    <w:rsid w:val="007956E4"/>
    <w:rsid w:val="007959A2"/>
    <w:rsid w:val="0079736A"/>
    <w:rsid w:val="007A3079"/>
    <w:rsid w:val="007A34D8"/>
    <w:rsid w:val="007A418A"/>
    <w:rsid w:val="007A4E8A"/>
    <w:rsid w:val="007A54EE"/>
    <w:rsid w:val="007A7E41"/>
    <w:rsid w:val="007B18F7"/>
    <w:rsid w:val="007B2FCB"/>
    <w:rsid w:val="007C0CD3"/>
    <w:rsid w:val="007C154C"/>
    <w:rsid w:val="007C296B"/>
    <w:rsid w:val="007C4876"/>
    <w:rsid w:val="007D2944"/>
    <w:rsid w:val="007D4BED"/>
    <w:rsid w:val="007D5CD7"/>
    <w:rsid w:val="007D64AD"/>
    <w:rsid w:val="007D6FCA"/>
    <w:rsid w:val="007E1B9E"/>
    <w:rsid w:val="007E52C9"/>
    <w:rsid w:val="007E5C4A"/>
    <w:rsid w:val="007E5F7D"/>
    <w:rsid w:val="007E7109"/>
    <w:rsid w:val="007E78EB"/>
    <w:rsid w:val="007F1D62"/>
    <w:rsid w:val="007F33F9"/>
    <w:rsid w:val="00800FE4"/>
    <w:rsid w:val="008019B0"/>
    <w:rsid w:val="00803188"/>
    <w:rsid w:val="0080320C"/>
    <w:rsid w:val="00804544"/>
    <w:rsid w:val="008059E7"/>
    <w:rsid w:val="008064B6"/>
    <w:rsid w:val="00806F05"/>
    <w:rsid w:val="00811F5D"/>
    <w:rsid w:val="00812275"/>
    <w:rsid w:val="00812DC5"/>
    <w:rsid w:val="00813B71"/>
    <w:rsid w:val="008142A1"/>
    <w:rsid w:val="00815BC2"/>
    <w:rsid w:val="0081727E"/>
    <w:rsid w:val="008265CB"/>
    <w:rsid w:val="008324CF"/>
    <w:rsid w:val="00835F7F"/>
    <w:rsid w:val="00837760"/>
    <w:rsid w:val="008403A2"/>
    <w:rsid w:val="0084186D"/>
    <w:rsid w:val="008465D7"/>
    <w:rsid w:val="0085077C"/>
    <w:rsid w:val="00850A42"/>
    <w:rsid w:val="00851FCE"/>
    <w:rsid w:val="00854232"/>
    <w:rsid w:val="008552E6"/>
    <w:rsid w:val="00855681"/>
    <w:rsid w:val="00856114"/>
    <w:rsid w:val="00857C5D"/>
    <w:rsid w:val="0087094F"/>
    <w:rsid w:val="008717B7"/>
    <w:rsid w:val="008727DD"/>
    <w:rsid w:val="00875AC0"/>
    <w:rsid w:val="00886E06"/>
    <w:rsid w:val="008919FA"/>
    <w:rsid w:val="00894A7F"/>
    <w:rsid w:val="008A27AF"/>
    <w:rsid w:val="008A5561"/>
    <w:rsid w:val="008A6530"/>
    <w:rsid w:val="008A6E64"/>
    <w:rsid w:val="008B05D8"/>
    <w:rsid w:val="008B1DEC"/>
    <w:rsid w:val="008B4318"/>
    <w:rsid w:val="008B56B4"/>
    <w:rsid w:val="008B5A3B"/>
    <w:rsid w:val="008B78C3"/>
    <w:rsid w:val="008C062E"/>
    <w:rsid w:val="008C0ED6"/>
    <w:rsid w:val="008C1601"/>
    <w:rsid w:val="008C2A49"/>
    <w:rsid w:val="008C2CD7"/>
    <w:rsid w:val="008C5D15"/>
    <w:rsid w:val="008C7346"/>
    <w:rsid w:val="008D0166"/>
    <w:rsid w:val="008D35D8"/>
    <w:rsid w:val="008D42C0"/>
    <w:rsid w:val="008D47C4"/>
    <w:rsid w:val="008D5546"/>
    <w:rsid w:val="008E5CFE"/>
    <w:rsid w:val="008E718E"/>
    <w:rsid w:val="008E786D"/>
    <w:rsid w:val="008E7B70"/>
    <w:rsid w:val="008F2928"/>
    <w:rsid w:val="008F2B86"/>
    <w:rsid w:val="008F3565"/>
    <w:rsid w:val="008F3A29"/>
    <w:rsid w:val="008F404F"/>
    <w:rsid w:val="00902549"/>
    <w:rsid w:val="0090271B"/>
    <w:rsid w:val="00904A84"/>
    <w:rsid w:val="00904EA0"/>
    <w:rsid w:val="00906071"/>
    <w:rsid w:val="00906777"/>
    <w:rsid w:val="00907C17"/>
    <w:rsid w:val="0091052D"/>
    <w:rsid w:val="00910762"/>
    <w:rsid w:val="00910E9A"/>
    <w:rsid w:val="00914D27"/>
    <w:rsid w:val="009150BC"/>
    <w:rsid w:val="009170D0"/>
    <w:rsid w:val="0091791F"/>
    <w:rsid w:val="00920120"/>
    <w:rsid w:val="00920FBD"/>
    <w:rsid w:val="00925482"/>
    <w:rsid w:val="0092725F"/>
    <w:rsid w:val="009300B8"/>
    <w:rsid w:val="00933BBA"/>
    <w:rsid w:val="009375E5"/>
    <w:rsid w:val="00937626"/>
    <w:rsid w:val="00940181"/>
    <w:rsid w:val="00942319"/>
    <w:rsid w:val="00944846"/>
    <w:rsid w:val="00953793"/>
    <w:rsid w:val="00955F9D"/>
    <w:rsid w:val="00956926"/>
    <w:rsid w:val="00957712"/>
    <w:rsid w:val="009608B8"/>
    <w:rsid w:val="0096144C"/>
    <w:rsid w:val="00963353"/>
    <w:rsid w:val="009638B9"/>
    <w:rsid w:val="00964623"/>
    <w:rsid w:val="0096576D"/>
    <w:rsid w:val="009664A5"/>
    <w:rsid w:val="00967227"/>
    <w:rsid w:val="00973973"/>
    <w:rsid w:val="009748C3"/>
    <w:rsid w:val="00976388"/>
    <w:rsid w:val="0097669E"/>
    <w:rsid w:val="009775D4"/>
    <w:rsid w:val="0098077C"/>
    <w:rsid w:val="00981655"/>
    <w:rsid w:val="009849D2"/>
    <w:rsid w:val="00986B20"/>
    <w:rsid w:val="00987EDF"/>
    <w:rsid w:val="00994361"/>
    <w:rsid w:val="00994AA4"/>
    <w:rsid w:val="009A063D"/>
    <w:rsid w:val="009A14F3"/>
    <w:rsid w:val="009A1F6D"/>
    <w:rsid w:val="009A2A29"/>
    <w:rsid w:val="009A3FCD"/>
    <w:rsid w:val="009A54FF"/>
    <w:rsid w:val="009A76E2"/>
    <w:rsid w:val="009B3094"/>
    <w:rsid w:val="009B3E71"/>
    <w:rsid w:val="009B5C7D"/>
    <w:rsid w:val="009C3465"/>
    <w:rsid w:val="009C3752"/>
    <w:rsid w:val="009C468C"/>
    <w:rsid w:val="009C65FC"/>
    <w:rsid w:val="009D0026"/>
    <w:rsid w:val="009D0FFC"/>
    <w:rsid w:val="009D1CCD"/>
    <w:rsid w:val="009D4B34"/>
    <w:rsid w:val="009D5357"/>
    <w:rsid w:val="009D5C37"/>
    <w:rsid w:val="009D6C5E"/>
    <w:rsid w:val="009D6EA5"/>
    <w:rsid w:val="009D7ABF"/>
    <w:rsid w:val="009E068C"/>
    <w:rsid w:val="009E37BD"/>
    <w:rsid w:val="009E3FF8"/>
    <w:rsid w:val="009E543C"/>
    <w:rsid w:val="009E5F56"/>
    <w:rsid w:val="009E686B"/>
    <w:rsid w:val="009F0105"/>
    <w:rsid w:val="009F19A5"/>
    <w:rsid w:val="009F1F00"/>
    <w:rsid w:val="009F7275"/>
    <w:rsid w:val="00A0049F"/>
    <w:rsid w:val="00A02580"/>
    <w:rsid w:val="00A02A10"/>
    <w:rsid w:val="00A046A5"/>
    <w:rsid w:val="00A06C96"/>
    <w:rsid w:val="00A102FD"/>
    <w:rsid w:val="00A12A14"/>
    <w:rsid w:val="00A16959"/>
    <w:rsid w:val="00A16CFB"/>
    <w:rsid w:val="00A21FDC"/>
    <w:rsid w:val="00A243CC"/>
    <w:rsid w:val="00A24B06"/>
    <w:rsid w:val="00A25B12"/>
    <w:rsid w:val="00A30B23"/>
    <w:rsid w:val="00A33606"/>
    <w:rsid w:val="00A344F3"/>
    <w:rsid w:val="00A3459C"/>
    <w:rsid w:val="00A34702"/>
    <w:rsid w:val="00A35465"/>
    <w:rsid w:val="00A35E0F"/>
    <w:rsid w:val="00A376E3"/>
    <w:rsid w:val="00A425BF"/>
    <w:rsid w:val="00A46F23"/>
    <w:rsid w:val="00A4703D"/>
    <w:rsid w:val="00A50245"/>
    <w:rsid w:val="00A511EB"/>
    <w:rsid w:val="00A512B9"/>
    <w:rsid w:val="00A52DE8"/>
    <w:rsid w:val="00A52EF2"/>
    <w:rsid w:val="00A536AB"/>
    <w:rsid w:val="00A55A0E"/>
    <w:rsid w:val="00A6059F"/>
    <w:rsid w:val="00A60FA8"/>
    <w:rsid w:val="00A61A34"/>
    <w:rsid w:val="00A62203"/>
    <w:rsid w:val="00A64388"/>
    <w:rsid w:val="00A65267"/>
    <w:rsid w:val="00A6659D"/>
    <w:rsid w:val="00A72DC3"/>
    <w:rsid w:val="00A74C3A"/>
    <w:rsid w:val="00A7584A"/>
    <w:rsid w:val="00A84FC1"/>
    <w:rsid w:val="00A87AA0"/>
    <w:rsid w:val="00A904FD"/>
    <w:rsid w:val="00A91E1A"/>
    <w:rsid w:val="00A92EDE"/>
    <w:rsid w:val="00A92F7E"/>
    <w:rsid w:val="00A933D8"/>
    <w:rsid w:val="00A96ACC"/>
    <w:rsid w:val="00AA021A"/>
    <w:rsid w:val="00AA4BDE"/>
    <w:rsid w:val="00AA55A4"/>
    <w:rsid w:val="00AB09FC"/>
    <w:rsid w:val="00AB3DC5"/>
    <w:rsid w:val="00AB73A5"/>
    <w:rsid w:val="00AB77C8"/>
    <w:rsid w:val="00AC01D3"/>
    <w:rsid w:val="00AC25DF"/>
    <w:rsid w:val="00AC3A60"/>
    <w:rsid w:val="00AC4307"/>
    <w:rsid w:val="00AC4464"/>
    <w:rsid w:val="00AC485B"/>
    <w:rsid w:val="00AD0DD9"/>
    <w:rsid w:val="00AD0FE5"/>
    <w:rsid w:val="00AD1566"/>
    <w:rsid w:val="00AD410E"/>
    <w:rsid w:val="00AD5F43"/>
    <w:rsid w:val="00AD671E"/>
    <w:rsid w:val="00AE1DE6"/>
    <w:rsid w:val="00AE2378"/>
    <w:rsid w:val="00AE2BAA"/>
    <w:rsid w:val="00AE4DEE"/>
    <w:rsid w:val="00AE6E11"/>
    <w:rsid w:val="00AE7215"/>
    <w:rsid w:val="00AF0454"/>
    <w:rsid w:val="00AF08A3"/>
    <w:rsid w:val="00AF2282"/>
    <w:rsid w:val="00AF2B59"/>
    <w:rsid w:val="00AF2B73"/>
    <w:rsid w:val="00AF41D5"/>
    <w:rsid w:val="00AF5799"/>
    <w:rsid w:val="00AF6F37"/>
    <w:rsid w:val="00B03DCB"/>
    <w:rsid w:val="00B04772"/>
    <w:rsid w:val="00B06623"/>
    <w:rsid w:val="00B07A21"/>
    <w:rsid w:val="00B12366"/>
    <w:rsid w:val="00B13154"/>
    <w:rsid w:val="00B14A91"/>
    <w:rsid w:val="00B17EAA"/>
    <w:rsid w:val="00B20826"/>
    <w:rsid w:val="00B221DE"/>
    <w:rsid w:val="00B2251B"/>
    <w:rsid w:val="00B22B3C"/>
    <w:rsid w:val="00B22E05"/>
    <w:rsid w:val="00B24204"/>
    <w:rsid w:val="00B26162"/>
    <w:rsid w:val="00B2715A"/>
    <w:rsid w:val="00B31875"/>
    <w:rsid w:val="00B33309"/>
    <w:rsid w:val="00B334DE"/>
    <w:rsid w:val="00B33D6E"/>
    <w:rsid w:val="00B343D4"/>
    <w:rsid w:val="00B371B0"/>
    <w:rsid w:val="00B404B6"/>
    <w:rsid w:val="00B40A29"/>
    <w:rsid w:val="00B42514"/>
    <w:rsid w:val="00B429B1"/>
    <w:rsid w:val="00B42A5D"/>
    <w:rsid w:val="00B46DB2"/>
    <w:rsid w:val="00B50E72"/>
    <w:rsid w:val="00B53BDA"/>
    <w:rsid w:val="00B5489C"/>
    <w:rsid w:val="00B56006"/>
    <w:rsid w:val="00B56E50"/>
    <w:rsid w:val="00B578EA"/>
    <w:rsid w:val="00B60279"/>
    <w:rsid w:val="00B60902"/>
    <w:rsid w:val="00B70882"/>
    <w:rsid w:val="00B71CAD"/>
    <w:rsid w:val="00B77EA2"/>
    <w:rsid w:val="00B813E1"/>
    <w:rsid w:val="00B820FC"/>
    <w:rsid w:val="00B82369"/>
    <w:rsid w:val="00B82C3A"/>
    <w:rsid w:val="00B83C5E"/>
    <w:rsid w:val="00B85C59"/>
    <w:rsid w:val="00B87E16"/>
    <w:rsid w:val="00B90C47"/>
    <w:rsid w:val="00B91C14"/>
    <w:rsid w:val="00B92734"/>
    <w:rsid w:val="00B94EAC"/>
    <w:rsid w:val="00BA02DD"/>
    <w:rsid w:val="00BA0721"/>
    <w:rsid w:val="00BA1BFD"/>
    <w:rsid w:val="00BA2EAE"/>
    <w:rsid w:val="00BA6106"/>
    <w:rsid w:val="00BB2A42"/>
    <w:rsid w:val="00BB397B"/>
    <w:rsid w:val="00BC0BCB"/>
    <w:rsid w:val="00BC2C93"/>
    <w:rsid w:val="00BC3006"/>
    <w:rsid w:val="00BC5FD2"/>
    <w:rsid w:val="00BC743B"/>
    <w:rsid w:val="00BD01C4"/>
    <w:rsid w:val="00BE2860"/>
    <w:rsid w:val="00BE32C5"/>
    <w:rsid w:val="00BE6AE9"/>
    <w:rsid w:val="00BE7F01"/>
    <w:rsid w:val="00C00AEE"/>
    <w:rsid w:val="00C0229E"/>
    <w:rsid w:val="00C02381"/>
    <w:rsid w:val="00C02710"/>
    <w:rsid w:val="00C14428"/>
    <w:rsid w:val="00C16A5F"/>
    <w:rsid w:val="00C16C55"/>
    <w:rsid w:val="00C210F7"/>
    <w:rsid w:val="00C21942"/>
    <w:rsid w:val="00C224DE"/>
    <w:rsid w:val="00C24AFC"/>
    <w:rsid w:val="00C252E0"/>
    <w:rsid w:val="00C265C5"/>
    <w:rsid w:val="00C33392"/>
    <w:rsid w:val="00C35D25"/>
    <w:rsid w:val="00C37268"/>
    <w:rsid w:val="00C37E94"/>
    <w:rsid w:val="00C41439"/>
    <w:rsid w:val="00C417C7"/>
    <w:rsid w:val="00C43ECE"/>
    <w:rsid w:val="00C441DA"/>
    <w:rsid w:val="00C457D9"/>
    <w:rsid w:val="00C45813"/>
    <w:rsid w:val="00C477E5"/>
    <w:rsid w:val="00C5147F"/>
    <w:rsid w:val="00C6060C"/>
    <w:rsid w:val="00C615AD"/>
    <w:rsid w:val="00C63F25"/>
    <w:rsid w:val="00C642E8"/>
    <w:rsid w:val="00C65B99"/>
    <w:rsid w:val="00C65DFE"/>
    <w:rsid w:val="00C66A5C"/>
    <w:rsid w:val="00C70639"/>
    <w:rsid w:val="00C70934"/>
    <w:rsid w:val="00C70F18"/>
    <w:rsid w:val="00C71C15"/>
    <w:rsid w:val="00C724EE"/>
    <w:rsid w:val="00C72C3E"/>
    <w:rsid w:val="00C74373"/>
    <w:rsid w:val="00C76C56"/>
    <w:rsid w:val="00C80559"/>
    <w:rsid w:val="00C80A0E"/>
    <w:rsid w:val="00C86754"/>
    <w:rsid w:val="00C87759"/>
    <w:rsid w:val="00C87F02"/>
    <w:rsid w:val="00C901DB"/>
    <w:rsid w:val="00C90D1B"/>
    <w:rsid w:val="00C93557"/>
    <w:rsid w:val="00C93740"/>
    <w:rsid w:val="00C96028"/>
    <w:rsid w:val="00C97255"/>
    <w:rsid w:val="00C97822"/>
    <w:rsid w:val="00CA2D9F"/>
    <w:rsid w:val="00CA393D"/>
    <w:rsid w:val="00CA5E58"/>
    <w:rsid w:val="00CB0C60"/>
    <w:rsid w:val="00CB1804"/>
    <w:rsid w:val="00CB26A4"/>
    <w:rsid w:val="00CB3EE4"/>
    <w:rsid w:val="00CB4505"/>
    <w:rsid w:val="00CB64ED"/>
    <w:rsid w:val="00CB6B54"/>
    <w:rsid w:val="00CC0FE1"/>
    <w:rsid w:val="00CC309E"/>
    <w:rsid w:val="00CC4362"/>
    <w:rsid w:val="00CC4B37"/>
    <w:rsid w:val="00CC5E76"/>
    <w:rsid w:val="00CD235D"/>
    <w:rsid w:val="00CD479E"/>
    <w:rsid w:val="00CD4B2C"/>
    <w:rsid w:val="00CE15F9"/>
    <w:rsid w:val="00CE2B7C"/>
    <w:rsid w:val="00CE78E3"/>
    <w:rsid w:val="00CF0AAF"/>
    <w:rsid w:val="00CF1FC9"/>
    <w:rsid w:val="00CF7EE4"/>
    <w:rsid w:val="00D004A5"/>
    <w:rsid w:val="00D0325E"/>
    <w:rsid w:val="00D05261"/>
    <w:rsid w:val="00D109BA"/>
    <w:rsid w:val="00D123DF"/>
    <w:rsid w:val="00D12946"/>
    <w:rsid w:val="00D12F4B"/>
    <w:rsid w:val="00D14B83"/>
    <w:rsid w:val="00D15F2D"/>
    <w:rsid w:val="00D174F7"/>
    <w:rsid w:val="00D231C0"/>
    <w:rsid w:val="00D25B0F"/>
    <w:rsid w:val="00D26C3B"/>
    <w:rsid w:val="00D3284B"/>
    <w:rsid w:val="00D33954"/>
    <w:rsid w:val="00D33A2E"/>
    <w:rsid w:val="00D33A86"/>
    <w:rsid w:val="00D3556B"/>
    <w:rsid w:val="00D36B90"/>
    <w:rsid w:val="00D4055F"/>
    <w:rsid w:val="00D436AA"/>
    <w:rsid w:val="00D44895"/>
    <w:rsid w:val="00D477D3"/>
    <w:rsid w:val="00D5127A"/>
    <w:rsid w:val="00D52F55"/>
    <w:rsid w:val="00D5515B"/>
    <w:rsid w:val="00D63075"/>
    <w:rsid w:val="00D63DE8"/>
    <w:rsid w:val="00D6625C"/>
    <w:rsid w:val="00D67DEA"/>
    <w:rsid w:val="00D70969"/>
    <w:rsid w:val="00D738A4"/>
    <w:rsid w:val="00D73EDD"/>
    <w:rsid w:val="00D7739D"/>
    <w:rsid w:val="00D77633"/>
    <w:rsid w:val="00D82CB2"/>
    <w:rsid w:val="00D83A36"/>
    <w:rsid w:val="00D85E8F"/>
    <w:rsid w:val="00D860F1"/>
    <w:rsid w:val="00D93A5F"/>
    <w:rsid w:val="00D93C1A"/>
    <w:rsid w:val="00D959C9"/>
    <w:rsid w:val="00DA30FF"/>
    <w:rsid w:val="00DA349F"/>
    <w:rsid w:val="00DB026A"/>
    <w:rsid w:val="00DB0E56"/>
    <w:rsid w:val="00DB1E62"/>
    <w:rsid w:val="00DB3426"/>
    <w:rsid w:val="00DB3940"/>
    <w:rsid w:val="00DB3DE5"/>
    <w:rsid w:val="00DB40D1"/>
    <w:rsid w:val="00DB42FA"/>
    <w:rsid w:val="00DB48B4"/>
    <w:rsid w:val="00DB7D79"/>
    <w:rsid w:val="00DC032E"/>
    <w:rsid w:val="00DC0A26"/>
    <w:rsid w:val="00DC3157"/>
    <w:rsid w:val="00DC54B6"/>
    <w:rsid w:val="00DC7067"/>
    <w:rsid w:val="00DD0EAD"/>
    <w:rsid w:val="00DD16E0"/>
    <w:rsid w:val="00DD2052"/>
    <w:rsid w:val="00DD266B"/>
    <w:rsid w:val="00DD3265"/>
    <w:rsid w:val="00DE0896"/>
    <w:rsid w:val="00DE1C40"/>
    <w:rsid w:val="00DE2204"/>
    <w:rsid w:val="00DE4567"/>
    <w:rsid w:val="00DE7961"/>
    <w:rsid w:val="00DF0204"/>
    <w:rsid w:val="00DF0B4E"/>
    <w:rsid w:val="00DF1CC9"/>
    <w:rsid w:val="00DF252A"/>
    <w:rsid w:val="00DF2B90"/>
    <w:rsid w:val="00DF3A21"/>
    <w:rsid w:val="00DF3ED0"/>
    <w:rsid w:val="00DF54EF"/>
    <w:rsid w:val="00E02296"/>
    <w:rsid w:val="00E03344"/>
    <w:rsid w:val="00E04911"/>
    <w:rsid w:val="00E1217E"/>
    <w:rsid w:val="00E124F8"/>
    <w:rsid w:val="00E12FAD"/>
    <w:rsid w:val="00E136A8"/>
    <w:rsid w:val="00E14100"/>
    <w:rsid w:val="00E141B4"/>
    <w:rsid w:val="00E14755"/>
    <w:rsid w:val="00E14BF3"/>
    <w:rsid w:val="00E174C7"/>
    <w:rsid w:val="00E20030"/>
    <w:rsid w:val="00E22EEA"/>
    <w:rsid w:val="00E307CF"/>
    <w:rsid w:val="00E30C1A"/>
    <w:rsid w:val="00E31EEB"/>
    <w:rsid w:val="00E32D78"/>
    <w:rsid w:val="00E33E89"/>
    <w:rsid w:val="00E34AAC"/>
    <w:rsid w:val="00E35D04"/>
    <w:rsid w:val="00E37BD0"/>
    <w:rsid w:val="00E407F0"/>
    <w:rsid w:val="00E414C7"/>
    <w:rsid w:val="00E418F4"/>
    <w:rsid w:val="00E43AF0"/>
    <w:rsid w:val="00E43C45"/>
    <w:rsid w:val="00E454FE"/>
    <w:rsid w:val="00E4662E"/>
    <w:rsid w:val="00E504E3"/>
    <w:rsid w:val="00E50995"/>
    <w:rsid w:val="00E5526F"/>
    <w:rsid w:val="00E6135A"/>
    <w:rsid w:val="00E62A27"/>
    <w:rsid w:val="00E63E69"/>
    <w:rsid w:val="00E64707"/>
    <w:rsid w:val="00E660C2"/>
    <w:rsid w:val="00E6751A"/>
    <w:rsid w:val="00E70041"/>
    <w:rsid w:val="00E707E0"/>
    <w:rsid w:val="00E70E8E"/>
    <w:rsid w:val="00E711D5"/>
    <w:rsid w:val="00E746C1"/>
    <w:rsid w:val="00E74B42"/>
    <w:rsid w:val="00E76B03"/>
    <w:rsid w:val="00E849E0"/>
    <w:rsid w:val="00E8549D"/>
    <w:rsid w:val="00E8581D"/>
    <w:rsid w:val="00E875A2"/>
    <w:rsid w:val="00E90160"/>
    <w:rsid w:val="00E91486"/>
    <w:rsid w:val="00E95DE3"/>
    <w:rsid w:val="00E96E63"/>
    <w:rsid w:val="00EA087C"/>
    <w:rsid w:val="00EA35F3"/>
    <w:rsid w:val="00EA3B48"/>
    <w:rsid w:val="00EA4765"/>
    <w:rsid w:val="00EA54B4"/>
    <w:rsid w:val="00EA73E4"/>
    <w:rsid w:val="00EA7DDB"/>
    <w:rsid w:val="00EB05BD"/>
    <w:rsid w:val="00EB0A79"/>
    <w:rsid w:val="00EB6F1C"/>
    <w:rsid w:val="00EC0FCE"/>
    <w:rsid w:val="00EC1CA3"/>
    <w:rsid w:val="00EC4AC2"/>
    <w:rsid w:val="00ED2027"/>
    <w:rsid w:val="00ED371E"/>
    <w:rsid w:val="00ED45DC"/>
    <w:rsid w:val="00EE008E"/>
    <w:rsid w:val="00EE253E"/>
    <w:rsid w:val="00EE2C2A"/>
    <w:rsid w:val="00EE4FC0"/>
    <w:rsid w:val="00EE559E"/>
    <w:rsid w:val="00EE5D54"/>
    <w:rsid w:val="00EE73A6"/>
    <w:rsid w:val="00EF39BA"/>
    <w:rsid w:val="00EF5482"/>
    <w:rsid w:val="00F03D0F"/>
    <w:rsid w:val="00F06AD5"/>
    <w:rsid w:val="00F0704E"/>
    <w:rsid w:val="00F108BD"/>
    <w:rsid w:val="00F10B6A"/>
    <w:rsid w:val="00F14F63"/>
    <w:rsid w:val="00F16CBE"/>
    <w:rsid w:val="00F23E16"/>
    <w:rsid w:val="00F263A6"/>
    <w:rsid w:val="00F30D1D"/>
    <w:rsid w:val="00F353C8"/>
    <w:rsid w:val="00F3604E"/>
    <w:rsid w:val="00F36985"/>
    <w:rsid w:val="00F37F45"/>
    <w:rsid w:val="00F44FE1"/>
    <w:rsid w:val="00F45166"/>
    <w:rsid w:val="00F453BC"/>
    <w:rsid w:val="00F45C05"/>
    <w:rsid w:val="00F46A75"/>
    <w:rsid w:val="00F47BAF"/>
    <w:rsid w:val="00F50B2A"/>
    <w:rsid w:val="00F518A2"/>
    <w:rsid w:val="00F533A4"/>
    <w:rsid w:val="00F54212"/>
    <w:rsid w:val="00F55D67"/>
    <w:rsid w:val="00F56D47"/>
    <w:rsid w:val="00F578B3"/>
    <w:rsid w:val="00F5799D"/>
    <w:rsid w:val="00F63519"/>
    <w:rsid w:val="00F6409A"/>
    <w:rsid w:val="00F654CF"/>
    <w:rsid w:val="00F662F5"/>
    <w:rsid w:val="00F74EEF"/>
    <w:rsid w:val="00F80B8D"/>
    <w:rsid w:val="00F81D3D"/>
    <w:rsid w:val="00F82360"/>
    <w:rsid w:val="00F837B7"/>
    <w:rsid w:val="00F844EA"/>
    <w:rsid w:val="00F85AE5"/>
    <w:rsid w:val="00F879E0"/>
    <w:rsid w:val="00F90846"/>
    <w:rsid w:val="00F94AD4"/>
    <w:rsid w:val="00F96CD9"/>
    <w:rsid w:val="00F97648"/>
    <w:rsid w:val="00FA4E5D"/>
    <w:rsid w:val="00FB15B5"/>
    <w:rsid w:val="00FB2CDA"/>
    <w:rsid w:val="00FB5231"/>
    <w:rsid w:val="00FB5626"/>
    <w:rsid w:val="00FB6750"/>
    <w:rsid w:val="00FC047E"/>
    <w:rsid w:val="00FC430C"/>
    <w:rsid w:val="00FC58D1"/>
    <w:rsid w:val="00FD1F5F"/>
    <w:rsid w:val="00FD246F"/>
    <w:rsid w:val="00FD4058"/>
    <w:rsid w:val="00FD55C9"/>
    <w:rsid w:val="00FD60D5"/>
    <w:rsid w:val="00FE1B0E"/>
    <w:rsid w:val="00FE26E3"/>
    <w:rsid w:val="00FE2700"/>
    <w:rsid w:val="00FE2A35"/>
    <w:rsid w:val="00FF133F"/>
    <w:rsid w:val="00FF3459"/>
    <w:rsid w:val="00FF5C10"/>
    <w:rsid w:val="00FF6AB4"/>
    <w:rsid w:val="00FF742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650E"/>
    <w:rPr>
      <w:rFonts w:ascii="Times New Roman" w:eastAsia="Times New Roman" w:hAnsi="Times New Roman"/>
      <w:sz w:val="20"/>
      <w:szCs w:val="20"/>
      <w:lang w:val="en-GB"/>
    </w:rPr>
  </w:style>
  <w:style w:type="paragraph" w:styleId="Heading1">
    <w:name w:val="heading 1"/>
    <w:basedOn w:val="Normal"/>
    <w:next w:val="Normal"/>
    <w:link w:val="Heading1Char"/>
    <w:uiPriority w:val="99"/>
    <w:qFormat/>
    <w:rsid w:val="0077650E"/>
    <w:pPr>
      <w:keepNext/>
      <w:jc w:val="center"/>
      <w:outlineLvl w:val="0"/>
    </w:pPr>
    <w:rPr>
      <w:sz w:val="28"/>
      <w:szCs w:val="24"/>
      <w:lang w:val="lv-LV" w:eastAsia="en-US"/>
    </w:rPr>
  </w:style>
  <w:style w:type="paragraph" w:styleId="Heading2">
    <w:name w:val="heading 2"/>
    <w:basedOn w:val="Normal"/>
    <w:next w:val="Normal"/>
    <w:link w:val="Heading2Char"/>
    <w:uiPriority w:val="99"/>
    <w:qFormat/>
    <w:rsid w:val="0077650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650E"/>
    <w:rPr>
      <w:rFonts w:ascii="Times New Roman" w:hAnsi="Times New Roman" w:cs="Times New Roman"/>
      <w:sz w:val="24"/>
      <w:szCs w:val="24"/>
    </w:rPr>
  </w:style>
  <w:style w:type="character" w:customStyle="1" w:styleId="Heading2Char">
    <w:name w:val="Heading 2 Char"/>
    <w:basedOn w:val="DefaultParagraphFont"/>
    <w:link w:val="Heading2"/>
    <w:uiPriority w:val="99"/>
    <w:locked/>
    <w:rsid w:val="0077650E"/>
    <w:rPr>
      <w:rFonts w:ascii="Arial" w:hAnsi="Arial" w:cs="Arial"/>
      <w:b/>
      <w:bCs/>
      <w:i/>
      <w:iCs/>
      <w:sz w:val="28"/>
      <w:szCs w:val="28"/>
      <w:lang w:val="en-GB" w:eastAsia="lv-LV"/>
    </w:rPr>
  </w:style>
  <w:style w:type="paragraph" w:styleId="BodyText">
    <w:name w:val="Body Text"/>
    <w:basedOn w:val="Normal"/>
    <w:link w:val="BodyTextChar"/>
    <w:uiPriority w:val="99"/>
    <w:rsid w:val="0077650E"/>
    <w:pPr>
      <w:jc w:val="center"/>
    </w:pPr>
    <w:rPr>
      <w:b/>
      <w:sz w:val="24"/>
      <w:lang w:val="lv-LV"/>
    </w:rPr>
  </w:style>
  <w:style w:type="character" w:customStyle="1" w:styleId="BodyTextChar">
    <w:name w:val="Body Text Char"/>
    <w:basedOn w:val="DefaultParagraphFont"/>
    <w:link w:val="BodyText"/>
    <w:uiPriority w:val="99"/>
    <w:locked/>
    <w:rsid w:val="0077650E"/>
    <w:rPr>
      <w:rFonts w:ascii="Times New Roman" w:hAnsi="Times New Roman" w:cs="Times New Roman"/>
      <w:b/>
      <w:sz w:val="20"/>
      <w:szCs w:val="20"/>
      <w:lang w:eastAsia="lv-LV"/>
    </w:rPr>
  </w:style>
  <w:style w:type="paragraph" w:styleId="BodyText2">
    <w:name w:val="Body Text 2"/>
    <w:basedOn w:val="Normal"/>
    <w:link w:val="BodyText2Char"/>
    <w:uiPriority w:val="99"/>
    <w:rsid w:val="0077650E"/>
    <w:pPr>
      <w:jc w:val="both"/>
    </w:pPr>
    <w:rPr>
      <w:sz w:val="24"/>
      <w:lang w:val="lv-LV"/>
    </w:rPr>
  </w:style>
  <w:style w:type="character" w:customStyle="1" w:styleId="BodyText2Char">
    <w:name w:val="Body Text 2 Char"/>
    <w:basedOn w:val="DefaultParagraphFont"/>
    <w:link w:val="BodyText2"/>
    <w:uiPriority w:val="99"/>
    <w:locked/>
    <w:rsid w:val="0077650E"/>
    <w:rPr>
      <w:rFonts w:ascii="Times New Roman" w:hAnsi="Times New Roman" w:cs="Times New Roman"/>
      <w:sz w:val="20"/>
      <w:szCs w:val="20"/>
      <w:lang w:eastAsia="lv-LV"/>
    </w:rPr>
  </w:style>
  <w:style w:type="paragraph" w:styleId="Header">
    <w:name w:val="header"/>
    <w:basedOn w:val="Normal"/>
    <w:link w:val="HeaderChar"/>
    <w:uiPriority w:val="99"/>
    <w:rsid w:val="0077650E"/>
    <w:pPr>
      <w:tabs>
        <w:tab w:val="center" w:pos="4153"/>
        <w:tab w:val="right" w:pos="8306"/>
      </w:tabs>
    </w:pPr>
  </w:style>
  <w:style w:type="character" w:customStyle="1" w:styleId="HeaderChar">
    <w:name w:val="Header Char"/>
    <w:basedOn w:val="DefaultParagraphFont"/>
    <w:link w:val="Header"/>
    <w:uiPriority w:val="99"/>
    <w:locked/>
    <w:rsid w:val="0077650E"/>
    <w:rPr>
      <w:rFonts w:ascii="Times New Roman" w:hAnsi="Times New Roman" w:cs="Times New Roman"/>
      <w:sz w:val="20"/>
      <w:szCs w:val="20"/>
      <w:lang w:val="en-GB" w:eastAsia="lv-LV"/>
    </w:rPr>
  </w:style>
  <w:style w:type="paragraph" w:styleId="Footer">
    <w:name w:val="footer"/>
    <w:basedOn w:val="Normal"/>
    <w:link w:val="FooterChar"/>
    <w:uiPriority w:val="99"/>
    <w:rsid w:val="0077650E"/>
    <w:pPr>
      <w:tabs>
        <w:tab w:val="center" w:pos="4153"/>
        <w:tab w:val="right" w:pos="8306"/>
      </w:tabs>
    </w:pPr>
  </w:style>
  <w:style w:type="character" w:customStyle="1" w:styleId="FooterChar">
    <w:name w:val="Footer Char"/>
    <w:basedOn w:val="DefaultParagraphFont"/>
    <w:link w:val="Footer"/>
    <w:uiPriority w:val="99"/>
    <w:locked/>
    <w:rsid w:val="0077650E"/>
    <w:rPr>
      <w:rFonts w:ascii="Times New Roman" w:hAnsi="Times New Roman" w:cs="Times New Roman"/>
      <w:sz w:val="20"/>
      <w:szCs w:val="20"/>
      <w:lang w:val="en-GB" w:eastAsia="lv-LV"/>
    </w:rPr>
  </w:style>
  <w:style w:type="character" w:styleId="Hyperlink">
    <w:name w:val="Hyperlink"/>
    <w:basedOn w:val="DefaultParagraphFont"/>
    <w:uiPriority w:val="99"/>
    <w:rsid w:val="0077650E"/>
    <w:rPr>
      <w:rFonts w:cs="Times New Roman"/>
      <w:color w:val="0000FF"/>
      <w:u w:val="single"/>
    </w:rPr>
  </w:style>
  <w:style w:type="character" w:styleId="PageNumber">
    <w:name w:val="page number"/>
    <w:basedOn w:val="DefaultParagraphFont"/>
    <w:uiPriority w:val="99"/>
    <w:rsid w:val="0077650E"/>
    <w:rPr>
      <w:rFonts w:cs="Times New Roman"/>
    </w:rPr>
  </w:style>
  <w:style w:type="paragraph" w:styleId="BodyText3">
    <w:name w:val="Body Text 3"/>
    <w:basedOn w:val="Normal"/>
    <w:link w:val="BodyText3Char"/>
    <w:uiPriority w:val="99"/>
    <w:rsid w:val="0077650E"/>
    <w:pPr>
      <w:spacing w:after="120"/>
    </w:pPr>
    <w:rPr>
      <w:sz w:val="16"/>
      <w:szCs w:val="16"/>
    </w:rPr>
  </w:style>
  <w:style w:type="character" w:customStyle="1" w:styleId="BodyText3Char">
    <w:name w:val="Body Text 3 Char"/>
    <w:basedOn w:val="DefaultParagraphFont"/>
    <w:link w:val="BodyText3"/>
    <w:uiPriority w:val="99"/>
    <w:locked/>
    <w:rsid w:val="0077650E"/>
    <w:rPr>
      <w:rFonts w:ascii="Times New Roman" w:hAnsi="Times New Roman" w:cs="Times New Roman"/>
      <w:sz w:val="16"/>
      <w:szCs w:val="16"/>
      <w:lang w:val="en-GB" w:eastAsia="lv-LV"/>
    </w:rPr>
  </w:style>
  <w:style w:type="paragraph" w:styleId="ListParagraph">
    <w:name w:val="List Paragraph"/>
    <w:basedOn w:val="Normal"/>
    <w:uiPriority w:val="34"/>
    <w:qFormat/>
    <w:rsid w:val="0077650E"/>
    <w:pPr>
      <w:spacing w:after="200" w:line="276" w:lineRule="auto"/>
      <w:ind w:left="720"/>
      <w:contextualSpacing/>
    </w:pPr>
    <w:rPr>
      <w:rFonts w:eastAsia="Calibri"/>
      <w:sz w:val="24"/>
      <w:szCs w:val="22"/>
      <w:lang w:val="lv-LV" w:eastAsia="en-US"/>
    </w:rPr>
  </w:style>
  <w:style w:type="character" w:styleId="Strong">
    <w:name w:val="Strong"/>
    <w:basedOn w:val="DefaultParagraphFont"/>
    <w:uiPriority w:val="99"/>
    <w:qFormat/>
    <w:rsid w:val="0077650E"/>
    <w:rPr>
      <w:rFonts w:cs="Times New Roman"/>
      <w:b/>
      <w:bCs/>
    </w:rPr>
  </w:style>
  <w:style w:type="paragraph" w:styleId="NormalWeb">
    <w:name w:val="Normal (Web)"/>
    <w:basedOn w:val="Normal"/>
    <w:uiPriority w:val="99"/>
    <w:rsid w:val="00303D2E"/>
    <w:pPr>
      <w:spacing w:before="100" w:beforeAutospacing="1" w:after="312"/>
    </w:pPr>
    <w:rPr>
      <w:sz w:val="24"/>
      <w:szCs w:val="24"/>
      <w:lang w:val="lv-LV"/>
    </w:rPr>
  </w:style>
  <w:style w:type="paragraph" w:customStyle="1" w:styleId="EntEmet">
    <w:name w:val="EntEmet"/>
    <w:basedOn w:val="Normal"/>
    <w:rsid w:val="00755B83"/>
    <w:pPr>
      <w:widowControl w:val="0"/>
      <w:tabs>
        <w:tab w:val="left" w:pos="284"/>
        <w:tab w:val="left" w:pos="567"/>
        <w:tab w:val="left" w:pos="851"/>
        <w:tab w:val="left" w:pos="1134"/>
        <w:tab w:val="left" w:pos="1418"/>
      </w:tabs>
      <w:spacing w:before="40"/>
    </w:pPr>
    <w:rPr>
      <w:sz w:val="24"/>
      <w:lang w:eastAsia="fr-BE"/>
    </w:rPr>
  </w:style>
  <w:style w:type="character" w:styleId="PlaceholderText">
    <w:name w:val="Placeholder Text"/>
    <w:basedOn w:val="DefaultParagraphFont"/>
    <w:uiPriority w:val="99"/>
    <w:semiHidden/>
    <w:rsid w:val="00C41439"/>
    <w:rPr>
      <w:rFonts w:cs="Times New Roman"/>
      <w:color w:val="808080"/>
    </w:rPr>
  </w:style>
  <w:style w:type="paragraph" w:styleId="BalloonText">
    <w:name w:val="Balloon Text"/>
    <w:basedOn w:val="Normal"/>
    <w:link w:val="BalloonTextChar"/>
    <w:uiPriority w:val="99"/>
    <w:semiHidden/>
    <w:rsid w:val="00C4143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1439"/>
    <w:rPr>
      <w:rFonts w:ascii="Tahoma" w:hAnsi="Tahoma" w:cs="Tahoma"/>
      <w:sz w:val="16"/>
      <w:szCs w:val="16"/>
      <w:lang w:val="en-GB" w:eastAsia="lv-LV"/>
    </w:rPr>
  </w:style>
  <w:style w:type="paragraph" w:customStyle="1" w:styleId="Prliminairetype">
    <w:name w:val="Préliminaire type"/>
    <w:basedOn w:val="Normal"/>
    <w:next w:val="Normal"/>
    <w:rsid w:val="00465B8D"/>
    <w:pPr>
      <w:spacing w:before="360"/>
      <w:jc w:val="center"/>
    </w:pPr>
    <w:rPr>
      <w:b/>
      <w:sz w:val="24"/>
      <w:szCs w:val="24"/>
      <w:lang w:eastAsia="de-DE"/>
    </w:rPr>
  </w:style>
  <w:style w:type="paragraph" w:customStyle="1" w:styleId="EntRefer">
    <w:name w:val="EntRefer"/>
    <w:basedOn w:val="Normal"/>
    <w:uiPriority w:val="99"/>
    <w:rsid w:val="003B5F94"/>
    <w:pPr>
      <w:widowControl w:val="0"/>
    </w:pPr>
    <w:rPr>
      <w:b/>
      <w:sz w:val="24"/>
      <w:lang w:eastAsia="fr-BE"/>
    </w:rPr>
  </w:style>
  <w:style w:type="paragraph" w:customStyle="1" w:styleId="Prliminairetitre">
    <w:name w:val="Préliminaire titre"/>
    <w:basedOn w:val="Normal"/>
    <w:next w:val="Normal"/>
    <w:uiPriority w:val="99"/>
    <w:rsid w:val="003B5F94"/>
    <w:pPr>
      <w:spacing w:before="360" w:after="360"/>
      <w:jc w:val="center"/>
    </w:pPr>
    <w:rPr>
      <w:b/>
      <w:sz w:val="24"/>
      <w:lang w:val="lv-LV" w:eastAsia="en-GB"/>
    </w:rPr>
  </w:style>
  <w:style w:type="paragraph" w:customStyle="1" w:styleId="ManualConsidrant">
    <w:name w:val="Manual Considérant"/>
    <w:basedOn w:val="Normal"/>
    <w:uiPriority w:val="99"/>
    <w:rsid w:val="00164668"/>
    <w:pPr>
      <w:spacing w:before="120" w:after="120"/>
      <w:ind w:left="709" w:hanging="709"/>
      <w:jc w:val="both"/>
    </w:pPr>
    <w:rPr>
      <w:sz w:val="24"/>
      <w:szCs w:val="24"/>
      <w:lang w:eastAsia="fr-BE"/>
    </w:rPr>
  </w:style>
  <w:style w:type="paragraph" w:styleId="ListBullet">
    <w:name w:val="List Bullet"/>
    <w:basedOn w:val="Normal"/>
    <w:uiPriority w:val="99"/>
    <w:rsid w:val="00857C5D"/>
    <w:pPr>
      <w:numPr>
        <w:numId w:val="1"/>
      </w:numPr>
      <w:spacing w:before="120" w:after="120"/>
      <w:jc w:val="both"/>
    </w:pPr>
    <w:rPr>
      <w:sz w:val="24"/>
      <w:szCs w:val="24"/>
      <w:lang w:val="lv-LV" w:eastAsia="en-GB"/>
    </w:rPr>
  </w:style>
  <w:style w:type="paragraph" w:styleId="NoSpacing">
    <w:name w:val="No Spacing"/>
    <w:uiPriority w:val="99"/>
    <w:qFormat/>
    <w:rsid w:val="0096144C"/>
    <w:rPr>
      <w:rFonts w:ascii="Times New Roman" w:eastAsia="Times New Roman" w:hAnsi="Times New Roman"/>
      <w:sz w:val="24"/>
      <w:szCs w:val="24"/>
      <w:lang w:val="en-GB" w:eastAsia="en-US"/>
    </w:rPr>
  </w:style>
  <w:style w:type="character" w:styleId="FootnoteReference">
    <w:name w:val="footnote reference"/>
    <w:aliases w:val="Footnote symbol,Footnote,Footnote number,Footnote Reference Number,Footnote reference number,Times 10 Point,Exposant 3 Point,Footnote Reference Superscript, Exposant 3 Point,SUPERS,BVI fnr, BVI fnr,(Footnote Reference)"/>
    <w:basedOn w:val="DefaultParagraphFont"/>
    <w:rsid w:val="00976388"/>
    <w:rPr>
      <w:rFonts w:cs="Times New Roman"/>
      <w:vertAlign w:val="superscript"/>
    </w:rPr>
  </w:style>
  <w:style w:type="paragraph" w:styleId="BodyTextIndent3">
    <w:name w:val="Body Text Indent 3"/>
    <w:basedOn w:val="Normal"/>
    <w:link w:val="BodyTextIndent3Char"/>
    <w:uiPriority w:val="99"/>
    <w:semiHidden/>
    <w:rsid w:val="000056E8"/>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056E8"/>
    <w:rPr>
      <w:rFonts w:ascii="Times New Roman" w:hAnsi="Times New Roman" w:cs="Times New Roman"/>
      <w:sz w:val="16"/>
      <w:szCs w:val="16"/>
      <w:lang w:val="en-GB" w:eastAsia="lv-LV"/>
    </w:rPr>
  </w:style>
  <w:style w:type="paragraph" w:customStyle="1" w:styleId="RKnormal">
    <w:name w:val="RKnormal"/>
    <w:basedOn w:val="Normal"/>
    <w:uiPriority w:val="99"/>
    <w:rsid w:val="003F5D7D"/>
    <w:pPr>
      <w:tabs>
        <w:tab w:val="left" w:pos="2835"/>
      </w:tabs>
      <w:overflowPunct w:val="0"/>
      <w:autoSpaceDE w:val="0"/>
      <w:autoSpaceDN w:val="0"/>
      <w:adjustRightInd w:val="0"/>
      <w:spacing w:line="240" w:lineRule="atLeast"/>
      <w:textAlignment w:val="baseline"/>
    </w:pPr>
    <w:rPr>
      <w:sz w:val="24"/>
      <w:szCs w:val="24"/>
      <w:lang w:val="sv-SE" w:eastAsia="fr-BE"/>
    </w:rPr>
  </w:style>
  <w:style w:type="paragraph" w:customStyle="1" w:styleId="Statut">
    <w:name w:val="Statut"/>
    <w:basedOn w:val="Normal"/>
    <w:next w:val="Normal"/>
    <w:rsid w:val="00C66A5C"/>
    <w:pPr>
      <w:spacing w:before="360"/>
      <w:jc w:val="center"/>
    </w:pPr>
    <w:rPr>
      <w:sz w:val="24"/>
      <w:szCs w:val="24"/>
      <w:lang w:eastAsia="de-DE"/>
    </w:rPr>
  </w:style>
  <w:style w:type="character" w:customStyle="1" w:styleId="ctteelong">
    <w:name w:val="cttee_long"/>
    <w:basedOn w:val="DefaultParagraphFont"/>
    <w:uiPriority w:val="99"/>
    <w:rsid w:val="00DD266B"/>
    <w:rPr>
      <w:rFonts w:cs="Times New Roman"/>
    </w:rPr>
  </w:style>
  <w:style w:type="character" w:styleId="Emphasis">
    <w:name w:val="Emphasis"/>
    <w:basedOn w:val="DefaultParagraphFont"/>
    <w:uiPriority w:val="20"/>
    <w:qFormat/>
    <w:rsid w:val="00123761"/>
    <w:rPr>
      <w:rFonts w:cs="Times New Roman"/>
      <w:i/>
      <w:iCs/>
    </w:rPr>
  </w:style>
  <w:style w:type="paragraph" w:customStyle="1" w:styleId="Typedudocument">
    <w:name w:val="Type du document"/>
    <w:basedOn w:val="Normal"/>
    <w:next w:val="Normal"/>
    <w:rsid w:val="00AB09FC"/>
    <w:pPr>
      <w:spacing w:before="360"/>
      <w:jc w:val="center"/>
    </w:pPr>
    <w:rPr>
      <w:b/>
      <w:sz w:val="24"/>
      <w:szCs w:val="24"/>
      <w:lang w:val="lv-LV" w:eastAsia="de-DE"/>
    </w:rPr>
  </w:style>
  <w:style w:type="paragraph" w:customStyle="1" w:styleId="NormalConseil">
    <w:name w:val="NormalConseil"/>
    <w:basedOn w:val="Normal"/>
    <w:uiPriority w:val="99"/>
    <w:rsid w:val="004B184A"/>
    <w:rPr>
      <w:sz w:val="24"/>
      <w:lang w:eastAsia="fr-BE"/>
    </w:rPr>
  </w:style>
  <w:style w:type="paragraph" w:customStyle="1" w:styleId="Numeracin">
    <w:name w:val="Numeración"/>
    <w:basedOn w:val="Normal"/>
    <w:link w:val="NumeracinCar"/>
    <w:uiPriority w:val="99"/>
    <w:rsid w:val="004A7A45"/>
    <w:pPr>
      <w:widowControl w:val="0"/>
      <w:numPr>
        <w:numId w:val="2"/>
      </w:numPr>
      <w:tabs>
        <w:tab w:val="num" w:pos="360"/>
      </w:tabs>
      <w:suppressAutoHyphens/>
      <w:spacing w:before="240" w:line="360" w:lineRule="auto"/>
      <w:ind w:left="360"/>
    </w:pPr>
    <w:rPr>
      <w:sz w:val="24"/>
      <w:szCs w:val="24"/>
      <w:lang w:eastAsia="fr-BE"/>
    </w:rPr>
  </w:style>
  <w:style w:type="character" w:customStyle="1" w:styleId="NumeracinCar">
    <w:name w:val="Numeración Car"/>
    <w:basedOn w:val="DefaultParagraphFont"/>
    <w:link w:val="Numeracin"/>
    <w:uiPriority w:val="99"/>
    <w:locked/>
    <w:rsid w:val="004A7A45"/>
    <w:rPr>
      <w:rFonts w:ascii="Times New Roman" w:eastAsia="Times New Roman" w:hAnsi="Times New Roman"/>
      <w:sz w:val="24"/>
      <w:szCs w:val="24"/>
      <w:lang w:val="en-GB" w:eastAsia="fr-BE"/>
    </w:rPr>
  </w:style>
  <w:style w:type="paragraph" w:customStyle="1" w:styleId="ListParagraph1">
    <w:name w:val="List Paragraph1"/>
    <w:basedOn w:val="Normal"/>
    <w:link w:val="ListParagraphChar"/>
    <w:uiPriority w:val="99"/>
    <w:rsid w:val="000C285D"/>
    <w:pPr>
      <w:widowControl w:val="0"/>
      <w:spacing w:line="360" w:lineRule="auto"/>
      <w:ind w:left="720"/>
    </w:pPr>
    <w:rPr>
      <w:sz w:val="24"/>
      <w:szCs w:val="24"/>
      <w:lang w:eastAsia="fr-BE"/>
    </w:rPr>
  </w:style>
  <w:style w:type="character" w:customStyle="1" w:styleId="ListParagraphChar">
    <w:name w:val="List Paragraph Char"/>
    <w:basedOn w:val="DefaultParagraphFont"/>
    <w:link w:val="ListParagraph1"/>
    <w:uiPriority w:val="99"/>
    <w:locked/>
    <w:rsid w:val="000C285D"/>
    <w:rPr>
      <w:rFonts w:ascii="Times New Roman" w:hAnsi="Times New Roman" w:cs="Times New Roman"/>
      <w:sz w:val="24"/>
      <w:szCs w:val="24"/>
      <w:lang w:val="en-GB" w:eastAsia="fr-BE"/>
    </w:rPr>
  </w:style>
  <w:style w:type="paragraph" w:styleId="BodyTextIndent">
    <w:name w:val="Body Text Indent"/>
    <w:basedOn w:val="Normal"/>
    <w:link w:val="BodyTextIndentChar"/>
    <w:uiPriority w:val="99"/>
    <w:rsid w:val="004018AB"/>
    <w:pPr>
      <w:spacing w:after="120"/>
      <w:ind w:left="283"/>
    </w:pPr>
    <w:rPr>
      <w:sz w:val="24"/>
      <w:szCs w:val="24"/>
      <w:lang w:eastAsia="en-US"/>
    </w:rPr>
  </w:style>
  <w:style w:type="character" w:customStyle="1" w:styleId="BodyTextIndentChar">
    <w:name w:val="Body Text Indent Char"/>
    <w:basedOn w:val="DefaultParagraphFont"/>
    <w:link w:val="BodyTextIndent"/>
    <w:uiPriority w:val="99"/>
    <w:locked/>
    <w:rsid w:val="004018AB"/>
    <w:rPr>
      <w:rFonts w:ascii="Times New Roman" w:hAnsi="Times New Roman" w:cs="Times New Roman"/>
      <w:sz w:val="24"/>
      <w:szCs w:val="24"/>
      <w:lang w:val="en-GB"/>
    </w:rPr>
  </w:style>
  <w:style w:type="paragraph" w:customStyle="1" w:styleId="naisf">
    <w:name w:val="naisf"/>
    <w:basedOn w:val="Normal"/>
    <w:uiPriority w:val="99"/>
    <w:rsid w:val="00BC3006"/>
    <w:pPr>
      <w:spacing w:before="84" w:after="84"/>
      <w:ind w:firstLine="419"/>
      <w:jc w:val="both"/>
    </w:pPr>
    <w:rPr>
      <w:sz w:val="24"/>
      <w:szCs w:val="24"/>
      <w:lang w:val="lv-LV"/>
    </w:rPr>
  </w:style>
  <w:style w:type="paragraph" w:customStyle="1" w:styleId="Prrafodelista">
    <w:name w:val="Párrafo de lista"/>
    <w:basedOn w:val="Normal"/>
    <w:uiPriority w:val="99"/>
    <w:rsid w:val="00746633"/>
    <w:pPr>
      <w:widowControl w:val="0"/>
      <w:spacing w:line="360" w:lineRule="auto"/>
      <w:ind w:left="708"/>
    </w:pPr>
    <w:rPr>
      <w:rFonts w:eastAsia="Calibri"/>
      <w:sz w:val="24"/>
      <w:szCs w:val="24"/>
      <w:lang w:eastAsia="fr-BE"/>
    </w:rPr>
  </w:style>
  <w:style w:type="character" w:styleId="CommentReference">
    <w:name w:val="annotation reference"/>
    <w:basedOn w:val="DefaultParagraphFont"/>
    <w:uiPriority w:val="99"/>
    <w:semiHidden/>
    <w:rsid w:val="00E95DE3"/>
    <w:rPr>
      <w:rFonts w:cs="Times New Roman"/>
      <w:sz w:val="16"/>
      <w:szCs w:val="16"/>
    </w:rPr>
  </w:style>
  <w:style w:type="paragraph" w:styleId="CommentText">
    <w:name w:val="annotation text"/>
    <w:basedOn w:val="Normal"/>
    <w:link w:val="CommentTextChar"/>
    <w:semiHidden/>
    <w:rsid w:val="00E95DE3"/>
  </w:style>
  <w:style w:type="character" w:customStyle="1" w:styleId="CommentTextChar">
    <w:name w:val="Comment Text Char"/>
    <w:basedOn w:val="DefaultParagraphFont"/>
    <w:link w:val="CommentText"/>
    <w:semiHidden/>
    <w:rsid w:val="00BF38B1"/>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rsid w:val="00E95DE3"/>
    <w:rPr>
      <w:b/>
      <w:bCs/>
    </w:rPr>
  </w:style>
  <w:style w:type="character" w:customStyle="1" w:styleId="CommentSubjectChar">
    <w:name w:val="Comment Subject Char"/>
    <w:basedOn w:val="CommentTextChar"/>
    <w:link w:val="CommentSubject"/>
    <w:uiPriority w:val="99"/>
    <w:semiHidden/>
    <w:rsid w:val="00BF38B1"/>
    <w:rPr>
      <w:b/>
      <w:bCs/>
    </w:rPr>
  </w:style>
  <w:style w:type="paragraph" w:styleId="FootnoteText">
    <w:name w:val="footnote text"/>
    <w:aliases w:val="Schriftart: 9 pt,Schriftart: 10 pt,Schriftart: 8 pt,WB-Fußnotentext,fn,Footnotes,Footnote ak,footnote text,Reference,Fußnote,Footnote Text Char2,Footnote Text Char Char1,Footnote Text Char1 Char Char,Char"/>
    <w:basedOn w:val="Normal"/>
    <w:link w:val="FootnoteTextChar"/>
    <w:unhideWhenUsed/>
    <w:rsid w:val="001C32EB"/>
  </w:style>
  <w:style w:type="character" w:customStyle="1" w:styleId="FootnoteTextChar">
    <w:name w:val="Footnote Text Char"/>
    <w:aliases w:val="Schriftart: 9 pt Char,Schriftart: 10 pt Char,Schriftart: 8 pt Char,WB-Fußnotentext Char,fn Char,Footnotes Char,Footnote ak Char,footnote text Char,Reference Char,Fußnote Char,Footnote Text Char2 Char,Footnote Text Char Char1 Char"/>
    <w:basedOn w:val="DefaultParagraphFont"/>
    <w:link w:val="FootnoteText"/>
    <w:semiHidden/>
    <w:rsid w:val="001C32EB"/>
    <w:rPr>
      <w:rFonts w:ascii="Times New Roman" w:eastAsia="Times New Roman" w:hAnsi="Times New Roman"/>
      <w:sz w:val="20"/>
      <w:szCs w:val="20"/>
      <w:lang w:val="en-GB"/>
    </w:rPr>
  </w:style>
  <w:style w:type="paragraph" w:customStyle="1" w:styleId="Titreobjet">
    <w:name w:val="Titre objet"/>
    <w:basedOn w:val="Normal"/>
    <w:next w:val="Normal"/>
    <w:rsid w:val="00910E9A"/>
    <w:pPr>
      <w:spacing w:before="360" w:after="360"/>
      <w:jc w:val="center"/>
    </w:pPr>
    <w:rPr>
      <w:b/>
      <w:sz w:val="24"/>
      <w:lang w:eastAsia="en-GB"/>
    </w:rPr>
  </w:style>
  <w:style w:type="paragraph" w:customStyle="1" w:styleId="EE-paragr">
    <w:name w:val="EE-paragr"/>
    <w:basedOn w:val="Normal"/>
    <w:autoRedefine/>
    <w:rsid w:val="001B51D8"/>
    <w:pPr>
      <w:jc w:val="both"/>
    </w:pPr>
    <w:rPr>
      <w:sz w:val="28"/>
      <w:szCs w:val="28"/>
      <w:lang w:val="lv-LV"/>
    </w:rPr>
  </w:style>
  <w:style w:type="paragraph" w:customStyle="1" w:styleId="Listaszerubekezds">
    <w:name w:val="Listaszeru bekezdés"/>
    <w:basedOn w:val="Normal"/>
    <w:rsid w:val="00A62203"/>
    <w:pPr>
      <w:spacing w:after="200" w:line="276" w:lineRule="auto"/>
      <w:ind w:left="720"/>
      <w:contextualSpacing/>
    </w:pPr>
    <w:rPr>
      <w:rFonts w:ascii="Calibri" w:hAnsi="Calibri" w:cs="Calibri"/>
      <w:sz w:val="22"/>
      <w:szCs w:val="22"/>
      <w:lang w:val="hu-HU" w:eastAsia="en-US"/>
    </w:rPr>
  </w:style>
  <w:style w:type="paragraph" w:customStyle="1" w:styleId="msolistparagraph0">
    <w:name w:val="msolistparagraph"/>
    <w:basedOn w:val="Normal"/>
    <w:rsid w:val="00A62203"/>
    <w:pPr>
      <w:spacing w:after="200" w:line="276" w:lineRule="auto"/>
      <w:ind w:left="720"/>
    </w:pPr>
    <w:rPr>
      <w:rFonts w:ascii="Calibri" w:hAnsi="Calibri"/>
      <w:sz w:val="22"/>
      <w:szCs w:val="22"/>
      <w:lang w:val="fr-BE" w:eastAsia="fr-BE"/>
    </w:rPr>
  </w:style>
  <w:style w:type="paragraph" w:customStyle="1" w:styleId="ListDash2">
    <w:name w:val="List Dash 2"/>
    <w:basedOn w:val="Normal"/>
    <w:rsid w:val="00D959C9"/>
    <w:pPr>
      <w:numPr>
        <w:numId w:val="4"/>
      </w:numPr>
      <w:spacing w:before="120" w:after="120"/>
      <w:jc w:val="both"/>
    </w:pPr>
    <w:rPr>
      <w:sz w:val="24"/>
      <w:szCs w:val="24"/>
      <w:lang w:val="lv-LV" w:eastAsia="de-DE"/>
    </w:rPr>
  </w:style>
  <w:style w:type="paragraph" w:customStyle="1" w:styleId="Tiret1">
    <w:name w:val="Tiret 1"/>
    <w:basedOn w:val="Normal"/>
    <w:rsid w:val="00D959C9"/>
    <w:pPr>
      <w:numPr>
        <w:numId w:val="5"/>
      </w:numPr>
      <w:spacing w:before="120" w:after="120"/>
      <w:jc w:val="both"/>
    </w:pPr>
    <w:rPr>
      <w:sz w:val="24"/>
      <w:szCs w:val="24"/>
      <w:lang w:val="lv-LV" w:eastAsia="de-DE"/>
    </w:rPr>
  </w:style>
  <w:style w:type="paragraph" w:customStyle="1" w:styleId="ManualHeading2">
    <w:name w:val="Manual Heading 2"/>
    <w:basedOn w:val="Normal"/>
    <w:next w:val="Normal"/>
    <w:rsid w:val="00D959C9"/>
    <w:pPr>
      <w:keepNext/>
      <w:tabs>
        <w:tab w:val="left" w:pos="850"/>
      </w:tabs>
      <w:spacing w:before="120" w:after="120"/>
      <w:ind w:left="850" w:hanging="850"/>
      <w:jc w:val="both"/>
      <w:outlineLvl w:val="1"/>
    </w:pPr>
    <w:rPr>
      <w:b/>
      <w:snapToGrid w:val="0"/>
      <w:sz w:val="24"/>
      <w:szCs w:val="24"/>
      <w:lang w:val="lv-LV" w:eastAsia="en-GB"/>
    </w:rPr>
  </w:style>
  <w:style w:type="paragraph" w:customStyle="1" w:styleId="ManualNumPar1">
    <w:name w:val="Manual NumPar 1"/>
    <w:basedOn w:val="Normal"/>
    <w:next w:val="Normal"/>
    <w:rsid w:val="00D959C9"/>
    <w:pPr>
      <w:spacing w:before="120" w:after="120"/>
      <w:ind w:left="850" w:hanging="850"/>
      <w:jc w:val="both"/>
    </w:pPr>
    <w:rPr>
      <w:sz w:val="24"/>
      <w:szCs w:val="24"/>
      <w:lang w:val="lv-LV" w:eastAsia="en-GB"/>
    </w:rPr>
  </w:style>
  <w:style w:type="character" w:customStyle="1" w:styleId="Added">
    <w:name w:val="Added"/>
    <w:basedOn w:val="DefaultParagraphFont"/>
    <w:rsid w:val="00D959C9"/>
    <w:rPr>
      <w:rFonts w:cs="Times New Roman"/>
      <w:b/>
      <w:u w:val="single"/>
    </w:rPr>
  </w:style>
  <w:style w:type="paragraph" w:customStyle="1" w:styleId="ListNumber1">
    <w:name w:val="List Number 1"/>
    <w:basedOn w:val="Normal"/>
    <w:rsid w:val="00D959C9"/>
    <w:pPr>
      <w:numPr>
        <w:numId w:val="6"/>
      </w:numPr>
      <w:spacing w:before="120" w:after="120"/>
      <w:jc w:val="both"/>
    </w:pPr>
    <w:rPr>
      <w:snapToGrid w:val="0"/>
      <w:sz w:val="24"/>
      <w:szCs w:val="24"/>
      <w:lang w:val="lv-LV" w:eastAsia="en-GB"/>
    </w:rPr>
  </w:style>
  <w:style w:type="paragraph" w:customStyle="1" w:styleId="ListNumber1Level2">
    <w:name w:val="List Number 1 (Level 2)"/>
    <w:basedOn w:val="Normal"/>
    <w:rsid w:val="00D959C9"/>
    <w:pPr>
      <w:numPr>
        <w:ilvl w:val="1"/>
        <w:numId w:val="6"/>
      </w:numPr>
      <w:spacing w:before="120" w:after="120"/>
      <w:jc w:val="both"/>
    </w:pPr>
    <w:rPr>
      <w:snapToGrid w:val="0"/>
      <w:sz w:val="24"/>
      <w:szCs w:val="24"/>
      <w:lang w:val="lv-LV" w:eastAsia="en-GB"/>
    </w:rPr>
  </w:style>
  <w:style w:type="paragraph" w:customStyle="1" w:styleId="ListNumber1Level3">
    <w:name w:val="List Number 1 (Level 3)"/>
    <w:basedOn w:val="Normal"/>
    <w:rsid w:val="00D959C9"/>
    <w:pPr>
      <w:numPr>
        <w:ilvl w:val="2"/>
        <w:numId w:val="6"/>
      </w:numPr>
      <w:spacing w:before="120" w:after="120"/>
      <w:jc w:val="both"/>
    </w:pPr>
    <w:rPr>
      <w:snapToGrid w:val="0"/>
      <w:sz w:val="24"/>
      <w:szCs w:val="24"/>
      <w:lang w:val="lv-LV" w:eastAsia="en-GB"/>
    </w:rPr>
  </w:style>
  <w:style w:type="paragraph" w:customStyle="1" w:styleId="ListNumber1Level4">
    <w:name w:val="List Number 1 (Level 4)"/>
    <w:basedOn w:val="Normal"/>
    <w:rsid w:val="00D959C9"/>
    <w:pPr>
      <w:numPr>
        <w:ilvl w:val="3"/>
        <w:numId w:val="6"/>
      </w:numPr>
      <w:spacing w:before="120" w:after="120"/>
      <w:jc w:val="both"/>
    </w:pPr>
    <w:rPr>
      <w:snapToGrid w:val="0"/>
      <w:sz w:val="24"/>
      <w:szCs w:val="24"/>
      <w:lang w:val="lv-LV" w:eastAsia="en-GB"/>
    </w:rPr>
  </w:style>
  <w:style w:type="paragraph" w:customStyle="1" w:styleId="Akapitzlist">
    <w:name w:val="Akapit z listą"/>
    <w:basedOn w:val="Normal"/>
    <w:qFormat/>
    <w:rsid w:val="00562F37"/>
    <w:pPr>
      <w:spacing w:after="200" w:line="276" w:lineRule="auto"/>
      <w:ind w:left="720"/>
      <w:contextualSpacing/>
    </w:pPr>
    <w:rPr>
      <w:rFonts w:ascii="Calibri" w:eastAsia="Calibri" w:hAnsi="Calibri"/>
      <w:sz w:val="22"/>
      <w:szCs w:val="22"/>
      <w:lang w:val="pl-PL" w:eastAsia="en-US"/>
    </w:rPr>
  </w:style>
  <w:style w:type="paragraph" w:customStyle="1" w:styleId="Text1">
    <w:name w:val="Text 1"/>
    <w:basedOn w:val="Normal"/>
    <w:rsid w:val="00EC0FCE"/>
    <w:pPr>
      <w:spacing w:before="120" w:after="120"/>
      <w:ind w:left="850"/>
      <w:jc w:val="both"/>
    </w:pPr>
    <w:rPr>
      <w:sz w:val="24"/>
      <w:szCs w:val="24"/>
      <w:lang w:val="lv-LV" w:eastAsia="de-DE"/>
    </w:rPr>
  </w:style>
  <w:style w:type="character" w:customStyle="1" w:styleId="apple-style-span">
    <w:name w:val="apple-style-span"/>
    <w:basedOn w:val="DefaultParagraphFont"/>
    <w:rsid w:val="00763247"/>
  </w:style>
  <w:style w:type="character" w:customStyle="1" w:styleId="apple-converted-space">
    <w:name w:val="apple-converted-space"/>
    <w:basedOn w:val="DefaultParagraphFont"/>
    <w:rsid w:val="00763247"/>
  </w:style>
</w:styles>
</file>

<file path=word/webSettings.xml><?xml version="1.0" encoding="utf-8"?>
<w:webSettings xmlns:r="http://schemas.openxmlformats.org/officeDocument/2006/relationships" xmlns:w="http://schemas.openxmlformats.org/wordprocessingml/2006/main">
  <w:divs>
    <w:div w:id="65416386">
      <w:marLeft w:val="0"/>
      <w:marRight w:val="0"/>
      <w:marTop w:val="0"/>
      <w:marBottom w:val="0"/>
      <w:divBdr>
        <w:top w:val="none" w:sz="0" w:space="0" w:color="auto"/>
        <w:left w:val="none" w:sz="0" w:space="0" w:color="auto"/>
        <w:bottom w:val="none" w:sz="0" w:space="0" w:color="auto"/>
        <w:right w:val="none" w:sz="0" w:space="0" w:color="auto"/>
      </w:divBdr>
    </w:div>
    <w:div w:id="65416391">
      <w:marLeft w:val="0"/>
      <w:marRight w:val="0"/>
      <w:marTop w:val="0"/>
      <w:marBottom w:val="0"/>
      <w:divBdr>
        <w:top w:val="none" w:sz="0" w:space="0" w:color="auto"/>
        <w:left w:val="none" w:sz="0" w:space="0" w:color="auto"/>
        <w:bottom w:val="none" w:sz="0" w:space="0" w:color="auto"/>
        <w:right w:val="none" w:sz="0" w:space="0" w:color="auto"/>
      </w:divBdr>
    </w:div>
    <w:div w:id="65416394">
      <w:marLeft w:val="0"/>
      <w:marRight w:val="0"/>
      <w:marTop w:val="0"/>
      <w:marBottom w:val="0"/>
      <w:divBdr>
        <w:top w:val="none" w:sz="0" w:space="0" w:color="auto"/>
        <w:left w:val="none" w:sz="0" w:space="0" w:color="auto"/>
        <w:bottom w:val="none" w:sz="0" w:space="0" w:color="auto"/>
        <w:right w:val="none" w:sz="0" w:space="0" w:color="auto"/>
      </w:divBdr>
      <w:divsChild>
        <w:div w:id="65416390">
          <w:marLeft w:val="0"/>
          <w:marRight w:val="0"/>
          <w:marTop w:val="100"/>
          <w:marBottom w:val="100"/>
          <w:divBdr>
            <w:top w:val="none" w:sz="0" w:space="0" w:color="auto"/>
            <w:left w:val="single" w:sz="6" w:space="0" w:color="76787B"/>
            <w:bottom w:val="none" w:sz="0" w:space="0" w:color="auto"/>
            <w:right w:val="single" w:sz="6" w:space="0" w:color="76787B"/>
          </w:divBdr>
          <w:divsChild>
            <w:div w:id="65416387">
              <w:marLeft w:val="0"/>
              <w:marRight w:val="0"/>
              <w:marTop w:val="0"/>
              <w:marBottom w:val="0"/>
              <w:divBdr>
                <w:top w:val="none" w:sz="0" w:space="0" w:color="auto"/>
                <w:left w:val="none" w:sz="0" w:space="0" w:color="auto"/>
                <w:bottom w:val="none" w:sz="0" w:space="0" w:color="auto"/>
                <w:right w:val="none" w:sz="0" w:space="0" w:color="auto"/>
              </w:divBdr>
              <w:divsChild>
                <w:div w:id="65416393">
                  <w:marLeft w:val="0"/>
                  <w:marRight w:val="0"/>
                  <w:marTop w:val="0"/>
                  <w:marBottom w:val="225"/>
                  <w:divBdr>
                    <w:top w:val="none" w:sz="0" w:space="0" w:color="auto"/>
                    <w:left w:val="none" w:sz="0" w:space="0" w:color="auto"/>
                    <w:bottom w:val="none" w:sz="0" w:space="0" w:color="auto"/>
                    <w:right w:val="none" w:sz="0" w:space="0" w:color="auto"/>
                  </w:divBdr>
                  <w:divsChild>
                    <w:div w:id="65416392">
                      <w:marLeft w:val="345"/>
                      <w:marRight w:val="210"/>
                      <w:marTop w:val="225"/>
                      <w:marBottom w:val="150"/>
                      <w:divBdr>
                        <w:top w:val="none" w:sz="0" w:space="0" w:color="auto"/>
                        <w:left w:val="none" w:sz="0" w:space="0" w:color="auto"/>
                        <w:bottom w:val="none" w:sz="0" w:space="0" w:color="auto"/>
                        <w:right w:val="none" w:sz="0" w:space="0" w:color="auto"/>
                      </w:divBdr>
                      <w:divsChild>
                        <w:div w:id="65416388">
                          <w:marLeft w:val="0"/>
                          <w:marRight w:val="0"/>
                          <w:marTop w:val="0"/>
                          <w:marBottom w:val="0"/>
                          <w:divBdr>
                            <w:top w:val="none" w:sz="0" w:space="0" w:color="auto"/>
                            <w:left w:val="none" w:sz="0" w:space="0" w:color="auto"/>
                            <w:bottom w:val="none" w:sz="0" w:space="0" w:color="auto"/>
                            <w:right w:val="none" w:sz="0" w:space="0" w:color="auto"/>
                          </w:divBdr>
                          <w:divsChild>
                            <w:div w:id="6541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270355">
      <w:bodyDiv w:val="1"/>
      <w:marLeft w:val="0"/>
      <w:marRight w:val="0"/>
      <w:marTop w:val="0"/>
      <w:marBottom w:val="0"/>
      <w:divBdr>
        <w:top w:val="none" w:sz="0" w:space="0" w:color="auto"/>
        <w:left w:val="none" w:sz="0" w:space="0" w:color="auto"/>
        <w:bottom w:val="none" w:sz="0" w:space="0" w:color="auto"/>
        <w:right w:val="none" w:sz="0" w:space="0" w:color="auto"/>
      </w:divBdr>
      <w:divsChild>
        <w:div w:id="1516068195">
          <w:marLeft w:val="0"/>
          <w:marRight w:val="0"/>
          <w:marTop w:val="0"/>
          <w:marBottom w:val="0"/>
          <w:divBdr>
            <w:top w:val="none" w:sz="0" w:space="0" w:color="auto"/>
            <w:left w:val="none" w:sz="0" w:space="0" w:color="auto"/>
            <w:bottom w:val="none" w:sz="0" w:space="0" w:color="auto"/>
            <w:right w:val="none" w:sz="0" w:space="0" w:color="auto"/>
          </w:divBdr>
          <w:divsChild>
            <w:div w:id="35311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640423">
      <w:bodyDiv w:val="1"/>
      <w:marLeft w:val="0"/>
      <w:marRight w:val="0"/>
      <w:marTop w:val="0"/>
      <w:marBottom w:val="0"/>
      <w:divBdr>
        <w:top w:val="none" w:sz="0" w:space="0" w:color="auto"/>
        <w:left w:val="none" w:sz="0" w:space="0" w:color="auto"/>
        <w:bottom w:val="none" w:sz="0" w:space="0" w:color="auto"/>
        <w:right w:val="none" w:sz="0" w:space="0" w:color="auto"/>
      </w:divBdr>
      <w:divsChild>
        <w:div w:id="736321772">
          <w:marLeft w:val="0"/>
          <w:marRight w:val="0"/>
          <w:marTop w:val="0"/>
          <w:marBottom w:val="0"/>
          <w:divBdr>
            <w:top w:val="none" w:sz="0" w:space="0" w:color="auto"/>
            <w:left w:val="none" w:sz="0" w:space="0" w:color="auto"/>
            <w:bottom w:val="none" w:sz="0" w:space="0" w:color="auto"/>
            <w:right w:val="none" w:sz="0" w:space="0" w:color="auto"/>
          </w:divBdr>
          <w:divsChild>
            <w:div w:id="193045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iba.beinarovica@i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AC633-004E-439E-B46D-2AE2EE6BD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9542</Words>
  <Characters>5440</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bbeinarovica</dc:creator>
  <cp:keywords/>
  <dc:description/>
  <cp:lastModifiedBy>bbeinarovica</cp:lastModifiedBy>
  <cp:revision>23</cp:revision>
  <cp:lastPrinted>2011-09-26T08:16:00Z</cp:lastPrinted>
  <dcterms:created xsi:type="dcterms:W3CDTF">2011-11-25T13:17:00Z</dcterms:created>
  <dcterms:modified xsi:type="dcterms:W3CDTF">2011-11-28T09:03:00Z</dcterms:modified>
</cp:coreProperties>
</file>