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A3" w:rsidRPr="00E31BA3" w:rsidRDefault="00186D76" w:rsidP="00E31BA3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29</w:t>
      </w:r>
      <w:r w:rsidR="00E31BA3" w:rsidRPr="00E31BA3">
        <w:rPr>
          <w:sz w:val="28"/>
          <w:szCs w:val="28"/>
        </w:rPr>
        <w:t>.pielikums</w:t>
      </w:r>
      <w:r w:rsidR="00E31BA3" w:rsidRPr="00E31BA3">
        <w:rPr>
          <w:sz w:val="28"/>
          <w:szCs w:val="28"/>
        </w:rPr>
        <w:br/>
        <w:t>Ministru kabineta</w:t>
      </w:r>
      <w:r w:rsidR="00E31BA3" w:rsidRPr="00E31BA3">
        <w:rPr>
          <w:sz w:val="28"/>
          <w:szCs w:val="28"/>
        </w:rPr>
        <w:br/>
        <w:t>201</w:t>
      </w:r>
      <w:r w:rsidR="00EE377E">
        <w:rPr>
          <w:sz w:val="28"/>
          <w:szCs w:val="28"/>
        </w:rPr>
        <w:t>3</w:t>
      </w:r>
      <w:r w:rsidR="00E31BA3" w:rsidRPr="00E31BA3">
        <w:rPr>
          <w:sz w:val="28"/>
          <w:szCs w:val="28"/>
        </w:rPr>
        <w:t>.gada _______________</w:t>
      </w:r>
      <w:r w:rsidR="00E31BA3" w:rsidRPr="00E31BA3">
        <w:rPr>
          <w:sz w:val="28"/>
          <w:szCs w:val="28"/>
        </w:rPr>
        <w:br/>
        <w:t>noteikumiem Nr._____</w:t>
      </w: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Vispārējās vidējās izglītības izlīdzinošās programmas paraugs</w:t>
      </w:r>
    </w:p>
    <w:p w:rsidR="00E31BA3" w:rsidRPr="00E31BA3" w:rsidRDefault="00E31BA3" w:rsidP="00E31BA3">
      <w:pPr>
        <w:ind w:firstLine="720"/>
        <w:rPr>
          <w:sz w:val="28"/>
          <w:szCs w:val="28"/>
        </w:rPr>
      </w:pPr>
    </w:p>
    <w:p w:rsidR="00E31BA3" w:rsidRPr="00E31BA3" w:rsidRDefault="00E31BA3" w:rsidP="000C539B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I. Vispārīgais jautājums</w:t>
      </w:r>
    </w:p>
    <w:p w:rsidR="00E31BA3" w:rsidRPr="00E31BA3" w:rsidRDefault="00E31BA3" w:rsidP="000C539B">
      <w:pPr>
        <w:ind w:firstLine="720"/>
        <w:jc w:val="both"/>
        <w:rPr>
          <w:sz w:val="28"/>
          <w:szCs w:val="28"/>
        </w:rPr>
      </w:pPr>
    </w:p>
    <w:p w:rsidR="00E31BA3" w:rsidRPr="00E31BA3" w:rsidRDefault="00E31BA3" w:rsidP="000C539B">
      <w:pPr>
        <w:ind w:firstLine="720"/>
        <w:jc w:val="both"/>
        <w:rPr>
          <w:sz w:val="28"/>
          <w:szCs w:val="28"/>
        </w:rPr>
      </w:pPr>
      <w:r w:rsidRPr="00E31BA3">
        <w:rPr>
          <w:sz w:val="28"/>
          <w:szCs w:val="28"/>
        </w:rPr>
        <w:t>1. Vispārējās vidējās izglītības izlīdzinošā programma (turpmāk – izglītības programma) nodrošina personām, kuras ir ieguvušas arodizglītību, iespēju iegūt vispārējo vidējo izglītību vispārizglītojošā virzienā. Mācību ilgums – viens gads.</w:t>
      </w:r>
    </w:p>
    <w:p w:rsidR="00E31BA3" w:rsidRPr="00E31BA3" w:rsidRDefault="00E31BA3" w:rsidP="000C539B">
      <w:pPr>
        <w:ind w:firstLine="720"/>
        <w:jc w:val="both"/>
        <w:rPr>
          <w:sz w:val="28"/>
          <w:szCs w:val="28"/>
        </w:rPr>
      </w:pPr>
    </w:p>
    <w:p w:rsidR="00E31BA3" w:rsidRPr="00E31BA3" w:rsidRDefault="00E31BA3" w:rsidP="000C539B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II. Izglītības programmas mērķi un uzdevumi</w:t>
      </w:r>
    </w:p>
    <w:p w:rsidR="00E31BA3" w:rsidRPr="00E31BA3" w:rsidRDefault="00E31BA3" w:rsidP="000C539B">
      <w:pPr>
        <w:ind w:firstLine="720"/>
        <w:jc w:val="both"/>
        <w:rPr>
          <w:b/>
          <w:sz w:val="28"/>
          <w:szCs w:val="28"/>
        </w:rPr>
      </w:pPr>
    </w:p>
    <w:p w:rsidR="00E31BA3" w:rsidRPr="00FB0E1D" w:rsidRDefault="00E31BA3" w:rsidP="000C539B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B0E1D">
        <w:rPr>
          <w:rFonts w:ascii="Times New Roman" w:hAnsi="Times New Roman"/>
          <w:sz w:val="28"/>
          <w:szCs w:val="28"/>
          <w:lang w:val="lv-LV"/>
        </w:rPr>
        <w:t>2</w:t>
      </w:r>
      <w:r w:rsidR="00FB0E1D">
        <w:rPr>
          <w:rFonts w:ascii="Times New Roman" w:hAnsi="Times New Roman"/>
          <w:sz w:val="28"/>
          <w:szCs w:val="28"/>
          <w:lang w:val="lv-LV"/>
        </w:rPr>
        <w:t>. Izglītības programmas galvenos mērķus un uzdevumus</w:t>
      </w:r>
      <w:r w:rsidRPr="00FB0E1D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FB0E1D" w:rsidRPr="00FB0E1D">
        <w:rPr>
          <w:rFonts w:ascii="Times New Roman" w:hAnsi="Times New Roman"/>
          <w:sz w:val="28"/>
          <w:szCs w:val="28"/>
          <w:lang w:val="lv-LV"/>
        </w:rPr>
        <w:t>nosaka valsts vispārējās vidējās izglītības standarts.</w:t>
      </w:r>
    </w:p>
    <w:p w:rsidR="00E31BA3" w:rsidRPr="00E31BA3" w:rsidRDefault="00E31BA3" w:rsidP="000C539B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31BA3" w:rsidRPr="00FB0E1D" w:rsidRDefault="00E31BA3" w:rsidP="000C539B">
      <w:pPr>
        <w:ind w:firstLine="720"/>
        <w:jc w:val="both"/>
        <w:rPr>
          <w:sz w:val="28"/>
          <w:szCs w:val="28"/>
        </w:rPr>
      </w:pPr>
      <w:r w:rsidRPr="00FB0E1D">
        <w:rPr>
          <w:sz w:val="28"/>
          <w:szCs w:val="28"/>
        </w:rPr>
        <w:t>3. </w:t>
      </w:r>
      <w:r w:rsidR="00FB0E1D">
        <w:rPr>
          <w:sz w:val="28"/>
          <w:szCs w:val="28"/>
        </w:rPr>
        <w:t>I</w:t>
      </w:r>
      <w:r w:rsidR="00FB0E1D" w:rsidRPr="00FB0E1D">
        <w:rPr>
          <w:sz w:val="28"/>
          <w:szCs w:val="28"/>
        </w:rPr>
        <w:t xml:space="preserve">zglītības programmas </w:t>
      </w:r>
      <w:r w:rsidR="005D3336">
        <w:rPr>
          <w:sz w:val="28"/>
          <w:szCs w:val="28"/>
        </w:rPr>
        <w:t>īpašais mērķis</w:t>
      </w:r>
      <w:r w:rsidR="00FB0E1D" w:rsidRPr="00FB0E1D">
        <w:rPr>
          <w:sz w:val="28"/>
          <w:szCs w:val="28"/>
        </w:rPr>
        <w:t xml:space="preserve"> ir nodrošināt līdzsvarotu visu izglītības jomu mācību priekšmetu apguvi un attīstīt interesi par dažādiem cilvēku darbības un zinātnes virzieniem, </w:t>
      </w:r>
      <w:r w:rsidR="00FB0E1D">
        <w:rPr>
          <w:sz w:val="28"/>
          <w:szCs w:val="28"/>
        </w:rPr>
        <w:t xml:space="preserve">turpinot un papildinot </w:t>
      </w:r>
      <w:r w:rsidR="00FB0E1D" w:rsidRPr="00FB0E1D">
        <w:rPr>
          <w:sz w:val="28"/>
          <w:szCs w:val="28"/>
        </w:rPr>
        <w:t>iepriekš apgūtā</w:t>
      </w:r>
      <w:r w:rsidR="00FB0E1D">
        <w:rPr>
          <w:sz w:val="28"/>
          <w:szCs w:val="28"/>
        </w:rPr>
        <w:t>s a</w:t>
      </w:r>
      <w:r w:rsidR="00FB0E1D" w:rsidRPr="00FB0E1D">
        <w:rPr>
          <w:sz w:val="28"/>
          <w:szCs w:val="28"/>
        </w:rPr>
        <w:t>rodizglītības</w:t>
      </w:r>
      <w:r w:rsidR="00FB0E1D">
        <w:rPr>
          <w:sz w:val="28"/>
          <w:szCs w:val="28"/>
        </w:rPr>
        <w:t xml:space="preserve"> programmas saturu.</w:t>
      </w:r>
    </w:p>
    <w:p w:rsidR="00FB0E1D" w:rsidRPr="00E31BA3" w:rsidRDefault="00FB0E1D" w:rsidP="000C539B">
      <w:pPr>
        <w:ind w:firstLine="720"/>
        <w:jc w:val="both"/>
        <w:rPr>
          <w:sz w:val="28"/>
          <w:szCs w:val="28"/>
        </w:rPr>
      </w:pPr>
    </w:p>
    <w:p w:rsidR="00E31BA3" w:rsidRPr="00E31BA3" w:rsidRDefault="00E31BA3" w:rsidP="000C539B">
      <w:pPr>
        <w:ind w:firstLine="720"/>
        <w:jc w:val="center"/>
        <w:rPr>
          <w:b/>
          <w:sz w:val="28"/>
          <w:szCs w:val="28"/>
          <w:lang w:val="de-DE"/>
        </w:rPr>
      </w:pPr>
      <w:r w:rsidRPr="00E31BA3">
        <w:rPr>
          <w:b/>
          <w:sz w:val="28"/>
          <w:szCs w:val="28"/>
          <w:lang w:val="de-DE"/>
        </w:rPr>
        <w:t>III. Izglītības saturs</w:t>
      </w:r>
    </w:p>
    <w:p w:rsidR="00E31BA3" w:rsidRPr="00E31BA3" w:rsidRDefault="00E31BA3" w:rsidP="000C539B">
      <w:pPr>
        <w:ind w:firstLine="720"/>
        <w:jc w:val="both"/>
        <w:rPr>
          <w:b/>
          <w:sz w:val="28"/>
          <w:szCs w:val="28"/>
        </w:rPr>
      </w:pPr>
    </w:p>
    <w:p w:rsidR="00E31BA3" w:rsidRPr="00E31BA3" w:rsidRDefault="00E31BA3" w:rsidP="000C539B">
      <w:pPr>
        <w:ind w:firstLine="720"/>
        <w:jc w:val="both"/>
        <w:rPr>
          <w:sz w:val="28"/>
          <w:szCs w:val="28"/>
        </w:rPr>
      </w:pPr>
      <w:r w:rsidRPr="00E31BA3">
        <w:rPr>
          <w:sz w:val="28"/>
          <w:szCs w:val="28"/>
        </w:rPr>
        <w:t xml:space="preserve">4. </w:t>
      </w:r>
      <w:r w:rsidR="00FB0E1D">
        <w:rPr>
          <w:sz w:val="28"/>
          <w:szCs w:val="28"/>
        </w:rPr>
        <w:t>I</w:t>
      </w:r>
      <w:r w:rsidR="00FB0E1D" w:rsidRPr="00A60528">
        <w:rPr>
          <w:sz w:val="28"/>
          <w:szCs w:val="28"/>
        </w:rPr>
        <w:t>zglītība</w:t>
      </w:r>
      <w:r w:rsidR="00FB0E1D">
        <w:rPr>
          <w:sz w:val="28"/>
          <w:szCs w:val="28"/>
        </w:rPr>
        <w:t>s programmas obligāto saturu un obligātos</w:t>
      </w:r>
      <w:r w:rsidR="00FB0E1D" w:rsidRPr="00A60528">
        <w:rPr>
          <w:sz w:val="28"/>
          <w:szCs w:val="28"/>
        </w:rPr>
        <w:t xml:space="preserve"> m</w:t>
      </w:r>
      <w:r w:rsidR="00FB0E1D">
        <w:rPr>
          <w:sz w:val="28"/>
          <w:szCs w:val="28"/>
        </w:rPr>
        <w:t>ācību priekšmetus nosaka</w:t>
      </w:r>
      <w:r w:rsidR="00FB0E1D" w:rsidRPr="00A60528">
        <w:rPr>
          <w:sz w:val="28"/>
          <w:szCs w:val="28"/>
        </w:rPr>
        <w:t xml:space="preserve"> </w:t>
      </w:r>
      <w:r w:rsidR="00FB0E1D" w:rsidRPr="001E756F">
        <w:rPr>
          <w:sz w:val="28"/>
          <w:szCs w:val="28"/>
        </w:rPr>
        <w:t>valsts vispārē</w:t>
      </w:r>
      <w:r w:rsidR="00FB0E1D">
        <w:rPr>
          <w:sz w:val="28"/>
          <w:szCs w:val="28"/>
        </w:rPr>
        <w:t>jās vidējās izglītības standarts</w:t>
      </w:r>
      <w:r w:rsidR="00FB0E1D" w:rsidRPr="00A60528">
        <w:rPr>
          <w:sz w:val="28"/>
          <w:szCs w:val="28"/>
        </w:rPr>
        <w:t>.</w:t>
      </w:r>
    </w:p>
    <w:p w:rsidR="00E31BA3" w:rsidRPr="00E31BA3" w:rsidRDefault="00E31BA3" w:rsidP="000C539B">
      <w:pPr>
        <w:ind w:firstLine="720"/>
        <w:jc w:val="both"/>
        <w:rPr>
          <w:sz w:val="28"/>
          <w:szCs w:val="28"/>
        </w:rPr>
      </w:pPr>
    </w:p>
    <w:p w:rsidR="00E31BA3" w:rsidRPr="00E31BA3" w:rsidRDefault="00E31BA3" w:rsidP="000C539B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IV. Izglītības programmas īstenošanas plāns</w:t>
      </w:r>
    </w:p>
    <w:p w:rsidR="00E31BA3" w:rsidRPr="00E31BA3" w:rsidRDefault="00E31BA3" w:rsidP="000C539B">
      <w:pPr>
        <w:ind w:firstLine="720"/>
        <w:jc w:val="both"/>
        <w:rPr>
          <w:b/>
          <w:sz w:val="28"/>
          <w:szCs w:val="28"/>
        </w:rPr>
      </w:pPr>
    </w:p>
    <w:p w:rsidR="00E31BA3" w:rsidRDefault="000C539B" w:rsidP="000C539B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1BA3" w:rsidRPr="00E31BA3">
        <w:rPr>
          <w:sz w:val="28"/>
          <w:szCs w:val="28"/>
        </w:rPr>
        <w:t>. Izglīt</w:t>
      </w:r>
      <w:r w:rsidR="00FB0E1D">
        <w:rPr>
          <w:sz w:val="28"/>
          <w:szCs w:val="28"/>
        </w:rPr>
        <w:t>ības programmas īstenošanu</w:t>
      </w:r>
      <w:r w:rsidR="00E31BA3" w:rsidRPr="00E31BA3">
        <w:rPr>
          <w:sz w:val="28"/>
          <w:szCs w:val="28"/>
        </w:rPr>
        <w:t xml:space="preserve"> nosaka mācību priekšmetu un mācību stundu plāns: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1135"/>
        <w:gridCol w:w="1508"/>
        <w:gridCol w:w="1507"/>
        <w:gridCol w:w="776"/>
      </w:tblGrid>
      <w:tr w:rsidR="000C539B" w:rsidRPr="00437855" w:rsidTr="00F85F25">
        <w:trPr>
          <w:trHeight w:val="419"/>
        </w:trPr>
        <w:tc>
          <w:tcPr>
            <w:tcW w:w="2348" w:type="pct"/>
            <w:vMerge w:val="restart"/>
            <w:vAlign w:val="center"/>
            <w:hideMark/>
          </w:tcPr>
          <w:p w:rsidR="000C539B" w:rsidRPr="00F85F25" w:rsidRDefault="000C539B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Mācību priekšmeti</w:t>
            </w:r>
          </w:p>
        </w:tc>
        <w:tc>
          <w:tcPr>
            <w:tcW w:w="2652" w:type="pct"/>
            <w:gridSpan w:val="4"/>
            <w:vAlign w:val="center"/>
            <w:hideMark/>
          </w:tcPr>
          <w:p w:rsidR="000C539B" w:rsidRPr="00F85F25" w:rsidRDefault="000C539B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Mācību stundu skaits</w:t>
            </w:r>
          </w:p>
        </w:tc>
      </w:tr>
      <w:tr w:rsidR="000C539B" w:rsidRPr="00437855" w:rsidTr="00F85F25">
        <w:trPr>
          <w:trHeight w:val="630"/>
        </w:trPr>
        <w:tc>
          <w:tcPr>
            <w:tcW w:w="2348" w:type="pct"/>
            <w:vMerge/>
            <w:vAlign w:val="center"/>
            <w:hideMark/>
          </w:tcPr>
          <w:p w:rsidR="000C539B" w:rsidRPr="00F85F25" w:rsidRDefault="000C539B" w:rsidP="00F85F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1" w:type="pct"/>
            <w:vAlign w:val="center"/>
            <w:hideMark/>
          </w:tcPr>
          <w:p w:rsidR="000C539B" w:rsidRPr="00F85F25" w:rsidRDefault="000C539B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nedēļā</w:t>
            </w:r>
          </w:p>
        </w:tc>
        <w:tc>
          <w:tcPr>
            <w:tcW w:w="812" w:type="pct"/>
            <w:vAlign w:val="center"/>
            <w:hideMark/>
          </w:tcPr>
          <w:p w:rsidR="000C539B" w:rsidRPr="00F85F25" w:rsidRDefault="000C539B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kopā izglītības programmā</w:t>
            </w:r>
          </w:p>
        </w:tc>
        <w:tc>
          <w:tcPr>
            <w:tcW w:w="811" w:type="pct"/>
            <w:vAlign w:val="center"/>
            <w:hideMark/>
          </w:tcPr>
          <w:p w:rsidR="000C539B" w:rsidRPr="00F85F25" w:rsidRDefault="000C539B" w:rsidP="00F85F2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5F25">
              <w:rPr>
                <w:color w:val="000000"/>
                <w:sz w:val="28"/>
                <w:szCs w:val="28"/>
              </w:rPr>
              <w:t>arod-izglītības</w:t>
            </w:r>
            <w:proofErr w:type="spellEnd"/>
            <w:r w:rsidRPr="00F85F25">
              <w:rPr>
                <w:color w:val="000000"/>
                <w:sz w:val="28"/>
                <w:szCs w:val="28"/>
              </w:rPr>
              <w:t xml:space="preserve"> programmā</w:t>
            </w:r>
          </w:p>
        </w:tc>
        <w:tc>
          <w:tcPr>
            <w:tcW w:w="418" w:type="pct"/>
            <w:vAlign w:val="center"/>
            <w:hideMark/>
          </w:tcPr>
          <w:p w:rsidR="000C539B" w:rsidRPr="00F85F25" w:rsidRDefault="000C539B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kopā</w:t>
            </w:r>
          </w:p>
        </w:tc>
      </w:tr>
      <w:tr w:rsidR="000C539B" w:rsidRPr="006240C0" w:rsidTr="00F85F25">
        <w:trPr>
          <w:trHeight w:val="375"/>
        </w:trPr>
        <w:tc>
          <w:tcPr>
            <w:tcW w:w="5000" w:type="pct"/>
            <w:gridSpan w:val="5"/>
            <w:hideMark/>
          </w:tcPr>
          <w:p w:rsidR="000C539B" w:rsidRPr="00F85F25" w:rsidRDefault="000C539B" w:rsidP="00F8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5F25">
              <w:rPr>
                <w:bCs/>
                <w:color w:val="000000"/>
                <w:sz w:val="28"/>
                <w:szCs w:val="28"/>
              </w:rPr>
              <w:t>Obligātie mācību priekšmeti</w:t>
            </w:r>
            <w:r w:rsidRPr="00F85F25">
              <w:rPr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Latviešu valoda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Mazākumtautību valoda un literatūra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242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Matemātika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Latvijas un pasaules vēsture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180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lastRenderedPageBreak/>
              <w:t>Pirmā svešvaloda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260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Otrā svešvaloda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Sports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258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Informātika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Fizika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105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Ķīmija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Bioloģija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Literatūra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Mūzika vai vizuālā māksla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0C539B" w:rsidRPr="006240C0" w:rsidTr="00F85F25">
        <w:trPr>
          <w:trHeight w:val="375"/>
        </w:trPr>
        <w:tc>
          <w:tcPr>
            <w:tcW w:w="5000" w:type="pct"/>
            <w:gridSpan w:val="5"/>
            <w:hideMark/>
          </w:tcPr>
          <w:p w:rsidR="000C539B" w:rsidRPr="00F85F25" w:rsidRDefault="000C539B" w:rsidP="00F85F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85F25">
              <w:rPr>
                <w:bCs/>
                <w:color w:val="000000"/>
                <w:sz w:val="28"/>
                <w:szCs w:val="28"/>
              </w:rPr>
              <w:t>Izvēles mācību priekšmeti</w:t>
            </w:r>
            <w:r w:rsidRPr="00F85F25">
              <w:rPr>
                <w:bCs/>
                <w:color w:val="000000"/>
                <w:sz w:val="28"/>
                <w:szCs w:val="28"/>
                <w:vertAlign w:val="superscript"/>
              </w:rPr>
              <w:t>*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Ģeogrāfija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Ekonomika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Ētika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Filozofija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85F25">
              <w:rPr>
                <w:color w:val="000000"/>
                <w:sz w:val="28"/>
                <w:szCs w:val="28"/>
              </w:rPr>
              <w:t>Kulturoloģija</w:t>
            </w:r>
            <w:proofErr w:type="spellEnd"/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Mājsaimniecība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Politika un tiesības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Psiholoģija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Veselības mācība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35</w:t>
            </w:r>
          </w:p>
        </w:tc>
      </w:tr>
      <w:tr w:rsidR="00437855" w:rsidRPr="00437855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 xml:space="preserve">Izvēles </w:t>
            </w:r>
            <w:r w:rsidR="006240C0" w:rsidRPr="00F85F25">
              <w:rPr>
                <w:color w:val="000000"/>
                <w:sz w:val="28"/>
                <w:szCs w:val="28"/>
              </w:rPr>
              <w:t xml:space="preserve">mācību </w:t>
            </w:r>
            <w:r w:rsidRPr="00F85F25">
              <w:rPr>
                <w:color w:val="000000"/>
                <w:sz w:val="28"/>
                <w:szCs w:val="28"/>
              </w:rPr>
              <w:t>priekšmeti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437855" w:rsidRPr="006240C0" w:rsidTr="00F85F25">
        <w:trPr>
          <w:trHeight w:val="315"/>
        </w:trPr>
        <w:tc>
          <w:tcPr>
            <w:tcW w:w="2348" w:type="pct"/>
            <w:hideMark/>
          </w:tcPr>
          <w:p w:rsidR="00437855" w:rsidRPr="00F85F25" w:rsidRDefault="00437855" w:rsidP="00F85F25">
            <w:pPr>
              <w:jc w:val="both"/>
              <w:rPr>
                <w:color w:val="000000"/>
                <w:sz w:val="28"/>
                <w:szCs w:val="28"/>
              </w:rPr>
            </w:pPr>
            <w:r w:rsidRPr="00F85F25">
              <w:rPr>
                <w:bCs/>
                <w:color w:val="000000"/>
                <w:sz w:val="28"/>
                <w:szCs w:val="28"/>
              </w:rPr>
              <w:t>Mācību stundu slodze</w:t>
            </w:r>
          </w:p>
        </w:tc>
        <w:tc>
          <w:tcPr>
            <w:tcW w:w="6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12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bCs/>
                <w:color w:val="000000"/>
                <w:sz w:val="28"/>
                <w:szCs w:val="28"/>
              </w:rPr>
              <w:t>1260</w:t>
            </w:r>
          </w:p>
        </w:tc>
        <w:tc>
          <w:tcPr>
            <w:tcW w:w="811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bCs/>
                <w:color w:val="000000"/>
                <w:sz w:val="28"/>
                <w:szCs w:val="28"/>
              </w:rPr>
              <w:t>1008</w:t>
            </w:r>
          </w:p>
        </w:tc>
        <w:tc>
          <w:tcPr>
            <w:tcW w:w="418" w:type="pct"/>
            <w:hideMark/>
          </w:tcPr>
          <w:p w:rsidR="00437855" w:rsidRPr="00F85F25" w:rsidRDefault="00437855" w:rsidP="00F85F25">
            <w:pPr>
              <w:jc w:val="center"/>
              <w:rPr>
                <w:color w:val="000000"/>
                <w:sz w:val="28"/>
                <w:szCs w:val="28"/>
              </w:rPr>
            </w:pPr>
            <w:r w:rsidRPr="00F85F25">
              <w:rPr>
                <w:bCs/>
                <w:color w:val="000000"/>
                <w:sz w:val="28"/>
                <w:szCs w:val="28"/>
              </w:rPr>
              <w:t>2268</w:t>
            </w:r>
          </w:p>
        </w:tc>
      </w:tr>
    </w:tbl>
    <w:p w:rsidR="000C539B" w:rsidRPr="002D222C" w:rsidRDefault="000C539B" w:rsidP="000C539B">
      <w:pPr>
        <w:jc w:val="both"/>
        <w:rPr>
          <w:i/>
        </w:rPr>
      </w:pPr>
      <w:r>
        <w:rPr>
          <w:i/>
          <w:vertAlign w:val="superscript"/>
        </w:rPr>
        <w:t>*</w:t>
      </w:r>
      <w:r>
        <w:rPr>
          <w:i/>
        </w:rPr>
        <w:t xml:space="preserve"> – ievērojot valsts vispārējās vidējās izglītības standartā noteikto</w:t>
      </w:r>
    </w:p>
    <w:p w:rsidR="00E31BA3" w:rsidRDefault="00E31BA3" w:rsidP="00E31BA3">
      <w:pPr>
        <w:ind w:firstLine="720"/>
        <w:jc w:val="both"/>
        <w:rPr>
          <w:sz w:val="28"/>
          <w:szCs w:val="28"/>
        </w:rPr>
      </w:pPr>
    </w:p>
    <w:p w:rsidR="000C539B" w:rsidRPr="00A60528" w:rsidRDefault="000C539B" w:rsidP="000C539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60528">
        <w:rPr>
          <w:sz w:val="28"/>
          <w:szCs w:val="28"/>
        </w:rPr>
        <w:t>. Izglītības iestādei, izstrādājot savu izglītības programmu, ir tiesības samazināt vai palielināt izglītības programmas paraugā doto ieteicamo mācību stundu skaitu</w:t>
      </w:r>
      <w:r>
        <w:rPr>
          <w:sz w:val="28"/>
          <w:szCs w:val="28"/>
        </w:rPr>
        <w:t xml:space="preserve"> mācību priekšmetā atbilstoši iepriekš apgūtajai arodizglītības programmai.</w:t>
      </w:r>
    </w:p>
    <w:p w:rsidR="000C539B" w:rsidRDefault="000C539B" w:rsidP="00E31BA3">
      <w:pPr>
        <w:ind w:firstLine="720"/>
        <w:jc w:val="both"/>
        <w:rPr>
          <w:sz w:val="28"/>
          <w:szCs w:val="28"/>
        </w:rPr>
      </w:pPr>
    </w:p>
    <w:p w:rsidR="000C539B" w:rsidRDefault="000C539B" w:rsidP="00E3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0528">
        <w:rPr>
          <w:sz w:val="28"/>
          <w:szCs w:val="28"/>
        </w:rPr>
        <w:t>. Izglītības iestādei apstiprinātā pedagogu darba samaksas fonda ietvaros ir tiesības atsevišķu mācību priekšmetu apguvei dalīt klasi grupās gan visās, gan daļā mācību stundu, kas paredzētas a</w:t>
      </w:r>
      <w:r>
        <w:rPr>
          <w:sz w:val="28"/>
          <w:szCs w:val="28"/>
        </w:rPr>
        <w:t>tbilstošajam mācību priekšmetam.</w:t>
      </w:r>
    </w:p>
    <w:p w:rsidR="000C539B" w:rsidRDefault="000C539B" w:rsidP="00E31BA3">
      <w:pPr>
        <w:ind w:firstLine="720"/>
        <w:jc w:val="both"/>
        <w:rPr>
          <w:sz w:val="28"/>
          <w:szCs w:val="28"/>
        </w:rPr>
      </w:pPr>
    </w:p>
    <w:p w:rsidR="00034218" w:rsidRPr="00A60528" w:rsidRDefault="00034218" w:rsidP="00034218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t>8</w:t>
      </w:r>
      <w:r w:rsidRPr="00A60528">
        <w:rPr>
          <w:rFonts w:ascii="Times New Roman" w:hAnsi="Times New Roman"/>
          <w:bCs/>
          <w:iCs/>
          <w:color w:val="auto"/>
          <w:sz w:val="28"/>
          <w:szCs w:val="28"/>
          <w:lang w:val="lv-LV"/>
        </w:rPr>
        <w:t>. Izglītības programmā ārpus kopējās mācību stundu slodzes var iekļaut:</w:t>
      </w:r>
    </w:p>
    <w:p w:rsidR="00034218" w:rsidRPr="00A60528" w:rsidRDefault="00034218" w:rsidP="00034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0528">
        <w:rPr>
          <w:sz w:val="28"/>
          <w:szCs w:val="28"/>
        </w:rPr>
        <w:t>.1. klases audzināšanas stundu</w:t>
      </w:r>
      <w:r w:rsidRPr="00A60528">
        <w:rPr>
          <w:bCs/>
          <w:iCs/>
          <w:sz w:val="28"/>
          <w:szCs w:val="28"/>
        </w:rPr>
        <w:t>;</w:t>
      </w:r>
    </w:p>
    <w:p w:rsidR="00034218" w:rsidRPr="00A60528" w:rsidRDefault="00034218" w:rsidP="00034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0528">
        <w:rPr>
          <w:sz w:val="28"/>
          <w:szCs w:val="28"/>
        </w:rPr>
        <w:t>.2. stundas individuālajam darbam ar talantīgiem izglītojamiem atsevišķu mācību priekšmetu padziļinātai apguvei;</w:t>
      </w:r>
    </w:p>
    <w:p w:rsidR="00034218" w:rsidRPr="00A60528" w:rsidRDefault="00034218" w:rsidP="00034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0528">
        <w:rPr>
          <w:sz w:val="28"/>
          <w:szCs w:val="28"/>
        </w:rPr>
        <w:t>.3. stundas individuālajam darbam ar izglītojamajiem, kuriem nepieciešama papildus palīdzība mācību satura apguvē mācību priekšmetā;</w:t>
      </w:r>
    </w:p>
    <w:p w:rsidR="00034218" w:rsidRDefault="00034218" w:rsidP="00034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8.4</w:t>
      </w:r>
      <w:r w:rsidRPr="00A60528">
        <w:rPr>
          <w:sz w:val="28"/>
          <w:szCs w:val="28"/>
        </w:rPr>
        <w:t>. mākslin</w:t>
      </w:r>
      <w:r>
        <w:rPr>
          <w:sz w:val="28"/>
          <w:szCs w:val="28"/>
        </w:rPr>
        <w:t>ieciskās pašdarbības nodarbības.</w:t>
      </w:r>
    </w:p>
    <w:p w:rsidR="00034218" w:rsidRDefault="00034218" w:rsidP="00E31BA3">
      <w:pPr>
        <w:ind w:firstLine="720"/>
        <w:jc w:val="both"/>
        <w:rPr>
          <w:sz w:val="28"/>
          <w:szCs w:val="28"/>
        </w:rPr>
      </w:pPr>
    </w:p>
    <w:p w:rsidR="00034218" w:rsidRPr="00A60528" w:rsidRDefault="00034218" w:rsidP="000342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0528">
        <w:rPr>
          <w:sz w:val="28"/>
          <w:szCs w:val="28"/>
        </w:rPr>
        <w:t xml:space="preserve">. Izglītojamajam, kurš kārtējā vai </w:t>
      </w:r>
      <w:r w:rsidR="009955EE">
        <w:rPr>
          <w:sz w:val="28"/>
          <w:szCs w:val="28"/>
        </w:rPr>
        <w:t xml:space="preserve">tēmas </w:t>
      </w:r>
      <w:r w:rsidRPr="00A60528">
        <w:rPr>
          <w:sz w:val="28"/>
          <w:szCs w:val="28"/>
        </w:rPr>
        <w:t xml:space="preserve">noslēguma vērtēšanā </w:t>
      </w:r>
      <w:r w:rsidR="009955EE">
        <w:rPr>
          <w:sz w:val="28"/>
          <w:szCs w:val="28"/>
        </w:rPr>
        <w:t xml:space="preserve">mācību gada laikā </w:t>
      </w:r>
      <w:r w:rsidRPr="00A60528">
        <w:rPr>
          <w:sz w:val="28"/>
          <w:szCs w:val="28"/>
        </w:rPr>
        <w:t>ir saņēmis vērtējumu zemāku par 4 ballēm, p</w:t>
      </w:r>
      <w:r>
        <w:rPr>
          <w:sz w:val="28"/>
          <w:szCs w:val="28"/>
        </w:rPr>
        <w:t xml:space="preserve">ēc viņa lūguma sniedz </w:t>
      </w:r>
      <w:r>
        <w:rPr>
          <w:sz w:val="28"/>
          <w:szCs w:val="28"/>
        </w:rPr>
        <w:lastRenderedPageBreak/>
        <w:t>individuālu konsultāciju</w:t>
      </w:r>
      <w:r w:rsidRPr="00A60528">
        <w:rPr>
          <w:sz w:val="28"/>
          <w:szCs w:val="28"/>
        </w:rPr>
        <w:t xml:space="preserve"> radušos mācību grūtību noskaidrošanai. Nepieciešamības ga</w:t>
      </w:r>
      <w:r>
        <w:rPr>
          <w:sz w:val="28"/>
          <w:szCs w:val="28"/>
        </w:rPr>
        <w:t>dījumā uz noteiktu periodu nodrošina atbalsta pasākumus</w:t>
      </w:r>
      <w:r w:rsidRPr="00A60528">
        <w:rPr>
          <w:sz w:val="28"/>
          <w:szCs w:val="28"/>
        </w:rPr>
        <w:t xml:space="preserve"> mācību sasniegumu un mācīšanās prasmju uzlabošanai.    </w:t>
      </w:r>
    </w:p>
    <w:p w:rsidR="00034218" w:rsidRPr="00A60528" w:rsidRDefault="00034218" w:rsidP="00034218">
      <w:pPr>
        <w:ind w:firstLine="720"/>
        <w:jc w:val="both"/>
        <w:rPr>
          <w:sz w:val="28"/>
          <w:szCs w:val="28"/>
        </w:rPr>
      </w:pPr>
    </w:p>
    <w:p w:rsidR="00034218" w:rsidRPr="00A60528" w:rsidRDefault="00034218" w:rsidP="00034218">
      <w:pPr>
        <w:pStyle w:val="NormalWe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60528">
        <w:rPr>
          <w:sz w:val="28"/>
          <w:szCs w:val="28"/>
        </w:rPr>
        <w:t xml:space="preserve">. Izglītības programmas īstenošanā izglītības iestāde izmanto Valsts izglītības satura centra apstiprināto mācību literatūru. </w:t>
      </w:r>
    </w:p>
    <w:p w:rsidR="00E31BA3" w:rsidRPr="00E31BA3" w:rsidRDefault="00E31BA3" w:rsidP="00E31BA3">
      <w:pPr>
        <w:ind w:firstLine="720"/>
        <w:jc w:val="both"/>
        <w:rPr>
          <w:sz w:val="28"/>
          <w:szCs w:val="28"/>
        </w:rPr>
      </w:pP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V. Prasības attiecībā uz iepriekš iegūto izglītību</w:t>
      </w:r>
    </w:p>
    <w:p w:rsidR="00E31BA3" w:rsidRPr="00E31BA3" w:rsidRDefault="00E31BA3" w:rsidP="00E31BA3">
      <w:pPr>
        <w:ind w:firstLine="720"/>
        <w:jc w:val="both"/>
        <w:rPr>
          <w:sz w:val="28"/>
          <w:szCs w:val="28"/>
        </w:rPr>
      </w:pPr>
    </w:p>
    <w:p w:rsidR="00E31BA3" w:rsidRPr="00E31BA3" w:rsidRDefault="00034218" w:rsidP="00E3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31BA3" w:rsidRPr="00E31BA3">
        <w:rPr>
          <w:sz w:val="28"/>
          <w:szCs w:val="28"/>
        </w:rPr>
        <w:t>. Pamats izglītoja</w:t>
      </w:r>
      <w:r w:rsidR="00B95EF9">
        <w:rPr>
          <w:sz w:val="28"/>
          <w:szCs w:val="28"/>
        </w:rPr>
        <w:t>mā uzņemšanai izglītības programmā ir</w:t>
      </w:r>
      <w:r w:rsidR="00E31BA3" w:rsidRPr="00E31BA3">
        <w:rPr>
          <w:sz w:val="28"/>
          <w:szCs w:val="28"/>
        </w:rPr>
        <w:t xml:space="preserve"> atestāts par arodizglītību un sekmju izraksts, kas apliecina, ka ir apgūta arodizglītības programma </w:t>
      </w:r>
      <w:r w:rsidR="00B95EF9">
        <w:rPr>
          <w:sz w:val="28"/>
          <w:szCs w:val="28"/>
        </w:rPr>
        <w:t>ne mazāk kā 4230 stundu apjomā.</w:t>
      </w: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VI. Iegūtās izglītības vērtēšanas kritēriji un kārtība</w:t>
      </w: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</w:p>
    <w:p w:rsidR="00E31BA3" w:rsidRDefault="00034218" w:rsidP="00E3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1BA3" w:rsidRPr="00E31BA3">
        <w:rPr>
          <w:sz w:val="28"/>
          <w:szCs w:val="28"/>
        </w:rPr>
        <w:t>. </w:t>
      </w:r>
      <w:r w:rsidR="00B95EF9" w:rsidRPr="001E756F">
        <w:rPr>
          <w:sz w:val="28"/>
          <w:szCs w:val="28"/>
        </w:rPr>
        <w:t xml:space="preserve">Izglītojamo iegūtās vispārējās vidējās izglītības vērtēšanas pamatprincipi, </w:t>
      </w:r>
      <w:r w:rsidR="00C64E86">
        <w:rPr>
          <w:sz w:val="28"/>
          <w:szCs w:val="28"/>
        </w:rPr>
        <w:t xml:space="preserve">kritēriji, </w:t>
      </w:r>
      <w:r w:rsidR="00B95EF9" w:rsidRPr="001E756F">
        <w:rPr>
          <w:sz w:val="28"/>
          <w:szCs w:val="28"/>
        </w:rPr>
        <w:t xml:space="preserve">kārtība, obligātie valsts pārbaudījumi, kā arī </w:t>
      </w:r>
      <w:r w:rsidR="00B95EF9" w:rsidRPr="001E756F">
        <w:rPr>
          <w:bCs/>
          <w:sz w:val="28"/>
          <w:szCs w:val="28"/>
        </w:rPr>
        <w:t>mācību sasniegumu vērtēšanas formas un metodiskie paņēmieni</w:t>
      </w:r>
      <w:r w:rsidR="00B95EF9" w:rsidRPr="001E756F">
        <w:rPr>
          <w:sz w:val="28"/>
          <w:szCs w:val="28"/>
        </w:rPr>
        <w:t xml:space="preserve"> noteikti valsts vispārējās vidējās izglītības standartā.</w:t>
      </w:r>
    </w:p>
    <w:p w:rsidR="00034218" w:rsidRDefault="00034218" w:rsidP="00E31BA3">
      <w:pPr>
        <w:ind w:firstLine="720"/>
        <w:jc w:val="both"/>
        <w:rPr>
          <w:sz w:val="28"/>
          <w:szCs w:val="28"/>
        </w:rPr>
      </w:pPr>
    </w:p>
    <w:p w:rsidR="00B95EF9" w:rsidRPr="00E31BA3" w:rsidRDefault="00034218" w:rsidP="00E3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95EF9">
        <w:rPr>
          <w:sz w:val="28"/>
          <w:szCs w:val="28"/>
        </w:rPr>
        <w:t>. Par</w:t>
      </w:r>
      <w:r w:rsidR="00B95EF9" w:rsidRPr="00A60528">
        <w:rPr>
          <w:sz w:val="28"/>
          <w:szCs w:val="28"/>
        </w:rPr>
        <w:t xml:space="preserve"> izglītības programmas apguvi izglītojamie saņem atestātu par vispārējo vidējo izglītību, sekmju izrakstu un vispārējās vidējās izglītības sertifikātu </w:t>
      </w:r>
      <w:r w:rsidR="00EE377E">
        <w:rPr>
          <w:sz w:val="28"/>
          <w:szCs w:val="28"/>
        </w:rPr>
        <w:t>Ministru kabineta noteiktajā kārtībā.</w:t>
      </w: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VII. Izglītības programmas īstenošanai nepieciešamo pedagogu,</w:t>
      </w:r>
    </w:p>
    <w:p w:rsidR="00E31BA3" w:rsidRPr="00E31BA3" w:rsidRDefault="00E31BA3" w:rsidP="00E31BA3">
      <w:pPr>
        <w:ind w:firstLine="720"/>
        <w:jc w:val="center"/>
        <w:rPr>
          <w:b/>
          <w:sz w:val="28"/>
          <w:szCs w:val="28"/>
        </w:rPr>
      </w:pPr>
      <w:r w:rsidRPr="00E31BA3">
        <w:rPr>
          <w:b/>
          <w:sz w:val="28"/>
          <w:szCs w:val="28"/>
        </w:rPr>
        <w:t>finanšu un materiālo līdzekļu izvērtējums un pamatojums</w:t>
      </w:r>
    </w:p>
    <w:p w:rsidR="00E31BA3" w:rsidRPr="00E31BA3" w:rsidRDefault="00E31BA3" w:rsidP="00E31BA3">
      <w:pPr>
        <w:ind w:firstLine="720"/>
        <w:jc w:val="both"/>
        <w:rPr>
          <w:b/>
          <w:sz w:val="28"/>
          <w:szCs w:val="28"/>
        </w:rPr>
      </w:pPr>
    </w:p>
    <w:p w:rsidR="00E31BA3" w:rsidRPr="00E31BA3" w:rsidRDefault="00034218" w:rsidP="00E31B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31BA3" w:rsidRPr="00E31BA3">
        <w:rPr>
          <w:sz w:val="28"/>
          <w:szCs w:val="28"/>
        </w:rPr>
        <w:t>. </w:t>
      </w:r>
      <w:r w:rsidR="00B95EF9" w:rsidRPr="00A60528">
        <w:rPr>
          <w:sz w:val="28"/>
          <w:szCs w:val="28"/>
        </w:rPr>
        <w:t>Izglītības programmas īstenošanai nepieciešamo pedagogu profesiju un amatu sarakstu, prasības pedagogiem nepieciešamajai izglītībai un profesionālajai kvalifikācijai atbilstoši pedagogu profesijām un pedagogu profesionāl</w:t>
      </w:r>
      <w:r w:rsidR="00EE377E">
        <w:rPr>
          <w:sz w:val="28"/>
          <w:szCs w:val="28"/>
        </w:rPr>
        <w:t>ajai</w:t>
      </w:r>
      <w:r w:rsidR="00B95EF9" w:rsidRPr="00A60528">
        <w:rPr>
          <w:sz w:val="28"/>
          <w:szCs w:val="28"/>
        </w:rPr>
        <w:t xml:space="preserve"> pilnveide</w:t>
      </w:r>
      <w:r w:rsidR="00EE377E">
        <w:rPr>
          <w:sz w:val="28"/>
          <w:szCs w:val="28"/>
        </w:rPr>
        <w:t>i nosaka</w:t>
      </w:r>
      <w:r w:rsidR="00B95EF9" w:rsidRPr="00A60528">
        <w:rPr>
          <w:sz w:val="28"/>
          <w:szCs w:val="28"/>
        </w:rPr>
        <w:t xml:space="preserve"> Ministru kabinet</w:t>
      </w:r>
      <w:r w:rsidR="00EE377E">
        <w:rPr>
          <w:sz w:val="28"/>
          <w:szCs w:val="28"/>
        </w:rPr>
        <w:t>a noteiktā kārtība</w:t>
      </w:r>
      <w:r w:rsidR="00B95EF9" w:rsidRPr="00A60528">
        <w:rPr>
          <w:sz w:val="28"/>
          <w:szCs w:val="28"/>
        </w:rPr>
        <w:t>.</w:t>
      </w:r>
    </w:p>
    <w:p w:rsidR="00E31BA3" w:rsidRDefault="00E31BA3" w:rsidP="00E31BA3">
      <w:pPr>
        <w:ind w:firstLine="720"/>
        <w:jc w:val="both"/>
        <w:rPr>
          <w:sz w:val="28"/>
          <w:szCs w:val="28"/>
        </w:rPr>
      </w:pPr>
    </w:p>
    <w:p w:rsidR="00B95EF9" w:rsidRPr="00A60528" w:rsidRDefault="00034218" w:rsidP="00B95EF9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15</w:t>
      </w:r>
      <w:r w:rsidR="00B95EF9" w:rsidRPr="00A60528">
        <w:rPr>
          <w:rFonts w:ascii="Times New Roman" w:hAnsi="Times New Roman"/>
          <w:sz w:val="28"/>
          <w:szCs w:val="28"/>
          <w:lang w:val="lv-LV"/>
        </w:rPr>
        <w:t>. Maksu par vidējās izglītības ieguvi valsts vai pašvaldību dibinātā izglītības iestādē sedz no valsts un pašvaldības budžeta Ministru kabineta noteiktajā kārtībā.</w:t>
      </w:r>
    </w:p>
    <w:p w:rsidR="00B95EF9" w:rsidRPr="00A60528" w:rsidRDefault="00B95EF9" w:rsidP="00B95EF9">
      <w:pPr>
        <w:ind w:firstLine="720"/>
        <w:jc w:val="both"/>
        <w:rPr>
          <w:sz w:val="28"/>
          <w:szCs w:val="28"/>
        </w:rPr>
      </w:pPr>
    </w:p>
    <w:p w:rsidR="00B95EF9" w:rsidRPr="00A60528" w:rsidRDefault="00034218" w:rsidP="00B9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95EF9" w:rsidRPr="00A60528">
        <w:rPr>
          <w:sz w:val="28"/>
          <w:szCs w:val="28"/>
        </w:rPr>
        <w:t>. Pedagogu darba samaksas kārtību un zemāko darba samaksas apmēru par vienu likmi nosaka Ministru kabinets.</w:t>
      </w:r>
    </w:p>
    <w:p w:rsidR="00B95EF9" w:rsidRPr="00A60528" w:rsidRDefault="00B95EF9" w:rsidP="00B95EF9">
      <w:pPr>
        <w:ind w:firstLine="720"/>
        <w:jc w:val="both"/>
        <w:rPr>
          <w:sz w:val="28"/>
          <w:szCs w:val="28"/>
        </w:rPr>
      </w:pPr>
    </w:p>
    <w:p w:rsidR="00B95EF9" w:rsidRPr="00A60528" w:rsidRDefault="00034218" w:rsidP="00B9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95EF9" w:rsidRPr="00A60528">
        <w:rPr>
          <w:sz w:val="28"/>
          <w:szCs w:val="28"/>
        </w:rPr>
        <w:t xml:space="preserve">. </w:t>
      </w:r>
      <w:r w:rsidR="00877456" w:rsidRPr="00877456">
        <w:rPr>
          <w:sz w:val="28"/>
          <w:szCs w:val="28"/>
        </w:rPr>
        <w:t>Apmaksājamo stundu skaitu nedēļā 10. – 12.klasei plāno un aprēķina saskaņā ar normatīvajos aktos noteikto un atbilstoši mācību priekšmetu un mācību stundu plānam</w:t>
      </w:r>
      <w:r w:rsidR="00877456">
        <w:rPr>
          <w:sz w:val="28"/>
          <w:szCs w:val="28"/>
        </w:rPr>
        <w:t>.</w:t>
      </w:r>
    </w:p>
    <w:p w:rsidR="00B95EF9" w:rsidRPr="00A60528" w:rsidRDefault="00B95EF9" w:rsidP="00B95EF9">
      <w:pPr>
        <w:ind w:firstLine="720"/>
        <w:jc w:val="both"/>
        <w:rPr>
          <w:sz w:val="28"/>
          <w:szCs w:val="28"/>
        </w:rPr>
      </w:pPr>
    </w:p>
    <w:p w:rsidR="00B95EF9" w:rsidRPr="00A60528" w:rsidRDefault="00034218" w:rsidP="00B95EF9">
      <w:pPr>
        <w:ind w:firstLine="720"/>
        <w:jc w:val="both"/>
        <w:rPr>
          <w:sz w:val="28"/>
          <w:szCs w:val="28"/>
        </w:rPr>
      </w:pPr>
      <w:bookmarkStart w:id="0" w:name="_Toc112638080"/>
      <w:bookmarkStart w:id="1" w:name="_Toc112639476"/>
      <w:r>
        <w:rPr>
          <w:sz w:val="28"/>
          <w:szCs w:val="28"/>
        </w:rPr>
        <w:lastRenderedPageBreak/>
        <w:t>18</w:t>
      </w:r>
      <w:r w:rsidR="00B95EF9" w:rsidRPr="00A60528">
        <w:rPr>
          <w:sz w:val="28"/>
          <w:szCs w:val="28"/>
        </w:rPr>
        <w:t>. Mācību satura apguvei izmantojamo m</w:t>
      </w:r>
      <w:r w:rsidR="00B95EF9">
        <w:rPr>
          <w:sz w:val="28"/>
          <w:szCs w:val="28"/>
        </w:rPr>
        <w:t>ācību līdzekļu uzskaitījums tiek noteikts</w:t>
      </w:r>
      <w:r w:rsidR="00B95EF9" w:rsidRPr="00A60528">
        <w:rPr>
          <w:sz w:val="28"/>
          <w:szCs w:val="28"/>
        </w:rPr>
        <w:t xml:space="preserve"> katra mācību priekšmeta programmā.</w:t>
      </w:r>
    </w:p>
    <w:p w:rsidR="00B95EF9" w:rsidRPr="00A60528" w:rsidRDefault="00B95EF9" w:rsidP="00B95EF9">
      <w:pPr>
        <w:ind w:firstLine="720"/>
        <w:jc w:val="both"/>
        <w:rPr>
          <w:sz w:val="28"/>
          <w:szCs w:val="28"/>
        </w:rPr>
      </w:pPr>
    </w:p>
    <w:p w:rsidR="00B95EF9" w:rsidRPr="00A60528" w:rsidRDefault="00034218" w:rsidP="00B95E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95EF9" w:rsidRPr="00A60528">
        <w:rPr>
          <w:sz w:val="28"/>
          <w:szCs w:val="28"/>
        </w:rPr>
        <w:t xml:space="preserve">. </w:t>
      </w:r>
      <w:bookmarkEnd w:id="0"/>
      <w:bookmarkEnd w:id="1"/>
      <w:r w:rsidR="00877456" w:rsidRPr="00877456">
        <w:rPr>
          <w:sz w:val="28"/>
          <w:szCs w:val="28"/>
        </w:rPr>
        <w:t>Higiēnas prasības vispārējās pamatizglītības iestādēm (tajā skaitā iestādes ēkai, telpām un to iekārtojumam, apkurei, ventilācijai, apgaismojumam, mēbeļu augstuma atbilstībai u.c.) nosaka Ministru kabineta noteiktajā kārtībā</w:t>
      </w:r>
      <w:r w:rsidR="00B95EF9" w:rsidRPr="00A60528">
        <w:rPr>
          <w:sz w:val="28"/>
          <w:szCs w:val="28"/>
        </w:rPr>
        <w:t>.</w:t>
      </w:r>
    </w:p>
    <w:p w:rsidR="00B95EF9" w:rsidRDefault="00B95EF9" w:rsidP="00B95EF9">
      <w:pPr>
        <w:ind w:firstLine="720"/>
        <w:jc w:val="both"/>
        <w:rPr>
          <w:sz w:val="28"/>
          <w:szCs w:val="28"/>
        </w:rPr>
      </w:pPr>
    </w:p>
    <w:p w:rsidR="000569C9" w:rsidRDefault="000569C9" w:rsidP="00B95EF9">
      <w:pPr>
        <w:ind w:firstLine="720"/>
        <w:jc w:val="both"/>
        <w:rPr>
          <w:sz w:val="28"/>
          <w:szCs w:val="28"/>
        </w:rPr>
      </w:pPr>
    </w:p>
    <w:p w:rsidR="000743F0" w:rsidRDefault="000743F0" w:rsidP="000743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0743F0" w:rsidRDefault="000743F0" w:rsidP="000743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0743F0" w:rsidRDefault="000743F0" w:rsidP="000743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0743F0" w:rsidRPr="00C25D95" w:rsidRDefault="000743F0" w:rsidP="000743F0">
      <w:pPr>
        <w:jc w:val="both"/>
        <w:rPr>
          <w:sz w:val="28"/>
          <w:szCs w:val="28"/>
        </w:rPr>
      </w:pPr>
    </w:p>
    <w:p w:rsidR="000743F0" w:rsidRPr="00C25D95" w:rsidRDefault="000743F0" w:rsidP="000743F0">
      <w:pPr>
        <w:jc w:val="right"/>
        <w:rPr>
          <w:sz w:val="28"/>
          <w:szCs w:val="28"/>
        </w:rPr>
      </w:pPr>
    </w:p>
    <w:p w:rsidR="000743F0" w:rsidRPr="00C25D95" w:rsidRDefault="000743F0" w:rsidP="000743F0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0743F0" w:rsidRDefault="000743F0" w:rsidP="000743F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0743F0" w:rsidRDefault="000743F0" w:rsidP="000743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0743F0" w:rsidRDefault="000743F0" w:rsidP="000743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0743F0" w:rsidRDefault="000743F0" w:rsidP="00996329">
      <w:pPr>
        <w:ind w:firstLine="720"/>
        <w:rPr>
          <w:sz w:val="28"/>
          <w:szCs w:val="28"/>
        </w:rPr>
      </w:pPr>
    </w:p>
    <w:p w:rsidR="000743F0" w:rsidRDefault="000743F0" w:rsidP="00996329">
      <w:pPr>
        <w:ind w:firstLine="720"/>
        <w:rPr>
          <w:sz w:val="28"/>
          <w:szCs w:val="28"/>
        </w:rPr>
      </w:pPr>
    </w:p>
    <w:p w:rsidR="00996329" w:rsidRDefault="00996329" w:rsidP="00996329">
      <w:pPr>
        <w:ind w:firstLine="720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Vizē: </w:t>
      </w:r>
    </w:p>
    <w:p w:rsidR="00996329" w:rsidRDefault="00996329" w:rsidP="00996329">
      <w:pPr>
        <w:ind w:left="426" w:firstLine="294"/>
        <w:rPr>
          <w:bCs/>
          <w:kern w:val="2"/>
          <w:sz w:val="28"/>
          <w:szCs w:val="28"/>
        </w:rPr>
      </w:pPr>
      <w:bookmarkStart w:id="2" w:name="str06"/>
      <w:bookmarkEnd w:id="2"/>
      <w:r>
        <w:rPr>
          <w:bCs/>
          <w:kern w:val="2"/>
          <w:sz w:val="28"/>
          <w:szCs w:val="28"/>
        </w:rPr>
        <w:t xml:space="preserve">Valsts sekretāre </w:t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</w:r>
      <w:r>
        <w:rPr>
          <w:bCs/>
          <w:kern w:val="2"/>
          <w:sz w:val="28"/>
          <w:szCs w:val="28"/>
        </w:rPr>
        <w:tab/>
        <w:t>S.Liepiņa</w:t>
      </w:r>
    </w:p>
    <w:p w:rsidR="00E31BA3" w:rsidRDefault="00E31BA3" w:rsidP="00E31BA3"/>
    <w:p w:rsidR="000D76F2" w:rsidRDefault="000D76F2" w:rsidP="00E31BA3"/>
    <w:p w:rsidR="000D76F2" w:rsidRDefault="000D76F2" w:rsidP="00E31BA3"/>
    <w:p w:rsidR="000D76F2" w:rsidRDefault="000D76F2" w:rsidP="00E31BA3"/>
    <w:p w:rsidR="001B47B5" w:rsidRDefault="000743F0" w:rsidP="00EE377E">
      <w:pPr>
        <w:ind w:firstLine="720"/>
      </w:pPr>
      <w:r>
        <w:t>23</w:t>
      </w:r>
      <w:r w:rsidR="00996329">
        <w:t>.0</w:t>
      </w:r>
      <w:r w:rsidR="001F44A8">
        <w:t>4</w:t>
      </w:r>
      <w:r w:rsidR="009F7222">
        <w:t>.2013</w:t>
      </w:r>
      <w:r>
        <w:t>.</w:t>
      </w:r>
    </w:p>
    <w:p w:rsidR="007A1763" w:rsidRPr="001B09AE" w:rsidRDefault="007A1763" w:rsidP="007A1763">
      <w:r w:rsidRPr="001B09AE">
        <w:tab/>
      </w:r>
      <w:r w:rsidR="000743F0">
        <w:t>696</w:t>
      </w:r>
    </w:p>
    <w:p w:rsidR="007A1763" w:rsidRPr="001B09AE" w:rsidRDefault="007A1763" w:rsidP="007A1763">
      <w:r w:rsidRPr="001B09AE">
        <w:tab/>
      </w:r>
      <w:bookmarkStart w:id="3" w:name="OLE_LINK3"/>
      <w:bookmarkStart w:id="4" w:name="OLE_LINK4"/>
      <w:bookmarkStart w:id="5" w:name="OLE_LINK9"/>
      <w:proofErr w:type="spellStart"/>
      <w:r w:rsidR="00EE377E">
        <w:t>I.Īvāne</w:t>
      </w:r>
      <w:proofErr w:type="spellEnd"/>
    </w:p>
    <w:p w:rsidR="00956DFA" w:rsidRPr="009F7222" w:rsidRDefault="007A1763" w:rsidP="00FF65A5">
      <w:pPr>
        <w:ind w:firstLine="720"/>
      </w:pPr>
      <w:r w:rsidRPr="009F7222">
        <w:t>67047</w:t>
      </w:r>
      <w:r w:rsidR="00EE377E" w:rsidRPr="009F7222">
        <w:t>849</w:t>
      </w:r>
      <w:r w:rsidRPr="009F7222">
        <w:t xml:space="preserve">, </w:t>
      </w:r>
      <w:hyperlink r:id="rId7" w:history="1">
        <w:r w:rsidR="00EE377E" w:rsidRPr="009F7222">
          <w:rPr>
            <w:rStyle w:val="Hyperlink"/>
            <w:color w:val="auto"/>
            <w:u w:val="none"/>
          </w:rPr>
          <w:t>ineta.ivane</w:t>
        </w:r>
        <w:r w:rsidRPr="009F7222">
          <w:rPr>
            <w:rStyle w:val="Hyperlink"/>
            <w:color w:val="auto"/>
            <w:u w:val="none"/>
          </w:rPr>
          <w:t>@izm.gov.lv</w:t>
        </w:r>
      </w:hyperlink>
      <w:r w:rsidRPr="009F7222">
        <w:t xml:space="preserve"> </w:t>
      </w:r>
      <w:bookmarkEnd w:id="3"/>
      <w:bookmarkEnd w:id="4"/>
      <w:bookmarkEnd w:id="5"/>
    </w:p>
    <w:sectPr w:rsidR="00956DFA" w:rsidRPr="009F7222" w:rsidSect="007A176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55D" w:rsidRDefault="0061555D" w:rsidP="007A1763">
      <w:r>
        <w:separator/>
      </w:r>
    </w:p>
  </w:endnote>
  <w:endnote w:type="continuationSeparator" w:id="0">
    <w:p w:rsidR="0061555D" w:rsidRDefault="0061555D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Pr="00186D76" w:rsidRDefault="00186D76" w:rsidP="00186D76">
    <w:pPr>
      <w:pStyle w:val="Footer"/>
      <w:jc w:val="both"/>
    </w:pPr>
    <w:proofErr w:type="spellStart"/>
    <w:r w:rsidRPr="000D33AC">
      <w:t>IZMNot</w:t>
    </w:r>
    <w:r>
      <w:t>p29_</w:t>
    </w:r>
    <w:r w:rsidR="000743F0">
      <w:t>23</w:t>
    </w:r>
    <w:r w:rsidR="0041669C">
      <w:t>0</w:t>
    </w:r>
    <w:r w:rsidR="001F44A8">
      <w:t>4</w:t>
    </w:r>
    <w:r w:rsidRPr="000D33AC">
      <w:t>1</w:t>
    </w:r>
    <w:r w:rsidR="00212483">
      <w:t>3</w:t>
    </w:r>
    <w:r w:rsidRPr="000D33AC">
      <w:t>_standarts</w:t>
    </w:r>
    <w:proofErr w:type="spellEnd"/>
    <w:r w:rsidRPr="000D33AC">
      <w:t xml:space="preserve">; </w:t>
    </w:r>
    <w:proofErr w:type="spellStart"/>
    <w:r>
      <w:t>29.pielikums</w:t>
    </w:r>
    <w:proofErr w:type="spellEnd"/>
    <w:r>
      <w:t xml:space="preserve"> </w:t>
    </w:r>
    <w:r w:rsidRPr="000D33AC">
      <w:t>Ministru kabineta noteikumu projekts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Pr="00186D76" w:rsidRDefault="00186D76" w:rsidP="00186D76">
    <w:pPr>
      <w:pStyle w:val="Footer"/>
      <w:jc w:val="both"/>
    </w:pPr>
    <w:proofErr w:type="spellStart"/>
    <w:r w:rsidRPr="000D33AC">
      <w:t>IZMNot</w:t>
    </w:r>
    <w:r>
      <w:t>p29_</w:t>
    </w:r>
    <w:r w:rsidR="000743F0">
      <w:t>23</w:t>
    </w:r>
    <w:r w:rsidR="0041669C">
      <w:t>0</w:t>
    </w:r>
    <w:r w:rsidR="001F44A8">
      <w:t>4</w:t>
    </w:r>
    <w:r w:rsidR="0041669C">
      <w:t>13</w:t>
    </w:r>
    <w:r w:rsidRPr="000D33AC">
      <w:t>_standarts</w:t>
    </w:r>
    <w:proofErr w:type="spellEnd"/>
    <w:r w:rsidRPr="000D33AC">
      <w:t xml:space="preserve">; </w:t>
    </w:r>
    <w:proofErr w:type="spellStart"/>
    <w:r>
      <w:t>29.pielikums</w:t>
    </w:r>
    <w:proofErr w:type="spellEnd"/>
    <w:r>
      <w:t xml:space="preserve"> </w:t>
    </w:r>
    <w:r w:rsidRPr="000D33AC">
      <w:t>Ministru kabineta noteikumu projekts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55D" w:rsidRDefault="0061555D" w:rsidP="007A1763">
      <w:r>
        <w:separator/>
      </w:r>
    </w:p>
  </w:footnote>
  <w:footnote w:type="continuationSeparator" w:id="0">
    <w:p w:rsidR="0061555D" w:rsidRDefault="0061555D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AC522A">
    <w:pPr>
      <w:pStyle w:val="Header"/>
      <w:jc w:val="center"/>
    </w:pPr>
    <w:r>
      <w:fldChar w:fldCharType="begin"/>
    </w:r>
    <w:r w:rsidR="00356395">
      <w:instrText xml:space="preserve"> PAGE   \* MERGEFORMAT </w:instrText>
    </w:r>
    <w:r>
      <w:fldChar w:fldCharType="separate"/>
    </w:r>
    <w:r w:rsidR="000569C9">
      <w:rPr>
        <w:noProof/>
      </w:rPr>
      <w:t>4</w:t>
    </w:r>
    <w:r>
      <w:fldChar w:fldCharType="end"/>
    </w:r>
  </w:p>
  <w:p w:rsidR="007A1763" w:rsidRDefault="007A1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20ED9"/>
    <w:multiLevelType w:val="hybridMultilevel"/>
    <w:tmpl w:val="D0BC3BCC"/>
    <w:lvl w:ilvl="0" w:tplc="004EF320">
      <w:start w:val="30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0199A"/>
    <w:rsid w:val="000230BD"/>
    <w:rsid w:val="00031694"/>
    <w:rsid w:val="00034218"/>
    <w:rsid w:val="000569C9"/>
    <w:rsid w:val="0006583A"/>
    <w:rsid w:val="000743F0"/>
    <w:rsid w:val="0007717A"/>
    <w:rsid w:val="00081E02"/>
    <w:rsid w:val="0009050A"/>
    <w:rsid w:val="00090ED0"/>
    <w:rsid w:val="000C539B"/>
    <w:rsid w:val="000D329F"/>
    <w:rsid w:val="000D76F2"/>
    <w:rsid w:val="000E2F63"/>
    <w:rsid w:val="00142E38"/>
    <w:rsid w:val="001474D8"/>
    <w:rsid w:val="00186D76"/>
    <w:rsid w:val="001B47B5"/>
    <w:rsid w:val="001D3B73"/>
    <w:rsid w:val="001F44A8"/>
    <w:rsid w:val="00212483"/>
    <w:rsid w:val="00225CAA"/>
    <w:rsid w:val="002346E8"/>
    <w:rsid w:val="002411A4"/>
    <w:rsid w:val="0026202C"/>
    <w:rsid w:val="002939A4"/>
    <w:rsid w:val="002B394B"/>
    <w:rsid w:val="002C7B4C"/>
    <w:rsid w:val="002D222C"/>
    <w:rsid w:val="002D4AC8"/>
    <w:rsid w:val="002F6D1A"/>
    <w:rsid w:val="002F7C64"/>
    <w:rsid w:val="00305478"/>
    <w:rsid w:val="003113A0"/>
    <w:rsid w:val="003143F4"/>
    <w:rsid w:val="00322DB5"/>
    <w:rsid w:val="00356395"/>
    <w:rsid w:val="003606B9"/>
    <w:rsid w:val="0037756A"/>
    <w:rsid w:val="003A12D3"/>
    <w:rsid w:val="003B5EA6"/>
    <w:rsid w:val="003D4123"/>
    <w:rsid w:val="0041669C"/>
    <w:rsid w:val="00435B13"/>
    <w:rsid w:val="00437855"/>
    <w:rsid w:val="00466AEA"/>
    <w:rsid w:val="00482D0E"/>
    <w:rsid w:val="0048665D"/>
    <w:rsid w:val="00491AC4"/>
    <w:rsid w:val="004D49E5"/>
    <w:rsid w:val="004F3AF6"/>
    <w:rsid w:val="00524A43"/>
    <w:rsid w:val="00533A9C"/>
    <w:rsid w:val="005538ED"/>
    <w:rsid w:val="005B6CF2"/>
    <w:rsid w:val="005D198D"/>
    <w:rsid w:val="005D3336"/>
    <w:rsid w:val="005E251A"/>
    <w:rsid w:val="005F2353"/>
    <w:rsid w:val="0061555D"/>
    <w:rsid w:val="006240C0"/>
    <w:rsid w:val="00627C85"/>
    <w:rsid w:val="00636D18"/>
    <w:rsid w:val="00657233"/>
    <w:rsid w:val="006B2CFA"/>
    <w:rsid w:val="006C2E07"/>
    <w:rsid w:val="0071795C"/>
    <w:rsid w:val="00724BE6"/>
    <w:rsid w:val="007379DF"/>
    <w:rsid w:val="007734D9"/>
    <w:rsid w:val="00790B02"/>
    <w:rsid w:val="007A1763"/>
    <w:rsid w:val="007B17D4"/>
    <w:rsid w:val="007B1BB9"/>
    <w:rsid w:val="007F634B"/>
    <w:rsid w:val="00812173"/>
    <w:rsid w:val="008471DD"/>
    <w:rsid w:val="00855E68"/>
    <w:rsid w:val="00877456"/>
    <w:rsid w:val="008A14D2"/>
    <w:rsid w:val="008C0C51"/>
    <w:rsid w:val="008E3C48"/>
    <w:rsid w:val="008E436A"/>
    <w:rsid w:val="0091462D"/>
    <w:rsid w:val="00956DFA"/>
    <w:rsid w:val="00986F2D"/>
    <w:rsid w:val="009917D3"/>
    <w:rsid w:val="009955EE"/>
    <w:rsid w:val="00995F8E"/>
    <w:rsid w:val="00996329"/>
    <w:rsid w:val="009A2A8E"/>
    <w:rsid w:val="009A49BD"/>
    <w:rsid w:val="009B72C1"/>
    <w:rsid w:val="009D3074"/>
    <w:rsid w:val="009E1C90"/>
    <w:rsid w:val="009F27C8"/>
    <w:rsid w:val="009F372B"/>
    <w:rsid w:val="009F7222"/>
    <w:rsid w:val="00A17765"/>
    <w:rsid w:val="00A230A9"/>
    <w:rsid w:val="00A51BFD"/>
    <w:rsid w:val="00A5500D"/>
    <w:rsid w:val="00A56B8C"/>
    <w:rsid w:val="00A60528"/>
    <w:rsid w:val="00A61471"/>
    <w:rsid w:val="00A74149"/>
    <w:rsid w:val="00AC522A"/>
    <w:rsid w:val="00AD68FA"/>
    <w:rsid w:val="00B424EC"/>
    <w:rsid w:val="00B81DB1"/>
    <w:rsid w:val="00B92BFB"/>
    <w:rsid w:val="00B95EF9"/>
    <w:rsid w:val="00BD16FB"/>
    <w:rsid w:val="00C13648"/>
    <w:rsid w:val="00C5565D"/>
    <w:rsid w:val="00C63FE6"/>
    <w:rsid w:val="00C64E86"/>
    <w:rsid w:val="00C676F7"/>
    <w:rsid w:val="00C95585"/>
    <w:rsid w:val="00CB35E5"/>
    <w:rsid w:val="00CC56AF"/>
    <w:rsid w:val="00CF42CF"/>
    <w:rsid w:val="00D177D3"/>
    <w:rsid w:val="00D322DC"/>
    <w:rsid w:val="00D54F0D"/>
    <w:rsid w:val="00D63F80"/>
    <w:rsid w:val="00D8152E"/>
    <w:rsid w:val="00DF062F"/>
    <w:rsid w:val="00E30147"/>
    <w:rsid w:val="00E31BA3"/>
    <w:rsid w:val="00E40054"/>
    <w:rsid w:val="00E67BBC"/>
    <w:rsid w:val="00E93678"/>
    <w:rsid w:val="00EE377E"/>
    <w:rsid w:val="00F02B74"/>
    <w:rsid w:val="00F15DA8"/>
    <w:rsid w:val="00F219B9"/>
    <w:rsid w:val="00F330B3"/>
    <w:rsid w:val="00F4023E"/>
    <w:rsid w:val="00F76BCA"/>
    <w:rsid w:val="00F8266F"/>
    <w:rsid w:val="00F85F25"/>
    <w:rsid w:val="00FA2490"/>
    <w:rsid w:val="00FA3420"/>
    <w:rsid w:val="00FA3FD2"/>
    <w:rsid w:val="00FB0E1D"/>
    <w:rsid w:val="00FB6138"/>
    <w:rsid w:val="00FB71D1"/>
    <w:rsid w:val="00FC7CFD"/>
    <w:rsid w:val="00FD2B5A"/>
    <w:rsid w:val="00FF65A5"/>
    <w:rsid w:val="00FF6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05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6052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052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60528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rsid w:val="00A60528"/>
    <w:rPr>
      <w:rFonts w:ascii="Times New Roman" w:eastAsia="Times New Roman" w:hAnsi="Times New Roman" w:cs="Arial"/>
      <w:b/>
      <w:bCs/>
      <w:iCs/>
      <w:sz w:val="24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A60528"/>
    <w:rPr>
      <w:rFonts w:ascii="Cambria" w:eastAsia="Times New Roman" w:hAnsi="Cambria" w:cs="Times New Roman"/>
      <w:b/>
      <w:bCs/>
      <w:color w:val="4F81BD"/>
      <w:sz w:val="24"/>
      <w:szCs w:val="24"/>
      <w:lang w:eastAsia="lv-LV"/>
    </w:rPr>
  </w:style>
  <w:style w:type="character" w:styleId="PageNumber">
    <w:name w:val="page number"/>
    <w:basedOn w:val="DefaultParagraphFont"/>
    <w:rsid w:val="00A60528"/>
  </w:style>
  <w:style w:type="paragraph" w:styleId="HTMLPreformatted">
    <w:name w:val="HTML Preformatted"/>
    <w:basedOn w:val="Normal"/>
    <w:link w:val="HTMLPreformattedChar"/>
    <w:uiPriority w:val="99"/>
    <w:rsid w:val="00A605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0528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A60528"/>
    <w:pPr>
      <w:spacing w:before="50" w:after="50"/>
      <w:jc w:val="right"/>
    </w:pPr>
  </w:style>
  <w:style w:type="paragraph" w:customStyle="1" w:styleId="naisf">
    <w:name w:val="naisf"/>
    <w:basedOn w:val="Normal"/>
    <w:rsid w:val="00A60528"/>
    <w:pPr>
      <w:spacing w:before="50" w:after="50"/>
      <w:ind w:firstLine="250"/>
      <w:jc w:val="both"/>
    </w:pPr>
  </w:style>
  <w:style w:type="paragraph" w:customStyle="1" w:styleId="naisnod">
    <w:name w:val="naisnod"/>
    <w:basedOn w:val="Normal"/>
    <w:rsid w:val="00A60528"/>
    <w:pPr>
      <w:spacing w:before="150" w:after="100"/>
      <w:jc w:val="center"/>
    </w:pPr>
    <w:rPr>
      <w:b/>
      <w:bCs/>
    </w:rPr>
  </w:style>
  <w:style w:type="paragraph" w:customStyle="1" w:styleId="naisc">
    <w:name w:val="naisc"/>
    <w:basedOn w:val="Normal"/>
    <w:rsid w:val="00A60528"/>
    <w:pPr>
      <w:spacing w:before="50" w:after="50"/>
      <w:jc w:val="center"/>
    </w:pPr>
  </w:style>
  <w:style w:type="paragraph" w:customStyle="1" w:styleId="naiskr">
    <w:name w:val="naiskr"/>
    <w:basedOn w:val="Normal"/>
    <w:rsid w:val="00A60528"/>
    <w:pPr>
      <w:spacing w:before="50" w:after="50"/>
    </w:pPr>
  </w:style>
  <w:style w:type="paragraph" w:styleId="NormalWeb">
    <w:name w:val="Normal (Web)"/>
    <w:basedOn w:val="Normal"/>
    <w:unhideWhenUsed/>
    <w:rsid w:val="00A60528"/>
    <w:pPr>
      <w:spacing w:before="50" w:after="50"/>
    </w:pPr>
  </w:style>
  <w:style w:type="paragraph" w:customStyle="1" w:styleId="nais1">
    <w:name w:val="nais1"/>
    <w:basedOn w:val="Normal"/>
    <w:rsid w:val="00A60528"/>
    <w:pPr>
      <w:spacing w:before="50" w:after="50"/>
      <w:ind w:left="298" w:firstLine="248"/>
      <w:jc w:val="both"/>
    </w:pPr>
  </w:style>
  <w:style w:type="paragraph" w:customStyle="1" w:styleId="nais2">
    <w:name w:val="nais2"/>
    <w:basedOn w:val="Normal"/>
    <w:rsid w:val="00A60528"/>
    <w:pPr>
      <w:spacing w:before="50" w:after="50"/>
      <w:ind w:left="596" w:firstLine="248"/>
      <w:jc w:val="both"/>
    </w:pPr>
  </w:style>
  <w:style w:type="paragraph" w:customStyle="1" w:styleId="naispant">
    <w:name w:val="naispant"/>
    <w:basedOn w:val="Normal"/>
    <w:rsid w:val="00A60528"/>
    <w:pPr>
      <w:spacing w:before="50" w:after="50"/>
      <w:ind w:left="248" w:firstLine="248"/>
      <w:jc w:val="both"/>
    </w:pPr>
    <w:rPr>
      <w:b/>
      <w:bCs/>
    </w:rPr>
  </w:style>
  <w:style w:type="paragraph" w:styleId="BodyText">
    <w:name w:val="Body Text"/>
    <w:basedOn w:val="Normal"/>
    <w:link w:val="BodyText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6052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A60528"/>
    <w:rPr>
      <w:rFonts w:ascii="Arial Unicode MS" w:eastAsia="Arial Unicode MS" w:hAnsi="Arial Unicode MS" w:cs="Times New Roman"/>
      <w:color w:val="000000"/>
      <w:sz w:val="24"/>
      <w:szCs w:val="24"/>
      <w:lang w:val="en-GB"/>
    </w:rPr>
  </w:style>
  <w:style w:type="character" w:styleId="Strong">
    <w:name w:val="Strong"/>
    <w:basedOn w:val="DefaultParagraphFont"/>
    <w:qFormat/>
    <w:rsid w:val="00A60528"/>
    <w:rPr>
      <w:b/>
      <w:bCs/>
    </w:rPr>
  </w:style>
  <w:style w:type="paragraph" w:styleId="BodyTextIndent">
    <w:name w:val="Body Text Indent"/>
    <w:basedOn w:val="Normal"/>
    <w:link w:val="BodyTextIndentChar"/>
    <w:rsid w:val="00A6052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60528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A605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ize21">
    <w:name w:val="fontsize21"/>
    <w:basedOn w:val="DefaultParagraphFont"/>
    <w:rsid w:val="00A60528"/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A605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2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A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A8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A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gars.grinis@izm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703</Words>
  <Characters>4957</Characters>
  <Application>Microsoft Office Word</Application>
  <DocSecurity>0</DocSecurity>
  <Lines>154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5558</CharactersWithSpaces>
  <SharedDoc>false</SharedDoc>
  <HLinks>
    <vt:vector size="6" baseType="variant">
      <vt:variant>
        <vt:i4>2752526</vt:i4>
      </vt:variant>
      <vt:variant>
        <vt:i4>3</vt:i4>
      </vt:variant>
      <vt:variant>
        <vt:i4>0</vt:i4>
      </vt:variant>
      <vt:variant>
        <vt:i4>5</vt:i4>
      </vt:variant>
      <vt:variant>
        <vt:lpwstr>mailto:edgars.grinis@izm.gov.lv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29.pielikums. Izlīdzinošā progr</dc:subject>
  <dc:creator>I.Īvāne</dc:creator>
  <cp:keywords/>
  <dc:description>I.Īvāne
67047849, ineta.ivane@izm.gov.lv </dc:description>
  <cp:lastModifiedBy>dmergupe</cp:lastModifiedBy>
  <cp:revision>4</cp:revision>
  <cp:lastPrinted>2013-04-23T13:09:00Z</cp:lastPrinted>
  <dcterms:created xsi:type="dcterms:W3CDTF">2013-04-23T13:07:00Z</dcterms:created>
  <dcterms:modified xsi:type="dcterms:W3CDTF">2013-04-23T13:09:00Z</dcterms:modified>
</cp:coreProperties>
</file>