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1A" w:rsidRPr="005A38C0" w:rsidRDefault="00CC621A" w:rsidP="00D41AB9">
      <w:pPr>
        <w:jc w:val="both"/>
        <w:rPr>
          <w:b/>
          <w:sz w:val="32"/>
        </w:rPr>
      </w:pPr>
      <w:bookmarkStart w:id="0" w:name="_Toc368987642"/>
      <w:r w:rsidRPr="005A38C0">
        <w:rPr>
          <w:b/>
          <w:sz w:val="32"/>
        </w:rPr>
        <w:t>2014.–2020.gada Eiropas struktūrfondu plānošanas periodam piemērojamo ex-ante nosacījumu izpildes pašvērtējums</w:t>
      </w:r>
      <w:bookmarkEnd w:id="0"/>
    </w:p>
    <w:p w:rsidR="00CC621A" w:rsidRPr="00D002BB" w:rsidRDefault="00CC621A" w:rsidP="00D41AB9">
      <w:pPr>
        <w:pStyle w:val="teksts"/>
      </w:pPr>
      <w:r w:rsidRPr="00D002BB">
        <w:t xml:space="preserve">Saskaņā ar ES Padomes rekomendācijām 2014.-2020.gada plānošanas perioda </w:t>
      </w:r>
      <w:r w:rsidRPr="00D002BB">
        <w:br/>
        <w:t>darbības programmas ,,Izaugsme un nodarbinātība’’ un ,,Partnerības līguma Eiropas struktūrfondu un investīciju fondu 2014.–2020.gada plānošanas periodam’’ noslēgšanai izglītības politikai ir noteikti  ex-ante nosacījumu izpildes kritēriji (atbilstīgi LESD 165.panta darbības jomai).</w:t>
      </w:r>
    </w:p>
    <w:p w:rsidR="00CC621A" w:rsidRPr="00D002BB" w:rsidRDefault="00CC621A" w:rsidP="00D002BB"/>
    <w:p w:rsidR="00CC621A" w:rsidRPr="00D41AB9" w:rsidRDefault="00CC621A" w:rsidP="00D41AB9">
      <w:pPr>
        <w:jc w:val="both"/>
        <w:rPr>
          <w:b/>
        </w:rPr>
      </w:pPr>
      <w:r w:rsidRPr="00D41AB9">
        <w:rPr>
          <w:b/>
        </w:rPr>
        <w:t>9.1. Priekšlaicīga mācību pārtraukšana: pastāv stratēģiska politikas sistēma, lai samazinātu priekšlaicīgu mācību pārtraukšanu, kas ietver:</w:t>
      </w:r>
    </w:p>
    <w:p w:rsidR="00CC621A" w:rsidRPr="00D002BB" w:rsidRDefault="00CC621A" w:rsidP="00D41AB9">
      <w:pPr>
        <w:ind w:left="360"/>
      </w:pPr>
      <w:r w:rsidRPr="00D002BB">
        <w:t>sistēmu ar priekšlaicīgu mācību pārtraukšanu saistītu datu un informāciju analīzei un politiku veidošanai;</w:t>
      </w:r>
    </w:p>
    <w:p w:rsidR="00CC621A" w:rsidRPr="00D002BB" w:rsidRDefault="00CC621A" w:rsidP="00D41AB9">
      <w:pPr>
        <w:ind w:left="360"/>
      </w:pPr>
      <w:r w:rsidRPr="00D002BB">
        <w:t>ar priekšlaicīgu mācību pārtraukšanu saistīta stratēģiska politikas sistēmas izveidi:</w:t>
      </w:r>
    </w:p>
    <w:p w:rsidR="00CC621A" w:rsidRPr="00D002BB" w:rsidRDefault="00CC621A" w:rsidP="00D41AB9">
      <w:pPr>
        <w:pStyle w:val="ListParagraph"/>
        <w:numPr>
          <w:ilvl w:val="0"/>
          <w:numId w:val="30"/>
        </w:numPr>
      </w:pPr>
      <w:r w:rsidRPr="00D002BB">
        <w:t>kas ir pamatota ar pierādījumiem;</w:t>
      </w:r>
    </w:p>
    <w:p w:rsidR="00CC621A" w:rsidRPr="00D002BB" w:rsidRDefault="00CC621A" w:rsidP="00D41AB9">
      <w:pPr>
        <w:pStyle w:val="ListParagraph"/>
        <w:numPr>
          <w:ilvl w:val="0"/>
          <w:numId w:val="30"/>
        </w:numPr>
      </w:pPr>
      <w:r w:rsidRPr="00D002BB">
        <w:t>kas ietver attiecīgas izglītības jomas;</w:t>
      </w:r>
    </w:p>
    <w:p w:rsidR="00CC621A" w:rsidRPr="00D002BB" w:rsidRDefault="00CC621A" w:rsidP="00D41AB9">
      <w:pPr>
        <w:pStyle w:val="ListParagraph"/>
        <w:numPr>
          <w:ilvl w:val="0"/>
          <w:numId w:val="30"/>
        </w:numPr>
      </w:pPr>
      <w:r w:rsidRPr="00D002BB">
        <w:t>kurā ir iesaistīti visi politikas virzieni un ieinteresētās puses</w:t>
      </w:r>
      <w:r w:rsidR="00D41AB9">
        <w:t>.</w:t>
      </w:r>
    </w:p>
    <w:p w:rsidR="00CC621A" w:rsidRPr="00D002BB" w:rsidRDefault="00CC621A" w:rsidP="00D002BB"/>
    <w:p w:rsidR="00CC621A" w:rsidRPr="00D41AB9" w:rsidRDefault="00CC621A" w:rsidP="00D41AB9">
      <w:pPr>
        <w:jc w:val="both"/>
        <w:rPr>
          <w:b/>
        </w:rPr>
      </w:pPr>
      <w:r w:rsidRPr="00D41AB9">
        <w:rPr>
          <w:b/>
        </w:rPr>
        <w:t>9.2. Augstākā izglītība: pastāv valsts vai reģionāla stratēģiska politikas sistēma, lai palielinātu sasniegumu līmeni augstākajā izglītībā, tās kvalitāti un efektivitāti. Tā ietver:</w:t>
      </w:r>
    </w:p>
    <w:p w:rsidR="00CC621A" w:rsidRPr="00D002BB" w:rsidRDefault="00CC621A" w:rsidP="00D41AB9">
      <w:pPr>
        <w:ind w:left="720"/>
        <w:jc w:val="both"/>
      </w:pPr>
      <w:r w:rsidRPr="00D002BB">
        <w:t>stratēģisku politikas sistēmu augstākās izglītības jomā, kurā definēti pasākumi līdzdalības un sasniegumu veicināšanai, kuri:</w:t>
      </w:r>
    </w:p>
    <w:p w:rsidR="00CC621A" w:rsidRPr="00D002BB" w:rsidRDefault="00CC621A" w:rsidP="00D41AB9">
      <w:pPr>
        <w:pStyle w:val="ListParagraph"/>
        <w:numPr>
          <w:ilvl w:val="0"/>
          <w:numId w:val="31"/>
        </w:numPr>
      </w:pPr>
      <w:r w:rsidRPr="00D002BB">
        <w:t xml:space="preserve">veicina līdzdalību augstākajā izglītībā iedzīvotāju ar zemiem ienākumiem vidū; </w:t>
      </w:r>
    </w:p>
    <w:p w:rsidR="00CC621A" w:rsidRPr="00D002BB" w:rsidRDefault="00CC621A" w:rsidP="00D41AB9">
      <w:pPr>
        <w:pStyle w:val="ListParagraph"/>
        <w:numPr>
          <w:ilvl w:val="0"/>
          <w:numId w:val="31"/>
        </w:numPr>
      </w:pPr>
      <w:r w:rsidRPr="00D002BB">
        <w:t>mazina mācību priekšlaicīgas pārtraukšanas rādītājus.</w:t>
      </w:r>
    </w:p>
    <w:p w:rsidR="00CC621A" w:rsidRPr="00D002BB" w:rsidRDefault="00CC621A" w:rsidP="00D41AB9">
      <w:pPr>
        <w:ind w:left="360"/>
      </w:pPr>
      <w:r w:rsidRPr="00D002BB">
        <w:t>pasākumus nodarbinātības un uzņēmējdarbības veicināšanai, kuri:</w:t>
      </w:r>
    </w:p>
    <w:p w:rsidR="00CC621A" w:rsidRPr="00D002BB" w:rsidRDefault="00CC621A" w:rsidP="00D41AB9">
      <w:pPr>
        <w:pStyle w:val="ListParagraph"/>
        <w:numPr>
          <w:ilvl w:val="0"/>
          <w:numId w:val="32"/>
        </w:numPr>
      </w:pPr>
      <w:r w:rsidRPr="00D002BB">
        <w:t>veicina starpdisciplīnu prasmes;</w:t>
      </w:r>
    </w:p>
    <w:p w:rsidR="00CC621A" w:rsidRPr="00D002BB" w:rsidRDefault="00CC621A" w:rsidP="00D41AB9">
      <w:pPr>
        <w:pStyle w:val="ListParagraph"/>
        <w:numPr>
          <w:ilvl w:val="0"/>
          <w:numId w:val="32"/>
        </w:numPr>
      </w:pPr>
      <w:r w:rsidRPr="00D002BB">
        <w:t>mazina dzimumu atšķirības.</w:t>
      </w:r>
    </w:p>
    <w:p w:rsidR="00CC621A" w:rsidRPr="00D002BB" w:rsidRDefault="00CC621A" w:rsidP="00D002BB"/>
    <w:p w:rsidR="00CC621A" w:rsidRPr="00D41AB9" w:rsidRDefault="00CC621A" w:rsidP="00D002BB">
      <w:pPr>
        <w:rPr>
          <w:b/>
        </w:rPr>
      </w:pPr>
      <w:r w:rsidRPr="00D41AB9">
        <w:rPr>
          <w:b/>
        </w:rPr>
        <w:t>9.3. Mūžizglītība: pastāv valsts un/vai reģionāla mūžizglītības stratēģiska politikas sistēma, kurā ietverti:</w:t>
      </w:r>
    </w:p>
    <w:p w:rsidR="00CC621A" w:rsidRPr="00D002BB" w:rsidRDefault="00CC621A" w:rsidP="00D41AB9">
      <w:pPr>
        <w:pStyle w:val="ListParagraph"/>
        <w:numPr>
          <w:ilvl w:val="0"/>
          <w:numId w:val="33"/>
        </w:numPr>
      </w:pPr>
      <w:r w:rsidRPr="00D002BB">
        <w:t>pasākumi, lai atbalstītu mūžizglītības ieviešanu un prasmju uzlabošanu;</w:t>
      </w:r>
    </w:p>
    <w:p w:rsidR="00CC621A" w:rsidRPr="00D002BB" w:rsidRDefault="00CC621A" w:rsidP="00D41AB9">
      <w:pPr>
        <w:pStyle w:val="ListParagraph"/>
        <w:numPr>
          <w:ilvl w:val="0"/>
          <w:numId w:val="33"/>
        </w:numPr>
      </w:pPr>
      <w:r w:rsidRPr="00D002BB">
        <w:t>pasākumi, lai nodrošinātu prasmju pilnveidošanu;</w:t>
      </w:r>
    </w:p>
    <w:p w:rsidR="00CC621A" w:rsidRPr="00D002BB" w:rsidRDefault="00CC621A" w:rsidP="00D41AB9">
      <w:pPr>
        <w:pStyle w:val="ListParagraph"/>
        <w:numPr>
          <w:ilvl w:val="0"/>
          <w:numId w:val="33"/>
        </w:numPr>
      </w:pPr>
      <w:r w:rsidRPr="00D002BB">
        <w:t>pasākumi, lai paplašinātu mūžizglītības pieejamību.</w:t>
      </w:r>
    </w:p>
    <w:p w:rsidR="00CC621A" w:rsidRPr="00D002BB" w:rsidRDefault="00CC621A" w:rsidP="00D002BB"/>
    <w:p w:rsidR="00CC621A" w:rsidRPr="00D002BB" w:rsidRDefault="00CC621A" w:rsidP="00D002BB"/>
    <w:p w:rsidR="00CC621A" w:rsidRPr="00CA4358" w:rsidRDefault="00CC621A" w:rsidP="00D002BB">
      <w:pPr>
        <w:rPr>
          <w:b/>
          <w:sz w:val="28"/>
        </w:rPr>
      </w:pPr>
      <w:bookmarkStart w:id="1" w:name="_Toc359594106"/>
      <w:bookmarkStart w:id="2" w:name="_Toc359941638"/>
      <w:bookmarkStart w:id="3" w:name="_Toc368987643"/>
      <w:r w:rsidRPr="00CA4358">
        <w:rPr>
          <w:b/>
          <w:sz w:val="28"/>
        </w:rPr>
        <w:t>Priekšlaicīga mācību pārtraukšana</w:t>
      </w:r>
      <w:bookmarkEnd w:id="1"/>
      <w:bookmarkEnd w:id="2"/>
      <w:bookmarkEnd w:id="3"/>
    </w:p>
    <w:p w:rsidR="00CC621A" w:rsidRPr="00D002BB" w:rsidRDefault="00CC621A" w:rsidP="00CA4358">
      <w:pPr>
        <w:pStyle w:val="teksts"/>
      </w:pPr>
      <w:r w:rsidRPr="00D002BB">
        <w:t>Mācību priekšlaicīgas novēršanas jautājumi ir atspoguļoti Latvijas attīstības plānošanas dokumentos, tostarp, Izglītības attīstības pamatnostādnēs 2007.–2013.gadam, Latvijas nacionālajā reformu programmā „ES 2020” stratēģijas īstenošanai, Latvijas ilgtspējīgas attīstības stratēģijā „Latvija 2030”, kā arī Nacionālā attīstības plāna 2014.–2020.gadam projektā.</w:t>
      </w:r>
    </w:p>
    <w:p w:rsidR="00CC621A" w:rsidRPr="00D002BB" w:rsidRDefault="00CC621A" w:rsidP="00CA4358">
      <w:pPr>
        <w:pStyle w:val="teksts"/>
      </w:pPr>
      <w:r w:rsidRPr="00D002BB">
        <w:t>Kaut arī kopš 2009.gada skolu nepabeigušo īpatsvars Latvijā ir patstāvīgi samazinājies, 2012.gadā sasniedzot vairs tikai 10,5% un ir ievērojami labāks kā Eiropas vidējais (12,8%), pamatnostādņu. ietvaros tiek plānoti uzdevumi un pasākumi, kas vērsti uz šādu iedzīvotāju skaita tālāku samazināšanu, 2020.gadā panākot rādītāju 10% apmērā.</w:t>
      </w:r>
    </w:p>
    <w:p w:rsidR="00CC621A" w:rsidRPr="00D002BB" w:rsidRDefault="00CC621A" w:rsidP="00D002BB"/>
    <w:p w:rsidR="00CA4358" w:rsidRPr="00D002BB" w:rsidRDefault="00CA4358" w:rsidP="00CA4358">
      <w:pPr>
        <w:pStyle w:val="teksts"/>
      </w:pPr>
      <w:r w:rsidRPr="00D002BB">
        <w:t>Lai sekmētu mācību priekšlaicīgas pārtraukšanas novēršanas politikas attīstību, Latvijā veikti šādi nozīmīgi pasākumi:</w:t>
      </w:r>
    </w:p>
    <w:p w:rsidR="00CA4358" w:rsidRPr="00D002BB" w:rsidRDefault="00CA4358" w:rsidP="00CA4358">
      <w:pPr>
        <w:pStyle w:val="ListParagraph"/>
        <w:numPr>
          <w:ilvl w:val="0"/>
          <w:numId w:val="29"/>
        </w:numPr>
      </w:pPr>
      <w:r w:rsidRPr="00D002BB">
        <w:t xml:space="preserve">Izglītības satura pilnveide (uzsvars uz pamatprasmju apgūšanai un lietojumu). </w:t>
      </w:r>
    </w:p>
    <w:p w:rsidR="00CA4358" w:rsidRPr="00D002BB" w:rsidRDefault="00CA4358" w:rsidP="00CA4358">
      <w:pPr>
        <w:pStyle w:val="ListParagraph"/>
        <w:numPr>
          <w:ilvl w:val="0"/>
          <w:numId w:val="29"/>
        </w:numPr>
      </w:pPr>
      <w:r w:rsidRPr="00D002BB">
        <w:t>Mācību literatūras kvalitātes paaugstināšana.</w:t>
      </w:r>
    </w:p>
    <w:p w:rsidR="00CA4358" w:rsidRPr="00D002BB" w:rsidRDefault="00CA4358" w:rsidP="00CA4358">
      <w:pPr>
        <w:pStyle w:val="ListParagraph"/>
        <w:numPr>
          <w:ilvl w:val="0"/>
          <w:numId w:val="29"/>
        </w:numPr>
      </w:pPr>
      <w:r w:rsidRPr="00D002BB">
        <w:t>Jaunu mācību metožu ieviešana pedagoģiskajā praksē.</w:t>
      </w:r>
    </w:p>
    <w:p w:rsidR="00CA4358" w:rsidRPr="00D002BB" w:rsidRDefault="00CA4358" w:rsidP="00CA4358">
      <w:pPr>
        <w:pStyle w:val="ListParagraph"/>
        <w:numPr>
          <w:ilvl w:val="0"/>
          <w:numId w:val="29"/>
        </w:numPr>
      </w:pPr>
      <w:r w:rsidRPr="00D002BB">
        <w:t>IKT un tālmācības pieejamība.</w:t>
      </w:r>
    </w:p>
    <w:p w:rsidR="00CA4358" w:rsidRPr="00D002BB" w:rsidRDefault="00CA4358" w:rsidP="00CA4358">
      <w:pPr>
        <w:pStyle w:val="ListParagraph"/>
        <w:numPr>
          <w:ilvl w:val="0"/>
          <w:numId w:val="29"/>
        </w:numPr>
      </w:pPr>
      <w:r w:rsidRPr="00D002BB">
        <w:lastRenderedPageBreak/>
        <w:t>Iekļaujošas izglītības principa veicināšana.</w:t>
      </w:r>
    </w:p>
    <w:p w:rsidR="00CA4358" w:rsidRPr="00D002BB" w:rsidRDefault="00CA4358" w:rsidP="00CA4358">
      <w:pPr>
        <w:pStyle w:val="ListParagraph"/>
        <w:numPr>
          <w:ilvl w:val="0"/>
          <w:numId w:val="29"/>
        </w:numPr>
      </w:pPr>
      <w:r w:rsidRPr="00D002BB">
        <w:t>Elastīga profesionālās izglītības programmu piedāvājuma nodrošināšana.</w:t>
      </w:r>
    </w:p>
    <w:p w:rsidR="00CC621A" w:rsidRPr="00D002BB" w:rsidRDefault="00CA4358" w:rsidP="00CA4358">
      <w:pPr>
        <w:pStyle w:val="ListParagraph"/>
        <w:numPr>
          <w:ilvl w:val="0"/>
          <w:numId w:val="29"/>
        </w:numPr>
      </w:pPr>
      <w:r w:rsidRPr="00D002BB">
        <w:t>Normatīvā regulējuma noteikšana attiecībā uz vecāku informēšanu par izglītojamā prombūtni.</w:t>
      </w:r>
    </w:p>
    <w:p w:rsidR="00CC621A" w:rsidRPr="00D002BB" w:rsidRDefault="00CC621A" w:rsidP="00D002BB"/>
    <w:p w:rsidR="00BF5797" w:rsidRPr="00CA4358" w:rsidRDefault="00BF5797" w:rsidP="00D002BB">
      <w:pPr>
        <w:rPr>
          <w:b/>
          <w:sz w:val="28"/>
        </w:rPr>
      </w:pPr>
      <w:r w:rsidRPr="00CA4358">
        <w:rPr>
          <w:b/>
          <w:sz w:val="28"/>
        </w:rPr>
        <w:t>Datu ieguves un analīzes sistēma situācijas monitoringam</w:t>
      </w:r>
    </w:p>
    <w:p w:rsidR="00146B41" w:rsidRPr="00D002BB" w:rsidRDefault="00BF5797" w:rsidP="00CA4358">
      <w:pPr>
        <w:pStyle w:val="teksts"/>
      </w:pPr>
      <w:r w:rsidRPr="00D002BB">
        <w:t xml:space="preserve">Obligātā izglītības vecuma priekšlaicīgi mācības pametušo bērnu regulārā sistemātiskā monitorēšana, iegūto datu analīze, kā arī pasākumu īstenošana bērnu un jauniešu atgriešanai izglītības sistēmā tiek nodrošināta balstoties uz dažādu institūciju sadarbību. Izglītības kvalitātes valsts dienests (turpmāk – IKVD), pamatojoties uz Bērnu tiesību aizsardzības likuma 671. pantā un Ministru kabineta 2009.gada 4.augusta noteikumu Nr.871 „Obligāto izglītības vecumu sasniegušo bērnu uzskaites kārtība” 5.punktā noteikto, apkopo datus par obligātā izglītības vecumā esošajiem bērniem, kuri nav reģistrēti neviena izglītības iestādē. </w:t>
      </w:r>
    </w:p>
    <w:p w:rsidR="00146B41" w:rsidRPr="00D002BB" w:rsidRDefault="00146B41" w:rsidP="00CA4358">
      <w:pPr>
        <w:pStyle w:val="teksts"/>
      </w:pPr>
      <w:r w:rsidRPr="00D002BB">
        <w:t>2011.gada februārī valstī tika noteikta vienota kārtība, kādā izglītības iestāde informē izglītojamo vecākus, pašvaldības vai valsts iestādes, ja izglītojamais bez attaisnojoša iemesla neapmeklē izglītības iestādi un ir uzlabota obligātajā izglītības vecumā esošo bērnu uzskaite.</w:t>
      </w:r>
    </w:p>
    <w:p w:rsidR="00146B41" w:rsidRPr="00D002BB" w:rsidRDefault="00146B41" w:rsidP="00CA4358">
      <w:pPr>
        <w:pStyle w:val="teksts"/>
      </w:pPr>
      <w:r w:rsidRPr="00D002BB">
        <w:t>Kopš 2012.gada nogales, ievērojot pašvaldību izteiktos lūgumus un ierosinājumus bērnu uzskaites procesa pilnveidei, ERAF projekta „Valsts izglītības informācijas sistēmas 2.kārta” ietvaros ir izstrādāta papildus Valsts izglītības informācijas sistēmas (turpmāk – VIIS) funkcionalitāte, lai VIIS veiktu bērnu uzskaiti.</w:t>
      </w:r>
    </w:p>
    <w:p w:rsidR="00BF5797" w:rsidRPr="00D002BB" w:rsidRDefault="00146B41" w:rsidP="00CA4358">
      <w:pPr>
        <w:pStyle w:val="teksts"/>
      </w:pPr>
      <w:r w:rsidRPr="00D002BB">
        <w:t>IKVD četras reizes gadā  (līdz 30.janvārim, 30.aprīlim, 30.jūlijam, 30.oktobrim) apkopo Pilsonības un migrācijas lietu pārvaldes saņemto informāciju par visiem bērniem vecumā no septiņiem līdz 18 gadiem, un nodod pašvaldībām informāciju par tiem konkrētajā pašvaldībā deklarētajiem obligāto izglītības vecumu sasniegušajiem bērniem, kuri nav minēti izglītības iestāžu (t.sk. vispārējās un profesionālās izglītības iestādē neatkarībā no izglītības iestādes dibinātāja) sniegtajā informācijā, kā arī gada beigās sagatavo ziņojumu par „Par obligātā izglītības vecumā esošajiem bērniem, kuri nav reģistrēti nevienas izglītības iestādes sarakstā”, kurā detalizēti izklāsta apkopoto informāciju par attiecīgo bērnu skaitu, iemesliem un situācijas attīstību.</w:t>
      </w:r>
      <w:r w:rsidR="00BF5797" w:rsidRPr="00D002BB">
        <w:t xml:space="preserve"> IKVD dati tiek ievietoti VIIS sistēmā, kur pašvaldības aktualizē datus par to teritorijās esošajiem bērniem.</w:t>
      </w:r>
    </w:p>
    <w:p w:rsidR="00146B41" w:rsidRPr="00D002BB" w:rsidRDefault="00146B41" w:rsidP="00CA4358">
      <w:pPr>
        <w:pStyle w:val="teksts"/>
      </w:pPr>
      <w:r w:rsidRPr="00D002BB">
        <w:t>VIIS reģistrēti dati satur informāciju par bērnu, jaunieti, kas ļauj to identificēt (personas kods), kā arī ļauj secināt par izglītību pārtraukšanas iemesliem, kas tiek grupēti šādās kategorijās (uz 31.12.12. pēc IKVD ziņojuma datiem): 1) ilgstoši slimojošie - 3, 2) bezvēsts prombūtnē - 21, 3) ar invaliditāti - 23, 4) adoptēts uz ārzemēm (29), 5) izbraucis no valsts (9716), 6) anulēta deklarēta dzīvesvieta- 61, 7) pašvaldībai nav informācijas - 2648, 8) nav norādīts statuss - 65, 9) citu iemeslu dēļ nav reģistrēts izglītības iestādē - 52. Kopā: 12618.</w:t>
      </w:r>
    </w:p>
    <w:p w:rsidR="00BF5797" w:rsidRPr="00D002BB" w:rsidRDefault="00BF5797" w:rsidP="00CA4358">
      <w:pPr>
        <w:pStyle w:val="teksts"/>
      </w:pPr>
      <w:r w:rsidRPr="00D002BB">
        <w:t xml:space="preserve">Papildu minētajam, </w:t>
      </w:r>
      <w:r w:rsidR="00146B41" w:rsidRPr="00D002BB">
        <w:t>VIIS</w:t>
      </w:r>
      <w:r w:rsidRPr="00D002BB">
        <w:t xml:space="preserve"> iekļautie dati par skolēnu skaitu skolās ļauj monitorēt pāreju starp skolām.</w:t>
      </w:r>
    </w:p>
    <w:p w:rsidR="00BF5797" w:rsidRPr="00D002BB" w:rsidRDefault="00146B41" w:rsidP="00CA4358">
      <w:pPr>
        <w:pStyle w:val="teksts"/>
      </w:pPr>
      <w:r w:rsidRPr="00D002BB">
        <w:t xml:space="preserve">Ņemot vērā </w:t>
      </w:r>
      <w:r w:rsidR="00BF5797" w:rsidRPr="00D002BB">
        <w:t xml:space="preserve">Ministru kabineta </w:t>
      </w:r>
      <w:r w:rsidRPr="00D002BB">
        <w:t>noteiktās prasības saistībā ar kārtību, kādā aprēķina un sadala valsts budžeta mērķdotāciju pašvaldību izglītības iestādēm no</w:t>
      </w:r>
      <w:r w:rsidR="00BF5797" w:rsidRPr="00D002BB">
        <w:t xml:space="preserve"> 2013.g</w:t>
      </w:r>
      <w:r w:rsidRPr="00D002BB">
        <w:t>ada</w:t>
      </w:r>
      <w:r w:rsidR="00BF5797" w:rsidRPr="00D002BB">
        <w:t xml:space="preserve"> dati </w:t>
      </w:r>
      <w:r w:rsidRPr="00D002BB">
        <w:t>no pašvaldībām tiek pieprasīti divas reizes</w:t>
      </w:r>
      <w:r w:rsidR="00BF5797" w:rsidRPr="00D002BB">
        <w:t xml:space="preserve"> gadā –27.maij</w:t>
      </w:r>
      <w:r w:rsidRPr="00D002BB">
        <w:t>ā</w:t>
      </w:r>
      <w:r w:rsidR="00BF5797" w:rsidRPr="00D002BB">
        <w:t xml:space="preserve"> un 1.septembr</w:t>
      </w:r>
      <w:r w:rsidRPr="00D002BB">
        <w:t>ī</w:t>
      </w:r>
      <w:r w:rsidR="00BF5797" w:rsidRPr="00D002BB">
        <w:t>.</w:t>
      </w:r>
    </w:p>
    <w:p w:rsidR="00146B41" w:rsidRPr="00D002BB" w:rsidRDefault="00146B41" w:rsidP="00CA4358">
      <w:pPr>
        <w:pStyle w:val="teksts"/>
      </w:pPr>
      <w:r w:rsidRPr="00D002BB">
        <w:t>Informācija par sociāli ekonomisko statusu tiek iegūta sadarbībā ar pašvaldību un to sociālajiem darbiniekiem. Izglītības sistēmā sociāli ekonomisko situācija un etniskā piederība netiek uzskaitīta, jo saskaņā ar Latvijas likumdošanu tautības deklarēšana ir brīvprātīga. Atsevišķas pašvaldības  (Ventspils, Valmiera, Kuldīga, Jūrmala, Valdemārpils, Jelgava) uzskaita romus. Saskaņā ar pašvaldību sniegto informāciju VIIS uzskaitē 1047 romi  (kopā valstī ir 6500 romi, kas paši norādījuši tautību).</w:t>
      </w:r>
    </w:p>
    <w:p w:rsidR="00146B41" w:rsidRPr="00D002BB" w:rsidRDefault="00146B41" w:rsidP="00CA4358">
      <w:pPr>
        <w:pStyle w:val="teksts"/>
      </w:pPr>
      <w:r w:rsidRPr="00D002BB">
        <w:t>VIIS uzskaita izglītības veidus, ieskaitot vidējo pakāpi, arī griezumā privātā – publiskā izglītība, profesionālā – vispārējā izglītība. VIIS atļauj ieraudzīt tikai formālajā pamata un vidējā (ieskaitot vakarskolas un tālmācību) izglītībā.</w:t>
      </w:r>
    </w:p>
    <w:p w:rsidR="00BF5797" w:rsidRDefault="00146B41" w:rsidP="00CA4358">
      <w:pPr>
        <w:pStyle w:val="teksts"/>
      </w:pPr>
      <w:r w:rsidRPr="00D002BB">
        <w:lastRenderedPageBreak/>
        <w:t>Ņemot vērā to, ka dalība vidējās izglītības pakāpē (vispārējā un profesionālā) nav obligāta un pamatojās uz pilngadību sasniegušo jauniešu brīvo gribu, no valsts puses nevar tikt īstenoti pasākumi, kuri būtu vērsti  uz stingru novērošanu un piespiedu atgriešanu izglītības  procesā. Tomēr no 2014.gadu plānots uzsākt virkni pasākumu, lai sadarbībā ar pašvaldības dienestiem un NVO identificētu un motivētu tos jauniešus, kuri, t.sk. pēc obligātās izglītības iegūšanas neturpina iegūt izglītību vai arī nestrādā, atgriezties izglītības procesā vai iegūt papildu prasmes neformālās izglītības ietvaros.</w:t>
      </w:r>
    </w:p>
    <w:p w:rsidR="00ED49E4" w:rsidRPr="00ED49E4" w:rsidRDefault="00ED49E4" w:rsidP="00ED49E4">
      <w:pPr>
        <w:autoSpaceDE w:val="0"/>
        <w:autoSpaceDN w:val="0"/>
        <w:adjustRightInd w:val="0"/>
        <w:jc w:val="center"/>
        <w:rPr>
          <w:rFonts w:ascii="Tms Rmn" w:hAnsi="Tms Rmn" w:cs="Times New Roman"/>
          <w:b/>
          <w:color w:val="auto"/>
          <w:szCs w:val="24"/>
          <w:lang w:eastAsia="lv-LV"/>
        </w:rPr>
      </w:pPr>
      <w:r>
        <w:rPr>
          <w:rFonts w:ascii="Tms Rmn" w:hAnsi="Tms Rmn" w:cs="Times New Roman"/>
          <w:b/>
          <w:color w:val="auto"/>
          <w:szCs w:val="24"/>
          <w:lang w:eastAsia="lv-LV"/>
        </w:rPr>
        <w:t xml:space="preserve">1.tabula. </w:t>
      </w:r>
      <w:r w:rsidRPr="00ED49E4">
        <w:rPr>
          <w:rFonts w:ascii="Tms Rmn" w:hAnsi="Tms Rmn" w:cs="Times New Roman"/>
          <w:b/>
          <w:color w:val="auto"/>
          <w:szCs w:val="24"/>
          <w:lang w:eastAsia="lv-LV"/>
        </w:rPr>
        <w:t>M</w:t>
      </w:r>
      <w:r w:rsidRPr="00ED49E4">
        <w:rPr>
          <w:rFonts w:ascii="Tms Rmn" w:hAnsi="Tms Rmn" w:cs="Times New Roman" w:hint="eastAsia"/>
          <w:b/>
          <w:color w:val="auto"/>
          <w:szCs w:val="24"/>
          <w:lang w:eastAsia="lv-LV"/>
        </w:rPr>
        <w:t>ā</w:t>
      </w:r>
      <w:r w:rsidRPr="00ED49E4">
        <w:rPr>
          <w:rFonts w:ascii="Tms Rmn" w:hAnsi="Tms Rmn" w:cs="Times New Roman"/>
          <w:b/>
          <w:color w:val="auto"/>
          <w:szCs w:val="24"/>
          <w:lang w:eastAsia="lv-LV"/>
        </w:rPr>
        <w:t>c</w:t>
      </w:r>
      <w:r w:rsidRPr="00ED49E4">
        <w:rPr>
          <w:rFonts w:ascii="Tms Rmn" w:hAnsi="Tms Rmn" w:cs="Times New Roman" w:hint="eastAsia"/>
          <w:b/>
          <w:color w:val="auto"/>
          <w:szCs w:val="24"/>
          <w:lang w:eastAsia="lv-LV"/>
        </w:rPr>
        <w:t>ī</w:t>
      </w:r>
      <w:r w:rsidRPr="00ED49E4">
        <w:rPr>
          <w:rFonts w:ascii="Tms Rmn" w:hAnsi="Tms Rmn" w:cs="Times New Roman"/>
          <w:b/>
          <w:color w:val="auto"/>
          <w:szCs w:val="24"/>
          <w:lang w:eastAsia="lv-LV"/>
        </w:rPr>
        <w:t>bas p</w:t>
      </w:r>
      <w:r w:rsidRPr="00ED49E4">
        <w:rPr>
          <w:rFonts w:ascii="Tms Rmn" w:hAnsi="Tms Rmn" w:cs="Times New Roman" w:hint="eastAsia"/>
          <w:b/>
          <w:color w:val="auto"/>
          <w:szCs w:val="24"/>
          <w:lang w:eastAsia="lv-LV"/>
        </w:rPr>
        <w:t>ā</w:t>
      </w:r>
      <w:r w:rsidRPr="00ED49E4">
        <w:rPr>
          <w:rFonts w:ascii="Tms Rmn" w:hAnsi="Tms Rmn" w:cs="Times New Roman"/>
          <w:b/>
          <w:color w:val="auto"/>
          <w:szCs w:val="24"/>
          <w:lang w:eastAsia="lv-LV"/>
        </w:rPr>
        <w:t>rtraukušie jaunieši 18-24 gadu vecum</w:t>
      </w:r>
      <w:r w:rsidRPr="00ED49E4">
        <w:rPr>
          <w:rFonts w:ascii="Tms Rmn" w:hAnsi="Tms Rmn" w:cs="Times New Roman" w:hint="eastAsia"/>
          <w:b/>
          <w:color w:val="auto"/>
          <w:szCs w:val="24"/>
          <w:lang w:eastAsia="lv-LV"/>
        </w:rPr>
        <w:t>ā</w:t>
      </w:r>
      <w:r w:rsidRPr="00ED49E4">
        <w:rPr>
          <w:rFonts w:ascii="Tms Rmn" w:hAnsi="Tms Rmn" w:cs="Times New Roman"/>
          <w:b/>
          <w:color w:val="auto"/>
          <w:szCs w:val="24"/>
          <w:lang w:eastAsia="lv-LV"/>
        </w:rPr>
        <w:t xml:space="preserve"> pils</w:t>
      </w:r>
      <w:r w:rsidRPr="00ED49E4">
        <w:rPr>
          <w:rFonts w:ascii="Tms Rmn" w:hAnsi="Tms Rmn" w:cs="Times New Roman" w:hint="eastAsia"/>
          <w:b/>
          <w:color w:val="auto"/>
          <w:szCs w:val="24"/>
          <w:lang w:eastAsia="lv-LV"/>
        </w:rPr>
        <w:t>ē</w:t>
      </w:r>
      <w:r w:rsidRPr="00ED49E4">
        <w:rPr>
          <w:rFonts w:ascii="Tms Rmn" w:hAnsi="Tms Rmn" w:cs="Times New Roman"/>
          <w:b/>
          <w:color w:val="auto"/>
          <w:szCs w:val="24"/>
          <w:lang w:eastAsia="lv-LV"/>
        </w:rPr>
        <w:t>t</w:t>
      </w:r>
      <w:r w:rsidRPr="00ED49E4">
        <w:rPr>
          <w:rFonts w:ascii="Tms Rmn" w:hAnsi="Tms Rmn" w:cs="Times New Roman" w:hint="eastAsia"/>
          <w:b/>
          <w:color w:val="auto"/>
          <w:szCs w:val="24"/>
          <w:lang w:eastAsia="lv-LV"/>
        </w:rPr>
        <w:t>ā</w:t>
      </w:r>
      <w:r w:rsidRPr="00ED49E4">
        <w:rPr>
          <w:rFonts w:ascii="Tms Rmn" w:hAnsi="Tms Rmn" w:cs="Times New Roman"/>
          <w:b/>
          <w:color w:val="auto"/>
          <w:szCs w:val="24"/>
          <w:lang w:eastAsia="lv-LV"/>
        </w:rPr>
        <w:t>s un laukos p</w:t>
      </w:r>
      <w:r w:rsidRPr="00ED49E4">
        <w:rPr>
          <w:rFonts w:ascii="Tms Rmn" w:hAnsi="Tms Rmn" w:cs="Times New Roman" w:hint="eastAsia"/>
          <w:b/>
          <w:color w:val="auto"/>
          <w:szCs w:val="24"/>
          <w:lang w:eastAsia="lv-LV"/>
        </w:rPr>
        <w:t>ē</w:t>
      </w:r>
      <w:r w:rsidRPr="00ED49E4">
        <w:rPr>
          <w:rFonts w:ascii="Tms Rmn" w:hAnsi="Tms Rmn" w:cs="Times New Roman"/>
          <w:b/>
          <w:color w:val="auto"/>
          <w:szCs w:val="24"/>
          <w:lang w:eastAsia="lv-LV"/>
        </w:rPr>
        <w:t>c dzimuma (%)</w:t>
      </w:r>
    </w:p>
    <w:tbl>
      <w:tblPr>
        <w:tblStyle w:val="TableGrid"/>
        <w:tblW w:w="7168" w:type="dxa"/>
        <w:jc w:val="center"/>
        <w:tblLayout w:type="fixed"/>
        <w:tblLook w:val="00A0"/>
      </w:tblPr>
      <w:tblGrid>
        <w:gridCol w:w="1456"/>
        <w:gridCol w:w="816"/>
        <w:gridCol w:w="816"/>
        <w:gridCol w:w="816"/>
        <w:gridCol w:w="816"/>
        <w:gridCol w:w="816"/>
        <w:gridCol w:w="816"/>
        <w:gridCol w:w="816"/>
      </w:tblGrid>
      <w:tr w:rsidR="00ED49E4" w:rsidTr="00ED49E4">
        <w:trPr>
          <w:jc w:val="center"/>
        </w:trPr>
        <w:tc>
          <w:tcPr>
            <w:tcW w:w="1456" w:type="dxa"/>
          </w:tcPr>
          <w:p w:rsidR="00ED49E4" w:rsidRPr="00AA4122" w:rsidRDefault="00ED49E4">
            <w:pPr>
              <w:autoSpaceDE w:val="0"/>
              <w:autoSpaceDN w:val="0"/>
              <w:adjustRightInd w:val="0"/>
              <w:rPr>
                <w:rFonts w:ascii="Tms Rmn" w:hAnsi="Tms Rmn" w:cs="Tms Rmn"/>
                <w:b/>
                <w:bCs/>
                <w:szCs w:val="24"/>
                <w:lang w:val="lv-LV" w:eastAsia="lv-LV"/>
              </w:rPr>
            </w:pPr>
          </w:p>
        </w:tc>
        <w:tc>
          <w:tcPr>
            <w:tcW w:w="81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2006</w:t>
            </w:r>
          </w:p>
        </w:tc>
        <w:tc>
          <w:tcPr>
            <w:tcW w:w="81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2007</w:t>
            </w:r>
          </w:p>
        </w:tc>
        <w:tc>
          <w:tcPr>
            <w:tcW w:w="81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2008</w:t>
            </w:r>
          </w:p>
        </w:tc>
        <w:tc>
          <w:tcPr>
            <w:tcW w:w="81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2009</w:t>
            </w:r>
          </w:p>
        </w:tc>
        <w:tc>
          <w:tcPr>
            <w:tcW w:w="81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2010</w:t>
            </w:r>
          </w:p>
        </w:tc>
        <w:tc>
          <w:tcPr>
            <w:tcW w:w="816" w:type="dxa"/>
          </w:tcPr>
          <w:p w:rsidR="00ED49E4" w:rsidRDefault="00ED49E4" w:rsidP="00817F81">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2011</w:t>
            </w:r>
          </w:p>
        </w:tc>
        <w:tc>
          <w:tcPr>
            <w:tcW w:w="81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2012</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Latvija</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 </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 </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 </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 </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 </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 </w:t>
            </w:r>
          </w:p>
        </w:tc>
        <w:tc>
          <w:tcPr>
            <w:tcW w:w="816" w:type="dxa"/>
          </w:tcPr>
          <w:p w:rsidR="00ED49E4" w:rsidRDefault="00ED49E4">
            <w:pPr>
              <w:keepNext/>
              <w:keepLines/>
              <w:autoSpaceDE w:val="0"/>
              <w:autoSpaceDN w:val="0"/>
              <w:adjustRightInd w:val="0"/>
              <w:rPr>
                <w:rFonts w:ascii="Tms Rmn" w:hAnsi="Tms Rmn" w:cs="Tms Rmn"/>
                <w:szCs w:val="24"/>
                <w:lang w:eastAsia="lv-LV"/>
              </w:rPr>
            </w:pP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PAVISAM</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14,8</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15,6</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15,5</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14,3</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12,9</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11,6</w:t>
            </w:r>
          </w:p>
        </w:tc>
        <w:tc>
          <w:tcPr>
            <w:tcW w:w="816" w:type="dxa"/>
          </w:tcPr>
          <w:p w:rsidR="00ED49E4" w:rsidRDefault="00ED49E4" w:rsidP="007407A2">
            <w:pPr>
              <w:keepNext/>
              <w:keepLines/>
              <w:autoSpaceDE w:val="0"/>
              <w:autoSpaceDN w:val="0"/>
              <w:adjustRightInd w:val="0"/>
              <w:rPr>
                <w:rFonts w:ascii="Tms Rmn" w:hAnsi="Tms Rmn" w:cs="Tms Rmn"/>
                <w:szCs w:val="24"/>
                <w:lang w:eastAsia="lv-LV"/>
              </w:rPr>
            </w:pPr>
            <w:r>
              <w:rPr>
                <w:rFonts w:ascii="Tms Rmn" w:hAnsi="Tms Rmn" w:cs="Tms Rmn"/>
                <w:szCs w:val="24"/>
                <w:lang w:eastAsia="lv-LV"/>
              </w:rPr>
              <w:t>10,6</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Vīrieši</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18,9</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20,6</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20,0</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17,6</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16,7</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15,8</w:t>
            </w:r>
          </w:p>
        </w:tc>
        <w:tc>
          <w:tcPr>
            <w:tcW w:w="816" w:type="dxa"/>
          </w:tcPr>
          <w:p w:rsidR="00ED49E4" w:rsidRDefault="00ED49E4" w:rsidP="007407A2">
            <w:pPr>
              <w:keepNext/>
              <w:keepLines/>
              <w:autoSpaceDE w:val="0"/>
              <w:autoSpaceDN w:val="0"/>
              <w:adjustRightInd w:val="0"/>
              <w:rPr>
                <w:rFonts w:ascii="Tms Rmn" w:hAnsi="Tms Rmn" w:cs="Tms Rmn"/>
                <w:szCs w:val="24"/>
                <w:lang w:eastAsia="lv-LV"/>
              </w:rPr>
            </w:pPr>
            <w:r>
              <w:rPr>
                <w:rFonts w:ascii="Tms Rmn" w:hAnsi="Tms Rmn" w:cs="Tms Rmn"/>
                <w:szCs w:val="24"/>
                <w:lang w:eastAsia="lv-LV"/>
              </w:rPr>
              <w:t>14,7</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Sievietes</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10,4</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10,5</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10,8</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11,0</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9,0</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7,5</w:t>
            </w:r>
          </w:p>
        </w:tc>
        <w:tc>
          <w:tcPr>
            <w:tcW w:w="816" w:type="dxa"/>
          </w:tcPr>
          <w:p w:rsidR="00ED49E4" w:rsidRDefault="00ED49E4" w:rsidP="007407A2">
            <w:pPr>
              <w:keepNext/>
              <w:keepLines/>
              <w:autoSpaceDE w:val="0"/>
              <w:autoSpaceDN w:val="0"/>
              <w:adjustRightInd w:val="0"/>
              <w:rPr>
                <w:rFonts w:ascii="Tms Rmn" w:hAnsi="Tms Rmn" w:cs="Tms Rmn"/>
                <w:szCs w:val="24"/>
                <w:lang w:eastAsia="lv-LV"/>
              </w:rPr>
            </w:pPr>
            <w:r>
              <w:rPr>
                <w:rFonts w:ascii="Tms Rmn" w:hAnsi="Tms Rmn" w:cs="Tms Rmn"/>
                <w:szCs w:val="24"/>
                <w:lang w:eastAsia="lv-LV"/>
              </w:rPr>
              <w:t>6,3</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color w:val="FF0000"/>
                <w:szCs w:val="24"/>
                <w:lang w:eastAsia="lv-LV"/>
              </w:rPr>
            </w:pPr>
            <w:r>
              <w:rPr>
                <w:rFonts w:ascii="Tms Rmn" w:hAnsi="Tms Rmn" w:cs="Tms Rmn"/>
                <w:b/>
                <w:bCs/>
                <w:color w:val="FF0000"/>
                <w:szCs w:val="24"/>
                <w:lang w:eastAsia="lv-LV"/>
              </w:rPr>
              <w:t>Pilsētas</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rsidP="00817F81">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rsidP="007407A2">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color w:val="FF0000"/>
                <w:szCs w:val="24"/>
                <w:lang w:eastAsia="lv-LV"/>
              </w:rPr>
            </w:pPr>
            <w:r>
              <w:rPr>
                <w:rFonts w:ascii="Tms Rmn" w:hAnsi="Tms Rmn" w:cs="Tms Rmn"/>
                <w:b/>
                <w:bCs/>
                <w:color w:val="FF0000"/>
                <w:szCs w:val="24"/>
                <w:lang w:eastAsia="lv-LV"/>
              </w:rPr>
              <w:t>PAVISAM</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13,5</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12,0</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12,1</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12,3</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10,6</w:t>
            </w:r>
          </w:p>
        </w:tc>
        <w:tc>
          <w:tcPr>
            <w:tcW w:w="816" w:type="dxa"/>
          </w:tcPr>
          <w:p w:rsidR="00ED49E4" w:rsidRDefault="00ED49E4" w:rsidP="00817F81">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9,7</w:t>
            </w:r>
          </w:p>
        </w:tc>
        <w:tc>
          <w:tcPr>
            <w:tcW w:w="816" w:type="dxa"/>
          </w:tcPr>
          <w:p w:rsidR="00ED49E4" w:rsidRDefault="00ED49E4" w:rsidP="007407A2">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8,8</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Vīrieši</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17,3</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16,4</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17,6</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16,2</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14,4</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13,5</w:t>
            </w:r>
          </w:p>
        </w:tc>
        <w:tc>
          <w:tcPr>
            <w:tcW w:w="816" w:type="dxa"/>
          </w:tcPr>
          <w:p w:rsidR="00ED49E4" w:rsidRDefault="00ED49E4" w:rsidP="007407A2">
            <w:pPr>
              <w:keepNext/>
              <w:keepLines/>
              <w:autoSpaceDE w:val="0"/>
              <w:autoSpaceDN w:val="0"/>
              <w:adjustRightInd w:val="0"/>
              <w:rPr>
                <w:rFonts w:ascii="Tms Rmn" w:hAnsi="Tms Rmn" w:cs="Tms Rmn"/>
                <w:szCs w:val="24"/>
                <w:lang w:eastAsia="lv-LV"/>
              </w:rPr>
            </w:pPr>
            <w:r>
              <w:rPr>
                <w:rFonts w:ascii="Tms Rmn" w:hAnsi="Tms Rmn" w:cs="Tms Rmn"/>
                <w:szCs w:val="24"/>
                <w:lang w:eastAsia="lv-LV"/>
              </w:rPr>
              <w:t>12,0</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Sievietes</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9,6</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7,7</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6,8</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8,6</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7,2</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6,1</w:t>
            </w:r>
          </w:p>
        </w:tc>
        <w:tc>
          <w:tcPr>
            <w:tcW w:w="816" w:type="dxa"/>
          </w:tcPr>
          <w:p w:rsidR="00ED49E4" w:rsidRDefault="00ED49E4" w:rsidP="007407A2">
            <w:pPr>
              <w:keepNext/>
              <w:keepLines/>
              <w:autoSpaceDE w:val="0"/>
              <w:autoSpaceDN w:val="0"/>
              <w:adjustRightInd w:val="0"/>
              <w:rPr>
                <w:rFonts w:ascii="Tms Rmn" w:hAnsi="Tms Rmn" w:cs="Tms Rmn"/>
                <w:szCs w:val="24"/>
                <w:lang w:eastAsia="lv-LV"/>
              </w:rPr>
            </w:pPr>
            <w:r>
              <w:rPr>
                <w:rFonts w:ascii="Tms Rmn" w:hAnsi="Tms Rmn" w:cs="Tms Rmn"/>
                <w:szCs w:val="24"/>
                <w:lang w:eastAsia="lv-LV"/>
              </w:rPr>
              <w:t>5,5</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color w:val="FF0000"/>
                <w:szCs w:val="24"/>
                <w:lang w:eastAsia="lv-LV"/>
              </w:rPr>
            </w:pPr>
            <w:r>
              <w:rPr>
                <w:rFonts w:ascii="Tms Rmn" w:hAnsi="Tms Rmn" w:cs="Tms Rmn"/>
                <w:b/>
                <w:bCs/>
                <w:color w:val="FF0000"/>
                <w:szCs w:val="24"/>
                <w:lang w:eastAsia="lv-LV"/>
              </w:rPr>
              <w:t>Lauki</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rsidP="00817F81">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c>
          <w:tcPr>
            <w:tcW w:w="816" w:type="dxa"/>
          </w:tcPr>
          <w:p w:rsidR="00ED49E4" w:rsidRDefault="00ED49E4" w:rsidP="007407A2">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 </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color w:val="FF0000"/>
                <w:szCs w:val="24"/>
                <w:lang w:eastAsia="lv-LV"/>
              </w:rPr>
            </w:pPr>
            <w:r>
              <w:rPr>
                <w:rFonts w:ascii="Tms Rmn" w:hAnsi="Tms Rmn" w:cs="Tms Rmn"/>
                <w:b/>
                <w:bCs/>
                <w:color w:val="FF0000"/>
                <w:szCs w:val="24"/>
                <w:lang w:eastAsia="lv-LV"/>
              </w:rPr>
              <w:t>PAVISAM</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18,5</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23,2</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22,7</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18,4</w:t>
            </w:r>
          </w:p>
        </w:tc>
        <w:tc>
          <w:tcPr>
            <w:tcW w:w="816" w:type="dxa"/>
          </w:tcPr>
          <w:p w:rsidR="00ED49E4" w:rsidRDefault="00ED49E4">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17,4</w:t>
            </w:r>
          </w:p>
        </w:tc>
        <w:tc>
          <w:tcPr>
            <w:tcW w:w="816" w:type="dxa"/>
          </w:tcPr>
          <w:p w:rsidR="00ED49E4" w:rsidRDefault="00ED49E4" w:rsidP="00817F81">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15,2</w:t>
            </w:r>
          </w:p>
        </w:tc>
        <w:tc>
          <w:tcPr>
            <w:tcW w:w="816" w:type="dxa"/>
          </w:tcPr>
          <w:p w:rsidR="00ED49E4" w:rsidRDefault="00ED49E4" w:rsidP="007407A2">
            <w:pPr>
              <w:keepNext/>
              <w:keepLines/>
              <w:autoSpaceDE w:val="0"/>
              <w:autoSpaceDN w:val="0"/>
              <w:adjustRightInd w:val="0"/>
              <w:rPr>
                <w:rFonts w:ascii="Tms Rmn" w:hAnsi="Tms Rmn" w:cs="Tms Rmn"/>
                <w:color w:val="FF0000"/>
                <w:szCs w:val="24"/>
                <w:lang w:eastAsia="lv-LV"/>
              </w:rPr>
            </w:pPr>
            <w:r>
              <w:rPr>
                <w:rFonts w:ascii="Tms Rmn" w:hAnsi="Tms Rmn" w:cs="Tms Rmn"/>
                <w:color w:val="FF0000"/>
                <w:szCs w:val="24"/>
                <w:lang w:eastAsia="lv-LV"/>
              </w:rPr>
              <w:t>13,8</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Vīrieši</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23,1</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28,6</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24,8</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20,3</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21,2</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19,6</w:t>
            </w:r>
          </w:p>
        </w:tc>
        <w:tc>
          <w:tcPr>
            <w:tcW w:w="816" w:type="dxa"/>
          </w:tcPr>
          <w:p w:rsidR="00ED49E4" w:rsidRDefault="00ED49E4" w:rsidP="007407A2">
            <w:pPr>
              <w:keepNext/>
              <w:keepLines/>
              <w:autoSpaceDE w:val="0"/>
              <w:autoSpaceDN w:val="0"/>
              <w:adjustRightInd w:val="0"/>
              <w:rPr>
                <w:rFonts w:ascii="Tms Rmn" w:hAnsi="Tms Rmn" w:cs="Tms Rmn"/>
                <w:szCs w:val="24"/>
                <w:lang w:eastAsia="lv-LV"/>
              </w:rPr>
            </w:pPr>
            <w:r>
              <w:rPr>
                <w:rFonts w:ascii="Tms Rmn" w:hAnsi="Tms Rmn" w:cs="Tms Rmn"/>
                <w:szCs w:val="24"/>
                <w:lang w:eastAsia="lv-LV"/>
              </w:rPr>
              <w:t>19,1</w:t>
            </w:r>
          </w:p>
        </w:tc>
      </w:tr>
      <w:tr w:rsidR="00ED49E4" w:rsidTr="00ED49E4">
        <w:trPr>
          <w:jc w:val="center"/>
        </w:trPr>
        <w:tc>
          <w:tcPr>
            <w:tcW w:w="1456" w:type="dxa"/>
          </w:tcPr>
          <w:p w:rsidR="00ED49E4" w:rsidRDefault="00ED49E4">
            <w:pPr>
              <w:keepNext/>
              <w:keepLines/>
              <w:autoSpaceDE w:val="0"/>
              <w:autoSpaceDN w:val="0"/>
              <w:adjustRightInd w:val="0"/>
              <w:jc w:val="center"/>
              <w:rPr>
                <w:rFonts w:ascii="Tms Rmn" w:hAnsi="Tms Rmn" w:cs="Tms Rmn"/>
                <w:b/>
                <w:bCs/>
                <w:szCs w:val="24"/>
                <w:lang w:eastAsia="lv-LV"/>
              </w:rPr>
            </w:pPr>
            <w:r>
              <w:rPr>
                <w:rFonts w:ascii="Tms Rmn" w:hAnsi="Tms Rmn" w:cs="Tms Rmn"/>
                <w:b/>
                <w:bCs/>
                <w:szCs w:val="24"/>
                <w:lang w:eastAsia="lv-LV"/>
              </w:rPr>
              <w:t>Sievietes</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13,3</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17,0</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20,3</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16,3</w:t>
            </w:r>
          </w:p>
        </w:tc>
        <w:tc>
          <w:tcPr>
            <w:tcW w:w="816" w:type="dxa"/>
          </w:tcPr>
          <w:p w:rsidR="00ED49E4" w:rsidRDefault="00ED49E4">
            <w:pPr>
              <w:keepNext/>
              <w:keepLines/>
              <w:autoSpaceDE w:val="0"/>
              <w:autoSpaceDN w:val="0"/>
              <w:adjustRightInd w:val="0"/>
              <w:rPr>
                <w:rFonts w:ascii="Tms Rmn" w:hAnsi="Tms Rmn" w:cs="Tms Rmn"/>
                <w:szCs w:val="24"/>
                <w:lang w:eastAsia="lv-LV"/>
              </w:rPr>
            </w:pPr>
            <w:r>
              <w:rPr>
                <w:rFonts w:ascii="Tms Rmn" w:hAnsi="Tms Rmn" w:cs="Tms Rmn"/>
                <w:szCs w:val="24"/>
                <w:lang w:eastAsia="lv-LV"/>
              </w:rPr>
              <w:t>13,0</w:t>
            </w:r>
          </w:p>
        </w:tc>
        <w:tc>
          <w:tcPr>
            <w:tcW w:w="816" w:type="dxa"/>
          </w:tcPr>
          <w:p w:rsidR="00ED49E4" w:rsidRDefault="00ED49E4" w:rsidP="00817F81">
            <w:pPr>
              <w:keepNext/>
              <w:keepLines/>
              <w:autoSpaceDE w:val="0"/>
              <w:autoSpaceDN w:val="0"/>
              <w:adjustRightInd w:val="0"/>
              <w:rPr>
                <w:rFonts w:ascii="Tms Rmn" w:hAnsi="Tms Rmn" w:cs="Tms Rmn"/>
                <w:szCs w:val="24"/>
                <w:lang w:eastAsia="lv-LV"/>
              </w:rPr>
            </w:pPr>
            <w:r>
              <w:rPr>
                <w:rFonts w:ascii="Tms Rmn" w:hAnsi="Tms Rmn" w:cs="Tms Rmn"/>
                <w:szCs w:val="24"/>
                <w:lang w:eastAsia="lv-LV"/>
              </w:rPr>
              <w:t>10,3</w:t>
            </w:r>
          </w:p>
        </w:tc>
        <w:tc>
          <w:tcPr>
            <w:tcW w:w="816" w:type="dxa"/>
          </w:tcPr>
          <w:p w:rsidR="00ED49E4" w:rsidRDefault="00ED49E4" w:rsidP="007407A2">
            <w:pPr>
              <w:keepNext/>
              <w:keepLines/>
              <w:autoSpaceDE w:val="0"/>
              <w:autoSpaceDN w:val="0"/>
              <w:adjustRightInd w:val="0"/>
              <w:rPr>
                <w:rFonts w:ascii="Tms Rmn" w:hAnsi="Tms Rmn" w:cs="Tms Rmn"/>
                <w:szCs w:val="24"/>
                <w:lang w:eastAsia="lv-LV"/>
              </w:rPr>
            </w:pPr>
            <w:r>
              <w:rPr>
                <w:rFonts w:ascii="Tms Rmn" w:hAnsi="Tms Rmn" w:cs="Tms Rmn"/>
                <w:szCs w:val="24"/>
                <w:lang w:eastAsia="lv-LV"/>
              </w:rPr>
              <w:t>7,7</w:t>
            </w:r>
          </w:p>
        </w:tc>
      </w:tr>
    </w:tbl>
    <w:p w:rsidR="00ED49E4" w:rsidRDefault="00AA4122" w:rsidP="00ED49E4">
      <w:pPr>
        <w:autoSpaceDE w:val="0"/>
        <w:autoSpaceDN w:val="0"/>
        <w:adjustRightInd w:val="0"/>
        <w:rPr>
          <w:rFonts w:ascii="Tms Rmn" w:hAnsi="Tms Rmn" w:cs="Tms Rmn"/>
          <w:szCs w:val="24"/>
          <w:lang w:eastAsia="lv-LV"/>
        </w:rPr>
      </w:pPr>
      <w:r>
        <w:rPr>
          <w:rFonts w:ascii="Tms Rmn" w:hAnsi="Tms Rmn" w:cs="Tms Rmn"/>
          <w:szCs w:val="24"/>
          <w:lang w:eastAsia="lv-LV"/>
        </w:rPr>
        <w:t>Avots: CSP</w:t>
      </w:r>
    </w:p>
    <w:p w:rsidR="00ED49E4" w:rsidRDefault="00ED49E4" w:rsidP="00ED49E4">
      <w:pPr>
        <w:pStyle w:val="teksts"/>
      </w:pPr>
      <w:r>
        <w:t>No 2009.gada Eurostat statistikas birojs ir mainījis aprēķinu metodoloģiju šim rādītājam. Rādītājā vairs netiek ietverti jaunieši, kuri pēdējo 4 nedēļu laikā bija brīvdienās. 2007.-2011. gads - pārrēķins pēc 2011.gada tautas skaitīšanas rezultātiem. Darbaspēka apsekojuma rezultātu pārrēķins pēc 2011.gada tautas skaitīšanas rezultātiem par 2006.gadu būs pieejams 2014.gada sākumā.</w:t>
      </w:r>
    </w:p>
    <w:p w:rsidR="00146B41" w:rsidRPr="00D002BB" w:rsidRDefault="00BF5797" w:rsidP="00CA4358">
      <w:pPr>
        <w:pStyle w:val="teksts"/>
      </w:pPr>
      <w:r w:rsidRPr="00D002BB">
        <w:t xml:space="preserve"> </w:t>
      </w:r>
      <w:r w:rsidR="00146B41" w:rsidRPr="00D002BB">
        <w:t xml:space="preserve">Augstākajā izglītībā iestādes līdz kārtējā gada 15.oktobrim sniedz </w:t>
      </w:r>
      <w:r w:rsidR="00E254C2" w:rsidRPr="00D002BB">
        <w:t>Centrāl</w:t>
      </w:r>
      <w:r w:rsidR="00143DBD">
        <w:t>ajai</w:t>
      </w:r>
      <w:r w:rsidR="00E254C2" w:rsidRPr="00D002BB">
        <w:t xml:space="preserve"> statistikas pārvalde</w:t>
      </w:r>
      <w:r w:rsidR="00143DBD">
        <w:t>i</w:t>
      </w:r>
      <w:r w:rsidR="00E254C2" w:rsidRPr="00D002BB">
        <w:t xml:space="preserve"> (turpmāk – CSP)</w:t>
      </w:r>
      <w:r w:rsidR="00146B41" w:rsidRPr="00D002BB">
        <w:t xml:space="preserve"> un IZM ziņas par studējošajiem. Šī informācija ietver arī to, cik  studenti ir pārtraukuši studijas katrā studiju programmā attiecīgajā studiju gadā. Iegūtā kopējā atbiruma aina IZM tiek analizēta šādos griezumos: atbirums valsts un privātajās augstskolās, pilna un nepilna laika studijās, studiju virzienos un studiju tematiskajās grupās</w:t>
      </w:r>
    </w:p>
    <w:p w:rsidR="00CC621A" w:rsidRPr="00D002BB" w:rsidRDefault="00146B41" w:rsidP="00CA4358">
      <w:pPr>
        <w:pStyle w:val="teksts"/>
      </w:pPr>
      <w:r w:rsidRPr="00D002BB">
        <w:t>No 2014.gada konsolidējot augstākās izglītības datus, veidojot vienu augstākās izglītības datu bāzi, tiek plānots īstenot sistemātisku atbiruma analīzi, saistot šo informāciju ar akreditācijas datiem (studiju programmu kvalitāti).</w:t>
      </w:r>
    </w:p>
    <w:p w:rsidR="00E254C2" w:rsidRPr="00D002BB" w:rsidRDefault="00E254C2" w:rsidP="00D002BB"/>
    <w:p w:rsidR="00E254C2" w:rsidRPr="00CA4358" w:rsidRDefault="00E254C2" w:rsidP="00D002BB">
      <w:pPr>
        <w:rPr>
          <w:b/>
          <w:sz w:val="28"/>
        </w:rPr>
      </w:pPr>
      <w:r w:rsidRPr="00CA4358">
        <w:rPr>
          <w:b/>
          <w:sz w:val="28"/>
        </w:rPr>
        <w:t>Stratēģiskās politikas sistēma problēmu risināšanai</w:t>
      </w:r>
    </w:p>
    <w:p w:rsidR="00E254C2" w:rsidRPr="00D002BB" w:rsidRDefault="00E254C2" w:rsidP="00CA4358">
      <w:pPr>
        <w:pStyle w:val="teksts"/>
      </w:pPr>
      <w:r w:rsidRPr="00D002BB">
        <w:t>Lai nodrošinātu skaidru un vienotu stratēģisko skatījumu un problēmu risinājumiem, nepieciešamie uzdevumi un prioritātes ir ietvertas šādos a</w:t>
      </w:r>
      <w:r w:rsidR="00CA4358">
        <w:t xml:space="preserve">ttīstības plānošanas dokumentos </w:t>
      </w:r>
      <w:r w:rsidRPr="00D002BB">
        <w:t>Izglītības attīstības pamatnostādnes 2007.-2013.gadam</w:t>
      </w:r>
      <w:r w:rsidRPr="00CA4358">
        <w:rPr>
          <w:vertAlign w:val="superscript"/>
        </w:rPr>
        <w:footnoteReference w:id="1"/>
      </w:r>
      <w:r w:rsidR="00CA4358">
        <w:t xml:space="preserve">. </w:t>
      </w:r>
      <w:r w:rsidRPr="00D002BB">
        <w:t>Izglītības attīstības pamatnostādnes 2007.-2013.gadam ir politikas plānošanas dokuments, kas nosaka izglītības sistēmas attīstības mērķus un rīcības virzienus to īstenošanai, kā arī darbības rezultātus, politikas rezultātus un to sasniegšanas rādītājus, t.sk. iekļauj visaptverošas PMP preventīvus, intervences un kompensējošus pasākumus.</w:t>
      </w:r>
    </w:p>
    <w:p w:rsidR="00E254C2" w:rsidRPr="00D002BB" w:rsidRDefault="00E254C2" w:rsidP="00CA4358">
      <w:pPr>
        <w:pStyle w:val="teksts"/>
      </w:pPr>
      <w:r w:rsidRPr="00D002BB">
        <w:t>Mūžizglītības politikas pamatnostādnes 2007.-2013.gadam</w:t>
      </w:r>
      <w:r w:rsidRPr="00CA4358">
        <w:rPr>
          <w:vertAlign w:val="superscript"/>
        </w:rPr>
        <w:footnoteReference w:id="2"/>
      </w:r>
      <w:r w:rsidRPr="00D002BB">
        <w:t xml:space="preserve"> un  Programma Mūžizglītības politikas pamatnostādņu 2007.-2013.gadam ieviešanai 2008.-2013.gadā</w:t>
      </w:r>
      <w:r w:rsidRPr="00CA4358">
        <w:rPr>
          <w:vertAlign w:val="superscript"/>
        </w:rPr>
        <w:footnoteReference w:id="3"/>
      </w:r>
    </w:p>
    <w:p w:rsidR="00E254C2" w:rsidRPr="00D002BB" w:rsidRDefault="00E254C2" w:rsidP="00CA4358">
      <w:pPr>
        <w:pStyle w:val="teksts"/>
      </w:pPr>
      <w:r w:rsidRPr="00D002BB">
        <w:t xml:space="preserve">Kompensējošo mehānismu nodrošināšana īpaši ir uzsvērta Mūžizglītības politikas pamatnostādnēs 2007.-2013.gadam 3.1.apakšsadaļā „Mūžizglītības pieejamība, galvenās mērķa </w:t>
      </w:r>
      <w:r w:rsidRPr="00D002BB">
        <w:lastRenderedPageBreak/>
        <w:t>grupas un to vajadzības” un 4.sadaļā „Problēmu formulējums mūžizglītības politikas veidošanai”, pasākumi identificēto problēmu risināšanai, t.sk. saistībā ar otrās iespējas izglītības piedāvājuma paplašināšanu ir  ietverti Programmā Mūžizglītības politikas pamatnostādņu</w:t>
      </w:r>
      <w:r w:rsidR="00960FA1">
        <w:t xml:space="preserve"> </w:t>
      </w:r>
      <w:r w:rsidRPr="00D002BB">
        <w:t>2007.-2013.gadam ieviešanai 2008.-2013.gadā.</w:t>
      </w:r>
    </w:p>
    <w:p w:rsidR="00E254C2" w:rsidRPr="00D002BB" w:rsidRDefault="00E254C2" w:rsidP="00CA4358">
      <w:pPr>
        <w:pStyle w:val="teksts"/>
      </w:pPr>
      <w:r w:rsidRPr="00D002BB">
        <w:t>Izstrādājot Pamatnostādņu projektu</w:t>
      </w:r>
      <w:r w:rsidR="00CA4358">
        <w:t xml:space="preserve"> 2014.-2020.gadam</w:t>
      </w:r>
      <w:r w:rsidRPr="00D002BB">
        <w:t>, īpaša uzmanība tika pievērsta demogrāfiskās situācijas izpētei un analīzei. Ciešā sadarbībā ar EM tika izstrādātas 2020.gada projekcijas par izglītības attīstības politikas dažādiem aspektiem.</w:t>
      </w:r>
    </w:p>
    <w:p w:rsidR="00E254C2" w:rsidRPr="00D002BB" w:rsidRDefault="00E254C2" w:rsidP="00D002BB"/>
    <w:p w:rsidR="00E254C2" w:rsidRPr="00CA4358" w:rsidRDefault="00E254C2" w:rsidP="00D002BB">
      <w:pPr>
        <w:rPr>
          <w:b/>
          <w:sz w:val="28"/>
        </w:rPr>
      </w:pPr>
      <w:r w:rsidRPr="00CA4358">
        <w:rPr>
          <w:b/>
          <w:sz w:val="28"/>
        </w:rPr>
        <w:t>Problēmu identificēšana izglītības pakāpēs un veidos</w:t>
      </w:r>
    </w:p>
    <w:p w:rsidR="00E254C2" w:rsidRPr="00D002BB" w:rsidRDefault="00E254C2" w:rsidP="00CA4358">
      <w:pPr>
        <w:pStyle w:val="teksts"/>
      </w:pPr>
      <w:r w:rsidRPr="00D002BB">
        <w:t>2007.-2013.plānošanas periodā izglītojamie ar speciālām vajadzībām tika nodrošināti ar atbilstošām mācību programmām, kā arī sekmēta izglītojamo ar speciālām vajadzībām integrēšana vispārējās izglītības iestādēs, nodrošinot katram konkrētajam audzēknim atbilstošas mācību iespējas vai nu vispārizglītojošo skolu vispārējās izglītības programmās, vispārējās izglītības iestādēs speciālās izglītības programmās vai speciālajās klasēs, kā arī profesionālās izglītības programmās.</w:t>
      </w:r>
    </w:p>
    <w:p w:rsidR="00E254C2" w:rsidRPr="00D002BB" w:rsidRDefault="00E254C2" w:rsidP="00CA4358">
      <w:pPr>
        <w:pStyle w:val="teksts"/>
      </w:pPr>
      <w:r w:rsidRPr="00D002BB">
        <w:t>Tiek nodrošināts valsts apmaksāts asistenta pakalpojums izglītojamajiem, kuriem ir nepieciešama īpaša aprūpe izglītības iestādēs (uzsākot 2012./2013.m.g.</w:t>
      </w:r>
      <w:r w:rsidR="00960FA1">
        <w:t>).</w:t>
      </w:r>
    </w:p>
    <w:p w:rsidR="00E254C2" w:rsidRPr="00D002BB" w:rsidRDefault="00E254C2" w:rsidP="00CA4358">
      <w:pPr>
        <w:pStyle w:val="teksts"/>
      </w:pPr>
      <w:r w:rsidRPr="00D002BB">
        <w:t>Ir nodrošinātas izglītības iespējas neaizsargātajām grupām, t.sk., sekmēta čigānu (romu) tautības bērnu izglītības līmeņa paaugstināšana un paplašinātas iespējas čigānu (romu) kopienas pārstāvjiem, kuri pārsnieguši obligātās izglītības ieguves vecumu, iesaistīties izglītības procesā.</w:t>
      </w:r>
    </w:p>
    <w:p w:rsidR="00E254C2" w:rsidRPr="00D002BB" w:rsidRDefault="00E254C2" w:rsidP="00CA4358">
      <w:pPr>
        <w:pStyle w:val="teksts"/>
      </w:pPr>
      <w:r w:rsidRPr="00D002BB">
        <w:t>Agrīnās bērnības izglītība un aprūp</w:t>
      </w:r>
      <w:r w:rsidR="00673485" w:rsidRPr="00D002BB">
        <w:t xml:space="preserve">ē </w:t>
      </w:r>
      <w:r w:rsidRPr="00D002BB">
        <w:t>2007.-2013.plānošanas periodā īstenoto pasākumu rezultātā valstī ir definētas vienotas prasības pirmsskolas izglītības mācību saturam, nodrošinot ietvaru pirmsskolas vecuma bērnu sagatavošanai un sekmīgai pārejai pamatizglītības posmā un izrietoši sekmējot vispārējās izglītības iestāžu darba ar 1.klases audzēkņiem efektivitāti un rezultativitāti. Pārskata periodā pirmsskolas izglītības grupas apmeklēja un līdz ar to veiksmīgai pamatizglītības apguvei tika sagatavoja vidēji 96% piecgadīgo un sešgadīgo bērnu no visiem attiecīgās vecuma grupas bērniem</w:t>
      </w:r>
    </w:p>
    <w:p w:rsidR="00E254C2" w:rsidRPr="00D002BB" w:rsidRDefault="00673485" w:rsidP="00CA4358">
      <w:pPr>
        <w:pStyle w:val="teksts"/>
      </w:pPr>
      <w:r w:rsidRPr="00D002BB">
        <w:t xml:space="preserve">Intervences pasākumu ietvaros </w:t>
      </w:r>
      <w:r w:rsidR="00E254C2" w:rsidRPr="00D002BB">
        <w:t>2007.-2013.gadā tika nodrošināta papildu apmaksātas konsultāciju sniegšana mācību priekšmetu satura apguvei izglītojamajiem ar zemiem mācību sasniegumiem. Vienlaicīgi izglītojamajiem ar zemu priekšzināšanu līmeni un mācīšanās grūtībām tika nodrošināta iespēja apgūt pedagoģiskās korekcijas un izlīdzinošās programmas. Tika ieviesti individuālie mācību plāni.  Valsts budžets nodrošina pedagogiem piemaksu par bērniem ar mācīšanās grūtībām (alga, programmu izstrāde).</w:t>
      </w:r>
    </w:p>
    <w:p w:rsidR="00E254C2" w:rsidRPr="00D002BB" w:rsidRDefault="00E254C2" w:rsidP="00CA4358">
      <w:pPr>
        <w:pStyle w:val="teksts"/>
      </w:pPr>
      <w:r w:rsidRPr="00D002BB">
        <w:t>Tika veikti izglītotības iestāžu infrastruktūras modernizēšanas pasākumus. Veicinot atbalstošu mācību vidi un skolēnu interesi par izglītības procesu, īpaši STEM mācību priekšmetiem, tika modernizēti 850 dabaszinātņu kabineti, palielinājies datoru skaits vispārizglītojošajās dienas skolās un profesionālās izglītības iestādēs. Tika veikta visu 64 speciālo skolu renovācija</w:t>
      </w:r>
    </w:p>
    <w:p w:rsidR="00E254C2" w:rsidRPr="00D002BB" w:rsidRDefault="00E254C2" w:rsidP="00CA4358">
      <w:pPr>
        <w:pStyle w:val="teksts"/>
      </w:pPr>
      <w:r w:rsidRPr="00D002BB">
        <w:t>Vienlaikus Pamatnostādnes projektā ir paredzēti atbalsta pasākumi bērniem un jauniešiem izglītības pieejamības veicināšanai un nabadzības riska mazināšanai, kas tiešā veidā uzrunā tos bērnus un jauniešus, kuri pakļauti priekšlaicīgai izglītības pārtraukšanai sociāli ekonomiskās situācijas dēļ.</w:t>
      </w:r>
    </w:p>
    <w:p w:rsidR="00E254C2" w:rsidRPr="00D002BB" w:rsidRDefault="00E254C2" w:rsidP="00CA4358">
      <w:pPr>
        <w:pStyle w:val="teksts"/>
      </w:pPr>
      <w:r w:rsidRPr="00D002BB">
        <w:t>Kompensācijas  mehānism</w:t>
      </w:r>
      <w:r w:rsidR="00673485" w:rsidRPr="00D002BB">
        <w:t>u ietvaros j</w:t>
      </w:r>
      <w:r w:rsidRPr="00D002BB">
        <w:t xml:space="preserve">auniešiem, kas ir ārpus izglītības procesa tiek nodrošinātas iespējas atgriezties izglītības procesā. Nodrošinot otrās iespējas izglītības piedāvājumu 2011.gadā tika licencētas 214 jaunas vakara (maiņu), neklātienes, sociālās un pedagoģiskās korekcijas, kā arī speciālās izglītības programmas, savukārt, 2012.gadā tika licencētas 139 jaunas vakara (maiņu), neklātienes, sociālās un pedagoģiskās korekcijas, kā arī speciālās izglītības programmas dažādām mērķa grupām. </w:t>
      </w:r>
    </w:p>
    <w:p w:rsidR="00E254C2" w:rsidRPr="00D002BB" w:rsidRDefault="00E254C2" w:rsidP="00CA4358">
      <w:pPr>
        <w:pStyle w:val="teksts"/>
      </w:pPr>
      <w:r w:rsidRPr="00D002BB">
        <w:t>Vienlaikus jauniešiem tika nodrošināta iespēja ātrāk iegūt profesionālo kvalifikāciju tā saucamajās īsajās (1-1,5 gadīgajās) profesionālās izglītības programmās.</w:t>
      </w:r>
      <w:r w:rsidR="00673485" w:rsidRPr="00D002BB">
        <w:t xml:space="preserve"> </w:t>
      </w:r>
      <w:r w:rsidRPr="00D002BB">
        <w:t xml:space="preserve">Nodrošināta </w:t>
      </w:r>
      <w:r w:rsidR="00673485" w:rsidRPr="00D002BB">
        <w:t xml:space="preserve">arī </w:t>
      </w:r>
      <w:r w:rsidRPr="00D002BB">
        <w:t xml:space="preserve">ārpus formālās izglītības iegūto zināšanu, prasmju un kompetenču atzīšana, tādējādi ļaujot iegūt </w:t>
      </w:r>
      <w:r w:rsidRPr="00D002BB">
        <w:lastRenderedPageBreak/>
        <w:t>profesionālo kvalifikāciju pierādot savas profesionālās spējas, vai arī būtiski samazināt izglītības ilgumu augstākajā izglītībā.</w:t>
      </w:r>
    </w:p>
    <w:p w:rsidR="00E254C2" w:rsidRPr="00D002BB" w:rsidRDefault="00E254C2" w:rsidP="00CA4358">
      <w:pPr>
        <w:pStyle w:val="teksts"/>
      </w:pPr>
      <w:r w:rsidRPr="00D002BB">
        <w:t>IZM ik pa diviem gadiem valdībai sniedz info ziņojumu par sekmību (2014.gada martā jāiesniedz kārtējais ziņojums) – iepriekšējais ziņojums „Par situāciju skolēnu sekmībā vispārējā izglītībā” tapa 2012.gadā. Ziņojumā ietver informāciju par skolēnu un skolotāju skaitu, pamatskolas un vidusskolas absolventu skaitu, tālākās izglītības izvēli, uz nākamo klasi pārcelto skolēnu skaitu, valsts pārbaudījumu rezultātus, PISA pētījumu rezultātus, starptautisko olimpiāžu rezultātus, skolu reitingiem. IZM līdz 2014.g. 15.februārim jāiesniedz apsekojums un ziņojums par speciālās izglītības iestāžu finansēšanu, balstoties uz 2013.g.decembrī LU pētnieku iesniedzamo pētījumu par speciālo izglītību  un iekļaujošo izglītību.</w:t>
      </w:r>
    </w:p>
    <w:p w:rsidR="00E254C2" w:rsidRPr="00D002BB" w:rsidRDefault="00E254C2" w:rsidP="00CA4358">
      <w:pPr>
        <w:pStyle w:val="teksts"/>
      </w:pPr>
      <w:r w:rsidRPr="00D002BB">
        <w:t>2007. – 2013.gada plānošanas perioda ietvaros tika īstenotas vairākas aktivitātes pedagogu kompetences paaugstināšanai un tālākizglītībai. 1.2.1.1.2.apakšaktivitātē „Profesionālajā izglītībā iesaistīto pedagogu kompetences paaugstināšana” 5067 pedagogi un prakses vadītāji pilnveidoja profesionālo kvalifikāciju, tai skaitā 471 stažējās ārpus izglītības iestādēm un 3179 apguva IT prasmes. Lai īstenotu profesionālās izglītības pedagogu un prakses vadītāju tālākizglītības kursus, tiks izstrādātas 2577 kursu programmas. Profesionālās izglītības pedagogi ieguvuši praktisku pieredzi nozares praktiskajā darbībā, t.sk. iepazinušies ar iekārtām un tehnoloģijām, stažēšanos,  IKT apguvi. Profesionālās izglītības pedagogi kā vēlamos kursus nākotnē norādījuši pedagoģijas un psiholoģijas zināšanu pilnveidei, kā arī  profesionālās kompetences paaugstināšanai. 1.2.1.2.3.apakšaktivitātes „Vispārējās izglītības pedagogu kompetences paaugstināšana un prasmju atjaunošana” ietvaros kompetenci paaugstināja 21313 pedagogi, tai skaitā 8870 apguva IT prasmes. No kursiem visapmeklētākie – 1) IKT ar saturu (interaktīvie rīki, interaktīvās tāfeles un mācību saturs), 2) 1.-4.kl.pedagogi, 3) izglītības vadība un klases izglītības procesa vadība; 4) angļu valoda. Vislielākā vērtība novērtējumā – mūsdienīgu mācību procesu apguvei (iemācījušies daudzveid</w:t>
      </w:r>
      <w:r w:rsidR="00673485" w:rsidRPr="00D002BB">
        <w:t>ot</w:t>
      </w:r>
      <w:r w:rsidRPr="00D002BB">
        <w:t xml:space="preserve"> mācību priekšmeta apguvi), iemācījušies veidot pozitīvāku saskarsmes kultūru, t.sk. darboties komandā. Kvalitatīvas izglītības pieejamība</w:t>
      </w:r>
      <w:r w:rsidR="00673485" w:rsidRPr="00D002BB">
        <w:t>s nodrošināšanai</w:t>
      </w:r>
      <w:r w:rsidRPr="00D002BB">
        <w:t xml:space="preserve">  2013.gada novembrī tiks veikts pētījums par mazo skolu modeļiem. 2013.gada decembrī būs pieejami pētījumu rezultāti. Pētījuma galvenie uzdevumi ir:</w:t>
      </w:r>
    </w:p>
    <w:p w:rsidR="00E254C2" w:rsidRPr="00D002BB" w:rsidRDefault="00E254C2" w:rsidP="00CA4358">
      <w:pPr>
        <w:pStyle w:val="ListParagraph"/>
        <w:numPr>
          <w:ilvl w:val="0"/>
          <w:numId w:val="26"/>
        </w:numPr>
      </w:pPr>
      <w:r w:rsidRPr="00D002BB">
        <w:t>Noteikt mazo lauku skolu kvantitatīvos un kvalitatīvos kritērijus, ņemot vērā ne tikai skolas tiešo darbību ietekmējošos faktorus (izglītojamo skaits, pedagogu skaits, izglītības programmas u.c.), bet arī sociālo un ekonomisko kontekstu raksturojošos faktorus;</w:t>
      </w:r>
    </w:p>
    <w:p w:rsidR="00E254C2" w:rsidRPr="00D002BB" w:rsidRDefault="00E254C2" w:rsidP="00CA4358">
      <w:pPr>
        <w:pStyle w:val="ListParagraph"/>
        <w:numPr>
          <w:ilvl w:val="0"/>
          <w:numId w:val="26"/>
        </w:numPr>
      </w:pPr>
      <w:r w:rsidRPr="00D002BB">
        <w:t>Izstrādāt trīs mazo lauku skolu kā multifunkcionālu centru darbības modeļus, ņemot vērā skolas darbību ietekmējošos faktorus, vietējo kopienu izglītības, sociālās, kultūras un ekonomiskās vajadzības;</w:t>
      </w:r>
    </w:p>
    <w:p w:rsidR="00E254C2" w:rsidRPr="00D002BB" w:rsidRDefault="00E254C2" w:rsidP="00CA4358">
      <w:pPr>
        <w:pStyle w:val="ListParagraph"/>
        <w:numPr>
          <w:ilvl w:val="0"/>
          <w:numId w:val="26"/>
        </w:numPr>
      </w:pPr>
      <w:r w:rsidRPr="00D002BB">
        <w:t>Izstrādāt mazo lauku skolu finansēšanas modeļus atbilstoši izstrādātajiem mazo lauku skolu kā multifunkcionālu centru darbības modeļiem.</w:t>
      </w:r>
    </w:p>
    <w:p w:rsidR="00E254C2" w:rsidRPr="00D002BB" w:rsidRDefault="00E254C2" w:rsidP="00CA4358">
      <w:pPr>
        <w:pStyle w:val="teksts"/>
      </w:pPr>
      <w:r w:rsidRPr="00D002BB">
        <w:t>Lai mazinātu uz otro gadu palikušo skaitu, ir izdoti Ministru kabineta 2012.gada 28.februāra noteikumi Nr.149 par kārtību, kādā izglītojamie tiek uzņemti vispārējās izglītības iestādēs un atskaitīti no tām, un obligātajām prasībām pārcelšanai uz nākamo klasi. Sākot ar 2013./2014.mācību gadu, tiks ieviesta sistēma metodiskam atbalstam pedagogiem darbā ar sekmīgajiem un nesekmīgajiem skolēniem, par pamatu ņemot diagnosticējošus darbus 3. un 6.klasē. Arī ES fondu  atbalsts 2014 – 2020.gada plānošanas periodā paredzēts darbam ar bērniem ar mācību grūtībām un talantīgajiem bērniem.</w:t>
      </w:r>
    </w:p>
    <w:p w:rsidR="00E254C2" w:rsidRPr="00D002BB" w:rsidRDefault="00E254C2" w:rsidP="00CA4358">
      <w:pPr>
        <w:pStyle w:val="teksts"/>
      </w:pPr>
      <w:r w:rsidRPr="00D002BB">
        <w:t xml:space="preserve">2014.-2020.gadā secīgi plānots turpināt īstenot kompensējošos pasākumus, tajā skaitā turpinot īstenot īsās profesionālās izglītības programmas, tādējādi radot iespēju īsā laikā iegūt kvalifikāciju un integrēties darba tirgū, īstenojot jauniešu neformālās izglītības programmas jauniešu centros, īstenojot karjeras izglītības pasākumus, atbalsta pasākumus bērniem un jauniešiem izglītības pieejamības veicināšanai un nabadzības riska mazināšanai, atbalstu praktiskajām mācībām un mācību praksēm profesionālajā izglītībā, pedagogu kompetenču paaugstināšanu, kompetenču pieejā pilnveidojot vispārējās izglītības saturu, izstrādājot digitālos mācību materiālus, tai skaitā </w:t>
      </w:r>
      <w:r w:rsidRPr="00D002BB">
        <w:lastRenderedPageBreak/>
        <w:t>iekļaujošas izglītības īstenošanai, izglītības kvalitātes monitorings veikšanai, jauniešu ar speciālām vajadzībām un citu sociālā riska grupu jauniešu integrācijas pasākumiem, izglītojamo talantu attīstībai, kā arī vispārējās un profesionālās izglītības iestāžu infrastruktūras modernizēšanai.</w:t>
      </w:r>
    </w:p>
    <w:p w:rsidR="00673485" w:rsidRPr="00D002BB" w:rsidRDefault="00673485" w:rsidP="00D002BB"/>
    <w:p w:rsidR="00673485" w:rsidRPr="00CA4358" w:rsidRDefault="00673485" w:rsidP="00D002BB">
      <w:pPr>
        <w:rPr>
          <w:b/>
          <w:sz w:val="28"/>
        </w:rPr>
      </w:pPr>
      <w:r w:rsidRPr="00CA4358">
        <w:rPr>
          <w:b/>
          <w:sz w:val="28"/>
        </w:rPr>
        <w:t>Institucionālā sadarbība valsts un nevalstiskajā sektorā</w:t>
      </w:r>
    </w:p>
    <w:p w:rsidR="00673485" w:rsidRPr="00D002BB" w:rsidRDefault="00673485" w:rsidP="00CA4358">
      <w:pPr>
        <w:pStyle w:val="teksts"/>
      </w:pPr>
      <w:r w:rsidRPr="00D002BB">
        <w:t>Izglītības attīstības pamatnostādnes 2007.–2013.gadam tika izstrādātas 2006.gadā, ievērojot sabiedrības un izglītības attīstības vadlīnijas, kas noteiktas Eiropas un Latvijas politikas plānošanas dokumentos:</w:t>
      </w:r>
    </w:p>
    <w:p w:rsidR="00673485" w:rsidRPr="00D002BB" w:rsidRDefault="00673485" w:rsidP="00CA4358">
      <w:pPr>
        <w:pStyle w:val="ListParagraph"/>
        <w:numPr>
          <w:ilvl w:val="0"/>
          <w:numId w:val="25"/>
        </w:numPr>
      </w:pPr>
      <w:r w:rsidRPr="00D002BB">
        <w:t xml:space="preserve">Lisabonas izglītības stratēģijā, </w:t>
      </w:r>
    </w:p>
    <w:p w:rsidR="00673485" w:rsidRPr="00D002BB" w:rsidRDefault="00673485" w:rsidP="00CA4358">
      <w:pPr>
        <w:pStyle w:val="ListParagraph"/>
        <w:numPr>
          <w:ilvl w:val="0"/>
          <w:numId w:val="25"/>
        </w:numPr>
      </w:pPr>
      <w:r w:rsidRPr="00D002BB">
        <w:t xml:space="preserve">Boloņas procesā, </w:t>
      </w:r>
    </w:p>
    <w:p w:rsidR="00673485" w:rsidRPr="00D002BB" w:rsidRDefault="00673485" w:rsidP="00CA4358">
      <w:pPr>
        <w:pStyle w:val="ListParagraph"/>
        <w:numPr>
          <w:ilvl w:val="0"/>
          <w:numId w:val="25"/>
        </w:numPr>
      </w:pPr>
      <w:r w:rsidRPr="00D002BB">
        <w:t xml:space="preserve">Eiropas Komisijas mūžizglītības memorandā, </w:t>
      </w:r>
    </w:p>
    <w:p w:rsidR="00673485" w:rsidRPr="00D002BB" w:rsidRDefault="00673485" w:rsidP="00CA4358">
      <w:pPr>
        <w:pStyle w:val="ListParagraph"/>
        <w:numPr>
          <w:ilvl w:val="0"/>
          <w:numId w:val="25"/>
        </w:numPr>
      </w:pPr>
      <w:r w:rsidRPr="00D002BB">
        <w:t xml:space="preserve">UNESCO programmā “Izglītība visiem”, </w:t>
      </w:r>
    </w:p>
    <w:p w:rsidR="00673485" w:rsidRPr="00D002BB" w:rsidRDefault="00673485" w:rsidP="00CA4358">
      <w:pPr>
        <w:pStyle w:val="ListParagraph"/>
        <w:numPr>
          <w:ilvl w:val="0"/>
          <w:numId w:val="25"/>
        </w:numPr>
      </w:pPr>
      <w:r w:rsidRPr="00D002BB">
        <w:t>Eiropas Komisijas darba programmā „Izglītība  un apmācība 2010”,</w:t>
      </w:r>
    </w:p>
    <w:p w:rsidR="00673485" w:rsidRPr="00D002BB" w:rsidRDefault="00673485" w:rsidP="00CA4358">
      <w:pPr>
        <w:pStyle w:val="ListParagraph"/>
        <w:numPr>
          <w:ilvl w:val="0"/>
          <w:numId w:val="25"/>
        </w:numPr>
      </w:pPr>
      <w:r w:rsidRPr="00D002BB">
        <w:t>Eiropas iniciatīvā „i2010 – Eiropas informācijas sabiedrība izaugsmei un nodarbinātībai,</w:t>
      </w:r>
    </w:p>
    <w:p w:rsidR="00673485" w:rsidRPr="00D002BB" w:rsidRDefault="00673485" w:rsidP="00CA4358">
      <w:pPr>
        <w:pStyle w:val="ListParagraph"/>
        <w:numPr>
          <w:ilvl w:val="0"/>
          <w:numId w:val="25"/>
        </w:numPr>
      </w:pPr>
      <w:r w:rsidRPr="00D002BB">
        <w:t>ES Pamatstratēģijā attiecībā uz dzimumu līdztiesību, ilgtermiņa konceptuālajā dokumentā</w:t>
      </w:r>
    </w:p>
    <w:p w:rsidR="00673485" w:rsidRPr="00D002BB" w:rsidRDefault="00673485" w:rsidP="00CA4358">
      <w:pPr>
        <w:pStyle w:val="ListParagraph"/>
        <w:numPr>
          <w:ilvl w:val="0"/>
          <w:numId w:val="25"/>
        </w:numPr>
      </w:pPr>
      <w:r w:rsidRPr="00D002BB">
        <w:t>Tautsaimniecības vienotajā stratēģijā,</w:t>
      </w:r>
    </w:p>
    <w:p w:rsidR="00673485" w:rsidRPr="00D002BB" w:rsidRDefault="00673485" w:rsidP="00CA4358">
      <w:pPr>
        <w:pStyle w:val="ListParagraph"/>
        <w:numPr>
          <w:ilvl w:val="0"/>
          <w:numId w:val="25"/>
        </w:numPr>
      </w:pPr>
      <w:r w:rsidRPr="00D002BB">
        <w:t>Latvijas ilgtspējīgas attīstības pamatnostādnēs,</w:t>
      </w:r>
    </w:p>
    <w:p w:rsidR="00673485" w:rsidRPr="00D002BB" w:rsidRDefault="00673485" w:rsidP="00CA4358">
      <w:pPr>
        <w:pStyle w:val="ListParagraph"/>
        <w:numPr>
          <w:ilvl w:val="0"/>
          <w:numId w:val="25"/>
        </w:numPr>
      </w:pPr>
      <w:r w:rsidRPr="00D002BB">
        <w:t>u.c. dokumentos.</w:t>
      </w:r>
    </w:p>
    <w:p w:rsidR="00673485" w:rsidRPr="00D002BB" w:rsidRDefault="00673485" w:rsidP="00D002BB"/>
    <w:p w:rsidR="00673485" w:rsidRPr="00D002BB" w:rsidRDefault="00673485" w:rsidP="00CA4358">
      <w:pPr>
        <w:pStyle w:val="teksts"/>
      </w:pPr>
      <w:r w:rsidRPr="00D002BB">
        <w:t>Pamatnostādņu 2014.-2020.gadam projekts ir izstrādātas ciešā sadarbībā ar nozares ministrijām, sadarbības un sociālajiem partneriem: LIVA, LIZDA, LDDK, LTRK, AIP, LPS, LSA, UNESCO Latvijas Nacionālo komisiju, vecāku pārstāvjiem u.c., patlaban turpinās pamatnostādņu izstrādes noslēguma posma projekts, t.sk. notiekot starpministriju un starpinstitūciju sanāksmēm par dažādiem Pamatnostādņu projektā ietvērējiem aspektiem.</w:t>
      </w:r>
    </w:p>
    <w:p w:rsidR="00673485" w:rsidRPr="00D002BB" w:rsidRDefault="00673485" w:rsidP="00CA4358">
      <w:pPr>
        <w:pStyle w:val="teksts"/>
      </w:pPr>
      <w:r w:rsidRPr="00D002BB">
        <w:t>Lai nodrošinātu izglītības attīstības mērķu un rīcības virzienu definēšanu, IZM veica esošās situācijas analītisko priekšizpēti nacionālā (makro) un ES līmeņa politikas plānošanas dokumentos, t.sk. saistībā ar PMP:</w:t>
      </w:r>
    </w:p>
    <w:p w:rsidR="00673485" w:rsidRPr="00D002BB" w:rsidRDefault="00673485" w:rsidP="00CA4358">
      <w:pPr>
        <w:pStyle w:val="ListParagraph"/>
        <w:numPr>
          <w:ilvl w:val="0"/>
          <w:numId w:val="24"/>
        </w:numPr>
        <w:jc w:val="both"/>
      </w:pPr>
      <w:r w:rsidRPr="00D002BB">
        <w:t>Latvijas ilgtspējīgas attīstības stratēģija „Latvija 2030”;</w:t>
      </w:r>
    </w:p>
    <w:p w:rsidR="00673485" w:rsidRPr="00D002BB" w:rsidRDefault="00673485" w:rsidP="00CA4358">
      <w:pPr>
        <w:pStyle w:val="ListParagraph"/>
        <w:numPr>
          <w:ilvl w:val="0"/>
          <w:numId w:val="24"/>
        </w:numPr>
        <w:jc w:val="both"/>
      </w:pPr>
      <w:r w:rsidRPr="00D002BB">
        <w:t>„Eiropa 2020” (stratēģija gudrai, ilgtspējīgai un integrējošai izaugsmei);</w:t>
      </w:r>
    </w:p>
    <w:p w:rsidR="00673485" w:rsidRPr="00D002BB" w:rsidRDefault="00673485" w:rsidP="00CA4358">
      <w:pPr>
        <w:pStyle w:val="ListParagraph"/>
        <w:numPr>
          <w:ilvl w:val="0"/>
          <w:numId w:val="24"/>
        </w:numPr>
        <w:jc w:val="both"/>
      </w:pPr>
      <w:r w:rsidRPr="00D002BB">
        <w:t>Latvijas nacionālā reformu programma „ES 2020” stratēģijas īstenošanai;</w:t>
      </w:r>
    </w:p>
    <w:p w:rsidR="00673485" w:rsidRPr="00D002BB" w:rsidRDefault="00673485" w:rsidP="00CA4358">
      <w:pPr>
        <w:pStyle w:val="ListParagraph"/>
        <w:numPr>
          <w:ilvl w:val="0"/>
          <w:numId w:val="24"/>
        </w:numPr>
        <w:jc w:val="both"/>
      </w:pPr>
      <w:r w:rsidRPr="00D002BB">
        <w:t>Latvijas Nacionālais attīstības plāns 2014.-2020.gadam;</w:t>
      </w:r>
    </w:p>
    <w:p w:rsidR="00673485" w:rsidRPr="00D002BB" w:rsidRDefault="00673485" w:rsidP="00CA4358">
      <w:pPr>
        <w:pStyle w:val="ListParagraph"/>
        <w:numPr>
          <w:ilvl w:val="0"/>
          <w:numId w:val="24"/>
        </w:numPr>
        <w:jc w:val="both"/>
      </w:pPr>
      <w:r w:rsidRPr="00D002BB">
        <w:t>Valdības rīcības plāns Deklarācijas par Valda Dombrovska vadītā Ministru kabineta iecerēto darbību īstenošanai;</w:t>
      </w:r>
    </w:p>
    <w:p w:rsidR="00673485" w:rsidRPr="00D002BB" w:rsidRDefault="00673485" w:rsidP="00CA4358">
      <w:pPr>
        <w:pStyle w:val="ListParagraph"/>
        <w:numPr>
          <w:ilvl w:val="0"/>
          <w:numId w:val="24"/>
        </w:numPr>
        <w:jc w:val="both"/>
      </w:pPr>
      <w:r w:rsidRPr="00D002BB">
        <w:t>Latvijas Nacionālais attīstības plāns 2007.-2013.gadam.</w:t>
      </w:r>
    </w:p>
    <w:p w:rsidR="00673485" w:rsidRPr="00D002BB" w:rsidRDefault="00673485" w:rsidP="00D002BB"/>
    <w:p w:rsidR="00673485" w:rsidRPr="00D002BB" w:rsidRDefault="00673485" w:rsidP="00D002BB">
      <w:r w:rsidRPr="00D002BB">
        <w:t>Papildu pasākumi, kuri atbalsta priekšlaicīgās mācību pārtraukšanas novēršanu:</w:t>
      </w:r>
    </w:p>
    <w:p w:rsidR="00673485" w:rsidRPr="00D002BB" w:rsidRDefault="00673485" w:rsidP="00CA4358">
      <w:pPr>
        <w:pStyle w:val="ListParagraph"/>
        <w:numPr>
          <w:ilvl w:val="0"/>
          <w:numId w:val="23"/>
        </w:numPr>
        <w:jc w:val="both"/>
      </w:pPr>
      <w:r w:rsidRPr="00D002BB">
        <w:t xml:space="preserve">Nacionālās identitātes, pilsoniskās sabiedrības un integrācijas politikas pamatnostādnes 2012.–2018.gadam </w:t>
      </w:r>
    </w:p>
    <w:p w:rsidR="00673485" w:rsidRPr="00D002BB" w:rsidRDefault="00673485" w:rsidP="00CA4358">
      <w:pPr>
        <w:pStyle w:val="ListParagraph"/>
        <w:numPr>
          <w:ilvl w:val="0"/>
          <w:numId w:val="23"/>
        </w:numPr>
        <w:jc w:val="both"/>
      </w:pPr>
      <w:r w:rsidRPr="00D002BB">
        <w:t>Reģionālās politikas pamatnostādnes 2014 – 2020.gadam</w:t>
      </w:r>
    </w:p>
    <w:p w:rsidR="00673485" w:rsidRPr="00D002BB" w:rsidRDefault="00673485" w:rsidP="00CA4358">
      <w:pPr>
        <w:pStyle w:val="ListParagraph"/>
        <w:numPr>
          <w:ilvl w:val="0"/>
          <w:numId w:val="23"/>
        </w:numPr>
        <w:jc w:val="both"/>
      </w:pPr>
      <w:r w:rsidRPr="00D002BB">
        <w:t>Vadlīnijas „Veselīgs uzturs” 2003 – 2013.gadam</w:t>
      </w:r>
    </w:p>
    <w:p w:rsidR="00673485" w:rsidRPr="00D002BB" w:rsidRDefault="00673485" w:rsidP="00CA4358">
      <w:pPr>
        <w:pStyle w:val="ListParagraph"/>
        <w:numPr>
          <w:ilvl w:val="0"/>
          <w:numId w:val="23"/>
        </w:numPr>
        <w:jc w:val="both"/>
      </w:pPr>
      <w:r w:rsidRPr="00D002BB">
        <w:t>Ministru kabineta 2010.gada 28.decembra noteikumi Nr.1206  „Kārtība, kādā aprēķina, piešķir un izlieto valsts budžetā paredzētos līdzekļus pašvaldībām pamatizglītības iestādes skolēnu ēdināšanai”</w:t>
      </w:r>
    </w:p>
    <w:p w:rsidR="00673485" w:rsidRPr="00D002BB" w:rsidRDefault="00673485" w:rsidP="00CA4358">
      <w:pPr>
        <w:pStyle w:val="ListParagraph"/>
        <w:numPr>
          <w:ilvl w:val="0"/>
          <w:numId w:val="23"/>
        </w:numPr>
        <w:jc w:val="both"/>
      </w:pPr>
      <w:r w:rsidRPr="00D002BB">
        <w:t>Reemigrācijas plāns 2013 – 2016.gadam</w:t>
      </w:r>
    </w:p>
    <w:p w:rsidR="00673485" w:rsidRPr="00D002BB" w:rsidRDefault="00216A83" w:rsidP="00CA4358">
      <w:pPr>
        <w:pStyle w:val="ListParagraph"/>
        <w:numPr>
          <w:ilvl w:val="0"/>
          <w:numId w:val="23"/>
        </w:numPr>
        <w:jc w:val="both"/>
      </w:pPr>
      <w:r>
        <w:t>„</w:t>
      </w:r>
      <w:r w:rsidR="00673485" w:rsidRPr="00D002BB">
        <w:t>Jauniešu garantij</w:t>
      </w:r>
      <w:r>
        <w:t>as”</w:t>
      </w:r>
      <w:r w:rsidR="00673485" w:rsidRPr="00D002BB">
        <w:t xml:space="preserve"> programma</w:t>
      </w:r>
    </w:p>
    <w:p w:rsidR="00673485" w:rsidRPr="00D002BB" w:rsidRDefault="00673485" w:rsidP="00CA4358">
      <w:pPr>
        <w:pStyle w:val="ListParagraph"/>
        <w:numPr>
          <w:ilvl w:val="0"/>
          <w:numId w:val="23"/>
        </w:numPr>
        <w:jc w:val="both"/>
      </w:pPr>
      <w:r w:rsidRPr="00D002BB">
        <w:t xml:space="preserve">Invalīdu lietu nacionālā padome </w:t>
      </w:r>
    </w:p>
    <w:p w:rsidR="00673485" w:rsidRPr="00D002BB" w:rsidRDefault="00216A83" w:rsidP="00216A83">
      <w:pPr>
        <w:pStyle w:val="ListParagraph"/>
        <w:numPr>
          <w:ilvl w:val="0"/>
          <w:numId w:val="23"/>
        </w:numPr>
        <w:jc w:val="both"/>
      </w:pPr>
      <w:r w:rsidRPr="00216A83">
        <w:t>Neformālās izglītības aktivitāšu īstenošana sadarbībā ar darbā ar jaunatni iesaistītām personām, jauniešu centriem un jaunatnes organizācijām, kā arī citām biedrībām un nodibinājumiem</w:t>
      </w:r>
      <w:r w:rsidR="00673485" w:rsidRPr="00D002BB">
        <w:t>.</w:t>
      </w:r>
    </w:p>
    <w:p w:rsidR="00E254C2" w:rsidRPr="00D002BB" w:rsidRDefault="00E254C2" w:rsidP="00D002BB"/>
    <w:p w:rsidR="00E254C2" w:rsidRPr="00D002BB" w:rsidRDefault="00E254C2" w:rsidP="00D002BB"/>
    <w:p w:rsidR="00E254C2" w:rsidRPr="00D002BB" w:rsidRDefault="00E254C2" w:rsidP="00D002BB"/>
    <w:p w:rsidR="00E254C2" w:rsidRPr="00D002BB" w:rsidRDefault="00E254C2" w:rsidP="00D002BB">
      <w:pPr>
        <w:sectPr w:rsidR="00E254C2" w:rsidRPr="00D002BB" w:rsidSect="00E254C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08"/>
          <w:noEndnote/>
          <w:docGrid w:linePitch="326"/>
        </w:sectPr>
      </w:pPr>
    </w:p>
    <w:p w:rsidR="00CC621A" w:rsidRPr="00CA4358" w:rsidRDefault="00CC621A" w:rsidP="00D002BB">
      <w:pPr>
        <w:rPr>
          <w:b/>
          <w:sz w:val="28"/>
        </w:rPr>
      </w:pPr>
      <w:bookmarkStart w:id="5" w:name="_Toc359594108"/>
      <w:bookmarkStart w:id="6" w:name="_Toc359941640"/>
      <w:bookmarkStart w:id="7" w:name="_Toc368987645"/>
      <w:r w:rsidRPr="00CA4358">
        <w:rPr>
          <w:b/>
          <w:sz w:val="28"/>
        </w:rPr>
        <w:lastRenderedPageBreak/>
        <w:t>Eiropas struktūrfondu intervence 2007.-2013.gadā priekšlaicīgas mācību pārtraukšanas tendenču samazināšanai</w:t>
      </w:r>
      <w:bookmarkEnd w:id="5"/>
      <w:bookmarkEnd w:id="6"/>
      <w:bookmarkEnd w:id="7"/>
      <w:r w:rsidRPr="00CA4358">
        <w:rPr>
          <w:b/>
          <w:sz w:val="28"/>
        </w:rPr>
        <w:t xml:space="preserve"> </w:t>
      </w:r>
    </w:p>
    <w:tbl>
      <w:tblPr>
        <w:tblW w:w="13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185"/>
        <w:gridCol w:w="2405"/>
        <w:gridCol w:w="5674"/>
      </w:tblGrid>
      <w:tr w:rsidR="00CC621A" w:rsidRPr="00421AC3" w:rsidTr="00421AC3">
        <w:trPr>
          <w:trHeight w:val="560"/>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Identifikators</w:t>
            </w:r>
          </w:p>
        </w:tc>
        <w:tc>
          <w:tcPr>
            <w:tcW w:w="3185"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Nosaukums</w:t>
            </w:r>
          </w:p>
        </w:tc>
        <w:tc>
          <w:tcPr>
            <w:tcW w:w="2405"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Kopējais finansējums</w:t>
            </w:r>
          </w:p>
        </w:tc>
        <w:tc>
          <w:tcPr>
            <w:tcW w:w="5674"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Apakšaktivitātes informācija</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1.2.1.1.4.apakšaktivitāte</w:t>
            </w:r>
          </w:p>
        </w:tc>
        <w:tc>
          <w:tcPr>
            <w:tcW w:w="3185"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Sākotnējās profesionālās izglītības pievilcības veicināšana</w:t>
            </w:r>
          </w:p>
          <w:p w:rsidR="00CC621A" w:rsidRPr="00421AC3" w:rsidRDefault="00CC621A" w:rsidP="00421AC3">
            <w:pPr>
              <w:jc w:val="both"/>
              <w:rPr>
                <w:rFonts w:cs="Times New Roman"/>
                <w:color w:val="auto"/>
                <w:sz w:val="22"/>
                <w:szCs w:val="22"/>
                <w:lang w:val="en-US"/>
              </w:rPr>
            </w:pP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25 178 752 LVL</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Apakšaktivitātes īstenošana ir veicinājusi profesionālajās skolās uzņemto audzēkņu skaita pieaugumu pēc 9.klases.</w:t>
            </w:r>
          </w:p>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Pirms apakšaktivitātes projekta īstenošanas uzsākšanas 2009.gadā profesionālo izglītību izvēlējās 28</w:t>
            </w:r>
            <w:proofErr w:type="gramStart"/>
            <w:r w:rsidRPr="00421AC3">
              <w:rPr>
                <w:rFonts w:cs="Times New Roman"/>
                <w:color w:val="auto"/>
                <w:sz w:val="22"/>
                <w:szCs w:val="22"/>
                <w:lang w:val="en-US"/>
              </w:rPr>
              <w:t>,1</w:t>
            </w:r>
            <w:proofErr w:type="gramEnd"/>
            <w:r w:rsidRPr="00421AC3">
              <w:rPr>
                <w:rFonts w:cs="Times New Roman"/>
                <w:color w:val="auto"/>
                <w:sz w:val="22"/>
                <w:szCs w:val="22"/>
                <w:lang w:val="en-US"/>
              </w:rPr>
              <w:t>%.</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1.2.1.1.3.apakšaktivitāte</w:t>
            </w:r>
          </w:p>
        </w:tc>
        <w:tc>
          <w:tcPr>
            <w:tcW w:w="3185"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Atbalsts sākotnējās profesionālās izglītības programmu īstenošanas kvalitātes uzlabošanai un īstenošanai</w:t>
            </w: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10 18 520 LVL</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Apakšaktivitātes īstenošanas ietvaros viengadīgajās un pusotrgadīgajās grupās līdz 2015.gada 31.augustam profesionālo kvalifikāciju iegūs 4000 audzēkņu.</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1.2.2.4.2.apakšaktivitāte</w:t>
            </w:r>
          </w:p>
        </w:tc>
        <w:tc>
          <w:tcPr>
            <w:tcW w:w="3185"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Atbalsta pasākumu īstenošana jauniešu sociālās atstumtības riska mazināšanai un jauniešu ar funkcionālajiem traucējumiem integrācijai izglītībā</w:t>
            </w: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5 904 793 LVL</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Apakšaktivitātes ietvaros nodrošināts mācību atbalsts vairāk nekā 18 000 jauniešiem ar mācīšanās problēmām, veicinot piemērotu izglītības un tālākizglītības ceļu piedāvājumus jauniešiem obligātajā izglītības vecumā ar zemām pamatprasmēm, jauniešiem sociālās korekcijas izglītības iestādēs un jauniešiem ar funkcionāliem traucējumiem.</w:t>
            </w:r>
          </w:p>
        </w:tc>
      </w:tr>
    </w:tbl>
    <w:p w:rsidR="00CC621A" w:rsidRPr="00D002BB" w:rsidRDefault="00CC621A" w:rsidP="00D002BB"/>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CA4358" w:rsidRDefault="00CC621A" w:rsidP="00CA4358">
      <w:pPr>
        <w:jc w:val="both"/>
        <w:rPr>
          <w:b/>
        </w:rPr>
      </w:pPr>
      <w:bookmarkStart w:id="8" w:name="_Toc359594109"/>
      <w:bookmarkStart w:id="9" w:name="_Toc359941641"/>
      <w:bookmarkStart w:id="10" w:name="_Toc368987646"/>
      <w:r w:rsidRPr="00CA4358">
        <w:rPr>
          <w:b/>
          <w:sz w:val="28"/>
        </w:rPr>
        <w:lastRenderedPageBreak/>
        <w:t>Turpmākās aktivitātes nosacījuma izpildei un starpinstitucionālās sadarbības modelis</w:t>
      </w:r>
      <w:bookmarkEnd w:id="8"/>
      <w:bookmarkEnd w:id="9"/>
      <w:bookmarkEnd w:id="10"/>
    </w:p>
    <w:p w:rsidR="00CC621A" w:rsidRPr="00D002BB" w:rsidRDefault="00CC621A" w:rsidP="00CA4358">
      <w:pPr>
        <w:pStyle w:val="teksts"/>
      </w:pPr>
      <w:r w:rsidRPr="00D002BB">
        <w:t>ES Padome rekomendē Latvijai risināt situāciju saistībā ar ilgstošo un jauniešu bezdarbu, palielinot aktīvās darba tirgus politikas un mērķtiecīgu sociālo pakalpojumu darbības jomu un efektivitāti. Uzlabot jauniešu nodarbināmību, piemēram, izmantojot garantijas jauniešiem, izveidot visaptverošu karjeras atbalsta sistēmu , īstenot reformas profesionālās izglītības un apmācības nozarē un uzlabot mācību prakses kvalitāti un pieejamību.</w:t>
      </w:r>
    </w:p>
    <w:p w:rsidR="00CC621A" w:rsidRPr="00D002BB" w:rsidRDefault="00CC621A" w:rsidP="00CA4358">
      <w:pPr>
        <w:pStyle w:val="teksts"/>
      </w:pPr>
      <w:r w:rsidRPr="00D002BB">
        <w:t>Nosacījuma izpildei pamatnostādņu rīcības virzienu ietvaros plānoti šādi būtiskākie pasākumi.</w:t>
      </w:r>
    </w:p>
    <w:p w:rsidR="00CC621A" w:rsidRPr="00D002BB" w:rsidRDefault="00CC621A" w:rsidP="00CA4358">
      <w:pPr>
        <w:pStyle w:val="teksts"/>
      </w:pPr>
      <w:r w:rsidRPr="00D002BB">
        <w:t>RV 1.1. „Uz zināšanu sabiedrībā pieprasītām kompetencēm orientēta un radošumu veicinoša izglītības satura pilnveide” ietvaros sadarbībā ar sociālajiem partneriem tiks ieviesta nacionālās kvalifikācijas ietvarstruktūra, sasaistot to ar Eiropas kvalifikācijas ietvarstruktūru, atbilstoši kurai tiks izstrādāti profesiju standarti un profesionālo kvalifikāciju pamatprasības, profesionālās izglītības programmas un kvalifikācijas eksāmenu saturs. Rezultātā tiks pilnveidota profesionālās izglītības struktūra, kā arī nodrošināta sociālo partneru dalība profesiju standartu un programmu izstrādē un ieviešanā. Tāpat ir paredzēts nodrošināt mācību prakses profesionālo izglītības iestāžu audzēkņiem, ieviešot darba vidē bāzētas profesionālās izglītības elementus sadarbībā ar nozaru ekspertu padomēm, sociālajiem partneriem un nozares uzņēmumiem. Paredzēto pasākumu īstenošanas rezultātā tiks paaugstināta profesionālas izglītības satura kvalitāte, pietuvinot to reālajai darba videi, tādējādi sekmējot profesionālās izglītības iestāžu audzēkņu interesi un motivāciju pabeigt mācības un iegūt profesionālo kvalifikāciju un operatīvāk iekļauties darba tirgū.</w:t>
      </w:r>
    </w:p>
    <w:p w:rsidR="00CC621A" w:rsidRPr="00D002BB" w:rsidRDefault="00CC621A" w:rsidP="00CA4358">
      <w:pPr>
        <w:pStyle w:val="teksts"/>
      </w:pPr>
      <w:r w:rsidRPr="00D002BB">
        <w:t>RV 1.2. „Pedagogu un akadēmiskā personāla motivācijas un profesionālās kapacitātes paaugstināšana” ietvaros ir plānots veikt pedagogu profesionālās kvalifikācijas pilnveidi, paredzot prasmju uzlabošanu darbam arī ar izglītojamajiem ar speciālām vajadzībām un sociālās atstumtības riskam pakļautajiem, izrietoši mazinot iespēju, ka šādu sociālo grupu bērni un jaunieši pamet mācības priekšlaicīgi.</w:t>
      </w:r>
    </w:p>
    <w:p w:rsidR="00CC621A" w:rsidRPr="00D002BB" w:rsidRDefault="00CC621A" w:rsidP="00CA4358">
      <w:pPr>
        <w:pStyle w:val="teksts"/>
      </w:pPr>
      <w:r w:rsidRPr="00D002BB">
        <w:t>RV 1.3. ir saistīts ar izglītības vides un izglītības procesa nodrošināšanu atbilstoši 21.gs., paredzot gan digitālo mācību grāmatu izstrādi, gan profesionālo izglītības iestāžu infrastruktūras un aprīkojuma pilnveidi atbilstoši īstenojamām profesionālās izglītības programmām darba tirgus attīstības tendenču kontekstā, kas vairos to pievilcīgumu audzēkņu vidū un izrietoši mazināt priekšlaicīgas mācību pārtraukšanas varbūtību.</w:t>
      </w:r>
    </w:p>
    <w:p w:rsidR="00CC621A" w:rsidRPr="00D002BB" w:rsidRDefault="00CC621A" w:rsidP="00CA4358">
      <w:pPr>
        <w:pStyle w:val="teksts"/>
      </w:pPr>
      <w:r w:rsidRPr="00D002BB">
        <w:t>Atzīstot, ka tieši sociālās atstumtības riska jaunieši ir visvairāk apdraudēti iesaistes izglītības procesos kontekstā, RV 1.4. „Iekļaujošās izglītības principa ieviešana” ietvaros plānoti pasākumi šādu jauniešu iekļaušanai un integrācijai vispārējās izglītības sistēmā. Rīcības virziena ietvaros paredzēto pasākumu rezultātā tiks sekmēta riskam pakļauto sociālo grupu integrācija izglītības procesos, kā arī šīm grupām sniegtais atbalsts.</w:t>
      </w:r>
    </w:p>
    <w:p w:rsidR="00CC621A" w:rsidRPr="00D002BB" w:rsidRDefault="00CC621A" w:rsidP="00CA4358">
      <w:pPr>
        <w:pStyle w:val="teksts"/>
      </w:pPr>
      <w:r w:rsidRPr="00D002BB">
        <w:t>RV 2.1. „Vienotas karjeras izglītības sistēmas attīstība” paredz Karjeras izglītības atbalsta sistēmas izveidi, karjeras konsultantu nodrošināšanu visos Latvijas novados, kā arī karjeras konsultantu vietas profesionālās izglītības kompetences centros. Tāpat paredzēts nodrošināt karjeras izvēles pasākumu kompleksu jauniešiem, iekļaujot profesiju vērošanas pasākumus, karjeras dienas, labās prakses piemērus sadarbībā ar darba devējiem, kā arī stipendijas profesionālās izglītības iestāžu audzēkņiem. Nodrošinot jauniešiem iespēju apzināt savas zināšanas, prasmes un intereses, kā arī iepazīties ar dažādu profesiju specifiku, tiks ne tikai būtiski uzlabota karjeras izglītība profesionālajā un vispārējā izglītībā, bet arī vairota jauniešu motivācija iekļauties izglītības procesos un iegūt izglītošanās noslēgumā iegūto kvalifikāciju.</w:t>
      </w:r>
    </w:p>
    <w:p w:rsidR="00CC621A" w:rsidRPr="00D002BB" w:rsidRDefault="00CC621A" w:rsidP="00CA4358">
      <w:pPr>
        <w:pStyle w:val="teksts"/>
      </w:pPr>
      <w:r w:rsidRPr="00D002BB">
        <w:t xml:space="preserve">RV 2.2. „Priekšlaicīgi mācības pametušo un izglītību neieguvušo skaita samazināšana” ietvaros tiek paredzētas darbības, kas vērstas tieši uz priekšlaicīgas mācību </w:t>
      </w:r>
      <w:r w:rsidRPr="00D002BB">
        <w:lastRenderedPageBreak/>
        <w:t xml:space="preserve">nepabeigšanas cēloņu apzināšanu, īstenojot pētījumus, kas dos iespēju daudz mērķtiecīgāk plānot un īstenot darbības priekšlaicīgi mācības pametušo skaita mazināšanai. Ir paredzēts īstenot analītisku pētījumu par agrīni skolu pametušajiem jauniešiem, izglītojamo kavējumu, otrgadniecības un nesekmības iemesliem. </w:t>
      </w:r>
    </w:p>
    <w:p w:rsidR="00CC621A" w:rsidRPr="00D002BB" w:rsidRDefault="00CC621A" w:rsidP="00CA4358">
      <w:pPr>
        <w:pStyle w:val="teksts"/>
      </w:pPr>
      <w:r w:rsidRPr="00D002BB">
        <w:t>RV 3.3. „Izglītības iestāžu tīkla pilnveide un pakalpojumu pieejamība” ietvaros ir plānots ieviest alternatīvus izglītības iegūšanas modeļus, kas dodu otru iespēju mācību turpināšanai tiem, kas ir priekšlaicīgi pametuši vispārējās vidējās izglītības, profesionālās un augstākās izglītības iestādi.</w:t>
      </w:r>
    </w:p>
    <w:p w:rsidR="00CC621A" w:rsidRPr="00D002BB" w:rsidRDefault="00CC621A" w:rsidP="00D002BB">
      <w:pPr>
        <w:sectPr w:rsidR="00CC621A" w:rsidRPr="00D002BB" w:rsidSect="00E254C2">
          <w:pgSz w:w="11907" w:h="16840" w:code="9"/>
          <w:pgMar w:top="1134" w:right="1134" w:bottom="1134" w:left="1701" w:header="720" w:footer="720" w:gutter="0"/>
          <w:cols w:space="708"/>
          <w:noEndnote/>
          <w:docGrid w:linePitch="326"/>
        </w:sectPr>
      </w:pPr>
      <w:r w:rsidRPr="00D002BB">
        <w:t xml:space="preserve"> </w:t>
      </w:r>
    </w:p>
    <w:p w:rsidR="00CC621A" w:rsidRPr="00D002BB" w:rsidRDefault="00CC621A" w:rsidP="00D002BB">
      <w:r w:rsidRPr="00D002BB">
        <w:lastRenderedPageBreak/>
        <w:t xml:space="preserve">Sadarbībā ar citu nozaru ministrijām IZM plāno īstenot šādas atbalstāmās darbības priekšlaicīgas mācību pārtraukšanas tendenču samazināšanai. </w:t>
      </w:r>
    </w:p>
    <w:p w:rsidR="00CC621A" w:rsidRPr="00D002BB" w:rsidRDefault="00CC621A" w:rsidP="00D002BB"/>
    <w:p w:rsidR="00CC621A" w:rsidRPr="00D002BB" w:rsidRDefault="00727EF8" w:rsidP="00D002BB">
      <w:r>
        <w:rPr>
          <w:noProof/>
          <w:lang w:eastAsia="lv-LV"/>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57" o:spid="_x0000_s1026" type="#_x0000_t70" style="position:absolute;margin-left:476.95pt;margin-top:18.2pt;width:24.75pt;height:40.85pt;rotation:-90;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" adj=",6543" fillcolor="#4f81bd" stroked="f" strokeweight="2pt">
            <v:path arrowok="t"/>
          </v:shape>
        </w:pict>
      </w:r>
      <w:r>
        <w:rPr>
          <w:noProof/>
          <w:lang w:eastAsia="lv-LV"/>
        </w:rPr>
        <w:pict>
          <v:shapetype id="_x0000_t202" coordsize="21600,21600" o:spt="202" path="m,l,21600r21600,l21600,xe">
            <v:stroke joinstyle="miter"/>
            <v:path gradientshapeok="t" o:connecttype="rect"/>
          </v:shapetype>
          <v:shape id="Text Box 258" o:spid="_x0000_s1046" type="#_x0000_t202" style="position:absolute;margin-left:511.75pt;margin-top:-.3pt;width:154.9pt;height:72.5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" fillcolor="#00b050" stroked="f">
            <v:textbox>
              <w:txbxContent>
                <w:p w:rsidR="008438AD" w:rsidRPr="003765F2" w:rsidRDefault="008438AD" w:rsidP="00CC621A">
                  <w:pPr>
                    <w:jc w:val="both"/>
                    <w:rPr>
                      <w:rFonts w:ascii="Garamond" w:hAnsi="Garamond"/>
                    </w:rPr>
                  </w:pPr>
                  <w:r w:rsidRPr="003765F2">
                    <w:rPr>
                      <w:rFonts w:ascii="Garamond" w:hAnsi="Garamond"/>
                    </w:rPr>
                    <w:t>VARAM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Pakalpojumu grozs, kas saistīts ar mācību pārtraukšanas novēršanu (izglītības iestāžu tīkls)</w:t>
                  </w: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r>
        <w:rPr>
          <w:noProof/>
          <w:lang w:eastAsia="lv-LV"/>
        </w:rPr>
        <w:pict>
          <v:shape id="Up-Down Arrow 259" o:spid="_x0000_s1045" type="#_x0000_t70" style="position:absolute;margin-left:477.05pt;margin-top:83.9pt;width:24.75pt;height:40.85pt;rotation:-90;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" adj=",6543" fillcolor="#4f81bd" stroked="f" strokeweight="2pt">
            <v:path arrowok="t"/>
          </v:shape>
        </w:pict>
      </w:r>
      <w:r>
        <w:rPr>
          <w:noProof/>
          <w:lang w:eastAsia="lv-LV"/>
        </w:rPr>
        <w:pict>
          <v:shape id="Text Box 260" o:spid="_x0000_s1027" type="#_x0000_t202" style="position:absolute;margin-left:511.7pt;margin-top:82.1pt;width:154.9pt;height:45.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" fillcolor="#00b050" stroked="f">
            <v:textbox>
              <w:txbxContent>
                <w:p w:rsidR="008438AD" w:rsidRPr="003765F2" w:rsidRDefault="008438AD" w:rsidP="00CC621A">
                  <w:pPr>
                    <w:jc w:val="both"/>
                    <w:rPr>
                      <w:rFonts w:ascii="Garamond" w:hAnsi="Garamond" w:cs="Times New Roman"/>
                      <w:color w:val="auto"/>
                      <w:szCs w:val="22"/>
                    </w:rPr>
                  </w:pPr>
                  <w:r w:rsidRPr="003765F2">
                    <w:rPr>
                      <w:rFonts w:ascii="Garamond" w:hAnsi="Garamond" w:cs="Times New Roman"/>
                      <w:color w:val="auto"/>
                      <w:szCs w:val="22"/>
                    </w:rPr>
                    <w:t>KM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Integrācijas politika</w:t>
                  </w: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r>
        <w:rPr>
          <w:noProof/>
          <w:lang w:eastAsia="lv-LV"/>
        </w:rPr>
      </w:r>
      <w:r>
        <w:rPr>
          <w:noProof/>
          <w:lang w:eastAsia="lv-LV"/>
        </w:rPr>
        <w:pict>
          <v:shape id="Text Box 261" o:spid="_x0000_s1044" type="#_x0000_t202" style="width:466.45pt;height:243.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" fillcolor="#4f81bd" stroked="f">
            <v:textbox>
              <w:txbxContent>
                <w:p w:rsidR="008438AD" w:rsidRPr="00421AC3" w:rsidRDefault="008438AD" w:rsidP="00CC621A">
                  <w:pPr>
                    <w:rPr>
                      <w:rFonts w:ascii="Garamond" w:hAnsi="Garamond"/>
                      <w:color w:val="FFFFFF"/>
                      <w:sz w:val="20"/>
                    </w:rPr>
                  </w:pPr>
                  <w:r w:rsidRPr="00421AC3">
                    <w:rPr>
                      <w:rFonts w:ascii="Garamond" w:hAnsi="Garamond"/>
                      <w:b/>
                      <w:color w:val="FFFFFF"/>
                    </w:rPr>
                    <w:t>IZGLĪTĪBAS UN ZINĀTNES MINISTRIJA</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Karjeras izglītība profesionālajā un vispārējā izglītībā.</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Viengadīgas un pusotrgadīgas profesionālās izglītības programmas. </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Profesionālās izglītības iestāžu tīkla optimizēšana.</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Profesionālās izglītības iestāžu materiāltehniskās bāzes uzlabošana.</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Sociālo partneru dalība profesiju standartu un programmu izstrādē/ieviešanā.</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Profesionālās izglītības struktūras pilnveide. </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Vispārējās vidējās izglītības un profesionālās vidējās izglītības ieguves nosacījumu līdzsvarošana.</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Programmu pārstrāde atbilstoši mācību rezultātiem (zināšanas, prasmes un kompetence).</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Otrās iespējas izglītības piedāvājums vispārējās (vakara (maiņu)) skolās un profesionālās izglītības iestādēs.</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Izglītības satura pilnveide un inovatīvu mācību līdzekļu izstrāde.</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Iekļaujošās izglītības (t.sk. speciālā izglītības) attīstība.</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Atbalsts čigānu (romu) kopienai un citām atstumtības riskam pakļautajām grupām.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Pedagogu kompetenču pilnveide darbam ar dažādām grupām.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Analītiskā izpēte par agrīni skolu pametušajiem jauniešiem, izglītojamo kavējumu, otrgadniecības, nesekmības iemesliem.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Darba vidē bāzētas izglītības elementu ieviešana profesionālās izglītības sistēmā</w:t>
                  </w: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r w:rsidRPr="00421AC3">
                    <w:rPr>
                      <w:rFonts w:ascii="Calibri" w:hAnsi="Calibri"/>
                      <w:color w:val="FFFFFF"/>
                      <w:sz w:val="20"/>
                    </w:rPr>
                    <w:t xml:space="preserve"> </w:t>
                  </w:r>
                </w:p>
              </w:txbxContent>
            </v:textbox>
            <w10:wrap type="none"/>
            <w10:anchorlock/>
          </v:shape>
        </w:pict>
      </w:r>
    </w:p>
    <w:p w:rsidR="00CC621A" w:rsidRPr="00D002BB" w:rsidRDefault="00727EF8" w:rsidP="00D002BB">
      <w:r>
        <w:rPr>
          <w:noProof/>
          <w:lang w:eastAsia="lv-LV"/>
        </w:rPr>
        <w:pict>
          <v:shape id="Up-Down Arrow 262" o:spid="_x0000_s1043" type="#_x0000_t70" style="position:absolute;margin-left:76.3pt;margin-top:1.05pt;width:24.75pt;height:40.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" adj=",6543" fillcolor="#4f81bd" stroked="f" strokeweight="2pt">
            <v:path arrowok="t"/>
          </v:shape>
        </w:pict>
      </w:r>
      <w:r>
        <w:rPr>
          <w:noProof/>
          <w:lang w:eastAsia="lv-LV"/>
        </w:rPr>
        <w:pict>
          <v:shape id="Up-Down Arrow 263" o:spid="_x0000_s1042" type="#_x0000_t70" style="position:absolute;margin-left:385.6pt;margin-top:1.1pt;width:24.75pt;height:40.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" adj=",6543" fillcolor="#4f81bd" stroked="f" strokeweight="2pt">
            <v:path arrowok="t"/>
          </v:shape>
        </w:pict>
      </w:r>
      <w:r>
        <w:rPr>
          <w:noProof/>
          <w:lang w:eastAsia="lv-LV"/>
        </w:rPr>
        <w:pict>
          <v:shape id="Up-Down Arrow 264" o:spid="_x0000_s1041" type="#_x0000_t70" style="position:absolute;margin-left:241.6pt;margin-top:1.1pt;width:24.75pt;height:40.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" adj=",6535" fillcolor="#4f81bd" stroked="f" strokeweight="2pt">
            <v:path arrowok="t"/>
          </v:shape>
        </w:pict>
      </w:r>
    </w:p>
    <w:p w:rsidR="00CC621A" w:rsidRPr="00D002BB" w:rsidRDefault="00CC621A" w:rsidP="00D002BB"/>
    <w:p w:rsidR="00CC621A" w:rsidRPr="00D002BB" w:rsidRDefault="00727EF8" w:rsidP="00D002BB">
      <w:r>
        <w:rPr>
          <w:noProof/>
          <w:lang w:eastAsia="lv-LV"/>
        </w:rPr>
        <w:pict>
          <v:shape id="Text Box 267" o:spid="_x0000_s1029" type="#_x0000_t202" style="position:absolute;margin-left:332.8pt;margin-top:14.4pt;width:133.45pt;height:8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" fillcolor="#00b050" stroked="f">
            <v:textbox>
              <w:txbxContent>
                <w:p w:rsidR="008438AD" w:rsidRPr="00421AC3" w:rsidRDefault="008438AD" w:rsidP="00CC621A">
                  <w:pPr>
                    <w:jc w:val="both"/>
                    <w:rPr>
                      <w:rFonts w:ascii="Garamond" w:hAnsi="Garamond"/>
                      <w:color w:val="FFFFFF"/>
                      <w:sz w:val="20"/>
                    </w:rPr>
                  </w:pPr>
                  <w:r w:rsidRPr="003765F2">
                    <w:rPr>
                      <w:rFonts w:ascii="Garamond" w:hAnsi="Garamond" w:cs="Times New Roman"/>
                      <w:color w:val="auto"/>
                      <w:szCs w:val="24"/>
                      <w:lang w:eastAsia="lv-LV"/>
                    </w:rPr>
                    <w:t>TM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Ieslodzīto apmācības</w:t>
                  </w:r>
                </w:p>
              </w:txbxContent>
            </v:textbox>
          </v:shape>
        </w:pict>
      </w:r>
      <w:r>
        <w:rPr>
          <w:noProof/>
          <w:lang w:eastAsia="lv-LV"/>
        </w:rPr>
        <w:pict>
          <v:shape id="Text Box 266" o:spid="_x0000_s1030" type="#_x0000_t202" style="position:absolute;margin-left:184.3pt;margin-top:15.4pt;width:139.95pt;height:8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" fillcolor="#00b050" stroked="f">
            <v:textbox>
              <w:txbxContent>
                <w:p w:rsidR="008438AD" w:rsidRPr="003765F2" w:rsidRDefault="008438AD" w:rsidP="00CC621A">
                  <w:pPr>
                    <w:jc w:val="both"/>
                    <w:rPr>
                      <w:rFonts w:ascii="Garamond" w:hAnsi="Garamond" w:cs="Times New Roman"/>
                      <w:color w:val="auto"/>
                      <w:szCs w:val="24"/>
                      <w:lang w:eastAsia="lv-LV"/>
                    </w:rPr>
                  </w:pPr>
                  <w:r w:rsidRPr="003765F2">
                    <w:rPr>
                      <w:rFonts w:ascii="Garamond" w:hAnsi="Garamond" w:cs="Times New Roman"/>
                      <w:color w:val="auto"/>
                      <w:szCs w:val="24"/>
                      <w:lang w:eastAsia="lv-LV"/>
                    </w:rPr>
                    <w:t>VM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Izglītības saturs veselības jautājumos </w:t>
                  </w: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r>
        <w:rPr>
          <w:noProof/>
          <w:lang w:eastAsia="lv-LV"/>
        </w:rPr>
        <w:pict>
          <v:shape id="Text Box 265" o:spid="_x0000_s1031" type="#_x0000_t202" style="position:absolute;margin-left:-.2pt;margin-top:15.9pt;width:175.1pt;height:85.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" fillcolor="#00b050" stroked="f">
            <v:textbox>
              <w:txbxContent>
                <w:p w:rsidR="008438AD" w:rsidRPr="003765F2" w:rsidRDefault="008438AD" w:rsidP="00CC621A">
                  <w:pPr>
                    <w:jc w:val="both"/>
                    <w:rPr>
                      <w:rFonts w:ascii="Garamond" w:hAnsi="Garamond"/>
                    </w:rPr>
                  </w:pPr>
                  <w:r w:rsidRPr="003765F2">
                    <w:rPr>
                      <w:rFonts w:ascii="Garamond" w:hAnsi="Garamond"/>
                    </w:rPr>
                    <w:t>LM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Jauniešu nodarbinātība</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Cilvēku ar speciālām vajadzībām atbalsta sistēmas nodrošināšana</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Jauniešu garantiju shēma</w:t>
                  </w: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p>
    <w:p w:rsidR="00CC621A" w:rsidRPr="00D002BB" w:rsidRDefault="00CC621A" w:rsidP="00D002BB"/>
    <w:p w:rsidR="00CC621A" w:rsidRPr="00D002BB" w:rsidRDefault="00CC621A" w:rsidP="00D002BB"/>
    <w:p w:rsidR="00CC621A" w:rsidRPr="00D002BB" w:rsidRDefault="00CC621A" w:rsidP="00D002BB"/>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CA4358" w:rsidRDefault="00CC621A" w:rsidP="00D002BB">
      <w:pPr>
        <w:rPr>
          <w:b/>
          <w:sz w:val="28"/>
        </w:rPr>
      </w:pPr>
      <w:bookmarkStart w:id="11" w:name="_Toc359594110"/>
      <w:bookmarkStart w:id="12" w:name="_Toc359941642"/>
      <w:bookmarkStart w:id="13" w:name="_Toc368987647"/>
      <w:r w:rsidRPr="00CA4358">
        <w:rPr>
          <w:b/>
          <w:sz w:val="28"/>
        </w:rPr>
        <w:lastRenderedPageBreak/>
        <w:t>Augstākās izglītības kvalitāte</w:t>
      </w:r>
      <w:bookmarkEnd w:id="11"/>
      <w:bookmarkEnd w:id="12"/>
      <w:bookmarkEnd w:id="13"/>
    </w:p>
    <w:p w:rsidR="00CC621A" w:rsidRPr="00D002BB" w:rsidRDefault="00CC621A" w:rsidP="00CA4358">
      <w:pPr>
        <w:pStyle w:val="teksts"/>
      </w:pPr>
      <w:r w:rsidRPr="00D002BB">
        <w:t xml:space="preserve">Saskaņā ar Latvijas attīstības plānošanas dokumentos noteiktajiem uzdevumiem augstākās izglītības un zinātnes jomā, IZM turpinās īstenot uzsāktās reformas augstākās izglītības jomā, lai sasniegtu galveno mērķi - nodrošināt kvalitatīvu, starptautiski konkurētspējīgu un zinātnē balstītu augstāko izglītību, ko īsteno efektīvi pārvaldītas institūcijas ar konsolidētiem resursiem. </w:t>
      </w:r>
    </w:p>
    <w:p w:rsidR="00CC621A" w:rsidRPr="00D002BB" w:rsidRDefault="00CC621A" w:rsidP="00CA4358">
      <w:pPr>
        <w:pStyle w:val="teksts"/>
      </w:pPr>
      <w:r w:rsidRPr="00D002BB">
        <w:t>Reformu nozīmību izglītībā pamato hierarhiski augstākais Latvijas attīstības plānošanas dokuments, Latvijas ilgtspējīgas attīstības stratēģija līdz 2030.gadam  („Latvija2030”), kur uzsvērts, ka augstākās izglītības sistēmas efektivitāte ir izšķirošs Latvijas konkurētspējas faktors. EK uzsver, ka ir būtiski īstenot plānotās augstākās izglītības reformas, jo īpaši attiecībā uz tāda finansēšanas modeļa izveidi, kas stimulē kvalitāti, akreditācijas sistēmas reformu, iestāžu konsolidāciju un internacionalizācijas veicināšanu.</w:t>
      </w:r>
    </w:p>
    <w:p w:rsidR="00CC621A" w:rsidRPr="00D002BB" w:rsidRDefault="00CC621A" w:rsidP="00D002BB"/>
    <w:p w:rsidR="00CA4358" w:rsidRPr="00CA4358" w:rsidRDefault="00CA4358" w:rsidP="00CA4358">
      <w:pPr>
        <w:rPr>
          <w:b/>
        </w:rPr>
      </w:pPr>
      <w:r w:rsidRPr="00CA4358">
        <w:rPr>
          <w:b/>
        </w:rPr>
        <w:t>Lai sekmētu augstākās izglītības politikas attīstību, Latvijā veikti šādi nozīmīgi pasākumi:</w:t>
      </w:r>
    </w:p>
    <w:p w:rsidR="00CA4358" w:rsidRPr="00D002BB" w:rsidRDefault="00CA4358" w:rsidP="00CA4358">
      <w:pPr>
        <w:pStyle w:val="ListParagraph"/>
        <w:numPr>
          <w:ilvl w:val="0"/>
          <w:numId w:val="22"/>
        </w:numPr>
        <w:jc w:val="both"/>
      </w:pPr>
      <w:r w:rsidRPr="00D002BB">
        <w:t>Ieviests studiju virzienu akreditācijas modelis.</w:t>
      </w:r>
    </w:p>
    <w:p w:rsidR="00CA4358" w:rsidRPr="00D002BB" w:rsidRDefault="00CA4358" w:rsidP="00CA4358">
      <w:pPr>
        <w:pStyle w:val="ListParagraph"/>
        <w:numPr>
          <w:ilvl w:val="0"/>
          <w:numId w:val="22"/>
        </w:numPr>
        <w:jc w:val="both"/>
      </w:pPr>
      <w:r w:rsidRPr="00D002BB">
        <w:t>Nodrošināts ievērojams finansiālais atbalsts doktora līmeņa studijām.</w:t>
      </w:r>
    </w:p>
    <w:p w:rsidR="00CA4358" w:rsidRPr="00D002BB" w:rsidRDefault="00CA4358" w:rsidP="00CA4358">
      <w:pPr>
        <w:pStyle w:val="ListParagraph"/>
        <w:numPr>
          <w:ilvl w:val="0"/>
          <w:numId w:val="22"/>
        </w:numPr>
        <w:jc w:val="both"/>
      </w:pPr>
      <w:r w:rsidRPr="00D002BB">
        <w:t>Īstenota visaptveroša studiju virzienu ārējā novērtēšana.</w:t>
      </w:r>
    </w:p>
    <w:p w:rsidR="00CA4358" w:rsidRPr="003D1ECB" w:rsidRDefault="00CA4358" w:rsidP="00CA4358">
      <w:pPr>
        <w:pStyle w:val="ListParagraph"/>
        <w:numPr>
          <w:ilvl w:val="0"/>
          <w:numId w:val="22"/>
        </w:numPr>
        <w:jc w:val="both"/>
      </w:pPr>
      <w:r w:rsidRPr="00D002BB">
        <w:t xml:space="preserve">Izstrādāts </w:t>
      </w:r>
      <w:r w:rsidR="005C063F" w:rsidRPr="003D1ECB">
        <w:t>Augstākās izglītības un zinātnes attīstības pasākumu plāns laika posmam no 2013.gada 1.novembra līdz 2014.gada 31.decembrim</w:t>
      </w:r>
      <w:r w:rsidRPr="003D1ECB">
        <w:t>.</w:t>
      </w:r>
    </w:p>
    <w:p w:rsidR="00CA4358" w:rsidRPr="003D1ECB" w:rsidRDefault="00CA4358" w:rsidP="00CA4358">
      <w:pPr>
        <w:pStyle w:val="ListParagraph"/>
        <w:numPr>
          <w:ilvl w:val="0"/>
          <w:numId w:val="22"/>
        </w:numPr>
        <w:jc w:val="both"/>
      </w:pPr>
      <w:r w:rsidRPr="003D1ECB">
        <w:t>Ar sociāliem partneriem noslēgts memorands par efektīvu un atklātu sadarbību augstākās izglītības un zinātnes reformu plānošanas un īstenošanas procesā.</w:t>
      </w:r>
    </w:p>
    <w:p w:rsidR="00CA4358" w:rsidRPr="003D1ECB" w:rsidRDefault="00CA4358" w:rsidP="00CA4358">
      <w:pPr>
        <w:pStyle w:val="ListParagraph"/>
        <w:numPr>
          <w:ilvl w:val="0"/>
          <w:numId w:val="22"/>
        </w:numPr>
        <w:jc w:val="both"/>
      </w:pPr>
      <w:r w:rsidRPr="003D1ECB">
        <w:t xml:space="preserve">Nodrošināta kopīgo </w:t>
      </w:r>
      <w:r w:rsidR="005C063F" w:rsidRPr="003D1ECB">
        <w:t>diplomu</w:t>
      </w:r>
      <w:r w:rsidRPr="003D1ECB">
        <w:t xml:space="preserve"> piešķiršanas tiesiskā bāze.</w:t>
      </w:r>
    </w:p>
    <w:p w:rsidR="00CA4358" w:rsidRPr="003D1ECB" w:rsidRDefault="00CA4358" w:rsidP="00CA4358">
      <w:pPr>
        <w:pStyle w:val="ListParagraph"/>
        <w:numPr>
          <w:ilvl w:val="0"/>
          <w:numId w:val="22"/>
        </w:numPr>
        <w:jc w:val="both"/>
      </w:pPr>
      <w:r w:rsidRPr="003D1ECB">
        <w:t xml:space="preserve">Paplašinātas </w:t>
      </w:r>
      <w:r w:rsidR="005C063F" w:rsidRPr="003D1ECB">
        <w:t>iespējas piešķirt valsts budžeta stipendijas ārvalstu studentiem</w:t>
      </w:r>
      <w:r w:rsidRPr="003D1ECB">
        <w:t>.</w:t>
      </w:r>
    </w:p>
    <w:p w:rsidR="00CC621A" w:rsidRPr="00D002BB" w:rsidRDefault="00CA4358" w:rsidP="00CA4358">
      <w:pPr>
        <w:pStyle w:val="ListParagraph"/>
        <w:numPr>
          <w:ilvl w:val="0"/>
          <w:numId w:val="22"/>
        </w:numPr>
        <w:jc w:val="both"/>
      </w:pPr>
      <w:r w:rsidRPr="00D002BB">
        <w:t>Nodrošināta strukturālā un tiesiskā bāze eksportspējas attīstībai.</w:t>
      </w:r>
    </w:p>
    <w:p w:rsidR="00CC621A" w:rsidRDefault="00CC621A" w:rsidP="00D002BB"/>
    <w:p w:rsidR="00B9746D" w:rsidRPr="00B9746D" w:rsidRDefault="00B9746D" w:rsidP="00D002BB">
      <w:pPr>
        <w:rPr>
          <w:b/>
          <w:sz w:val="28"/>
        </w:rPr>
      </w:pPr>
      <w:r w:rsidRPr="00B9746D">
        <w:rPr>
          <w:b/>
          <w:sz w:val="28"/>
        </w:rPr>
        <w:t>Valsts vai reģionālās stratēģiskās politikas ietvars</w:t>
      </w:r>
    </w:p>
    <w:p w:rsidR="00B9746D" w:rsidRPr="00B9746D" w:rsidRDefault="00B9746D" w:rsidP="00B9746D">
      <w:pPr>
        <w:pStyle w:val="teksts"/>
      </w:pPr>
      <w:r w:rsidRPr="00B9746D">
        <w:t>Ministru kabinetā 2011. gada 26. aprīlī apstiprināta Latvijas nacionālā reformu programma „ES 2020” .</w:t>
      </w:r>
    </w:p>
    <w:p w:rsidR="00B9746D" w:rsidRPr="00B9746D" w:rsidRDefault="00B9746D" w:rsidP="00B9746D">
      <w:pPr>
        <w:pStyle w:val="teksts"/>
      </w:pPr>
      <w:r w:rsidRPr="00B9746D">
        <w:t>(</w:t>
      </w:r>
      <w:hyperlink r:id="rId14" w:history="1">
        <w:r w:rsidRPr="00B9746D">
          <w:rPr>
            <w:color w:val="0000FF"/>
            <w:u w:val="single"/>
          </w:rPr>
          <w:t>http://www.em.gov.lv/images/modules/items/LV_NRP_lat.pdf</w:t>
        </w:r>
      </w:hyperlink>
      <w:r w:rsidRPr="00B9746D">
        <w:t>)</w:t>
      </w:r>
    </w:p>
    <w:p w:rsidR="00B9746D" w:rsidRPr="00B9746D" w:rsidRDefault="00B9746D" w:rsidP="00B9746D">
      <w:pPr>
        <w:pStyle w:val="teksts"/>
      </w:pPr>
    </w:p>
    <w:p w:rsidR="00B9746D" w:rsidRPr="00B9746D" w:rsidRDefault="00B9746D" w:rsidP="00B9746D">
      <w:pPr>
        <w:pStyle w:val="teksts"/>
      </w:pPr>
      <w:r w:rsidRPr="00B9746D">
        <w:t xml:space="preserve">2013.gada 3.janvārī valdība izskatīja informatīvo ziņojumu „Par Izglītības un zinātnes ministrijas turpmāko rīcību zinātnes un augstākās izglītības reformu jomā”. </w:t>
      </w:r>
    </w:p>
    <w:p w:rsidR="00B9746D" w:rsidRPr="00B9746D" w:rsidRDefault="00B9746D" w:rsidP="00B9746D">
      <w:pPr>
        <w:pStyle w:val="teksts"/>
      </w:pPr>
      <w:r w:rsidRPr="00B9746D">
        <w:t>(</w:t>
      </w:r>
      <w:hyperlink r:id="rId15" w:history="1">
        <w:r w:rsidRPr="00B9746D">
          <w:rPr>
            <w:color w:val="0000FF"/>
            <w:u w:val="single"/>
          </w:rPr>
          <w:t>http://izm.izm.gov.lv/normativie-akti/informativie-zinojumi.html</w:t>
        </w:r>
      </w:hyperlink>
      <w:r w:rsidRPr="00B9746D">
        <w:t>)</w:t>
      </w:r>
    </w:p>
    <w:p w:rsidR="00B9746D" w:rsidRPr="00B9746D" w:rsidRDefault="00B9746D" w:rsidP="00B9746D">
      <w:pPr>
        <w:pStyle w:val="teksts"/>
      </w:pPr>
    </w:p>
    <w:p w:rsidR="005C063F" w:rsidRPr="00B9746D" w:rsidRDefault="00B9746D" w:rsidP="005C063F">
      <w:pPr>
        <w:pStyle w:val="teksts"/>
        <w:rPr>
          <w:color w:val="0070C0"/>
        </w:rPr>
      </w:pPr>
      <w:r w:rsidRPr="00B9746D">
        <w:t>Augstākās izglītības un zinātnes attīstības pasākumu plāns laika posmam no 2013.gada 1.novembra līdz 2014.gada 31.decembrim.</w:t>
      </w:r>
      <w:r w:rsidRPr="00B9746D">
        <w:rPr>
          <w:color w:val="0070C0"/>
        </w:rPr>
        <w:t xml:space="preserve"> </w:t>
      </w:r>
      <w:r w:rsidRPr="00B9746D">
        <w:rPr>
          <w:i/>
        </w:rPr>
        <w:t>(</w:t>
      </w:r>
      <w:r w:rsidR="003D1ECB">
        <w:rPr>
          <w:i/>
        </w:rPr>
        <w:t>A</w:t>
      </w:r>
      <w:r w:rsidR="005C063F" w:rsidRPr="003D1ECB">
        <w:rPr>
          <w:i/>
        </w:rPr>
        <w:t>pstiprināt</w:t>
      </w:r>
      <w:r w:rsidR="003D1ECB">
        <w:rPr>
          <w:i/>
        </w:rPr>
        <w:t>s</w:t>
      </w:r>
      <w:r w:rsidR="005C063F" w:rsidRPr="003D1ECB">
        <w:rPr>
          <w:i/>
        </w:rPr>
        <w:t xml:space="preserve"> MK 2013.gada 12.novembrī).</w:t>
      </w:r>
    </w:p>
    <w:p w:rsidR="00B9746D" w:rsidRDefault="00B9746D" w:rsidP="005C063F">
      <w:pPr>
        <w:pStyle w:val="teksts"/>
        <w:rPr>
          <w:rFonts w:ascii="Calibri" w:hAnsi="Calibri" w:cs="Times New Roman"/>
          <w:color w:val="0070C0"/>
          <w:sz w:val="20"/>
        </w:rPr>
      </w:pPr>
    </w:p>
    <w:p w:rsidR="00B9746D" w:rsidRDefault="00B9746D" w:rsidP="00B9746D">
      <w:pPr>
        <w:jc w:val="both"/>
        <w:rPr>
          <w:b/>
          <w:sz w:val="28"/>
        </w:rPr>
      </w:pPr>
      <w:r w:rsidRPr="00B9746D">
        <w:rPr>
          <w:b/>
          <w:sz w:val="28"/>
        </w:rPr>
        <w:t>Pasākumi, kas nepieciešami, lai paaugstinātu atstumtības riskam pakļauto grupu dalību augstākajā izglītībā</w:t>
      </w:r>
    </w:p>
    <w:p w:rsidR="00B9746D" w:rsidRPr="00B9746D" w:rsidRDefault="00B9746D" w:rsidP="00B9746D">
      <w:pPr>
        <w:pStyle w:val="teksts"/>
      </w:pPr>
      <w:r w:rsidRPr="00B9746D">
        <w:t>Ministru kabinetā 2011. gada 26. aprīlī apstiprinātajā Latvijas nacionālajā reformu programmā „ES 2020” stratēģijas īstenošanai kā viens no politikas virzieniem minēts augstākās izglītības vienlīdzīgas pieejamības nodrošināšana.  Augstākās izglītības jomā kā viens no mērķiem ir pilnveidot stipendiju, kā arī studiju un studējošo kredītu piešķiršanas mehānismu, kas pavērtu iespējas studēt lielākam studēt gribošo skaitam.</w:t>
      </w:r>
    </w:p>
    <w:p w:rsidR="00B9746D" w:rsidRPr="00B9746D" w:rsidRDefault="00B9746D" w:rsidP="00B9746D">
      <w:pPr>
        <w:pStyle w:val="teksts"/>
      </w:pPr>
      <w:r w:rsidRPr="00B9746D">
        <w:t xml:space="preserve">Nacionālās reformu programmas īstenošanai 2013. – 2020. gadā bija plānots sniegt atbalstu sociāli mazāk aizsargātajām grupām, lai veicinātu augstākās izglītības  pieejamību. Atbalsts paredzēja piešķirt šai grupai stipendijas, kas segtu gan dzīvošanas izmaksas, gan studiju maksu. Stipendiju izsniegšana krīzes laikā (2009.- 2011.gadā pēc sociālajiem </w:t>
      </w:r>
      <w:r w:rsidRPr="00B9746D">
        <w:lastRenderedPageBreak/>
        <w:t>kritērijiem) pierādīja, ka turpat 50% studentu ir sociāli mazāk aizsargātās grupas un studenta un viņa ģimenes ienākumi ir nepietiekami.</w:t>
      </w:r>
    </w:p>
    <w:p w:rsidR="00B9746D" w:rsidRPr="00B9746D" w:rsidRDefault="00B9746D" w:rsidP="00B9746D">
      <w:pPr>
        <w:ind w:left="720"/>
        <w:contextualSpacing/>
        <w:jc w:val="both"/>
        <w:rPr>
          <w:rFonts w:ascii="Calibri" w:hAnsi="Calibri" w:cs="Times New Roman"/>
          <w:color w:val="0070C0"/>
          <w:sz w:val="22"/>
          <w:szCs w:val="22"/>
        </w:rPr>
      </w:pPr>
    </w:p>
    <w:p w:rsidR="00B9746D" w:rsidRPr="00B9746D" w:rsidRDefault="00B9746D" w:rsidP="00B9746D">
      <w:pPr>
        <w:pStyle w:val="teksts"/>
      </w:pPr>
      <w:r w:rsidRPr="00B9746D">
        <w:t>Latvijā nabadzības un sociālās atstumtības riskam pakļautās iedzīvotāju grupas ir šādas (LM informācija, noteikta pēc Eurostat izstrādātās metodoloģijas un LR Centrālās statistikas biroja aprēķiniem):</w:t>
      </w:r>
    </w:p>
    <w:p w:rsidR="00B9746D" w:rsidRPr="00B9746D" w:rsidRDefault="00B9746D" w:rsidP="00B9746D">
      <w:pPr>
        <w:pStyle w:val="teksts"/>
        <w:numPr>
          <w:ilvl w:val="0"/>
          <w:numId w:val="35"/>
        </w:numPr>
      </w:pPr>
      <w:r w:rsidRPr="00B9746D">
        <w:t xml:space="preserve">pensijas vecuma personas (īpaši sievietes un vientuļie pensionāri);  pirmspensijas vecuma personas; </w:t>
      </w:r>
    </w:p>
    <w:p w:rsidR="00B9746D" w:rsidRPr="00B9746D" w:rsidRDefault="00B9746D" w:rsidP="00B9746D">
      <w:pPr>
        <w:pStyle w:val="teksts"/>
        <w:numPr>
          <w:ilvl w:val="0"/>
          <w:numId w:val="35"/>
        </w:numPr>
      </w:pPr>
      <w:r w:rsidRPr="00B9746D">
        <w:t xml:space="preserve">daudzbērnu un nepilnās ģimenes;  bērni;  invalīdi un personas ar funkcionāliem traucējumiem; </w:t>
      </w:r>
    </w:p>
    <w:p w:rsidR="00B9746D" w:rsidRPr="00B9746D" w:rsidRDefault="00B9746D" w:rsidP="00B9746D">
      <w:pPr>
        <w:pStyle w:val="teksts"/>
        <w:numPr>
          <w:ilvl w:val="0"/>
          <w:numId w:val="35"/>
        </w:numPr>
      </w:pPr>
      <w:r w:rsidRPr="00B9746D">
        <w:t>bezdarbnieki (īpaši ilgstošie bezdarbnieki); bezpajumtnieki; romi;  ieslodzītie un no ieslodzījuma vietām atbrīvotās personas; cilvēku tirdzniecības upuri; no psihoaktīvām vielām atkarīgās personas;</w:t>
      </w:r>
    </w:p>
    <w:p w:rsidR="00B9746D" w:rsidRPr="00B9746D" w:rsidRDefault="00B9746D" w:rsidP="00B9746D">
      <w:pPr>
        <w:pStyle w:val="teksts"/>
        <w:numPr>
          <w:ilvl w:val="0"/>
          <w:numId w:val="35"/>
        </w:numPr>
      </w:pPr>
      <w:r w:rsidRPr="00B9746D">
        <w:t>personas ar nepietiekošām, zemām vai darba tirgum neatbilstošām zināšanām un prasmēm;  trūcīgās personas.</w:t>
      </w:r>
    </w:p>
    <w:p w:rsidR="00B9746D" w:rsidRPr="00B9746D" w:rsidRDefault="00B9746D" w:rsidP="00B9746D">
      <w:pPr>
        <w:rPr>
          <w:rFonts w:ascii="Calibri" w:hAnsi="Calibri"/>
          <w:i/>
          <w:color w:val="0070C0"/>
          <w:sz w:val="22"/>
          <w:szCs w:val="22"/>
        </w:rPr>
      </w:pPr>
    </w:p>
    <w:p w:rsidR="00B9746D" w:rsidRPr="00B9746D" w:rsidRDefault="00B9746D" w:rsidP="00B9746D">
      <w:pPr>
        <w:pStyle w:val="teksts"/>
      </w:pPr>
      <w:r w:rsidRPr="00B9746D">
        <w:t xml:space="preserve">2008. gadā „ Projektu un kvalitātes vadības”  pētījums „Sabiedrības integrācijas fonda ieviesto Eiropas sociālā fonda grantu shēmu ieguldījumu sociāli atstumto grupu dzīves kvalitātes uzlabošanā” </w:t>
      </w:r>
      <w:r w:rsidRPr="00B9746D">
        <w:rPr>
          <w:rFonts w:cs="Calibri"/>
        </w:rPr>
        <w:t xml:space="preserve"> </w:t>
      </w:r>
      <w:r w:rsidRPr="00B9746D">
        <w:t>analizēja</w:t>
      </w:r>
      <w:r w:rsidRPr="00B9746D">
        <w:rPr>
          <w:rFonts w:cs="Calibri"/>
        </w:rPr>
        <w:t xml:space="preserve"> četru grantu shēmu rezultātus: motivācijas pro</w:t>
      </w:r>
      <w:r w:rsidRPr="00B9746D">
        <w:t>grammas sociālās atstumtības riska grupām; pētījumu veikšana par sociāli atstumto grupu iespējām darba tirgū; konsultācijas un apmācība komercdarbības un pašnodarbinātības uzsākšanai; sociālās rehabilitācijas programmu izstrādi un ieviešanu.</w:t>
      </w:r>
    </w:p>
    <w:p w:rsidR="00B9746D" w:rsidRPr="00B9746D" w:rsidRDefault="00B9746D" w:rsidP="00B9746D">
      <w:pPr>
        <w:pStyle w:val="teksts"/>
      </w:pPr>
      <w:r w:rsidRPr="00B9746D">
        <w:t>LU Filozofijas un socioloģijas institūts 2006. gadā veica pētījumu "Bezdarba un sociālās atstumtības iemesli un ilgums", kurā bija arī dziļās intervijas ar sociālās atstumtības riska grupu pārstāvjiem par iegūtās profesijas kvalitāti un atbilstību darba tirgus prasībām.</w:t>
      </w:r>
    </w:p>
    <w:p w:rsidR="00B9746D" w:rsidRPr="00B9746D" w:rsidRDefault="00B9746D" w:rsidP="00B9746D">
      <w:pPr>
        <w:pStyle w:val="teksts"/>
      </w:pPr>
      <w:r w:rsidRPr="00B9746D">
        <w:t>2009.gada 21.aprīlī izdoti Ministru kabineta noteikumi Nr.343  „Noteikumi par darbības programmas “Cilvēkresursi un nodarbinātība” papildinājuma 1.2.2.4.1.apakšaktivitāti “Iekļaujošas izglītības un sociālās atstumtības riskam pakļauto jauniešu atbalsta sistēmas izveide, nepieciešamā personāla sagatavošana, nodrošināšana un kompetences paaugstināšana””</w:t>
      </w:r>
    </w:p>
    <w:p w:rsidR="00B9746D" w:rsidRPr="00B9746D" w:rsidRDefault="00B9746D" w:rsidP="00B9746D">
      <w:pPr>
        <w:pStyle w:val="teksts"/>
      </w:pPr>
      <w:r w:rsidRPr="00B9746D">
        <w:t>Vairums pētījumu analizē sociāli atstumto grupu iekļaušanos darba tirgū, kas vairākām atstumtām grupām parāda nepietiekamas pamatprasmes,  tāpēc daudzi pasākumi vērsti tieši uz šīs problēmas risinājumiem, lai viņus sekmīgāk iekļautu darba tirgū.</w:t>
      </w:r>
    </w:p>
    <w:p w:rsidR="00B9746D" w:rsidRPr="00B9746D" w:rsidRDefault="00B9746D" w:rsidP="00B9746D">
      <w:pPr>
        <w:pStyle w:val="teksts"/>
      </w:pPr>
      <w:r w:rsidRPr="00B9746D">
        <w:t>Latvijas cilvēktiesību centrs 2011. gadā īstenoja „Pētījumu par patvēruma meklētāju, bēgļu un personu, kurām piešķirts alternatīvais statuss, piekļuvi izglītībai Latvijā”. Pētījuma mērķis bija apzināt patvēruma meklētāju, bēgļu un alternatīvo statusu ieguvušo personu  iespējas, vajadzības un problēmas iegūt izglītību Latvijā. Ziņojumā ir skarti jautājumi par nepilngadīgo un pieaugušo personu piekļuvi dažāda līmeņa izglītības iestādēm. (</w:t>
      </w:r>
      <w:hyperlink r:id="rId16" w:history="1">
        <w:r w:rsidRPr="00972688">
          <w:rPr>
            <w:rStyle w:val="Hyperlink"/>
          </w:rPr>
          <w:t>http://cilvektiesibas.org.lv/lv/publications/petijums-par-patveruma-mekletaju-beglu-un-personu</w:t>
        </w:r>
      </w:hyperlink>
      <w:r w:rsidRPr="00B9746D">
        <w:t>)</w:t>
      </w:r>
    </w:p>
    <w:p w:rsidR="00B9746D" w:rsidRPr="00B9746D" w:rsidRDefault="00B9746D" w:rsidP="00B9746D">
      <w:pPr>
        <w:pStyle w:val="teksts"/>
      </w:pPr>
      <w:r w:rsidRPr="00B9746D">
        <w:t xml:space="preserve">Latvija piedalās starptautiskā salīdzinošā pētījumā EUROSTUDENT „Studentu sociālie un ekonomiskie dzīves apstākļi Latvijā”. Pētījums ietver trīs blokus: augstākās izglītības pieejamību, studiju apstākļus un mobilitāti. Pētījuma ceturtā kārta notika laikā no 2009. gada oktobra līdz novembrim. Pašlaik ir uzsākta pētījuma piektā kārta, kurā 2012. – 2015. gadu periodā tiks veikts pētījums katrā projekta dalībvalstī (pētījums pieejams izdrukātā veidā). Pētījums parāda arī vairākus studējošo sociālos kritērijus: studenti ar bērnu/-iem, studentu ikmēneša ienākumus (kuri dzīvo kopā ar vecākiem un pastāvīgi; pa dzimumiem). Pētījums parāda, ka studentiem no sociāli neaizsargātām grupām ir mazāks ģimenes atbalsts. 2011. gadā publicētie pētījuma dati parāda, ka salīdzinoši studentiem Latvijā, kas nedzīvo kopā ar vecākiem, ir augstāki ienākumi, bet tas liecina, ka studenti paralēli studijām strādā. </w:t>
      </w:r>
      <w:r w:rsidRPr="00B9746D">
        <w:lastRenderedPageBreak/>
        <w:t>Latvija ir starp tām valstīm, kas piešķir salīdzinoši mazu publisko finansējumu studentu atbalstam no sociāli neaizsargātām grupām.</w:t>
      </w:r>
    </w:p>
    <w:p w:rsidR="00B9746D" w:rsidRPr="00B9746D" w:rsidRDefault="00B9746D" w:rsidP="00B9746D">
      <w:pPr>
        <w:pStyle w:val="teksts"/>
      </w:pPr>
      <w:r w:rsidRPr="00B9746D">
        <w:t>Nepieciešams plānot personalizēto atbalstu, kas studentam granta veidā, ņemt vērā sociālekonomisko situācija (transporta izdevumu segšana, mācību studiju materiālu līdzekļi, uzturēšanās (dienesta viesnīcās) izmaksas un uzturs.</w:t>
      </w:r>
      <w:r>
        <w:t xml:space="preserve"> </w:t>
      </w:r>
      <w:r w:rsidRPr="00B9746D">
        <w:t xml:space="preserve">Ar 2014.gadu tiks uzsākta </w:t>
      </w:r>
      <w:r w:rsidR="005C063F" w:rsidRPr="003D1ECB">
        <w:t>finansiālā atbalsta īstenošana koledžām, palielinot vienas studiju vietas valsts budžeta finansējuma apjomu, vienlaikus izvērtējot</w:t>
      </w:r>
      <w:r w:rsidR="005C063F" w:rsidRPr="005C063F">
        <w:t xml:space="preserve"> </w:t>
      </w:r>
      <w:r w:rsidRPr="003D1ECB">
        <w:t>b</w:t>
      </w:r>
      <w:r w:rsidRPr="00B9746D">
        <w:t>udžeta vietu skaita palielinājumu saistībā ar darba tirgus pieprasījumu.</w:t>
      </w:r>
    </w:p>
    <w:p w:rsidR="00B9746D" w:rsidRPr="00B9746D" w:rsidRDefault="00B9746D" w:rsidP="00B9746D">
      <w:pPr>
        <w:pStyle w:val="teksts"/>
      </w:pPr>
      <w:r w:rsidRPr="00B9746D">
        <w:t>Augstākās izglītības pieejamības paplašināšana ir viens no finansēšanas modeļa kritērijiem. Tāpat tiek nodrošināts budžeta vietu īpatsvars reģionālajās augstskolās, kā arī augstākās izglītības pieejamību varētu sekmēt arī kopīgo, profesionālo un koledžas programmu attīstība.</w:t>
      </w:r>
    </w:p>
    <w:p w:rsidR="00B9746D" w:rsidRPr="00B9746D" w:rsidRDefault="00B9746D" w:rsidP="00B9746D">
      <w:pPr>
        <w:pStyle w:val="teksts"/>
      </w:pPr>
      <w:r w:rsidRPr="00B9746D">
        <w:t xml:space="preserve">Tiek izvērtēta iespēja cilvēkiem ar funkcionāliem traucējumiem nodrošināt iespēju apgūt studiju programmas tālmācību studiju veidā. </w:t>
      </w:r>
    </w:p>
    <w:p w:rsidR="00B9746D" w:rsidRPr="00B9746D" w:rsidRDefault="00B9746D" w:rsidP="00B9746D">
      <w:pPr>
        <w:pStyle w:val="teksts"/>
      </w:pPr>
      <w:r w:rsidRPr="00B9746D">
        <w:t>Atbalstāma Karjeras centru darbības paplašināšana augstākās izglītības iestādēs, t.sk. dažādu sociālo un atstumto grupu iespējas iegūt augstāko izglītību un iekļauties mūžizglītības pasākumos.</w:t>
      </w:r>
    </w:p>
    <w:p w:rsidR="00B9746D" w:rsidRPr="00B9746D" w:rsidRDefault="00B9746D" w:rsidP="00B9746D">
      <w:pPr>
        <w:pStyle w:val="teksts"/>
      </w:pPr>
      <w:r>
        <w:t xml:space="preserve">Vērtējot fiziskās infrastruktūras attīstību jāmin, ka </w:t>
      </w:r>
      <w:r w:rsidRPr="00B9746D">
        <w:t>3.1.2.1.1.apakšaktivitātē „Augstākās izglītības iestāžu telpu un iekārtu modernizēšana studiju programmu kvalitātes uzlabošanai, tajā skaitā nodrošinot izglītības programmu apgūšanas iespējas arī personām ar funkcionāliem traucējumiem” kopumā noslēgtas 31 vienošanās par projektu īstenošanu. Visās valstī esošajās augstākās izglītības iestādēs, kas īsteno prioritārās programmas, tiks modernizēta infrastruktūra un mācību aprīkojums. Šobrīd ir modernizētas 20 augstskolas, t.i. 64.5% no kopējā (31) augstākās izglītības iestāžu skaita, kas īsteno prioritārās programmas. Šīs aktivitātes, kā arī ESF 1.1.2.1.1.aktivitātes (prioritāro jomu maģistrantu stipendijas) rezultātā studentu skaits eksaktās un inženierzinātnēs pieaug, tādējādi tiek veicināta arī tautsaimniecības attīstībai nepieciešamo cilvēkresursu nodrošināšana. Ja 2004.gadā tie bija 20%, tad šobrīd 2012.gada 2.pusgadā tie ir – 35%, kas skaidrojams ar to, ka uzlabojas materiāli tehniskā bāze augstākajās izglītības iestādēs, kas ļauj apgūt zināšanas un prasmes atbilstoši mainīgajām darba tirgus prasībām.</w:t>
      </w:r>
    </w:p>
    <w:p w:rsidR="00B9746D" w:rsidRPr="00B9746D" w:rsidRDefault="00B9746D" w:rsidP="00B9746D">
      <w:pPr>
        <w:pStyle w:val="teksts"/>
      </w:pPr>
      <w:r w:rsidRPr="00B9746D">
        <w:t>Nepieciešams turpināt sniegt atbalstu vides pielāgojamībai cilvēkiem ar funkcionāliem traucējumiem, tai skaitā nepieciešams sniegt atbalstu šādu pasākumu īstenošanai arī ES struktūrfondu 2014.</w:t>
      </w:r>
      <w:r w:rsidR="005C063F">
        <w:t xml:space="preserve">- </w:t>
      </w:r>
      <w:r w:rsidRPr="00B9746D">
        <w:t>2020.gada plānošanas periodā.</w:t>
      </w:r>
    </w:p>
    <w:p w:rsidR="00B9746D" w:rsidRPr="00B9746D" w:rsidRDefault="00B9746D" w:rsidP="00B9746D">
      <w:pPr>
        <w:pStyle w:val="teksts"/>
      </w:pPr>
      <w:r w:rsidRPr="00B9746D">
        <w:t xml:space="preserve">Izglītības un zinātnes ministrija izvērtē iespēju pasūtīt pētījumu par ES struktūrfondu 2007.-2013.gada plānošanas perioda ietvaros ieguldīto investīciju augstākās izglītības infrastruktūras modernizācijā efektivitāti. </w:t>
      </w:r>
    </w:p>
    <w:p w:rsidR="00B9746D" w:rsidRDefault="00B9746D" w:rsidP="00B9746D">
      <w:pPr>
        <w:pStyle w:val="teksts"/>
      </w:pPr>
      <w:r w:rsidRPr="00B9746D">
        <w:t>Augstskolu studiju programmu piedāvājumā nav barjeru augstākās izglītības pieejai mazākumtautībām</w:t>
      </w:r>
      <w:r>
        <w:t>.</w:t>
      </w:r>
    </w:p>
    <w:p w:rsidR="00B9746D" w:rsidRDefault="00B9746D" w:rsidP="00B9746D">
      <w:pPr>
        <w:pStyle w:val="teksts"/>
      </w:pPr>
    </w:p>
    <w:p w:rsidR="00B9746D" w:rsidRPr="00B9746D" w:rsidRDefault="00B9746D" w:rsidP="00B9746D">
      <w:pPr>
        <w:jc w:val="both"/>
        <w:rPr>
          <w:b/>
          <w:sz w:val="28"/>
        </w:rPr>
      </w:pPr>
      <w:r w:rsidRPr="00B9746D">
        <w:rPr>
          <w:b/>
          <w:sz w:val="28"/>
        </w:rPr>
        <w:t>Priekšlaicīgas  mācību pārtraukšanas samazināšana</w:t>
      </w:r>
    </w:p>
    <w:p w:rsidR="00D41AB9" w:rsidRDefault="00CB31B3" w:rsidP="00CB31B3">
      <w:pPr>
        <w:pStyle w:val="teksts"/>
      </w:pPr>
      <w:r w:rsidRPr="00CB31B3">
        <w:t>Saskaņā ar MK 2006.gada 2.maija  noteikumiem Nr.348 "Kārtība, kādā augstskola un koledža iesniedz Izglītības un zinātnes ministrijā informāciju par savu darbību", iestādes līdz kārtējā gada 15.oktobrim sniedz CSP un IZM ziņas par studējošajiem. Šī informācija ietver arī atbirušo studentu skaitu studiju programmās, t.i., cik  studenti ir pārtraukuši studijas katrā studiju programmā attiecīgajā studiju gadā. Iegūtā kopējā atbiruma aina IZM tiek analizēta šādos griezumos: atbirums valsts un privātajās augstskolās, pilna un nepilna laika studijās, studiju virzienos un studiju tematiskajās grupās.</w:t>
      </w:r>
    </w:p>
    <w:p w:rsidR="00CB31B3" w:rsidRDefault="00CB31B3" w:rsidP="00CB31B3">
      <w:pPr>
        <w:pStyle w:val="teksts"/>
        <w:rPr>
          <w:lang w:eastAsia="lv-LV"/>
        </w:rPr>
      </w:pPr>
      <w:r>
        <w:rPr>
          <w:lang w:eastAsia="lv-LV"/>
        </w:rPr>
        <w:t xml:space="preserve">Vienlaikus norādām, ka ar 2014.gadu tiek plānots palielināt STEM studiju programmas vienas budžeta studiju vietas nodrošinājuma finansējumu, tādējādi veicinot </w:t>
      </w:r>
      <w:r>
        <w:rPr>
          <w:lang w:eastAsia="lv-LV"/>
        </w:rPr>
        <w:lastRenderedPageBreak/>
        <w:t>finansējuma apmēra palielināšanos STEM studiju programmās, kas veicinātu studijas pārtraukušo studentu skaita samazināšanos.</w:t>
      </w:r>
    </w:p>
    <w:p w:rsidR="00CB31B3" w:rsidRDefault="00CB31B3" w:rsidP="00CB31B3">
      <w:pPr>
        <w:pStyle w:val="teksts"/>
      </w:pPr>
      <w:r>
        <w:t>ES fondu 2014.-2020.gada plānošanas periodā plānots sniegt atbalstu karjeras attīstības pasākumu īstenošanai, t.sk. augstākās izglītības iestādēs sadarbībā ar darba devējiem izglītības programmu nepabeigušo skaita samazināšanai, īpaši veicinot sadarbību ar nozares uzņēmumiem, tehniskas un intelektuālas jaunrades pasākumu īstenošanai saistībā ar dabas zinātnēm, matemātiku un informācijas tehnoloģijām, inženierzinātnēm un tehnoloģijām, ražošanu un būvniecību, veselības aprūpi un vides aizsardzību, ka arī profesiju stereotipu mazināšanai un jauniešu motivācijas paaugstināšanai apgūt profesijas, kurās vērojams darbaspēka trūkums.</w:t>
      </w:r>
    </w:p>
    <w:p w:rsidR="00CB31B3" w:rsidRDefault="00CB31B3" w:rsidP="00CB31B3">
      <w:pPr>
        <w:pStyle w:val="teksts"/>
      </w:pPr>
      <w:r>
        <w:t>Papildus saskaņā ar vienošanos, ko IZM slēdz ar valsts augstskolām un koledžām, katra kalendārā gada sākumā valsts dibinātās AI iestādes sniedz ziņas par no budžeta finansēto studiju vietu faktisko izpildi (budžeta vietu faktiskais aizpildījums pret plānoto), kā arī faktiski sagatavoto speciālistu skaits (grādu/kvalifikāciju ieguvušie salīdzinājumā ar plānoto). Studiju vietu un speciālistu neizpildes gadījumā iestādes sniedz pamatojumu, kādēļ students pārtraucis studijas vai nav ieguvis kvalifikāciju/grādu. Līdz ar to atbirums budžeta vietās tiek analizēts detalizētāk, identificējot apstākļus, kas rada atbirumu.</w:t>
      </w:r>
    </w:p>
    <w:p w:rsidR="00CB31B3" w:rsidRDefault="00CB31B3" w:rsidP="00CB31B3">
      <w:pPr>
        <w:pStyle w:val="teksts"/>
      </w:pPr>
      <w:r>
        <w:t>No 2014.gada konsolidējot augstākās izglītības datus, veidojot vienu augstākās izglītības datu bāzi, tiek plānots īstenot sistemātisku atbiruma analīzi , saistot šo informāciju ar AI akreditācijas datiem (studiju programmu kvalitāti). Plānots veidot arī atbirušo studentu profilu, nosakot atbirušo studentu vecumu, dzimumu, iepriekšējo izglītību u.c. faktorus, lai identificētu potenciālā atbiruma riska grupas.</w:t>
      </w:r>
    </w:p>
    <w:p w:rsidR="00CB31B3" w:rsidRDefault="00CB31B3" w:rsidP="00CB31B3">
      <w:pPr>
        <w:pStyle w:val="teksts"/>
      </w:pPr>
    </w:p>
    <w:p w:rsidR="00CB31B3" w:rsidRDefault="00CB31B3" w:rsidP="00CB31B3">
      <w:pPr>
        <w:pStyle w:val="teksts"/>
        <w:ind w:firstLine="0"/>
        <w:rPr>
          <w:rFonts w:cs="Times New Roman"/>
          <w:b/>
          <w:sz w:val="28"/>
          <w:szCs w:val="28"/>
        </w:rPr>
      </w:pPr>
      <w:r w:rsidRPr="00CB31B3">
        <w:rPr>
          <w:rFonts w:cs="Times New Roman"/>
          <w:b/>
          <w:sz w:val="28"/>
          <w:szCs w:val="28"/>
        </w:rPr>
        <w:t>Pasākumi, lai mudinātu inovatīvu saturu un programmas konstrukciju</w:t>
      </w:r>
    </w:p>
    <w:p w:rsidR="00CB31B3" w:rsidRPr="00CB31B3" w:rsidRDefault="00CB31B3" w:rsidP="00CB31B3">
      <w:pPr>
        <w:pStyle w:val="teksts"/>
      </w:pPr>
      <w:r w:rsidRPr="00CB31B3">
        <w:t>Eiropas Sociālā fonda projekts „Augstākās izglītības studiju programmu izvērtēšana un priekšlikumi kvalitātes paaugstināšanai” (vienošanās: Nr.2011/0012/1DP/1.1.2.2.1/11/IPIA/VIAA/001), kas sniedza rekomendācijas un analīzi par studiju virzieniem, to pilnveidi, uzlabošanu un attīstību, kā arī konsolidāciju un slēgšanu.</w:t>
      </w:r>
    </w:p>
    <w:p w:rsidR="00CB31B3" w:rsidRPr="00CB31B3" w:rsidRDefault="00CB31B3" w:rsidP="00CB31B3">
      <w:pPr>
        <w:pStyle w:val="teksts"/>
      </w:pPr>
      <w:r w:rsidRPr="00CB31B3">
        <w:t>„Augstākās izglītības studiju programmu izvērtēšana un priekšlikumi kvalitātes paaugstināšanai”  ziņojumā, tai skaitā ir veikta datu analīze par studiju programmu eksportspēju, studiju programmās studējošo kopējo noslodzi, doktorantūras studiju programmām, kā arī augstākās izglītības iestāžu saistību ar reģioniem.</w:t>
      </w:r>
    </w:p>
    <w:p w:rsidR="00CB31B3" w:rsidRPr="00CB31B3" w:rsidRDefault="00CB31B3" w:rsidP="00CB31B3">
      <w:pPr>
        <w:pStyle w:val="teksts"/>
      </w:pPr>
      <w:r w:rsidRPr="00CB31B3">
        <w:t>Inovatīvu studiju programmu un satura izstrādei būtu nepieciešama „Labās prakses” pārņemšana, tai skaitā studiju procesu organizācijai un vadībai, kā arī ārvalstu pasniedzēju piesaistei un atbalsts modernu materiālu izstrādei un uzlabošanai.</w:t>
      </w:r>
    </w:p>
    <w:p w:rsidR="00CB31B3" w:rsidRPr="00CB31B3" w:rsidRDefault="00CB31B3" w:rsidP="00CB31B3">
      <w:pPr>
        <w:pStyle w:val="teksts"/>
      </w:pPr>
      <w:r w:rsidRPr="00CB31B3">
        <w:t>Tai skaitā, kopīgo doktorantūras programmu un programmu ES valodas izveides procesā tiks veikti uzraudzības pasākumi, lai veicinātu inovatīvu studiju programmu un satura izstrādi.</w:t>
      </w:r>
    </w:p>
    <w:p w:rsidR="00CB31B3" w:rsidRPr="00CB31B3" w:rsidRDefault="00CB31B3" w:rsidP="00CB31B3">
      <w:pPr>
        <w:pStyle w:val="teksts"/>
      </w:pPr>
      <w:r w:rsidRPr="00CB31B3">
        <w:t>Augstākās izglītības studiju virzienu izvērtēšana notiek atbilstoši normatīvajos aktos noteiktai kārtībai, tai skaitā eksperti vērtē augstskolas informatīvo bāzi, materiāltehnisko nodrošinājumu, tai skaitā IKT aprīkojumu, akadēmiskā personāla kvalifikāciju. Līdz ar to, augstākās izglītības studiju virzienu akreditācijas lēmumos ir norādīti trūkumi un rekomendācijas, kas augstākās izglītības iestādēm ir jānovērš līdz akreditācijas termiņa beigām/nākošam akreditācijas procesam, tai skaitā par IKT izmantošanu mācību procesā.</w:t>
      </w:r>
    </w:p>
    <w:p w:rsidR="00CB31B3" w:rsidRPr="00CB31B3" w:rsidRDefault="00CB31B3" w:rsidP="00CB31B3">
      <w:pPr>
        <w:pStyle w:val="teksts"/>
      </w:pPr>
      <w:r w:rsidRPr="00CB31B3">
        <w:t>Vairākas augstskolas studiju programmās īsteno studiju kursus e-studiju formā, samērā plaši studiju procesā tiek izmantota e</w:t>
      </w:r>
      <w:r w:rsidR="005C063F">
        <w:t>-</w:t>
      </w:r>
      <w:r w:rsidRPr="00CB31B3">
        <w:t>studiju platforma „Moodle”. Augstākās izglītības iestāžu digitālās apmācības aprīkojums un infrastruktūra ir atšķirīga – vairākās iestādēs jau plaši tiek lietotas multimediju iekārtas un IKT, citās šis aprīkojums vēl ir pilnveidojams.</w:t>
      </w:r>
    </w:p>
    <w:p w:rsidR="00CB31B3" w:rsidRPr="00CB31B3" w:rsidRDefault="00CB31B3" w:rsidP="00CB31B3">
      <w:pPr>
        <w:pStyle w:val="teksts"/>
      </w:pPr>
      <w:r w:rsidRPr="00CB31B3">
        <w:lastRenderedPageBreak/>
        <w:t>Kopumā Latvijas augstākās izglītības iestādēs ir jāpaplašina IKT izmantošana studiju procesā un jāievieš vairāk izstrādātu e</w:t>
      </w:r>
      <w:r>
        <w:t>-</w:t>
      </w:r>
      <w:r w:rsidRPr="00CB31B3">
        <w:t>studiju kursu. Nākamajā struktūrfondu plānošanas periodā bija ieplānots pasākums „Augstākās izglītības digitalizācija”, kura mērķis bija veicināt augstākās izglītības pieejamību un attīstīt digitālās studiju vides infrastruktūru, sniedzot atbalstu plašākai e</w:t>
      </w:r>
      <w:r>
        <w:t>-</w:t>
      </w:r>
      <w:r w:rsidRPr="00CB31B3">
        <w:t>studiju un tālmācības ieviešanai. Pasākums paredzēja plašāk ieviest e</w:t>
      </w:r>
      <w:r>
        <w:t>-</w:t>
      </w:r>
      <w:r w:rsidRPr="00CB31B3">
        <w:t>pakalpojumus augstākās izglītības iestādēs; e</w:t>
      </w:r>
      <w:r>
        <w:t>-</w:t>
      </w:r>
      <w:r w:rsidRPr="00CB31B3">
        <w:t>studiju kursu izstrādi, kā arī iegādāties tehniskos resursus un programmatūru. Nozīmīgs jautājums ir personāla, īpaši pasniedzēju, apmācība digitālo rīku izmantošanā mācību procesā.</w:t>
      </w:r>
    </w:p>
    <w:p w:rsidR="00CB31B3" w:rsidRDefault="00CB31B3" w:rsidP="00CB31B3">
      <w:pPr>
        <w:pStyle w:val="teksts"/>
      </w:pPr>
      <w:r w:rsidRPr="00CB31B3">
        <w:t>Studentu centrēta izglītība ir viena no Boloņas procesa tēmām, kas Latvijā ir aplūkota vairākos darbsemināros un konferencēs ar augstākās izglītības iestāžu pārstāvju piedalīšanos. Latvijas pārstāvji piedalījās Lēvenes (Beļģijā) Boloņas procesa Ministru konferencē 2009. gadā, kur viena no tēmām bija studentu centrēta izglītība.</w:t>
      </w:r>
    </w:p>
    <w:p w:rsidR="008438AD" w:rsidRDefault="008438AD" w:rsidP="00CB31B3">
      <w:pPr>
        <w:pStyle w:val="teksts"/>
        <w:ind w:firstLine="0"/>
        <w:rPr>
          <w:rFonts w:cs="Times New Roman"/>
          <w:b/>
          <w:sz w:val="28"/>
          <w:szCs w:val="28"/>
        </w:rPr>
      </w:pPr>
    </w:p>
    <w:p w:rsidR="00CB31B3" w:rsidRDefault="00CB31B3" w:rsidP="00CB31B3">
      <w:pPr>
        <w:pStyle w:val="teksts"/>
        <w:ind w:firstLine="0"/>
        <w:rPr>
          <w:rFonts w:cs="Times New Roman"/>
          <w:b/>
          <w:sz w:val="28"/>
          <w:szCs w:val="28"/>
        </w:rPr>
      </w:pPr>
      <w:r w:rsidRPr="00CB31B3">
        <w:rPr>
          <w:rFonts w:cs="Times New Roman"/>
          <w:b/>
          <w:sz w:val="28"/>
          <w:szCs w:val="28"/>
        </w:rPr>
        <w:t>Pasākumi, lai paaugstinātu nodarbinātību un uzņēmējdarbību</w:t>
      </w:r>
    </w:p>
    <w:p w:rsidR="00CB31B3" w:rsidRPr="00CB31B3" w:rsidRDefault="00CB31B3" w:rsidP="00CB31B3">
      <w:pPr>
        <w:pStyle w:val="teksts"/>
      </w:pPr>
      <w:r w:rsidRPr="00CB31B3">
        <w:t>2012. gada 9. novembrī Izglītības un zinātnes ministrija un Latvijas Darba devēju konfederācijas parakstīja sadarbības memorandu. 2011. gada 19.aprīlī Izglītības un zinātnes ministrija, Latvijas Rektoru padome, Augstākās izglītības padome, Latvijas Darba devēju konfederācijas Latvijas Brīvo arodbiedrību savienība un Latvijas Studentu apvienība parakstīja Vienošanos par sadarbību studiju vietu struktūras pakāpeniskai pārveidošanai atbilstoši darba tirgus prasībām. Vienošanās paredz prakšu attīstību absolventu nodarbinātības un profesionālās sagatavotības veicināšanai un nozaru ekspertu padomju iesaistīšanu.</w:t>
      </w:r>
    </w:p>
    <w:p w:rsidR="00CB31B3" w:rsidRPr="00CB31B3" w:rsidRDefault="00CB31B3" w:rsidP="00CB31B3">
      <w:pPr>
        <w:pStyle w:val="teksts"/>
      </w:pPr>
      <w:r w:rsidRPr="00CB31B3">
        <w:t xml:space="preserve">Augstākās izglītības un zinātnes attīstības pasākumu plāna laika posmam no 2013.gada 1.novembra līdz 2014.gada 31.decembrim ietvaros plānots nodrošināt lielāku prakšu pieejamību studentiem, palielinot darba devēju lomu un motivāciju kvalitatīvu prakšu nodrošināšanā, tādējādi sniedzot studentam praktiskās iemaņas savā specialitātē, kas ļauj tiem veiksmīgāk iekļauties darba tirgū.  </w:t>
      </w:r>
    </w:p>
    <w:p w:rsidR="00CB31B3" w:rsidRPr="00CB31B3" w:rsidRDefault="00CB31B3" w:rsidP="00CB31B3">
      <w:pPr>
        <w:pStyle w:val="teksts"/>
      </w:pPr>
      <w:r w:rsidRPr="00CB31B3">
        <w:t>Vienlaikus norādām, ka 40 000 no Latvijā augstākās izglītības iestādēs studējošiem ir reģistrējušies portālā Prakses.lv (kopā 90 tūkst. studenti), kur uzņēmēji atrod praktikantus un studenti prakses vietas. Portāls darbojas 5 gadus.</w:t>
      </w:r>
    </w:p>
    <w:p w:rsidR="00CB31B3" w:rsidRPr="00CB31B3" w:rsidRDefault="00CB31B3" w:rsidP="00CB31B3">
      <w:pPr>
        <w:pStyle w:val="teksts"/>
      </w:pPr>
      <w:r w:rsidRPr="00CB31B3">
        <w:t xml:space="preserve">Norādām, ka jau šobrīd normatīvo aktu prasības jau paredz "transversālo" prasmju iekļaušanu studiju programmās un pasākumu ieviešanu, kas vērsti uz studiju procesa un metožu uzlabošanu.  </w:t>
      </w:r>
    </w:p>
    <w:p w:rsidR="00CB31B3" w:rsidRPr="00CB31B3" w:rsidRDefault="00CB31B3" w:rsidP="00CB31B3">
      <w:pPr>
        <w:pStyle w:val="teksts"/>
      </w:pPr>
      <w:r w:rsidRPr="00CB31B3">
        <w:t>Vienlaikus iespējams būtu nepieciešams izvērtēt iespēju veicināt un attīstīt augstskolu biznesa inkubatorus, lai veicinātu mācību pētījumu veikšanu un pieredzes iegūšanu.</w:t>
      </w:r>
    </w:p>
    <w:p w:rsidR="00CB31B3" w:rsidRPr="00CB31B3" w:rsidRDefault="00CB31B3" w:rsidP="00CB31B3">
      <w:pPr>
        <w:pStyle w:val="teksts"/>
      </w:pPr>
      <w:r w:rsidRPr="00CB31B3">
        <w:t>Latvijā darbojas vairāki biznesa inkubatori - pilnsabiedrība „Rīgas Reģiona biznesa attīstības inkubators”, radošā biznesa inkubators "Creative Andrejsala" (SIA "HUB Riga"), nodibinājums "Ventspils Augsto tehnoloģiju parks", SIA "Kurzemes Biznesa inkubators", kas darbojas Liepājā, Kuldīgā un Saldū, Latgales biznesa inkubators "Ideju Viesnīca", biedrība "Biznesa inkubators Cēsis", Zemgales pilnsabiedrība "JIC Biznesa inkubators" un vairāki no inkubatoriem cieši sadarbojas ar augstākās izglītības iestādēm, piedāvājot kursus biznesa plāna sastādīšanā un sniedzot plašu informāciju par iespējām uzsākt uzņēmējdarbību biznesa inkubatorā. Vairākas augstākās izglītības iestādes sadarbībā ar LIAA un/ vai biznesa inkubatoriem ir īstenojuši apmācību semināru programmu „Uzņēmējs 5 dienās”.</w:t>
      </w:r>
    </w:p>
    <w:p w:rsidR="00CB31B3" w:rsidRDefault="00CB31B3" w:rsidP="00CB31B3">
      <w:pPr>
        <w:pStyle w:val="teksts"/>
      </w:pPr>
      <w:r w:rsidRPr="00CB31B3">
        <w:t>Augstskolas ir iesaistījušās arī citās programmās un pasākumos, kas veicina uzņēmējdarbības prasmju attīstību, piemēram, dažādos biznesa plānu konkursos, Karjeras dienās augstskolās, kuru laikā notiek dažādi semināri un lekcijas. Vairākās augstākās izglītības iestādēs studentiem, kas nestudē uzņēmējdarbību un vadībzinātni, tiek piedāvāts brīvās izvēles kurss uzņēmējdarbības pamatos.</w:t>
      </w:r>
    </w:p>
    <w:p w:rsidR="00CB31B3" w:rsidRDefault="00CB31B3" w:rsidP="00CB31B3">
      <w:pPr>
        <w:pStyle w:val="teksts"/>
      </w:pPr>
    </w:p>
    <w:p w:rsidR="00CB31B3" w:rsidRDefault="008438AD" w:rsidP="00CB31B3">
      <w:pPr>
        <w:pStyle w:val="teksts"/>
        <w:ind w:firstLine="0"/>
        <w:rPr>
          <w:rFonts w:cs="Times New Roman"/>
          <w:b/>
          <w:sz w:val="28"/>
          <w:szCs w:val="28"/>
        </w:rPr>
      </w:pPr>
      <w:r w:rsidRPr="008438AD">
        <w:rPr>
          <w:rFonts w:cs="Times New Roman"/>
          <w:b/>
          <w:sz w:val="28"/>
          <w:szCs w:val="28"/>
        </w:rPr>
        <w:t xml:space="preserve">Ar dzimumu saistīto atšķirību mazināšana </w:t>
      </w:r>
      <w:r>
        <w:rPr>
          <w:rFonts w:cs="Times New Roman"/>
          <w:b/>
          <w:sz w:val="28"/>
          <w:szCs w:val="28"/>
        </w:rPr>
        <w:t xml:space="preserve">augstākajā </w:t>
      </w:r>
      <w:r w:rsidRPr="008438AD">
        <w:rPr>
          <w:rFonts w:cs="Times New Roman"/>
          <w:b/>
          <w:sz w:val="28"/>
          <w:szCs w:val="28"/>
        </w:rPr>
        <w:t>izglītībā</w:t>
      </w:r>
    </w:p>
    <w:p w:rsidR="00150A8D" w:rsidRDefault="00150A8D" w:rsidP="00CB31B3">
      <w:pPr>
        <w:pStyle w:val="teksts"/>
      </w:pPr>
      <w:r>
        <w:lastRenderedPageBreak/>
        <w:t xml:space="preserve">Būtisku ieguldījumu minētā jautājuma analīzē sniedz </w:t>
      </w:r>
      <w:r w:rsidRPr="00150A8D">
        <w:t>Dzimumu līdztiesības komitejas izveidotās darba grupas priekšlikumi sieviešu un vīriešu skaita līdzsvarošanai un dzimumu līdztiesības aspektu integrēšanai Latvijas pirmsskolas, vispārējās, profesionālās un augstākās izglītības līmeņos, izglītības procesā un saturā līdz 2020.gadam.</w:t>
      </w:r>
    </w:p>
    <w:p w:rsidR="00150A8D" w:rsidRDefault="00150A8D" w:rsidP="00CB31B3">
      <w:pPr>
        <w:pStyle w:val="teksts"/>
      </w:pPr>
      <w:r w:rsidRPr="00BD1FCB">
        <w:t xml:space="preserve">Lai gan statistikas dati liecina, ka kopējais izglītības līmenis </w:t>
      </w:r>
      <w:r>
        <w:t xml:space="preserve">Latvijā </w:t>
      </w:r>
      <w:r w:rsidRPr="00BD1FCB">
        <w:t>pēdējo divdesmit gadu laikā ir audzis, ir vērojama tendence, ka sieviešu izglītības līmenis procentuāli ir augstāks nekā vīriešu</w:t>
      </w:r>
      <w:r>
        <w:t>. Tas</w:t>
      </w:r>
      <w:r w:rsidRPr="00BD1FCB">
        <w:t xml:space="preserve"> saskan ar pētījumā par skolēnu profesionālajiem nodomiem minēto</w:t>
      </w:r>
      <w:r>
        <w:t>. J</w:t>
      </w:r>
      <w:r w:rsidRPr="00BD1FCB">
        <w:t xml:space="preserve">au 8.klasē meitenes biežāk </w:t>
      </w:r>
      <w:r>
        <w:t>ne</w:t>
      </w:r>
      <w:r w:rsidRPr="00BD1FCB">
        <w:t>kā zēni savus nākotnes nodomus saista ar augstākās izglītības iegūšanu. Jāņem vērā, ka jaunieši ar zemu izglītības līmeni</w:t>
      </w:r>
      <w:r>
        <w:t>,</w:t>
      </w:r>
      <w:r w:rsidRPr="00BD1FCB">
        <w:t xml:space="preserve"> ir riska grupa bezdarbam un līdz ar to arī sociālajai atstumtībai</w:t>
      </w:r>
      <w:r w:rsidRPr="00BD1FCB">
        <w:rPr>
          <w:rStyle w:val="FootnoteReference"/>
        </w:rPr>
        <w:footnoteReference w:id="4"/>
      </w:r>
      <w:r>
        <w:t>.</w:t>
      </w:r>
      <w:r w:rsidRPr="00BD1FCB">
        <w:t xml:space="preserve"> </w:t>
      </w:r>
      <w:r>
        <w:t>T</w:t>
      </w:r>
      <w:r w:rsidRPr="00BD1FCB">
        <w:t>āpēc jāpievērš</w:t>
      </w:r>
      <w:r>
        <w:t xml:space="preserve"> </w:t>
      </w:r>
      <w:r w:rsidRPr="00BD1FCB">
        <w:t>uzmanība vīriešu motivēšanai iegūt augstāko izglītību</w:t>
      </w:r>
      <w:r>
        <w:t>. Tas</w:t>
      </w:r>
      <w:r w:rsidRPr="00BD1FCB">
        <w:t xml:space="preserve"> ne tikai uzlabo</w:t>
      </w:r>
      <w:r>
        <w:t>tu</w:t>
      </w:r>
      <w:r w:rsidRPr="00BD1FCB">
        <w:t xml:space="preserve"> vīriešu dzīves kvalitāti un mūža ilgumu, bet arī veicinā</w:t>
      </w:r>
      <w:r>
        <w:t>tu</w:t>
      </w:r>
      <w:r w:rsidRPr="00BD1FCB">
        <w:t xml:space="preserve"> dzimumu līdztiesību ģimenēs un sekojoši arī darba tirgū.</w:t>
      </w:r>
    </w:p>
    <w:p w:rsidR="00150A8D" w:rsidRDefault="00150A8D" w:rsidP="00CB31B3">
      <w:pPr>
        <w:pStyle w:val="teksts"/>
      </w:pPr>
      <w:r w:rsidRPr="00BD1FCB">
        <w:t>Otra svarīga iezīme Latvijas augstākās izglītības jomā ir izteikta dzimumu segregācija</w:t>
      </w:r>
      <w:r>
        <w:t xml:space="preserve"> dažādās studiju nozarēs. Piemēram, </w:t>
      </w:r>
      <w:r w:rsidRPr="00BD1FCB">
        <w:t>88% no studējošo kopskaita izglītības un 82%</w:t>
      </w:r>
      <w:r>
        <w:t xml:space="preserve"> </w:t>
      </w:r>
      <w:r w:rsidRPr="00BD1FCB">
        <w:t>veselības un sociālās aprūpes jomās</w:t>
      </w:r>
      <w:r>
        <w:t xml:space="preserve"> ir sievietes</w:t>
      </w:r>
      <w:r w:rsidRPr="00BD1FCB">
        <w:t>, savukārt  78% inženierzinātnes, ražošanas un būvniecības jomā</w:t>
      </w:r>
      <w:r>
        <w:t>s studējošo ir vīrieši</w:t>
      </w:r>
      <w:r w:rsidRPr="00BD1FCB">
        <w:rPr>
          <w:rStyle w:val="FootnoteReference"/>
        </w:rPr>
        <w:footnoteReference w:id="5"/>
      </w:r>
      <w:r w:rsidRPr="00BD1FCB">
        <w:t xml:space="preserve">. Nevienlīdzīgs dzimumu sadalījums </w:t>
      </w:r>
      <w:r>
        <w:t xml:space="preserve">dažādās </w:t>
      </w:r>
      <w:r w:rsidRPr="00BD1FCB">
        <w:t>programm</w:t>
      </w:r>
      <w:r>
        <w:t xml:space="preserve">ās </w:t>
      </w:r>
      <w:r w:rsidRPr="00BD1FCB">
        <w:t xml:space="preserve">bieži tiek pamatots ar apgalvojumu, ka puiši izvēlas eksaktās nozares, bet meitenes dod priekšroku humanitārajām nozarēm. </w:t>
      </w:r>
      <w:r>
        <w:t xml:space="preserve">Vienlaikus </w:t>
      </w:r>
      <w:r w:rsidRPr="00BD1FCB">
        <w:t>puiši studē arī sociālās un humanitārās zinātnes, taču visbiežāk tās, kurās sagaidāmi augstāki ienākumi vai pieeja cit</w:t>
      </w:r>
      <w:r>
        <w:t>iem resursiem, piemēram, varai. Tās ir tādas humanitārās jomas kā</w:t>
      </w:r>
      <w:r w:rsidRPr="00BD1FCB">
        <w:t xml:space="preserve"> politikas zinātn</w:t>
      </w:r>
      <w:r>
        <w:t>e</w:t>
      </w:r>
      <w:r w:rsidRPr="00BD1FCB">
        <w:t>, ekonomik</w:t>
      </w:r>
      <w:r>
        <w:t>a</w:t>
      </w:r>
      <w:r w:rsidRPr="00BD1FCB">
        <w:t>, tiesību zinātn</w:t>
      </w:r>
      <w:r>
        <w:t>e.</w:t>
      </w:r>
      <w:r w:rsidRPr="00BD1FCB">
        <w:t xml:space="preserve">  Tas norāda uz pastāvošām atšķirīgām rīcību ietekmējošajām vērtībām, kā arī uz noteiktu izglītības programmu sniegtajām atšķirīgajām iespējām</w:t>
      </w:r>
      <w:r>
        <w:t xml:space="preserve"> </w:t>
      </w:r>
      <w:r w:rsidRPr="00BD1FCB">
        <w:t>sievietēm un vīriešiem iegūt ietekmi publiskajā telpā.</w:t>
      </w:r>
    </w:p>
    <w:p w:rsidR="00150A8D" w:rsidRDefault="00150A8D" w:rsidP="00CB31B3">
      <w:pPr>
        <w:pStyle w:val="teksts"/>
      </w:pPr>
      <w:r w:rsidRPr="00BD1FCB">
        <w:t>Pētījumi liecina, ka kopumā studiju beidzēju vidū vīriešu un sieviešu sniegum</w:t>
      </w:r>
      <w:r>
        <w:t>a</w:t>
      </w:r>
      <w:r w:rsidRPr="00BD1FCB">
        <w:t xml:space="preserve"> rezultāti nozarēs neatšķiras un sievietēm un vīriešiem ir gandrīz vienāds sniegums gan zinātnē, gan sociālajās zinātnēs.</w:t>
      </w:r>
      <w:r w:rsidRPr="00BD1FCB">
        <w:rPr>
          <w:rStyle w:val="FootnoteReference"/>
        </w:rPr>
        <w:footnoteReference w:id="6"/>
      </w:r>
      <w:r w:rsidRPr="00BD1FCB">
        <w:t xml:space="preserve"> Tas liecina, ka sievietēm un vīriešiem ir vienādas iespējas parādīt augstus rezultātus </w:t>
      </w:r>
      <w:r>
        <w:t>jebkurā</w:t>
      </w:r>
      <w:r w:rsidRPr="00BD1FCB">
        <w:t xml:space="preserve"> nozarē, neskatoties uz to, vai šī nozare </w:t>
      </w:r>
      <w:r>
        <w:t xml:space="preserve">kopumā </w:t>
      </w:r>
      <w:r w:rsidRPr="00BD1FCB">
        <w:t>tiek uztverta par sievietēm vai vīriešiem piemērot</w:t>
      </w:r>
      <w:r>
        <w:t>āku</w:t>
      </w:r>
      <w:r w:rsidRPr="00BD1FCB">
        <w:t>.</w:t>
      </w:r>
    </w:p>
    <w:p w:rsidR="00CB31B3" w:rsidRPr="00CB31B3" w:rsidRDefault="00CB31B3" w:rsidP="00CB31B3">
      <w:pPr>
        <w:pStyle w:val="teksts"/>
      </w:pPr>
      <w:r w:rsidRPr="00CB31B3">
        <w:t>Saskaņā ar MK 2006.gada 2.maija  noteikumiem Nr.348 "Kārtība, kādā augstskola un koledža iesniedz Izglītības un zinātnes ministrijā informāciju par savu darbību", augstskolas un koledžas sniedz informāciju par studējošajiem, norādot dzimuma proporciju studiju virzienos studiju programmu griezumā, kā arī akadēmiskā un administratīvā personāla dzimumu proporciju.  Minētā informācija tiek analizēta, lai noteiktu dzimumu proporcijas studiju virzienos un specialitātēs un plānotu nepieciešamos instrumentus dzimumu līdzsvara nodrošināšanai.</w:t>
      </w:r>
    </w:p>
    <w:p w:rsidR="00CB31B3" w:rsidRPr="00CB31B3" w:rsidRDefault="00CB31B3" w:rsidP="00CB31B3">
      <w:pPr>
        <w:pStyle w:val="teksts"/>
      </w:pPr>
      <w:r w:rsidRPr="00CB31B3">
        <w:t xml:space="preserve">2011./2012.m.g. profesionālās vidējās izglītības iestādes absolvēja 42% vīriešu, vispārējās vidējās izglītības iestādēs absolventu-vīriešu īpatsvars bija 46%.  </w:t>
      </w:r>
    </w:p>
    <w:p w:rsidR="00CB31B3" w:rsidRPr="00CB31B3" w:rsidRDefault="00143DBD" w:rsidP="00CB31B3">
      <w:pPr>
        <w:pStyle w:val="teksts"/>
      </w:pPr>
      <w:r>
        <w:t>62</w:t>
      </w:r>
      <w:r w:rsidR="00CB31B3" w:rsidRPr="00CB31B3">
        <w:t>% no augstskolās pamatstudijās uzņemto studentu skaita 2012./2013.akad.</w:t>
      </w:r>
      <w:r>
        <w:t>g.</w:t>
      </w:r>
      <w:r w:rsidR="00CB31B3" w:rsidRPr="00CB31B3">
        <w:t xml:space="preserve"> tika uzņemti ar vispārējo vidējo izglītību un tikai </w:t>
      </w:r>
      <w:r w:rsidRPr="00CB31B3">
        <w:t>1</w:t>
      </w:r>
      <w:r>
        <w:t>1</w:t>
      </w:r>
      <w:r w:rsidR="00CB31B3" w:rsidRPr="00CB31B3">
        <w:t xml:space="preserve">% ar vidējo profesionālo. </w:t>
      </w:r>
    </w:p>
    <w:p w:rsidR="00CB31B3" w:rsidRPr="00CB31B3" w:rsidRDefault="00CB31B3" w:rsidP="00CB31B3">
      <w:pPr>
        <w:pStyle w:val="teksts"/>
      </w:pPr>
      <w:r w:rsidRPr="00CB31B3">
        <w:t>Latvijā kopumā raksturīga diezgan proporcionāla dzimumu sabalansētība starp studējošiem un dažādām programmām, t.sk. inženierzinātņu un uzņēmējdarbības programmās. 2011./2012. studēja 60% sieviešu un 40% vīriešu. Minēto tendenci nosaka dzimuma proporcijas nelīdzsvarotība vidējās izglītība pakāpē un kopējās tarba tirgus un sociālekonomiskās iezīmes valstī.</w:t>
      </w:r>
    </w:p>
    <w:p w:rsidR="00CB31B3" w:rsidRDefault="00CB31B3" w:rsidP="00CB31B3">
      <w:pPr>
        <w:pStyle w:val="teksts"/>
      </w:pPr>
      <w:r w:rsidRPr="00CB31B3">
        <w:t>Tiks organizēti profesionālās orientācijas pasākumi, kuru ietvaros tik veikti pasākumi, tai skaitā, lai veicinātu proporcionālu dzimumu sabalansētību.</w:t>
      </w:r>
    </w:p>
    <w:p w:rsidR="008438AD" w:rsidRDefault="008438AD" w:rsidP="00CB31B3">
      <w:pPr>
        <w:pStyle w:val="teksts"/>
      </w:pPr>
    </w:p>
    <w:p w:rsidR="008438AD" w:rsidRPr="00CB31B3" w:rsidRDefault="008438AD" w:rsidP="00CB31B3">
      <w:pPr>
        <w:pStyle w:val="teksts"/>
      </w:pPr>
    </w:p>
    <w:p w:rsidR="00CB31B3" w:rsidRPr="00D002BB" w:rsidRDefault="00CB31B3" w:rsidP="00CB31B3">
      <w:pPr>
        <w:jc w:val="both"/>
        <w:sectPr w:rsidR="00CB31B3" w:rsidRPr="00D002BB" w:rsidSect="00E254C2">
          <w:pgSz w:w="11907" w:h="16840" w:code="9"/>
          <w:pgMar w:top="1134" w:right="1134" w:bottom="1134" w:left="1701" w:header="720" w:footer="720" w:gutter="0"/>
          <w:cols w:space="708"/>
          <w:noEndnote/>
          <w:docGrid w:linePitch="326"/>
        </w:sectPr>
      </w:pPr>
    </w:p>
    <w:p w:rsidR="00CC621A" w:rsidRPr="00CA4358" w:rsidRDefault="00CC621A" w:rsidP="00D002BB">
      <w:pPr>
        <w:rPr>
          <w:b/>
          <w:sz w:val="28"/>
        </w:rPr>
      </w:pPr>
      <w:bookmarkStart w:id="14" w:name="_Toc359594112"/>
      <w:bookmarkStart w:id="15" w:name="_Toc359941644"/>
      <w:bookmarkStart w:id="16" w:name="_Toc368987649"/>
      <w:r w:rsidRPr="00CA4358">
        <w:rPr>
          <w:b/>
          <w:sz w:val="28"/>
        </w:rPr>
        <w:lastRenderedPageBreak/>
        <w:t>Eiropas struktūrfondu intervence 2007.-2013.gadā augstākās izglītības kvalitātes paaugstināšanai</w:t>
      </w:r>
      <w:bookmarkEnd w:id="14"/>
      <w:bookmarkEnd w:id="15"/>
      <w:bookmarkEnd w:id="16"/>
    </w:p>
    <w:tbl>
      <w:tblPr>
        <w:tblW w:w="13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185"/>
        <w:gridCol w:w="2405"/>
        <w:gridCol w:w="5674"/>
      </w:tblGrid>
      <w:tr w:rsidR="00CC621A" w:rsidRPr="00421AC3" w:rsidTr="00421AC3">
        <w:trPr>
          <w:trHeight w:val="560"/>
          <w:jc w:val="center"/>
        </w:trPr>
        <w:tc>
          <w:tcPr>
            <w:tcW w:w="2428" w:type="dxa"/>
            <w:vAlign w:val="center"/>
          </w:tcPr>
          <w:p w:rsidR="00CC621A" w:rsidRPr="00421AC3" w:rsidRDefault="00CC621A" w:rsidP="00421AC3">
            <w:pPr>
              <w:jc w:val="center"/>
              <w:rPr>
                <w:rFonts w:cs="Times New Roman"/>
                <w:b/>
                <w:color w:val="auto"/>
                <w:sz w:val="22"/>
                <w:szCs w:val="22"/>
                <w:lang w:val="en-US"/>
              </w:rPr>
            </w:pPr>
            <w:r w:rsidRPr="00421AC3">
              <w:rPr>
                <w:rFonts w:cs="Times New Roman"/>
                <w:b/>
                <w:color w:val="auto"/>
                <w:sz w:val="22"/>
                <w:szCs w:val="22"/>
                <w:lang w:val="en-US"/>
              </w:rPr>
              <w:t>Identifikators</w:t>
            </w:r>
          </w:p>
        </w:tc>
        <w:tc>
          <w:tcPr>
            <w:tcW w:w="3185" w:type="dxa"/>
            <w:vAlign w:val="center"/>
          </w:tcPr>
          <w:p w:rsidR="00CC621A" w:rsidRPr="00421AC3" w:rsidRDefault="00CC621A" w:rsidP="00421AC3">
            <w:pPr>
              <w:jc w:val="center"/>
              <w:rPr>
                <w:rFonts w:cs="Times New Roman"/>
                <w:b/>
                <w:color w:val="auto"/>
                <w:sz w:val="22"/>
                <w:szCs w:val="22"/>
                <w:lang w:val="en-US"/>
              </w:rPr>
            </w:pPr>
            <w:r w:rsidRPr="00421AC3">
              <w:rPr>
                <w:rFonts w:cs="Times New Roman"/>
                <w:b/>
                <w:color w:val="auto"/>
                <w:sz w:val="22"/>
                <w:szCs w:val="22"/>
                <w:lang w:val="en-US"/>
              </w:rPr>
              <w:t>Nosaukums</w:t>
            </w:r>
          </w:p>
        </w:tc>
        <w:tc>
          <w:tcPr>
            <w:tcW w:w="2405" w:type="dxa"/>
            <w:vAlign w:val="center"/>
          </w:tcPr>
          <w:p w:rsidR="00CC621A" w:rsidRPr="00421AC3" w:rsidRDefault="00CC621A" w:rsidP="00421AC3">
            <w:pPr>
              <w:jc w:val="center"/>
              <w:rPr>
                <w:rFonts w:cs="Times New Roman"/>
                <w:b/>
                <w:color w:val="auto"/>
                <w:sz w:val="22"/>
                <w:szCs w:val="22"/>
                <w:lang w:val="en-US"/>
              </w:rPr>
            </w:pPr>
            <w:r w:rsidRPr="00421AC3">
              <w:rPr>
                <w:rFonts w:cs="Times New Roman"/>
                <w:b/>
                <w:color w:val="auto"/>
                <w:sz w:val="22"/>
                <w:szCs w:val="22"/>
                <w:lang w:val="en-US"/>
              </w:rPr>
              <w:t>Kopējais finansējums (LVL)</w:t>
            </w:r>
          </w:p>
        </w:tc>
        <w:tc>
          <w:tcPr>
            <w:tcW w:w="5674" w:type="dxa"/>
            <w:vAlign w:val="center"/>
          </w:tcPr>
          <w:p w:rsidR="00CC621A" w:rsidRPr="00421AC3" w:rsidRDefault="00CC621A" w:rsidP="00421AC3">
            <w:pPr>
              <w:jc w:val="center"/>
              <w:rPr>
                <w:rFonts w:cs="Times New Roman"/>
                <w:b/>
                <w:color w:val="auto"/>
                <w:sz w:val="22"/>
                <w:szCs w:val="22"/>
                <w:lang w:val="en-US"/>
              </w:rPr>
            </w:pPr>
            <w:r w:rsidRPr="00421AC3">
              <w:rPr>
                <w:rFonts w:cs="Times New Roman"/>
                <w:b/>
                <w:color w:val="auto"/>
                <w:sz w:val="22"/>
                <w:szCs w:val="22"/>
                <w:lang w:val="en-US"/>
              </w:rPr>
              <w:t>Apakšaktivitātes informācija</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1.1.2.1.1.apakšaktivitāte</w:t>
            </w:r>
          </w:p>
        </w:tc>
        <w:tc>
          <w:tcPr>
            <w:tcW w:w="3185"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Atbalsts maģistra studiju programmu īstenošanai</w:t>
            </w: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7 804 604,00</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 xml:space="preserve">Līdz 2012.gada 31.decembrim ESF atbalstu maģistrantūras studijām ir saņēmuši 1 746 maģistrantūras </w:t>
            </w:r>
            <w:proofErr w:type="gramStart"/>
            <w:r w:rsidRPr="00421AC3">
              <w:rPr>
                <w:rFonts w:cs="Times New Roman"/>
                <w:color w:val="auto"/>
                <w:sz w:val="22"/>
                <w:szCs w:val="22"/>
                <w:lang w:val="en-US"/>
              </w:rPr>
              <w:t>studenti ,t.i</w:t>
            </w:r>
            <w:proofErr w:type="gramEnd"/>
            <w:r w:rsidRPr="00421AC3">
              <w:rPr>
                <w:rFonts w:cs="Times New Roman"/>
                <w:color w:val="auto"/>
                <w:sz w:val="22"/>
                <w:szCs w:val="22"/>
                <w:lang w:val="en-US"/>
              </w:rPr>
              <w:t xml:space="preserve">., 5% no kopējā valstī 2012./2013.akadēmiskajā gadā studējošo maģistrantu skaita prioritārajās jomās (33 389).  Vienlaikus arī maģistra grādu ieguvušo skaits 2011.gadā (1 352 maģistri) ir palielinājies par 4%, salīdzinot ar 2010.gadu (1 299 maģistri). Palielinājies arī doktorantūrā studējošo skaits prioritārajās jomās: </w:t>
            </w:r>
            <w:proofErr w:type="gramStart"/>
            <w:r w:rsidRPr="00421AC3">
              <w:rPr>
                <w:rFonts w:cs="Times New Roman"/>
                <w:color w:val="auto"/>
                <w:sz w:val="22"/>
                <w:szCs w:val="22"/>
                <w:lang w:val="en-US"/>
              </w:rPr>
              <w:t>2010.gadā  810</w:t>
            </w:r>
            <w:proofErr w:type="gramEnd"/>
            <w:r w:rsidRPr="00421AC3">
              <w:rPr>
                <w:rFonts w:cs="Times New Roman"/>
                <w:color w:val="auto"/>
                <w:sz w:val="22"/>
                <w:szCs w:val="22"/>
                <w:lang w:val="en-US"/>
              </w:rPr>
              <w:t xml:space="preserve"> doktorantu,  2011.gadā attiecīgi – 867).</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1.1.2.1.2.apakšaktivitāte</w:t>
            </w:r>
          </w:p>
        </w:tc>
        <w:tc>
          <w:tcPr>
            <w:tcW w:w="3185"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Atbalsts doktora studiju programmu īstenošanai</w:t>
            </w: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34 695 181,00</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ESF atbalstu doktorantūras studijām ir saņēmuši 1773 doktorantūras studenti, t.i., 87% no doktorantu skaita 2007</w:t>
            </w:r>
            <w:proofErr w:type="gramStart"/>
            <w:r w:rsidRPr="00421AC3">
              <w:rPr>
                <w:rFonts w:cs="Times New Roman"/>
                <w:color w:val="auto"/>
                <w:sz w:val="22"/>
                <w:szCs w:val="22"/>
                <w:lang w:val="en-US"/>
              </w:rPr>
              <w:t>./</w:t>
            </w:r>
            <w:proofErr w:type="gramEnd"/>
            <w:r w:rsidRPr="00421AC3">
              <w:rPr>
                <w:rFonts w:cs="Times New Roman"/>
                <w:color w:val="auto"/>
                <w:sz w:val="22"/>
                <w:szCs w:val="22"/>
                <w:lang w:val="en-US"/>
              </w:rPr>
              <w:t>2008.m.g. Vienlaikus augstskolu akadēmiskajam personālam pievienojas jauni doktori, kuri iekļaujas studiju un pētniecības darbā.</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1.1.2.2.1.apakšaktivitāte</w:t>
            </w:r>
          </w:p>
        </w:tc>
        <w:tc>
          <w:tcPr>
            <w:tcW w:w="3185"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Studiju programmu satura un īstenošanas uzlabošana un akadēmiskā personāla kompetences pilnveidošana</w:t>
            </w: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1 001 495,00</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Izvērtēti visi 28 apstiprinātie augstākās izglītības studiju virzieni. Izvērtētas 860 programmas (projektā bija plānots izvērtēt 651 studiju programmu). Rezultāts skaidrojams ar augstāko izglītības iestāžu ieinteresētību un atbalstu).</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3.1.2.1.1. apakšaktivitāte</w:t>
            </w:r>
          </w:p>
        </w:tc>
        <w:tc>
          <w:tcPr>
            <w:tcW w:w="3185"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Augstākās izglītības iestāžu telpu un iekārtu modernizēšana studiju programmu kvalitātes uzlabošanai, tajā skaitā, nodrošinot izglītības programmu apgūšanas iespējas arī personām ar funkcionāliem traucējumiem</w:t>
            </w: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85 374 366,00</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Visās valstī esošajās augstākās izglītības iestādēs, kas īsteno prioritārās programmas</w:t>
            </w:r>
            <w:proofErr w:type="gramStart"/>
            <w:r w:rsidRPr="00421AC3">
              <w:rPr>
                <w:rFonts w:cs="Times New Roman"/>
                <w:color w:val="auto"/>
                <w:sz w:val="22"/>
                <w:szCs w:val="22"/>
                <w:lang w:val="en-US"/>
              </w:rPr>
              <w:t>,  modernizēs</w:t>
            </w:r>
            <w:proofErr w:type="gramEnd"/>
            <w:r w:rsidRPr="00421AC3">
              <w:rPr>
                <w:rFonts w:cs="Times New Roman"/>
                <w:color w:val="auto"/>
                <w:sz w:val="22"/>
                <w:szCs w:val="22"/>
                <w:lang w:val="en-US"/>
              </w:rPr>
              <w:t xml:space="preserve"> infrastruktūru un mācību aprīkojumu. Šobrīd ir modernizētas 14 augstākās izglītības iestādes, t.i., 45% no kopējā augstākās izglītības iestāžu skaita (31), kas īsteno prioritārās programmas.</w:t>
            </w:r>
          </w:p>
        </w:tc>
      </w:tr>
    </w:tbl>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CA4358" w:rsidRDefault="00CC621A" w:rsidP="00CA4358">
      <w:pPr>
        <w:jc w:val="both"/>
        <w:rPr>
          <w:b/>
          <w:sz w:val="28"/>
        </w:rPr>
      </w:pPr>
      <w:bookmarkStart w:id="17" w:name="_Toc359594113"/>
      <w:bookmarkStart w:id="18" w:name="_Toc359941645"/>
      <w:bookmarkStart w:id="19" w:name="_Toc368987650"/>
      <w:r w:rsidRPr="00CA4358">
        <w:rPr>
          <w:b/>
          <w:sz w:val="28"/>
        </w:rPr>
        <w:lastRenderedPageBreak/>
        <w:t>Turpmākās aktivitātes nosacījuma izpildei un starpinstitucionālās sadarbības modelis</w:t>
      </w:r>
      <w:bookmarkEnd w:id="17"/>
      <w:bookmarkEnd w:id="18"/>
      <w:bookmarkEnd w:id="19"/>
    </w:p>
    <w:p w:rsidR="00CC621A" w:rsidRPr="00D002BB" w:rsidRDefault="00CC621A" w:rsidP="00CA4358">
      <w:pPr>
        <w:pStyle w:val="teksts"/>
      </w:pPr>
      <w:r w:rsidRPr="00D002BB">
        <w:t>Turpmākā plānošanas perioda ietvaros augstākās izglītības kvalitātes un pieejamības attīstības tiek plānota trīs prioritārajos virzienos:</w:t>
      </w:r>
    </w:p>
    <w:p w:rsidR="00CC621A" w:rsidRPr="00D002BB" w:rsidRDefault="00CC621A" w:rsidP="00CA4358">
      <w:pPr>
        <w:pStyle w:val="teksts"/>
        <w:numPr>
          <w:ilvl w:val="0"/>
          <w:numId w:val="21"/>
        </w:numPr>
      </w:pPr>
      <w:r w:rsidRPr="00D002BB">
        <w:t>studiju un zinātniskās darbības kvalitātes paaugstināšana;</w:t>
      </w:r>
    </w:p>
    <w:p w:rsidR="00CC621A" w:rsidRPr="00D002BB" w:rsidRDefault="00CC621A" w:rsidP="00CA4358">
      <w:pPr>
        <w:pStyle w:val="teksts"/>
        <w:numPr>
          <w:ilvl w:val="0"/>
          <w:numId w:val="21"/>
        </w:numPr>
      </w:pPr>
      <w:r w:rsidRPr="00D002BB">
        <w:t>augstākās izglītības un zinātnes sektora konsolidācija un efektīva resursu izmantošana;</w:t>
      </w:r>
    </w:p>
    <w:p w:rsidR="00CC621A" w:rsidRPr="00D002BB" w:rsidRDefault="00CC621A" w:rsidP="00CA4358">
      <w:pPr>
        <w:pStyle w:val="teksts"/>
        <w:numPr>
          <w:ilvl w:val="0"/>
          <w:numId w:val="21"/>
        </w:numPr>
      </w:pPr>
      <w:r w:rsidRPr="00D002BB">
        <w:t>augstākās izglītības un zinātnes internacionalizācija un starptautiskās konkurētspējas paaugstināšana.</w:t>
      </w:r>
    </w:p>
    <w:p w:rsidR="00CC621A" w:rsidRPr="00D002BB" w:rsidRDefault="00CC621A" w:rsidP="00CA4358">
      <w:pPr>
        <w:pStyle w:val="teksts"/>
      </w:pPr>
    </w:p>
    <w:p w:rsidR="00CC621A" w:rsidRPr="00D002BB" w:rsidRDefault="00CC621A" w:rsidP="00CA4358">
      <w:pPr>
        <w:pStyle w:val="teksts"/>
      </w:pPr>
      <w:r w:rsidRPr="00D002BB">
        <w:t>Turpmākajos gados augstākajā izglītībā plānots nostiprināt darba devēju ietekmi augstskolu un koledžu darbības pārvaldībā, kā arī stiprināt sociālo partneru tiesisko lomu valsts budžeta līdzekļu sadalē atbilstoši darba tirgus prognozēm un sabiedrības attīstības interesēm. Plānots turpināt esošo praksi sadarbībā ar EM, (EM darba tirgus un demogrāfiskās kvantitatīvās projekcijas) nodrošināt efektīvāku augstākās un profesionālās izglītības prioritāšu pozicionēšanu.</w:t>
      </w:r>
    </w:p>
    <w:p w:rsidR="00CC621A" w:rsidRPr="00D002BB" w:rsidRDefault="00CC621A" w:rsidP="00CA4358">
      <w:pPr>
        <w:pStyle w:val="teksts"/>
      </w:pPr>
      <w:r w:rsidRPr="00D002BB">
        <w:t>Ņemot vērā šo pamatnostādņu 1.nodaļā minētos riskus un politisko uzstādījumu, augstākās izglītības institucionālo tīklu  pilnveidos, koncentrējot resursus ne tikai saturiski, bet arī teritoriski. Novēršot augtākās izglītības programmu sadrumstalotību, plānots turpināt veicināt prioritāro nozaru studiju atbalstu un konsolidētu doktorantūras īstenošanas modeli. Izmaiņas plānotas, pamatojoties uz virkni politikas ietekmes pētījumiem, ko sadarbībā ar sociālo un politikas zinātņu ekspertiem plānots īstenot tuvāko gadu laikā.</w:t>
      </w:r>
    </w:p>
    <w:p w:rsidR="00CC621A" w:rsidRPr="00D002BB" w:rsidRDefault="00CC621A" w:rsidP="00CA4358">
      <w:pPr>
        <w:pStyle w:val="teksts"/>
      </w:pPr>
      <w:r w:rsidRPr="00D002BB">
        <w:t xml:space="preserve">IZM saskata, ka  augstākās izglītības sektorā kā ļoti būtiska prioritāte nākamajos septiņos gados ir visu veidu starptautiskā sadarbība gan studiju satura īstenošanā visos ciklos, gan cilvēkresursu mobilitātē. Ir pastiprināti jāattīsta ārvalstu studentiem un mācībspēkiem pievilcīga studiju vide, kas saistīta pamatā ar studiju satura pieejamību svešvalodās, tālmācības risinājumu plašāku izmantošanu un atbilstošu tiesisko bāzi. Atbalsts plānots minētās  sadarbības īstenošanai visās augstskolās, un īpaši  akcentētas tiek doktora studiju ietvaros īstenotās aktivitātes ar ārvalstu partneriem. Līdz 2020.gadam plānots izstrādāt kopīgu doktorantūras programmu sistēmu zinātnes nozarē, tajā skaitā kopīgu doktorantūras skolu veidošanu ar vienotu studējošo uzņemšanu tajā. </w:t>
      </w:r>
    </w:p>
    <w:p w:rsidR="00CC621A" w:rsidRPr="00D002BB" w:rsidRDefault="00CC621A" w:rsidP="00CA4358">
      <w:pPr>
        <w:pStyle w:val="teksts"/>
      </w:pPr>
      <w:r w:rsidRPr="00D002BB">
        <w:t>Lai nodrošinātu zināmu investīciju līdzsvaru un attīstības ilgtspēju, ES fondu līdzfinansējuma ietvaros plānots arī modernizēt materiālo un tehnisko bāzi augstākās izglītības iestādēs un koledžās. Tomēr jāuzsver, ka investīciju prioritāte ir efektīva resursu koncentrācija, kas tieši saistīta ar institucionālo konsolidāciju. Līdz ar to augstākās izglītības iestāžu tīkla optimizācija līdz 2020.gadam tiks atbalstīta arī ar ES fondu investīcijām. Valsts un ES finanšu līdzekļu atbalsts ir tieši saistīts ar kvalitātes vadības vai institucionālās izcilības modeļu īstenošanu augstskolās. Lai novērstu investīciju sadrumstalotību un efektīvāk sasniegtu makroekonomiskos rādītājus, plānots īstenot zinātnisko institūtu un augstskolu ciešāku sadarbību pamatstudiju un augstākā līmeņa studiju īstenošanā. Šajā gadījumā palielinātos zinātnisko institūtu tiesiskās un praktiskās iespējas īstenot arī doktora studijas.</w:t>
      </w:r>
    </w:p>
    <w:p w:rsidR="00CC621A" w:rsidRPr="00D002BB" w:rsidRDefault="00CC621A" w:rsidP="00CA4358">
      <w:pPr>
        <w:pStyle w:val="teksts"/>
      </w:pPr>
      <w:r w:rsidRPr="00D002BB">
        <w:t xml:space="preserve">Ņemot vērā budžeta programmas 80.00.00 „Eiropas Savienības politikas instrumentu un pārējās ārvalstu finanšu palīdzības projektu un pasākumu īstenošana” finanšu līdzekļu pieejamību un ES prioritātes mācību mobilitātē, plānotais atbalsts nākamajā plānošanas periodā tiks novirzīts starptautiskajai mobilitātei profesionālās augstākās izglītības programmās.    </w:t>
      </w:r>
      <w:r w:rsidRPr="00D002BB">
        <w:tab/>
      </w:r>
    </w:p>
    <w:p w:rsidR="005C063F" w:rsidRPr="00D002BB" w:rsidRDefault="00CC621A" w:rsidP="005C063F">
      <w:pPr>
        <w:pStyle w:val="teksts"/>
      </w:pPr>
      <w:r w:rsidRPr="00D002BB">
        <w:t xml:space="preserve">Kopējās IZM stratēģiskās prioritātes visam plānošanas periodam ir ietvertas pamatnostādņu 1.3.nodaļā un tuvākā termiņa (2014.gadam) plānotās aktivitātes augstākās izglītības sistēmas attīstībai ir detalizēti izklāstītas </w:t>
      </w:r>
      <w:r w:rsidR="005C063F" w:rsidRPr="00D002BB">
        <w:t>Augstākās izglītības un zinātnes attīstības pasākumu plānā</w:t>
      </w:r>
      <w:r w:rsidR="005C063F" w:rsidRPr="00890665">
        <w:rPr>
          <w:highlight w:val="yellow"/>
        </w:rPr>
        <w:t xml:space="preserve"> </w:t>
      </w:r>
      <w:r w:rsidR="005C063F" w:rsidRPr="003D1ECB">
        <w:t>laika posmam no 2013.gada 1.novembra līdz 2014.gada 31.decembrim.</w:t>
      </w:r>
    </w:p>
    <w:p w:rsidR="00CC621A" w:rsidRPr="00D002BB" w:rsidRDefault="00CC621A" w:rsidP="00CA4358">
      <w:pPr>
        <w:pStyle w:val="teksts"/>
      </w:pPr>
      <w:r w:rsidRPr="00D002BB">
        <w:t>.</w:t>
      </w:r>
    </w:p>
    <w:p w:rsidR="00CC621A" w:rsidRPr="00D002BB" w:rsidRDefault="00CC621A" w:rsidP="00CA4358">
      <w:pPr>
        <w:pStyle w:val="teksts"/>
      </w:pPr>
      <w:r w:rsidRPr="00D002BB">
        <w:lastRenderedPageBreak/>
        <w:t>Nosacījuma izpildei pamatnostādņu rīcības virzienu kontekstā ir plānoti šādi pasākumi.</w:t>
      </w:r>
    </w:p>
    <w:p w:rsidR="00CC621A" w:rsidRPr="00D002BB" w:rsidRDefault="00CC621A" w:rsidP="00CA4358">
      <w:pPr>
        <w:pStyle w:val="teksts"/>
      </w:pPr>
      <w:r w:rsidRPr="00D002BB">
        <w:t>RV 1.2. „Pedagogu un akadēmiskā personāla motivācijas un profesionālās kapacitātes paaugstināšana” ietvaros paredzēta Latvijas akadēmiskā personāla kapacitātes stiprināšana, kā arī ārvalstu mācībspēku piesaiste. Atbalsts izcilajiem studentiem vairos jauniešu vēlmi iesaistīties augstākajā izglītībā. Pasniedzēju pilnveidotās prasmes un starptautiskais profils veicinās studējošo interesi par mācību saturu un uzlabos studiju rezultātus.</w:t>
      </w:r>
    </w:p>
    <w:p w:rsidR="00CC621A" w:rsidRPr="00D002BB" w:rsidRDefault="00CC621A" w:rsidP="00CA4358">
      <w:pPr>
        <w:pStyle w:val="teksts"/>
      </w:pPr>
      <w:r w:rsidRPr="00D002BB">
        <w:t>RV 1.3. „21.gs. atbilstošas izglītības vides un izglītības procesa nodrošināšana” ietver materiāltehniskās bāzes uzlabošanu augstākajā izglītībā. Moderno tehnoloģiju pieejamība paaugstinās augstākās izglītības pievilcību audzēkņu acīs un veicina līdzdalību tajā. Papildus tiks sekmēta augstākās izglītības mācību metožu efektivitāte un 21. gs aktuālo prasmju pastiprināta apguve, izrietoši vairojot absolventu konkurētspēju un nodarbinātību.</w:t>
      </w:r>
    </w:p>
    <w:p w:rsidR="00CC621A" w:rsidRPr="00D002BB" w:rsidRDefault="00CC621A" w:rsidP="00CA4358">
      <w:pPr>
        <w:pStyle w:val="teksts"/>
      </w:pPr>
      <w:r w:rsidRPr="00D002BB">
        <w:t>RV 2.1. “Vienotas karjeras sistēmas attīstība” ietver kvalitatīvu prakšu nodrošināšanu augstākās izglītības programmās studējošajiem.. Praktiskā pieredze ļaus studējošajiem iegūt papildus prasmes (jo īpaši starpdisciplināras), kas savukārt pozitīvi ietekmēs studentu sasniegumus. Augstākās izglītības ciešāka sasaiste ar darba tirgu papildus veicina jaunieši vēlmi tajā piedalīties.</w:t>
      </w:r>
    </w:p>
    <w:p w:rsidR="00CC621A" w:rsidRPr="00D002BB" w:rsidRDefault="00CC621A" w:rsidP="00CA4358">
      <w:pPr>
        <w:pStyle w:val="teksts"/>
      </w:pPr>
      <w:r w:rsidRPr="00D002BB">
        <w:t>RV 3.1. „Izglītības kvalitātes monitoringa sistēmas pilnveide” paredz atbalstu nacionālās augstākās izglītības kvalitātes nodrošināšanas aģentūras izveidošanai un uzturēšanai. Nepārtraukta kvalitātes monitorēšana un izvērtēšana sekmēs kvalitātes celšanos, motivējot kā jauniešus, tā mācībspēkus iesaistīties augstākajā izglītībā.</w:t>
      </w:r>
    </w:p>
    <w:p w:rsidR="00CC621A" w:rsidRPr="00D002BB" w:rsidRDefault="00CC621A" w:rsidP="00CA4358">
      <w:pPr>
        <w:pStyle w:val="teksts"/>
      </w:pPr>
      <w:r w:rsidRPr="00D002BB">
        <w:t>RV 3.2. „Efektīvu izglītības finanšu resursu pārvaldības modeļu attīstība” paredz jauna augstākās izglītības finansēšanas modeļa izstrādi un ieviešanu, kas nodrošinātu visiem pieejamu kvalitatīvu augstāko izglītību, atbilstību darba tirgus prasībām, stiprinātu saikni ar zinātni un pētniecību, kā arī novērstu budžeta līdzekļu sadrumstalotību. Īstenotie pasākumi ļaus stiprināt augstākās izglītības pārvaldību, paaugstināt studiju un zinātniskās darbības kvalitāti, kā arī panākt augstākās izglītības un zinātnes sektora konsolidāciju un efektīvu resursu izmantošanu.</w:t>
      </w:r>
    </w:p>
    <w:p w:rsidR="00CC621A" w:rsidRPr="00D002BB" w:rsidRDefault="00CC621A" w:rsidP="00CA4358">
      <w:pPr>
        <w:pStyle w:val="teksts"/>
      </w:pPr>
      <w:r w:rsidRPr="00D002BB">
        <w:t>RV 3.3. „Izglītības iestāžu tīkla pilnveide un pakalpojumu pieejamība” ietvaros tiks nodrošināts atbalsts augstākās izglītības iegūšanai sociāli mazāk aizsargātām iedzīvotāju grupām, tajā skaitā stipendijas un granti studiju maksas segšanai, tādējādi palielinot to iedzīvotāju skaitu, kas ieguvuši augstāko izglītību.</w:t>
      </w:r>
    </w:p>
    <w:p w:rsidR="00CC621A" w:rsidRPr="00D002BB" w:rsidRDefault="00CC621A" w:rsidP="00CA4358">
      <w:pPr>
        <w:pStyle w:val="teksts"/>
      </w:pPr>
      <w:r w:rsidRPr="00D002BB">
        <w:t>RV 3.4. „Izglītības starptautiskās konkurētspējas globalizācijas apstākļos” ietver atbalsta nodrošināšanu augstākās izglītības studiju programmu starptautiskajai akreditācijai un publicitātei. Tāpat plānots atbalstīt starptautisku kopīgo maģistru un doktorantūras studiju programmu izveidi un īstenošanu, nodrošinot kvalitatīvu programmu pieejamību svešvalodās. Īstenoto pasākumu rezultātā paaugstināsies augstākās izglītības nozares prestižs kā Latvijā, tā ārvalstīs, kas savukārt sekmēs tās konkurētspējas pieaugumu. Prestižā un konkurētspējīgā izglītībā iesaistītie būs augsti motivēti izciliem sasniegumiem, kas vairos nodarbinātības izredzes, kā arī personisko labklājību.</w:t>
      </w:r>
    </w:p>
    <w:p w:rsidR="00CC621A" w:rsidRPr="00D002BB" w:rsidRDefault="00727EF8" w:rsidP="00D002BB">
      <w:r>
        <w:rPr>
          <w:noProof/>
          <w:lang w:eastAsia="lv-LV"/>
        </w:rPr>
      </w:r>
      <w:r>
        <w:rPr>
          <w:noProof/>
          <w:lang w:eastAsia="lv-LV"/>
        </w:rPr>
        <w:pict>
          <v:group id="Group 268" o:spid="_x0000_s1032" style="width:453.3pt;height:284.5pt;mso-position-horizontal-relative:char;mso-position-vertical-relative:line" coordorigin=",73" coordsize="59499,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">
            <v:group id="Group 269" o:spid="_x0000_s1033" style="position:absolute;top:21800;width:59499;height:14405" coordorigin=",21800" coordsize="59499,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70" o:spid="_x0000_s1034" type="#_x0000_t202" style="position:absolute;top:27213;width:22237;height:89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y8MEA&#10;AADaAAAADwAAAGRycy9kb3ducmV2LnhtbESP0YrCMBRE34X9h3AXfNN0ZRWpxlIWKqvgg939gEtz&#10;bavNTWmirX9vBMHHYebMMOtkMI24Uedqywq+phEI4sLqmksF/3/ZZAnCeWSNjWVScCcHyeZjtMZY&#10;256PdMt9KUIJuxgVVN63sZSuqMigm9qWOHgn2xn0QXal1B32odw0chZFC2mw5rBQYUs/FRWX/GoU&#10;zO1115/tUKc+zb4PxX67dLlRavw5pCsQngb/Dr/oXx04eF4JN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qMvDBAAAA2gAAAA8AAAAAAAAAAAAAAAAAmAIAAGRycy9kb3du&#10;cmV2LnhtbFBLBQYAAAAABAAEAPUAAACGAwAAAAA=&#10;" fillcolor="#00b050" stroked="f">
                <v:textbox>
                  <w:txbxContent>
                    <w:p w:rsidR="008438AD" w:rsidRPr="003765F2" w:rsidRDefault="008438AD" w:rsidP="00CC621A">
                      <w:pPr>
                        <w:jc w:val="both"/>
                        <w:rPr>
                          <w:rFonts w:ascii="Garamond" w:hAnsi="Garamond"/>
                        </w:rPr>
                      </w:pPr>
                      <w:r w:rsidRPr="003765F2">
                        <w:rPr>
                          <w:rFonts w:ascii="Garamond" w:hAnsi="Garamond"/>
                        </w:rPr>
                        <w:t>EM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Darba tirgus prognozes</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Studējošo skaita projekcijas</w:t>
                      </w: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r w:rsidRPr="00421AC3">
                        <w:rPr>
                          <w:rFonts w:ascii="Garamond" w:hAnsi="Garamond"/>
                          <w:color w:val="FFFFFF"/>
                          <w:sz w:val="20"/>
                        </w:rPr>
                        <w:t xml:space="preserve"> </w:t>
                      </w:r>
                    </w:p>
                  </w:txbxContent>
                </v:textbox>
              </v:shape>
              <v:shape id="Text Box 271" o:spid="_x0000_s1035" type="#_x0000_t202" style="position:absolute;left:23408;top:27144;width:1777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sh8EA&#10;AADaAAAADwAAAGRycy9kb3ducmV2LnhtbESP0YrCMBRE3xf8h3AF39ZUUZFqLEWo6MI+bPUDLs21&#10;rTY3pYm2/v1GWNjHYWbOMNtkMI14Uudqywpm0wgEcWF1zaWCyzn7XINwHlljY5kUvMhBsht9bDHW&#10;tucfeua+FAHCLkYFlfdtLKUrKjLoprYlDt7VdgZ9kF0pdYd9gJtGzqNoJQ3WHBYqbGlfUXHPH0bB&#10;0j5O/c0OderTbPFdfB3WLjdKTcZDugHhafD/4b/2UStYwftKu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4rIfBAAAA2gAAAA8AAAAAAAAAAAAAAAAAmAIAAGRycy9kb3du&#10;cmV2LnhtbFBLBQYAAAAABAAEAPUAAACGAwAAAAA=&#10;" fillcolor="#00b050" stroked="f">
                <v:textbox>
                  <w:txbxContent>
                    <w:p w:rsidR="008438AD" w:rsidRPr="003765F2" w:rsidRDefault="008438AD" w:rsidP="00CC621A">
                      <w:pPr>
                        <w:jc w:val="both"/>
                        <w:rPr>
                          <w:rFonts w:ascii="Garamond" w:hAnsi="Garamond" w:cs="Times New Roman"/>
                          <w:color w:val="auto"/>
                          <w:szCs w:val="24"/>
                          <w:lang w:eastAsia="lv-LV"/>
                        </w:rPr>
                      </w:pPr>
                      <w:r w:rsidRPr="003765F2">
                        <w:rPr>
                          <w:rFonts w:ascii="Garamond" w:hAnsi="Garamond" w:cs="Times New Roman"/>
                          <w:color w:val="auto"/>
                          <w:szCs w:val="24"/>
                          <w:lang w:eastAsia="lv-LV"/>
                        </w:rPr>
                        <w:t>LM</w:t>
                      </w: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Nodarbinātības prognozes un īstermiņa barometrs </w:t>
                      </w: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p>
                    <w:p w:rsidR="008438AD" w:rsidRPr="00421AC3" w:rsidRDefault="008438AD" w:rsidP="00CC621A">
                      <w:pPr>
                        <w:jc w:val="center"/>
                        <w:rPr>
                          <w:rFonts w:ascii="Garamond" w:hAnsi="Garamond"/>
                          <w:color w:val="FFFFFF"/>
                          <w:sz w:val="20"/>
                        </w:rPr>
                      </w:pPr>
                      <w:r w:rsidRPr="00421AC3">
                        <w:rPr>
                          <w:rFonts w:ascii="Garamond" w:hAnsi="Garamond"/>
                          <w:color w:val="FFFFFF"/>
                          <w:sz w:val="20"/>
                        </w:rPr>
                        <w:t xml:space="preserve"> </w:t>
                      </w:r>
                    </w:p>
                  </w:txbxContent>
                </v:textbox>
              </v:shape>
              <v:shape id="Text Box 272" o:spid="_x0000_s1036" type="#_x0000_t202" style="position:absolute;left:42551;top:27068;width:16948;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WCcMA&#10;AADaAAAADwAAAGRycy9kb3ducmV2LnhtbESPzWrCQBSF9wXfYbiCuzrRha1pJqGIil2aFsHdbeY2&#10;CcnciTOjpm/fKRS6PJyfj5MVo+nFjZxvLStYzBMQxJXVLdcKPt53j88gfEDW2FsmBd/kocgnDxmm&#10;2t75SLcy1CKOsE9RQRPCkErpq4YM+rkdiKP3ZZ3BEKWrpXZ4j+Oml8skWUmDLUdCgwNtGqq68moi&#10;d3M6frpud3q77NGsy3p77g+JUrPp+PoCItAY/sN/7YNW8AS/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WCcMAAADaAAAADwAAAAAAAAAAAAAAAACYAgAAZHJzL2Rv&#10;d25yZXYueG1sUEsFBgAAAAAEAAQA9QAAAIgDAAAAAA==&#10;" fillcolor="#00b050" stroked="f">
                <v:textbox>
                  <w:txbxContent>
                    <w:p w:rsidR="008438AD" w:rsidRPr="00421AC3" w:rsidRDefault="008438AD" w:rsidP="00CC621A">
                      <w:pPr>
                        <w:jc w:val="both"/>
                        <w:rPr>
                          <w:rFonts w:ascii="Garamond" w:hAnsi="Garamond"/>
                          <w:color w:val="FFFFFF"/>
                          <w:sz w:val="20"/>
                        </w:rPr>
                      </w:pPr>
                    </w:p>
                    <w:p w:rsidR="008438AD" w:rsidRPr="00421AC3" w:rsidRDefault="008438AD" w:rsidP="00CC621A">
                      <w:pPr>
                        <w:pStyle w:val="ListParagraph"/>
                        <w:numPr>
                          <w:ilvl w:val="0"/>
                          <w:numId w:val="3"/>
                        </w:numPr>
                        <w:rPr>
                          <w:rFonts w:ascii="Garamond" w:hAnsi="Garamond"/>
                          <w:color w:val="FFFFFF"/>
                          <w:sz w:val="20"/>
                        </w:rPr>
                      </w:pPr>
                      <w:r w:rsidRPr="00421AC3">
                        <w:rPr>
                          <w:rFonts w:ascii="Garamond" w:hAnsi="Garamond"/>
                          <w:color w:val="FFFFFF"/>
                          <w:sz w:val="20"/>
                        </w:rPr>
                        <w:t>Nacionālā augstākās izglītības kvalitātes nodrošināšanas institūcija</w:t>
                      </w:r>
                    </w:p>
                  </w:txbxContent>
                </v:textbox>
              </v:shape>
              <v:shape id="Up-Down Arrow 273" o:spid="_x0000_s1037" type="#_x0000_t70" style="position:absolute;left:9729;top:21800;width:3143;height:5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Sdr4A&#10;AADaAAAADwAAAGRycy9kb3ducmV2LnhtbERPzYrCMBC+C75DGMGLaFoPsnQbiwiisie7+wBDM7a1&#10;zaQkUes+/eaw4PHj+8+L0fTiQc63lhWkqwQEcWV1y7WCn+/D8gOED8gae8uk4EUeiu10kmOm7ZMv&#10;9ChDLWII+wwVNCEMmZS+asigX9mBOHJX6wyGCF0ttcNnDDe9XCfJRhpsOTY0ONC+oaor70bBcU19&#10;OepfSr8W+5RvL9edL06p+WzcfYIINIa3+N990gri1ngl3g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BUna+AAAA2gAAAA8AAAAAAAAAAAAAAAAAmAIAAGRycy9kb3ducmV2&#10;LnhtbFBLBQYAAAAABAAEAPUAAACDAwAAAAA=&#10;" adj=",6543" fillcolor="#4f81bd" stroked="f" strokeweight="2pt"/>
              <v:shape id="Up-Down Arrow 274" o:spid="_x0000_s1038" type="#_x0000_t70" style="position:absolute;left:49280;top:21801;width:3144;height:5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37cMA&#10;AADaAAAADwAAAGRycy9kb3ducmV2LnhtbESPwWrDMBBE74X+g9hCL6WWnUNoXcshBEoScrKTD1is&#10;re3EWhlJTex+fVQo9DjMzBumWE1mEFdyvresIEtSEMSN1T23Ck7Hz9c3ED4gaxwsk4KZPKzKx4cC&#10;c21vXNG1Dq2IEPY5KuhCGHMpfdORQZ/YkTh6X9YZDFG6VmqHtwg3g1yk6VIa7DkudDjSpqPmUn8b&#10;BdsFDfWkfyg7vGwyPs/usq+cUs9P0/oDRKAp/If/2jut4B1+r8Qb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337cMAAADaAAAADwAAAAAAAAAAAAAAAACYAgAAZHJzL2Rv&#10;d25yZXYueG1sUEsFBgAAAAAEAAQA9QAAAIgDAAAAAA==&#10;" adj=",6543" fillcolor="#4f81bd" stroked="f" strokeweight="2pt"/>
              <v:shape id="Up-Down Arrow 275" o:spid="_x0000_s1039" type="#_x0000_t70" style="position:absolute;left:30723;top:21803;width:3146;height:51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4s8UA&#10;AADbAAAADwAAAGRycy9kb3ducmV2LnhtbESPzWrDQAyE74G8w6JAb/E6pZTgeBNKQol7aCE/hxyF&#10;V7XderWOd+O4b18dCr1JzGjmU74ZXasG6kPj2cAiSUERl942XBk4n17nS1AhIltsPZOBHwqwWU8n&#10;OWbW3/lAwzFWSkI4ZGigjrHLtA5lTQ5D4jti0T597zDK2lfa9niXcNfqxzR91g4bloYaO9rWVH4f&#10;b87Afrja9vY0Dm/2VLzvii/+sJe9MQ+z8WUFKtIY/81/14U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LizxQAAANsAAAAPAAAAAAAAAAAAAAAAAJgCAABkcnMv&#10;ZG93bnJldi54bWxQSwUGAAAAAAQABAD1AAAAigMAAAAA&#10;" adj=",6541" fillcolor="#4f81bd" stroked="f" strokeweight="2pt"/>
            </v:group>
            <v:shape id="Text Box 276" o:spid="_x0000_s1040" type="#_x0000_t202" style="position:absolute;top:73;width:59237;height:209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6Gb8A&#10;AADbAAAADwAAAGRycy9kb3ducmV2LnhtbERP24rCMBB9X/Afwgi+ramiRatRRBCFhWW9vQ/N2Bab&#10;SUmirX+/ERb2bQ7nOst1Z2rxJOcrywpGwwQEcW51xYWCy3n3OQPhA7LG2jIpeJGH9ar3scRM25aP&#10;9DyFQsQQ9hkqKENoMil9XpJBP7QNceRu1hkMEbpCaodtDDe1HCdJKg1WHBtKbGhbUn4/PYyCzVT+&#10;7G/jLk2/r3Pjm3bydXRWqUG/2yxABOrCv/jPfdBx/gjev8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boZvwAAANsAAAAPAAAAAAAAAAAAAAAAAJgCAABkcnMvZG93bnJl&#10;di54bWxQSwUGAAAAAAQABAD1AAAAhAMAAAAA&#10;" fillcolor="#4f81bd" stroked="f">
              <v:textbox>
                <w:txbxContent>
                  <w:p w:rsidR="008438AD" w:rsidRPr="00421AC3" w:rsidRDefault="008438AD" w:rsidP="00CC621A">
                    <w:pPr>
                      <w:rPr>
                        <w:rFonts w:ascii="Garamond" w:hAnsi="Garamond"/>
                        <w:color w:val="FFFFFF"/>
                        <w:sz w:val="20"/>
                      </w:rPr>
                    </w:pPr>
                    <w:r w:rsidRPr="00421AC3">
                      <w:rPr>
                        <w:rFonts w:ascii="Garamond" w:hAnsi="Garamond"/>
                        <w:b/>
                        <w:color w:val="FFFFFF"/>
                      </w:rPr>
                      <w:t>IZGLĪTĪBAS UN ZINĀTNES MINISTRIJA</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Augstākās izglītības pārvaldības stiprināšana un sinerģija ar zinātni.</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Atbalsts izcilajiem studentiem</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Ārvalstu mācībspēku piesaiste</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Izcilu studiju programmu izveide svešvalodās</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Studiju programmu starptautiskā publicitāte</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Materiāltehniskās bāzes uzlabojums augstākās izglītības iestādēs un koledžās</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Studiju un zinātniskās darbības kvalitātes paaugstināšana</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Augstākās izglītības un zinātnes sektora konsolidācija un efektīva resursu izmantošana</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Valsts finansēto studiju vietu atbalsta optimizācija un jauns augstākās izglītības finansēšanas modelis</w:t>
                    </w:r>
                  </w:p>
                  <w:p w:rsidR="008438AD" w:rsidRPr="00421AC3" w:rsidRDefault="008438AD"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Augstākās izglītības un zinātnes internacionalizācija un starptautiskās konkurētspējas paaugstināšana</w:t>
                    </w: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p>
                  <w:p w:rsidR="008438AD" w:rsidRPr="00421AC3" w:rsidRDefault="008438AD" w:rsidP="00CC621A">
                    <w:pPr>
                      <w:jc w:val="center"/>
                      <w:rPr>
                        <w:rFonts w:ascii="Calibri" w:hAnsi="Calibri"/>
                        <w:color w:val="FFFFFF"/>
                        <w:sz w:val="20"/>
                      </w:rPr>
                    </w:pPr>
                    <w:r w:rsidRPr="00421AC3">
                      <w:rPr>
                        <w:rFonts w:ascii="Calibri" w:hAnsi="Calibri"/>
                        <w:color w:val="FFFFFF"/>
                        <w:sz w:val="20"/>
                      </w:rPr>
                      <w:t xml:space="preserve"> </w:t>
                    </w:r>
                  </w:p>
                </w:txbxContent>
              </v:textbox>
            </v:shape>
            <w10:wrap type="none"/>
            <w10:anchorlock/>
          </v:group>
        </w:pict>
      </w:r>
    </w:p>
    <w:p w:rsidR="00CC621A" w:rsidRPr="00D002BB" w:rsidRDefault="00CC621A" w:rsidP="00D002BB"/>
    <w:p w:rsidR="00CC621A" w:rsidRPr="002B6E63" w:rsidRDefault="00CC621A" w:rsidP="00D002BB">
      <w:pPr>
        <w:rPr>
          <w:b/>
          <w:sz w:val="28"/>
        </w:rPr>
      </w:pPr>
      <w:bookmarkStart w:id="20" w:name="_Toc359594114"/>
      <w:bookmarkStart w:id="21" w:name="_Toc359941646"/>
      <w:bookmarkStart w:id="22" w:name="_Toc368987651"/>
      <w:r w:rsidRPr="002B6E63">
        <w:rPr>
          <w:b/>
          <w:sz w:val="28"/>
        </w:rPr>
        <w:t>Mūžizglītības sistēma</w:t>
      </w:r>
      <w:bookmarkEnd w:id="20"/>
      <w:bookmarkEnd w:id="21"/>
      <w:bookmarkEnd w:id="22"/>
    </w:p>
    <w:p w:rsidR="00CC621A" w:rsidRPr="00D002BB" w:rsidRDefault="00CC621A" w:rsidP="002B6E63">
      <w:pPr>
        <w:pStyle w:val="teksts"/>
      </w:pPr>
      <w:r w:rsidRPr="00D002BB">
        <w:t>Jau 2007. gadā tika uzsāktas darbības pieaugušo izglītības sistēmas ieviešanai, un periodā līdz 2013. gadam tika īstenoti dažādi pasākumi, kas vērsti uz mūžizglītības pieejamības sekmēšanu un tās satura izstrādi. Tā rezultātā ir palielinājies mūžizglītībā iesaistīto personu skaits, 2012. gadā sasniedzot 7%, kaut arī Latvijas rādītāji vēl joprojām ir zem vidējiem ES 9% apmērā. Šī iemesla dēļ nākamajā plānošanas periodā mūžizglītības veicināšanai ir ierādīta nozīmīga loma ar mērķi sasniegt mūžizglītībā iesaistīto personu īpatsvara palielinājumu līdz 15%. Šajā kontekstā, IAP 2014.-2020. ietvaros tiks īstenoti pasākumi, kas atbalsta mūžizglītības ieviešanu un prasmju uzlabošanu, nodrošina prasmju pilnveidošanu un paplašina mūžizglītības pieejamību.</w:t>
      </w:r>
    </w:p>
    <w:p w:rsidR="00CC621A" w:rsidRPr="00D002BB" w:rsidRDefault="00CC621A" w:rsidP="002B6E63">
      <w:pPr>
        <w:pStyle w:val="teksts"/>
      </w:pPr>
      <w:r w:rsidRPr="00D002BB">
        <w:t>Lai sasniegtu izvirzīto mērķi, nepieciešams nodrošināt mūžizglītības pieejamību iedzīvotājiem neatkarīgi no viņu vecuma, dzimuma, iepriekšējās izglītības, dzīves vietas, ienākumu līmeņa, etniskās piederības, funkcionāliem traucējumiem utt., kā arī veidot pieaugušajiem kvalitatīvas izglītības piedāvājumu un izveidojot saskaņotu normatīvo aktu sistēmu un efektīvu resursu (tai skaitā finanšu) pārvaldi.</w:t>
      </w:r>
    </w:p>
    <w:p w:rsidR="002B6E63" w:rsidRPr="002B6E63" w:rsidRDefault="002B6E63" w:rsidP="002B6E63">
      <w:pPr>
        <w:rPr>
          <w:rFonts w:cs="Times New Roman"/>
          <w:b/>
          <w:color w:val="auto"/>
        </w:rPr>
      </w:pPr>
      <w:r w:rsidRPr="002B6E63">
        <w:rPr>
          <w:rFonts w:cs="Times New Roman"/>
          <w:b/>
          <w:color w:val="auto"/>
        </w:rPr>
        <w:t>Lai sekmētu mūžizglītības sistēmas attīstību Latvijā, veikti šādi nozīmīgi pasākumi:</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rPr>
        <w:t xml:space="preserve">Īstenoti uzdevumi saskaņā ar mūžizglītības politikas pamatnostādnēm 2007.– </w:t>
      </w:r>
      <w:r w:rsidRPr="002B6E63">
        <w:rPr>
          <w:rFonts w:cs="Times New Roman"/>
          <w:color w:val="auto"/>
          <w:szCs w:val="24"/>
          <w:lang w:val="en-US"/>
        </w:rPr>
        <w:t>2013</w:t>
      </w:r>
      <w:proofErr w:type="gramStart"/>
      <w:r w:rsidRPr="002B6E63">
        <w:rPr>
          <w:rFonts w:cs="Times New Roman"/>
          <w:color w:val="auto"/>
          <w:szCs w:val="24"/>
          <w:lang w:val="en-US"/>
        </w:rPr>
        <w:t>.gadam</w:t>
      </w:r>
      <w:proofErr w:type="gram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t>Pieaugušo izglītības glosārija apstiprināšana LZA Terminoloģijas komisijā.</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t xml:space="preserve">Apkopota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publicēta pašvaldību sniegtā informāciju par pieaugušo neformālās izglītības finansēšanu Latvijas reģionos.</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t>Noteikta kārtība, kādā novērtē ārpus formālās izglītības sistēmas apgūto profesionālo kompetenci.</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t>Pieņemti iepriekšējā izglītībā vai profesionālajā pieredzē sasniegtu studiju rezultātu atzīšanas noteikumi.</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t xml:space="preserve">Noteikta grādu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profesionālo kvalifikāciju pielīdzināšanas kārtība.</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t xml:space="preserve">Nodrošinātas karjeras konsultācijas vairāk kā 50 tūkst. </w:t>
      </w:r>
      <w:proofErr w:type="gramStart"/>
      <w:r w:rsidRPr="002B6E63">
        <w:rPr>
          <w:rFonts w:cs="Times New Roman"/>
          <w:color w:val="auto"/>
          <w:szCs w:val="24"/>
          <w:lang w:val="en-US"/>
        </w:rPr>
        <w:t>personu</w:t>
      </w:r>
      <w:proofErr w:type="gram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t xml:space="preserve">Norit Nacionālās kvalifikāciju ietvarstruktūras izstrādes process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tās līmeņu pielīdzināšana Eiropas kvalifikāciju struktūrai.</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lang w:val="en-US"/>
        </w:rPr>
        <w:lastRenderedPageBreak/>
        <w:t xml:space="preserve">Nodrošināta visaptveroša pedagogu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akadēmiskā personāla kompetenču pilnveide.</w:t>
      </w:r>
    </w:p>
    <w:p w:rsidR="00CC621A" w:rsidRPr="002B6E63" w:rsidRDefault="002B6E63" w:rsidP="002B6E63">
      <w:pPr>
        <w:pStyle w:val="ListParagraph"/>
        <w:numPr>
          <w:ilvl w:val="0"/>
          <w:numId w:val="20"/>
        </w:numPr>
        <w:jc w:val="both"/>
        <w:rPr>
          <w:color w:val="auto"/>
          <w:szCs w:val="24"/>
        </w:rPr>
      </w:pPr>
      <w:r w:rsidRPr="002B6E63">
        <w:rPr>
          <w:rFonts w:cs="Times New Roman"/>
          <w:color w:val="auto"/>
          <w:szCs w:val="24"/>
          <w:lang w:val="en-US"/>
        </w:rPr>
        <w:t>Sniegta tālākizglītības iespējas dažādām sociālām grupām – jauniešiem, soc. darbiniekiem, bilingvālo mācību pedagogiem u.c.</w:t>
      </w:r>
    </w:p>
    <w:p w:rsidR="002B6E63" w:rsidRPr="002B6E63" w:rsidRDefault="002B6E63" w:rsidP="002B6E63">
      <w:pPr>
        <w:pStyle w:val="ListParagraph"/>
        <w:jc w:val="both"/>
        <w:rPr>
          <w:color w:val="auto"/>
          <w:szCs w:val="24"/>
        </w:rPr>
      </w:pPr>
    </w:p>
    <w:p w:rsidR="00CC621A" w:rsidRPr="002B6E63" w:rsidRDefault="00D002BB" w:rsidP="00D002BB">
      <w:pPr>
        <w:rPr>
          <w:b/>
          <w:sz w:val="28"/>
        </w:rPr>
      </w:pPr>
      <w:r w:rsidRPr="002B6E63">
        <w:rPr>
          <w:b/>
          <w:sz w:val="28"/>
        </w:rPr>
        <w:t>Valsts vai reģionālais stratēģiskās politikas ietvars</w:t>
      </w:r>
    </w:p>
    <w:p w:rsidR="00D002BB" w:rsidRPr="00D002BB" w:rsidRDefault="00D002BB" w:rsidP="002B6E63">
      <w:pPr>
        <w:pStyle w:val="teksts"/>
      </w:pPr>
      <w:r w:rsidRPr="00D002BB">
        <w:t xml:space="preserve">2007.gada 23.februārī ar MK rīkojumu Nr.111 “Par Mūžizglītības politikas pamatnostādnēm 2007.–2013. gadam” tika apstiprinātas Mūžizglītības politikas pamatnostādnes 2007.–2013. gadam (turpmāk – </w:t>
      </w:r>
      <w:r w:rsidR="00EE4D6E">
        <w:t>Mūžizglītības p</w:t>
      </w:r>
      <w:r w:rsidRPr="00D002BB">
        <w:t xml:space="preserve">amatnostādnes) – pamata politikas plānošanas dokuments mūžizglītības politikas attīstības jomā. </w:t>
      </w:r>
    </w:p>
    <w:p w:rsidR="00D002BB" w:rsidRPr="00D002BB" w:rsidRDefault="00D002BB" w:rsidP="002B6E63">
      <w:pPr>
        <w:pStyle w:val="teksts"/>
      </w:pPr>
      <w:r w:rsidRPr="00D002BB">
        <w:t xml:space="preserve">Mūžizglītības politikas pamatnostādnēs uzsvars tiek likts uz pieaugušo izglītību, kas ir vājākais posms izglītības nodrošināšanas procesā Latvijā un nav skaidri atspoguļots normatīvajos aktos. Pamatā tā ir neformālā izglītība, kas strauji mainīgā darba tirgus un jauno tehnoloģiju apstākļos spēj ātri nodrošināt darba devēju, darba ņēmēju, kā arī indivīdu vajadzībām atbilstošas jaunas zināšanas, prasmes un kompetences. </w:t>
      </w:r>
    </w:p>
    <w:p w:rsidR="00D002BB" w:rsidRPr="00D002BB" w:rsidRDefault="00D002BB" w:rsidP="002B6E63">
      <w:pPr>
        <w:pStyle w:val="teksts"/>
      </w:pPr>
      <w:r w:rsidRPr="00D002BB">
        <w:t xml:space="preserve">Vienlaikus tiek uzsākts darbs pie vienotas izglītības sistēmas izveides, lai sekmētu visu izglītības posmu un formu sasaisti, nodrošinot cilvēkiem iespējas mācīties katrā dzīves posmā, visās dzīves jomās, neatkarīgi no viņu vecuma, dzimuma, iepriekšējās izglītības, dzīves vietas, etniskās piederības, ienākuma līmeņa, funkcionāliem traucējumiem. </w:t>
      </w:r>
    </w:p>
    <w:p w:rsidR="00D002BB" w:rsidRPr="00D002BB" w:rsidRDefault="00D002BB" w:rsidP="002B6E63">
      <w:pPr>
        <w:pStyle w:val="teksts"/>
      </w:pPr>
      <w:r w:rsidRPr="00D002BB">
        <w:t>Informatīvais ziņojums par Mūžizglītības politikas pamatnostādņu 2007.–2013.gadam īstenošanas gaitu 2011., 2012.gadā. Ziņojuma secinājumi turpinās Izglītības attīstības pamatnostādnēs 2014 – 2020.</w:t>
      </w:r>
    </w:p>
    <w:p w:rsidR="00D002BB" w:rsidRPr="00D002BB" w:rsidRDefault="00D002BB" w:rsidP="002B6E63">
      <w:pPr>
        <w:pStyle w:val="teksts"/>
      </w:pPr>
      <w:r w:rsidRPr="00D002BB">
        <w:t>IZM īstenotā EK projekta „Eiropas programmas īstenošana pieaugušo izglītības jomā” ietvaros tiek izstrādāts mūžizglītības modelis. Modelī ir ietverti pieaugušo izglītības politikas veidošana un pārraudzība, funkciju sadalījums un finansēšanas plānošana un sadales kārtība. Tiek izveidota visaptveroša un savstarpēji salīdzināma datu sistēma par visiem pieaugušo izglītības aspektiem kā nepieciešamība uz faktiem balstītas politikas izstrādei. Tas būs uz neatkarīgu zināšanu apguvēju vērsts, daudzšķautņains pārvaldības modelis. Lietderīgāk un efektīvāk izmantots finansējums. Organizēta sadarbība ar darba devējiem, sociālajiem partneriem un pilsonisko sabiedrību, kā arī pieaugušo izglītības jautājumu izpētes pastiprināšana.</w:t>
      </w:r>
    </w:p>
    <w:p w:rsidR="00D002BB" w:rsidRPr="00D002BB" w:rsidRDefault="00D002BB" w:rsidP="002B6E63">
      <w:pPr>
        <w:pStyle w:val="teksts"/>
      </w:pPr>
      <w:r w:rsidRPr="00D002BB">
        <w:t>Projekta tiešā mērķa grupa ir Latvijas iedzīvotāji ar zemām pamatprasmēm (bez pamata vai vidējās izglītības) vecumā no 25-64 gadiem.</w:t>
      </w:r>
      <w:r w:rsidRPr="00D002BB" w:rsidDel="00956367">
        <w:t xml:space="preserve"> </w:t>
      </w:r>
      <w:r w:rsidRPr="00D002BB">
        <w:t xml:space="preserve">Projekta mērķi ir: </w:t>
      </w:r>
    </w:p>
    <w:p w:rsidR="00D002BB" w:rsidRPr="00D002BB" w:rsidRDefault="00D002BB" w:rsidP="002B6E63">
      <w:pPr>
        <w:pStyle w:val="teksts"/>
      </w:pPr>
      <w:r w:rsidRPr="00D002BB">
        <w:t xml:space="preserve">Sekmēt sadarbību un nodrošināt vienotu koordināciju/informācijas apmaiņu starp augstskolām, privātajiem partneriem, valsts, pašvaldību un nevalstiskajām institūcijām ar mērķi palielināt to pieaugušo Latvijas iedzīvotāju skaitu, kuri savas dzīves laikā pilnveido savas prasmes, iemaņas un kvalifikāciju. </w:t>
      </w:r>
    </w:p>
    <w:p w:rsidR="00D002BB" w:rsidRPr="00D002BB" w:rsidRDefault="00D002BB" w:rsidP="002B6E63">
      <w:pPr>
        <w:pStyle w:val="teksts"/>
      </w:pPr>
      <w:r w:rsidRPr="00D002BB">
        <w:t xml:space="preserve">Veicināt diskusiju par mūžizglītības problēmām Latvijā ieinteresēto pušu vidū, kā arī kopīgi apmainīties viedokļiem un izstrādāt priekšlikumus problēmu risināšanai. </w:t>
      </w:r>
    </w:p>
    <w:p w:rsidR="00D002BB" w:rsidRPr="00D002BB" w:rsidRDefault="00D002BB" w:rsidP="002B6E63">
      <w:pPr>
        <w:pStyle w:val="teksts"/>
      </w:pPr>
      <w:r w:rsidRPr="00D002BB">
        <w:t>Izplatīt informāciju iedzīvotāju vidū par šā brīža izglītības iespējām Latvijā un personas ieguvumiem no kvalifikācijas celšanas.</w:t>
      </w:r>
    </w:p>
    <w:p w:rsidR="00D002BB" w:rsidRDefault="00D002BB" w:rsidP="00D002BB"/>
    <w:p w:rsidR="00D002BB" w:rsidRPr="002B6E63" w:rsidRDefault="00D002BB" w:rsidP="00D002BB">
      <w:pPr>
        <w:rPr>
          <w:b/>
          <w:sz w:val="28"/>
        </w:rPr>
      </w:pPr>
      <w:r w:rsidRPr="002B6E63">
        <w:rPr>
          <w:b/>
          <w:sz w:val="28"/>
        </w:rPr>
        <w:t>Pasākumi, lai atbalstītu mūžizglītības attīstību un saistītos pakalpojumus</w:t>
      </w:r>
    </w:p>
    <w:p w:rsidR="00D002BB" w:rsidRPr="00D002BB" w:rsidRDefault="00D002BB" w:rsidP="00D002BB">
      <w:pPr>
        <w:pStyle w:val="teksts"/>
      </w:pPr>
      <w:r w:rsidRPr="00D002BB">
        <w:t>Nodrošināts izglītības un apmācības piedāvājuma elastīgums un atbilstība darba tirgus prasībām.</w:t>
      </w:r>
    </w:p>
    <w:p w:rsidR="00D002BB" w:rsidRPr="00D002BB" w:rsidRDefault="00D002BB" w:rsidP="00D002BB">
      <w:pPr>
        <w:pStyle w:val="teksts"/>
      </w:pPr>
      <w:r w:rsidRPr="00D002BB">
        <w:t xml:space="preserve">Lai sasniegtu izglītību priekšlaicīgi pametušo iedzīvotāju īpatsvara samazināšanas Eiropas Savienības un Latvijas mērķi, ir nepieciešami gan preventīvie (piemēram, individualizētas pieejas nodrošināšana, izglītības satura uzlabošana un izglītības iestāžu modernizācija, vecāku un izglītības iestāžu sadarbības stiprināšana), gan kompensējošie mehānismi (otrās izglītības iespējas nodrošināšana,  ārpusformālās izglītības iegūto zināšanu un prasmju atzīšanas sistēmas izveide, īpaši pieaugušajiem). Eiropas Savienība kopš </w:t>
      </w:r>
      <w:r w:rsidRPr="00D002BB">
        <w:lastRenderedPageBreak/>
        <w:t>2002.gada par 1,8 procentpunktiem palielinājās personu (25-64) īpatsvars, kas piedalās mācīšanās procesā. Latvijā, neskatoties uz vairākiem aktīviem pasākumiem, šis rādītājs attiecīgajā periodā samazinājies par 0,3 procentpunktiem un 2011.gadā 5,0%, savukārt 2012.gadā bija 7,0%.</w:t>
      </w:r>
    </w:p>
    <w:p w:rsidR="00D002BB" w:rsidRPr="00D002BB" w:rsidRDefault="00D002BB" w:rsidP="00D002BB">
      <w:pPr>
        <w:pStyle w:val="teksts"/>
      </w:pPr>
      <w:r w:rsidRPr="00D002BB">
        <w:t xml:space="preserve">Informatīvajā ziņojumā „Par Izglītības un zinātnes ministrijas padotībā esošo profesionālās izglītības iestāžu pārņemšanu pašvaldību padotībā” (MK 2013.gada 2.jūlija sēdes prot.Nr.37, 43.§) ir iekļauti aprēķini par pieaugušo izglītību. </w:t>
      </w:r>
    </w:p>
    <w:p w:rsidR="00D002BB" w:rsidRPr="00D002BB" w:rsidRDefault="00D002BB" w:rsidP="00D002BB">
      <w:pPr>
        <w:widowControl w:val="0"/>
        <w:spacing w:after="120"/>
        <w:jc w:val="both"/>
        <w:rPr>
          <w:rFonts w:eastAsia="Courier New" w:cs="Times New Roman"/>
          <w:color w:val="auto"/>
          <w:sz w:val="20"/>
          <w:lang w:bidi="en-US"/>
        </w:rPr>
      </w:pPr>
      <w:r w:rsidRPr="00D002BB">
        <w:rPr>
          <w:rFonts w:eastAsia="Courier New" w:cs="Times New Roman"/>
          <w:b/>
          <w:bCs/>
          <w:color w:val="auto"/>
          <w:sz w:val="20"/>
          <w:lang w:bidi="en-US"/>
        </w:rPr>
        <w:t>[287] Mērķa sasniegšanas rādītājs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834"/>
        <w:gridCol w:w="851"/>
        <w:gridCol w:w="851"/>
        <w:gridCol w:w="851"/>
        <w:gridCol w:w="851"/>
      </w:tblGrid>
      <w:tr w:rsidR="00D002BB" w:rsidRPr="00421AC3" w:rsidTr="00D002BB">
        <w:tc>
          <w:tcPr>
            <w:tcW w:w="3936"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p>
        </w:tc>
        <w:tc>
          <w:tcPr>
            <w:tcW w:w="1834"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Bāzes vērtība (2011.g.)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2014.g.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2017.g.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2020.g.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2030.g.</w:t>
            </w:r>
          </w:p>
        </w:tc>
      </w:tr>
      <w:tr w:rsidR="00D002BB" w:rsidRPr="00421AC3" w:rsidTr="00D002BB">
        <w:tc>
          <w:tcPr>
            <w:tcW w:w="3936" w:type="dxa"/>
            <w:vAlign w:val="center"/>
          </w:tcPr>
          <w:p w:rsidR="00D002BB" w:rsidRPr="00D002BB" w:rsidRDefault="00D002BB" w:rsidP="00D002BB">
            <w:pPr>
              <w:widowControl w:val="0"/>
              <w:ind w:left="567" w:hanging="567"/>
              <w:rPr>
                <w:rFonts w:eastAsia="Courier New" w:cs="Times New Roman"/>
                <w:color w:val="auto"/>
                <w:sz w:val="20"/>
                <w:lang w:bidi="en-US"/>
              </w:rPr>
            </w:pPr>
            <w:r w:rsidRPr="00D002BB">
              <w:rPr>
                <w:rFonts w:eastAsia="Courier New" w:cs="Times New Roman"/>
                <w:color w:val="auto"/>
                <w:sz w:val="20"/>
                <w:lang w:bidi="en-US"/>
              </w:rPr>
              <w:t>[288] Pieaugušo izglītībā iesaistīto personu īpatsvars 25–64 gadu vecumā</w:t>
            </w:r>
          </w:p>
        </w:tc>
        <w:tc>
          <w:tcPr>
            <w:tcW w:w="1834"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5,0%</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7%</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9,5%</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15%</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34%</w:t>
            </w:r>
          </w:p>
        </w:tc>
      </w:tr>
    </w:tbl>
    <w:p w:rsidR="00D002BB" w:rsidRPr="00D002BB" w:rsidRDefault="00D002BB" w:rsidP="00D002BB">
      <w:pPr>
        <w:widowControl w:val="0"/>
        <w:tabs>
          <w:tab w:val="left" w:pos="7088"/>
        </w:tabs>
        <w:spacing w:after="120"/>
        <w:jc w:val="both"/>
        <w:rPr>
          <w:rFonts w:eastAsia="Courier New" w:cs="Times New Roman"/>
          <w:i/>
          <w:color w:val="auto"/>
          <w:sz w:val="20"/>
          <w:lang w:bidi="en-US"/>
        </w:rPr>
      </w:pPr>
      <w:r w:rsidRPr="00D002BB">
        <w:rPr>
          <w:rFonts w:eastAsia="Courier New" w:cs="Times New Roman"/>
          <w:i/>
          <w:color w:val="auto"/>
          <w:sz w:val="20"/>
          <w:lang w:bidi="en-US"/>
        </w:rPr>
        <w:t>Avots: Latvijas Nacionālais attīstības plāns 2014.-2020.g.</w:t>
      </w:r>
    </w:p>
    <w:p w:rsidR="00D002BB" w:rsidRPr="00D002BB" w:rsidRDefault="00D002BB" w:rsidP="00D002BB">
      <w:pPr>
        <w:pStyle w:val="teksts"/>
        <w:rPr>
          <w:lang w:bidi="en-US"/>
        </w:rPr>
      </w:pPr>
      <w:r w:rsidRPr="00D002BB">
        <w:rPr>
          <w:lang w:bidi="en-US"/>
        </w:rPr>
        <w:t>Profesionālās izglītības iestādes iesaistās pieaugušo izglītošanā, dodot iespēju pieaugušajiem ar iepriekšēju izglītību un profesionālo pieredzi iegūt noteikta līmeņa profesionālo kvalifikāciju, kā arī personām neatkarīgi no vecuma un iepriekšējās izglītības vai profesionālās kvalifikācijas apgūt darba tirgus prasībām atbilstošas sistematizētas profesionālās zināšanas un prasmes, tomēr profesionālās izglītības iestāžu iesaiste pieaugušo izglītošanā nav pietiekama. Ir skaidrs, ka profesionālās tālākizglītības programmas un profesionālās pilnveides izglītības programmas apguvušo izglītojamo skaits profesionālās izglītības iestādēs nav pietiekams.</w:t>
      </w:r>
    </w:p>
    <w:p w:rsidR="00D002BB" w:rsidRPr="00D002BB" w:rsidRDefault="00D002BB" w:rsidP="00D002BB">
      <w:pPr>
        <w:pStyle w:val="teksts"/>
        <w:rPr>
          <w:lang w:bidi="en-US"/>
        </w:rPr>
      </w:pPr>
      <w:r w:rsidRPr="00D002BB">
        <w:rPr>
          <w:lang w:bidi="en-US"/>
        </w:rPr>
        <w:t>Saskaņā ar Izglītības likuma 59.pantu, kurā noteikts, ka no 2015.gada 1.janvāra jānodrošina atbalsts darba devējiem darbinieku papildu izglītošanā, tiek izstrādāts Ministru kabineta noteikumu projekts „Atbalsts darba devējiem darbinieku izglītošanai”, kurā paredzētas trīs atbalstāmās jomas  formālajai izglītībai (nav pieejams finansējums):</w:t>
      </w:r>
    </w:p>
    <w:p w:rsidR="00D002BB" w:rsidRPr="00D002BB" w:rsidRDefault="00D002BB" w:rsidP="00D002BB">
      <w:pPr>
        <w:pStyle w:val="ListParagraph"/>
        <w:widowControl w:val="0"/>
        <w:numPr>
          <w:ilvl w:val="0"/>
          <w:numId w:val="15"/>
        </w:numPr>
        <w:rPr>
          <w:rFonts w:eastAsia="Courier New" w:cs="Times New Roman"/>
          <w:color w:val="auto"/>
          <w:lang w:bidi="en-US"/>
        </w:rPr>
      </w:pPr>
      <w:r w:rsidRPr="00D002BB">
        <w:rPr>
          <w:rFonts w:eastAsia="Courier New" w:cs="Times New Roman"/>
          <w:color w:val="auto"/>
          <w:lang w:bidi="en-US"/>
        </w:rPr>
        <w:t>obligātā joma, kas jānodrošina darba devējiem (valsts noteiktās specializācijas – ugunsdrošība, darba aizsardzība, utt.);</w:t>
      </w:r>
    </w:p>
    <w:p w:rsidR="00D002BB" w:rsidRPr="00D002BB" w:rsidRDefault="00D002BB" w:rsidP="00D002BB">
      <w:pPr>
        <w:pStyle w:val="ListParagraph"/>
        <w:widowControl w:val="0"/>
        <w:numPr>
          <w:ilvl w:val="0"/>
          <w:numId w:val="15"/>
        </w:numPr>
        <w:rPr>
          <w:rFonts w:eastAsia="Courier New" w:cs="Times New Roman"/>
          <w:color w:val="auto"/>
          <w:lang w:bidi="en-US"/>
        </w:rPr>
      </w:pPr>
      <w:r w:rsidRPr="00D002BB">
        <w:rPr>
          <w:rFonts w:eastAsia="Courier New" w:cs="Times New Roman"/>
          <w:color w:val="auto"/>
          <w:lang w:bidi="en-US"/>
        </w:rPr>
        <w:t xml:space="preserve">Latvijā neapgūstamās profesijas; </w:t>
      </w:r>
    </w:p>
    <w:p w:rsidR="00D002BB" w:rsidRPr="00D002BB" w:rsidRDefault="00D002BB" w:rsidP="00D002BB">
      <w:pPr>
        <w:pStyle w:val="ListParagraph"/>
        <w:widowControl w:val="0"/>
        <w:numPr>
          <w:ilvl w:val="0"/>
          <w:numId w:val="15"/>
        </w:numPr>
        <w:rPr>
          <w:rFonts w:eastAsia="Courier New" w:cs="Times New Roman"/>
          <w:color w:val="auto"/>
          <w:lang w:bidi="en-US"/>
        </w:rPr>
      </w:pPr>
      <w:r w:rsidRPr="00D002BB">
        <w:rPr>
          <w:rFonts w:eastAsia="Courier New" w:cs="Times New Roman"/>
          <w:color w:val="auto"/>
          <w:lang w:bidi="en-US"/>
        </w:rPr>
        <w:t>darbinieka kompetenču pilnveide atbilstoši darba devēja vajadzībām, tai skaitā pēc paša darbinieka izvēles.</w:t>
      </w:r>
    </w:p>
    <w:p w:rsidR="00D002BB" w:rsidRPr="00D002BB" w:rsidRDefault="00D002BB" w:rsidP="00D002BB">
      <w:pPr>
        <w:pStyle w:val="teksts"/>
        <w:rPr>
          <w:lang w:bidi="en-US"/>
        </w:rPr>
      </w:pPr>
      <w:r w:rsidRPr="00D002BB">
        <w:rPr>
          <w:lang w:bidi="en-US"/>
        </w:rPr>
        <w:t>Papildus pieaugušo dalības palielināšanai izglītībā, Latvija ir apņēmusies arī samazināt izglītību priekšlaicīgi pametušo (</w:t>
      </w:r>
      <w:r w:rsidRPr="00D002BB">
        <w:rPr>
          <w:i/>
          <w:iCs/>
          <w:lang w:bidi="en-US"/>
        </w:rPr>
        <w:t>Early School Leavers</w:t>
      </w:r>
      <w:r w:rsidRPr="00D002BB">
        <w:rPr>
          <w:lang w:bidi="en-US"/>
        </w:rPr>
        <w:t>) iedzīvotāju vecumā no 18-24 gadiem skaitu, kam nav vidējās izglītības un kas neturpina mācīties, īpatsvaru līdz 13,4% (ES mērķis – mazāk par 10%). Salīdzinot ar 2010.gadu, 2012.gadā skolu nepabeigušo skolēnu īpatsvars vecuma grupā no 18-24 gadiem samazinājies no 13,3% līdz 10,5%, kas ir labāks par vidējo ES rādītāju (12,8%). Visizplatītākie iemesli, kādēļ tiek pārtrauktas mācības, ir ģimenes sociālekonomiskie apstākļi, motivācijas trūkums, mācīšanās grūtības, vienaudžu ietekme, skolas resursi, nepietiekoša vecāku un skolas sadarbība.</w:t>
      </w:r>
      <w:r w:rsidRPr="00D002BB">
        <w:rPr>
          <w:vertAlign w:val="superscript"/>
          <w:lang w:bidi="en-US"/>
        </w:rPr>
        <w:footnoteReference w:id="7"/>
      </w:r>
      <w:r w:rsidRPr="00D002BB">
        <w:rPr>
          <w:lang w:bidi="en-US"/>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00"/>
      </w:tblPr>
      <w:tblGrid>
        <w:gridCol w:w="710"/>
        <w:gridCol w:w="685"/>
        <w:gridCol w:w="685"/>
        <w:gridCol w:w="685"/>
        <w:gridCol w:w="685"/>
        <w:gridCol w:w="685"/>
        <w:gridCol w:w="685"/>
        <w:gridCol w:w="685"/>
        <w:gridCol w:w="685"/>
        <w:gridCol w:w="685"/>
        <w:gridCol w:w="685"/>
        <w:gridCol w:w="685"/>
        <w:gridCol w:w="686"/>
      </w:tblGrid>
      <w:tr w:rsidR="00D002BB" w:rsidRPr="00421AC3" w:rsidTr="002B6E63">
        <w:trPr>
          <w:trHeight w:val="460"/>
          <w:jc w:val="center"/>
        </w:trPr>
        <w:tc>
          <w:tcPr>
            <w:tcW w:w="710" w:type="dxa"/>
            <w:shd w:val="clear" w:color="auto" w:fill="FFFFFF"/>
          </w:tcPr>
          <w:p w:rsidR="00D002BB" w:rsidRPr="00D002BB" w:rsidRDefault="00D002BB" w:rsidP="00D002BB">
            <w:pPr>
              <w:autoSpaceDE w:val="0"/>
              <w:autoSpaceDN w:val="0"/>
              <w:adjustRightInd w:val="0"/>
              <w:jc w:val="both"/>
              <w:rPr>
                <w:rFonts w:cs="Times New Roman"/>
                <w:color w:val="auto"/>
                <w:sz w:val="20"/>
              </w:rPr>
            </w:pPr>
          </w:p>
          <w:p w:rsidR="00D002BB" w:rsidRPr="00D002BB" w:rsidRDefault="00D002BB" w:rsidP="00D002BB">
            <w:pPr>
              <w:autoSpaceDE w:val="0"/>
              <w:autoSpaceDN w:val="0"/>
              <w:adjustRightInd w:val="0"/>
              <w:jc w:val="both"/>
              <w:rPr>
                <w:rFonts w:cs="Times New Roman"/>
                <w:color w:val="auto"/>
                <w:sz w:val="20"/>
              </w:rPr>
            </w:pP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2002.</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2003.</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2004.</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2005.</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2006.</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2007.</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2008.</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2009.</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2010.</w:t>
            </w:r>
          </w:p>
        </w:tc>
        <w:tc>
          <w:tcPr>
            <w:tcW w:w="685" w:type="dxa"/>
            <w:shd w:val="clear" w:color="auto" w:fill="FFFFFF"/>
          </w:tcPr>
          <w:p w:rsidR="00D002BB" w:rsidRPr="00D002BB" w:rsidRDefault="00D002BB" w:rsidP="00D002BB">
            <w:pPr>
              <w:autoSpaceDE w:val="0"/>
              <w:autoSpaceDN w:val="0"/>
              <w:adjustRightInd w:val="0"/>
              <w:jc w:val="both"/>
              <w:rPr>
                <w:rFonts w:cs="Times New Roman"/>
                <w:b/>
                <w:color w:val="auto"/>
                <w:sz w:val="20"/>
              </w:rPr>
            </w:pPr>
            <w:r w:rsidRPr="00D002BB">
              <w:rPr>
                <w:rFonts w:cs="Times New Roman"/>
                <w:b/>
                <w:color w:val="auto"/>
                <w:sz w:val="20"/>
              </w:rPr>
              <w:t>2011.</w:t>
            </w:r>
          </w:p>
        </w:tc>
        <w:tc>
          <w:tcPr>
            <w:tcW w:w="685" w:type="dxa"/>
            <w:shd w:val="clear" w:color="auto" w:fill="FFFFFF"/>
          </w:tcPr>
          <w:p w:rsidR="00D002BB" w:rsidRPr="00D002BB" w:rsidRDefault="00D002BB" w:rsidP="00D002BB">
            <w:pPr>
              <w:autoSpaceDE w:val="0"/>
              <w:autoSpaceDN w:val="0"/>
              <w:adjustRightInd w:val="0"/>
              <w:jc w:val="both"/>
              <w:rPr>
                <w:rFonts w:cs="Times New Roman"/>
                <w:b/>
                <w:bCs/>
                <w:color w:val="auto"/>
                <w:sz w:val="20"/>
              </w:rPr>
            </w:pPr>
            <w:r w:rsidRPr="00D002BB">
              <w:rPr>
                <w:rFonts w:cs="Times New Roman"/>
                <w:b/>
                <w:bCs/>
                <w:color w:val="auto"/>
                <w:sz w:val="20"/>
              </w:rPr>
              <w:t>2012.</w:t>
            </w:r>
          </w:p>
        </w:tc>
        <w:tc>
          <w:tcPr>
            <w:tcW w:w="686" w:type="dxa"/>
            <w:shd w:val="clear" w:color="auto" w:fill="FFFFFF"/>
          </w:tcPr>
          <w:p w:rsidR="00D002BB" w:rsidRPr="00D002BB" w:rsidRDefault="00D002BB" w:rsidP="00D002BB">
            <w:pPr>
              <w:autoSpaceDE w:val="0"/>
              <w:autoSpaceDN w:val="0"/>
              <w:adjustRightInd w:val="0"/>
              <w:jc w:val="both"/>
              <w:rPr>
                <w:rFonts w:cs="Times New Roman"/>
                <w:b/>
                <w:bCs/>
                <w:color w:val="auto"/>
                <w:sz w:val="20"/>
              </w:rPr>
            </w:pPr>
            <w:r w:rsidRPr="00D002BB">
              <w:rPr>
                <w:rFonts w:cs="Times New Roman"/>
                <w:b/>
                <w:bCs/>
                <w:color w:val="auto"/>
                <w:sz w:val="20"/>
              </w:rPr>
              <w:t>2020.*</w:t>
            </w:r>
          </w:p>
        </w:tc>
      </w:tr>
      <w:tr w:rsidR="00D002BB" w:rsidRPr="00421AC3" w:rsidTr="002B6E63">
        <w:trPr>
          <w:trHeight w:val="460"/>
          <w:jc w:val="center"/>
        </w:trPr>
        <w:tc>
          <w:tcPr>
            <w:tcW w:w="710" w:type="dxa"/>
          </w:tcPr>
          <w:p w:rsidR="00D002BB" w:rsidRPr="00D002BB" w:rsidRDefault="00D002BB" w:rsidP="00D002BB">
            <w:pPr>
              <w:autoSpaceDE w:val="0"/>
              <w:autoSpaceDN w:val="0"/>
              <w:adjustRightInd w:val="0"/>
              <w:jc w:val="both"/>
              <w:rPr>
                <w:rFonts w:cs="Times New Roman"/>
                <w:b/>
                <w:bCs/>
                <w:color w:val="auto"/>
                <w:sz w:val="20"/>
              </w:rPr>
            </w:pPr>
            <w:r w:rsidRPr="00D002BB">
              <w:rPr>
                <w:rFonts w:cs="Times New Roman"/>
                <w:b/>
                <w:bCs/>
                <w:color w:val="auto"/>
                <w:sz w:val="20"/>
              </w:rPr>
              <w:t>ES</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17,0</w:t>
            </w:r>
          </w:p>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16,6%</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16,1%</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15,8%</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15,5%</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15,1%</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14,9%</w:t>
            </w:r>
          </w:p>
        </w:tc>
        <w:tc>
          <w:tcPr>
            <w:tcW w:w="685" w:type="dxa"/>
          </w:tcPr>
          <w:p w:rsidR="00D002BB" w:rsidRPr="00D002BB" w:rsidRDefault="00D002BB" w:rsidP="00D002BB">
            <w:pPr>
              <w:autoSpaceDE w:val="0"/>
              <w:autoSpaceDN w:val="0"/>
              <w:adjustRightInd w:val="0"/>
              <w:jc w:val="both"/>
              <w:rPr>
                <w:rFonts w:cs="Times New Roman"/>
                <w:bCs/>
                <w:color w:val="auto"/>
                <w:sz w:val="20"/>
              </w:rPr>
            </w:pPr>
            <w:r w:rsidRPr="00D002BB">
              <w:rPr>
                <w:rFonts w:cs="Times New Roman"/>
                <w:bCs/>
                <w:color w:val="auto"/>
                <w:sz w:val="20"/>
              </w:rPr>
              <w:t>14,4%%</w:t>
            </w:r>
          </w:p>
        </w:tc>
        <w:tc>
          <w:tcPr>
            <w:tcW w:w="685" w:type="dxa"/>
            <w:shd w:val="clear" w:color="auto" w:fill="auto"/>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14,0%</w:t>
            </w:r>
          </w:p>
        </w:tc>
        <w:tc>
          <w:tcPr>
            <w:tcW w:w="685" w:type="dxa"/>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13,5%</w:t>
            </w:r>
          </w:p>
        </w:tc>
        <w:tc>
          <w:tcPr>
            <w:tcW w:w="685" w:type="dxa"/>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12,8%</w:t>
            </w:r>
          </w:p>
        </w:tc>
        <w:tc>
          <w:tcPr>
            <w:tcW w:w="686"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10</w:t>
            </w:r>
          </w:p>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w:t>
            </w:r>
          </w:p>
        </w:tc>
      </w:tr>
      <w:tr w:rsidR="00D002BB" w:rsidRPr="00421AC3" w:rsidTr="002B6E63">
        <w:trPr>
          <w:trHeight w:val="460"/>
          <w:jc w:val="center"/>
        </w:trPr>
        <w:tc>
          <w:tcPr>
            <w:tcW w:w="710"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 xml:space="preserve">LV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16, 9%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18,0%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14,7%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14,4%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14,8%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15,1%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15,5%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Cs/>
                <w:color w:val="auto"/>
                <w:sz w:val="20"/>
              </w:rPr>
              <w:t xml:space="preserve">13,9%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13,3%</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11,6%</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10,5%</w:t>
            </w:r>
          </w:p>
        </w:tc>
        <w:tc>
          <w:tcPr>
            <w:tcW w:w="686"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13,4% </w:t>
            </w:r>
          </w:p>
        </w:tc>
      </w:tr>
    </w:tbl>
    <w:p w:rsidR="00D002BB" w:rsidRPr="00D002BB" w:rsidRDefault="00D002BB" w:rsidP="00D002BB">
      <w:pPr>
        <w:autoSpaceDE w:val="0"/>
        <w:autoSpaceDN w:val="0"/>
        <w:adjustRightInd w:val="0"/>
        <w:jc w:val="both"/>
        <w:rPr>
          <w:rFonts w:cs="Times New Roman"/>
          <w:color w:val="auto"/>
          <w:sz w:val="20"/>
        </w:rPr>
      </w:pPr>
      <w:r w:rsidRPr="00D002BB">
        <w:rPr>
          <w:rFonts w:cs="Times New Roman"/>
          <w:i/>
          <w:color w:val="auto"/>
          <w:sz w:val="20"/>
        </w:rPr>
        <w:t>Avots: Eurostat</w:t>
      </w:r>
    </w:p>
    <w:p w:rsidR="00D002BB" w:rsidRPr="00D002BB" w:rsidRDefault="00D002BB" w:rsidP="00D002BB">
      <w:pPr>
        <w:autoSpaceDE w:val="0"/>
        <w:autoSpaceDN w:val="0"/>
        <w:adjustRightInd w:val="0"/>
        <w:jc w:val="both"/>
        <w:rPr>
          <w:rFonts w:ascii="Cambria" w:hAnsi="Cambria" w:cs="Cambria"/>
          <w:i/>
          <w:color w:val="auto"/>
          <w:sz w:val="28"/>
          <w:szCs w:val="28"/>
        </w:rPr>
      </w:pPr>
    </w:p>
    <w:p w:rsidR="00D002BB" w:rsidRPr="00D002BB" w:rsidRDefault="00D002BB" w:rsidP="006F3CD6">
      <w:pPr>
        <w:pStyle w:val="teksts"/>
      </w:pPr>
      <w:r w:rsidRPr="00D002BB">
        <w:t xml:space="preserve">2012.gada ceturtajā ceturksnī kopējais iedzīvotāju skaits vecumā no 18-24 gadiem bija 194.8 tūkst., no tiem 55.9 tūkst. bija bez vidējās izglītības. 23.2 tūkst. iedzīvotāji vecumā no </w:t>
      </w:r>
      <w:r w:rsidRPr="00D002BB">
        <w:lastRenderedPageBreak/>
        <w:t>18-24 gadiem bez vidējās izglītības arī neturpināja mācības.</w:t>
      </w:r>
      <w:r w:rsidRPr="00D002BB">
        <w:rPr>
          <w:vertAlign w:val="superscript"/>
        </w:rPr>
        <w:footnoteReference w:id="8"/>
      </w:r>
      <w:r w:rsidRPr="00D002BB">
        <w:t xml:space="preserve"> Lai sasniegtu izglītību priekšlaicīgi pametušo iedzīvotāju īpatsvara samazināšanas Eiropas Savienības un Latvijas mērķi, ir nepieciešami gan </w:t>
      </w:r>
      <w:r w:rsidRPr="00D002BB">
        <w:rPr>
          <w:bCs/>
        </w:rPr>
        <w:t xml:space="preserve">preventīvie </w:t>
      </w:r>
      <w:r w:rsidRPr="00D002BB">
        <w:t xml:space="preserve">(piemēram, individualizētas pieejas nodrošināšana, izglītības satura uzlabošana un izglītības iestāžu modernizācija, vecāku un izglītības iestāžu sadarbības stiprināšana), gan </w:t>
      </w:r>
      <w:r w:rsidRPr="00D002BB">
        <w:rPr>
          <w:bCs/>
        </w:rPr>
        <w:t xml:space="preserve">kompensējošie </w:t>
      </w:r>
      <w:r w:rsidRPr="00D002BB">
        <w:t xml:space="preserve">mehānismi (otrās izglītības iespējas nodrošināšana, ārpusformālās izglītības iegūto zināšanu un prasmju atzīšanas sistēmas izveide, īpaši pieaugušajiem). </w:t>
      </w:r>
    </w:p>
    <w:p w:rsidR="00D002BB" w:rsidRPr="00D002BB" w:rsidRDefault="00D002BB" w:rsidP="006F3CD6">
      <w:pPr>
        <w:pStyle w:val="teksts"/>
      </w:pPr>
      <w:r w:rsidRPr="00D002BB">
        <w:t xml:space="preserve">2012.gadā IZM apkopoja pašvaldību sniegto informāciju (dati tiks publiskoti IZM mājas lapā)  par pieaugušo neformālo izglītību Latvijas reģionos 2012.gadā. Atsaucoties uz informācijas pieprasījumu, </w:t>
      </w:r>
      <w:r w:rsidRPr="00D002BB">
        <w:rPr>
          <w:b/>
          <w:bCs/>
        </w:rPr>
        <w:t>81 pašvaldība sniedza datus par teritorijā īstenoto pieaugušo neformālo izglītību</w:t>
      </w:r>
      <w:r w:rsidRPr="00D002BB">
        <w:rPr>
          <w:bCs/>
        </w:rPr>
        <w:t xml:space="preserve">, </w:t>
      </w:r>
      <w:r w:rsidRPr="00D002BB">
        <w:t xml:space="preserve">tās finansēšanas apjomu un modeli. Informācijas apkopošanas rezultātā tika konstatēts, ka ekonomiskās krīzes situācijā pašvaldības vadītāji bieži pieņem lēmumus par pieejamo finanšu līdzekļu izlietojumu par labu citām neatliekamām darbībām, bet ne ieguldījumiem cilvēkkapitāla attīstībai. </w:t>
      </w:r>
    </w:p>
    <w:p w:rsidR="00D002BB" w:rsidRPr="00D002BB" w:rsidRDefault="00D002BB" w:rsidP="006F3CD6">
      <w:pPr>
        <w:pStyle w:val="teksts"/>
      </w:pPr>
      <w:r w:rsidRPr="00D002BB">
        <w:t>Tomēr vairākas pašvaldības veicina pieaugušo izglītības attīstību savā teritorijā, dažādos veidos atbalstot tās īstenošanu: 1) finansējot vai līdzfinansējot teritorijā esošas iestādes, kas īsteno pieaugušo neformālo izglītību (pieaugušo izglītības centri, tautas skolas, kultūras centri, vispārējās izglītības iestādes, kas īsteno pieaugušo neformālās izglītības programmas u.c.); 2)nodrošinot telpas vai piedāvājot atlaides telpu īrei pieaugušo neformālās izglītības programmu īstenošanai; 3) īsteno vai līdzfinansē ārvalstu finanšu instrumentu projektus, kuri vērsti uz pieaugušo neformālās izglītības īstenošanu un attīstību; 4) piedāvā dotācijas NVO, kuras nodrošina pakalpojuma pieejamību iedzīvotājiem.</w:t>
      </w:r>
    </w:p>
    <w:p w:rsidR="00D002BB" w:rsidRPr="00D002BB" w:rsidRDefault="00D002BB" w:rsidP="006F3CD6">
      <w:pPr>
        <w:pStyle w:val="teksts"/>
        <w:rPr>
          <w:lang w:bidi="en-US"/>
        </w:rPr>
      </w:pPr>
      <w:r w:rsidRPr="00D002BB">
        <w:rPr>
          <w:lang w:bidi="en-US"/>
        </w:rPr>
        <w:t>Informatīvajā ziņojumā par Mūžizglītības politikas pamatnostādņu 2007.–2013.gadam īstenošanas gaitu 2011., 2012.gadā.</w:t>
      </w:r>
    </w:p>
    <w:p w:rsidR="00D002BB" w:rsidRPr="00D002BB" w:rsidRDefault="00D002BB" w:rsidP="006F3CD6">
      <w:pPr>
        <w:pStyle w:val="teksts"/>
      </w:pPr>
      <w:r w:rsidRPr="00D002BB">
        <w:t xml:space="preserve">IZM, VIAA: organizēja piecas Karjeras attīstības atbalsta Sadarbības padomes sēdes; veica Latvijas saistību izpildi EK konsultāciju un informācijas centru tīklā </w:t>
      </w:r>
      <w:r w:rsidRPr="00D002BB">
        <w:rPr>
          <w:i/>
          <w:iCs/>
        </w:rPr>
        <w:t>Euroguidance</w:t>
      </w:r>
      <w:r w:rsidRPr="00D002BB">
        <w:t>, uzturēja informatīvo e-resursu „Studiju ceļvedis Eiropā” aktualizēja informāciju par izglītības iespējām Latvijā EK portālā PLOTEUS, nodrošinot datu savietošanu ar Nacionālo izglītības iespēju datubāzi NIID.LV un portālu StudyinLatvia.lv; organizēja vienu nacionālo konferenci: 2011.gadā „Jaunatne kustībā: izglītība – pieredze – nodarbināmība” (dalībnieku skaits 220); nodrošināja EK atbalstītajā starpvalstu projekta „Eiropas mūžilgas karjeras atbalsta politikas tīkls” (EMKAPT) nacionālo koordināciju.; uzturēja Nacionālo izglītības iespēju datu bāzi www.niid.lv (NIID.LV), apkopojot informāciju par 1990 izglītības iestādēm (13000 izglītības programmas). Uz NIID.LV datu bāzes ir izveidots un tiek uzturēts portāls StudyInLatvia; organizēti informatīvie un mācību semināri pedagogiem un karjeras atbalsta speciālistiem vispārizglītojošajās un profesionālajās skolās (semināru dalībnieku skaits 2011. gadā - 579 un 2012. gadā 437); 2012. gadā organizēja pasākumu „Karjeras nedēļa” (dalībnieku skaits: 9000 skolēnu); Izdeva virkni publikāciju karjeras atbalsta speciālistiem (1 grāmata un 11 e-publikācijas); izstrādāja interaktīvo e-līdzekli http://brauktvainebraukt.lv (uzdevumu komplekts/ieteikumi tiem, kuri dodas uz ārvalstīm studiju nolūkā);</w:t>
      </w:r>
      <w:r w:rsidR="006F3CD6">
        <w:t xml:space="preserve"> </w:t>
      </w:r>
      <w:r w:rsidRPr="00D002BB">
        <w:t>izveidoja mājaslapu „Profesiju pasaule”, kas iepazīstina jauniešus ar profesiju daudzveidību un sniedz informāciju par darba saturu un prasībām pret šajās profesijās strādājošiem; sadarbojās ar 10 reģionālajām bibliotēkām (Daugavpilī, Gulbenē, Jelgavā, Jēkabpilī, Liepājā, Rēzeknē, Saldū, Tukumā, Valmierā un Ventspilī) nodrošinot informāciju reģionos par izglītības iespējām Latvijā un Eiropā; nodrošināja dalību izstādē „Skola 2011”, „Skola 2012”, „Darbs un karjera 2011”, „Darbs Expo 2012”.</w:t>
      </w:r>
    </w:p>
    <w:p w:rsidR="00D002BB" w:rsidRPr="00D002BB" w:rsidRDefault="00D002BB" w:rsidP="006F3CD6">
      <w:pPr>
        <w:pStyle w:val="teksts"/>
        <w:rPr>
          <w:lang w:bidi="en-US"/>
        </w:rPr>
      </w:pPr>
      <w:r w:rsidRPr="00D002BB">
        <w:rPr>
          <w:lang w:bidi="en-US"/>
        </w:rPr>
        <w:t xml:space="preserve">Izvērtējot karjeras atbalsta pasākumu īstenošanu, vispārējā izglītības iestādēs tiek īstenoti visa veida pasākumi, bet jauniešiem tie ir pieejami fragmentāri un dažādos līmeņos – no atsevišķu informatīvu pasākumu īstenošanas, līdz pilnam atbalsta ciklam (karjeras </w:t>
      </w:r>
      <w:r w:rsidRPr="00D002BB">
        <w:rPr>
          <w:lang w:bidi="en-US"/>
        </w:rPr>
        <w:lastRenderedPageBreak/>
        <w:t xml:space="preserve">informācija, karjeras izglītība, karjeras konsultēšana). Līdz ar to karjeras atbalsta funkciju īstenošanā ne vienmēr piesaistīti kvalificēti speciālisti. Vēlamo rezultātu sasniegšanai, karjeras atbalsts jānodrošina visās klasēs pēctecīgi, īpaši 9. un 12.klasē, kad jāpieņem lēmums par turpmāko izglītošanos. </w:t>
      </w:r>
    </w:p>
    <w:p w:rsidR="00D002BB" w:rsidRPr="00D002BB" w:rsidRDefault="00D002BB" w:rsidP="006F3CD6">
      <w:pPr>
        <w:pStyle w:val="teksts"/>
        <w:rPr>
          <w:lang w:bidi="en-US"/>
        </w:rPr>
      </w:pPr>
      <w:r w:rsidRPr="00D002BB">
        <w:rPr>
          <w:lang w:bidi="en-US"/>
        </w:rPr>
        <w:t>IZM īstenotā EK projekta „Eiropas programmas īstenošana pieaugušo izglītības jomā” ietvaros laikā no 2013.g. septembra līdz 2014.g. aprīlim</w:t>
      </w:r>
      <w:r w:rsidRPr="00D002BB" w:rsidDel="000D798F">
        <w:rPr>
          <w:lang w:bidi="en-US"/>
        </w:rPr>
        <w:t xml:space="preserve"> </w:t>
      </w:r>
      <w:r w:rsidRPr="00D002BB">
        <w:rPr>
          <w:lang w:bidi="en-US"/>
        </w:rPr>
        <w:t>paredzēti 6 forumu temati:</w:t>
      </w:r>
    </w:p>
    <w:p w:rsidR="006F3CD6" w:rsidRDefault="00D002BB" w:rsidP="006F3CD6">
      <w:pPr>
        <w:pStyle w:val="ListParagraph"/>
        <w:widowControl w:val="0"/>
        <w:numPr>
          <w:ilvl w:val="0"/>
          <w:numId w:val="16"/>
        </w:numPr>
        <w:rPr>
          <w:rFonts w:eastAsia="Courier New" w:cs="Times New Roman"/>
          <w:color w:val="auto"/>
          <w:lang w:bidi="en-US"/>
        </w:rPr>
      </w:pPr>
      <w:r w:rsidRPr="006F3CD6">
        <w:rPr>
          <w:rFonts w:eastAsia="Courier New" w:cs="Times New Roman"/>
          <w:color w:val="auto"/>
          <w:lang w:bidi="en-US"/>
        </w:rPr>
        <w:t xml:space="preserve">„Latvijas administratīvi teritoriālo struktūru iesaistīšanās pieaugušo izglītības pārraudzībā un īstenošanā” </w:t>
      </w:r>
    </w:p>
    <w:p w:rsidR="006F3CD6" w:rsidRDefault="00D002BB" w:rsidP="006F3CD6">
      <w:pPr>
        <w:pStyle w:val="ListParagraph"/>
        <w:widowControl w:val="0"/>
        <w:numPr>
          <w:ilvl w:val="0"/>
          <w:numId w:val="16"/>
        </w:numPr>
        <w:rPr>
          <w:rFonts w:eastAsia="Courier New" w:cs="Times New Roman"/>
          <w:color w:val="auto"/>
          <w:lang w:bidi="en-US"/>
        </w:rPr>
      </w:pPr>
      <w:r w:rsidRPr="006F3CD6">
        <w:rPr>
          <w:rFonts w:eastAsia="Courier New" w:cs="Times New Roman"/>
          <w:color w:val="auto"/>
          <w:lang w:bidi="en-US"/>
        </w:rPr>
        <w:t>„Karjeras attīstības atbalsts un motivācijas mācīties veicināšana pieaugušajiem” izstrādei”</w:t>
      </w:r>
    </w:p>
    <w:p w:rsidR="006F3CD6" w:rsidRDefault="00D002BB" w:rsidP="006F3CD6">
      <w:pPr>
        <w:pStyle w:val="ListParagraph"/>
        <w:widowControl w:val="0"/>
        <w:numPr>
          <w:ilvl w:val="0"/>
          <w:numId w:val="16"/>
        </w:numPr>
        <w:rPr>
          <w:rFonts w:eastAsia="Courier New" w:cs="Times New Roman"/>
          <w:color w:val="auto"/>
          <w:lang w:bidi="en-US"/>
        </w:rPr>
      </w:pPr>
      <w:r w:rsidRPr="006F3CD6">
        <w:rPr>
          <w:rFonts w:eastAsia="Courier New" w:cs="Times New Roman"/>
          <w:color w:val="auto"/>
          <w:lang w:bidi="en-US"/>
        </w:rPr>
        <w:t xml:space="preserve">"Pieaugušo izglītības resursi jauniešu bezdarba mazināšanai" </w:t>
      </w:r>
    </w:p>
    <w:p w:rsidR="006F3CD6" w:rsidRDefault="00D002BB" w:rsidP="006F3CD6">
      <w:pPr>
        <w:pStyle w:val="ListParagraph"/>
        <w:widowControl w:val="0"/>
        <w:numPr>
          <w:ilvl w:val="0"/>
          <w:numId w:val="16"/>
        </w:numPr>
        <w:rPr>
          <w:rFonts w:eastAsia="Courier New" w:cs="Times New Roman"/>
          <w:color w:val="auto"/>
          <w:lang w:bidi="en-US"/>
        </w:rPr>
      </w:pPr>
      <w:r w:rsidRPr="006F3CD6">
        <w:rPr>
          <w:rFonts w:eastAsia="Courier New" w:cs="Times New Roman"/>
          <w:color w:val="auto"/>
          <w:lang w:bidi="en-US"/>
        </w:rPr>
        <w:t xml:space="preserve">„Pieaugušo izglītības piedāvājums un pieprasījums” </w:t>
      </w:r>
    </w:p>
    <w:p w:rsidR="006F3CD6" w:rsidRDefault="00D002BB" w:rsidP="006F3CD6">
      <w:pPr>
        <w:pStyle w:val="ListParagraph"/>
        <w:widowControl w:val="0"/>
        <w:numPr>
          <w:ilvl w:val="0"/>
          <w:numId w:val="16"/>
        </w:numPr>
        <w:rPr>
          <w:rFonts w:eastAsia="Courier New" w:cs="Times New Roman"/>
          <w:color w:val="auto"/>
          <w:lang w:bidi="en-US"/>
        </w:rPr>
      </w:pPr>
      <w:r w:rsidRPr="006F3CD6">
        <w:rPr>
          <w:rFonts w:eastAsia="Courier New" w:cs="Times New Roman"/>
          <w:color w:val="auto"/>
          <w:lang w:bidi="en-US"/>
        </w:rPr>
        <w:t xml:space="preserve">„Pieaugušo izglītības kvalitāte un tās nodrošinājums” </w:t>
      </w:r>
    </w:p>
    <w:p w:rsidR="00D002BB" w:rsidRPr="006F3CD6" w:rsidRDefault="00D002BB" w:rsidP="006F3CD6">
      <w:pPr>
        <w:pStyle w:val="ListParagraph"/>
        <w:widowControl w:val="0"/>
        <w:numPr>
          <w:ilvl w:val="0"/>
          <w:numId w:val="16"/>
        </w:numPr>
        <w:rPr>
          <w:rFonts w:eastAsia="Courier New" w:cs="Times New Roman"/>
          <w:color w:val="auto"/>
          <w:lang w:bidi="en-US"/>
        </w:rPr>
      </w:pPr>
      <w:r w:rsidRPr="006F3CD6">
        <w:rPr>
          <w:rFonts w:eastAsia="Courier New" w:cs="Times New Roman"/>
          <w:color w:val="auto"/>
          <w:lang w:bidi="en-US"/>
        </w:rPr>
        <w:t>„Mūžizglītības un pieaugušo izglītības sistēma”.</w:t>
      </w:r>
    </w:p>
    <w:p w:rsidR="00D002BB" w:rsidRPr="00D002BB" w:rsidRDefault="00D002BB" w:rsidP="006F3CD6">
      <w:pPr>
        <w:pStyle w:val="teksts"/>
        <w:rPr>
          <w:lang w:bidi="en-US"/>
        </w:rPr>
      </w:pPr>
      <w:r w:rsidRPr="00D002BB">
        <w:rPr>
          <w:lang w:bidi="en-US"/>
        </w:rPr>
        <w:t>Līdz 2010.gada martam fiziskajām un juridiskajām personām, kuras nav valsts vai pašvaldību dibinātās izglītības iestādes, lai uzsāktu pieaugušo neformālās izglītības programmas īstenošanu, bija nepieciešama pašvaldības licence. Lai samazinātu administratīvo slogu privātajām izglītības iestādēm un nodrošinātu vienādas iespējas pieaugušo neformālās izglītības īstenošanai, 2010.gada martā stājās spēkā grozījumi Izglītības likumā, paredzot arī privātajām izglītības iestādēm tiesības īstenot pieaugušo neformālās izglītības programmas bez licences saņemšanas.</w:t>
      </w:r>
    </w:p>
    <w:p w:rsidR="00D002BB" w:rsidRPr="006F3CD6" w:rsidRDefault="00D002BB" w:rsidP="006F3CD6">
      <w:pPr>
        <w:pStyle w:val="teksts"/>
      </w:pPr>
      <w:r w:rsidRPr="006F3CD6">
        <w:t>Ārpus formālās izglītības sistēmas apgūto zināšanu, prasmju un profesionālās kompetences novērtēšana</w:t>
      </w:r>
      <w:r w:rsidR="006F3CD6" w:rsidRPr="006F3CD6">
        <w:t xml:space="preserve"> tiek nodrošināta, p</w:t>
      </w:r>
      <w:r w:rsidRPr="006F3CD6">
        <w:t xml:space="preserve">amatojoties uz IKVD rīcībā esošo informāciju uz 2013.gada 27.septembri, noskaidroti rezultatīvie rādītāji par ārpus formālās izglītības sistēmas apgūtās profesionālās kompetences novērtēšanu. </w:t>
      </w:r>
    </w:p>
    <w:p w:rsidR="00D002BB" w:rsidRPr="00D002BB" w:rsidRDefault="00D002BB" w:rsidP="006F3CD6">
      <w:pPr>
        <w:pStyle w:val="teksts"/>
        <w:rPr>
          <w:lang w:eastAsia="lv-LV"/>
        </w:rPr>
      </w:pPr>
      <w:r w:rsidRPr="00D002BB">
        <w:rPr>
          <w:lang w:eastAsia="lv-LV"/>
        </w:rPr>
        <w:t xml:space="preserve">Šobrīd ir noslēgti </w:t>
      </w:r>
      <w:r w:rsidRPr="00D002BB">
        <w:rPr>
          <w:b/>
          <w:bCs/>
          <w:u w:val="single"/>
          <w:lang w:eastAsia="lv-LV"/>
        </w:rPr>
        <w:t>400 deleģēšanas līgumi</w:t>
      </w:r>
      <w:r w:rsidRPr="00D002BB">
        <w:rPr>
          <w:u w:val="single"/>
          <w:lang w:eastAsia="lv-LV"/>
        </w:rPr>
        <w:t xml:space="preserve"> </w:t>
      </w:r>
      <w:r w:rsidRPr="00D002BB">
        <w:rPr>
          <w:b/>
          <w:bCs/>
          <w:u w:val="single"/>
          <w:lang w:eastAsia="lv-LV"/>
        </w:rPr>
        <w:t>ar 40 profesionālās izglītības iestādēm</w:t>
      </w:r>
      <w:r w:rsidRPr="00D002BB">
        <w:rPr>
          <w:b/>
          <w:bCs/>
          <w:lang w:eastAsia="lv-LV"/>
        </w:rPr>
        <w:t>.</w:t>
      </w:r>
      <w:r w:rsidRPr="00D002BB">
        <w:rPr>
          <w:lang w:eastAsia="lv-LV"/>
        </w:rPr>
        <w:t xml:space="preserve"> Ārpus formālās izglītības sistēmas apgūto profesionālo kompetences novērtēšanu var veikt vairāk kā 100 profesionālajām kvalifikācijām. </w:t>
      </w:r>
    </w:p>
    <w:p w:rsidR="00D002BB" w:rsidRPr="006F3CD6" w:rsidRDefault="006F3CD6" w:rsidP="006F3CD6">
      <w:pPr>
        <w:pStyle w:val="teksts"/>
      </w:pPr>
      <w:r w:rsidRPr="006F3CD6">
        <w:t>IKVD</w:t>
      </w:r>
      <w:r w:rsidR="00D002BB" w:rsidRPr="006F3CD6">
        <w:t xml:space="preserve"> 2012.gada 10.aprīļa iekšējie noteikumi Nr.6 “Ārpus formālās izglītības sistēmas apgūtās profesionālās kompetences novērtēšanas uzdevuma deleģēšanas kārtība” (saskaņoti ar IZM 2012.gada 2.aprīlī) precizē Kvalitātes dienesta darbības un pilnvaras attiecībā uz: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Profesionālās kompetences novērtēšanas uzdevuma deleģēšanas pamatojuma izvērtēšanu un lēmuma pieņemšanu;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Profesionālās kompetences novērtēšanas uzdevuma deleģēšanu atbilstoši </w:t>
      </w:r>
      <w:r w:rsidR="006F3CD6">
        <w:rPr>
          <w:rFonts w:eastAsia="Courier New" w:cs="Times New Roman"/>
          <w:color w:val="auto"/>
          <w:lang w:bidi="en-US"/>
        </w:rPr>
        <w:t>IKVD</w:t>
      </w:r>
      <w:r w:rsidRPr="00D002BB">
        <w:rPr>
          <w:rFonts w:eastAsia="Courier New" w:cs="Times New Roman"/>
          <w:color w:val="auto"/>
          <w:lang w:bidi="en-US"/>
        </w:rPr>
        <w:t xml:space="preserve"> saņemtajam pretendenta iesniegumam. </w:t>
      </w:r>
    </w:p>
    <w:p w:rsidR="00D002BB" w:rsidRPr="00D002BB" w:rsidRDefault="00D002BB" w:rsidP="006F3CD6">
      <w:pPr>
        <w:pStyle w:val="teksts"/>
        <w:rPr>
          <w:lang w:eastAsia="lv-LV"/>
        </w:rPr>
      </w:pPr>
      <w:r w:rsidRPr="00D002BB">
        <w:rPr>
          <w:lang w:eastAsia="lv-LV"/>
        </w:rPr>
        <w:t xml:space="preserve">Profesionālo kvalifikāciju ārpus formālās izglītības sistēmas apgūtās profesionālās kompetences novērtēšanas ceļā ieguvušas </w:t>
      </w:r>
      <w:r w:rsidRPr="00D002BB">
        <w:rPr>
          <w:b/>
          <w:bCs/>
          <w:lang w:eastAsia="lv-LV"/>
        </w:rPr>
        <w:t>1007</w:t>
      </w:r>
      <w:r w:rsidRPr="00D002BB">
        <w:rPr>
          <w:lang w:eastAsia="lv-LV"/>
        </w:rPr>
        <w:t xml:space="preserve"> personas: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2011.gadā – 35 personas;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2012.gadā – 400 personas (viena persona nokārtojusi divus profesionālās kvalifikācijas eksāmenus un ieguvusi 2 profesionālās kvalifikācijas);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2013.gadā (līdz 27.septembrim) – 572 personas (viena persona nokārtojusi divus profesionālās kvalifikācijas eksāmenus un ieguvusi 2 profesionālās kvalifikācijas). </w:t>
      </w:r>
    </w:p>
    <w:p w:rsidR="00D002BB" w:rsidRPr="00D002BB" w:rsidRDefault="006F3CD6" w:rsidP="006F3CD6">
      <w:pPr>
        <w:pStyle w:val="teksts"/>
        <w:rPr>
          <w:rFonts w:cs="Times New Roman"/>
          <w:color w:val="auto"/>
          <w:sz w:val="20"/>
          <w:lang w:eastAsia="lv-LV"/>
        </w:rPr>
      </w:pPr>
      <w:r>
        <w:t>IKVD</w:t>
      </w:r>
      <w:r w:rsidR="00D002BB" w:rsidRPr="006F3CD6">
        <w:t xml:space="preserve"> ir sadarbības partneris ESF projektā “Nozaru kvalifikācijas sistēmas izveide un profesionālās izglītības efektivitātes un kvalitātes paaugstināšana” (turpmāk - projekts). Projekta ietvaros plānotais rezultāts paredzēja 80 personām nodrošināt un apmaksāt profesionālās kvalifikācijas atzīšanu, novērtējot ārpus formālās izglītības sistēmas apgūtās profesionālās kompetences. Pirmais iesniegums no personas, kura bija ieguvusi profesionālās kvalifikācijas apliecību ārpus formālās izglītības apgūtās profesionālās kompetences novērtēšanas ceļā un vēlējās izmantot projekta ietvaros paredzēto iespēju par izdevumu atmaksāšanu </w:t>
      </w:r>
      <w:r>
        <w:t>IKVD</w:t>
      </w:r>
      <w:r w:rsidR="00D002BB" w:rsidRPr="006F3CD6">
        <w:t xml:space="preserve"> tika reģistrēts 2011.gada 1.decembrī. </w:t>
      </w:r>
    </w:p>
    <w:p w:rsidR="00D002BB" w:rsidRPr="00D002BB" w:rsidRDefault="00D002BB" w:rsidP="006F3CD6">
      <w:pPr>
        <w:pStyle w:val="teksts"/>
      </w:pPr>
      <w:r w:rsidRPr="00D002BB">
        <w:lastRenderedPageBreak/>
        <w:t>Ņemot vērā, ka esošajā periodā dati ir fragmentāri, ar struktūrfondu atbalstu tiks izveidota vienota datu bāze par mūžizglītību.</w:t>
      </w:r>
    </w:p>
    <w:p w:rsidR="00D002BB" w:rsidRDefault="00D002BB" w:rsidP="006F3CD6">
      <w:pPr>
        <w:pStyle w:val="teksts"/>
      </w:pPr>
      <w:r w:rsidRPr="00D002BB">
        <w:t>IZM īstenotā EK projekta „Eiropas programmas īstenošana pieaugušo izglītības jomā” forumos ir apzināts mūžizglītības pakalpojuma tīkls (apt.40 pašvaldību pieaugušo un mūžizglītības centri). Mūžizglītības pakalpojuma īstenošanai tiek plānots izmantot esošo infrastruktūru (izglītības iestādes, tai skaitā profesionālās izglītības kompetenču centri).</w:t>
      </w:r>
    </w:p>
    <w:p w:rsidR="00EE4D6E" w:rsidRPr="00D002BB" w:rsidRDefault="00EE4D6E" w:rsidP="006F3CD6">
      <w:pPr>
        <w:pStyle w:val="teksts"/>
      </w:pPr>
      <w:r>
        <w:t xml:space="preserve">Ņemot vērā iepriekš teikto, ir pamats apgalvot, ka šobrīd ir: </w:t>
      </w:r>
    </w:p>
    <w:p w:rsidR="00D002BB" w:rsidRPr="00D002BB"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n</w:t>
      </w:r>
      <w:r w:rsidR="00D002BB" w:rsidRPr="00D002BB">
        <w:rPr>
          <w:rFonts w:eastAsia="Courier New" w:cs="Times New Roman"/>
          <w:color w:val="auto"/>
          <w:lang w:bidi="en-US"/>
        </w:rPr>
        <w:t>odrošināta izglītības piedāvājuma pāreja uz mācību rezultātiem balstītu ietvarstruktūru;</w:t>
      </w:r>
    </w:p>
    <w:p w:rsidR="00D002BB" w:rsidRPr="00D002BB"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i</w:t>
      </w:r>
      <w:r w:rsidR="00D002BB" w:rsidRPr="00D002BB">
        <w:rPr>
          <w:rFonts w:eastAsia="Courier New" w:cs="Times New Roman"/>
          <w:color w:val="auto"/>
          <w:lang w:bidi="en-US"/>
        </w:rPr>
        <w:t>zveidota efektīvi funkcionējoša, uz darba tirgus pieprasījumu balstīta profesionālās (sākotnējā un tālākizglītība) izglītības sistēma;</w:t>
      </w:r>
    </w:p>
    <w:p w:rsidR="00D002BB" w:rsidRPr="00D002BB"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n</w:t>
      </w:r>
      <w:r w:rsidR="00D002BB" w:rsidRPr="00D002BB">
        <w:rPr>
          <w:rFonts w:eastAsia="Courier New" w:cs="Times New Roman"/>
          <w:color w:val="auto"/>
          <w:lang w:bidi="en-US"/>
        </w:rPr>
        <w:t>odrošināts pieaugušo izglītības piedāvājums un kvalitāte;</w:t>
      </w:r>
    </w:p>
    <w:p w:rsidR="00D002BB"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n</w:t>
      </w:r>
      <w:r w:rsidR="00D002BB" w:rsidRPr="00EE4D6E">
        <w:rPr>
          <w:rFonts w:eastAsia="Courier New" w:cs="Times New Roman"/>
          <w:color w:val="auto"/>
          <w:lang w:bidi="en-US"/>
        </w:rPr>
        <w:t>odrošināta vispārējo un profesionālo izglītības iestāžu teritoriālā pieejamība izglītojamajiem.</w:t>
      </w:r>
    </w:p>
    <w:p w:rsidR="00D002BB" w:rsidRDefault="00D002BB" w:rsidP="00D002BB"/>
    <w:p w:rsidR="00EE4D6E" w:rsidRPr="00EE4D6E" w:rsidRDefault="00EE4D6E" w:rsidP="00D002BB">
      <w:pPr>
        <w:rPr>
          <w:b/>
          <w:sz w:val="28"/>
        </w:rPr>
      </w:pPr>
      <w:r w:rsidRPr="00EE4D6E">
        <w:rPr>
          <w:b/>
          <w:sz w:val="28"/>
        </w:rPr>
        <w:t>Mūžizglītības attīstība valsts un reģionālās stratēģiskās politikas ietvaros</w:t>
      </w:r>
    </w:p>
    <w:p w:rsidR="00EE4D6E" w:rsidRPr="00EE4D6E" w:rsidRDefault="00EE4D6E" w:rsidP="00EE4D6E">
      <w:pPr>
        <w:pStyle w:val="teksts"/>
      </w:pPr>
      <w:r>
        <w:t>pamatnostādņu 2014.-2020.gadam ietvaros ir veikta mērķu grupu prioretizēšana. Tomēr jāuzsver, ka f</w:t>
      </w:r>
      <w:r w:rsidRPr="00EE4D6E">
        <w:t xml:space="preserve">ormālo, neformālo un informālo izglītību  iedzīvotāji var iegūt visa mūža garumā. Personai sasniedzot attiecīgu vecumu, iekļaujoties organizētajā mācību procesā, tas tiek saukts arī par </w:t>
      </w:r>
      <w:r w:rsidRPr="00EE4D6E">
        <w:rPr>
          <w:b/>
          <w:bCs/>
        </w:rPr>
        <w:t>pieaugušo izglītību</w:t>
      </w:r>
      <w:r w:rsidRPr="00EE4D6E">
        <w:t xml:space="preserve">. Jaunatnes likuma 1.pantā ir noteikts, ka personas vecumā no 13 gadiem līdz 25 gadiem ir jaunieši, līdz ar to, izglītības kontekstā 25 gadus vecus iedzīvotājus var uzskatīt par pieaugušajiem. Tomēr Pamatnostādņu kontekstā pieaugušo izglītība var notikt arī 15 gadu vecumā, piemēram, ja persona priekšlaicīgi pamet izglītību un apzināti atgriežas izglītības procesā (piem., vakarskolā) pēc pārtraukuma. </w:t>
      </w:r>
    </w:p>
    <w:p w:rsidR="00EE4D6E" w:rsidRPr="00EE4D6E" w:rsidRDefault="00EE4D6E" w:rsidP="00EE4D6E">
      <w:pPr>
        <w:pStyle w:val="teksts"/>
      </w:pPr>
      <w:r w:rsidRPr="00EE4D6E">
        <w:rPr>
          <w:bCs/>
        </w:rPr>
        <w:t>Nodrošinot visu līmeņu izglītības starpresoru koordināciju mūžizglītības attīstībā</w:t>
      </w:r>
      <w:r w:rsidRPr="00EE4D6E">
        <w:t xml:space="preserve">, tika nolemts iesaistīt konsultatīvo padomi „Izglītība visiem” (turpmāk – konsultatīvā padome), atjaunojot un papildinot konsultatīvās padomes sastāvu. Saskaņā ar MK 2003.gada 16.septembra noteikumu Nr.529 „Konsultatīvās padomes „Izglītība visiem” nolikums” 3.punktu </w:t>
      </w:r>
      <w:r w:rsidRPr="00EE4D6E">
        <w:rPr>
          <w:bCs/>
        </w:rPr>
        <w:t xml:space="preserve">konsultatīvās padomes mērķis </w:t>
      </w:r>
      <w:r w:rsidRPr="00EE4D6E">
        <w:t>ir veicināt ministriju un citu valsts pārvaldes iestāžu, pašvaldību, privātā sektora, sabiedrisko un starptautisko organizāciju sadarbību un saskaņotu rīcību, lai sekmētu:</w:t>
      </w:r>
    </w:p>
    <w:p w:rsidR="00EE4D6E"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 xml:space="preserve"> mūžizglītības attīstību Latvijā un izglītības pieejamību visiem iedzīvotājiem neatkarīgi no vecuma, dzīvesvietas, dzimuma, etniskās piederības un ienākumu līmeņa, </w:t>
      </w:r>
    </w:p>
    <w:p w:rsidR="00EE4D6E"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 xml:space="preserve">mazaizsargāto un sociāli atstumto iedzīvotāju integrāciju sabiedrībā, piedāvājot daudzveidīgas mācīšanās iespējas, paplašinātu mijiedarbību starp formālo un neformālo izglītību, nodrošinot iedzīvotājiem mūžizglītības iespējas, sekmētu viņu iekļaušanos sabiedrībā un konkurētspēju darba tirgū, </w:t>
      </w:r>
    </w:p>
    <w:p w:rsidR="00EE4D6E"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 xml:space="preserve">iedzīvotāju pamatprasmju attīstību un spēju tās izmantot atbilstoši indivīda un sabiedrības vajadzībām. </w:t>
      </w:r>
    </w:p>
    <w:p w:rsidR="00EE4D6E" w:rsidRPr="00EE4D6E" w:rsidRDefault="00EE4D6E" w:rsidP="00673CEE">
      <w:pPr>
        <w:pStyle w:val="teksts"/>
      </w:pPr>
      <w:r w:rsidRPr="00EE4D6E">
        <w:rPr>
          <w:bCs/>
        </w:rPr>
        <w:t>Īstenojot karjeras konsultācijas</w:t>
      </w:r>
      <w:r w:rsidRPr="00EE4D6E">
        <w:t>, LM sniedz atbalstu bezdarbniekiem, darba meklētājiem, kā arī nodarbinātajām personām karjeras izvēlē, īstenojot grupu un individuālas konsultācijas, testus (arī e-formātā), īsus mācību kursus par darba meklēšanas un karjeras attīstības prasmēm.</w:t>
      </w:r>
      <w:r w:rsidRPr="00EE4D6E">
        <w:rPr>
          <w:bCs/>
        </w:rPr>
        <w:t xml:space="preserve"> </w:t>
      </w:r>
    </w:p>
    <w:p w:rsidR="00EE4D6E" w:rsidRDefault="00EE4D6E" w:rsidP="00673CEE">
      <w:pPr>
        <w:pStyle w:val="teksts"/>
      </w:pPr>
      <w:r w:rsidRPr="00EE4D6E">
        <w:rPr>
          <w:bCs/>
        </w:rPr>
        <w:t>Nodrošinot visu līmeņu izglītības starpresoru koordināciju mūžizglītības attīstībā</w:t>
      </w:r>
      <w:r w:rsidRPr="00EE4D6E">
        <w:t xml:space="preserve">, tika nolemts iesaistīt konsultatīvo padomi „Izglītība visiem” (turpmāk – konsultatīvā padome), atjaunojot un papildinot konsultatīvās padomes sastāvu. Saskaņā ar MK 2003.gada 16.septembra noteikumu Nr.529 „Konsultatīvās padomes „Izglītība visiem” nolikums” 3.punktu </w:t>
      </w:r>
      <w:r w:rsidRPr="00EE4D6E">
        <w:rPr>
          <w:bCs/>
        </w:rPr>
        <w:t xml:space="preserve">konsultatīvās padomes mērķis </w:t>
      </w:r>
      <w:r w:rsidRPr="00EE4D6E">
        <w:t xml:space="preserve">ir veicināt ministriju un citu valsts pārvaldes iestāžu, pašvaldību, privātā sektora, sabiedrisko un starptautisko organizāciju sadarbību un saskaņotu </w:t>
      </w:r>
      <w:r w:rsidRPr="00EE4D6E">
        <w:lastRenderedPageBreak/>
        <w:t>rīcību, lai sekmētu: 1) mūžizglītības attīstību Latvijā un izglītības pieejamību visiem iedzīvotājiem neatkarīgi no vecuma, dzīvesvietas, dzimuma, etniskās piederības un ienākumu līmeņa, 2) mazaizsargāto un sociāli atstumto iedzīvotāju integrāciju sabiedrībā, piedāvājot daudzveidīgas mācīšanās iespējas, paplašinātu mijiedarbību starp formālo un neformālo izglītību, nodrošinot iedzīvotājiem mūžizglītības iespējas, sekmētu viņu iekļaušanos sabiedrībā un konkurētspēju darba tirgū, 3)iedzīvotāju pamatprasmju attīstību un spēju tās izmantot atbilstoši indivīda un sabiedrības vajadzībām.</w:t>
      </w:r>
    </w:p>
    <w:p w:rsidR="00EE4D6E" w:rsidRDefault="00EE4D6E" w:rsidP="00D002BB"/>
    <w:p w:rsidR="00EE4D6E" w:rsidRPr="00673CEE" w:rsidRDefault="00673CEE" w:rsidP="00D002BB">
      <w:pPr>
        <w:rPr>
          <w:b/>
          <w:sz w:val="28"/>
        </w:rPr>
      </w:pPr>
      <w:r w:rsidRPr="00673CEE">
        <w:rPr>
          <w:b/>
          <w:sz w:val="28"/>
        </w:rPr>
        <w:t>Pasākumi, kas paplašina pieeju mūžizglītībai</w:t>
      </w:r>
    </w:p>
    <w:p w:rsidR="00673CEE" w:rsidRPr="00673CEE" w:rsidRDefault="00673CEE" w:rsidP="00673CEE">
      <w:pPr>
        <w:pStyle w:val="teksts"/>
      </w:pPr>
      <w:r w:rsidRPr="00673CEE">
        <w:t xml:space="preserve">Eiropas kvalifikāciju ietvarstruktūra (EKI) ir vienotā astoņu līmeņu Eiropas atsauces sistēma, kuras mērķis ir veicināt mūžizglītības principa attīstību un sekmēt iedzīvotāju starpvalstu mobilitāti, kas norāda uz mācīšanās laikā apgūtajām zināšanām, prasmēm un kompetenci. </w:t>
      </w:r>
    </w:p>
    <w:p w:rsidR="00673CEE" w:rsidRPr="00673CEE" w:rsidRDefault="00673CEE" w:rsidP="00673CEE">
      <w:pPr>
        <w:pStyle w:val="teksts"/>
        <w:rPr>
          <w:color w:val="00B050"/>
        </w:rPr>
      </w:pPr>
      <w:r w:rsidRPr="00673CEE">
        <w:t>Eiropā EKI veidošanas process tika uzsākts 2004.gadā. Apspriešanas procesā piedalījās</w:t>
      </w:r>
      <w:r w:rsidRPr="00673CEE">
        <w:rPr>
          <w:rFonts w:ascii="Cambria" w:hAnsi="Cambria" w:cs="Cambria"/>
          <w:sz w:val="28"/>
          <w:szCs w:val="28"/>
        </w:rPr>
        <w:t xml:space="preserve"> </w:t>
      </w:r>
      <w:r w:rsidRPr="00673CEE">
        <w:t>eksperti no 32 Eiropas valstīm, kā rezultātā 2008.gada aprīlī tika apstiprināts Eiropas Parlamenta un Padomes ieteikums par EKI mūžizglītībai (turpmāk – ieteikums). Ieteikumā tika aprakstīti EKI astoņi līmeņi, un katram līmenim tika</w:t>
      </w:r>
      <w:r w:rsidRPr="00673CEE">
        <w:rPr>
          <w:rFonts w:ascii="Cambria" w:hAnsi="Cambria" w:cs="Cambria"/>
          <w:sz w:val="28"/>
          <w:szCs w:val="28"/>
        </w:rPr>
        <w:t xml:space="preserve"> </w:t>
      </w:r>
      <w:r w:rsidRPr="00673CEE">
        <w:t xml:space="preserve">definēti </w:t>
      </w:r>
      <w:r w:rsidRPr="00673CEE">
        <w:rPr>
          <w:b/>
          <w:bCs/>
        </w:rPr>
        <w:t>mācību rezultātu</w:t>
      </w:r>
      <w:r w:rsidRPr="00673CEE">
        <w:rPr>
          <w:bCs/>
        </w:rPr>
        <w:t xml:space="preserve"> </w:t>
      </w:r>
      <w:r w:rsidRPr="00673CEE">
        <w:t>(</w:t>
      </w:r>
      <w:r w:rsidRPr="00673CEE">
        <w:rPr>
          <w:i/>
          <w:iCs/>
        </w:rPr>
        <w:t xml:space="preserve">learning outcomes) </w:t>
      </w:r>
      <w:r w:rsidRPr="00673CEE">
        <w:rPr>
          <w:b/>
          <w:bCs/>
        </w:rPr>
        <w:t>apraksti</w:t>
      </w:r>
      <w:r w:rsidRPr="00673CEE">
        <w:rPr>
          <w:bCs/>
        </w:rPr>
        <w:t xml:space="preserve"> (</w:t>
      </w:r>
      <w:r w:rsidRPr="00673CEE">
        <w:rPr>
          <w:i/>
          <w:iCs/>
        </w:rPr>
        <w:t>descriptors</w:t>
      </w:r>
      <w:r w:rsidRPr="00673CEE">
        <w:t xml:space="preserve">) – </w:t>
      </w:r>
      <w:r w:rsidRPr="00673CEE">
        <w:rPr>
          <w:b/>
          <w:bCs/>
        </w:rPr>
        <w:t>zināšanas, prasmes un</w:t>
      </w:r>
      <w:r w:rsidRPr="00673CEE">
        <w:rPr>
          <w:rFonts w:ascii="Cambria" w:hAnsi="Cambria" w:cs="Cambria"/>
          <w:b/>
          <w:bCs/>
          <w:sz w:val="28"/>
          <w:szCs w:val="28"/>
        </w:rPr>
        <w:t xml:space="preserve"> </w:t>
      </w:r>
      <w:r w:rsidRPr="00673CEE">
        <w:rPr>
          <w:b/>
          <w:bCs/>
        </w:rPr>
        <w:t>kompetence</w:t>
      </w:r>
      <w:r w:rsidRPr="00673CEE">
        <w:t xml:space="preserve">. 2011.gadā Latvija sagatavojusi pašvērtējuma ziņojumu ,, Latvijas izglītības sistēmas piesaiste Eiropas kvalifikāciju ietvarstruktūrai, mūžizglītībai un Eiropas augstākās izglītības telpas kvalifikāciju ietvarstruktūrai”, kas tika prezentēts Eiropas Komisijas Eiropas kvalifikāciju ietvarstruktūras Konsultatīvajā grupā 2011.gada 5.oktobrī. Ziņojums pieejams: </w:t>
      </w:r>
      <w:hyperlink r:id="rId17" w:history="1">
        <w:r w:rsidRPr="00673CEE">
          <w:rPr>
            <w:color w:val="0000FF"/>
            <w:u w:val="single"/>
          </w:rPr>
          <w:t>http://www.nki-latvija.lv</w:t>
        </w:r>
      </w:hyperlink>
      <w:r w:rsidRPr="00673CEE">
        <w:t>. Latvijā darbojas Nacionālās kvalifikāciju ietvarstruktūras (NKI) koordinācijas punkts 2012.gadā tika pievienotas Nacionālā koordinācijas punkta tīmekļa vietnes (</w:t>
      </w:r>
      <w:hyperlink r:id="rId18" w:history="1">
        <w:r w:rsidRPr="00673CEE">
          <w:rPr>
            <w:color w:val="0000FF"/>
            <w:u w:val="single"/>
          </w:rPr>
          <w:t>http://nki-latvija.lv</w:t>
        </w:r>
      </w:hyperlink>
      <w:r w:rsidRPr="00673CEE">
        <w:t xml:space="preserve"> vai </w:t>
      </w:r>
      <w:hyperlink r:id="rId19" w:history="1">
        <w:r w:rsidRPr="00673CEE">
          <w:rPr>
            <w:color w:val="0000FF"/>
            <w:u w:val="single"/>
          </w:rPr>
          <w:t>http://nqf-latvia.lv</w:t>
        </w:r>
      </w:hyperlink>
      <w:r w:rsidRPr="00673CEE">
        <w:t xml:space="preserve">.  Latvija ir nodrošinājusi un kopš </w:t>
      </w:r>
      <w:r w:rsidRPr="00673CEE">
        <w:rPr>
          <w:color w:val="auto"/>
        </w:rPr>
        <w:t xml:space="preserve">2013.gada 16.aprīļa </w:t>
      </w:r>
      <w:r w:rsidRPr="00673CEE">
        <w:rPr>
          <w:b/>
          <w:color w:val="auto"/>
        </w:rPr>
        <w:t xml:space="preserve">augstāko </w:t>
      </w:r>
      <w:r w:rsidRPr="00673CEE">
        <w:rPr>
          <w:b/>
          <w:bCs/>
          <w:color w:val="auto"/>
        </w:rPr>
        <w:t>izglītību apliecinošos dokumentos tiek norādīta atsauce uz atbilstošo NKI un EKI līmeni</w:t>
      </w:r>
      <w:r w:rsidRPr="00673CEE">
        <w:rPr>
          <w:bCs/>
          <w:color w:val="auto"/>
          <w:vertAlign w:val="superscript"/>
        </w:rPr>
        <w:footnoteReference w:id="9"/>
      </w:r>
      <w:r w:rsidRPr="00673CEE">
        <w:rPr>
          <w:color w:val="auto"/>
        </w:rPr>
        <w:t xml:space="preserve">. </w:t>
      </w:r>
    </w:p>
    <w:p w:rsidR="00673CEE" w:rsidRPr="00673CEE" w:rsidRDefault="00673CEE" w:rsidP="00673CEE">
      <w:pPr>
        <w:pStyle w:val="teksts"/>
      </w:pPr>
      <w:r w:rsidRPr="00673CEE">
        <w:rPr>
          <w:bCs/>
        </w:rPr>
        <w:t xml:space="preserve">Nacionālā kvalifikāciju ietvarstruktūra </w:t>
      </w:r>
      <w:r w:rsidRPr="00673CEE">
        <w:t xml:space="preserve">ir atsauču sistēma, kurā pa līmeņiem ir sakārtotas valsts izglītības sistēmā piešķirtās kvalifikācijas (ne tikai profesionālās). NKI struktūras uzbūve un funkcijas veido, pamatojoties uz EKI un ņemot vērā nacionālās izglītības tradīcijas un kontekstu. </w:t>
      </w:r>
    </w:p>
    <w:p w:rsidR="00673CEE" w:rsidRPr="00673CEE" w:rsidRDefault="00673CEE" w:rsidP="00673CEE">
      <w:pPr>
        <w:pStyle w:val="teksts"/>
        <w:rPr>
          <w:b/>
        </w:rPr>
      </w:pPr>
      <w:r w:rsidRPr="00673CEE">
        <w:t>Tiek atzīta profesionālā kvalifikācija ārpus formālās izglītības sistēmas apgūtās profesionālās kompetences novērtēšanas ceļā.</w:t>
      </w:r>
      <w:r w:rsidRPr="00673CEE">
        <w:rPr>
          <w:b/>
        </w:rPr>
        <w:t xml:space="preserve"> 35 personas 2011.gadā, 398 personas 2012.gadā.</w:t>
      </w:r>
    </w:p>
    <w:p w:rsidR="00673CEE" w:rsidRPr="00673CEE" w:rsidRDefault="00673CEE" w:rsidP="00673CEE">
      <w:pPr>
        <w:widowControl w:val="0"/>
        <w:contextualSpacing/>
        <w:jc w:val="both"/>
        <w:rPr>
          <w:rFonts w:cs="Times New Roman"/>
          <w:sz w:val="20"/>
        </w:rPr>
      </w:pPr>
      <w:r w:rsidRPr="00673CEE">
        <w:rPr>
          <w:rFonts w:eastAsia="Courier New" w:cs="Times New Roman"/>
          <w:sz w:val="20"/>
          <w:lang w:bidi="en-US"/>
        </w:rPr>
        <w:t xml:space="preserve">              </w:t>
      </w:r>
      <w:r w:rsidRPr="00673CEE">
        <w:rPr>
          <w:rStyle w:val="tekstsChar"/>
          <w:lang w:bidi="en-US"/>
        </w:rPr>
        <w:t>Organizēta ārpus formālās izglītības iegūto zināšanu, prasmju un kompetenču atzīšana</w:t>
      </w:r>
      <w:r w:rsidRPr="00673CEE">
        <w:rPr>
          <w:rStyle w:val="tekstsChar"/>
        </w:rPr>
        <w:t xml:space="preserve">, kā rezultātā </w:t>
      </w:r>
      <w:r w:rsidRPr="00673CEE">
        <w:rPr>
          <w:rStyle w:val="tekstsChar"/>
          <w:lang w:bidi="en-US"/>
        </w:rPr>
        <w:t>2012.</w:t>
      </w:r>
      <w:r w:rsidRPr="00673CEE">
        <w:rPr>
          <w:rStyle w:val="tekstsChar"/>
        </w:rPr>
        <w:t>gadā</w:t>
      </w:r>
      <w:r w:rsidRPr="00673CEE">
        <w:rPr>
          <w:rStyle w:val="tekstsChar"/>
          <w:lang w:bidi="en-US"/>
        </w:rPr>
        <w:t xml:space="preserve"> </w:t>
      </w:r>
      <w:r w:rsidRPr="00673CEE">
        <w:rPr>
          <w:rStyle w:val="tekstsChar"/>
        </w:rPr>
        <w:t xml:space="preserve">tika saņemti </w:t>
      </w:r>
      <w:r w:rsidRPr="00673CEE">
        <w:rPr>
          <w:rStyle w:val="tekstsChar"/>
          <w:lang w:bidi="en-US"/>
        </w:rPr>
        <w:t>80 iesniegumi.</w:t>
      </w:r>
      <w:r w:rsidRPr="00673CEE">
        <w:rPr>
          <w:rFonts w:ascii="Courier New" w:eastAsia="Courier New" w:hAnsi="Courier New" w:cs="Courier New"/>
          <w:szCs w:val="28"/>
          <w:lang w:bidi="en-US"/>
        </w:rPr>
        <w:t xml:space="preserve"> </w:t>
      </w:r>
      <w:r w:rsidRPr="00673CEE">
        <w:rPr>
          <w:rStyle w:val="tekstsChar"/>
          <w:lang w:bidi="en-US"/>
        </w:rPr>
        <w:t xml:space="preserve">IKVD  profesionālo kvalifikāciju ārpus formālās izglītības sistēmas apgūtās profesionālās kompetences novērtēšanas ceļā 2011. un 2012.gadā ieguvušas 433 personas. </w:t>
      </w:r>
    </w:p>
    <w:p w:rsidR="00673CEE" w:rsidRPr="00673CEE" w:rsidRDefault="00673CEE" w:rsidP="00673CEE">
      <w:pPr>
        <w:pStyle w:val="teksts"/>
      </w:pPr>
      <w:r w:rsidRPr="00673CEE">
        <w:t>2012.gada 19.aprīlī IKVD sadarbībā ar projektu organizēja informatīvo semināru ,,Ārpus formālās izglītības sistēmas apgūtās profesionālās kompetences novērtēšanas pieredze”, kurā piedalījās pārstāvji no IZM, VISC, kvalitātes dienesta deleģējumu saņēmušo izglītības iestāžu pārstāvji, kā arī darba devēju un darba ņēmēju pārstāvji no nozaru ekspertu padomēm. Tika piešķirts deleģējums veikt ārpus formālās izglītības sistēmas apgūtās profesionālās kompetences novērtēšanu 34 izglītības iestādēm un noslēgti 325 deleģēšanas līgumi.</w:t>
      </w:r>
    </w:p>
    <w:p w:rsidR="00673CEE" w:rsidRPr="00673CEE" w:rsidRDefault="00673CEE" w:rsidP="00673CEE">
      <w:pPr>
        <w:pStyle w:val="teksts"/>
      </w:pPr>
      <w:r>
        <w:t>I</w:t>
      </w:r>
      <w:r w:rsidRPr="00673CEE">
        <w:t>r organizēts informatīvais seminārs „Ārpus formālās izglītības sistēmas apgūtās profesionālās kompetences novērtēšanas pieredze” un sniegtas aptuveni 3000 konsultācijas.</w:t>
      </w:r>
    </w:p>
    <w:p w:rsidR="00EE4D6E" w:rsidRDefault="00673CEE" w:rsidP="00673CEE">
      <w:pPr>
        <w:pStyle w:val="teksts"/>
      </w:pPr>
      <w:r w:rsidRPr="00673CEE">
        <w:rPr>
          <w:rFonts w:eastAsia="Courier New"/>
          <w:lang w:bidi="en-US"/>
        </w:rPr>
        <w:t xml:space="preserve">Ir izstrādāti un pieņemti 2012.gada 10.janvārī MK noteikumi Nr.36 ,,Iepriekšējā izglītībā vai profesionālajā pieredzē sasniegtu studiju rezultātu atzīšanas noteikumi”, kas </w:t>
      </w:r>
      <w:r w:rsidRPr="00673CEE">
        <w:rPr>
          <w:rFonts w:eastAsia="Courier New"/>
          <w:lang w:bidi="en-US"/>
        </w:rPr>
        <w:lastRenderedPageBreak/>
        <w:t>nosaka kārtību, kādā novērtē un atzīst iepriekšējā izglītībā vai profesionālajā pieredzē sasniegtus studiju rezultātus, un atzīšanas kritērijus. Lēmumu par iepriekšējā izglītībā vai profesionālajā pieredzē sasniegtu studiju rezultātu atzīšanu pieņem augstskolas vai koledžas izveidota studiju rezultātu atzīšanas komisija.</w:t>
      </w:r>
    </w:p>
    <w:p w:rsidR="00673CEE" w:rsidRDefault="00673CEE" w:rsidP="00D002BB"/>
    <w:p w:rsidR="00673CEE" w:rsidRDefault="00673CEE" w:rsidP="00D002BB">
      <w:pPr>
        <w:rPr>
          <w:b/>
          <w:sz w:val="28"/>
        </w:rPr>
      </w:pPr>
      <w:r w:rsidRPr="00673CEE">
        <w:rPr>
          <w:b/>
          <w:sz w:val="28"/>
        </w:rPr>
        <w:t>Mūžizglītības atbilstība darba tirgum</w:t>
      </w:r>
    </w:p>
    <w:p w:rsidR="00673CEE" w:rsidRPr="00673CEE" w:rsidRDefault="00673CEE" w:rsidP="00673CEE">
      <w:pPr>
        <w:pStyle w:val="teksts"/>
      </w:pPr>
      <w:r w:rsidRPr="00673CEE">
        <w:t>2011.gadā EM aktualizēja vidēja termiņa darba tirgus prognozes laika periodam līdz 2016.gadam. Sagatavojot prognozes, EM izveidoja jaunu darba tirgus prognožu agregācijas sistēmu, kas parāda darba tirgus tendences trīs dimensijās – tautsaimniecības nozaru, profesiju grupu un izglītības (izglītības tematisko jomu un līmeņu griezumā) griezumā. Jaunā prognožu agregācija balstīta uz Latvijā izmantoto atbilstošo klasifikāciju struktūru, kas nodrošina iespēju prognozes starptautiski salīdzināt, kā arī ļauj veikt kvalitatīvāku prognožu analīzi.</w:t>
      </w:r>
    </w:p>
    <w:p w:rsidR="00673CEE" w:rsidRPr="00673CEE" w:rsidRDefault="00673CEE" w:rsidP="00673CEE">
      <w:pPr>
        <w:pStyle w:val="teksts"/>
      </w:pPr>
      <w:r w:rsidRPr="00673CEE">
        <w:t>2012.gadā EM sagatavoja vidēja termiņa darba tirgus prognozes laika periodam līdz 2020.gadam un, pirmo reizi, ilgtermiņa darba tirgus prognozes - līdz 2030.gadam.</w:t>
      </w:r>
    </w:p>
    <w:p w:rsidR="00673CEE" w:rsidRPr="00673CEE" w:rsidRDefault="00673CEE" w:rsidP="00673CEE">
      <w:pPr>
        <w:pStyle w:val="teksts"/>
      </w:pPr>
      <w:r w:rsidRPr="00673CEE">
        <w:t>Darba tirgus prognozes ik gadu tiek izskatītas Tautsaimniecības Padomes sēdē, kā arī ekonomikas ministra vadītajā Darba tirgus prognozēšanas konsultatīvajā padomē, kuras sastāvā ir gan valsts pārvaldes institūciju, gan nevalstisko organizāciju pārstāvji.</w:t>
      </w:r>
    </w:p>
    <w:p w:rsidR="00673CEE" w:rsidRPr="00673CEE" w:rsidRDefault="00673CEE" w:rsidP="00673CEE">
      <w:pPr>
        <w:pStyle w:val="teksts"/>
      </w:pPr>
      <w:r w:rsidRPr="00673CEE">
        <w:t>EM izstrādātās darba tirgus prognozes ir iekļautas informatīvā ziņojumā par darba tirgus vidēja un ilgtermiņa prognozēm, kuru EM katru gadu iesniedz MK.</w:t>
      </w:r>
    </w:p>
    <w:p w:rsidR="00673CEE" w:rsidRPr="00673CEE" w:rsidRDefault="00673CEE" w:rsidP="00673CEE">
      <w:pPr>
        <w:pStyle w:val="teksts"/>
      </w:pPr>
      <w:r w:rsidRPr="00673CEE">
        <w:t>Lai attīstītu esošo darba tirgus prognozēšanas sistēmu un uzlabotu prognožu kvalitāti, EM 2010.gadā uzsāka īstenot „Darba tirgus pieprasījuma vidēja termiņa un ilgtermiņa prognozēšanas sistēmas attīstība”, kuras mērķis ir līdz 2013.gada beigām attīstīt efektīvu darba tirgus pieprasījuma prognozēšanas sistēmu un pilnveidot prognozēšanas metodoloģiju. Galvenie īstenošanas virzieni ir darba tirgus vidēja un ilgtermiņa prognozēšanas instrumentārija pilnveide, kā arī aptaujas un pētījumi darba tirgus jomā.</w:t>
      </w:r>
    </w:p>
    <w:p w:rsidR="00673CEE" w:rsidRPr="00673CEE" w:rsidRDefault="00673CEE" w:rsidP="00673CEE">
      <w:pPr>
        <w:pStyle w:val="teksts"/>
      </w:pPr>
      <w:r w:rsidRPr="00673CEE">
        <w:t xml:space="preserve">2010.gadā uzsāka „Darba tirgus pieprasījuma īstermiņa un ilgtermiņa prognozēšanas un uzraudzības sistēmas attīstība” projekts „Nodarbinātības valsts aģentūras darba tirgus prognozēšanas un uzraudzības sistēmas attīstība”. </w:t>
      </w:r>
    </w:p>
    <w:p w:rsidR="00673CEE" w:rsidRDefault="00673CEE" w:rsidP="00673CEE">
      <w:pPr>
        <w:pStyle w:val="teksts"/>
        <w:rPr>
          <w:lang w:bidi="en-US"/>
        </w:rPr>
      </w:pPr>
      <w:r w:rsidRPr="00673CEE">
        <w:rPr>
          <w:bCs/>
          <w:lang w:bidi="en-US"/>
        </w:rPr>
        <w:t xml:space="preserve">EM izstrādājusi „Pētījumus darba tirgus jomā”, kuru mērķis ir sniegt ekonomikas struktūrpolitikas veidotājiem plašāku informatīvo bāzi par Latvijas darba tirgus procesiem un galvenajiem nākotnes izaicinājumiem, kas saistīti ar iedzīvotāju novecošanos, prasmju pieprasījuma strukturālām izmaiņām un darbaspēka atbilstību un spēju pielāgoties darba tirgus prasībām. </w:t>
      </w:r>
      <w:r w:rsidRPr="00673CEE">
        <w:rPr>
          <w:lang w:bidi="en-US"/>
        </w:rPr>
        <w:t xml:space="preserve">Izvirzītā mērķa sasniegšanai tika realizēti 3 atsevišķi pētījumi: </w:t>
      </w:r>
    </w:p>
    <w:p w:rsidR="00673CEE" w:rsidRPr="00673CEE" w:rsidRDefault="00673CEE" w:rsidP="00673CEE">
      <w:pPr>
        <w:pStyle w:val="ListParagraph"/>
        <w:widowControl w:val="0"/>
        <w:numPr>
          <w:ilvl w:val="0"/>
          <w:numId w:val="16"/>
        </w:numPr>
        <w:jc w:val="both"/>
        <w:rPr>
          <w:rFonts w:eastAsia="Courier New" w:cs="Times New Roman"/>
          <w:color w:val="auto"/>
          <w:lang w:bidi="en-US"/>
        </w:rPr>
      </w:pPr>
      <w:r w:rsidRPr="00673CEE">
        <w:rPr>
          <w:rFonts w:eastAsia="Courier New" w:cs="Times New Roman"/>
          <w:color w:val="auto"/>
          <w:lang w:bidi="en-US"/>
        </w:rPr>
        <w:t xml:space="preserve">Pētījums par nākotnē stratēģiski pieprasītākajām prasmēm Latvijā (pētījuma priekšmets – nākotnes prasmju pieprasījums Latvijā). </w:t>
      </w:r>
      <w:r w:rsidRPr="00673CEE">
        <w:rPr>
          <w:rFonts w:eastAsia="Courier New" w:cs="Times New Roman"/>
          <w:color w:val="auto"/>
          <w:lang w:bidi="en-US"/>
        </w:rPr>
        <w:tab/>
      </w:r>
    </w:p>
    <w:p w:rsidR="00673CEE" w:rsidRPr="00673CEE" w:rsidRDefault="00673CEE" w:rsidP="00673CEE">
      <w:pPr>
        <w:pStyle w:val="ListParagraph"/>
        <w:widowControl w:val="0"/>
        <w:numPr>
          <w:ilvl w:val="0"/>
          <w:numId w:val="16"/>
        </w:numPr>
        <w:jc w:val="both"/>
        <w:rPr>
          <w:rFonts w:eastAsia="Courier New" w:cs="Times New Roman"/>
          <w:color w:val="auto"/>
          <w:lang w:bidi="en-US"/>
        </w:rPr>
      </w:pPr>
      <w:r w:rsidRPr="00673CEE">
        <w:rPr>
          <w:rFonts w:eastAsia="Courier New" w:cs="Times New Roman"/>
          <w:color w:val="auto"/>
          <w:lang w:bidi="en-US"/>
        </w:rPr>
        <w:t>Pētījums par iedzīvotāju novecošanās ietekmi uz nākotnes prasmju piedāvājumu Latvijā (pētījuma priekšmets – nākotnes prasmju piedāvājums un iedzīvotāju novecošanās ietekme uz to).</w:t>
      </w:r>
    </w:p>
    <w:p w:rsidR="00673CEE" w:rsidRPr="00673CEE" w:rsidRDefault="00673CEE" w:rsidP="00673CEE">
      <w:pPr>
        <w:pStyle w:val="ListParagraph"/>
        <w:widowControl w:val="0"/>
        <w:numPr>
          <w:ilvl w:val="0"/>
          <w:numId w:val="16"/>
        </w:numPr>
        <w:jc w:val="both"/>
        <w:rPr>
          <w:rFonts w:eastAsia="Courier New" w:cs="Times New Roman"/>
          <w:color w:val="auto"/>
          <w:lang w:bidi="en-US"/>
        </w:rPr>
      </w:pPr>
      <w:r w:rsidRPr="00673CEE">
        <w:rPr>
          <w:rFonts w:eastAsia="Courier New" w:cs="Times New Roman"/>
          <w:color w:val="auto"/>
          <w:lang w:bidi="en-US"/>
        </w:rPr>
        <w:t>Pētījums par darbaspēka profesionālo mobilitāti (pētījuma priekšmets – darbaspēka profesionālā mobilitāte, tās intensitāte un galvenie to ietekmējošie faktori Latvijā).</w:t>
      </w:r>
    </w:p>
    <w:p w:rsidR="00673CEE" w:rsidRPr="00673CEE" w:rsidRDefault="00673CEE" w:rsidP="00673CEE">
      <w:pPr>
        <w:pStyle w:val="teksts"/>
      </w:pPr>
      <w:r w:rsidRPr="00673CEE">
        <w:t xml:space="preserve">Profesionālās izglītības pievilcības uzlabošanai IZM ir izstrādājusi un MK (16.09.2009. rīkojums Nr.629) apstiprinājusi profesionālās izglītības pievilcības paaugstināšanas koncepciju „Profesionālās izglītības pievilcības paaugstināšana un sociālo partneru līdzdalība profesionālās izglītības kvalitātes nodrošināšanā”, kurā ir noteikti risinājumi pamata jautājumiem profesionālās izglītības politikas īstenošanā un panākta valsts un sociālo partneru vienošanās par problēmu risināšanas variantiem. Papildus, līdzsvarojot vispārējās vidējās izglītības un profesionālās vidējās izglītības ieguves nosacījumus </w:t>
      </w:r>
    </w:p>
    <w:p w:rsidR="00673CEE" w:rsidRPr="00673CEE" w:rsidRDefault="00673CEE" w:rsidP="00673CEE">
      <w:pPr>
        <w:pStyle w:val="teksts"/>
      </w:pPr>
      <w:r w:rsidRPr="00673CEE">
        <w:t xml:space="preserve">Vienlaikus, orientējot izglītības piedāvājumu uz darba tirgus vajadzībām, profesionālajā izglītībā un augstākajā izglītībā tiek stiprināta sadarbība ar sociālajiem partneriem, darba devējiem un nozaru asociācijām. Nodibinātas 12 Nozaru ekspertu padomes, </w:t>
      </w:r>
      <w:r w:rsidRPr="00673CEE">
        <w:lastRenderedPageBreak/>
        <w:t xml:space="preserve">kas veicina izglītotāju un darba tirgus sadarbību. 2011. un 2012.gadā sociālie partneri aktīvāk iesaistās profesiju standartu ekspertu noteikšanā un saskaņošanā PINTSA sēdēs, izvirzot atbilstošākos ekspertus profesiju standartu izstrādei, ņemot vērā nozares pamatprasības, izvērtējot profesiju standarta atbilstību prioritāri noteiktajām tautsaimniecības jomām, izslēdzot dublēšanos ar jau apstiprinātajiem līdzīga satura profesiju standartiem. </w:t>
      </w:r>
    </w:p>
    <w:p w:rsidR="00673CEE" w:rsidRPr="00673CEE" w:rsidRDefault="00673CEE" w:rsidP="00673CEE">
      <w:pPr>
        <w:pStyle w:val="teksts"/>
      </w:pPr>
      <w:r w:rsidRPr="00673CEE">
        <w:t>Saskaņā ar „Profesionālās izglītības iestāžu tīkla optimizācijas pamatnostādnēm 2010.-2015.gadam” (apstiprinātas ar Ministru kabineta  2010.gada 6.janvāra rīkojumu Nr.5), 2010.gadā tika uzsākta aktīva profesionālās izglītības sistēmas attīstība. Uzlabojot izglītības procesa kvalitāti un veicinot profesionālās izglītības efektivitāti, vairākas profesionālās izglītības iestādes tika apvienotas un dažas likvidētas, vienlaikus saglabājot profesionālās izglītības pieejamību reģionos, veidojot filiāles vai integrētas izglītības iestādes.  2011.gadā Ministru kabinets ir apstiprinājis rīkojumus par vairāku profesionālās izglītības iestāžu reorganizāciju.</w:t>
      </w:r>
    </w:p>
    <w:p w:rsidR="00673CEE" w:rsidRDefault="00F7752A" w:rsidP="00673CEE">
      <w:pPr>
        <w:pStyle w:val="teksts"/>
      </w:pPr>
      <w:r>
        <w:t xml:space="preserve">Karjeras nedēļas ir viens no visplašāk pārstāvētajiem jauniešu mērķauditorijai paredzētajiem informatīvajiem pasākumiem. </w:t>
      </w:r>
      <w:r w:rsidR="00673CEE">
        <w:t xml:space="preserve">Kopumā šogad Karjeras nedēļā piedalījās 24 197 dalībnieki, kuri apmeklēja 794 pasākumus 11 Latvijas lielākajās pilsētās. Dalība Karjeras nedēļas pasākumos jauniešiem ļāva izpētīt dažādās profesijas un apzināties savas iespējas – gan pie karjeras konsultanta, gan pie uzņēmējiem un nākotnes darba devējiem, gan augstskolās. </w:t>
      </w:r>
    </w:p>
    <w:p w:rsidR="00673CEE" w:rsidRDefault="00673CEE" w:rsidP="00673CEE">
      <w:pPr>
        <w:pStyle w:val="teksts"/>
      </w:pPr>
      <w:r>
        <w:t xml:space="preserve">Papildus pasākumiem klātienē, lai jauniešus aicinātu pārdomāt profesijas izvēli, sociālā tīkla </w:t>
      </w:r>
      <w:hyperlink r:id="rId20" w:history="1">
        <w:r w:rsidR="00F7752A" w:rsidRPr="00972688">
          <w:rPr>
            <w:rStyle w:val="Hyperlink"/>
          </w:rPr>
          <w:t>www.draugiem.lv</w:t>
        </w:r>
      </w:hyperlink>
      <w:r>
        <w:t xml:space="preserve"> vidē ir izveidota interaktīva spēle „Pielaiko profesiju”, kuru līdz šim brīdim izspēlējuši vairāk nekā 6600 sociāla tīkla lietotāju.</w:t>
      </w:r>
    </w:p>
    <w:p w:rsidR="00673CEE" w:rsidRDefault="00673CEE" w:rsidP="00673CEE">
      <w:pPr>
        <w:pStyle w:val="teksts"/>
      </w:pPr>
      <w:r>
        <w:t xml:space="preserve">      MK 2013.gada 2.jūlija noteikumi Nr.363 “Noteikumi par pedagogiem nepieciešamo izglītību un profesionālo kvalifikāciju un pedagogu profesionālās kvalifikācijas pilnveides kārtību” nosaka pedagogiem nepieciešamo izglītību un profesionālo kvalifikāciju.</w:t>
      </w:r>
    </w:p>
    <w:p w:rsidR="00673CEE" w:rsidRDefault="00673CEE" w:rsidP="00673CEE">
      <w:pPr>
        <w:pStyle w:val="teksts"/>
      </w:pPr>
      <w:r>
        <w:t>2007. – 2013.gada plānošanas perioda ietvaros tika īstenotas vairākas aktivitātes pedagogu kompetences paaugstināšanai un tālākizglītībai. 1.2.1.1.2.apakšaktivitātē „Profesionālajā izglītībā iesaistīto pedagogu kompetences paaugstināšana” 5067 pedagogi un prakses vadītāji pilnveidoja profesionālo kvalifikāciju, tai skaitā 471 stažējās ārpus izglītības iestādēm un 3179 apguva IT prasmes. Lai īstenotu profesionālās izglītības pedagogu un prakses vadītāju tālākizglītības kursus, tiks izstrādātas 2577 kursu programmas. 1.2.1.2.3.apakšaktivitātes „Vispārējās izglītības pedagogu kompetences paaugstināšana un prasmju atjaunošana” ietvaros kompetenci paaugstināja 21313 pedagogi, tai skaitā 8870 apguva IT prasmes. 1.2.2.1.5.apakšaktivitātē „Pedagogu konkurētspējas veicināšana izglītības sistēmas optimizācijas apstākļos” atbalstu guva kopā 26236 pedagogi, tai skaitā 6485 vispārējās un profesionālās izglītības pedagogi saņēma nepieciešamo sertifikātu cita mācību priekšmeta mācīšanai vai citam darbam vispārējā vai profesionālajā izglītības iestādē un 413 vispārējās un profesionālās izglītības pedagogi saņēma nepieciešamo sertifikātu par apmācību beigšanu vispārīgu vai specifisku prasmju apguvei darbam citā nozarē vai specialitātē.</w:t>
      </w:r>
    </w:p>
    <w:p w:rsidR="00673CEE" w:rsidRDefault="00673CEE" w:rsidP="00673CEE">
      <w:pPr>
        <w:pStyle w:val="teksts"/>
      </w:pPr>
      <w:r>
        <w:t>2012.gadā profesionālajā apmācībā, pārkvalifikācijā vai kvalifikācijas paaugstināšanā, apmācībā pie darba devēja, neformālajā izglītībā iesaistītas 23087 personas: t.sk. pasākumā profesionālā apmācība, pārkvalifikācija vai kvalifikācijas paaugstināšana iesaistītas 8383 personas, apmācība pie darba devēja 8 personas nomainot 2011.gadā apmācības uzsākušās personas, neformālā izglītība 14696  (no tiem 5971 valsts valodas programmās; 2426 transportlīdzekļu/ traktortehnikas programmās; 6300 pārējās programmās).</w:t>
      </w:r>
    </w:p>
    <w:p w:rsidR="00673CEE" w:rsidRDefault="00673CEE" w:rsidP="00673CEE">
      <w:pPr>
        <w:pStyle w:val="teksts"/>
      </w:pPr>
      <w:r>
        <w:t xml:space="preserve">Kompleksie iekļaušanas pasākumi:4101 pasākumos iesaistītas personas; Konkurētspējas paaugstināšanas pasākumos iesaistītas 66158 personas; profesionālā apmācība bezdarba riskam pakļautām personām (tā dēvētais „dīkstāves kupons”):5740 pasākumos iesaistītas personas; pasākumi komercdarbības vai pašnodarbinātības uzsākšanai:160 pasākumos iesaistītas personas. </w:t>
      </w:r>
    </w:p>
    <w:p w:rsidR="00673CEE" w:rsidRDefault="00673CEE" w:rsidP="00673CEE">
      <w:pPr>
        <w:pStyle w:val="teksts"/>
      </w:pPr>
      <w:r>
        <w:lastRenderedPageBreak/>
        <w:t xml:space="preserve">Lai tuvinātu profesionālo izglītību darba tirgus vajadzībām, sākot ar šā gada 1.septembri piecas profesionālās izglītības iestādes uzsāka duālās sistēmas elementu ieviešanu, kas paredz ciešu teorētisko mācību un reālās darba vides sasaisti. Šādus pilotprojektus īstenot uzsāka PIKC „Rīgas Valsts tehnikums”, Jelgavas tehnikums, Ventspils tehnikums, Ogres tehnikums un Valmieras Profesionālā vidusskola. </w:t>
      </w:r>
    </w:p>
    <w:p w:rsidR="00673CEE" w:rsidRDefault="00673CEE" w:rsidP="00673CEE">
      <w:pPr>
        <w:pStyle w:val="teksts"/>
      </w:pPr>
      <w:r>
        <w:t>Darba vidē balstītas izglītības modelis paredz elastīgu mācību plānu atbilstoši iegūstāmās profesijas specifikai – teorētiskajām mācībām izglītības iestādē mijoties ar darba pieredzi uzņēmumā. Jaunieši, kuri piedalīsies pilotprojektos, mācoties kādā no profesionālajām izglītības iestādēm, varēs paralēli apgūt izvēlēto profesionālo kvalifikāciju praksē konkrētā uzņēmumā. Tādējādi audzēkņiem būs iespēja veiksmīgāk apgūt darba tirgū vajadzīgās prasmes un kompetences, kā arī nepieciešamās teorētiskās zināšanas. Tikmēr uzņēmums, iesaistoties šāda mācību modeļa īstenošanā, varēs  sagatavot darbiniekus atbilstoši  savām vajadzībām.</w:t>
      </w:r>
    </w:p>
    <w:p w:rsidR="00F7752A" w:rsidRPr="00F7752A" w:rsidRDefault="00F7752A" w:rsidP="00F7752A">
      <w:pPr>
        <w:pStyle w:val="teksts"/>
      </w:pPr>
      <w:r w:rsidRPr="00F7752A">
        <w:t>Likums „Par pašvaldībām” nosaka pašvaldības autonomo funkciju – gādāt par iedzīvotāju izglītību. Savukārt, saskaņā ar Izglītības likuma 17.panta trešās daļas 22.punktu pašvaldības kompetencē ir politikas pieaugušo izglītībā īstenošana. Pieaugušo izglītības apsekojums ik pa 5 gadiem – apmācības bija pārāk dārgas, nevarēja atļauties; apmācības nevarēja savienot ar darba grafiku; nebija laika ģimenes apstākļu dēļ; netika piedāvāts piemērots izglītības vai apmācības pasākums; apmācība netika piedāvāta sasniedzamā attālumā; trūka darba devēja atbalsta.</w:t>
      </w:r>
    </w:p>
    <w:p w:rsidR="00673CEE" w:rsidRDefault="00F7752A" w:rsidP="00F7752A">
      <w:pPr>
        <w:pStyle w:val="teksts"/>
      </w:pPr>
      <w:r w:rsidRPr="00F7752A">
        <w:rPr>
          <w:rFonts w:eastAsia="Courier New"/>
          <w:lang w:bidi="en-US"/>
        </w:rPr>
        <w:t xml:space="preserve">Pašvaldības šo kompetenci var veikt, pretendējot arī uz valsts pārvaldes institūciju piedāvāto publisko finansējumu konkursa kārtībā un izvēloties izglītības pakalpojuma sniedzēju. Pašvaldības var arī motivēt savā teritorijā iedzīvotājus ieguldīt pašu finansējumu pieaugušo izglītībā, piemēram, piedāvājot līdzfinansēt daļu no pakalpojuma. Neatkarīgi no tā, kas faktiski nodrošina izglītības pakalpojumu, </w:t>
      </w:r>
      <w:r w:rsidRPr="00F7752A">
        <w:rPr>
          <w:rFonts w:eastAsia="Courier New"/>
          <w:b/>
          <w:bCs/>
          <w:lang w:bidi="en-US"/>
        </w:rPr>
        <w:t xml:space="preserve">pašvaldībai ir iespēja sasniegt Pamatnostādnēs </w:t>
      </w:r>
      <w:r>
        <w:rPr>
          <w:rFonts w:eastAsia="Courier New"/>
          <w:b/>
          <w:bCs/>
          <w:lang w:bidi="en-US"/>
        </w:rPr>
        <w:t xml:space="preserve">2014.-2020.gadam </w:t>
      </w:r>
      <w:r w:rsidRPr="00F7752A">
        <w:rPr>
          <w:rFonts w:eastAsia="Courier New"/>
          <w:b/>
          <w:bCs/>
          <w:lang w:bidi="en-US"/>
        </w:rPr>
        <w:t>noteikto mērķi savā teritorijā</w:t>
      </w:r>
      <w:r w:rsidRPr="00F7752A">
        <w:rPr>
          <w:rFonts w:eastAsia="Courier New"/>
          <w:lang w:bidi="en-US"/>
        </w:rPr>
        <w:t>.</w:t>
      </w:r>
    </w:p>
    <w:p w:rsidR="00673CEE" w:rsidRDefault="00673CEE" w:rsidP="00D002BB"/>
    <w:p w:rsidR="00CC621A" w:rsidRPr="00D002BB" w:rsidRDefault="00CC621A" w:rsidP="00D002BB">
      <w:pPr>
        <w:sectPr w:rsidR="00CC621A" w:rsidRPr="00D002BB" w:rsidSect="00E254C2">
          <w:pgSz w:w="11907" w:h="16840" w:code="9"/>
          <w:pgMar w:top="1134" w:right="1134" w:bottom="1134" w:left="1701" w:header="720" w:footer="720" w:gutter="0"/>
          <w:cols w:space="708"/>
          <w:noEndnote/>
          <w:docGrid w:linePitch="326"/>
        </w:sectPr>
      </w:pPr>
    </w:p>
    <w:p w:rsidR="00CC621A" w:rsidRPr="002B6E63" w:rsidRDefault="00CC621A" w:rsidP="00D002BB">
      <w:pPr>
        <w:rPr>
          <w:b/>
          <w:sz w:val="28"/>
        </w:rPr>
      </w:pPr>
      <w:bookmarkStart w:id="23" w:name="_Toc359594116"/>
      <w:bookmarkStart w:id="24" w:name="_Toc359941648"/>
      <w:bookmarkStart w:id="25" w:name="_Toc368987653"/>
      <w:r w:rsidRPr="002B6E63">
        <w:rPr>
          <w:b/>
          <w:sz w:val="28"/>
        </w:rPr>
        <w:lastRenderedPageBreak/>
        <w:t>Eiropas struktūrfondu intervence 2007.-2013.gadā mūžizglītības sistēmas nodrošināšanai</w:t>
      </w:r>
      <w:bookmarkEnd w:id="23"/>
      <w:bookmarkEnd w:id="24"/>
      <w:bookmarkEnd w:id="25"/>
    </w:p>
    <w:tbl>
      <w:tblPr>
        <w:tblW w:w="13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185"/>
        <w:gridCol w:w="2405"/>
        <w:gridCol w:w="5674"/>
      </w:tblGrid>
      <w:tr w:rsidR="00CC621A" w:rsidRPr="00421AC3" w:rsidTr="00421AC3">
        <w:trPr>
          <w:trHeight w:val="560"/>
        </w:trPr>
        <w:tc>
          <w:tcPr>
            <w:tcW w:w="2428" w:type="dxa"/>
            <w:vAlign w:val="center"/>
          </w:tcPr>
          <w:p w:rsidR="00CC621A" w:rsidRPr="00421AC3" w:rsidRDefault="00CC621A" w:rsidP="00421AC3">
            <w:pPr>
              <w:jc w:val="center"/>
              <w:rPr>
                <w:rFonts w:cs="Times New Roman"/>
                <w:b/>
                <w:color w:val="auto"/>
                <w:sz w:val="20"/>
                <w:szCs w:val="22"/>
                <w:lang w:val="en-US"/>
              </w:rPr>
            </w:pPr>
            <w:r w:rsidRPr="00421AC3">
              <w:rPr>
                <w:rFonts w:cs="Times New Roman"/>
                <w:b/>
                <w:color w:val="auto"/>
                <w:sz w:val="20"/>
                <w:szCs w:val="22"/>
                <w:lang w:val="en-US"/>
              </w:rPr>
              <w:t>Identifikators</w:t>
            </w:r>
          </w:p>
        </w:tc>
        <w:tc>
          <w:tcPr>
            <w:tcW w:w="3185" w:type="dxa"/>
            <w:vAlign w:val="center"/>
          </w:tcPr>
          <w:p w:rsidR="00CC621A" w:rsidRPr="00421AC3" w:rsidRDefault="00CC621A" w:rsidP="00421AC3">
            <w:pPr>
              <w:jc w:val="center"/>
              <w:rPr>
                <w:rFonts w:cs="Times New Roman"/>
                <w:b/>
                <w:color w:val="auto"/>
                <w:sz w:val="20"/>
                <w:szCs w:val="22"/>
                <w:lang w:val="en-US"/>
              </w:rPr>
            </w:pPr>
            <w:r w:rsidRPr="00421AC3">
              <w:rPr>
                <w:rFonts w:cs="Times New Roman"/>
                <w:b/>
                <w:color w:val="auto"/>
                <w:sz w:val="20"/>
                <w:szCs w:val="22"/>
                <w:lang w:val="en-US"/>
              </w:rPr>
              <w:t>Nosaukums</w:t>
            </w:r>
          </w:p>
        </w:tc>
        <w:tc>
          <w:tcPr>
            <w:tcW w:w="2405" w:type="dxa"/>
            <w:vAlign w:val="center"/>
          </w:tcPr>
          <w:p w:rsidR="00CC621A" w:rsidRPr="00421AC3" w:rsidRDefault="00CC621A" w:rsidP="00421AC3">
            <w:pPr>
              <w:jc w:val="center"/>
              <w:rPr>
                <w:rFonts w:cs="Times New Roman"/>
                <w:b/>
                <w:color w:val="auto"/>
                <w:sz w:val="20"/>
                <w:szCs w:val="22"/>
                <w:lang w:val="en-US"/>
              </w:rPr>
            </w:pPr>
            <w:r w:rsidRPr="00421AC3">
              <w:rPr>
                <w:rFonts w:cs="Times New Roman"/>
                <w:b/>
                <w:color w:val="auto"/>
                <w:sz w:val="20"/>
                <w:szCs w:val="22"/>
                <w:lang w:val="en-US"/>
              </w:rPr>
              <w:t>Kopējais finansējums</w:t>
            </w:r>
          </w:p>
          <w:p w:rsidR="00CC621A" w:rsidRPr="00421AC3" w:rsidRDefault="00CC621A" w:rsidP="00421AC3">
            <w:pPr>
              <w:jc w:val="center"/>
              <w:rPr>
                <w:rFonts w:cs="Times New Roman"/>
                <w:b/>
                <w:color w:val="auto"/>
                <w:sz w:val="20"/>
                <w:szCs w:val="22"/>
                <w:lang w:val="en-US"/>
              </w:rPr>
            </w:pPr>
            <w:r w:rsidRPr="00421AC3">
              <w:rPr>
                <w:rFonts w:cs="Times New Roman"/>
                <w:b/>
                <w:color w:val="auto"/>
                <w:sz w:val="20"/>
                <w:szCs w:val="22"/>
                <w:lang w:val="en-US"/>
              </w:rPr>
              <w:t>(LVL)</w:t>
            </w:r>
          </w:p>
        </w:tc>
        <w:tc>
          <w:tcPr>
            <w:tcW w:w="5674" w:type="dxa"/>
            <w:vAlign w:val="center"/>
          </w:tcPr>
          <w:p w:rsidR="00CC621A" w:rsidRPr="00421AC3" w:rsidRDefault="00CC621A" w:rsidP="00421AC3">
            <w:pPr>
              <w:jc w:val="center"/>
              <w:rPr>
                <w:rFonts w:cs="Times New Roman"/>
                <w:b/>
                <w:color w:val="auto"/>
                <w:sz w:val="20"/>
                <w:szCs w:val="22"/>
                <w:lang w:val="en-US"/>
              </w:rPr>
            </w:pPr>
            <w:r w:rsidRPr="00421AC3">
              <w:rPr>
                <w:rFonts w:cs="Times New Roman"/>
                <w:b/>
                <w:color w:val="auto"/>
                <w:sz w:val="20"/>
                <w:szCs w:val="22"/>
                <w:lang w:val="en-US"/>
              </w:rPr>
              <w:t>Apakšaktivitātes informācija</w:t>
            </w:r>
          </w:p>
        </w:tc>
      </w:tr>
      <w:tr w:rsidR="00CC621A" w:rsidRPr="00421AC3" w:rsidTr="00421AC3">
        <w:tc>
          <w:tcPr>
            <w:tcW w:w="2428"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1.2.2.1.5.apakšaktivitāte</w:t>
            </w:r>
          </w:p>
        </w:tc>
        <w:tc>
          <w:tcPr>
            <w:tcW w:w="3185"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Pedagogu konkurētspējas veicināšana izglītības sistēmas optimizācijas apstākļos</w:t>
            </w:r>
          </w:p>
        </w:tc>
        <w:tc>
          <w:tcPr>
            <w:tcW w:w="2405"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16 956 068,00 LVL</w:t>
            </w:r>
          </w:p>
        </w:tc>
        <w:tc>
          <w:tcPr>
            <w:tcW w:w="5674" w:type="dxa"/>
            <w:vAlign w:val="center"/>
          </w:tcPr>
          <w:p w:rsidR="00CC621A" w:rsidRPr="00421AC3" w:rsidRDefault="00CC621A" w:rsidP="00421AC3">
            <w:pPr>
              <w:jc w:val="both"/>
              <w:rPr>
                <w:rFonts w:cs="Times New Roman"/>
                <w:color w:val="auto"/>
                <w:sz w:val="20"/>
                <w:szCs w:val="22"/>
                <w:lang w:val="en-US"/>
              </w:rPr>
            </w:pPr>
            <w:r w:rsidRPr="00421AC3">
              <w:rPr>
                <w:rFonts w:cs="Times New Roman"/>
                <w:color w:val="auto"/>
                <w:sz w:val="20"/>
                <w:szCs w:val="22"/>
                <w:lang w:val="en-US"/>
              </w:rPr>
              <w:t>23 764 pedagogi ieguvuši kādu no piecām kvalitātes pakāpēm. Projekta rezultāti ilgtermiņā ir saistīti ar Valdības rīcības plānā noteikto uzdevumu un Sadarbības memorandā starp IZM un nevalstisko organizāciju pārstāvjiem minēto apņemšanos īstenošanu. No 2012./13.mācību gada uzsākta ilgtermiņa pedagogu motivācijas, atalgojuma un profesionālās darbības kvalitātes sasaistes sistēmas pakāpeniska ieviešana, kur pedagogu profesionālās darbības kvalitātes novērtēšana ir viena no tās sastāvdaļām.</w:t>
            </w:r>
          </w:p>
        </w:tc>
      </w:tr>
      <w:tr w:rsidR="00CC621A" w:rsidRPr="00421AC3" w:rsidTr="00421AC3">
        <w:tc>
          <w:tcPr>
            <w:tcW w:w="2428"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1.2.2.3.2.apakšaktivitāte</w:t>
            </w:r>
          </w:p>
        </w:tc>
        <w:tc>
          <w:tcPr>
            <w:tcW w:w="3185"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Atbalsts izglītības pētījumiem</w:t>
            </w:r>
          </w:p>
        </w:tc>
        <w:tc>
          <w:tcPr>
            <w:tcW w:w="2405"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973 356,00 LVL</w:t>
            </w:r>
          </w:p>
        </w:tc>
        <w:tc>
          <w:tcPr>
            <w:tcW w:w="5674" w:type="dxa"/>
            <w:vAlign w:val="center"/>
          </w:tcPr>
          <w:p w:rsidR="00CC621A" w:rsidRPr="00421AC3" w:rsidRDefault="00CC621A" w:rsidP="00421AC3">
            <w:pPr>
              <w:jc w:val="both"/>
              <w:rPr>
                <w:rFonts w:cs="Times New Roman"/>
                <w:color w:val="auto"/>
                <w:sz w:val="20"/>
                <w:szCs w:val="22"/>
                <w:lang w:val="en-US"/>
              </w:rPr>
            </w:pPr>
            <w:r w:rsidRPr="00421AC3">
              <w:rPr>
                <w:rFonts w:cs="Times New Roman"/>
                <w:color w:val="auto"/>
                <w:sz w:val="20"/>
                <w:szCs w:val="22"/>
                <w:lang w:val="en-US"/>
              </w:rPr>
              <w:t>Latvija sadarbībā ar Ekonomiskās sadarbības un attīstības organizāciju (OECD) un Āzijas – Eiropas sanāksmes Mūžizglītības forumu (ASEM LLL Hub) turpina dalību vairākos starptautiskos pētījumos, kas ir procesā 3 pētījuma virzienos.</w:t>
            </w:r>
          </w:p>
        </w:tc>
      </w:tr>
      <w:tr w:rsidR="00CC621A" w:rsidRPr="00421AC3" w:rsidTr="00421AC3">
        <w:tc>
          <w:tcPr>
            <w:tcW w:w="2428"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1.2.2.4.1.apakšaktivitāte</w:t>
            </w:r>
          </w:p>
        </w:tc>
        <w:tc>
          <w:tcPr>
            <w:tcW w:w="3185"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Iekļaujošas izglītības un sociālās atstumtības riskam pakļauto jauniešu atbalsta sistēmas izveide, nepieciešamā personāla sagatavošana, nodrošināšana un kompetences paaugstināšana</w:t>
            </w:r>
          </w:p>
        </w:tc>
        <w:tc>
          <w:tcPr>
            <w:tcW w:w="2405"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3 584 300,00 LVL</w:t>
            </w:r>
          </w:p>
        </w:tc>
        <w:tc>
          <w:tcPr>
            <w:tcW w:w="5674" w:type="dxa"/>
            <w:vAlign w:val="center"/>
          </w:tcPr>
          <w:p w:rsidR="00CC621A" w:rsidRPr="00421AC3" w:rsidRDefault="00CC621A" w:rsidP="00421AC3">
            <w:pPr>
              <w:jc w:val="both"/>
              <w:rPr>
                <w:rFonts w:cs="Times New Roman"/>
                <w:color w:val="auto"/>
                <w:sz w:val="20"/>
                <w:szCs w:val="22"/>
                <w:lang w:val="en-US"/>
              </w:rPr>
            </w:pPr>
            <w:r w:rsidRPr="00421AC3">
              <w:rPr>
                <w:rFonts w:cs="Times New Roman"/>
                <w:color w:val="auto"/>
                <w:sz w:val="20"/>
                <w:szCs w:val="22"/>
                <w:lang w:val="en-US"/>
              </w:rPr>
              <w:t>Ir izveidoti iekļaujošas izglītības atbalsta centri Latvijas pilsētās: Balvos, Daugavpilī, Jelgavā, Jēkabpilī, Jūrmalā, Liepājā, Rīgā un Valmierā. Tas nodrošina izglītības atbalsta sistēmas funkciju īstenošanu savā teritorijā projekta ietvaros noteiktajā reģionā, ietverot divus aspektus – individuālo atbalstu un institucionālo atbalstu.</w:t>
            </w:r>
          </w:p>
        </w:tc>
      </w:tr>
      <w:tr w:rsidR="00CC621A" w:rsidRPr="00421AC3" w:rsidTr="00421AC3">
        <w:tc>
          <w:tcPr>
            <w:tcW w:w="2428" w:type="dxa"/>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1.2.2.4.2.apakšaktivitāte</w:t>
            </w:r>
          </w:p>
        </w:tc>
        <w:tc>
          <w:tcPr>
            <w:tcW w:w="3185" w:type="dxa"/>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Atbalsta pasākumu īstenošana jauniešu sociālās atstumtības riska mazināšanai un jauniešu ar funkcionālajiem traucējumiem integrācijai izglītībā</w:t>
            </w:r>
          </w:p>
        </w:tc>
        <w:tc>
          <w:tcPr>
            <w:tcW w:w="2405"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5 904 793,00 LVL</w:t>
            </w:r>
          </w:p>
        </w:tc>
        <w:tc>
          <w:tcPr>
            <w:tcW w:w="5674" w:type="dxa"/>
            <w:vAlign w:val="center"/>
          </w:tcPr>
          <w:p w:rsidR="00CC621A" w:rsidRPr="00421AC3" w:rsidRDefault="00CC621A" w:rsidP="00421AC3">
            <w:pPr>
              <w:jc w:val="both"/>
              <w:rPr>
                <w:rFonts w:cs="Times New Roman"/>
                <w:color w:val="auto"/>
                <w:sz w:val="20"/>
                <w:szCs w:val="22"/>
                <w:lang w:val="en-US"/>
              </w:rPr>
            </w:pPr>
            <w:r w:rsidRPr="00421AC3">
              <w:rPr>
                <w:rFonts w:cs="Times New Roman"/>
                <w:color w:val="auto"/>
                <w:sz w:val="20"/>
                <w:szCs w:val="22"/>
                <w:lang w:val="en-US"/>
              </w:rPr>
              <w:t>17 662 sociālās atstumtības riska grupu izglītojamie ir saņēmuši ESF atbalstu mācībām. 2011</w:t>
            </w:r>
            <w:proofErr w:type="gramStart"/>
            <w:r w:rsidRPr="00421AC3">
              <w:rPr>
                <w:rFonts w:cs="Times New Roman"/>
                <w:color w:val="auto"/>
                <w:sz w:val="20"/>
                <w:szCs w:val="22"/>
                <w:lang w:val="en-US"/>
              </w:rPr>
              <w:t>./</w:t>
            </w:r>
            <w:proofErr w:type="gramEnd"/>
            <w:r w:rsidRPr="00421AC3">
              <w:rPr>
                <w:rFonts w:cs="Times New Roman"/>
                <w:color w:val="auto"/>
                <w:sz w:val="20"/>
                <w:szCs w:val="22"/>
                <w:lang w:val="en-US"/>
              </w:rPr>
              <w:t>2012.m.g. vispārējās izglītība  skolās mācās 3 567 izglītojamie ar speciālām vajadzībām (jeb 51,7% no kopējā izglītojamo ar speciālām vajadzībām skaita).</w:t>
            </w:r>
          </w:p>
        </w:tc>
      </w:tr>
    </w:tbl>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2B6E63" w:rsidRDefault="00CC621A" w:rsidP="00D002BB">
      <w:pPr>
        <w:rPr>
          <w:b/>
        </w:rPr>
      </w:pPr>
      <w:bookmarkStart w:id="26" w:name="_Toc359594117"/>
      <w:bookmarkStart w:id="27" w:name="_Toc359941649"/>
      <w:bookmarkStart w:id="28" w:name="_Toc368987654"/>
      <w:r w:rsidRPr="002B6E63">
        <w:rPr>
          <w:b/>
        </w:rPr>
        <w:lastRenderedPageBreak/>
        <w:t>Turpmākās aktivitātes nosacījuma izpildei un starpinstitucionālās sadarbības modelis</w:t>
      </w:r>
      <w:bookmarkEnd w:id="26"/>
      <w:bookmarkEnd w:id="27"/>
      <w:bookmarkEnd w:id="28"/>
    </w:p>
    <w:p w:rsidR="00CC621A" w:rsidRPr="00D002BB" w:rsidRDefault="00CC621A" w:rsidP="002B6E63">
      <w:pPr>
        <w:pStyle w:val="teksts"/>
      </w:pPr>
      <w:r w:rsidRPr="00D002BB">
        <w:t xml:space="preserve">Saskaņā ar Izglītības likumu, Profesionālās izglītības likumu un Augstskolu likumu IZM atbild par pieaugušo izglītības politiku, nodrošinot pārraudzību, nosakot finansējuma sadales principus, uzturot datu bāzi un veicinot ar pieaugušo izglītību saistītus pētījumus. </w:t>
      </w:r>
    </w:p>
    <w:p w:rsidR="00CC621A" w:rsidRPr="00D002BB" w:rsidRDefault="00CC621A" w:rsidP="002B6E63">
      <w:pPr>
        <w:pStyle w:val="teksts"/>
      </w:pPr>
      <w:r w:rsidRPr="00D002BB">
        <w:t>Mūžizglītība apvieno formālo, neformālo izglītību un ikdienējo (informālo) mācīšanos.– ir izglītība visas dzīves garumā, kas paver iespējas ikvienam sabiedrības loceklim paaugstināt savu kvalifikāciju vai iegūt citu kvalifikāciju atbilstoši darba tirgus prasībām, savām interesēm un vajadzībām. Mūžizglītības principa ieviešana sekmē pilnvērtīgu personības attīstību un ļauj cilvēkam veiksmīgāk pielāgoties jaunajām laikmeta pārmaiņām. Atbalstot mūžizglītības principa attīstību, tiek akcentēta mācīšanas rezultātu pieeja, kas vērtē iegūtas zināšanas, prasmes un kompetenci, nevis veidu, kā tās tika iegūtas – formālajā, neformālajā vai ikdienējās (informālajā) mācīšanās veidā.</w:t>
      </w:r>
    </w:p>
    <w:p w:rsidR="00CC621A" w:rsidRPr="00D002BB" w:rsidRDefault="00CC621A" w:rsidP="002B6E63">
      <w:pPr>
        <w:pStyle w:val="teksts"/>
      </w:pPr>
      <w:r w:rsidRPr="00D002BB">
        <w:t xml:space="preserve">Lai izveidotu efektīvu pieaugušo izglītības sistēmu (termiņš 2015.gads), svarīgi ir noteikt funkciju sadalījumu. IZM atbildībā ir normatīvo aktu bāzes izstrāde, izglītības politikas īstenošanas pārraudzības nodrošināšana, finanšu piesaiste un sadales principu ieviešana, pamatojoties uz datu bāzi un pētījumu rezultātiem. </w:t>
      </w:r>
    </w:p>
    <w:p w:rsidR="00CC621A" w:rsidRPr="00D002BB" w:rsidRDefault="00CC621A" w:rsidP="002B6E63">
      <w:pPr>
        <w:pStyle w:val="teksts"/>
      </w:pPr>
      <w:r w:rsidRPr="00D002BB">
        <w:t xml:space="preserve">Pieaugušo izglītības politikas īstenošanā iesaistītas vairākas puses: pašvaldības (plānošanas reģioni), nozares ministrijas, privātie uzņēmēji. Lai indivīds efektīvi un ātri saņemtu atbalstu gan savas darba karjeras attīstībai, gan profesionālās kompetences paaugstināšanai, pieaugušo politika  jānodrošina pēc iespējas tuvāk viņa dzīvesvietai un plašākā spektrā. </w:t>
      </w:r>
    </w:p>
    <w:p w:rsidR="00CC621A" w:rsidRPr="00D002BB" w:rsidRDefault="00CC621A" w:rsidP="002B6E63">
      <w:pPr>
        <w:pStyle w:val="teksts"/>
      </w:pPr>
      <w:r w:rsidRPr="00D002BB">
        <w:t>Izveidotā pieaugušo izglītības atbalsta sistēma paredz pieeju karjeras konsultācijām (karjeras konsultants), to nodrošinot pašvaldībās, PIKC, augstākās izglītības iestādēs, LM Nodarbinātības valsts aģentūrā, kā arī kā privātpakalpojumu. Līdztekus karjeras attīstības konsultācijām profesionālās kompetences ieguvi un paaugstināšanu (mūžizglītības aspekts) nodrošina: pieci plānošanas reģioni, nozares asociācijas, vispārējās un profesionālās (PIKC) izglītības iestādes (vispārējās un profesionālās kompetences), pašvaldību mācību centri, privātie mācību centri, Nodarbinātības valsts aģentūra (NVA). Tas nozīmē, ka indivīds, pamatojoties uz savas darba karjeras attīstības vajadzībām (motivācija), var izvēlēties mācīties pats vai ar darba devēja atbalstu, saņemot valsts un Eiropas struktūrfondu finansējumu.</w:t>
      </w:r>
    </w:p>
    <w:p w:rsidR="00CC621A" w:rsidRPr="00D002BB" w:rsidRDefault="00CC621A" w:rsidP="002B6E63">
      <w:pPr>
        <w:pStyle w:val="teksts"/>
      </w:pPr>
      <w:r w:rsidRPr="00D002BB">
        <w:t xml:space="preserve">Mūžizglītības principa ieviešanas svarīgākie uzlabošanas virzieni: </w:t>
      </w:r>
    </w:p>
    <w:p w:rsidR="00CC621A" w:rsidRPr="00D002BB" w:rsidRDefault="00CC621A" w:rsidP="002B6E63">
      <w:pPr>
        <w:pStyle w:val="teksts"/>
      </w:pPr>
      <w:r w:rsidRPr="00D002BB">
        <w:t xml:space="preserve">nacionālās kvalifikāciju ietvarstruktūras izstrāde un tās līmeņu pielīdzināšana Eiropas kvalifikāciju struktūrai, veicinot pāreju uz mācīšanas rezultātiem (learning outcomes) balstītu izglītības piedāvājumu, </w:t>
      </w:r>
    </w:p>
    <w:p w:rsidR="00CC621A" w:rsidRPr="00D002BB" w:rsidRDefault="00CC621A" w:rsidP="002B6E63">
      <w:pPr>
        <w:pStyle w:val="teksts"/>
      </w:pPr>
      <w:r w:rsidRPr="00D002BB">
        <w:t>ārpus formālās izglītības sistēmas apgūto zināšanu, prasmju un profesionālās kompetences novērtēšanas nodrošināšana,</w:t>
      </w:r>
    </w:p>
    <w:p w:rsidR="00CC621A" w:rsidRPr="00D002BB" w:rsidRDefault="00CC621A" w:rsidP="002B6E63">
      <w:pPr>
        <w:pStyle w:val="teksts"/>
      </w:pPr>
      <w:r w:rsidRPr="00D002BB">
        <w:t>otrās iespējas izglītības piedāvājums kā kompensējošs mehānisms izglītību priekšlaicīgi pametušo (early school leavers) skaita samazināšanai,</w:t>
      </w:r>
    </w:p>
    <w:p w:rsidR="00CC621A" w:rsidRPr="00D002BB" w:rsidRDefault="00CC621A" w:rsidP="002B6E63">
      <w:pPr>
        <w:pStyle w:val="teksts"/>
      </w:pPr>
      <w:r w:rsidRPr="00D002BB">
        <w:t>atbalsts darbinieku kvalifikācijas pilnveidošanai atbilstoši darba devēju prasībām, kas nepieciešams nodarbināto apmācībām nozaru ietvaros. Tās ir apmācības, kas pilnveido darba devēju un darbinieku zināšanas un motivē tos plašāk izmantot informāciju tehnoloģijas ražošanas un biznesa procesu vadībā un citas mūsdienīgas ražošanas un biznesa procesu vadības.</w:t>
      </w:r>
    </w:p>
    <w:p w:rsidR="00CC621A" w:rsidRPr="00D002BB" w:rsidRDefault="00CC621A" w:rsidP="002B6E63">
      <w:pPr>
        <w:pStyle w:val="teksts"/>
      </w:pPr>
      <w:r w:rsidRPr="00D002BB">
        <w:t>Priekšnosacījums otrās iespējas izglītības piedāvājuma kā kompensējošs mehānisms izglītību priekšlaicīgi pametušo (early school leavers) skaita samazināšanai ir adaptēties spējīgas un konkurētspējīgas profesionālās izglītības sistēmas izveide. Nosacījuma izpildei pamatnostādņu rīcības virzienu kontekstā ir plānoti šādi pasākumi.</w:t>
      </w:r>
    </w:p>
    <w:p w:rsidR="00CC621A" w:rsidRPr="00D002BB" w:rsidRDefault="00CC621A" w:rsidP="002B6E63">
      <w:pPr>
        <w:pStyle w:val="teksts"/>
      </w:pPr>
      <w:r w:rsidRPr="00D002BB">
        <w:t xml:space="preserve">RV 1.1. „Uz zināšanu sabiedrībā pieprasītām kompetencēm orientēta un radošumu veicinoša izglītības satura pilnveide” ietvaros sadarbībā ar sociālajiem partneriem tiks ieviesta nacionālās kvalifikācijas ietvarstruktūra, sasaistot to ar Eiropas kvalifikācijas ietvarstruktūru. Šo darbību rezultātā tiks veicināta pāreja uz mācīšanās rezultātiem balstītu izglītības </w:t>
      </w:r>
      <w:r w:rsidRPr="00D002BB">
        <w:lastRenderedPageBreak/>
        <w:t>piedāvājumu (šī pāreja būs saistoša arī mūžizglītībai). Tāpat RV 1.1. ietvaros tiek paredzēta digitālo materiālu izstrāde (tajā skaitā latviešu valodas apguvei), kas palīdzēs attīstīt mūžizglītības kompetences mūsdienīgā veidā – indivīdam vēlamā vietā un laikā.</w:t>
      </w:r>
    </w:p>
    <w:p w:rsidR="00CC621A" w:rsidRPr="00D002BB" w:rsidRDefault="00CC621A" w:rsidP="002B6E63">
      <w:pPr>
        <w:pStyle w:val="teksts"/>
      </w:pPr>
      <w:r w:rsidRPr="00D002BB">
        <w:t>RV 1.2. „Pedagogu un akadēmiskā personāla motivācijas un profesionālās kapacitātes paaugstināšana” ietvaros ir plānoti pasākumi, kas vērsti uz mūžizglītības sistēmas nostiprināšanu, rīcības virziena ietvaros paredzot pasākumus mācībspēku mūžizglītības, profesionālo kompetenču un praktisko iemaņu pilnveidei.</w:t>
      </w:r>
    </w:p>
    <w:p w:rsidR="00CC621A" w:rsidRPr="00D002BB" w:rsidRDefault="00CC621A" w:rsidP="002B6E63">
      <w:pPr>
        <w:pStyle w:val="teksts"/>
      </w:pPr>
      <w:r w:rsidRPr="00D002BB">
        <w:t>Ar jaunatni saistītie mūžizglītības aspekti aktualizēti RV 2.3. „Neformālās izglītības iespēju bērniem un jauniešiem paplašināšana”, paredzot sekmēt bērnu un jauniešu līdzdalību interešu izglītības programmās, paaugstināt kultūrizglītības pieejamību, kā arī veicināt jauniešu iesaisti neformālajā izglītībā. Mūžizglītība sākas no agras jaunības, līdz ar to visi paredzētie pasākumi ļaus indivīdam pilnvērtīgi uzsākt iesaisti mūžizglītībā.</w:t>
      </w:r>
    </w:p>
    <w:p w:rsidR="00CC621A" w:rsidRPr="00D002BB" w:rsidRDefault="00CC621A" w:rsidP="002B6E63">
      <w:pPr>
        <w:pStyle w:val="teksts"/>
      </w:pPr>
      <w:r w:rsidRPr="00D002BB">
        <w:t>RV 2.4. „Pieaugušo izglītības iespēju paplašināšana” ietvaros ir plānots īstenot pasākumus, lai veicinātu strādājošo konkurētspējas un darba produktivitātes pieaugumu atbilstoši darba tirgus prasībām. Plānotie pasākumi ietver normatīvā regulējuma pilnveidošanu, atbalsta sniegšanu darba devējiem formālās un neformālās izglītības nodrošināšanai nodarbinātajiem, kā arī tālākizglītības un pieaugušo izglītības atbalsta sistēmas izveidi. Paredzētā atbalsta sistēma nodrošinās personāla kapacitātes stiprināšanu profesionālās izglītības internacionalizācijas kontekstā, dzīvesprasmju, veselīga dzīvesveida, zaļās domāšanas un uzņēmējdarbības attīstības kontekstā. Paredzēto darbību rezultātā tiks sniegts pietiekams atbalsts, lai darbinieki spētu pilnveidot savu kvalifikāciju atbilstoši darba devēju prasībām, kā arī tiks pilnveidotas darba devēju un darbinieku prasmes mūsdienīgas ražošanas un biznesa procesu vadībā. Pieaugušo izglītība arī ir būtiska mūžizglītības sastāvdaļa, un dinamiskās izmaiņas ekonomikā un tehnoloģiju jomā, kā arī darbavietu maiņa liek indivīdam iegūt labāku kvalifikāciju un plašāk pielietojamas prasmes.</w:t>
      </w:r>
    </w:p>
    <w:p w:rsidR="00CC621A" w:rsidRPr="00D002BB" w:rsidRDefault="00CC621A" w:rsidP="002B6E63">
      <w:pPr>
        <w:pStyle w:val="teksts"/>
      </w:pPr>
      <w:r w:rsidRPr="00D002BB">
        <w:t>RV 2.4. ietvaros tiek plānots nodrošināt profesionālās izglītības iestāžu, eksaminācijas centru un citu saistīto institūciju sadarbības tīkla izveidi ārpus formālās izglītības iegūtās kompetences novērtēšanai ar mērķi nodrošināt optimālu vienotu pieeju. Tāpat ir paredzēti atbalsta pasākumi ārpus formālās izglītības iegūtās kompetences novērtēšanas īstenošanai darbaspēka migrācijas procesu kontekstā un informatīvie pasākumi, iesaistot nozaru profesionālās organizācijas. Šo pasākumu ietekmes rezultātā tiks nodrošināts mehānisms, lai novērtētu zināšanas, prasmes un profesionālās kompetences, kas ir iegūtas ārpus formālās izglītības sistēmas. Šī pieeja palīdzēs atbalstīt arī mūžizglītības principus, jo indivīdam radīsies pārliecība, ka iegūtās zināšanas, prasmes un kompetences ir iespējams fiksēt un novērtēt.</w:t>
      </w:r>
    </w:p>
    <w:p w:rsidR="00CC621A" w:rsidRPr="00D002BB" w:rsidRDefault="00CC621A" w:rsidP="002B6E63">
      <w:pPr>
        <w:pStyle w:val="teksts"/>
        <w:sectPr w:rsidR="00CC621A" w:rsidRPr="00D002BB" w:rsidSect="00E254C2">
          <w:pgSz w:w="11907" w:h="16840" w:code="9"/>
          <w:pgMar w:top="1134" w:right="1134" w:bottom="1134" w:left="1701" w:header="720" w:footer="720" w:gutter="0"/>
          <w:cols w:space="708"/>
          <w:noEndnote/>
          <w:docGrid w:linePitch="326"/>
        </w:sectPr>
      </w:pPr>
      <w:r w:rsidRPr="00D002BB">
        <w:t>RV 3.3. „Izglītības iestāžu tīkla pilnveide un pakalpojumu pieejamība” ietvaros ir plānots izstrādāt alternatīvos izglītības iegūšanas modeļus un to ieviešanas mehānismus mācību turpināšanai izglītību priekšlaicīgi pametušajiem (tai skaitā kā izlīdzināšanas pasākumi, izglītības izmēģinājuma pasākumi, utt.). Šo pasākumu īstenošanas rezultātā tiks samazināts izglītību priekšlaicīgi pametušo skaits, kā arī sekmēta mūžizglītības pieejamība kopumā.</w:t>
      </w:r>
    </w:p>
    <w:p w:rsidR="00CC621A" w:rsidRPr="002B6E63" w:rsidRDefault="00CC621A" w:rsidP="00D002BB">
      <w:pPr>
        <w:rPr>
          <w:b/>
          <w:sz w:val="28"/>
        </w:rPr>
      </w:pPr>
      <w:r w:rsidRPr="002B6E63">
        <w:rPr>
          <w:b/>
          <w:sz w:val="28"/>
        </w:rPr>
        <w:lastRenderedPageBreak/>
        <w:t>Mūžizglītības sistēmas pārvaldības un pakalpojumu īstenošanas modelis</w:t>
      </w:r>
    </w:p>
    <w:p w:rsidR="00CC621A" w:rsidRPr="00D002BB" w:rsidRDefault="003D1ECB" w:rsidP="00D002BB">
      <w:r>
        <w:rPr>
          <w:noProof/>
          <w:lang w:eastAsia="lv-LV"/>
        </w:rPr>
        <w:drawing>
          <wp:inline distT="0" distB="0" distL="0" distR="0">
            <wp:extent cx="3491230" cy="4343400"/>
            <wp:effectExtent l="19050" t="0" r="13970" b="0"/>
            <wp:docPr id="3" name="Diagram 17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Pr>
          <w:noProof/>
          <w:lang w:eastAsia="lv-LV"/>
        </w:rPr>
        <w:drawing>
          <wp:inline distT="0" distB="0" distL="0" distR="0">
            <wp:extent cx="4705350" cy="4391025"/>
            <wp:effectExtent l="0" t="0" r="0" b="0"/>
            <wp:docPr id="4" name="Diagram 17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C621A" w:rsidRPr="00D002BB" w:rsidRDefault="00CC621A" w:rsidP="002B6E63">
      <w:pPr>
        <w:pStyle w:val="teksts"/>
      </w:pPr>
      <w:r w:rsidRPr="00D002BB">
        <w:t xml:space="preserve">Mācības var tikt īstenotas gan tradicionāli, gan modernās formās, piemēram, tālmācībā, vakara kursos, eksternātā, pēc iespējas īsākā laikā, efektīvi sadarbojoties ar uzņēmējiem (prioritāri reģionos) un uzsverot praktisko darbu. Jaunas pieejas pieaugušo izglītības sistēmas modeļa izstrādē un ieviešanā pamatā ir gan mācību nodrošināšana pēc iespējas tuvāk dzīves un darba vietai, gan jauniem izaicinājumiem un situācijām atbilstīgu kompetenču apguve. </w:t>
      </w:r>
    </w:p>
    <w:p w:rsidR="00CC621A" w:rsidRPr="00D002BB" w:rsidRDefault="00CC621A" w:rsidP="002B6E63">
      <w:pPr>
        <w:pStyle w:val="teksts"/>
      </w:pPr>
      <w:r w:rsidRPr="00D002BB">
        <w:lastRenderedPageBreak/>
        <w:t>IZM pieaugušo izglītības modeļa īstenošanā paredz noteiktu finansēšanas mehānismu (sadali) un avotus (valsts, Eiropas sociālais fonds, darba devēju, uzņēmēju un privāto finansējums), kā arī noteiktu mērķauditoriju (prioritāšu noteikšana).</w:t>
      </w:r>
    </w:p>
    <w:p w:rsidR="00CC621A" w:rsidRPr="002B6E63" w:rsidRDefault="00CC621A" w:rsidP="00D002BB">
      <w:pPr>
        <w:rPr>
          <w:b/>
          <w:sz w:val="28"/>
        </w:rPr>
      </w:pPr>
      <w:r w:rsidRPr="002B6E63">
        <w:rPr>
          <w:b/>
          <w:sz w:val="28"/>
        </w:rPr>
        <w:t>Starpinstitucionālais sadarbības modelis mūžizglītības sistēmas nodrošināšanai</w:t>
      </w:r>
    </w:p>
    <w:tbl>
      <w:tblPr>
        <w:tblW w:w="10960" w:type="dxa"/>
        <w:jc w:val="center"/>
        <w:tblCellMar>
          <w:left w:w="0" w:type="dxa"/>
          <w:right w:w="0" w:type="dxa"/>
        </w:tblCellMar>
        <w:tblLook w:val="04A0"/>
      </w:tblPr>
      <w:tblGrid>
        <w:gridCol w:w="3360"/>
        <w:gridCol w:w="1440"/>
        <w:gridCol w:w="10"/>
        <w:gridCol w:w="1450"/>
        <w:gridCol w:w="1660"/>
        <w:gridCol w:w="1980"/>
        <w:gridCol w:w="1060"/>
      </w:tblGrid>
      <w:tr w:rsidR="00CC621A" w:rsidRPr="00421AC3" w:rsidTr="009810B6">
        <w:trPr>
          <w:trHeight w:val="340"/>
          <w:jc w:val="center"/>
        </w:trPr>
        <w:tc>
          <w:tcPr>
            <w:tcW w:w="3360" w:type="dxa"/>
            <w:vMerge w:val="restart"/>
            <w:tcBorders>
              <w:top w:val="single" w:sz="8" w:space="0" w:color="auto"/>
              <w:left w:val="single" w:sz="8" w:space="0" w:color="auto"/>
              <w:bottom w:val="single" w:sz="8" w:space="0" w:color="000000"/>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Mērķa grupa (labuma guvēji)</w:t>
            </w:r>
          </w:p>
        </w:tc>
        <w:tc>
          <w:tcPr>
            <w:tcW w:w="2900" w:type="dxa"/>
            <w:gridSpan w:val="3"/>
            <w:tcBorders>
              <w:top w:val="single" w:sz="8" w:space="0" w:color="auto"/>
              <w:left w:val="nil"/>
              <w:bottom w:val="single" w:sz="4" w:space="0" w:color="auto"/>
              <w:right w:val="single" w:sz="8" w:space="0" w:color="000000"/>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Formālā izglītība</w:t>
            </w:r>
          </w:p>
        </w:tc>
        <w:tc>
          <w:tcPr>
            <w:tcW w:w="3640" w:type="dxa"/>
            <w:gridSpan w:val="2"/>
            <w:tcBorders>
              <w:top w:val="single" w:sz="8" w:space="0" w:color="auto"/>
              <w:left w:val="nil"/>
              <w:bottom w:val="single" w:sz="4" w:space="0" w:color="auto"/>
              <w:right w:val="single" w:sz="8" w:space="0" w:color="000000"/>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Neformālā izglītība</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Informālā izglītība</w:t>
            </w:r>
          </w:p>
        </w:tc>
      </w:tr>
      <w:tr w:rsidR="00CC621A" w:rsidRPr="00421AC3" w:rsidTr="009810B6">
        <w:trPr>
          <w:trHeight w:val="34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8" w:space="0" w:color="auto"/>
              <w:right w:val="single" w:sz="4"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pamatprasmes (pašattīstībai)</w:t>
            </w:r>
          </w:p>
        </w:tc>
        <w:tc>
          <w:tcPr>
            <w:tcW w:w="1460" w:type="dxa"/>
            <w:gridSpan w:val="2"/>
            <w:tcBorders>
              <w:top w:val="nil"/>
              <w:left w:val="nil"/>
              <w:bottom w:val="single" w:sz="8" w:space="0" w:color="auto"/>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profesionālās prasmes (darbam)</w:t>
            </w:r>
          </w:p>
        </w:tc>
        <w:tc>
          <w:tcPr>
            <w:tcW w:w="1660" w:type="dxa"/>
            <w:tcBorders>
              <w:top w:val="nil"/>
              <w:left w:val="nil"/>
              <w:bottom w:val="single" w:sz="8" w:space="0" w:color="auto"/>
              <w:right w:val="single" w:sz="4"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pamatprasmes (pašattīstībai)</w:t>
            </w:r>
          </w:p>
        </w:tc>
        <w:tc>
          <w:tcPr>
            <w:tcW w:w="1980" w:type="dxa"/>
            <w:tcBorders>
              <w:top w:val="nil"/>
              <w:left w:val="nil"/>
              <w:bottom w:val="single" w:sz="8" w:space="0" w:color="auto"/>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profesionālās prasmes (darbam)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B73182" w:rsidRPr="00421AC3" w:rsidTr="001147F1">
        <w:trPr>
          <w:trHeight w:val="340"/>
          <w:jc w:val="center"/>
        </w:trPr>
        <w:tc>
          <w:tcPr>
            <w:tcW w:w="3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B73182" w:rsidRPr="00421AC3" w:rsidRDefault="00B73182" w:rsidP="00D002BB">
            <w:pPr>
              <w:rPr>
                <w:rFonts w:cs="Times New Roman"/>
                <w:sz w:val="20"/>
              </w:rPr>
            </w:pPr>
            <w:r w:rsidRPr="00421AC3">
              <w:rPr>
                <w:rFonts w:cs="Times New Roman"/>
                <w:sz w:val="20"/>
              </w:rPr>
              <w:t xml:space="preserve">Jaunieši bezdarbnieki un darba meklētāji (15-24) </w:t>
            </w:r>
            <w:r w:rsidRPr="00421AC3">
              <w:rPr>
                <w:rFonts w:cs="Times New Roman"/>
                <w:sz w:val="20"/>
              </w:rPr>
              <w:br/>
              <w:t>Jaunieši nodarbinātie (15-24)</w:t>
            </w:r>
          </w:p>
        </w:tc>
        <w:tc>
          <w:tcPr>
            <w:tcW w:w="1450" w:type="dxa"/>
            <w:gridSpan w:val="2"/>
            <w:vMerge w:val="restart"/>
            <w:tcBorders>
              <w:top w:val="single" w:sz="8" w:space="0" w:color="auto"/>
              <w:left w:val="single" w:sz="8" w:space="0" w:color="auto"/>
              <w:right w:val="single" w:sz="8" w:space="0" w:color="000000"/>
            </w:tcBorders>
            <w:shd w:val="clear" w:color="000000" w:fill="92D050"/>
            <w:tcMar>
              <w:top w:w="15" w:type="dxa"/>
              <w:left w:w="15" w:type="dxa"/>
              <w:bottom w:w="0" w:type="dxa"/>
              <w:right w:w="15" w:type="dxa"/>
            </w:tcMar>
            <w:vAlign w:val="center"/>
            <w:hideMark/>
          </w:tcPr>
          <w:p w:rsidR="00B73182" w:rsidRPr="00421AC3" w:rsidRDefault="00B73182" w:rsidP="00D002BB">
            <w:pPr>
              <w:rPr>
                <w:rFonts w:cs="Times New Roman"/>
                <w:sz w:val="20"/>
              </w:rPr>
            </w:pPr>
            <w:r w:rsidRPr="00421AC3">
              <w:rPr>
                <w:rFonts w:cs="Times New Roman"/>
                <w:sz w:val="20"/>
              </w:rPr>
              <w:t xml:space="preserve">LM; IZM </w:t>
            </w:r>
          </w:p>
        </w:tc>
        <w:tc>
          <w:tcPr>
            <w:tcW w:w="1450" w:type="dxa"/>
            <w:tcBorders>
              <w:top w:val="single" w:sz="8" w:space="0" w:color="auto"/>
              <w:left w:val="single" w:sz="8" w:space="0" w:color="auto"/>
              <w:bottom w:val="single" w:sz="8" w:space="0" w:color="000000"/>
              <w:right w:val="single" w:sz="8" w:space="0" w:color="000000"/>
            </w:tcBorders>
            <w:shd w:val="clear" w:color="000000" w:fill="92D050"/>
            <w:vAlign w:val="center"/>
          </w:tcPr>
          <w:p w:rsidR="00B73182" w:rsidRPr="00421AC3" w:rsidRDefault="00B73182" w:rsidP="00D002BB">
            <w:pPr>
              <w:rPr>
                <w:rFonts w:cs="Times New Roman"/>
                <w:sz w:val="20"/>
              </w:rPr>
            </w:pPr>
          </w:p>
        </w:tc>
        <w:tc>
          <w:tcPr>
            <w:tcW w:w="3640"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B73182" w:rsidRPr="00421AC3" w:rsidRDefault="00B73182" w:rsidP="00D002BB">
            <w:pPr>
              <w:rPr>
                <w:rFonts w:cs="Times New Roman"/>
                <w:sz w:val="20"/>
              </w:rPr>
            </w:pPr>
            <w:r w:rsidRPr="00421AC3">
              <w:rPr>
                <w:rFonts w:cs="Times New Roman"/>
                <w:sz w:val="20"/>
              </w:rPr>
              <w:t xml:space="preserve">LM </w:t>
            </w:r>
          </w:p>
        </w:tc>
        <w:tc>
          <w:tcPr>
            <w:tcW w:w="106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B73182" w:rsidRPr="00421AC3" w:rsidRDefault="00B73182" w:rsidP="00D002BB">
            <w:pPr>
              <w:rPr>
                <w:rFonts w:cs="Times New Roman"/>
                <w:sz w:val="20"/>
              </w:rPr>
            </w:pPr>
            <w:r w:rsidRPr="00421AC3">
              <w:rPr>
                <w:rFonts w:cs="Times New Roman"/>
                <w:sz w:val="20"/>
              </w:rPr>
              <w:t>PATS</w:t>
            </w:r>
          </w:p>
        </w:tc>
      </w:tr>
      <w:tr w:rsidR="00B73182" w:rsidRPr="00421AC3" w:rsidTr="001147F1">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B73182" w:rsidRPr="00421AC3" w:rsidRDefault="00B73182" w:rsidP="00D002BB">
            <w:pPr>
              <w:rPr>
                <w:rFonts w:cs="Times New Roman"/>
                <w:sz w:val="20"/>
              </w:rPr>
            </w:pPr>
          </w:p>
        </w:tc>
        <w:tc>
          <w:tcPr>
            <w:tcW w:w="0" w:type="auto"/>
            <w:gridSpan w:val="2"/>
            <w:vMerge/>
            <w:tcBorders>
              <w:left w:val="single" w:sz="8" w:space="0" w:color="auto"/>
              <w:bottom w:val="single" w:sz="8" w:space="0" w:color="000000"/>
              <w:right w:val="single" w:sz="8" w:space="0" w:color="000000"/>
            </w:tcBorders>
            <w:shd w:val="clear" w:color="000000" w:fill="92D050"/>
            <w:vAlign w:val="center"/>
            <w:hideMark/>
          </w:tcPr>
          <w:p w:rsidR="00B73182" w:rsidRPr="00421AC3" w:rsidRDefault="00B73182" w:rsidP="00D002BB">
            <w:pPr>
              <w:rPr>
                <w:rFonts w:cs="Times New Roman"/>
                <w:sz w:val="20"/>
              </w:rPr>
            </w:pPr>
          </w:p>
        </w:tc>
        <w:tc>
          <w:tcPr>
            <w:tcW w:w="0" w:type="auto"/>
            <w:tcBorders>
              <w:top w:val="single" w:sz="8" w:space="0" w:color="auto"/>
              <w:left w:val="single" w:sz="8" w:space="0" w:color="auto"/>
              <w:bottom w:val="single" w:sz="8" w:space="0" w:color="000000"/>
              <w:right w:val="single" w:sz="8" w:space="0" w:color="000000"/>
            </w:tcBorders>
            <w:shd w:val="clear" w:color="000000" w:fill="92D050"/>
            <w:vAlign w:val="center"/>
          </w:tcPr>
          <w:p w:rsidR="00B73182" w:rsidRPr="00421AC3" w:rsidRDefault="00B73182" w:rsidP="00D002BB">
            <w:pPr>
              <w:rPr>
                <w:rFonts w:cs="Times New Roman"/>
                <w:sz w:val="20"/>
              </w:rPr>
            </w:pPr>
            <w:r>
              <w:rPr>
                <w:rFonts w:cs="Times New Roman"/>
                <w:sz w:val="20"/>
              </w:rPr>
              <w:t>EM</w:t>
            </w:r>
          </w:p>
        </w:tc>
        <w:tc>
          <w:tcPr>
            <w:tcW w:w="16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B73182" w:rsidRPr="00421AC3" w:rsidRDefault="00B73182" w:rsidP="009810B6">
            <w:pPr>
              <w:rPr>
                <w:rFonts w:cs="Times New Roman"/>
                <w:sz w:val="20"/>
              </w:rPr>
            </w:pPr>
            <w:r w:rsidRPr="00421AC3">
              <w:rPr>
                <w:rFonts w:cs="Times New Roman"/>
                <w:sz w:val="20"/>
              </w:rPr>
              <w:t>ZM</w:t>
            </w:r>
            <w:r>
              <w:rPr>
                <w:rFonts w:cs="Times New Roman"/>
                <w:sz w:val="20"/>
              </w:rPr>
              <w:t>, AM</w:t>
            </w:r>
            <w:r w:rsidRPr="00421AC3">
              <w:rPr>
                <w:rFonts w:cs="Times New Roman"/>
                <w:sz w:val="20"/>
              </w:rPr>
              <w:t xml:space="preserve"> </w:t>
            </w:r>
          </w:p>
        </w:tc>
        <w:tc>
          <w:tcPr>
            <w:tcW w:w="198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B73182" w:rsidRPr="00421AC3" w:rsidRDefault="00B73182" w:rsidP="00D002BB">
            <w:pPr>
              <w:rPr>
                <w:rFonts w:cs="Times New Roman"/>
                <w:sz w:val="20"/>
              </w:rPr>
            </w:pPr>
            <w:r w:rsidRPr="00421AC3">
              <w:rPr>
                <w:rFonts w:cs="Times New Roman"/>
                <w:sz w:val="20"/>
              </w:rPr>
              <w:t> </w:t>
            </w:r>
            <w:r>
              <w:rPr>
                <w:rFonts w:cs="Times New Roman"/>
                <w:sz w:val="20"/>
              </w:rPr>
              <w:t>EM</w:t>
            </w:r>
          </w:p>
        </w:tc>
        <w:tc>
          <w:tcPr>
            <w:tcW w:w="0" w:type="auto"/>
            <w:vMerge/>
            <w:tcBorders>
              <w:top w:val="nil"/>
              <w:left w:val="nil"/>
              <w:bottom w:val="single" w:sz="8" w:space="0" w:color="000000"/>
              <w:right w:val="single" w:sz="8" w:space="0" w:color="auto"/>
            </w:tcBorders>
            <w:vAlign w:val="center"/>
            <w:hideMark/>
          </w:tcPr>
          <w:p w:rsidR="00B73182" w:rsidRPr="00421AC3" w:rsidRDefault="00B73182" w:rsidP="00D002BB">
            <w:pPr>
              <w:rPr>
                <w:rFonts w:cs="Times New Roman"/>
                <w:sz w:val="20"/>
              </w:rPr>
            </w:pPr>
          </w:p>
        </w:tc>
      </w:tr>
      <w:tr w:rsidR="009810B6" w:rsidRPr="00421AC3" w:rsidTr="009810B6">
        <w:trPr>
          <w:trHeight w:val="340"/>
          <w:jc w:val="center"/>
        </w:trPr>
        <w:tc>
          <w:tcPr>
            <w:tcW w:w="3360" w:type="dxa"/>
            <w:vMerge w:val="restart"/>
            <w:tcBorders>
              <w:top w:val="nil"/>
              <w:left w:val="single" w:sz="8" w:space="0" w:color="auto"/>
              <w:right w:val="single" w:sz="8"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Pieaugušie (nodarbinātie) 25-54</w:t>
            </w:r>
          </w:p>
        </w:tc>
        <w:tc>
          <w:tcPr>
            <w:tcW w:w="2900" w:type="dxa"/>
            <w:gridSpan w:val="3"/>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LM  (prioritāte 45+)</w:t>
            </w:r>
          </w:p>
        </w:tc>
        <w:tc>
          <w:tcPr>
            <w:tcW w:w="3640" w:type="dxa"/>
            <w:gridSpan w:val="2"/>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LM  (prioritāte 45+)</w:t>
            </w:r>
          </w:p>
        </w:tc>
        <w:tc>
          <w:tcPr>
            <w:tcW w:w="1060" w:type="dxa"/>
            <w:vMerge w:val="restart"/>
            <w:tcBorders>
              <w:top w:val="nil"/>
              <w:left w:val="single" w:sz="8" w:space="0" w:color="auto"/>
              <w:right w:val="single" w:sz="8"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PATS</w:t>
            </w:r>
          </w:p>
        </w:tc>
      </w:tr>
      <w:tr w:rsidR="009810B6" w:rsidRPr="00421AC3" w:rsidTr="009810B6">
        <w:trPr>
          <w:trHeight w:val="340"/>
          <w:jc w:val="center"/>
        </w:trPr>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c>
          <w:tcPr>
            <w:tcW w:w="2900" w:type="dxa"/>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LM (50+)</w:t>
            </w:r>
          </w:p>
        </w:tc>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r>
      <w:tr w:rsidR="009810B6" w:rsidRPr="00421AC3" w:rsidTr="009810B6">
        <w:trPr>
          <w:trHeight w:val="340"/>
          <w:jc w:val="center"/>
        </w:trPr>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c>
          <w:tcPr>
            <w:tcW w:w="1440" w:type="dxa"/>
            <w:vMerge w:val="restart"/>
            <w:tcBorders>
              <w:top w:val="nil"/>
              <w:left w:val="single" w:sz="8" w:space="0" w:color="auto"/>
              <w:right w:val="single" w:sz="4"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 </w:t>
            </w:r>
            <w:r>
              <w:rPr>
                <w:rFonts w:cs="Times New Roman"/>
                <w:sz w:val="20"/>
              </w:rPr>
              <w:t>AM</w:t>
            </w: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 xml:space="preserve">VM </w:t>
            </w:r>
          </w:p>
        </w:tc>
        <w:tc>
          <w:tcPr>
            <w:tcW w:w="1660" w:type="dxa"/>
            <w:vMerge w:val="restart"/>
            <w:tcBorders>
              <w:top w:val="nil"/>
              <w:left w:val="single" w:sz="8" w:space="0" w:color="auto"/>
              <w:right w:val="single" w:sz="4"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 xml:space="preserve">ZM </w:t>
            </w: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 xml:space="preserve">VARAM </w:t>
            </w:r>
          </w:p>
        </w:tc>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r>
      <w:tr w:rsidR="009810B6" w:rsidRPr="00421AC3" w:rsidTr="009810B6">
        <w:trPr>
          <w:trHeight w:val="340"/>
          <w:jc w:val="center"/>
        </w:trPr>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c>
          <w:tcPr>
            <w:tcW w:w="0" w:type="auto"/>
            <w:vMerge/>
            <w:tcBorders>
              <w:left w:val="single" w:sz="8" w:space="0" w:color="auto"/>
              <w:right w:val="single" w:sz="4" w:space="0" w:color="auto"/>
            </w:tcBorders>
            <w:vAlign w:val="center"/>
            <w:hideMark/>
          </w:tcPr>
          <w:p w:rsidR="009810B6" w:rsidRPr="00421AC3" w:rsidRDefault="009810B6" w:rsidP="00D002BB">
            <w:pPr>
              <w:rPr>
                <w:rFonts w:cs="Times New Roman"/>
                <w:sz w:val="20"/>
              </w:rPr>
            </w:pP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 xml:space="preserve">EM </w:t>
            </w:r>
          </w:p>
        </w:tc>
        <w:tc>
          <w:tcPr>
            <w:tcW w:w="0" w:type="auto"/>
            <w:vMerge/>
            <w:tcBorders>
              <w:left w:val="single" w:sz="8" w:space="0" w:color="auto"/>
              <w:right w:val="single" w:sz="4" w:space="0" w:color="auto"/>
            </w:tcBorders>
            <w:vAlign w:val="center"/>
            <w:hideMark/>
          </w:tcPr>
          <w:p w:rsidR="009810B6" w:rsidRPr="00421AC3" w:rsidRDefault="009810B6" w:rsidP="00D002BB">
            <w:pPr>
              <w:rPr>
                <w:rFonts w:cs="Times New Roman"/>
                <w:sz w:val="20"/>
              </w:rPr>
            </w:pP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 xml:space="preserve">EM </w:t>
            </w:r>
          </w:p>
        </w:tc>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r>
      <w:tr w:rsidR="009810B6" w:rsidRPr="00421AC3" w:rsidTr="009810B6">
        <w:trPr>
          <w:trHeight w:val="340"/>
          <w:jc w:val="center"/>
        </w:trPr>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c>
          <w:tcPr>
            <w:tcW w:w="0" w:type="auto"/>
            <w:vMerge/>
            <w:tcBorders>
              <w:left w:val="single" w:sz="8" w:space="0" w:color="auto"/>
              <w:right w:val="single" w:sz="4" w:space="0" w:color="auto"/>
            </w:tcBorders>
            <w:vAlign w:val="center"/>
            <w:hideMark/>
          </w:tcPr>
          <w:p w:rsidR="009810B6" w:rsidRPr="00421AC3" w:rsidRDefault="009810B6" w:rsidP="00D002BB">
            <w:pPr>
              <w:rPr>
                <w:rFonts w:cs="Times New Roman"/>
                <w:sz w:val="20"/>
              </w:rPr>
            </w:pPr>
          </w:p>
        </w:tc>
        <w:tc>
          <w:tcPr>
            <w:tcW w:w="1460" w:type="dxa"/>
            <w:gridSpan w:val="2"/>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 xml:space="preserve">IZM </w:t>
            </w:r>
          </w:p>
        </w:tc>
        <w:tc>
          <w:tcPr>
            <w:tcW w:w="0" w:type="auto"/>
            <w:vMerge/>
            <w:tcBorders>
              <w:left w:val="single" w:sz="8" w:space="0" w:color="auto"/>
              <w:right w:val="single" w:sz="4" w:space="0" w:color="auto"/>
            </w:tcBorders>
            <w:vAlign w:val="center"/>
            <w:hideMark/>
          </w:tcPr>
          <w:p w:rsidR="009810B6" w:rsidRPr="00421AC3" w:rsidRDefault="009810B6" w:rsidP="00D002BB">
            <w:pPr>
              <w:rPr>
                <w:rFonts w:cs="Times New Roman"/>
                <w:sz w:val="20"/>
              </w:rPr>
            </w:pPr>
          </w:p>
        </w:tc>
        <w:tc>
          <w:tcPr>
            <w:tcW w:w="1980" w:type="dxa"/>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9810B6" w:rsidRPr="00421AC3" w:rsidRDefault="009810B6" w:rsidP="00D002BB">
            <w:pPr>
              <w:rPr>
                <w:rFonts w:cs="Times New Roman"/>
                <w:sz w:val="20"/>
              </w:rPr>
            </w:pPr>
            <w:r w:rsidRPr="00421AC3">
              <w:rPr>
                <w:rFonts w:cs="Times New Roman"/>
                <w:sz w:val="20"/>
              </w:rPr>
              <w:t>IZM</w:t>
            </w:r>
          </w:p>
        </w:tc>
        <w:tc>
          <w:tcPr>
            <w:tcW w:w="0" w:type="auto"/>
            <w:vMerge/>
            <w:tcBorders>
              <w:left w:val="single" w:sz="8" w:space="0" w:color="auto"/>
              <w:right w:val="single" w:sz="8" w:space="0" w:color="auto"/>
            </w:tcBorders>
            <w:vAlign w:val="center"/>
            <w:hideMark/>
          </w:tcPr>
          <w:p w:rsidR="009810B6" w:rsidRPr="00421AC3" w:rsidRDefault="009810B6" w:rsidP="00D002BB">
            <w:pPr>
              <w:rPr>
                <w:rFonts w:cs="Times New Roman"/>
                <w:sz w:val="20"/>
              </w:rPr>
            </w:pPr>
          </w:p>
        </w:tc>
      </w:tr>
      <w:tr w:rsidR="009810B6" w:rsidRPr="00421AC3" w:rsidTr="009810B6">
        <w:trPr>
          <w:trHeight w:val="340"/>
          <w:jc w:val="center"/>
        </w:trPr>
        <w:tc>
          <w:tcPr>
            <w:tcW w:w="0" w:type="auto"/>
            <w:vMerge/>
            <w:tcBorders>
              <w:left w:val="single" w:sz="8" w:space="0" w:color="auto"/>
              <w:bottom w:val="single" w:sz="8" w:space="0" w:color="000000"/>
              <w:right w:val="single" w:sz="8" w:space="0" w:color="auto"/>
            </w:tcBorders>
            <w:vAlign w:val="center"/>
          </w:tcPr>
          <w:p w:rsidR="009810B6" w:rsidRPr="00421AC3" w:rsidRDefault="009810B6" w:rsidP="00D002BB">
            <w:pPr>
              <w:rPr>
                <w:rFonts w:cs="Times New Roman"/>
                <w:sz w:val="20"/>
              </w:rPr>
            </w:pPr>
          </w:p>
        </w:tc>
        <w:tc>
          <w:tcPr>
            <w:tcW w:w="0" w:type="auto"/>
            <w:vMerge/>
            <w:tcBorders>
              <w:left w:val="single" w:sz="8" w:space="0" w:color="auto"/>
              <w:bottom w:val="single" w:sz="8" w:space="0" w:color="000000"/>
              <w:right w:val="single" w:sz="4" w:space="0" w:color="auto"/>
            </w:tcBorders>
            <w:vAlign w:val="center"/>
          </w:tcPr>
          <w:p w:rsidR="009810B6" w:rsidRPr="00421AC3" w:rsidRDefault="009810B6" w:rsidP="00D002BB">
            <w:pPr>
              <w:rPr>
                <w:rFonts w:cs="Times New Roman"/>
                <w:sz w:val="20"/>
              </w:rPr>
            </w:pPr>
          </w:p>
        </w:tc>
        <w:tc>
          <w:tcPr>
            <w:tcW w:w="1460" w:type="dxa"/>
            <w:gridSpan w:val="2"/>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tcPr>
          <w:p w:rsidR="009810B6" w:rsidRPr="00421AC3" w:rsidRDefault="009810B6" w:rsidP="00D002BB">
            <w:pPr>
              <w:rPr>
                <w:rFonts w:cs="Times New Roman"/>
                <w:sz w:val="20"/>
              </w:rPr>
            </w:pPr>
            <w:r>
              <w:rPr>
                <w:rFonts w:cs="Times New Roman"/>
                <w:sz w:val="20"/>
              </w:rPr>
              <w:t>AM</w:t>
            </w:r>
          </w:p>
        </w:tc>
        <w:tc>
          <w:tcPr>
            <w:tcW w:w="0" w:type="auto"/>
            <w:vMerge/>
            <w:tcBorders>
              <w:left w:val="single" w:sz="8" w:space="0" w:color="auto"/>
              <w:bottom w:val="single" w:sz="8" w:space="0" w:color="000000"/>
              <w:right w:val="single" w:sz="4" w:space="0" w:color="auto"/>
            </w:tcBorders>
            <w:vAlign w:val="center"/>
          </w:tcPr>
          <w:p w:rsidR="009810B6" w:rsidRPr="00421AC3" w:rsidRDefault="009810B6" w:rsidP="00D002BB">
            <w:pPr>
              <w:rPr>
                <w:rFonts w:cs="Times New Roman"/>
                <w:sz w:val="20"/>
              </w:rPr>
            </w:pPr>
          </w:p>
        </w:tc>
        <w:tc>
          <w:tcPr>
            <w:tcW w:w="1980" w:type="dxa"/>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tcPr>
          <w:p w:rsidR="009810B6" w:rsidRPr="00421AC3" w:rsidRDefault="009810B6" w:rsidP="00D002BB">
            <w:pPr>
              <w:rPr>
                <w:rFonts w:cs="Times New Roman"/>
                <w:sz w:val="20"/>
              </w:rPr>
            </w:pPr>
          </w:p>
        </w:tc>
        <w:tc>
          <w:tcPr>
            <w:tcW w:w="0" w:type="auto"/>
            <w:vMerge/>
            <w:tcBorders>
              <w:left w:val="single" w:sz="8" w:space="0" w:color="auto"/>
              <w:bottom w:val="nil"/>
              <w:right w:val="single" w:sz="8" w:space="0" w:color="auto"/>
            </w:tcBorders>
            <w:vAlign w:val="center"/>
          </w:tcPr>
          <w:p w:rsidR="009810B6" w:rsidRPr="00421AC3" w:rsidRDefault="009810B6" w:rsidP="00D002BB">
            <w:pPr>
              <w:rPr>
                <w:rFonts w:cs="Times New Roman"/>
                <w:sz w:val="20"/>
              </w:rPr>
            </w:pPr>
          </w:p>
        </w:tc>
      </w:tr>
      <w:tr w:rsidR="00CC621A" w:rsidRPr="00421AC3" w:rsidTr="009810B6">
        <w:trPr>
          <w:trHeight w:val="340"/>
          <w:jc w:val="center"/>
        </w:trPr>
        <w:tc>
          <w:tcPr>
            <w:tcW w:w="3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Pieaugušie (bezdarbnieki un darba meklētāji) 25-54  </w:t>
            </w:r>
          </w:p>
        </w:tc>
        <w:tc>
          <w:tcPr>
            <w:tcW w:w="2900"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LM </w:t>
            </w:r>
          </w:p>
        </w:tc>
        <w:tc>
          <w:tcPr>
            <w:tcW w:w="3640"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PATS</w:t>
            </w:r>
          </w:p>
        </w:tc>
      </w:tr>
      <w:tr w:rsidR="00CC621A" w:rsidRPr="00421AC3" w:rsidTr="009810B6">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2900" w:type="dxa"/>
            <w:gridSpan w:val="3"/>
            <w:vMerge w:val="restart"/>
            <w:tcBorders>
              <w:top w:val="single" w:sz="4" w:space="0" w:color="auto"/>
              <w:left w:val="single" w:sz="8"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9810B6">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0" w:type="auto"/>
            <w:gridSpan w:val="3"/>
            <w:vMerge/>
            <w:tcBorders>
              <w:top w:val="single" w:sz="4" w:space="0" w:color="auto"/>
              <w:left w:val="single" w:sz="8" w:space="0" w:color="auto"/>
              <w:bottom w:val="single" w:sz="8" w:space="0" w:color="000000"/>
              <w:right w:val="single" w:sz="8" w:space="0" w:color="000000"/>
            </w:tcBorders>
            <w:vAlign w:val="center"/>
            <w:hideMark/>
          </w:tcPr>
          <w:p w:rsidR="00CC621A" w:rsidRPr="00421AC3" w:rsidRDefault="00CC621A" w:rsidP="00D002BB">
            <w:pPr>
              <w:rPr>
                <w:rFonts w:cs="Times New Roman"/>
                <w:sz w:val="20"/>
              </w:rPr>
            </w:pPr>
          </w:p>
        </w:tc>
        <w:tc>
          <w:tcPr>
            <w:tcW w:w="16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ZM </w:t>
            </w:r>
          </w:p>
        </w:tc>
        <w:tc>
          <w:tcPr>
            <w:tcW w:w="19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9810B6">
        <w:trPr>
          <w:trHeight w:val="340"/>
          <w:jc w:val="center"/>
        </w:trPr>
        <w:tc>
          <w:tcPr>
            <w:tcW w:w="3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Pirmspensijas vecumā un turpmāk (55+) nodarbinātie</w:t>
            </w:r>
          </w:p>
        </w:tc>
        <w:tc>
          <w:tcPr>
            <w:tcW w:w="2900"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(prioritāte 45+)</w:t>
            </w:r>
          </w:p>
        </w:tc>
        <w:tc>
          <w:tcPr>
            <w:tcW w:w="3640"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(prioritāte 45+)</w:t>
            </w:r>
          </w:p>
        </w:tc>
        <w:tc>
          <w:tcPr>
            <w:tcW w:w="10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PATS</w:t>
            </w:r>
          </w:p>
        </w:tc>
      </w:tr>
      <w:tr w:rsidR="00CC621A" w:rsidRPr="00421AC3" w:rsidTr="009810B6">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2900" w:type="dxa"/>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9810B6">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VM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ZM </w:t>
            </w: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VARAM </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9810B6">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EM</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EM </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9810B6">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460" w:type="dxa"/>
            <w:gridSpan w:val="2"/>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IZM</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980" w:type="dxa"/>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IZM</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9810B6">
        <w:trPr>
          <w:trHeight w:val="340"/>
          <w:jc w:val="center"/>
        </w:trPr>
        <w:tc>
          <w:tcPr>
            <w:tcW w:w="3360"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Pirmspensijas vecumā un turpmāk (55+) (bezdarbnieki)</w:t>
            </w:r>
          </w:p>
        </w:tc>
        <w:tc>
          <w:tcPr>
            <w:tcW w:w="2900"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w:t>
            </w:r>
          </w:p>
        </w:tc>
        <w:tc>
          <w:tcPr>
            <w:tcW w:w="3640"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LM </w:t>
            </w:r>
          </w:p>
        </w:tc>
        <w:tc>
          <w:tcPr>
            <w:tcW w:w="106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PATS</w:t>
            </w:r>
          </w:p>
        </w:tc>
      </w:tr>
      <w:tr w:rsidR="00CC621A" w:rsidRPr="00421AC3" w:rsidTr="009810B6">
        <w:trPr>
          <w:trHeight w:val="340"/>
          <w:jc w:val="center"/>
        </w:trPr>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2900" w:type="dxa"/>
            <w:gridSpan w:val="3"/>
            <w:vMerge w:val="restart"/>
            <w:tcBorders>
              <w:top w:val="single" w:sz="4" w:space="0" w:color="auto"/>
              <w:left w:val="single" w:sz="4" w:space="0" w:color="auto"/>
              <w:bottom w:val="single" w:sz="8" w:space="0" w:color="000000"/>
              <w:right w:val="single" w:sz="4"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0" w:type="auto"/>
            <w:vMerge/>
            <w:tcBorders>
              <w:top w:val="nil"/>
              <w:left w:val="nil"/>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9810B6">
        <w:trPr>
          <w:trHeight w:val="340"/>
          <w:jc w:val="center"/>
        </w:trPr>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0" w:type="auto"/>
            <w:gridSpan w:val="3"/>
            <w:vMerge/>
            <w:tcBorders>
              <w:top w:val="single" w:sz="4" w:space="0" w:color="auto"/>
              <w:left w:val="single" w:sz="4" w:space="0" w:color="auto"/>
              <w:bottom w:val="single" w:sz="8" w:space="0" w:color="000000"/>
              <w:right w:val="single" w:sz="4" w:space="0" w:color="000000"/>
            </w:tcBorders>
            <w:vAlign w:val="center"/>
            <w:hideMark/>
          </w:tcPr>
          <w:p w:rsidR="00CC621A" w:rsidRPr="00421AC3" w:rsidRDefault="00CC621A" w:rsidP="00D002BB">
            <w:pPr>
              <w:rPr>
                <w:rFonts w:cs="Times New Roman"/>
                <w:sz w:val="20"/>
              </w:rPr>
            </w:pPr>
          </w:p>
        </w:tc>
        <w:tc>
          <w:tcPr>
            <w:tcW w:w="166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ZM </w:t>
            </w:r>
          </w:p>
        </w:tc>
        <w:tc>
          <w:tcPr>
            <w:tcW w:w="198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0" w:type="auto"/>
            <w:vMerge/>
            <w:tcBorders>
              <w:top w:val="nil"/>
              <w:left w:val="nil"/>
              <w:bottom w:val="single" w:sz="8" w:space="0" w:color="000000"/>
              <w:right w:val="single" w:sz="8" w:space="0" w:color="auto"/>
            </w:tcBorders>
            <w:vAlign w:val="center"/>
            <w:hideMark/>
          </w:tcPr>
          <w:p w:rsidR="00CC621A" w:rsidRPr="00421AC3" w:rsidRDefault="00CC621A" w:rsidP="00D002BB">
            <w:pPr>
              <w:rPr>
                <w:rFonts w:cs="Times New Roman"/>
                <w:sz w:val="20"/>
              </w:rPr>
            </w:pPr>
          </w:p>
        </w:tc>
      </w:tr>
    </w:tbl>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r w:rsidRPr="00D002BB">
        <w:lastRenderedPageBreak/>
        <w:t xml:space="preserve"> </w:t>
      </w:r>
    </w:p>
    <w:p w:rsidR="00CC621A" w:rsidRPr="002B6E63" w:rsidRDefault="00CC621A" w:rsidP="002B6E63">
      <w:pPr>
        <w:jc w:val="both"/>
        <w:rPr>
          <w:b/>
        </w:rPr>
      </w:pPr>
      <w:r w:rsidRPr="002B6E63">
        <w:rPr>
          <w:b/>
        </w:rPr>
        <w:lastRenderedPageBreak/>
        <w:t xml:space="preserve">IZM finansējumu sadala plānošanas reģioniem proporcionāli pieaugušo izglītībā iesaistāmo cilvēku skaitam (reģionālās kvotas). Reģionālās kvotas un prioritātes:   </w:t>
      </w:r>
    </w:p>
    <w:p w:rsidR="00CC621A" w:rsidRPr="00D002BB" w:rsidRDefault="00CC621A" w:rsidP="002B6E63">
      <w:pPr>
        <w:pStyle w:val="ListParagraph"/>
        <w:numPr>
          <w:ilvl w:val="0"/>
          <w:numId w:val="19"/>
        </w:numPr>
      </w:pPr>
      <w:r w:rsidRPr="00D002BB">
        <w:t>nodarbinātie (skaits attiecīgajā reģionā)</w:t>
      </w:r>
    </w:p>
    <w:p w:rsidR="00CC621A" w:rsidRPr="00D002BB" w:rsidRDefault="00CC621A" w:rsidP="002B6E63">
      <w:pPr>
        <w:pStyle w:val="ListParagraph"/>
        <w:numPr>
          <w:ilvl w:val="1"/>
          <w:numId w:val="19"/>
        </w:numPr>
      </w:pPr>
      <w:r w:rsidRPr="00D002BB">
        <w:t xml:space="preserve">prioritāri  atbalstāmā mērķauditorija: 25 – 54 gadi, dalot pa vecumiem1) 25 – 34 (60%)  un 35 – 54 (40%); 2) 55+ </w:t>
      </w:r>
    </w:p>
    <w:p w:rsidR="00CC621A" w:rsidRPr="00D002BB" w:rsidRDefault="00CC621A" w:rsidP="002B6E63">
      <w:pPr>
        <w:pStyle w:val="ListParagraph"/>
        <w:numPr>
          <w:ilvl w:val="0"/>
          <w:numId w:val="19"/>
        </w:numPr>
      </w:pPr>
      <w:r w:rsidRPr="00D002BB">
        <w:t>Izglītības nepieciešamības plānošana tiek veikta katru gadu plānošanas reģionos:</w:t>
      </w:r>
    </w:p>
    <w:p w:rsidR="00CC621A" w:rsidRPr="00D002BB" w:rsidRDefault="00CC621A" w:rsidP="002B6E63">
      <w:pPr>
        <w:pStyle w:val="ListParagraph"/>
        <w:numPr>
          <w:ilvl w:val="1"/>
          <w:numId w:val="19"/>
        </w:numPr>
      </w:pPr>
      <w:r w:rsidRPr="00D002BB">
        <w:t>pēc izglītības – pamatprofesijas ieguve;</w:t>
      </w:r>
    </w:p>
    <w:p w:rsidR="00CC621A" w:rsidRPr="00D002BB" w:rsidRDefault="00CC621A" w:rsidP="002B6E63">
      <w:pPr>
        <w:pStyle w:val="ListParagraph"/>
        <w:numPr>
          <w:ilvl w:val="1"/>
          <w:numId w:val="19"/>
        </w:numPr>
      </w:pPr>
      <w:r w:rsidRPr="00D002BB">
        <w:t>pēc profesijas – otra kvalifikācija;</w:t>
      </w:r>
    </w:p>
    <w:p w:rsidR="00CC621A" w:rsidRPr="00D002BB" w:rsidRDefault="00CC621A" w:rsidP="002B6E63">
      <w:pPr>
        <w:pStyle w:val="ListParagraph"/>
        <w:numPr>
          <w:ilvl w:val="1"/>
          <w:numId w:val="19"/>
        </w:numPr>
      </w:pPr>
      <w:r w:rsidRPr="00D002BB">
        <w:t>pēc vecuma – kvalifikācijas paaugstināšana, pilnveide.</w:t>
      </w:r>
    </w:p>
    <w:p w:rsidR="00CC621A" w:rsidRPr="00D002BB" w:rsidRDefault="00CC621A" w:rsidP="002B6E63">
      <w:pPr>
        <w:pStyle w:val="ListParagraph"/>
        <w:numPr>
          <w:ilvl w:val="0"/>
          <w:numId w:val="19"/>
        </w:numPr>
      </w:pPr>
      <w:r w:rsidRPr="00D002BB">
        <w:t>Plānošanas reģioniem iedalītais finansējums tiek proporcionāli paredzēts:</w:t>
      </w:r>
    </w:p>
    <w:p w:rsidR="00CC621A" w:rsidRPr="00D002BB" w:rsidRDefault="00CC621A" w:rsidP="002B6E63">
      <w:pPr>
        <w:pStyle w:val="ListParagraph"/>
        <w:numPr>
          <w:ilvl w:val="1"/>
          <w:numId w:val="19"/>
        </w:numPr>
      </w:pPr>
      <w:r w:rsidRPr="00D002BB">
        <w:t>indivīda vajadzībām un interesēm – 2%;</w:t>
      </w:r>
    </w:p>
    <w:p w:rsidR="00CC621A" w:rsidRPr="00D002BB" w:rsidRDefault="00CC621A" w:rsidP="002B6E63">
      <w:pPr>
        <w:pStyle w:val="ListParagraph"/>
        <w:numPr>
          <w:ilvl w:val="1"/>
          <w:numId w:val="19"/>
        </w:numPr>
      </w:pPr>
      <w:r w:rsidRPr="00D002BB">
        <w:t>nozares attīstībai, darba devējiem darbinieku izglītošanai - 70%;</w:t>
      </w:r>
    </w:p>
    <w:p w:rsidR="00EA6B69" w:rsidRPr="00D002BB" w:rsidRDefault="00CC621A" w:rsidP="002B6E63">
      <w:pPr>
        <w:pStyle w:val="ListParagraph"/>
        <w:numPr>
          <w:ilvl w:val="1"/>
          <w:numId w:val="19"/>
        </w:numPr>
      </w:pPr>
      <w:r w:rsidRPr="00D002BB">
        <w:t>kvalifikācijas paaugstināšanai un pilnveidei – 28%.</w:t>
      </w:r>
    </w:p>
    <w:sectPr w:rsidR="00EA6B69" w:rsidRPr="00D002BB" w:rsidSect="00A60DA6">
      <w:pgSz w:w="12240" w:h="15840"/>
      <w:pgMar w:top="1134" w:right="1134" w:bottom="1134" w:left="1701" w:header="720" w:footer="720"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82F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ED" w:rsidRDefault="00506AED" w:rsidP="00E254C2">
      <w:r>
        <w:separator/>
      </w:r>
    </w:p>
  </w:endnote>
  <w:endnote w:type="continuationSeparator" w:id="0">
    <w:p w:rsidR="00506AED" w:rsidRDefault="00506AED" w:rsidP="00E25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2" w:rsidRDefault="00B731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Default="00727EF8">
    <w:pPr>
      <w:pStyle w:val="Footer"/>
      <w:jc w:val="right"/>
    </w:pPr>
    <w:r>
      <w:fldChar w:fldCharType="begin"/>
    </w:r>
    <w:r w:rsidR="008438AD">
      <w:instrText xml:space="preserve"> PAGE   \* MERGEFORMAT </w:instrText>
    </w:r>
    <w:r>
      <w:fldChar w:fldCharType="separate"/>
    </w:r>
    <w:r w:rsidR="002A0CB9">
      <w:rPr>
        <w:noProof/>
      </w:rPr>
      <w:t>38</w:t>
    </w:r>
    <w:r>
      <w:rPr>
        <w:noProof/>
      </w:rPr>
      <w:fldChar w:fldCharType="end"/>
    </w:r>
  </w:p>
  <w:p w:rsidR="008438AD" w:rsidRDefault="008438AD">
    <w:pPr>
      <w:pStyle w:val="Footer"/>
    </w:pPr>
    <w:r w:rsidRPr="001C7E1C">
      <w:rPr>
        <w:sz w:val="20"/>
      </w:rPr>
      <w:t>IZMPam_</w:t>
    </w:r>
    <w:r w:rsidR="00B73182">
      <w:rPr>
        <w:sz w:val="20"/>
      </w:rPr>
      <w:t>13</w:t>
    </w:r>
    <w:r w:rsidRPr="001C7E1C">
      <w:rPr>
        <w:sz w:val="20"/>
      </w:rPr>
      <w:t>1</w:t>
    </w:r>
    <w:r w:rsidR="00B73182">
      <w:rPr>
        <w:sz w:val="20"/>
      </w:rPr>
      <w:t>2</w:t>
    </w:r>
    <w:r w:rsidRPr="001C7E1C">
      <w:rPr>
        <w:sz w:val="20"/>
      </w:rPr>
      <w:t>13_IAP2020_</w:t>
    </w:r>
    <w:r>
      <w:rPr>
        <w:sz w:val="20"/>
      </w:rPr>
      <w:t>2</w:t>
    </w:r>
    <w:r w:rsidRPr="001C7E1C">
      <w:rPr>
        <w:sz w:val="20"/>
      </w:rPr>
      <w:t>piel</w:t>
    </w:r>
    <w:r>
      <w:rPr>
        <w:sz w:val="20"/>
      </w:rPr>
      <w:t xml:space="preserve">; </w:t>
    </w:r>
    <w:bookmarkStart w:id="4" w:name="_GoBack"/>
    <w:r w:rsidRPr="00686CCB">
      <w:rPr>
        <w:sz w:val="20"/>
      </w:rPr>
      <w:t>2014.–2020.gada Eiropas struktūrfondu plānošanas periodam piemērojamo ex-ante nosacījumu izpildes pašvērtējums</w:t>
    </w:r>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2" w:rsidRDefault="00B73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ED" w:rsidRDefault="00506AED" w:rsidP="00E254C2">
      <w:r>
        <w:separator/>
      </w:r>
    </w:p>
  </w:footnote>
  <w:footnote w:type="continuationSeparator" w:id="0">
    <w:p w:rsidR="00506AED" w:rsidRDefault="00506AED" w:rsidP="00E254C2">
      <w:r>
        <w:continuationSeparator/>
      </w:r>
    </w:p>
  </w:footnote>
  <w:footnote w:id="1">
    <w:p w:rsidR="008438AD" w:rsidRPr="00BC497E" w:rsidRDefault="008438AD" w:rsidP="00E254C2">
      <w:pPr>
        <w:pStyle w:val="FootnoteText"/>
        <w:rPr>
          <w:sz w:val="18"/>
          <w:szCs w:val="18"/>
        </w:rPr>
      </w:pPr>
      <w:r>
        <w:rPr>
          <w:rStyle w:val="FootnoteReference"/>
        </w:rPr>
        <w:footnoteRef/>
      </w:r>
      <w:r>
        <w:t xml:space="preserve"> </w:t>
      </w:r>
      <w:r w:rsidRPr="00BC497E">
        <w:rPr>
          <w:sz w:val="18"/>
          <w:szCs w:val="18"/>
        </w:rPr>
        <w:t>http://polsis.mk.gov.lv/view.do?id=2054</w:t>
      </w:r>
    </w:p>
  </w:footnote>
  <w:footnote w:id="2">
    <w:p w:rsidR="008438AD" w:rsidRPr="006B4B88" w:rsidRDefault="008438AD" w:rsidP="00E254C2">
      <w:pPr>
        <w:pStyle w:val="FootnoteText"/>
        <w:rPr>
          <w:sz w:val="18"/>
          <w:szCs w:val="18"/>
        </w:rPr>
      </w:pPr>
      <w:r>
        <w:rPr>
          <w:rStyle w:val="FootnoteReference"/>
        </w:rPr>
        <w:footnoteRef/>
      </w:r>
      <w:r w:rsidRPr="006B4B88">
        <w:t xml:space="preserve"> </w:t>
      </w:r>
      <w:r w:rsidRPr="006B4B88">
        <w:rPr>
          <w:sz w:val="18"/>
          <w:szCs w:val="18"/>
        </w:rPr>
        <w:t>http://polsis.mk.gov.lv/view.do?id=2169</w:t>
      </w:r>
    </w:p>
  </w:footnote>
  <w:footnote w:id="3">
    <w:p w:rsidR="008438AD" w:rsidRPr="00F950E0" w:rsidRDefault="008438AD" w:rsidP="00E254C2">
      <w:pPr>
        <w:pStyle w:val="FootnoteText"/>
      </w:pPr>
      <w:r>
        <w:rPr>
          <w:rStyle w:val="FootnoteReference"/>
        </w:rPr>
        <w:footnoteRef/>
      </w:r>
      <w:r>
        <w:t xml:space="preserve"> </w:t>
      </w:r>
      <w:hyperlink r:id="rId1" w:history="1">
        <w:r w:rsidRPr="00BD2910">
          <w:rPr>
            <w:rStyle w:val="Hyperlink"/>
            <w:sz w:val="18"/>
            <w:szCs w:val="18"/>
          </w:rPr>
          <w:t>http://izm.izm.gov.lv/nozares-politika/izglitiba/muzizglitiba/7248.html</w:t>
        </w:r>
      </w:hyperlink>
      <w:r>
        <w:rPr>
          <w:sz w:val="18"/>
          <w:szCs w:val="18"/>
        </w:rPr>
        <w:t xml:space="preserve">, </w:t>
      </w:r>
      <w:r w:rsidRPr="008A7251">
        <w:rPr>
          <w:sz w:val="18"/>
          <w:szCs w:val="18"/>
        </w:rPr>
        <w:t xml:space="preserve">Informācija par īstenošanas progresu ir pieejama IZM mājas lapā  </w:t>
      </w:r>
      <w:hyperlink r:id="rId2" w:history="1">
        <w:r w:rsidRPr="008A7251">
          <w:rPr>
            <w:sz w:val="18"/>
            <w:szCs w:val="18"/>
          </w:rPr>
          <w:t>http://izm.izm.gov.lv/nozares-politika/izglitiba/muzizglitiba/7251.html</w:t>
        </w:r>
      </w:hyperlink>
    </w:p>
  </w:footnote>
  <w:footnote w:id="4">
    <w:p w:rsidR="00150A8D" w:rsidRDefault="00150A8D" w:rsidP="00150A8D">
      <w:pPr>
        <w:pStyle w:val="FootnoteText"/>
      </w:pPr>
      <w:r w:rsidRPr="00F60092">
        <w:rPr>
          <w:rStyle w:val="FootnoteReference"/>
        </w:rPr>
        <w:footnoteRef/>
      </w:r>
      <w:r w:rsidRPr="00F60092">
        <w:t xml:space="preserve"> Pētījums „Dzimumu līdztiesības aspekti darba tirgū”, 2006</w:t>
      </w:r>
    </w:p>
  </w:footnote>
  <w:footnote w:id="5">
    <w:p w:rsidR="00150A8D" w:rsidRDefault="00150A8D" w:rsidP="00150A8D">
      <w:pPr>
        <w:pStyle w:val="FootnoteText"/>
      </w:pPr>
      <w:r>
        <w:rPr>
          <w:rStyle w:val="FootnoteReference"/>
        </w:rPr>
        <w:footnoteRef/>
      </w:r>
      <w:r>
        <w:t xml:space="preserve"> Centrālās statistikas pārvaldes datu bāze, GADS</w:t>
      </w:r>
    </w:p>
  </w:footnote>
  <w:footnote w:id="6">
    <w:p w:rsidR="00150A8D" w:rsidRPr="00F60092" w:rsidRDefault="00150A8D" w:rsidP="00150A8D">
      <w:pPr>
        <w:pStyle w:val="FootnoteText"/>
      </w:pPr>
      <w:r w:rsidRPr="00F60092">
        <w:rPr>
          <w:rStyle w:val="FootnoteReference"/>
        </w:rPr>
        <w:footnoteRef/>
      </w:r>
      <w:r w:rsidRPr="00F60092">
        <w:t xml:space="preserve"> OECD ziņojums „Dzimumu līdztiesība izglītībā, nodarbinātībā un uzņēmējdarbībā”, 2012</w:t>
      </w:r>
    </w:p>
  </w:footnote>
  <w:footnote w:id="7">
    <w:p w:rsidR="008438AD" w:rsidRPr="006F3CD6" w:rsidRDefault="008438AD" w:rsidP="006F3CD6">
      <w:pPr>
        <w:pBdr>
          <w:top w:val="single" w:sz="4" w:space="1" w:color="auto"/>
        </w:pBdr>
        <w:jc w:val="both"/>
        <w:rPr>
          <w:rFonts w:cs="Times New Roman"/>
        </w:rPr>
      </w:pPr>
      <w:r w:rsidRPr="006F3CD6">
        <w:rPr>
          <w:rStyle w:val="FootnoteReference"/>
          <w:rFonts w:cs="Times New Roman"/>
          <w:sz w:val="20"/>
        </w:rPr>
        <w:footnoteRef/>
      </w:r>
      <w:r w:rsidRPr="006F3CD6">
        <w:rPr>
          <w:rFonts w:cs="Times New Roman"/>
          <w:sz w:val="20"/>
        </w:rPr>
        <w:t xml:space="preserve"> Pētījums „Pamatizglītību  nepabeigušie skolēni” PROVIDUS, 2006.gads; Pētījums: Skolēnu atbiršana pamatskolās: Problēmas Risinājumi” BIIS, 2007.gads.</w:t>
      </w:r>
    </w:p>
  </w:footnote>
  <w:footnote w:id="8">
    <w:p w:rsidR="008438AD" w:rsidRDefault="008438AD" w:rsidP="006F3CD6">
      <w:pPr>
        <w:pStyle w:val="Default"/>
        <w:jc w:val="both"/>
      </w:pPr>
      <w:r w:rsidRPr="006F3CD6">
        <w:rPr>
          <w:rStyle w:val="FootnoteReference"/>
          <w:rFonts w:ascii="Times New Roman" w:hAnsi="Times New Roman" w:cs="Times New Roman"/>
          <w:sz w:val="20"/>
          <w:szCs w:val="20"/>
        </w:rPr>
        <w:footnoteRef/>
      </w:r>
      <w:r w:rsidRPr="006F3CD6">
        <w:rPr>
          <w:rFonts w:ascii="Times New Roman" w:hAnsi="Times New Roman" w:cs="Times New Roman"/>
          <w:sz w:val="20"/>
          <w:szCs w:val="20"/>
        </w:rPr>
        <w:t xml:space="preserve"> </w:t>
      </w:r>
      <w:proofErr w:type="gramStart"/>
      <w:r w:rsidRPr="006F3CD6">
        <w:rPr>
          <w:rFonts w:ascii="Times New Roman" w:hAnsi="Times New Roman" w:cs="Times New Roman"/>
          <w:sz w:val="20"/>
          <w:szCs w:val="20"/>
        </w:rPr>
        <w:t>CSP Darbaspēka izlases veida apsekojuma rezultāti</w:t>
      </w:r>
      <w:r>
        <w:rPr>
          <w:rFonts w:ascii="Times New Roman" w:hAnsi="Times New Roman" w:cs="Times New Roman"/>
          <w:sz w:val="20"/>
          <w:szCs w:val="20"/>
        </w:rPr>
        <w:t>.</w:t>
      </w:r>
      <w:proofErr w:type="gramEnd"/>
    </w:p>
  </w:footnote>
  <w:footnote w:id="9">
    <w:p w:rsidR="008438AD" w:rsidRDefault="008438AD" w:rsidP="00673CE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2" w:rsidRDefault="00B731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Default="008438AD" w:rsidP="005A38C0">
    <w:pPr>
      <w:pStyle w:val="Header"/>
      <w:jc w:val="right"/>
      <w:rPr>
        <w:i/>
      </w:rPr>
    </w:pPr>
    <w:r>
      <w:rPr>
        <w:i/>
      </w:rPr>
      <w:t>2.p</w:t>
    </w:r>
    <w:r w:rsidRPr="005A38C0">
      <w:rPr>
        <w:i/>
      </w:rPr>
      <w:t xml:space="preserve">ielikums </w:t>
    </w:r>
  </w:p>
  <w:p w:rsidR="008438AD" w:rsidRPr="005A38C0" w:rsidRDefault="008438AD" w:rsidP="005A38C0">
    <w:pPr>
      <w:pStyle w:val="Header"/>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2" w:rsidRDefault="00B73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914"/>
    <w:multiLevelType w:val="hybridMultilevel"/>
    <w:tmpl w:val="9D94C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nsid w:val="043101E0"/>
    <w:multiLevelType w:val="hybridMultilevel"/>
    <w:tmpl w:val="A6163E8C"/>
    <w:lvl w:ilvl="0" w:tplc="F57E7F3C">
      <w:start w:val="1"/>
      <w:numFmt w:val="bullet"/>
      <w:pStyle w:val="IAPapakp"/>
      <w:lvlText w:val=""/>
      <w:lvlJc w:val="left"/>
      <w:pPr>
        <w:ind w:left="927" w:hanging="360"/>
      </w:pPr>
      <w:rPr>
        <w:rFonts w:ascii="Symbol" w:hAnsi="Symbol"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0F8107AF"/>
    <w:multiLevelType w:val="hybridMultilevel"/>
    <w:tmpl w:val="CE9EFA90"/>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E32AD4"/>
    <w:multiLevelType w:val="hybridMultilevel"/>
    <w:tmpl w:val="A746B7BA"/>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4A0031"/>
    <w:multiLevelType w:val="hybridMultilevel"/>
    <w:tmpl w:val="EA020C5E"/>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9B321B"/>
    <w:multiLevelType w:val="hybridMultilevel"/>
    <w:tmpl w:val="E5C41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7C5412"/>
    <w:multiLevelType w:val="hybridMultilevel"/>
    <w:tmpl w:val="E488F128"/>
    <w:lvl w:ilvl="0" w:tplc="43A2E974">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72755C1"/>
    <w:multiLevelType w:val="hybridMultilevel"/>
    <w:tmpl w:val="2652A2EC"/>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776394"/>
    <w:multiLevelType w:val="hybridMultilevel"/>
    <w:tmpl w:val="BDC6E32C"/>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154C1F"/>
    <w:multiLevelType w:val="hybridMultilevel"/>
    <w:tmpl w:val="31C4A4E0"/>
    <w:lvl w:ilvl="0" w:tplc="7488E87E">
      <w:start w:val="1"/>
      <w:numFmt w:val="decimal"/>
      <w:lvlText w:val="%1."/>
      <w:lvlJc w:val="left"/>
      <w:pPr>
        <w:tabs>
          <w:tab w:val="num" w:pos="720"/>
        </w:tabs>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8B2CE8"/>
    <w:multiLevelType w:val="hybridMultilevel"/>
    <w:tmpl w:val="1A4074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D546F6"/>
    <w:multiLevelType w:val="hybridMultilevel"/>
    <w:tmpl w:val="14E26580"/>
    <w:lvl w:ilvl="0" w:tplc="6F0C8C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037C25"/>
    <w:multiLevelType w:val="multilevel"/>
    <w:tmpl w:val="7900829C"/>
    <w:lvl w:ilvl="0">
      <w:start w:val="1"/>
      <w:numFmt w:val="decimal"/>
      <w:pStyle w:val="LIELAIS"/>
      <w:lvlText w:val="%1."/>
      <w:lvlJc w:val="left"/>
      <w:pPr>
        <w:ind w:left="720" w:hanging="720"/>
      </w:pPr>
      <w:rPr>
        <w:rFonts w:hint="default"/>
        <w:b w:val="0"/>
        <w:sz w:val="40"/>
      </w:rPr>
    </w:lvl>
    <w:lvl w:ilvl="1">
      <w:start w:val="1"/>
      <w:numFmt w:val="decimal"/>
      <w:pStyle w:val="Apaknodaa"/>
      <w:isLgl/>
      <w:lvlText w:val="%1.%2."/>
      <w:lvlJc w:val="left"/>
      <w:pPr>
        <w:ind w:left="1080" w:hanging="1080"/>
      </w:pPr>
      <w:rPr>
        <w:rFonts w:hint="default"/>
      </w:rPr>
    </w:lvl>
    <w:lvl w:ilvl="2">
      <w:start w:val="1"/>
      <w:numFmt w:val="decimal"/>
      <w:pStyle w:val="Apakapaknodaa"/>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960" w:hanging="3960"/>
      </w:pPr>
      <w:rPr>
        <w:rFonts w:hint="default"/>
      </w:rPr>
    </w:lvl>
  </w:abstractNum>
  <w:abstractNum w:abstractNumId="13">
    <w:nsid w:val="390A60CF"/>
    <w:multiLevelType w:val="hybridMultilevel"/>
    <w:tmpl w:val="F47E3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F747D8"/>
    <w:multiLevelType w:val="hybridMultilevel"/>
    <w:tmpl w:val="E6862DD2"/>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D640B9"/>
    <w:multiLevelType w:val="hybridMultilevel"/>
    <w:tmpl w:val="EE3AD212"/>
    <w:lvl w:ilvl="0" w:tplc="2D4AC5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0B7F32"/>
    <w:multiLevelType w:val="hybridMultilevel"/>
    <w:tmpl w:val="0D805198"/>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5255C11"/>
    <w:multiLevelType w:val="hybridMultilevel"/>
    <w:tmpl w:val="24D2E31A"/>
    <w:lvl w:ilvl="0" w:tplc="0E4839B2">
      <w:start w:val="1"/>
      <w:numFmt w:val="bullet"/>
      <w:lvlText w:val=""/>
      <w:lvlJc w:val="left"/>
      <w:pPr>
        <w:ind w:left="720" w:hanging="360"/>
      </w:pPr>
      <w:rPr>
        <w:rFonts w:ascii="Symbol" w:hAnsi="Symbol" w:hint="default"/>
        <w:color w:val="FFFF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BB11275"/>
    <w:multiLevelType w:val="hybridMultilevel"/>
    <w:tmpl w:val="79EA7B9E"/>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FD90348"/>
    <w:multiLevelType w:val="hybridMultilevel"/>
    <w:tmpl w:val="10C8408E"/>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3178B1"/>
    <w:multiLevelType w:val="hybridMultilevel"/>
    <w:tmpl w:val="F0406B62"/>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A4B40DB"/>
    <w:multiLevelType w:val="hybridMultilevel"/>
    <w:tmpl w:val="9EAA4B7C"/>
    <w:lvl w:ilvl="0" w:tplc="C6E4932E">
      <w:start w:val="1"/>
      <w:numFmt w:val="decimal"/>
      <w:lvlText w:val="%1."/>
      <w:lvlJc w:val="left"/>
      <w:pPr>
        <w:tabs>
          <w:tab w:val="num" w:pos="720"/>
        </w:tabs>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7C7DBF"/>
    <w:multiLevelType w:val="hybridMultilevel"/>
    <w:tmpl w:val="4A0AD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53690F"/>
    <w:multiLevelType w:val="hybridMultilevel"/>
    <w:tmpl w:val="4418DFCA"/>
    <w:lvl w:ilvl="0" w:tplc="C6E4932E">
      <w:start w:val="1"/>
      <w:numFmt w:val="decimal"/>
      <w:lvlText w:val="%1."/>
      <w:lvlJc w:val="left"/>
      <w:pPr>
        <w:tabs>
          <w:tab w:val="num" w:pos="720"/>
        </w:tabs>
        <w:ind w:left="720" w:hanging="360"/>
      </w:pPr>
    </w:lvl>
    <w:lvl w:ilvl="1" w:tplc="EF58C746" w:tentative="1">
      <w:start w:val="1"/>
      <w:numFmt w:val="decimal"/>
      <w:lvlText w:val="%2."/>
      <w:lvlJc w:val="left"/>
      <w:pPr>
        <w:tabs>
          <w:tab w:val="num" w:pos="1440"/>
        </w:tabs>
        <w:ind w:left="1440" w:hanging="360"/>
      </w:pPr>
    </w:lvl>
    <w:lvl w:ilvl="2" w:tplc="78166B8E" w:tentative="1">
      <w:start w:val="1"/>
      <w:numFmt w:val="decimal"/>
      <w:lvlText w:val="%3."/>
      <w:lvlJc w:val="left"/>
      <w:pPr>
        <w:tabs>
          <w:tab w:val="num" w:pos="2160"/>
        </w:tabs>
        <w:ind w:left="2160" w:hanging="360"/>
      </w:pPr>
    </w:lvl>
    <w:lvl w:ilvl="3" w:tplc="BE0C6F9A" w:tentative="1">
      <w:start w:val="1"/>
      <w:numFmt w:val="decimal"/>
      <w:lvlText w:val="%4."/>
      <w:lvlJc w:val="left"/>
      <w:pPr>
        <w:tabs>
          <w:tab w:val="num" w:pos="2880"/>
        </w:tabs>
        <w:ind w:left="2880" w:hanging="360"/>
      </w:pPr>
    </w:lvl>
    <w:lvl w:ilvl="4" w:tplc="E514B52C" w:tentative="1">
      <w:start w:val="1"/>
      <w:numFmt w:val="decimal"/>
      <w:lvlText w:val="%5."/>
      <w:lvlJc w:val="left"/>
      <w:pPr>
        <w:tabs>
          <w:tab w:val="num" w:pos="3600"/>
        </w:tabs>
        <w:ind w:left="3600" w:hanging="360"/>
      </w:pPr>
    </w:lvl>
    <w:lvl w:ilvl="5" w:tplc="D5245FB0" w:tentative="1">
      <w:start w:val="1"/>
      <w:numFmt w:val="decimal"/>
      <w:lvlText w:val="%6."/>
      <w:lvlJc w:val="left"/>
      <w:pPr>
        <w:tabs>
          <w:tab w:val="num" w:pos="4320"/>
        </w:tabs>
        <w:ind w:left="4320" w:hanging="360"/>
      </w:pPr>
    </w:lvl>
    <w:lvl w:ilvl="6" w:tplc="5C1C3260" w:tentative="1">
      <w:start w:val="1"/>
      <w:numFmt w:val="decimal"/>
      <w:lvlText w:val="%7."/>
      <w:lvlJc w:val="left"/>
      <w:pPr>
        <w:tabs>
          <w:tab w:val="num" w:pos="5040"/>
        </w:tabs>
        <w:ind w:left="5040" w:hanging="360"/>
      </w:pPr>
    </w:lvl>
    <w:lvl w:ilvl="7" w:tplc="15888688" w:tentative="1">
      <w:start w:val="1"/>
      <w:numFmt w:val="decimal"/>
      <w:lvlText w:val="%8."/>
      <w:lvlJc w:val="left"/>
      <w:pPr>
        <w:tabs>
          <w:tab w:val="num" w:pos="5760"/>
        </w:tabs>
        <w:ind w:left="5760" w:hanging="360"/>
      </w:pPr>
    </w:lvl>
    <w:lvl w:ilvl="8" w:tplc="A68E41CA" w:tentative="1">
      <w:start w:val="1"/>
      <w:numFmt w:val="decimal"/>
      <w:lvlText w:val="%9."/>
      <w:lvlJc w:val="left"/>
      <w:pPr>
        <w:tabs>
          <w:tab w:val="num" w:pos="6480"/>
        </w:tabs>
        <w:ind w:left="6480" w:hanging="360"/>
      </w:pPr>
    </w:lvl>
  </w:abstractNum>
  <w:abstractNum w:abstractNumId="24">
    <w:nsid w:val="64B947EB"/>
    <w:multiLevelType w:val="hybridMultilevel"/>
    <w:tmpl w:val="EAF8D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7027A97"/>
    <w:multiLevelType w:val="hybridMultilevel"/>
    <w:tmpl w:val="ABC658E2"/>
    <w:lvl w:ilvl="0" w:tplc="6F0C8C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1B4CEA"/>
    <w:multiLevelType w:val="multilevel"/>
    <w:tmpl w:val="DC4E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5309ED"/>
    <w:multiLevelType w:val="hybridMultilevel"/>
    <w:tmpl w:val="04A0E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C67F15"/>
    <w:multiLevelType w:val="hybridMultilevel"/>
    <w:tmpl w:val="2C807888"/>
    <w:lvl w:ilvl="0" w:tplc="7488E87E">
      <w:start w:val="1"/>
      <w:numFmt w:val="decimal"/>
      <w:lvlText w:val="%1."/>
      <w:lvlJc w:val="left"/>
      <w:pPr>
        <w:tabs>
          <w:tab w:val="num" w:pos="720"/>
        </w:tabs>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95B6CF3"/>
    <w:multiLevelType w:val="hybridMultilevel"/>
    <w:tmpl w:val="CB200752"/>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DE50770"/>
    <w:multiLevelType w:val="hybridMultilevel"/>
    <w:tmpl w:val="260E6558"/>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1"/>
  </w:num>
  <w:num w:numId="5">
    <w:abstractNumId w:val="27"/>
  </w:num>
  <w:num w:numId="6">
    <w:abstractNumId w:val="1"/>
  </w:num>
  <w:num w:numId="7">
    <w:abstractNumId w:val="22"/>
  </w:num>
  <w:num w:numId="8">
    <w:abstractNumId w:val="1"/>
  </w:num>
  <w:num w:numId="9">
    <w:abstractNumId w:val="1"/>
  </w:num>
  <w:num w:numId="10">
    <w:abstractNumId w:val="25"/>
  </w:num>
  <w:num w:numId="11">
    <w:abstractNumId w:val="5"/>
  </w:num>
  <w:num w:numId="12">
    <w:abstractNumId w:val="24"/>
  </w:num>
  <w:num w:numId="13">
    <w:abstractNumId w:val="26"/>
  </w:num>
  <w:num w:numId="14">
    <w:abstractNumId w:val="10"/>
  </w:num>
  <w:num w:numId="15">
    <w:abstractNumId w:val="13"/>
  </w:num>
  <w:num w:numId="16">
    <w:abstractNumId w:val="7"/>
  </w:num>
  <w:num w:numId="17">
    <w:abstractNumId w:val="0"/>
  </w:num>
  <w:num w:numId="18">
    <w:abstractNumId w:val="23"/>
  </w:num>
  <w:num w:numId="19">
    <w:abstractNumId w:val="21"/>
  </w:num>
  <w:num w:numId="20">
    <w:abstractNumId w:val="28"/>
  </w:num>
  <w:num w:numId="21">
    <w:abstractNumId w:val="30"/>
  </w:num>
  <w:num w:numId="22">
    <w:abstractNumId w:val="9"/>
  </w:num>
  <w:num w:numId="23">
    <w:abstractNumId w:val="29"/>
  </w:num>
  <w:num w:numId="24">
    <w:abstractNumId w:val="20"/>
  </w:num>
  <w:num w:numId="25">
    <w:abstractNumId w:val="19"/>
  </w:num>
  <w:num w:numId="26">
    <w:abstractNumId w:val="16"/>
  </w:num>
  <w:num w:numId="27">
    <w:abstractNumId w:val="15"/>
  </w:num>
  <w:num w:numId="28">
    <w:abstractNumId w:val="2"/>
  </w:num>
  <w:num w:numId="29">
    <w:abstractNumId w:val="8"/>
  </w:num>
  <w:num w:numId="30">
    <w:abstractNumId w:val="14"/>
  </w:num>
  <w:num w:numId="31">
    <w:abstractNumId w:val="3"/>
  </w:num>
  <w:num w:numId="32">
    <w:abstractNumId w:val="4"/>
  </w:num>
  <w:num w:numId="33">
    <w:abstractNumId w:val="18"/>
  </w:num>
  <w:num w:numId="34">
    <w:abstractNumId w:val="11"/>
  </w:num>
  <w:num w:numId="3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C621A"/>
    <w:rsid w:val="000A1E6E"/>
    <w:rsid w:val="00143DBD"/>
    <w:rsid w:val="00146B41"/>
    <w:rsid w:val="00150A8D"/>
    <w:rsid w:val="00216A83"/>
    <w:rsid w:val="002A0CB9"/>
    <w:rsid w:val="002B3176"/>
    <w:rsid w:val="002B6E63"/>
    <w:rsid w:val="0035621F"/>
    <w:rsid w:val="003D1ECB"/>
    <w:rsid w:val="00421AC3"/>
    <w:rsid w:val="00506AED"/>
    <w:rsid w:val="00575C49"/>
    <w:rsid w:val="005A38C0"/>
    <w:rsid w:val="005C063F"/>
    <w:rsid w:val="00673485"/>
    <w:rsid w:val="00673CEE"/>
    <w:rsid w:val="00686CCB"/>
    <w:rsid w:val="006D09CA"/>
    <w:rsid w:val="006F3CD6"/>
    <w:rsid w:val="00727EF8"/>
    <w:rsid w:val="008438AD"/>
    <w:rsid w:val="00865FE8"/>
    <w:rsid w:val="00920651"/>
    <w:rsid w:val="00960FA1"/>
    <w:rsid w:val="009810B6"/>
    <w:rsid w:val="009B3082"/>
    <w:rsid w:val="009E62EC"/>
    <w:rsid w:val="00A60DA6"/>
    <w:rsid w:val="00AA4122"/>
    <w:rsid w:val="00AC2939"/>
    <w:rsid w:val="00AE71F3"/>
    <w:rsid w:val="00B73182"/>
    <w:rsid w:val="00B9746D"/>
    <w:rsid w:val="00BF5797"/>
    <w:rsid w:val="00CA4358"/>
    <w:rsid w:val="00CB31B3"/>
    <w:rsid w:val="00CC621A"/>
    <w:rsid w:val="00D002BB"/>
    <w:rsid w:val="00D41AB9"/>
    <w:rsid w:val="00E254C2"/>
    <w:rsid w:val="00EA6B69"/>
    <w:rsid w:val="00ED267E"/>
    <w:rsid w:val="00ED49E4"/>
    <w:rsid w:val="00EE4D6E"/>
    <w:rsid w:val="00F35416"/>
    <w:rsid w:val="00F7752A"/>
    <w:rsid w:val="00FC5AD7"/>
    <w:rsid w:val="00FE03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Helv"/>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1A"/>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Pteksts">
    <w:name w:val="IAP teksts"/>
    <w:basedOn w:val="Normal"/>
    <w:link w:val="IAPtekstsChar"/>
    <w:qFormat/>
    <w:rsid w:val="00CC621A"/>
    <w:pPr>
      <w:tabs>
        <w:tab w:val="right" w:pos="8640"/>
      </w:tabs>
      <w:spacing w:before="120" w:after="120" w:line="240" w:lineRule="exact"/>
      <w:ind w:firstLine="567"/>
      <w:jc w:val="both"/>
    </w:pPr>
    <w:rPr>
      <w:rFonts w:ascii="Garamond" w:hAnsi="Garamond" w:cs="Times New Roman"/>
      <w:noProof/>
      <w:color w:val="auto"/>
      <w:szCs w:val="22"/>
    </w:rPr>
  </w:style>
  <w:style w:type="character" w:customStyle="1" w:styleId="IAPtekstsChar">
    <w:name w:val="IAP teksts Char"/>
    <w:basedOn w:val="DefaultParagraphFont"/>
    <w:link w:val="IAPteksts"/>
    <w:rsid w:val="00CC621A"/>
    <w:rPr>
      <w:rFonts w:ascii="Garamond" w:hAnsi="Garamond" w:cs="Times New Roman"/>
      <w:noProof/>
      <w:color w:val="auto"/>
      <w:szCs w:val="22"/>
    </w:rPr>
  </w:style>
  <w:style w:type="paragraph" w:customStyle="1" w:styleId="IAPapakp">
    <w:name w:val="IAP apakšp"/>
    <w:basedOn w:val="ListParagraph"/>
    <w:link w:val="IAPapakpChar"/>
    <w:qFormat/>
    <w:rsid w:val="00CC621A"/>
    <w:pPr>
      <w:numPr>
        <w:numId w:val="1"/>
      </w:numPr>
      <w:tabs>
        <w:tab w:val="right" w:pos="8640"/>
      </w:tabs>
      <w:spacing w:before="120" w:after="120" w:line="240" w:lineRule="exact"/>
      <w:jc w:val="both"/>
    </w:pPr>
    <w:rPr>
      <w:rFonts w:ascii="Garamond" w:hAnsi="Garamond" w:cs="Times New Roman"/>
      <w:noProof/>
      <w:color w:val="auto"/>
      <w:szCs w:val="22"/>
    </w:rPr>
  </w:style>
  <w:style w:type="character" w:customStyle="1" w:styleId="IAPapakpChar">
    <w:name w:val="IAP apakšp Char"/>
    <w:basedOn w:val="DefaultParagraphFont"/>
    <w:link w:val="IAPapakp"/>
    <w:rsid w:val="00CC621A"/>
    <w:rPr>
      <w:rFonts w:ascii="Garamond" w:hAnsi="Garamond" w:cs="Times New Roman"/>
      <w:noProof/>
      <w:color w:val="auto"/>
      <w:szCs w:val="22"/>
    </w:rPr>
  </w:style>
  <w:style w:type="paragraph" w:styleId="ListParagraph">
    <w:name w:val="List Paragraph"/>
    <w:aliases w:val="2"/>
    <w:basedOn w:val="Normal"/>
    <w:link w:val="ListParagraphChar"/>
    <w:uiPriority w:val="34"/>
    <w:qFormat/>
    <w:rsid w:val="00CC621A"/>
    <w:pPr>
      <w:ind w:left="720"/>
      <w:contextualSpacing/>
    </w:pPr>
  </w:style>
  <w:style w:type="table" w:styleId="TableGrid">
    <w:name w:val="Table Grid"/>
    <w:basedOn w:val="TableNormal"/>
    <w:uiPriority w:val="59"/>
    <w:rsid w:val="00CC621A"/>
    <w:rPr>
      <w:rFonts w:ascii="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ELAIS">
    <w:name w:val="LIELAIS"/>
    <w:basedOn w:val="Normal"/>
    <w:link w:val="LIELAISChar"/>
    <w:qFormat/>
    <w:rsid w:val="00CC621A"/>
    <w:pPr>
      <w:keepNext/>
      <w:keepLines/>
      <w:numPr>
        <w:numId w:val="2"/>
      </w:numPr>
      <w:pBdr>
        <w:bottom w:val="single" w:sz="48" w:space="3" w:color="1F497D"/>
      </w:pBdr>
      <w:spacing w:after="120"/>
      <w:jc w:val="both"/>
      <w:outlineLvl w:val="0"/>
    </w:pPr>
    <w:rPr>
      <w:rFonts w:ascii="Garamond" w:eastAsia="Times New Roman" w:hAnsi="Garamond" w:cs="Times New Roman"/>
      <w:bCs/>
      <w:noProof/>
      <w:color w:val="1F497D"/>
      <w:sz w:val="40"/>
      <w:szCs w:val="64"/>
    </w:rPr>
  </w:style>
  <w:style w:type="character" w:customStyle="1" w:styleId="LIELAISChar">
    <w:name w:val="LIELAIS Char"/>
    <w:basedOn w:val="DefaultParagraphFont"/>
    <w:link w:val="LIELAIS"/>
    <w:rsid w:val="00CC621A"/>
    <w:rPr>
      <w:rFonts w:ascii="Garamond" w:eastAsia="Times New Roman" w:hAnsi="Garamond" w:cs="Times New Roman"/>
      <w:bCs/>
      <w:noProof/>
      <w:color w:val="1F497D"/>
      <w:sz w:val="40"/>
      <w:szCs w:val="64"/>
    </w:rPr>
  </w:style>
  <w:style w:type="character" w:styleId="Hyperlink">
    <w:name w:val="Hyperlink"/>
    <w:basedOn w:val="DefaultParagraphFont"/>
    <w:uiPriority w:val="99"/>
    <w:unhideWhenUsed/>
    <w:rsid w:val="00CC621A"/>
    <w:rPr>
      <w:color w:val="0000FF"/>
      <w:u w:val="single"/>
    </w:rPr>
  </w:style>
  <w:style w:type="character" w:customStyle="1" w:styleId="ListParagraphChar">
    <w:name w:val="List Paragraph Char"/>
    <w:aliases w:val="2 Char"/>
    <w:link w:val="ListParagraph"/>
    <w:uiPriority w:val="34"/>
    <w:locked/>
    <w:rsid w:val="00CC621A"/>
  </w:style>
  <w:style w:type="paragraph" w:customStyle="1" w:styleId="Mazaisparastaisapakvirs">
    <w:name w:val="Mazais parastais apakšvirs"/>
    <w:basedOn w:val="Normal"/>
    <w:link w:val="MazaisparastaisapakvirsChar"/>
    <w:qFormat/>
    <w:rsid w:val="00CC621A"/>
    <w:pPr>
      <w:spacing w:before="120" w:after="120"/>
    </w:pPr>
    <w:rPr>
      <w:rFonts w:ascii="Garamond" w:hAnsi="Garamond"/>
      <w:b/>
      <w:color w:val="auto"/>
    </w:rPr>
  </w:style>
  <w:style w:type="character" w:customStyle="1" w:styleId="MazaisparastaisapakvirsChar">
    <w:name w:val="Mazais parastais apakšvirs Char"/>
    <w:basedOn w:val="DefaultParagraphFont"/>
    <w:link w:val="Mazaisparastaisapakvirs"/>
    <w:rsid w:val="00CC621A"/>
    <w:rPr>
      <w:rFonts w:ascii="Garamond" w:hAnsi="Garamond"/>
      <w:b/>
      <w:color w:val="auto"/>
    </w:rPr>
  </w:style>
  <w:style w:type="paragraph" w:customStyle="1" w:styleId="Apaknodaa">
    <w:name w:val="Apakšnodaļa"/>
    <w:basedOn w:val="LIELAIS"/>
    <w:link w:val="ApaknodaaChar"/>
    <w:qFormat/>
    <w:rsid w:val="00CC621A"/>
    <w:pPr>
      <w:numPr>
        <w:ilvl w:val="1"/>
      </w:numPr>
      <w:pBdr>
        <w:top w:val="single" w:sz="24" w:space="1" w:color="1F497D"/>
        <w:bottom w:val="none" w:sz="0" w:space="0" w:color="auto"/>
      </w:pBdr>
    </w:pPr>
    <w:rPr>
      <w:sz w:val="32"/>
    </w:rPr>
  </w:style>
  <w:style w:type="paragraph" w:customStyle="1" w:styleId="Apakapaknodaa">
    <w:name w:val="Apakš apakš nodaļa"/>
    <w:basedOn w:val="LIELAIS"/>
    <w:link w:val="ApakapaknodaaChar"/>
    <w:qFormat/>
    <w:rsid w:val="00CC621A"/>
    <w:pPr>
      <w:numPr>
        <w:ilvl w:val="2"/>
      </w:numPr>
      <w:pBdr>
        <w:top w:val="single" w:sz="24" w:space="1" w:color="1F497D"/>
        <w:bottom w:val="none" w:sz="0" w:space="0" w:color="auto"/>
      </w:pBdr>
      <w:ind w:left="851" w:hanging="851"/>
    </w:pPr>
    <w:rPr>
      <w:sz w:val="32"/>
    </w:rPr>
  </w:style>
  <w:style w:type="character" w:customStyle="1" w:styleId="ApaknodaaChar">
    <w:name w:val="Apakšnodaļa Char"/>
    <w:basedOn w:val="LIELAISChar"/>
    <w:link w:val="Apaknodaa"/>
    <w:rsid w:val="00CC621A"/>
    <w:rPr>
      <w:rFonts w:ascii="Garamond" w:eastAsia="Times New Roman" w:hAnsi="Garamond" w:cs="Times New Roman"/>
      <w:bCs w:val="0"/>
      <w:noProof/>
      <w:color w:val="1F497D"/>
      <w:sz w:val="32"/>
      <w:szCs w:val="64"/>
    </w:rPr>
  </w:style>
  <w:style w:type="character" w:customStyle="1" w:styleId="ApakapaknodaaChar">
    <w:name w:val="Apakš apakš nodaļa Char"/>
    <w:basedOn w:val="LIELAISChar"/>
    <w:link w:val="Apakapaknodaa"/>
    <w:rsid w:val="00CC621A"/>
    <w:rPr>
      <w:rFonts w:ascii="Garamond" w:eastAsia="Times New Roman" w:hAnsi="Garamond" w:cs="Times New Roman"/>
      <w:bCs w:val="0"/>
      <w:noProof/>
      <w:color w:val="1F497D"/>
      <w:sz w:val="32"/>
      <w:szCs w:val="64"/>
    </w:rPr>
  </w:style>
  <w:style w:type="paragraph" w:styleId="BalloonText">
    <w:name w:val="Balloon Text"/>
    <w:basedOn w:val="Normal"/>
    <w:link w:val="BalloonTextChar"/>
    <w:uiPriority w:val="99"/>
    <w:semiHidden/>
    <w:unhideWhenUsed/>
    <w:rsid w:val="00CC621A"/>
    <w:rPr>
      <w:rFonts w:ascii="Tahoma" w:hAnsi="Tahoma" w:cs="Tahoma"/>
      <w:sz w:val="16"/>
      <w:szCs w:val="16"/>
    </w:rPr>
  </w:style>
  <w:style w:type="character" w:customStyle="1" w:styleId="BalloonTextChar">
    <w:name w:val="Balloon Text Char"/>
    <w:basedOn w:val="DefaultParagraphFont"/>
    <w:link w:val="BalloonText"/>
    <w:uiPriority w:val="99"/>
    <w:semiHidden/>
    <w:rsid w:val="00CC621A"/>
    <w:rPr>
      <w:rFonts w:ascii="Tahoma" w:hAnsi="Tahoma" w:cs="Tahoma"/>
      <w:sz w:val="16"/>
      <w:szCs w:val="16"/>
    </w:rPr>
  </w:style>
  <w:style w:type="paragraph" w:styleId="FootnoteText">
    <w:name w:val="footnote text"/>
    <w:basedOn w:val="Normal"/>
    <w:link w:val="FootnoteTextChar"/>
    <w:unhideWhenUsed/>
    <w:rsid w:val="00E254C2"/>
    <w:rPr>
      <w:sz w:val="20"/>
    </w:rPr>
  </w:style>
  <w:style w:type="character" w:customStyle="1" w:styleId="FootnoteTextChar">
    <w:name w:val="Footnote Text Char"/>
    <w:basedOn w:val="DefaultParagraphFont"/>
    <w:link w:val="FootnoteText"/>
    <w:rsid w:val="00E254C2"/>
    <w:rPr>
      <w:sz w:val="20"/>
    </w:rPr>
  </w:style>
  <w:style w:type="character" w:styleId="FootnoteReference">
    <w:name w:val="footnote reference"/>
    <w:aliases w:val="Footnote Reference Superscript,Footnote symbol,Footnote Reference Number,Footnote Refernece,ftref,SUPERS"/>
    <w:unhideWhenUsed/>
    <w:rsid w:val="00E254C2"/>
    <w:rPr>
      <w:vertAlign w:val="superscript"/>
    </w:rPr>
  </w:style>
  <w:style w:type="table" w:customStyle="1" w:styleId="TableGrid1">
    <w:name w:val="Table Grid1"/>
    <w:basedOn w:val="TableNormal"/>
    <w:next w:val="TableGrid"/>
    <w:uiPriority w:val="59"/>
    <w:rsid w:val="00D002BB"/>
    <w:pPr>
      <w:widowControl w:val="0"/>
    </w:pPr>
    <w:rPr>
      <w:rFonts w:ascii="Courier New" w:eastAsia="Courier New" w:hAnsi="Courier New" w:cs="Courier New"/>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002BB"/>
    <w:pPr>
      <w:autoSpaceDE w:val="0"/>
      <w:autoSpaceDN w:val="0"/>
      <w:adjustRightInd w:val="0"/>
    </w:pPr>
    <w:rPr>
      <w:rFonts w:ascii="Cambria" w:hAnsi="Cambria" w:cs="Cambria"/>
      <w:color w:val="000000"/>
      <w:sz w:val="24"/>
      <w:szCs w:val="24"/>
      <w:lang w:val="en-US" w:eastAsia="en-US"/>
    </w:rPr>
  </w:style>
  <w:style w:type="paragraph" w:customStyle="1" w:styleId="teksts">
    <w:name w:val="teksts"/>
    <w:basedOn w:val="Normal"/>
    <w:link w:val="tekstsChar"/>
    <w:qFormat/>
    <w:rsid w:val="00D002BB"/>
    <w:pPr>
      <w:ind w:firstLine="720"/>
      <w:jc w:val="both"/>
    </w:pPr>
  </w:style>
  <w:style w:type="character" w:customStyle="1" w:styleId="tekstsChar">
    <w:name w:val="teksts Char"/>
    <w:basedOn w:val="DefaultParagraphFont"/>
    <w:link w:val="teksts"/>
    <w:rsid w:val="00D002BB"/>
  </w:style>
  <w:style w:type="character" w:styleId="CommentReference">
    <w:name w:val="annotation reference"/>
    <w:basedOn w:val="DefaultParagraphFont"/>
    <w:uiPriority w:val="99"/>
    <w:semiHidden/>
    <w:unhideWhenUsed/>
    <w:rsid w:val="00B9746D"/>
    <w:rPr>
      <w:sz w:val="16"/>
      <w:szCs w:val="16"/>
    </w:rPr>
  </w:style>
  <w:style w:type="paragraph" w:styleId="CommentText">
    <w:name w:val="annotation text"/>
    <w:basedOn w:val="Normal"/>
    <w:link w:val="CommentTextChar"/>
    <w:uiPriority w:val="99"/>
    <w:semiHidden/>
    <w:unhideWhenUsed/>
    <w:rsid w:val="00B9746D"/>
    <w:rPr>
      <w:sz w:val="20"/>
    </w:rPr>
  </w:style>
  <w:style w:type="character" w:customStyle="1" w:styleId="CommentTextChar">
    <w:name w:val="Comment Text Char"/>
    <w:basedOn w:val="DefaultParagraphFont"/>
    <w:link w:val="CommentText"/>
    <w:uiPriority w:val="99"/>
    <w:semiHidden/>
    <w:rsid w:val="00B9746D"/>
    <w:rPr>
      <w:rFonts w:eastAsia="Calibri"/>
      <w:sz w:val="20"/>
    </w:rPr>
  </w:style>
  <w:style w:type="paragraph" w:styleId="Header">
    <w:name w:val="header"/>
    <w:basedOn w:val="Normal"/>
    <w:link w:val="HeaderChar"/>
    <w:uiPriority w:val="99"/>
    <w:unhideWhenUsed/>
    <w:rsid w:val="005A38C0"/>
    <w:pPr>
      <w:tabs>
        <w:tab w:val="center" w:pos="4153"/>
        <w:tab w:val="right" w:pos="8306"/>
      </w:tabs>
    </w:pPr>
  </w:style>
  <w:style w:type="character" w:customStyle="1" w:styleId="HeaderChar">
    <w:name w:val="Header Char"/>
    <w:basedOn w:val="DefaultParagraphFont"/>
    <w:link w:val="Header"/>
    <w:uiPriority w:val="99"/>
    <w:rsid w:val="005A38C0"/>
  </w:style>
  <w:style w:type="paragraph" w:styleId="Footer">
    <w:name w:val="footer"/>
    <w:basedOn w:val="Normal"/>
    <w:link w:val="FooterChar"/>
    <w:uiPriority w:val="99"/>
    <w:unhideWhenUsed/>
    <w:rsid w:val="005A38C0"/>
    <w:pPr>
      <w:tabs>
        <w:tab w:val="center" w:pos="4153"/>
        <w:tab w:val="right" w:pos="8306"/>
      </w:tabs>
    </w:pPr>
  </w:style>
  <w:style w:type="character" w:customStyle="1" w:styleId="FooterChar">
    <w:name w:val="Footer Char"/>
    <w:basedOn w:val="DefaultParagraphFont"/>
    <w:link w:val="Footer"/>
    <w:uiPriority w:val="99"/>
    <w:rsid w:val="005A38C0"/>
  </w:style>
  <w:style w:type="paragraph" w:styleId="CommentSubject">
    <w:name w:val="annotation subject"/>
    <w:basedOn w:val="CommentText"/>
    <w:next w:val="CommentText"/>
    <w:link w:val="CommentSubjectChar"/>
    <w:uiPriority w:val="99"/>
    <w:semiHidden/>
    <w:unhideWhenUsed/>
    <w:rsid w:val="00865FE8"/>
    <w:rPr>
      <w:b/>
      <w:bCs/>
    </w:rPr>
  </w:style>
  <w:style w:type="character" w:customStyle="1" w:styleId="CommentSubjectChar">
    <w:name w:val="Comment Subject Char"/>
    <w:basedOn w:val="CommentTextChar"/>
    <w:link w:val="CommentSubject"/>
    <w:uiPriority w:val="99"/>
    <w:semiHidden/>
    <w:rsid w:val="00865FE8"/>
    <w:rPr>
      <w:rFonts w:eastAsia="Calibri"/>
      <w:b/>
      <w:bCs/>
      <w:color w:val="00000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Helv"/>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1A"/>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Pteksts">
    <w:name w:val="IAP teksts"/>
    <w:basedOn w:val="Normal"/>
    <w:link w:val="IAPtekstsChar"/>
    <w:qFormat/>
    <w:rsid w:val="00CC621A"/>
    <w:pPr>
      <w:tabs>
        <w:tab w:val="right" w:pos="8640"/>
      </w:tabs>
      <w:spacing w:before="120" w:after="120" w:line="240" w:lineRule="exact"/>
      <w:ind w:firstLine="567"/>
      <w:jc w:val="both"/>
    </w:pPr>
    <w:rPr>
      <w:rFonts w:ascii="Garamond" w:hAnsi="Garamond" w:cs="Times New Roman"/>
      <w:noProof/>
      <w:color w:val="auto"/>
      <w:szCs w:val="22"/>
    </w:rPr>
  </w:style>
  <w:style w:type="character" w:customStyle="1" w:styleId="IAPtekstsChar">
    <w:name w:val="IAP teksts Char"/>
    <w:basedOn w:val="DefaultParagraphFont"/>
    <w:link w:val="IAPteksts"/>
    <w:rsid w:val="00CC621A"/>
    <w:rPr>
      <w:rFonts w:ascii="Garamond" w:hAnsi="Garamond" w:cs="Times New Roman"/>
      <w:noProof/>
      <w:color w:val="auto"/>
      <w:szCs w:val="22"/>
    </w:rPr>
  </w:style>
  <w:style w:type="paragraph" w:customStyle="1" w:styleId="IAPapakp">
    <w:name w:val="IAP apakšp"/>
    <w:basedOn w:val="ListParagraph"/>
    <w:link w:val="IAPapakpChar"/>
    <w:qFormat/>
    <w:rsid w:val="00CC621A"/>
    <w:pPr>
      <w:numPr>
        <w:numId w:val="1"/>
      </w:numPr>
      <w:tabs>
        <w:tab w:val="right" w:pos="8640"/>
      </w:tabs>
      <w:spacing w:before="120" w:after="120" w:line="240" w:lineRule="exact"/>
      <w:jc w:val="both"/>
    </w:pPr>
    <w:rPr>
      <w:rFonts w:ascii="Garamond" w:hAnsi="Garamond" w:cs="Times New Roman"/>
      <w:noProof/>
      <w:color w:val="auto"/>
      <w:szCs w:val="22"/>
    </w:rPr>
  </w:style>
  <w:style w:type="character" w:customStyle="1" w:styleId="IAPapakpChar">
    <w:name w:val="IAP apakšp Char"/>
    <w:basedOn w:val="DefaultParagraphFont"/>
    <w:link w:val="IAPapakp"/>
    <w:rsid w:val="00CC621A"/>
    <w:rPr>
      <w:rFonts w:ascii="Garamond" w:hAnsi="Garamond" w:cs="Times New Roman"/>
      <w:noProof/>
      <w:color w:val="auto"/>
      <w:szCs w:val="22"/>
    </w:rPr>
  </w:style>
  <w:style w:type="paragraph" w:styleId="ListParagraph">
    <w:name w:val="List Paragraph"/>
    <w:aliases w:val="2"/>
    <w:basedOn w:val="Normal"/>
    <w:link w:val="ListParagraphChar"/>
    <w:uiPriority w:val="34"/>
    <w:qFormat/>
    <w:rsid w:val="00CC621A"/>
    <w:pPr>
      <w:ind w:left="720"/>
      <w:contextualSpacing/>
    </w:pPr>
  </w:style>
  <w:style w:type="table" w:styleId="TableGrid">
    <w:name w:val="Table Grid"/>
    <w:basedOn w:val="TableNormal"/>
    <w:uiPriority w:val="59"/>
    <w:rsid w:val="00CC621A"/>
    <w:rPr>
      <w:rFonts w:ascii="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ELAIS">
    <w:name w:val="LIELAIS"/>
    <w:basedOn w:val="Normal"/>
    <w:link w:val="LIELAISChar"/>
    <w:qFormat/>
    <w:rsid w:val="00CC621A"/>
    <w:pPr>
      <w:keepNext/>
      <w:keepLines/>
      <w:numPr>
        <w:numId w:val="2"/>
      </w:numPr>
      <w:pBdr>
        <w:bottom w:val="single" w:sz="48" w:space="3" w:color="1F497D"/>
      </w:pBdr>
      <w:spacing w:after="120"/>
      <w:jc w:val="both"/>
      <w:outlineLvl w:val="0"/>
    </w:pPr>
    <w:rPr>
      <w:rFonts w:ascii="Garamond" w:eastAsia="Times New Roman" w:hAnsi="Garamond" w:cs="Times New Roman"/>
      <w:bCs/>
      <w:noProof/>
      <w:color w:val="1F497D"/>
      <w:sz w:val="40"/>
      <w:szCs w:val="64"/>
    </w:rPr>
  </w:style>
  <w:style w:type="character" w:customStyle="1" w:styleId="LIELAISChar">
    <w:name w:val="LIELAIS Char"/>
    <w:basedOn w:val="DefaultParagraphFont"/>
    <w:link w:val="LIELAIS"/>
    <w:rsid w:val="00CC621A"/>
    <w:rPr>
      <w:rFonts w:ascii="Garamond" w:eastAsia="Times New Roman" w:hAnsi="Garamond" w:cs="Times New Roman"/>
      <w:bCs/>
      <w:noProof/>
      <w:color w:val="1F497D"/>
      <w:sz w:val="40"/>
      <w:szCs w:val="64"/>
    </w:rPr>
  </w:style>
  <w:style w:type="character" w:styleId="Hyperlink">
    <w:name w:val="Hyperlink"/>
    <w:basedOn w:val="DefaultParagraphFont"/>
    <w:uiPriority w:val="99"/>
    <w:unhideWhenUsed/>
    <w:rsid w:val="00CC621A"/>
    <w:rPr>
      <w:color w:val="0000FF"/>
      <w:u w:val="single"/>
    </w:rPr>
  </w:style>
  <w:style w:type="character" w:customStyle="1" w:styleId="ListParagraphChar">
    <w:name w:val="List Paragraph Char"/>
    <w:aliases w:val="2 Char"/>
    <w:link w:val="ListParagraph"/>
    <w:uiPriority w:val="34"/>
    <w:locked/>
    <w:rsid w:val="00CC621A"/>
  </w:style>
  <w:style w:type="paragraph" w:customStyle="1" w:styleId="Mazaisparastaisapakvirs">
    <w:name w:val="Mazais parastais apakšvirs"/>
    <w:basedOn w:val="Normal"/>
    <w:link w:val="MazaisparastaisapakvirsChar"/>
    <w:qFormat/>
    <w:rsid w:val="00CC621A"/>
    <w:pPr>
      <w:spacing w:before="120" w:after="120"/>
    </w:pPr>
    <w:rPr>
      <w:rFonts w:ascii="Garamond" w:hAnsi="Garamond"/>
      <w:b/>
      <w:color w:val="auto"/>
    </w:rPr>
  </w:style>
  <w:style w:type="character" w:customStyle="1" w:styleId="MazaisparastaisapakvirsChar">
    <w:name w:val="Mazais parastais apakšvirs Char"/>
    <w:basedOn w:val="DefaultParagraphFont"/>
    <w:link w:val="Mazaisparastaisapakvirs"/>
    <w:rsid w:val="00CC621A"/>
    <w:rPr>
      <w:rFonts w:ascii="Garamond" w:hAnsi="Garamond"/>
      <w:b/>
      <w:color w:val="auto"/>
    </w:rPr>
  </w:style>
  <w:style w:type="paragraph" w:customStyle="1" w:styleId="Apaknodaa">
    <w:name w:val="Apakšnodaļa"/>
    <w:basedOn w:val="LIELAIS"/>
    <w:link w:val="ApaknodaaChar"/>
    <w:qFormat/>
    <w:rsid w:val="00CC621A"/>
    <w:pPr>
      <w:numPr>
        <w:ilvl w:val="1"/>
      </w:numPr>
      <w:pBdr>
        <w:top w:val="single" w:sz="24" w:space="1" w:color="1F497D"/>
        <w:bottom w:val="none" w:sz="0" w:space="0" w:color="auto"/>
      </w:pBdr>
    </w:pPr>
    <w:rPr>
      <w:sz w:val="32"/>
    </w:rPr>
  </w:style>
  <w:style w:type="paragraph" w:customStyle="1" w:styleId="Apakapaknodaa">
    <w:name w:val="Apakš apakš nodaļa"/>
    <w:basedOn w:val="LIELAIS"/>
    <w:link w:val="ApakapaknodaaChar"/>
    <w:qFormat/>
    <w:rsid w:val="00CC621A"/>
    <w:pPr>
      <w:numPr>
        <w:ilvl w:val="2"/>
      </w:numPr>
      <w:pBdr>
        <w:top w:val="single" w:sz="24" w:space="1" w:color="1F497D"/>
        <w:bottom w:val="none" w:sz="0" w:space="0" w:color="auto"/>
      </w:pBdr>
      <w:ind w:left="851" w:hanging="851"/>
    </w:pPr>
    <w:rPr>
      <w:sz w:val="32"/>
    </w:rPr>
  </w:style>
  <w:style w:type="character" w:customStyle="1" w:styleId="ApaknodaaChar">
    <w:name w:val="Apakšnodaļa Char"/>
    <w:basedOn w:val="LIELAISChar"/>
    <w:link w:val="Apaknodaa"/>
    <w:rsid w:val="00CC621A"/>
    <w:rPr>
      <w:rFonts w:ascii="Garamond" w:eastAsia="Times New Roman" w:hAnsi="Garamond" w:cs="Times New Roman"/>
      <w:bCs w:val="0"/>
      <w:noProof/>
      <w:color w:val="1F497D"/>
      <w:sz w:val="32"/>
      <w:szCs w:val="64"/>
    </w:rPr>
  </w:style>
  <w:style w:type="character" w:customStyle="1" w:styleId="ApakapaknodaaChar">
    <w:name w:val="Apakš apakš nodaļa Char"/>
    <w:basedOn w:val="LIELAISChar"/>
    <w:link w:val="Apakapaknodaa"/>
    <w:rsid w:val="00CC621A"/>
    <w:rPr>
      <w:rFonts w:ascii="Garamond" w:eastAsia="Times New Roman" w:hAnsi="Garamond" w:cs="Times New Roman"/>
      <w:bCs w:val="0"/>
      <w:noProof/>
      <w:color w:val="1F497D"/>
      <w:sz w:val="32"/>
      <w:szCs w:val="64"/>
    </w:rPr>
  </w:style>
  <w:style w:type="paragraph" w:styleId="BalloonText">
    <w:name w:val="Balloon Text"/>
    <w:basedOn w:val="Normal"/>
    <w:link w:val="BalloonTextChar"/>
    <w:uiPriority w:val="99"/>
    <w:semiHidden/>
    <w:unhideWhenUsed/>
    <w:rsid w:val="00CC621A"/>
    <w:rPr>
      <w:rFonts w:ascii="Tahoma" w:hAnsi="Tahoma" w:cs="Tahoma"/>
      <w:sz w:val="16"/>
      <w:szCs w:val="16"/>
    </w:rPr>
  </w:style>
  <w:style w:type="character" w:customStyle="1" w:styleId="BalloonTextChar">
    <w:name w:val="Balloon Text Char"/>
    <w:basedOn w:val="DefaultParagraphFont"/>
    <w:link w:val="BalloonText"/>
    <w:uiPriority w:val="99"/>
    <w:semiHidden/>
    <w:rsid w:val="00CC621A"/>
    <w:rPr>
      <w:rFonts w:ascii="Tahoma" w:hAnsi="Tahoma" w:cs="Tahoma"/>
      <w:sz w:val="16"/>
      <w:szCs w:val="16"/>
    </w:rPr>
  </w:style>
  <w:style w:type="paragraph" w:styleId="FootnoteText">
    <w:name w:val="footnote text"/>
    <w:basedOn w:val="Normal"/>
    <w:link w:val="FootnoteTextChar"/>
    <w:unhideWhenUsed/>
    <w:rsid w:val="00E254C2"/>
    <w:rPr>
      <w:sz w:val="20"/>
    </w:rPr>
  </w:style>
  <w:style w:type="character" w:customStyle="1" w:styleId="FootnoteTextChar">
    <w:name w:val="Footnote Text Char"/>
    <w:basedOn w:val="DefaultParagraphFont"/>
    <w:link w:val="FootnoteText"/>
    <w:rsid w:val="00E254C2"/>
    <w:rPr>
      <w:sz w:val="20"/>
    </w:rPr>
  </w:style>
  <w:style w:type="character" w:styleId="FootnoteReference">
    <w:name w:val="footnote reference"/>
    <w:aliases w:val="Footnote Reference Superscript,Footnote symbol,Footnote Reference Number,Footnote Refernece,ftref,SUPERS"/>
    <w:unhideWhenUsed/>
    <w:rsid w:val="00E254C2"/>
    <w:rPr>
      <w:vertAlign w:val="superscript"/>
    </w:rPr>
  </w:style>
  <w:style w:type="table" w:customStyle="1" w:styleId="TableGrid1">
    <w:name w:val="Table Grid1"/>
    <w:basedOn w:val="TableNormal"/>
    <w:next w:val="TableGrid"/>
    <w:uiPriority w:val="59"/>
    <w:rsid w:val="00D002BB"/>
    <w:pPr>
      <w:widowControl w:val="0"/>
    </w:pPr>
    <w:rPr>
      <w:rFonts w:ascii="Courier New" w:eastAsia="Courier New" w:hAnsi="Courier New" w:cs="Courier New"/>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002BB"/>
    <w:pPr>
      <w:autoSpaceDE w:val="0"/>
      <w:autoSpaceDN w:val="0"/>
      <w:adjustRightInd w:val="0"/>
    </w:pPr>
    <w:rPr>
      <w:rFonts w:ascii="Cambria" w:hAnsi="Cambria" w:cs="Cambria"/>
      <w:color w:val="000000"/>
      <w:sz w:val="24"/>
      <w:szCs w:val="24"/>
      <w:lang w:val="en-US" w:eastAsia="en-US"/>
    </w:rPr>
  </w:style>
  <w:style w:type="paragraph" w:customStyle="1" w:styleId="teksts">
    <w:name w:val="teksts"/>
    <w:basedOn w:val="Normal"/>
    <w:link w:val="tekstsChar"/>
    <w:qFormat/>
    <w:rsid w:val="00D002BB"/>
    <w:pPr>
      <w:ind w:firstLine="720"/>
      <w:jc w:val="both"/>
    </w:pPr>
  </w:style>
  <w:style w:type="character" w:customStyle="1" w:styleId="tekstsChar">
    <w:name w:val="teksts Char"/>
    <w:basedOn w:val="DefaultParagraphFont"/>
    <w:link w:val="teksts"/>
    <w:rsid w:val="00D002BB"/>
  </w:style>
  <w:style w:type="character" w:styleId="CommentReference">
    <w:name w:val="annotation reference"/>
    <w:basedOn w:val="DefaultParagraphFont"/>
    <w:uiPriority w:val="99"/>
    <w:semiHidden/>
    <w:unhideWhenUsed/>
    <w:rsid w:val="00B9746D"/>
    <w:rPr>
      <w:sz w:val="16"/>
      <w:szCs w:val="16"/>
    </w:rPr>
  </w:style>
  <w:style w:type="paragraph" w:styleId="CommentText">
    <w:name w:val="annotation text"/>
    <w:basedOn w:val="Normal"/>
    <w:link w:val="CommentTextChar"/>
    <w:uiPriority w:val="99"/>
    <w:semiHidden/>
    <w:unhideWhenUsed/>
    <w:rsid w:val="00B9746D"/>
    <w:rPr>
      <w:sz w:val="20"/>
    </w:rPr>
  </w:style>
  <w:style w:type="character" w:customStyle="1" w:styleId="CommentTextChar">
    <w:name w:val="Comment Text Char"/>
    <w:basedOn w:val="DefaultParagraphFont"/>
    <w:link w:val="CommentText"/>
    <w:uiPriority w:val="99"/>
    <w:semiHidden/>
    <w:rsid w:val="00B9746D"/>
    <w:rPr>
      <w:rFonts w:eastAsia="Calibri"/>
      <w:sz w:val="20"/>
    </w:rPr>
  </w:style>
  <w:style w:type="paragraph" w:styleId="Header">
    <w:name w:val="header"/>
    <w:basedOn w:val="Normal"/>
    <w:link w:val="HeaderChar"/>
    <w:uiPriority w:val="99"/>
    <w:unhideWhenUsed/>
    <w:rsid w:val="005A38C0"/>
    <w:pPr>
      <w:tabs>
        <w:tab w:val="center" w:pos="4153"/>
        <w:tab w:val="right" w:pos="8306"/>
      </w:tabs>
    </w:pPr>
  </w:style>
  <w:style w:type="character" w:customStyle="1" w:styleId="HeaderChar">
    <w:name w:val="Header Char"/>
    <w:basedOn w:val="DefaultParagraphFont"/>
    <w:link w:val="Header"/>
    <w:uiPriority w:val="99"/>
    <w:rsid w:val="005A38C0"/>
  </w:style>
  <w:style w:type="paragraph" w:styleId="Footer">
    <w:name w:val="footer"/>
    <w:basedOn w:val="Normal"/>
    <w:link w:val="FooterChar"/>
    <w:uiPriority w:val="99"/>
    <w:unhideWhenUsed/>
    <w:rsid w:val="005A38C0"/>
    <w:pPr>
      <w:tabs>
        <w:tab w:val="center" w:pos="4153"/>
        <w:tab w:val="right" w:pos="8306"/>
      </w:tabs>
    </w:pPr>
  </w:style>
  <w:style w:type="character" w:customStyle="1" w:styleId="FooterChar">
    <w:name w:val="Footer Char"/>
    <w:basedOn w:val="DefaultParagraphFont"/>
    <w:link w:val="Footer"/>
    <w:uiPriority w:val="99"/>
    <w:rsid w:val="005A38C0"/>
  </w:style>
  <w:style w:type="paragraph" w:styleId="CommentSubject">
    <w:name w:val="annotation subject"/>
    <w:basedOn w:val="CommentText"/>
    <w:next w:val="CommentText"/>
    <w:link w:val="CommentSubjectChar"/>
    <w:uiPriority w:val="99"/>
    <w:semiHidden/>
    <w:unhideWhenUsed/>
    <w:rsid w:val="00865FE8"/>
    <w:rPr>
      <w:b/>
      <w:bCs/>
    </w:rPr>
  </w:style>
  <w:style w:type="character" w:customStyle="1" w:styleId="CommentSubjectChar">
    <w:name w:val="Comment Subject Char"/>
    <w:basedOn w:val="CommentTextChar"/>
    <w:link w:val="CommentSubject"/>
    <w:uiPriority w:val="99"/>
    <w:semiHidden/>
    <w:rsid w:val="00865FE8"/>
    <w:rPr>
      <w:rFonts w:eastAsia="Calibri"/>
      <w:b/>
      <w:bCs/>
      <w:color w:val="000000"/>
      <w:sz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nki-latvija.lv" TargetMode="Externa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ki-latvija.lv"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cilvektiesibas.org.lv/lv/publications/petijums-par-patveruma-mekletaju-beglu-un-personu" TargetMode="External"/><Relationship Id="rId20" Type="http://schemas.openxmlformats.org/officeDocument/2006/relationships/hyperlink" Target="http://www.draugiem.lv"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zm.izm.gov.lv/normativie-akti/informativie-zinojumi.html"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nqf-latvia.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gov.lv/images/modules/items/LV_NRP_lat.pdf"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izm.izm.gov.lv/nozares-politika/izglitiba/muzizglitiba/7251.html" TargetMode="External"/><Relationship Id="rId1" Type="http://schemas.openxmlformats.org/officeDocument/2006/relationships/hyperlink" Target="http://izm.izm.gov.lv/nozares-politika/izglitiba/muzizglitiba/7248.html" TargetMode="External"/></Relationships>
</file>

<file path=word/diagrams/_rels/data2.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3D2DE-36CF-47A8-A2DB-0EDAD7F5AFCD}"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lv-LV"/>
        </a:p>
      </dgm:t>
    </dgm:pt>
    <dgm:pt modelId="{84A14E35-94D8-48D4-BC82-6FCF0B205CCB}">
      <dgm:prSet phldrT="[Text]" custT="1"/>
      <dgm:spPr>
        <a:xfrm>
          <a:off x="1" y="442291"/>
          <a:ext cx="3486146" cy="447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600" b="1">
              <a:solidFill>
                <a:sysClr val="window" lastClr="FFFFFF"/>
              </a:solidFill>
              <a:latin typeface="Calibri"/>
              <a:ea typeface="+mn-ea"/>
              <a:cs typeface="+mn-cs"/>
            </a:rPr>
            <a:t>IZM</a:t>
          </a:r>
        </a:p>
      </dgm:t>
    </dgm:pt>
    <dgm:pt modelId="{C4B97FB5-7C46-4EA8-B76D-20BFBDD2097D}" type="parTrans" cxnId="{454B4A79-D34E-4EEF-93B9-690F50543675}">
      <dgm:prSet/>
      <dgm:spPr/>
      <dgm:t>
        <a:bodyPr/>
        <a:lstStyle/>
        <a:p>
          <a:endParaRPr lang="lv-LV"/>
        </a:p>
      </dgm:t>
    </dgm:pt>
    <dgm:pt modelId="{9D23E391-5175-4B04-89D0-2808480D8F42}" type="sibTrans" cxnId="{454B4A79-D34E-4EEF-93B9-690F50543675}">
      <dgm:prSet/>
      <dgm:spPr/>
      <dgm:t>
        <a:bodyPr/>
        <a:lstStyle/>
        <a:p>
          <a:endParaRPr lang="lv-LV"/>
        </a:p>
      </dgm:t>
    </dgm:pt>
    <dgm:pt modelId="{4541037B-8D9A-4610-AF10-28DF4A22073A}">
      <dgm:prSet phldrT="[Text]"/>
      <dgm:spPr>
        <a:xfrm>
          <a:off x="1075" y="1077550"/>
          <a:ext cx="1670201" cy="44736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5 plānošanas reģioni</a:t>
          </a:r>
        </a:p>
      </dgm:t>
    </dgm:pt>
    <dgm:pt modelId="{5D21A8DB-2F77-4972-8C65-91970C12C813}" type="parTrans" cxnId="{AFA2872F-29A9-4D17-B3E6-6EE429179635}">
      <dgm:prSet/>
      <dgm:spPr>
        <a:xfrm>
          <a:off x="836176" y="889657"/>
          <a:ext cx="906898" cy="187893"/>
        </a:xfrm>
        <a:noFill/>
        <a:ln w="25400" cap="flat" cmpd="sng" algn="ctr">
          <a:solidFill>
            <a:srgbClr val="9BBB59">
              <a:hueOff val="0"/>
              <a:satOff val="0"/>
              <a:lumOff val="0"/>
              <a:alphaOff val="0"/>
            </a:srgbClr>
          </a:solidFill>
          <a:prstDash val="solid"/>
        </a:ln>
        <a:effectLst/>
      </dgm:spPr>
      <dgm:t>
        <a:bodyPr/>
        <a:lstStyle/>
        <a:p>
          <a:endParaRPr lang="lv-LV"/>
        </a:p>
      </dgm:t>
    </dgm:pt>
    <dgm:pt modelId="{2FA06146-3FAB-49AC-BE66-7A9582BC6D5F}" type="sibTrans" cxnId="{AFA2872F-29A9-4D17-B3E6-6EE429179635}">
      <dgm:prSet/>
      <dgm:spPr/>
      <dgm:t>
        <a:bodyPr/>
        <a:lstStyle/>
        <a:p>
          <a:endParaRPr lang="lv-LV"/>
        </a:p>
      </dgm:t>
    </dgm:pt>
    <dgm:pt modelId="{F39A64B1-7E2F-434D-95C6-98C4DCF4F388}">
      <dgm:prSet phldrT="[Text]"/>
      <dgm:spPr>
        <a:xfrm>
          <a:off x="1859170" y="1077550"/>
          <a:ext cx="1625903" cy="44736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Nozares ministrijas (LM un EM)</a:t>
          </a:r>
        </a:p>
      </dgm:t>
    </dgm:pt>
    <dgm:pt modelId="{59ADFF07-7E15-415E-8540-4D933762C36B}" type="parTrans" cxnId="{EEC69739-A2CA-4647-9C37-75A3E34C43F2}">
      <dgm:prSet/>
      <dgm:spPr>
        <a:xfrm>
          <a:off x="1743075" y="889657"/>
          <a:ext cx="929047" cy="187893"/>
        </a:xfrm>
        <a:noFill/>
        <a:ln w="25400" cap="flat" cmpd="sng" algn="ctr">
          <a:solidFill>
            <a:srgbClr val="9BBB59">
              <a:hueOff val="0"/>
              <a:satOff val="0"/>
              <a:lumOff val="0"/>
              <a:alphaOff val="0"/>
            </a:srgbClr>
          </a:solidFill>
          <a:prstDash val="solid"/>
        </a:ln>
        <a:effectLst/>
      </dgm:spPr>
      <dgm:t>
        <a:bodyPr/>
        <a:lstStyle/>
        <a:p>
          <a:endParaRPr lang="lv-LV"/>
        </a:p>
      </dgm:t>
    </dgm:pt>
    <dgm:pt modelId="{7FE3D701-ED48-42A6-AD1C-5873F26D41DC}" type="sibTrans" cxnId="{EEC69739-A2CA-4647-9C37-75A3E34C43F2}">
      <dgm:prSet/>
      <dgm:spPr/>
      <dgm:t>
        <a:bodyPr/>
        <a:lstStyle/>
        <a:p>
          <a:endParaRPr lang="lv-LV"/>
        </a:p>
      </dgm:t>
    </dgm:pt>
    <dgm:pt modelId="{7AE427EB-BADC-4055-AE0C-5A2D80B6D1E1}">
      <dgm:prSet/>
      <dgm:spPr>
        <a:xfrm>
          <a:off x="418625" y="1712808"/>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Izglītības iestādes</a:t>
          </a:r>
        </a:p>
        <a:p>
          <a:r>
            <a:rPr lang="lv-LV">
              <a:solidFill>
                <a:sysClr val="window" lastClr="FFFFFF"/>
              </a:solidFill>
              <a:latin typeface="Calibri"/>
              <a:ea typeface="+mn-ea"/>
              <a:cs typeface="+mn-cs"/>
            </a:rPr>
            <a:t>(PIKC, vispārējās un augstākās)</a:t>
          </a:r>
        </a:p>
      </dgm:t>
    </dgm:pt>
    <dgm:pt modelId="{DCE68129-8CAF-415C-8A93-E084E9941FA9}" type="parTrans" cxnId="{D60C1DFB-EB48-48DB-BAB7-8E56DD73342C}">
      <dgm:prSet/>
      <dgm:spPr>
        <a:xfrm>
          <a:off x="168095" y="1524915"/>
          <a:ext cx="250530" cy="411575"/>
        </a:xfrm>
        <a:noFill/>
        <a:ln w="25400" cap="flat" cmpd="sng" algn="ctr">
          <a:solidFill>
            <a:srgbClr val="8064A2">
              <a:hueOff val="0"/>
              <a:satOff val="0"/>
              <a:lumOff val="0"/>
              <a:alphaOff val="0"/>
            </a:srgbClr>
          </a:solidFill>
          <a:prstDash val="solid"/>
        </a:ln>
        <a:effectLst/>
      </dgm:spPr>
      <dgm:t>
        <a:bodyPr/>
        <a:lstStyle/>
        <a:p>
          <a:endParaRPr lang="lv-LV"/>
        </a:p>
      </dgm:t>
    </dgm:pt>
    <dgm:pt modelId="{64D68998-27F5-4BF2-BF40-87174D9588B6}" type="sibTrans" cxnId="{D60C1DFB-EB48-48DB-BAB7-8E56DD73342C}">
      <dgm:prSet/>
      <dgm:spPr/>
      <dgm:t>
        <a:bodyPr/>
        <a:lstStyle/>
        <a:p>
          <a:endParaRPr lang="lv-LV"/>
        </a:p>
      </dgm:t>
    </dgm:pt>
    <dgm:pt modelId="{A7B2B835-42ED-4E33-916B-DDA096E2FEE6}">
      <dgm:prSet/>
      <dgm:spPr>
        <a:xfrm>
          <a:off x="418625" y="2348067"/>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Privātie pakalpojumu sniedzēji</a:t>
          </a:r>
        </a:p>
      </dgm:t>
    </dgm:pt>
    <dgm:pt modelId="{60454BDA-D517-4C39-9E87-58B4E002A28A}" type="parTrans" cxnId="{DF98FCC7-7088-4A44-B36D-F21050573724}">
      <dgm:prSet/>
      <dgm:spPr>
        <a:xfrm>
          <a:off x="168095" y="1524915"/>
          <a:ext cx="250530" cy="1046834"/>
        </a:xfrm>
        <a:noFill/>
        <a:ln w="25400" cap="flat" cmpd="sng" algn="ctr">
          <a:solidFill>
            <a:srgbClr val="8064A2">
              <a:hueOff val="0"/>
              <a:satOff val="0"/>
              <a:lumOff val="0"/>
              <a:alphaOff val="0"/>
            </a:srgbClr>
          </a:solidFill>
          <a:prstDash val="solid"/>
        </a:ln>
        <a:effectLst/>
      </dgm:spPr>
      <dgm:t>
        <a:bodyPr/>
        <a:lstStyle/>
        <a:p>
          <a:endParaRPr lang="lv-LV"/>
        </a:p>
      </dgm:t>
    </dgm:pt>
    <dgm:pt modelId="{06258D1A-2F2C-45FF-8173-F08614178F89}" type="sibTrans" cxnId="{DF98FCC7-7088-4A44-B36D-F21050573724}">
      <dgm:prSet/>
      <dgm:spPr/>
      <dgm:t>
        <a:bodyPr/>
        <a:lstStyle/>
        <a:p>
          <a:endParaRPr lang="lv-LV"/>
        </a:p>
      </dgm:t>
    </dgm:pt>
    <dgm:pt modelId="{461A9BB6-769E-4393-866F-F077FCC318DC}">
      <dgm:prSet/>
      <dgm:spPr>
        <a:xfrm>
          <a:off x="418625" y="4253842"/>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Pats indivīds</a:t>
          </a:r>
        </a:p>
      </dgm:t>
    </dgm:pt>
    <dgm:pt modelId="{BE7D2E47-54FE-4D12-92F3-629CF128FC8F}" type="parTrans" cxnId="{78AAE1BE-57B0-4DAC-B164-1EB7020C14DD}">
      <dgm:prSet/>
      <dgm:spPr>
        <a:xfrm>
          <a:off x="168095" y="1524915"/>
          <a:ext cx="250530" cy="2952609"/>
        </a:xfrm>
        <a:noFill/>
        <a:ln w="25400" cap="flat" cmpd="sng" algn="ctr">
          <a:solidFill>
            <a:srgbClr val="8064A2">
              <a:hueOff val="0"/>
              <a:satOff val="0"/>
              <a:lumOff val="0"/>
              <a:alphaOff val="0"/>
            </a:srgbClr>
          </a:solidFill>
          <a:prstDash val="solid"/>
        </a:ln>
        <a:effectLst/>
      </dgm:spPr>
      <dgm:t>
        <a:bodyPr/>
        <a:lstStyle/>
        <a:p>
          <a:endParaRPr lang="lv-LV"/>
        </a:p>
      </dgm:t>
    </dgm:pt>
    <dgm:pt modelId="{CAB42665-FF61-4707-8AC0-BFC5ED69244E}" type="sibTrans" cxnId="{78AAE1BE-57B0-4DAC-B164-1EB7020C14DD}">
      <dgm:prSet/>
      <dgm:spPr/>
      <dgm:t>
        <a:bodyPr/>
        <a:lstStyle/>
        <a:p>
          <a:endParaRPr lang="lv-LV"/>
        </a:p>
      </dgm:t>
    </dgm:pt>
    <dgm:pt modelId="{6D087A94-C4A3-4A26-B4BC-FCC04328C55D}">
      <dgm:prSet/>
      <dgm:spPr>
        <a:xfrm>
          <a:off x="418625" y="2983325"/>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Nozaru asociācijas</a:t>
          </a:r>
        </a:p>
      </dgm:t>
    </dgm:pt>
    <dgm:pt modelId="{AF3888ED-08F0-460C-A0F8-E14A45C148FD}" type="parTrans" cxnId="{BF8645C7-9B1E-4967-AC69-44934F0002AB}">
      <dgm:prSet/>
      <dgm:spPr>
        <a:xfrm>
          <a:off x="168095" y="1524915"/>
          <a:ext cx="250530" cy="1682092"/>
        </a:xfrm>
        <a:noFill/>
        <a:ln w="25400" cap="flat" cmpd="sng" algn="ctr">
          <a:solidFill>
            <a:srgbClr val="8064A2">
              <a:hueOff val="0"/>
              <a:satOff val="0"/>
              <a:lumOff val="0"/>
              <a:alphaOff val="0"/>
            </a:srgbClr>
          </a:solidFill>
          <a:prstDash val="solid"/>
        </a:ln>
        <a:effectLst/>
      </dgm:spPr>
      <dgm:t>
        <a:bodyPr/>
        <a:lstStyle/>
        <a:p>
          <a:endParaRPr lang="lv-LV"/>
        </a:p>
      </dgm:t>
    </dgm:pt>
    <dgm:pt modelId="{C3ED918B-9623-4F00-835A-AAA9F26D3E10}" type="sibTrans" cxnId="{BF8645C7-9B1E-4967-AC69-44934F0002AB}">
      <dgm:prSet/>
      <dgm:spPr/>
      <dgm:t>
        <a:bodyPr/>
        <a:lstStyle/>
        <a:p>
          <a:endParaRPr lang="lv-LV"/>
        </a:p>
      </dgm:t>
    </dgm:pt>
    <dgm:pt modelId="{38B1509E-51E7-4FA7-84E6-D44F4F806AFD}">
      <dgm:prSet/>
      <dgm:spPr>
        <a:xfrm>
          <a:off x="418625" y="3618584"/>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Pašvaldības (pieaugušo mācību centri)</a:t>
          </a:r>
        </a:p>
      </dgm:t>
    </dgm:pt>
    <dgm:pt modelId="{695BD1E0-32CF-43D5-8ADF-7226697625E2}" type="parTrans" cxnId="{17E648AD-2D16-4571-92A1-7449C5E8F85E}">
      <dgm:prSet/>
      <dgm:spPr>
        <a:xfrm>
          <a:off x="168095" y="1524915"/>
          <a:ext cx="250530" cy="2317351"/>
        </a:xfrm>
        <a:noFill/>
        <a:ln w="25400" cap="flat" cmpd="sng" algn="ctr">
          <a:solidFill>
            <a:srgbClr val="8064A2">
              <a:hueOff val="0"/>
              <a:satOff val="0"/>
              <a:lumOff val="0"/>
              <a:alphaOff val="0"/>
            </a:srgbClr>
          </a:solidFill>
          <a:prstDash val="solid"/>
        </a:ln>
        <a:effectLst/>
      </dgm:spPr>
      <dgm:t>
        <a:bodyPr/>
        <a:lstStyle/>
        <a:p>
          <a:endParaRPr lang="lv-LV"/>
        </a:p>
      </dgm:t>
    </dgm:pt>
    <dgm:pt modelId="{A7276E3D-E198-4FC9-84A4-4C169A681B79}" type="sibTrans" cxnId="{17E648AD-2D16-4571-92A1-7449C5E8F85E}">
      <dgm:prSet/>
      <dgm:spPr/>
      <dgm:t>
        <a:bodyPr/>
        <a:lstStyle/>
        <a:p>
          <a:endParaRPr lang="lv-LV"/>
        </a:p>
      </dgm:t>
    </dgm:pt>
    <dgm:pt modelId="{A7E145B8-728F-4FD4-8824-D5FF2BAF0600}">
      <dgm:prSet/>
      <dgm:spPr>
        <a:xfrm>
          <a:off x="2265646" y="1712808"/>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NVA</a:t>
          </a:r>
        </a:p>
      </dgm:t>
    </dgm:pt>
    <dgm:pt modelId="{C712329D-3D6B-4ACC-B78A-8E0764F581F2}" type="parTrans" cxnId="{CFA5177C-8701-4812-BDDE-9FAFC4247589}">
      <dgm:prSet/>
      <dgm:spPr>
        <a:xfrm>
          <a:off x="2021761" y="1524915"/>
          <a:ext cx="243885" cy="411575"/>
        </a:xfrm>
        <a:noFill/>
        <a:ln w="25400" cap="flat" cmpd="sng" algn="ctr">
          <a:solidFill>
            <a:srgbClr val="8064A2">
              <a:hueOff val="0"/>
              <a:satOff val="0"/>
              <a:lumOff val="0"/>
              <a:alphaOff val="0"/>
            </a:srgbClr>
          </a:solidFill>
          <a:prstDash val="solid"/>
        </a:ln>
        <a:effectLst/>
      </dgm:spPr>
      <dgm:t>
        <a:bodyPr/>
        <a:lstStyle/>
        <a:p>
          <a:endParaRPr lang="lv-LV"/>
        </a:p>
      </dgm:t>
    </dgm:pt>
    <dgm:pt modelId="{86832B45-72D3-4FBC-AC21-5127FE3D0CFF}" type="sibTrans" cxnId="{CFA5177C-8701-4812-BDDE-9FAFC4247589}">
      <dgm:prSet/>
      <dgm:spPr/>
      <dgm:t>
        <a:bodyPr/>
        <a:lstStyle/>
        <a:p>
          <a:endParaRPr lang="lv-LV"/>
        </a:p>
      </dgm:t>
    </dgm:pt>
    <dgm:pt modelId="{728CF4C7-6AD9-49F7-8016-807910CAECE2}">
      <dgm:prSet/>
      <dgm:spPr>
        <a:xfrm>
          <a:off x="2265646" y="2348067"/>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Nozaru asociācijas</a:t>
          </a:r>
        </a:p>
      </dgm:t>
    </dgm:pt>
    <dgm:pt modelId="{0A2B37FA-BADB-4D50-9DFA-C5BA7DA64FB4}" type="parTrans" cxnId="{8A3A5979-2859-44D3-B058-913D8144B913}">
      <dgm:prSet/>
      <dgm:spPr>
        <a:xfrm>
          <a:off x="2021761" y="1524915"/>
          <a:ext cx="243885" cy="1046834"/>
        </a:xfrm>
        <a:noFill/>
        <a:ln w="25400" cap="flat" cmpd="sng" algn="ctr">
          <a:solidFill>
            <a:srgbClr val="8064A2">
              <a:hueOff val="0"/>
              <a:satOff val="0"/>
              <a:lumOff val="0"/>
              <a:alphaOff val="0"/>
            </a:srgbClr>
          </a:solidFill>
          <a:prstDash val="solid"/>
        </a:ln>
        <a:effectLst/>
      </dgm:spPr>
      <dgm:t>
        <a:bodyPr/>
        <a:lstStyle/>
        <a:p>
          <a:endParaRPr lang="lv-LV"/>
        </a:p>
      </dgm:t>
    </dgm:pt>
    <dgm:pt modelId="{BDB3D4D4-5EC4-4397-9B4B-3594A04974B6}" type="sibTrans" cxnId="{8A3A5979-2859-44D3-B058-913D8144B913}">
      <dgm:prSet/>
      <dgm:spPr/>
      <dgm:t>
        <a:bodyPr/>
        <a:lstStyle/>
        <a:p>
          <a:endParaRPr lang="lv-LV"/>
        </a:p>
      </dgm:t>
    </dgm:pt>
    <dgm:pt modelId="{A03CAECD-ACDE-40E6-8C3B-B01378AE46AC}">
      <dgm:prSet/>
      <dgm:spPr>
        <a:xfrm>
          <a:off x="2265646" y="2983325"/>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Darba devēji</a:t>
          </a:r>
        </a:p>
      </dgm:t>
    </dgm:pt>
    <dgm:pt modelId="{D66F87D1-4598-496D-A626-32A33AAEDD33}" type="parTrans" cxnId="{45583A80-DBEB-4310-9308-F50DFFAF302B}">
      <dgm:prSet/>
      <dgm:spPr>
        <a:xfrm>
          <a:off x="2021761" y="1524915"/>
          <a:ext cx="243885" cy="1682092"/>
        </a:xfrm>
        <a:noFill/>
        <a:ln w="25400" cap="flat" cmpd="sng" algn="ctr">
          <a:solidFill>
            <a:srgbClr val="8064A2">
              <a:hueOff val="0"/>
              <a:satOff val="0"/>
              <a:lumOff val="0"/>
              <a:alphaOff val="0"/>
            </a:srgbClr>
          </a:solidFill>
          <a:prstDash val="solid"/>
        </a:ln>
        <a:effectLst/>
      </dgm:spPr>
      <dgm:t>
        <a:bodyPr/>
        <a:lstStyle/>
        <a:p>
          <a:endParaRPr lang="lv-LV"/>
        </a:p>
      </dgm:t>
    </dgm:pt>
    <dgm:pt modelId="{C5B24132-1AA9-4BAA-9368-7D5D1755F9C8}" type="sibTrans" cxnId="{45583A80-DBEB-4310-9308-F50DFFAF302B}">
      <dgm:prSet/>
      <dgm:spPr/>
      <dgm:t>
        <a:bodyPr/>
        <a:lstStyle/>
        <a:p>
          <a:endParaRPr lang="lv-LV"/>
        </a:p>
      </dgm:t>
    </dgm:pt>
    <dgm:pt modelId="{192BB2E5-EC34-4772-A0E4-A1DB1151988A}" type="pres">
      <dgm:prSet presAssocID="{3453D2DE-36CF-47A8-A2DB-0EDAD7F5AFCD}" presName="hierChild1" presStyleCnt="0">
        <dgm:presLayoutVars>
          <dgm:orgChart val="1"/>
          <dgm:chPref val="1"/>
          <dgm:dir/>
          <dgm:animOne val="branch"/>
          <dgm:animLvl val="lvl"/>
          <dgm:resizeHandles/>
        </dgm:presLayoutVars>
      </dgm:prSet>
      <dgm:spPr/>
      <dgm:t>
        <a:bodyPr/>
        <a:lstStyle/>
        <a:p>
          <a:endParaRPr lang="lv-LV"/>
        </a:p>
      </dgm:t>
    </dgm:pt>
    <dgm:pt modelId="{F58FF267-94EB-4B67-BCA3-5D2857CA7873}" type="pres">
      <dgm:prSet presAssocID="{84A14E35-94D8-48D4-BC82-6FCF0B205CCB}" presName="hierRoot1" presStyleCnt="0">
        <dgm:presLayoutVars>
          <dgm:hierBranch val="init"/>
        </dgm:presLayoutVars>
      </dgm:prSet>
      <dgm:spPr/>
    </dgm:pt>
    <dgm:pt modelId="{0F4E7189-0CAD-4309-AD35-D81ED9CBD22E}" type="pres">
      <dgm:prSet presAssocID="{84A14E35-94D8-48D4-BC82-6FCF0B205CCB}" presName="rootComposite1" presStyleCnt="0"/>
      <dgm:spPr/>
    </dgm:pt>
    <dgm:pt modelId="{C8B8B20A-009C-4CD6-866B-E64E8C0DA03A}" type="pres">
      <dgm:prSet presAssocID="{84A14E35-94D8-48D4-BC82-6FCF0B205CCB}" presName="rootText1" presStyleLbl="node0" presStyleIdx="0" presStyleCnt="1" custScaleX="389631">
        <dgm:presLayoutVars>
          <dgm:chPref val="3"/>
        </dgm:presLayoutVars>
      </dgm:prSet>
      <dgm:spPr>
        <a:prstGeom prst="rect">
          <a:avLst/>
        </a:prstGeom>
      </dgm:spPr>
      <dgm:t>
        <a:bodyPr/>
        <a:lstStyle/>
        <a:p>
          <a:endParaRPr lang="lv-LV"/>
        </a:p>
      </dgm:t>
    </dgm:pt>
    <dgm:pt modelId="{1B8CE0FA-CD4E-4475-BAA9-135B992BA84D}" type="pres">
      <dgm:prSet presAssocID="{84A14E35-94D8-48D4-BC82-6FCF0B205CCB}" presName="rootConnector1" presStyleLbl="node1" presStyleIdx="0" presStyleCnt="0"/>
      <dgm:spPr/>
      <dgm:t>
        <a:bodyPr/>
        <a:lstStyle/>
        <a:p>
          <a:endParaRPr lang="lv-LV"/>
        </a:p>
      </dgm:t>
    </dgm:pt>
    <dgm:pt modelId="{F992AC65-4BB2-4456-82D9-1DAC43552C9B}" type="pres">
      <dgm:prSet presAssocID="{84A14E35-94D8-48D4-BC82-6FCF0B205CCB}" presName="hierChild2" presStyleCnt="0"/>
      <dgm:spPr/>
    </dgm:pt>
    <dgm:pt modelId="{C5EEA21D-2A3B-4FC9-977E-2379348178EF}" type="pres">
      <dgm:prSet presAssocID="{5D21A8DB-2F77-4972-8C65-91970C12C813}" presName="Name37" presStyleLbl="parChTrans1D2" presStyleIdx="0" presStyleCnt="2"/>
      <dgm:spPr>
        <a:custGeom>
          <a:avLst/>
          <a:gdLst/>
          <a:ahLst/>
          <a:cxnLst/>
          <a:rect l="0" t="0" r="0" b="0"/>
          <a:pathLst>
            <a:path>
              <a:moveTo>
                <a:pt x="906898" y="0"/>
              </a:moveTo>
              <a:lnTo>
                <a:pt x="906898" y="93946"/>
              </a:lnTo>
              <a:lnTo>
                <a:pt x="0" y="93946"/>
              </a:lnTo>
              <a:lnTo>
                <a:pt x="0" y="187893"/>
              </a:lnTo>
            </a:path>
          </a:pathLst>
        </a:custGeom>
      </dgm:spPr>
      <dgm:t>
        <a:bodyPr/>
        <a:lstStyle/>
        <a:p>
          <a:endParaRPr lang="lv-LV"/>
        </a:p>
      </dgm:t>
    </dgm:pt>
    <dgm:pt modelId="{8CE085F8-217A-4F86-8FF7-AFDA78D5528A}" type="pres">
      <dgm:prSet presAssocID="{4541037B-8D9A-4610-AF10-28DF4A22073A}" presName="hierRoot2" presStyleCnt="0">
        <dgm:presLayoutVars>
          <dgm:hierBranch val="init"/>
        </dgm:presLayoutVars>
      </dgm:prSet>
      <dgm:spPr/>
    </dgm:pt>
    <dgm:pt modelId="{BAB7EE29-3ED4-4EC2-A7C2-7B1374441CC2}" type="pres">
      <dgm:prSet presAssocID="{4541037B-8D9A-4610-AF10-28DF4A22073A}" presName="rootComposite" presStyleCnt="0"/>
      <dgm:spPr/>
    </dgm:pt>
    <dgm:pt modelId="{BB564B59-CE76-4510-A86B-5BECC9EDC7EF}" type="pres">
      <dgm:prSet presAssocID="{4541037B-8D9A-4610-AF10-28DF4A22073A}" presName="rootText" presStyleLbl="node2" presStyleIdx="0" presStyleCnt="2" custScaleX="186671">
        <dgm:presLayoutVars>
          <dgm:chPref val="3"/>
        </dgm:presLayoutVars>
      </dgm:prSet>
      <dgm:spPr>
        <a:prstGeom prst="rect">
          <a:avLst/>
        </a:prstGeom>
      </dgm:spPr>
      <dgm:t>
        <a:bodyPr/>
        <a:lstStyle/>
        <a:p>
          <a:endParaRPr lang="lv-LV"/>
        </a:p>
      </dgm:t>
    </dgm:pt>
    <dgm:pt modelId="{4E0830A6-DF18-4384-9FA0-E7AF36EB44F1}" type="pres">
      <dgm:prSet presAssocID="{4541037B-8D9A-4610-AF10-28DF4A22073A}" presName="rootConnector" presStyleLbl="node2" presStyleIdx="0" presStyleCnt="2"/>
      <dgm:spPr/>
      <dgm:t>
        <a:bodyPr/>
        <a:lstStyle/>
        <a:p>
          <a:endParaRPr lang="lv-LV"/>
        </a:p>
      </dgm:t>
    </dgm:pt>
    <dgm:pt modelId="{F948D63F-5CD4-4307-9FA6-EF9F1D11AD95}" type="pres">
      <dgm:prSet presAssocID="{4541037B-8D9A-4610-AF10-28DF4A22073A}" presName="hierChild4" presStyleCnt="0"/>
      <dgm:spPr/>
    </dgm:pt>
    <dgm:pt modelId="{92E27585-29E9-4D55-A5EF-ED69998EE0CD}" type="pres">
      <dgm:prSet presAssocID="{DCE68129-8CAF-415C-8A93-E084E9941FA9}" presName="Name37" presStyleLbl="parChTrans1D3" presStyleIdx="0" presStyleCnt="8"/>
      <dgm:spPr>
        <a:custGeom>
          <a:avLst/>
          <a:gdLst/>
          <a:ahLst/>
          <a:cxnLst/>
          <a:rect l="0" t="0" r="0" b="0"/>
          <a:pathLst>
            <a:path>
              <a:moveTo>
                <a:pt x="0" y="0"/>
              </a:moveTo>
              <a:lnTo>
                <a:pt x="0" y="411575"/>
              </a:lnTo>
              <a:lnTo>
                <a:pt x="250530" y="411575"/>
              </a:lnTo>
            </a:path>
          </a:pathLst>
        </a:custGeom>
      </dgm:spPr>
      <dgm:t>
        <a:bodyPr/>
        <a:lstStyle/>
        <a:p>
          <a:endParaRPr lang="lv-LV"/>
        </a:p>
      </dgm:t>
    </dgm:pt>
    <dgm:pt modelId="{92CCE762-EAF9-4B64-BFC8-198D41732F62}" type="pres">
      <dgm:prSet presAssocID="{7AE427EB-BADC-4055-AE0C-5A2D80B6D1E1}" presName="hierRoot2" presStyleCnt="0">
        <dgm:presLayoutVars>
          <dgm:hierBranch val="init"/>
        </dgm:presLayoutVars>
      </dgm:prSet>
      <dgm:spPr/>
    </dgm:pt>
    <dgm:pt modelId="{3427F44E-8A17-44CE-86AA-D6BF46B4FD99}" type="pres">
      <dgm:prSet presAssocID="{7AE427EB-BADC-4055-AE0C-5A2D80B6D1E1}" presName="rootComposite" presStyleCnt="0"/>
      <dgm:spPr/>
    </dgm:pt>
    <dgm:pt modelId="{D8078D43-5582-499D-BE83-64926F12FF11}" type="pres">
      <dgm:prSet presAssocID="{7AE427EB-BADC-4055-AE0C-5A2D80B6D1E1}" presName="rootText" presStyleLbl="node3" presStyleIdx="0" presStyleCnt="8">
        <dgm:presLayoutVars>
          <dgm:chPref val="3"/>
        </dgm:presLayoutVars>
      </dgm:prSet>
      <dgm:spPr>
        <a:prstGeom prst="rect">
          <a:avLst/>
        </a:prstGeom>
      </dgm:spPr>
      <dgm:t>
        <a:bodyPr/>
        <a:lstStyle/>
        <a:p>
          <a:endParaRPr lang="lv-LV"/>
        </a:p>
      </dgm:t>
    </dgm:pt>
    <dgm:pt modelId="{19E93AE7-1747-4911-8CD3-BF4D8AF8A8DB}" type="pres">
      <dgm:prSet presAssocID="{7AE427EB-BADC-4055-AE0C-5A2D80B6D1E1}" presName="rootConnector" presStyleLbl="node3" presStyleIdx="0" presStyleCnt="8"/>
      <dgm:spPr/>
      <dgm:t>
        <a:bodyPr/>
        <a:lstStyle/>
        <a:p>
          <a:endParaRPr lang="lv-LV"/>
        </a:p>
      </dgm:t>
    </dgm:pt>
    <dgm:pt modelId="{27DA3CFC-267B-415E-9BA1-E170E0064C09}" type="pres">
      <dgm:prSet presAssocID="{7AE427EB-BADC-4055-AE0C-5A2D80B6D1E1}" presName="hierChild4" presStyleCnt="0"/>
      <dgm:spPr/>
    </dgm:pt>
    <dgm:pt modelId="{96338F9A-B95D-429B-BB72-AD974F00584E}" type="pres">
      <dgm:prSet presAssocID="{7AE427EB-BADC-4055-AE0C-5A2D80B6D1E1}" presName="hierChild5" presStyleCnt="0"/>
      <dgm:spPr/>
    </dgm:pt>
    <dgm:pt modelId="{AFBA421E-CE28-412F-B298-F11E4BA40D7D}" type="pres">
      <dgm:prSet presAssocID="{60454BDA-D517-4C39-9E87-58B4E002A28A}" presName="Name37" presStyleLbl="parChTrans1D3" presStyleIdx="1" presStyleCnt="8"/>
      <dgm:spPr>
        <a:custGeom>
          <a:avLst/>
          <a:gdLst/>
          <a:ahLst/>
          <a:cxnLst/>
          <a:rect l="0" t="0" r="0" b="0"/>
          <a:pathLst>
            <a:path>
              <a:moveTo>
                <a:pt x="0" y="0"/>
              </a:moveTo>
              <a:lnTo>
                <a:pt x="0" y="1046834"/>
              </a:lnTo>
              <a:lnTo>
                <a:pt x="250530" y="1046834"/>
              </a:lnTo>
            </a:path>
          </a:pathLst>
        </a:custGeom>
      </dgm:spPr>
      <dgm:t>
        <a:bodyPr/>
        <a:lstStyle/>
        <a:p>
          <a:endParaRPr lang="lv-LV"/>
        </a:p>
      </dgm:t>
    </dgm:pt>
    <dgm:pt modelId="{56BBB8FF-5EC9-4541-A1A4-F0443D055D48}" type="pres">
      <dgm:prSet presAssocID="{A7B2B835-42ED-4E33-916B-DDA096E2FEE6}" presName="hierRoot2" presStyleCnt="0">
        <dgm:presLayoutVars>
          <dgm:hierBranch/>
        </dgm:presLayoutVars>
      </dgm:prSet>
      <dgm:spPr/>
    </dgm:pt>
    <dgm:pt modelId="{E45C104A-1BEC-4341-A56C-7D786A41D505}" type="pres">
      <dgm:prSet presAssocID="{A7B2B835-42ED-4E33-916B-DDA096E2FEE6}" presName="rootComposite" presStyleCnt="0"/>
      <dgm:spPr/>
    </dgm:pt>
    <dgm:pt modelId="{A510A119-7FAC-46AD-A867-0DFC8F62A5B4}" type="pres">
      <dgm:prSet presAssocID="{A7B2B835-42ED-4E33-916B-DDA096E2FEE6}" presName="rootText" presStyleLbl="node3" presStyleIdx="1" presStyleCnt="8">
        <dgm:presLayoutVars>
          <dgm:chPref val="3"/>
        </dgm:presLayoutVars>
      </dgm:prSet>
      <dgm:spPr>
        <a:prstGeom prst="rect">
          <a:avLst/>
        </a:prstGeom>
      </dgm:spPr>
      <dgm:t>
        <a:bodyPr/>
        <a:lstStyle/>
        <a:p>
          <a:endParaRPr lang="lv-LV"/>
        </a:p>
      </dgm:t>
    </dgm:pt>
    <dgm:pt modelId="{3E4FEE54-DAC3-4155-9E88-9C9C0FE053E8}" type="pres">
      <dgm:prSet presAssocID="{A7B2B835-42ED-4E33-916B-DDA096E2FEE6}" presName="rootConnector" presStyleLbl="node3" presStyleIdx="1" presStyleCnt="8"/>
      <dgm:spPr/>
      <dgm:t>
        <a:bodyPr/>
        <a:lstStyle/>
        <a:p>
          <a:endParaRPr lang="lv-LV"/>
        </a:p>
      </dgm:t>
    </dgm:pt>
    <dgm:pt modelId="{D03BFE1C-C9EB-4814-90E9-A3F557392624}" type="pres">
      <dgm:prSet presAssocID="{A7B2B835-42ED-4E33-916B-DDA096E2FEE6}" presName="hierChild4" presStyleCnt="0"/>
      <dgm:spPr/>
    </dgm:pt>
    <dgm:pt modelId="{FD5129D1-180F-4D0C-8027-E6D5BC5D9071}" type="pres">
      <dgm:prSet presAssocID="{A7B2B835-42ED-4E33-916B-DDA096E2FEE6}" presName="hierChild5" presStyleCnt="0"/>
      <dgm:spPr/>
    </dgm:pt>
    <dgm:pt modelId="{2EBC2934-BBB7-4421-B556-EDFF7746D1F0}" type="pres">
      <dgm:prSet presAssocID="{AF3888ED-08F0-460C-A0F8-E14A45C148FD}" presName="Name37" presStyleLbl="parChTrans1D3" presStyleIdx="2" presStyleCnt="8"/>
      <dgm:spPr>
        <a:custGeom>
          <a:avLst/>
          <a:gdLst/>
          <a:ahLst/>
          <a:cxnLst/>
          <a:rect l="0" t="0" r="0" b="0"/>
          <a:pathLst>
            <a:path>
              <a:moveTo>
                <a:pt x="0" y="0"/>
              </a:moveTo>
              <a:lnTo>
                <a:pt x="0" y="1682092"/>
              </a:lnTo>
              <a:lnTo>
                <a:pt x="250530" y="1682092"/>
              </a:lnTo>
            </a:path>
          </a:pathLst>
        </a:custGeom>
      </dgm:spPr>
      <dgm:t>
        <a:bodyPr/>
        <a:lstStyle/>
        <a:p>
          <a:endParaRPr lang="lv-LV"/>
        </a:p>
      </dgm:t>
    </dgm:pt>
    <dgm:pt modelId="{6024CD74-E398-4C6B-BF9C-C0A788A64F3E}" type="pres">
      <dgm:prSet presAssocID="{6D087A94-C4A3-4A26-B4BC-FCC04328C55D}" presName="hierRoot2" presStyleCnt="0">
        <dgm:presLayoutVars>
          <dgm:hierBranch val="init"/>
        </dgm:presLayoutVars>
      </dgm:prSet>
      <dgm:spPr/>
    </dgm:pt>
    <dgm:pt modelId="{67D05AB8-4F4C-4A73-AC09-8BBCD928D29C}" type="pres">
      <dgm:prSet presAssocID="{6D087A94-C4A3-4A26-B4BC-FCC04328C55D}" presName="rootComposite" presStyleCnt="0"/>
      <dgm:spPr/>
    </dgm:pt>
    <dgm:pt modelId="{FC94EE5A-7BA8-404A-A28B-B02C214F4F68}" type="pres">
      <dgm:prSet presAssocID="{6D087A94-C4A3-4A26-B4BC-FCC04328C55D}" presName="rootText" presStyleLbl="node3" presStyleIdx="2" presStyleCnt="8">
        <dgm:presLayoutVars>
          <dgm:chPref val="3"/>
        </dgm:presLayoutVars>
      </dgm:prSet>
      <dgm:spPr>
        <a:prstGeom prst="rect">
          <a:avLst/>
        </a:prstGeom>
      </dgm:spPr>
      <dgm:t>
        <a:bodyPr/>
        <a:lstStyle/>
        <a:p>
          <a:endParaRPr lang="lv-LV"/>
        </a:p>
      </dgm:t>
    </dgm:pt>
    <dgm:pt modelId="{D42FF946-B62D-4A79-BE36-6AA4BC51CB42}" type="pres">
      <dgm:prSet presAssocID="{6D087A94-C4A3-4A26-B4BC-FCC04328C55D}" presName="rootConnector" presStyleLbl="node3" presStyleIdx="2" presStyleCnt="8"/>
      <dgm:spPr/>
      <dgm:t>
        <a:bodyPr/>
        <a:lstStyle/>
        <a:p>
          <a:endParaRPr lang="lv-LV"/>
        </a:p>
      </dgm:t>
    </dgm:pt>
    <dgm:pt modelId="{22031080-FD32-4F7B-8E05-F9B98BEAC4F1}" type="pres">
      <dgm:prSet presAssocID="{6D087A94-C4A3-4A26-B4BC-FCC04328C55D}" presName="hierChild4" presStyleCnt="0"/>
      <dgm:spPr/>
    </dgm:pt>
    <dgm:pt modelId="{F1260518-F441-4CEB-AEA4-7DACB796B98E}" type="pres">
      <dgm:prSet presAssocID="{6D087A94-C4A3-4A26-B4BC-FCC04328C55D}" presName="hierChild5" presStyleCnt="0"/>
      <dgm:spPr/>
    </dgm:pt>
    <dgm:pt modelId="{D51FDDEC-3BF6-462E-AF10-6844DBECC1C3}" type="pres">
      <dgm:prSet presAssocID="{695BD1E0-32CF-43D5-8ADF-7226697625E2}" presName="Name37" presStyleLbl="parChTrans1D3" presStyleIdx="3" presStyleCnt="8"/>
      <dgm:spPr>
        <a:custGeom>
          <a:avLst/>
          <a:gdLst/>
          <a:ahLst/>
          <a:cxnLst/>
          <a:rect l="0" t="0" r="0" b="0"/>
          <a:pathLst>
            <a:path>
              <a:moveTo>
                <a:pt x="0" y="0"/>
              </a:moveTo>
              <a:lnTo>
                <a:pt x="0" y="2317351"/>
              </a:lnTo>
              <a:lnTo>
                <a:pt x="250530" y="2317351"/>
              </a:lnTo>
            </a:path>
          </a:pathLst>
        </a:custGeom>
      </dgm:spPr>
      <dgm:t>
        <a:bodyPr/>
        <a:lstStyle/>
        <a:p>
          <a:endParaRPr lang="lv-LV"/>
        </a:p>
      </dgm:t>
    </dgm:pt>
    <dgm:pt modelId="{530EF99D-D0FD-4F13-897F-C86A9012C66F}" type="pres">
      <dgm:prSet presAssocID="{38B1509E-51E7-4FA7-84E6-D44F4F806AFD}" presName="hierRoot2" presStyleCnt="0">
        <dgm:presLayoutVars>
          <dgm:hierBranch val="init"/>
        </dgm:presLayoutVars>
      </dgm:prSet>
      <dgm:spPr/>
    </dgm:pt>
    <dgm:pt modelId="{0E9B8139-BC47-434E-8E02-51E3FA957955}" type="pres">
      <dgm:prSet presAssocID="{38B1509E-51E7-4FA7-84E6-D44F4F806AFD}" presName="rootComposite" presStyleCnt="0"/>
      <dgm:spPr/>
    </dgm:pt>
    <dgm:pt modelId="{4B821748-CE21-4059-8A8D-75BF32A8B538}" type="pres">
      <dgm:prSet presAssocID="{38B1509E-51E7-4FA7-84E6-D44F4F806AFD}" presName="rootText" presStyleLbl="node3" presStyleIdx="3" presStyleCnt="8">
        <dgm:presLayoutVars>
          <dgm:chPref val="3"/>
        </dgm:presLayoutVars>
      </dgm:prSet>
      <dgm:spPr>
        <a:prstGeom prst="rect">
          <a:avLst/>
        </a:prstGeom>
      </dgm:spPr>
      <dgm:t>
        <a:bodyPr/>
        <a:lstStyle/>
        <a:p>
          <a:endParaRPr lang="lv-LV"/>
        </a:p>
      </dgm:t>
    </dgm:pt>
    <dgm:pt modelId="{9B8FF892-1957-4622-83CA-625C51F467D5}" type="pres">
      <dgm:prSet presAssocID="{38B1509E-51E7-4FA7-84E6-D44F4F806AFD}" presName="rootConnector" presStyleLbl="node3" presStyleIdx="3" presStyleCnt="8"/>
      <dgm:spPr/>
      <dgm:t>
        <a:bodyPr/>
        <a:lstStyle/>
        <a:p>
          <a:endParaRPr lang="lv-LV"/>
        </a:p>
      </dgm:t>
    </dgm:pt>
    <dgm:pt modelId="{1FC669D7-F550-47CF-9B94-ACBA01EDC70F}" type="pres">
      <dgm:prSet presAssocID="{38B1509E-51E7-4FA7-84E6-D44F4F806AFD}" presName="hierChild4" presStyleCnt="0"/>
      <dgm:spPr/>
    </dgm:pt>
    <dgm:pt modelId="{18D78FE2-9CF3-4ED4-A63F-3083E462CF62}" type="pres">
      <dgm:prSet presAssocID="{38B1509E-51E7-4FA7-84E6-D44F4F806AFD}" presName="hierChild5" presStyleCnt="0"/>
      <dgm:spPr/>
    </dgm:pt>
    <dgm:pt modelId="{6819821E-6EC6-4B8A-A9A0-BCDE70F2800C}" type="pres">
      <dgm:prSet presAssocID="{BE7D2E47-54FE-4D12-92F3-629CF128FC8F}" presName="Name37" presStyleLbl="parChTrans1D3" presStyleIdx="4" presStyleCnt="8"/>
      <dgm:spPr>
        <a:custGeom>
          <a:avLst/>
          <a:gdLst/>
          <a:ahLst/>
          <a:cxnLst/>
          <a:rect l="0" t="0" r="0" b="0"/>
          <a:pathLst>
            <a:path>
              <a:moveTo>
                <a:pt x="0" y="0"/>
              </a:moveTo>
              <a:lnTo>
                <a:pt x="0" y="2952609"/>
              </a:lnTo>
              <a:lnTo>
                <a:pt x="250530" y="2952609"/>
              </a:lnTo>
            </a:path>
          </a:pathLst>
        </a:custGeom>
      </dgm:spPr>
      <dgm:t>
        <a:bodyPr/>
        <a:lstStyle/>
        <a:p>
          <a:endParaRPr lang="lv-LV"/>
        </a:p>
      </dgm:t>
    </dgm:pt>
    <dgm:pt modelId="{CACED428-30F8-4812-99D7-563FB21C464C}" type="pres">
      <dgm:prSet presAssocID="{461A9BB6-769E-4393-866F-F077FCC318DC}" presName="hierRoot2" presStyleCnt="0">
        <dgm:presLayoutVars>
          <dgm:hierBranch val="init"/>
        </dgm:presLayoutVars>
      </dgm:prSet>
      <dgm:spPr/>
    </dgm:pt>
    <dgm:pt modelId="{1FDDEB28-E368-472E-BA72-22570A744C05}" type="pres">
      <dgm:prSet presAssocID="{461A9BB6-769E-4393-866F-F077FCC318DC}" presName="rootComposite" presStyleCnt="0"/>
      <dgm:spPr/>
    </dgm:pt>
    <dgm:pt modelId="{25EB450E-070F-4BD9-BEC6-0E6BFEA7794E}" type="pres">
      <dgm:prSet presAssocID="{461A9BB6-769E-4393-866F-F077FCC318DC}" presName="rootText" presStyleLbl="node3" presStyleIdx="4" presStyleCnt="8">
        <dgm:presLayoutVars>
          <dgm:chPref val="3"/>
        </dgm:presLayoutVars>
      </dgm:prSet>
      <dgm:spPr>
        <a:prstGeom prst="rect">
          <a:avLst/>
        </a:prstGeom>
      </dgm:spPr>
      <dgm:t>
        <a:bodyPr/>
        <a:lstStyle/>
        <a:p>
          <a:endParaRPr lang="lv-LV"/>
        </a:p>
      </dgm:t>
    </dgm:pt>
    <dgm:pt modelId="{27FC4716-F178-47C1-9478-F958DEB9017A}" type="pres">
      <dgm:prSet presAssocID="{461A9BB6-769E-4393-866F-F077FCC318DC}" presName="rootConnector" presStyleLbl="node3" presStyleIdx="4" presStyleCnt="8"/>
      <dgm:spPr/>
      <dgm:t>
        <a:bodyPr/>
        <a:lstStyle/>
        <a:p>
          <a:endParaRPr lang="lv-LV"/>
        </a:p>
      </dgm:t>
    </dgm:pt>
    <dgm:pt modelId="{D6F6CCF4-B3F5-432B-A537-26529CEA62A5}" type="pres">
      <dgm:prSet presAssocID="{461A9BB6-769E-4393-866F-F077FCC318DC}" presName="hierChild4" presStyleCnt="0"/>
      <dgm:spPr/>
    </dgm:pt>
    <dgm:pt modelId="{113442FD-3ABA-405E-BD0C-0D814B7157BC}" type="pres">
      <dgm:prSet presAssocID="{461A9BB6-769E-4393-866F-F077FCC318DC}" presName="hierChild5" presStyleCnt="0"/>
      <dgm:spPr/>
    </dgm:pt>
    <dgm:pt modelId="{A7CAFED0-A9CF-4786-9B5B-97F617A253A2}" type="pres">
      <dgm:prSet presAssocID="{4541037B-8D9A-4610-AF10-28DF4A22073A}" presName="hierChild5" presStyleCnt="0"/>
      <dgm:spPr/>
    </dgm:pt>
    <dgm:pt modelId="{BC19D9C1-54DC-4CFE-93BD-BE3A5E5EA24D}" type="pres">
      <dgm:prSet presAssocID="{59ADFF07-7E15-415E-8540-4D933762C36B}" presName="Name37" presStyleLbl="parChTrans1D2" presStyleIdx="1" presStyleCnt="2"/>
      <dgm:spPr>
        <a:custGeom>
          <a:avLst/>
          <a:gdLst/>
          <a:ahLst/>
          <a:cxnLst/>
          <a:rect l="0" t="0" r="0" b="0"/>
          <a:pathLst>
            <a:path>
              <a:moveTo>
                <a:pt x="0" y="0"/>
              </a:moveTo>
              <a:lnTo>
                <a:pt x="0" y="93946"/>
              </a:lnTo>
              <a:lnTo>
                <a:pt x="929047" y="93946"/>
              </a:lnTo>
              <a:lnTo>
                <a:pt x="929047" y="187893"/>
              </a:lnTo>
            </a:path>
          </a:pathLst>
        </a:custGeom>
      </dgm:spPr>
      <dgm:t>
        <a:bodyPr/>
        <a:lstStyle/>
        <a:p>
          <a:endParaRPr lang="lv-LV"/>
        </a:p>
      </dgm:t>
    </dgm:pt>
    <dgm:pt modelId="{579BD733-8ED0-4260-9FDD-E3D82E33E330}" type="pres">
      <dgm:prSet presAssocID="{F39A64B1-7E2F-434D-95C6-98C4DCF4F388}" presName="hierRoot2" presStyleCnt="0">
        <dgm:presLayoutVars>
          <dgm:hierBranch val="init"/>
        </dgm:presLayoutVars>
      </dgm:prSet>
      <dgm:spPr/>
    </dgm:pt>
    <dgm:pt modelId="{0D6FF6C2-985E-4C93-8AD0-EDCE22F86A34}" type="pres">
      <dgm:prSet presAssocID="{F39A64B1-7E2F-434D-95C6-98C4DCF4F388}" presName="rootComposite" presStyleCnt="0"/>
      <dgm:spPr/>
    </dgm:pt>
    <dgm:pt modelId="{521936A0-0F82-400B-B934-F0F2D1541F1D}" type="pres">
      <dgm:prSet presAssocID="{F39A64B1-7E2F-434D-95C6-98C4DCF4F388}" presName="rootText" presStyleLbl="node2" presStyleIdx="1" presStyleCnt="2" custScaleX="181720">
        <dgm:presLayoutVars>
          <dgm:chPref val="3"/>
        </dgm:presLayoutVars>
      </dgm:prSet>
      <dgm:spPr>
        <a:prstGeom prst="rect">
          <a:avLst/>
        </a:prstGeom>
      </dgm:spPr>
      <dgm:t>
        <a:bodyPr/>
        <a:lstStyle/>
        <a:p>
          <a:endParaRPr lang="lv-LV"/>
        </a:p>
      </dgm:t>
    </dgm:pt>
    <dgm:pt modelId="{F2317D1D-B118-4CC6-99F7-31D91E214C08}" type="pres">
      <dgm:prSet presAssocID="{F39A64B1-7E2F-434D-95C6-98C4DCF4F388}" presName="rootConnector" presStyleLbl="node2" presStyleIdx="1" presStyleCnt="2"/>
      <dgm:spPr/>
      <dgm:t>
        <a:bodyPr/>
        <a:lstStyle/>
        <a:p>
          <a:endParaRPr lang="lv-LV"/>
        </a:p>
      </dgm:t>
    </dgm:pt>
    <dgm:pt modelId="{620BE052-FCCD-4A51-9B8B-8F0B429E950B}" type="pres">
      <dgm:prSet presAssocID="{F39A64B1-7E2F-434D-95C6-98C4DCF4F388}" presName="hierChild4" presStyleCnt="0"/>
      <dgm:spPr/>
    </dgm:pt>
    <dgm:pt modelId="{21B584D7-01AD-4688-A921-687609632E6E}" type="pres">
      <dgm:prSet presAssocID="{C712329D-3D6B-4ACC-B78A-8E0764F581F2}" presName="Name37" presStyleLbl="parChTrans1D3" presStyleIdx="5" presStyleCnt="8"/>
      <dgm:spPr>
        <a:custGeom>
          <a:avLst/>
          <a:gdLst/>
          <a:ahLst/>
          <a:cxnLst/>
          <a:rect l="0" t="0" r="0" b="0"/>
          <a:pathLst>
            <a:path>
              <a:moveTo>
                <a:pt x="0" y="0"/>
              </a:moveTo>
              <a:lnTo>
                <a:pt x="0" y="411575"/>
              </a:lnTo>
              <a:lnTo>
                <a:pt x="243885" y="411575"/>
              </a:lnTo>
            </a:path>
          </a:pathLst>
        </a:custGeom>
      </dgm:spPr>
      <dgm:t>
        <a:bodyPr/>
        <a:lstStyle/>
        <a:p>
          <a:endParaRPr lang="lv-LV"/>
        </a:p>
      </dgm:t>
    </dgm:pt>
    <dgm:pt modelId="{42B9BA73-2D70-4BC1-8471-B775B2DD9B72}" type="pres">
      <dgm:prSet presAssocID="{A7E145B8-728F-4FD4-8824-D5FF2BAF0600}" presName="hierRoot2" presStyleCnt="0">
        <dgm:presLayoutVars>
          <dgm:hierBranch val="init"/>
        </dgm:presLayoutVars>
      </dgm:prSet>
      <dgm:spPr/>
    </dgm:pt>
    <dgm:pt modelId="{050F5F15-F67C-4948-9461-6ECE2A202A7B}" type="pres">
      <dgm:prSet presAssocID="{A7E145B8-728F-4FD4-8824-D5FF2BAF0600}" presName="rootComposite" presStyleCnt="0"/>
      <dgm:spPr/>
    </dgm:pt>
    <dgm:pt modelId="{BF486AA0-3EEB-44C1-80C6-BE9E2EFBAB56}" type="pres">
      <dgm:prSet presAssocID="{A7E145B8-728F-4FD4-8824-D5FF2BAF0600}" presName="rootText" presStyleLbl="node3" presStyleIdx="5" presStyleCnt="8">
        <dgm:presLayoutVars>
          <dgm:chPref val="3"/>
        </dgm:presLayoutVars>
      </dgm:prSet>
      <dgm:spPr>
        <a:prstGeom prst="rect">
          <a:avLst/>
        </a:prstGeom>
      </dgm:spPr>
      <dgm:t>
        <a:bodyPr/>
        <a:lstStyle/>
        <a:p>
          <a:endParaRPr lang="lv-LV"/>
        </a:p>
      </dgm:t>
    </dgm:pt>
    <dgm:pt modelId="{9152F882-1294-4408-8581-EF8F5D45478A}" type="pres">
      <dgm:prSet presAssocID="{A7E145B8-728F-4FD4-8824-D5FF2BAF0600}" presName="rootConnector" presStyleLbl="node3" presStyleIdx="5" presStyleCnt="8"/>
      <dgm:spPr/>
      <dgm:t>
        <a:bodyPr/>
        <a:lstStyle/>
        <a:p>
          <a:endParaRPr lang="lv-LV"/>
        </a:p>
      </dgm:t>
    </dgm:pt>
    <dgm:pt modelId="{3EDFFB92-3444-4AF4-B0E1-5BC0F8A56585}" type="pres">
      <dgm:prSet presAssocID="{A7E145B8-728F-4FD4-8824-D5FF2BAF0600}" presName="hierChild4" presStyleCnt="0"/>
      <dgm:spPr/>
    </dgm:pt>
    <dgm:pt modelId="{DA579A33-5A2C-4201-8D39-AE7FF4DE1EDB}" type="pres">
      <dgm:prSet presAssocID="{A7E145B8-728F-4FD4-8824-D5FF2BAF0600}" presName="hierChild5" presStyleCnt="0"/>
      <dgm:spPr/>
    </dgm:pt>
    <dgm:pt modelId="{987FDEEA-D768-45FA-BC10-0E50D9CA606F}" type="pres">
      <dgm:prSet presAssocID="{0A2B37FA-BADB-4D50-9DFA-C5BA7DA64FB4}" presName="Name37" presStyleLbl="parChTrans1D3" presStyleIdx="6" presStyleCnt="8"/>
      <dgm:spPr>
        <a:custGeom>
          <a:avLst/>
          <a:gdLst/>
          <a:ahLst/>
          <a:cxnLst/>
          <a:rect l="0" t="0" r="0" b="0"/>
          <a:pathLst>
            <a:path>
              <a:moveTo>
                <a:pt x="0" y="0"/>
              </a:moveTo>
              <a:lnTo>
                <a:pt x="0" y="1046834"/>
              </a:lnTo>
              <a:lnTo>
                <a:pt x="243885" y="1046834"/>
              </a:lnTo>
            </a:path>
          </a:pathLst>
        </a:custGeom>
      </dgm:spPr>
      <dgm:t>
        <a:bodyPr/>
        <a:lstStyle/>
        <a:p>
          <a:endParaRPr lang="lv-LV"/>
        </a:p>
      </dgm:t>
    </dgm:pt>
    <dgm:pt modelId="{A996A844-A956-428E-A685-4AF5925E8F93}" type="pres">
      <dgm:prSet presAssocID="{728CF4C7-6AD9-49F7-8016-807910CAECE2}" presName="hierRoot2" presStyleCnt="0">
        <dgm:presLayoutVars>
          <dgm:hierBranch val="init"/>
        </dgm:presLayoutVars>
      </dgm:prSet>
      <dgm:spPr/>
    </dgm:pt>
    <dgm:pt modelId="{53854F3E-0450-47AF-BE6C-80D31E796AAF}" type="pres">
      <dgm:prSet presAssocID="{728CF4C7-6AD9-49F7-8016-807910CAECE2}" presName="rootComposite" presStyleCnt="0"/>
      <dgm:spPr/>
    </dgm:pt>
    <dgm:pt modelId="{AD5EA691-BF3E-4C5E-A351-2ED5C75E27BF}" type="pres">
      <dgm:prSet presAssocID="{728CF4C7-6AD9-49F7-8016-807910CAECE2}" presName="rootText" presStyleLbl="node3" presStyleIdx="6" presStyleCnt="8">
        <dgm:presLayoutVars>
          <dgm:chPref val="3"/>
        </dgm:presLayoutVars>
      </dgm:prSet>
      <dgm:spPr>
        <a:prstGeom prst="rect">
          <a:avLst/>
        </a:prstGeom>
      </dgm:spPr>
      <dgm:t>
        <a:bodyPr/>
        <a:lstStyle/>
        <a:p>
          <a:endParaRPr lang="lv-LV"/>
        </a:p>
      </dgm:t>
    </dgm:pt>
    <dgm:pt modelId="{AD483579-68BD-4C46-AE74-B6EAC9F64E27}" type="pres">
      <dgm:prSet presAssocID="{728CF4C7-6AD9-49F7-8016-807910CAECE2}" presName="rootConnector" presStyleLbl="node3" presStyleIdx="6" presStyleCnt="8"/>
      <dgm:spPr/>
      <dgm:t>
        <a:bodyPr/>
        <a:lstStyle/>
        <a:p>
          <a:endParaRPr lang="lv-LV"/>
        </a:p>
      </dgm:t>
    </dgm:pt>
    <dgm:pt modelId="{A612AA20-DFD8-49FE-AABD-076944ADDD10}" type="pres">
      <dgm:prSet presAssocID="{728CF4C7-6AD9-49F7-8016-807910CAECE2}" presName="hierChild4" presStyleCnt="0"/>
      <dgm:spPr/>
    </dgm:pt>
    <dgm:pt modelId="{C338E78F-F04E-4624-8E0C-657C3C6F4722}" type="pres">
      <dgm:prSet presAssocID="{728CF4C7-6AD9-49F7-8016-807910CAECE2}" presName="hierChild5" presStyleCnt="0"/>
      <dgm:spPr/>
    </dgm:pt>
    <dgm:pt modelId="{17A09EA3-A7AE-44EA-A33F-3085D546000B}" type="pres">
      <dgm:prSet presAssocID="{D66F87D1-4598-496D-A626-32A33AAEDD33}" presName="Name37" presStyleLbl="parChTrans1D3" presStyleIdx="7" presStyleCnt="8"/>
      <dgm:spPr>
        <a:custGeom>
          <a:avLst/>
          <a:gdLst/>
          <a:ahLst/>
          <a:cxnLst/>
          <a:rect l="0" t="0" r="0" b="0"/>
          <a:pathLst>
            <a:path>
              <a:moveTo>
                <a:pt x="0" y="0"/>
              </a:moveTo>
              <a:lnTo>
                <a:pt x="0" y="1682092"/>
              </a:lnTo>
              <a:lnTo>
                <a:pt x="243885" y="1682092"/>
              </a:lnTo>
            </a:path>
          </a:pathLst>
        </a:custGeom>
      </dgm:spPr>
      <dgm:t>
        <a:bodyPr/>
        <a:lstStyle/>
        <a:p>
          <a:endParaRPr lang="lv-LV"/>
        </a:p>
      </dgm:t>
    </dgm:pt>
    <dgm:pt modelId="{126A4E51-A66A-4FAB-A020-F5C6F4D9232C}" type="pres">
      <dgm:prSet presAssocID="{A03CAECD-ACDE-40E6-8C3B-B01378AE46AC}" presName="hierRoot2" presStyleCnt="0">
        <dgm:presLayoutVars>
          <dgm:hierBranch val="init"/>
        </dgm:presLayoutVars>
      </dgm:prSet>
      <dgm:spPr/>
    </dgm:pt>
    <dgm:pt modelId="{06BCD5AF-B309-4621-8E4F-FBAF76F81CEF}" type="pres">
      <dgm:prSet presAssocID="{A03CAECD-ACDE-40E6-8C3B-B01378AE46AC}" presName="rootComposite" presStyleCnt="0"/>
      <dgm:spPr/>
    </dgm:pt>
    <dgm:pt modelId="{BC7A513C-BFD2-4E97-A6D9-35D4A913770F}" type="pres">
      <dgm:prSet presAssocID="{A03CAECD-ACDE-40E6-8C3B-B01378AE46AC}" presName="rootText" presStyleLbl="node3" presStyleIdx="7" presStyleCnt="8">
        <dgm:presLayoutVars>
          <dgm:chPref val="3"/>
        </dgm:presLayoutVars>
      </dgm:prSet>
      <dgm:spPr>
        <a:prstGeom prst="rect">
          <a:avLst/>
        </a:prstGeom>
      </dgm:spPr>
      <dgm:t>
        <a:bodyPr/>
        <a:lstStyle/>
        <a:p>
          <a:endParaRPr lang="lv-LV"/>
        </a:p>
      </dgm:t>
    </dgm:pt>
    <dgm:pt modelId="{F8AF1DE3-E385-44F2-944F-D84EA1CE5FCF}" type="pres">
      <dgm:prSet presAssocID="{A03CAECD-ACDE-40E6-8C3B-B01378AE46AC}" presName="rootConnector" presStyleLbl="node3" presStyleIdx="7" presStyleCnt="8"/>
      <dgm:spPr/>
      <dgm:t>
        <a:bodyPr/>
        <a:lstStyle/>
        <a:p>
          <a:endParaRPr lang="lv-LV"/>
        </a:p>
      </dgm:t>
    </dgm:pt>
    <dgm:pt modelId="{DD0C2649-7048-4577-8D30-74492DD7DB5B}" type="pres">
      <dgm:prSet presAssocID="{A03CAECD-ACDE-40E6-8C3B-B01378AE46AC}" presName="hierChild4" presStyleCnt="0"/>
      <dgm:spPr/>
    </dgm:pt>
    <dgm:pt modelId="{53085B31-DA5C-4DE2-8EC9-505A884826D6}" type="pres">
      <dgm:prSet presAssocID="{A03CAECD-ACDE-40E6-8C3B-B01378AE46AC}" presName="hierChild5" presStyleCnt="0"/>
      <dgm:spPr/>
    </dgm:pt>
    <dgm:pt modelId="{6DA6E845-ED8C-4DB5-B387-4378EE0FCFB2}" type="pres">
      <dgm:prSet presAssocID="{F39A64B1-7E2F-434D-95C6-98C4DCF4F388}" presName="hierChild5" presStyleCnt="0"/>
      <dgm:spPr/>
    </dgm:pt>
    <dgm:pt modelId="{B892EBC1-BF39-4E96-8EF8-31B22A1FD32C}" type="pres">
      <dgm:prSet presAssocID="{84A14E35-94D8-48D4-BC82-6FCF0B205CCB}" presName="hierChild3" presStyleCnt="0"/>
      <dgm:spPr/>
    </dgm:pt>
  </dgm:ptLst>
  <dgm:cxnLst>
    <dgm:cxn modelId="{1A8D4B5F-36B3-4492-A29C-6D8BFE177FBA}" type="presOf" srcId="{38B1509E-51E7-4FA7-84E6-D44F4F806AFD}" destId="{9B8FF892-1957-4622-83CA-625C51F467D5}" srcOrd="1" destOrd="0" presId="urn:microsoft.com/office/officeart/2005/8/layout/orgChart1"/>
    <dgm:cxn modelId="{C2223D60-A324-46AF-89F7-797708E8B91F}" type="presOf" srcId="{DCE68129-8CAF-415C-8A93-E084E9941FA9}" destId="{92E27585-29E9-4D55-A5EF-ED69998EE0CD}" srcOrd="0" destOrd="0" presId="urn:microsoft.com/office/officeart/2005/8/layout/orgChart1"/>
    <dgm:cxn modelId="{45583A80-DBEB-4310-9308-F50DFFAF302B}" srcId="{F39A64B1-7E2F-434D-95C6-98C4DCF4F388}" destId="{A03CAECD-ACDE-40E6-8C3B-B01378AE46AC}" srcOrd="2" destOrd="0" parTransId="{D66F87D1-4598-496D-A626-32A33AAEDD33}" sibTransId="{C5B24132-1AA9-4BAA-9368-7D5D1755F9C8}"/>
    <dgm:cxn modelId="{EEC69739-A2CA-4647-9C37-75A3E34C43F2}" srcId="{84A14E35-94D8-48D4-BC82-6FCF0B205CCB}" destId="{F39A64B1-7E2F-434D-95C6-98C4DCF4F388}" srcOrd="1" destOrd="0" parTransId="{59ADFF07-7E15-415E-8540-4D933762C36B}" sibTransId="{7FE3D701-ED48-42A6-AD1C-5873F26D41DC}"/>
    <dgm:cxn modelId="{8618DB35-B1C8-4D7C-9FDB-00E0DEB44BB3}" type="presOf" srcId="{461A9BB6-769E-4393-866F-F077FCC318DC}" destId="{25EB450E-070F-4BD9-BEC6-0E6BFEA7794E}" srcOrd="0" destOrd="0" presId="urn:microsoft.com/office/officeart/2005/8/layout/orgChart1"/>
    <dgm:cxn modelId="{9DC2F39D-80DB-4FD5-B0DC-79D13D5C469B}" type="presOf" srcId="{0A2B37FA-BADB-4D50-9DFA-C5BA7DA64FB4}" destId="{987FDEEA-D768-45FA-BC10-0E50D9CA606F}" srcOrd="0" destOrd="0" presId="urn:microsoft.com/office/officeart/2005/8/layout/orgChart1"/>
    <dgm:cxn modelId="{4A79F858-1732-4BBA-9092-9221062CAA4B}" type="presOf" srcId="{5D21A8DB-2F77-4972-8C65-91970C12C813}" destId="{C5EEA21D-2A3B-4FC9-977E-2379348178EF}" srcOrd="0" destOrd="0" presId="urn:microsoft.com/office/officeart/2005/8/layout/orgChart1"/>
    <dgm:cxn modelId="{10A28374-8583-401A-B40F-E8408244398C}" type="presOf" srcId="{7AE427EB-BADC-4055-AE0C-5A2D80B6D1E1}" destId="{19E93AE7-1747-4911-8CD3-BF4D8AF8A8DB}" srcOrd="1" destOrd="0" presId="urn:microsoft.com/office/officeart/2005/8/layout/orgChart1"/>
    <dgm:cxn modelId="{08A1FD46-4A3F-40B3-BA07-DBB66D0BA8C7}" type="presOf" srcId="{A7E145B8-728F-4FD4-8824-D5FF2BAF0600}" destId="{9152F882-1294-4408-8581-EF8F5D45478A}" srcOrd="1" destOrd="0" presId="urn:microsoft.com/office/officeart/2005/8/layout/orgChart1"/>
    <dgm:cxn modelId="{CB7C9C7B-6124-4ACD-8259-EAF1A504C6D8}" type="presOf" srcId="{C712329D-3D6B-4ACC-B78A-8E0764F581F2}" destId="{21B584D7-01AD-4688-A921-687609632E6E}" srcOrd="0" destOrd="0" presId="urn:microsoft.com/office/officeart/2005/8/layout/orgChart1"/>
    <dgm:cxn modelId="{304B05D9-297C-4E17-B377-89C45EB875B3}" type="presOf" srcId="{38B1509E-51E7-4FA7-84E6-D44F4F806AFD}" destId="{4B821748-CE21-4059-8A8D-75BF32A8B538}" srcOrd="0" destOrd="0" presId="urn:microsoft.com/office/officeart/2005/8/layout/orgChart1"/>
    <dgm:cxn modelId="{447E2B20-D240-4D6E-81C0-995977FD9552}" type="presOf" srcId="{3453D2DE-36CF-47A8-A2DB-0EDAD7F5AFCD}" destId="{192BB2E5-EC34-4772-A0E4-A1DB1151988A}" srcOrd="0" destOrd="0" presId="urn:microsoft.com/office/officeart/2005/8/layout/orgChart1"/>
    <dgm:cxn modelId="{17E648AD-2D16-4571-92A1-7449C5E8F85E}" srcId="{4541037B-8D9A-4610-AF10-28DF4A22073A}" destId="{38B1509E-51E7-4FA7-84E6-D44F4F806AFD}" srcOrd="3" destOrd="0" parTransId="{695BD1E0-32CF-43D5-8ADF-7226697625E2}" sibTransId="{A7276E3D-E198-4FC9-84A4-4C169A681B79}"/>
    <dgm:cxn modelId="{E040975E-7B30-4723-8AB4-66B88263DAFC}" type="presOf" srcId="{728CF4C7-6AD9-49F7-8016-807910CAECE2}" destId="{AD5EA691-BF3E-4C5E-A351-2ED5C75E27BF}" srcOrd="0" destOrd="0" presId="urn:microsoft.com/office/officeart/2005/8/layout/orgChart1"/>
    <dgm:cxn modelId="{DA6CF79D-F12A-46F6-B18F-9DCFAEA757EA}" type="presOf" srcId="{4541037B-8D9A-4610-AF10-28DF4A22073A}" destId="{BB564B59-CE76-4510-A86B-5BECC9EDC7EF}" srcOrd="0" destOrd="0" presId="urn:microsoft.com/office/officeart/2005/8/layout/orgChart1"/>
    <dgm:cxn modelId="{0F31CDC4-3141-4D18-BE1E-E5B76764C242}" type="presOf" srcId="{7AE427EB-BADC-4055-AE0C-5A2D80B6D1E1}" destId="{D8078D43-5582-499D-BE83-64926F12FF11}" srcOrd="0" destOrd="0" presId="urn:microsoft.com/office/officeart/2005/8/layout/orgChart1"/>
    <dgm:cxn modelId="{652E3B44-84E9-4F43-89A1-455DECDB61D1}" type="presOf" srcId="{6D087A94-C4A3-4A26-B4BC-FCC04328C55D}" destId="{D42FF946-B62D-4A79-BE36-6AA4BC51CB42}" srcOrd="1" destOrd="0" presId="urn:microsoft.com/office/officeart/2005/8/layout/orgChart1"/>
    <dgm:cxn modelId="{9542FC6B-C367-41F7-9261-D4E75B10F05C}" type="presOf" srcId="{4541037B-8D9A-4610-AF10-28DF4A22073A}" destId="{4E0830A6-DF18-4384-9FA0-E7AF36EB44F1}" srcOrd="1" destOrd="0" presId="urn:microsoft.com/office/officeart/2005/8/layout/orgChart1"/>
    <dgm:cxn modelId="{D60C1DFB-EB48-48DB-BAB7-8E56DD73342C}" srcId="{4541037B-8D9A-4610-AF10-28DF4A22073A}" destId="{7AE427EB-BADC-4055-AE0C-5A2D80B6D1E1}" srcOrd="0" destOrd="0" parTransId="{DCE68129-8CAF-415C-8A93-E084E9941FA9}" sibTransId="{64D68998-27F5-4BF2-BF40-87174D9588B6}"/>
    <dgm:cxn modelId="{10132292-ABF5-42E1-B8FE-A08D11547790}" type="presOf" srcId="{6D087A94-C4A3-4A26-B4BC-FCC04328C55D}" destId="{FC94EE5A-7BA8-404A-A28B-B02C214F4F68}" srcOrd="0" destOrd="0" presId="urn:microsoft.com/office/officeart/2005/8/layout/orgChart1"/>
    <dgm:cxn modelId="{D00757D2-0F99-4351-B438-1D2A6ABA864B}" type="presOf" srcId="{A7B2B835-42ED-4E33-916B-DDA096E2FEE6}" destId="{A510A119-7FAC-46AD-A867-0DFC8F62A5B4}" srcOrd="0" destOrd="0" presId="urn:microsoft.com/office/officeart/2005/8/layout/orgChart1"/>
    <dgm:cxn modelId="{2B2F50F1-B3B0-4CA3-B413-C78CBCFD9C57}" type="presOf" srcId="{BE7D2E47-54FE-4D12-92F3-629CF128FC8F}" destId="{6819821E-6EC6-4B8A-A9A0-BCDE70F2800C}" srcOrd="0" destOrd="0" presId="urn:microsoft.com/office/officeart/2005/8/layout/orgChart1"/>
    <dgm:cxn modelId="{DF98FCC7-7088-4A44-B36D-F21050573724}" srcId="{4541037B-8D9A-4610-AF10-28DF4A22073A}" destId="{A7B2B835-42ED-4E33-916B-DDA096E2FEE6}" srcOrd="1" destOrd="0" parTransId="{60454BDA-D517-4C39-9E87-58B4E002A28A}" sibTransId="{06258D1A-2F2C-45FF-8173-F08614178F89}"/>
    <dgm:cxn modelId="{663EFE06-F3D9-4670-984E-8EBF956ABA1F}" type="presOf" srcId="{461A9BB6-769E-4393-866F-F077FCC318DC}" destId="{27FC4716-F178-47C1-9478-F958DEB9017A}" srcOrd="1" destOrd="0" presId="urn:microsoft.com/office/officeart/2005/8/layout/orgChart1"/>
    <dgm:cxn modelId="{AAD057E5-41A6-4B70-9F13-2790EEAF824F}" type="presOf" srcId="{A7E145B8-728F-4FD4-8824-D5FF2BAF0600}" destId="{BF486AA0-3EEB-44C1-80C6-BE9E2EFBAB56}" srcOrd="0" destOrd="0" presId="urn:microsoft.com/office/officeart/2005/8/layout/orgChart1"/>
    <dgm:cxn modelId="{9EF109E3-C242-4894-8ABF-8E52B1199FB2}" type="presOf" srcId="{60454BDA-D517-4C39-9E87-58B4E002A28A}" destId="{AFBA421E-CE28-412F-B298-F11E4BA40D7D}" srcOrd="0" destOrd="0" presId="urn:microsoft.com/office/officeart/2005/8/layout/orgChart1"/>
    <dgm:cxn modelId="{34F3C04B-B6C3-4130-BBEB-88DEA86AEAB5}" type="presOf" srcId="{D66F87D1-4598-496D-A626-32A33AAEDD33}" destId="{17A09EA3-A7AE-44EA-A33F-3085D546000B}" srcOrd="0" destOrd="0" presId="urn:microsoft.com/office/officeart/2005/8/layout/orgChart1"/>
    <dgm:cxn modelId="{CFA5177C-8701-4812-BDDE-9FAFC4247589}" srcId="{F39A64B1-7E2F-434D-95C6-98C4DCF4F388}" destId="{A7E145B8-728F-4FD4-8824-D5FF2BAF0600}" srcOrd="0" destOrd="0" parTransId="{C712329D-3D6B-4ACC-B78A-8E0764F581F2}" sibTransId="{86832B45-72D3-4FBC-AC21-5127FE3D0CFF}"/>
    <dgm:cxn modelId="{AFA2872F-29A9-4D17-B3E6-6EE429179635}" srcId="{84A14E35-94D8-48D4-BC82-6FCF0B205CCB}" destId="{4541037B-8D9A-4610-AF10-28DF4A22073A}" srcOrd="0" destOrd="0" parTransId="{5D21A8DB-2F77-4972-8C65-91970C12C813}" sibTransId="{2FA06146-3FAB-49AC-BE66-7A9582BC6D5F}"/>
    <dgm:cxn modelId="{93C7AEB1-B3E3-47CF-96A9-A24EF5D88CC7}" type="presOf" srcId="{A03CAECD-ACDE-40E6-8C3B-B01378AE46AC}" destId="{F8AF1DE3-E385-44F2-944F-D84EA1CE5FCF}" srcOrd="1" destOrd="0" presId="urn:microsoft.com/office/officeart/2005/8/layout/orgChart1"/>
    <dgm:cxn modelId="{ED865B8B-7F05-4678-ADAD-29EA3D227C17}" type="presOf" srcId="{A7B2B835-42ED-4E33-916B-DDA096E2FEE6}" destId="{3E4FEE54-DAC3-4155-9E88-9C9C0FE053E8}" srcOrd="1" destOrd="0" presId="urn:microsoft.com/office/officeart/2005/8/layout/orgChart1"/>
    <dgm:cxn modelId="{7B186E3F-2D37-4B61-AA9E-7E4D8A193A44}" type="presOf" srcId="{84A14E35-94D8-48D4-BC82-6FCF0B205CCB}" destId="{1B8CE0FA-CD4E-4475-BAA9-135B992BA84D}" srcOrd="1" destOrd="0" presId="urn:microsoft.com/office/officeart/2005/8/layout/orgChart1"/>
    <dgm:cxn modelId="{454B4A79-D34E-4EEF-93B9-690F50543675}" srcId="{3453D2DE-36CF-47A8-A2DB-0EDAD7F5AFCD}" destId="{84A14E35-94D8-48D4-BC82-6FCF0B205CCB}" srcOrd="0" destOrd="0" parTransId="{C4B97FB5-7C46-4EA8-B76D-20BFBDD2097D}" sibTransId="{9D23E391-5175-4B04-89D0-2808480D8F42}"/>
    <dgm:cxn modelId="{7D62DB37-5E8C-448C-84A3-036B6314C841}" type="presOf" srcId="{A03CAECD-ACDE-40E6-8C3B-B01378AE46AC}" destId="{BC7A513C-BFD2-4E97-A6D9-35D4A913770F}" srcOrd="0" destOrd="0" presId="urn:microsoft.com/office/officeart/2005/8/layout/orgChart1"/>
    <dgm:cxn modelId="{9CC89039-EB91-49E9-B8AE-C599CD3FB9A6}" type="presOf" srcId="{59ADFF07-7E15-415E-8540-4D933762C36B}" destId="{BC19D9C1-54DC-4CFE-93BD-BE3A5E5EA24D}" srcOrd="0" destOrd="0" presId="urn:microsoft.com/office/officeart/2005/8/layout/orgChart1"/>
    <dgm:cxn modelId="{6ED69E57-7F61-4D8A-856C-970F52A34A8D}" type="presOf" srcId="{695BD1E0-32CF-43D5-8ADF-7226697625E2}" destId="{D51FDDEC-3BF6-462E-AF10-6844DBECC1C3}" srcOrd="0" destOrd="0" presId="urn:microsoft.com/office/officeart/2005/8/layout/orgChart1"/>
    <dgm:cxn modelId="{B358CA4F-1FEC-4F23-ADEF-BC4DAFD45EB0}" type="presOf" srcId="{F39A64B1-7E2F-434D-95C6-98C4DCF4F388}" destId="{F2317D1D-B118-4CC6-99F7-31D91E214C08}" srcOrd="1" destOrd="0" presId="urn:microsoft.com/office/officeart/2005/8/layout/orgChart1"/>
    <dgm:cxn modelId="{8A3A5979-2859-44D3-B058-913D8144B913}" srcId="{F39A64B1-7E2F-434D-95C6-98C4DCF4F388}" destId="{728CF4C7-6AD9-49F7-8016-807910CAECE2}" srcOrd="1" destOrd="0" parTransId="{0A2B37FA-BADB-4D50-9DFA-C5BA7DA64FB4}" sibTransId="{BDB3D4D4-5EC4-4397-9B4B-3594A04974B6}"/>
    <dgm:cxn modelId="{B62E4375-24AE-42AE-B347-AA081D9758B1}" type="presOf" srcId="{AF3888ED-08F0-460C-A0F8-E14A45C148FD}" destId="{2EBC2934-BBB7-4421-B556-EDFF7746D1F0}" srcOrd="0" destOrd="0" presId="urn:microsoft.com/office/officeart/2005/8/layout/orgChart1"/>
    <dgm:cxn modelId="{18C47C9F-480F-44F7-B39D-6EA5C0C2115B}" type="presOf" srcId="{F39A64B1-7E2F-434D-95C6-98C4DCF4F388}" destId="{521936A0-0F82-400B-B934-F0F2D1541F1D}" srcOrd="0" destOrd="0" presId="urn:microsoft.com/office/officeart/2005/8/layout/orgChart1"/>
    <dgm:cxn modelId="{BF8645C7-9B1E-4967-AC69-44934F0002AB}" srcId="{4541037B-8D9A-4610-AF10-28DF4A22073A}" destId="{6D087A94-C4A3-4A26-B4BC-FCC04328C55D}" srcOrd="2" destOrd="0" parTransId="{AF3888ED-08F0-460C-A0F8-E14A45C148FD}" sibTransId="{C3ED918B-9623-4F00-835A-AAA9F26D3E10}"/>
    <dgm:cxn modelId="{F5250D8C-1961-40B6-AD0D-75BA8482E338}" type="presOf" srcId="{84A14E35-94D8-48D4-BC82-6FCF0B205CCB}" destId="{C8B8B20A-009C-4CD6-866B-E64E8C0DA03A}" srcOrd="0" destOrd="0" presId="urn:microsoft.com/office/officeart/2005/8/layout/orgChart1"/>
    <dgm:cxn modelId="{FB624EE5-1D5D-4E78-9DB8-DBD658269F70}" type="presOf" srcId="{728CF4C7-6AD9-49F7-8016-807910CAECE2}" destId="{AD483579-68BD-4C46-AE74-B6EAC9F64E27}" srcOrd="1" destOrd="0" presId="urn:microsoft.com/office/officeart/2005/8/layout/orgChart1"/>
    <dgm:cxn modelId="{78AAE1BE-57B0-4DAC-B164-1EB7020C14DD}" srcId="{4541037B-8D9A-4610-AF10-28DF4A22073A}" destId="{461A9BB6-769E-4393-866F-F077FCC318DC}" srcOrd="4" destOrd="0" parTransId="{BE7D2E47-54FE-4D12-92F3-629CF128FC8F}" sibTransId="{CAB42665-FF61-4707-8AC0-BFC5ED69244E}"/>
    <dgm:cxn modelId="{4BB54527-9468-46F7-8CAF-3A1BAA66FF35}" type="presParOf" srcId="{192BB2E5-EC34-4772-A0E4-A1DB1151988A}" destId="{F58FF267-94EB-4B67-BCA3-5D2857CA7873}" srcOrd="0" destOrd="0" presId="urn:microsoft.com/office/officeart/2005/8/layout/orgChart1"/>
    <dgm:cxn modelId="{18BDBB80-6829-466B-9352-A1FA4E2F831D}" type="presParOf" srcId="{F58FF267-94EB-4B67-BCA3-5D2857CA7873}" destId="{0F4E7189-0CAD-4309-AD35-D81ED9CBD22E}" srcOrd="0" destOrd="0" presId="urn:microsoft.com/office/officeart/2005/8/layout/orgChart1"/>
    <dgm:cxn modelId="{983A8D54-BF65-4DCF-A4C0-C00842B4FAC0}" type="presParOf" srcId="{0F4E7189-0CAD-4309-AD35-D81ED9CBD22E}" destId="{C8B8B20A-009C-4CD6-866B-E64E8C0DA03A}" srcOrd="0" destOrd="0" presId="urn:microsoft.com/office/officeart/2005/8/layout/orgChart1"/>
    <dgm:cxn modelId="{6DFCC815-CF97-447C-A263-A3BB4C763010}" type="presParOf" srcId="{0F4E7189-0CAD-4309-AD35-D81ED9CBD22E}" destId="{1B8CE0FA-CD4E-4475-BAA9-135B992BA84D}" srcOrd="1" destOrd="0" presId="urn:microsoft.com/office/officeart/2005/8/layout/orgChart1"/>
    <dgm:cxn modelId="{33C19FB0-B30E-4502-8ECF-A4AD1D19D57D}" type="presParOf" srcId="{F58FF267-94EB-4B67-BCA3-5D2857CA7873}" destId="{F992AC65-4BB2-4456-82D9-1DAC43552C9B}" srcOrd="1" destOrd="0" presId="urn:microsoft.com/office/officeart/2005/8/layout/orgChart1"/>
    <dgm:cxn modelId="{655BE9BE-327D-4CEE-B3FB-5EDBCCAB3417}" type="presParOf" srcId="{F992AC65-4BB2-4456-82D9-1DAC43552C9B}" destId="{C5EEA21D-2A3B-4FC9-977E-2379348178EF}" srcOrd="0" destOrd="0" presId="urn:microsoft.com/office/officeart/2005/8/layout/orgChart1"/>
    <dgm:cxn modelId="{B83D6FD1-62C8-4B41-9F2D-F745A0A88B1E}" type="presParOf" srcId="{F992AC65-4BB2-4456-82D9-1DAC43552C9B}" destId="{8CE085F8-217A-4F86-8FF7-AFDA78D5528A}" srcOrd="1" destOrd="0" presId="urn:microsoft.com/office/officeart/2005/8/layout/orgChart1"/>
    <dgm:cxn modelId="{8D788007-F109-4370-AD2F-F11599E0EBC7}" type="presParOf" srcId="{8CE085F8-217A-4F86-8FF7-AFDA78D5528A}" destId="{BAB7EE29-3ED4-4EC2-A7C2-7B1374441CC2}" srcOrd="0" destOrd="0" presId="urn:microsoft.com/office/officeart/2005/8/layout/orgChart1"/>
    <dgm:cxn modelId="{4EF3A08A-9ECA-4A97-9F8F-BAE5AF5B79E2}" type="presParOf" srcId="{BAB7EE29-3ED4-4EC2-A7C2-7B1374441CC2}" destId="{BB564B59-CE76-4510-A86B-5BECC9EDC7EF}" srcOrd="0" destOrd="0" presId="urn:microsoft.com/office/officeart/2005/8/layout/orgChart1"/>
    <dgm:cxn modelId="{6767FD06-56B8-4423-BBBD-019FE2383A20}" type="presParOf" srcId="{BAB7EE29-3ED4-4EC2-A7C2-7B1374441CC2}" destId="{4E0830A6-DF18-4384-9FA0-E7AF36EB44F1}" srcOrd="1" destOrd="0" presId="urn:microsoft.com/office/officeart/2005/8/layout/orgChart1"/>
    <dgm:cxn modelId="{15BB1EEE-2177-4383-A7A4-9CDD839B591D}" type="presParOf" srcId="{8CE085F8-217A-4F86-8FF7-AFDA78D5528A}" destId="{F948D63F-5CD4-4307-9FA6-EF9F1D11AD95}" srcOrd="1" destOrd="0" presId="urn:microsoft.com/office/officeart/2005/8/layout/orgChart1"/>
    <dgm:cxn modelId="{317ED2C2-CDFD-4E96-AD86-9CBD0CD0FEDD}" type="presParOf" srcId="{F948D63F-5CD4-4307-9FA6-EF9F1D11AD95}" destId="{92E27585-29E9-4D55-A5EF-ED69998EE0CD}" srcOrd="0" destOrd="0" presId="urn:microsoft.com/office/officeart/2005/8/layout/orgChart1"/>
    <dgm:cxn modelId="{1AE8A220-A02D-43CB-925A-C7F182A2A61E}" type="presParOf" srcId="{F948D63F-5CD4-4307-9FA6-EF9F1D11AD95}" destId="{92CCE762-EAF9-4B64-BFC8-198D41732F62}" srcOrd="1" destOrd="0" presId="urn:microsoft.com/office/officeart/2005/8/layout/orgChart1"/>
    <dgm:cxn modelId="{9483398D-A60D-4823-8847-9B6D93FEEFC2}" type="presParOf" srcId="{92CCE762-EAF9-4B64-BFC8-198D41732F62}" destId="{3427F44E-8A17-44CE-86AA-D6BF46B4FD99}" srcOrd="0" destOrd="0" presId="urn:microsoft.com/office/officeart/2005/8/layout/orgChart1"/>
    <dgm:cxn modelId="{D00C0EB6-EDAE-45C8-A5EE-62D4E293720A}" type="presParOf" srcId="{3427F44E-8A17-44CE-86AA-D6BF46B4FD99}" destId="{D8078D43-5582-499D-BE83-64926F12FF11}" srcOrd="0" destOrd="0" presId="urn:microsoft.com/office/officeart/2005/8/layout/orgChart1"/>
    <dgm:cxn modelId="{8D2F6F94-C6E9-4107-AE46-2F918B0A843B}" type="presParOf" srcId="{3427F44E-8A17-44CE-86AA-D6BF46B4FD99}" destId="{19E93AE7-1747-4911-8CD3-BF4D8AF8A8DB}" srcOrd="1" destOrd="0" presId="urn:microsoft.com/office/officeart/2005/8/layout/orgChart1"/>
    <dgm:cxn modelId="{ADCD228B-649B-4B13-A90C-17DC5637DFFC}" type="presParOf" srcId="{92CCE762-EAF9-4B64-BFC8-198D41732F62}" destId="{27DA3CFC-267B-415E-9BA1-E170E0064C09}" srcOrd="1" destOrd="0" presId="urn:microsoft.com/office/officeart/2005/8/layout/orgChart1"/>
    <dgm:cxn modelId="{A6D2806B-F46F-4E14-BC98-3E374238AF94}" type="presParOf" srcId="{92CCE762-EAF9-4B64-BFC8-198D41732F62}" destId="{96338F9A-B95D-429B-BB72-AD974F00584E}" srcOrd="2" destOrd="0" presId="urn:microsoft.com/office/officeart/2005/8/layout/orgChart1"/>
    <dgm:cxn modelId="{0C34A220-0C69-4B59-A1DD-D5FE3EF27BA3}" type="presParOf" srcId="{F948D63F-5CD4-4307-9FA6-EF9F1D11AD95}" destId="{AFBA421E-CE28-412F-B298-F11E4BA40D7D}" srcOrd="2" destOrd="0" presId="urn:microsoft.com/office/officeart/2005/8/layout/orgChart1"/>
    <dgm:cxn modelId="{F8E1C9CA-DE59-4501-BE2C-7E3E83A087C4}" type="presParOf" srcId="{F948D63F-5CD4-4307-9FA6-EF9F1D11AD95}" destId="{56BBB8FF-5EC9-4541-A1A4-F0443D055D48}" srcOrd="3" destOrd="0" presId="urn:microsoft.com/office/officeart/2005/8/layout/orgChart1"/>
    <dgm:cxn modelId="{224896E6-C43A-4506-9DC4-1213BAF8AEB4}" type="presParOf" srcId="{56BBB8FF-5EC9-4541-A1A4-F0443D055D48}" destId="{E45C104A-1BEC-4341-A56C-7D786A41D505}" srcOrd="0" destOrd="0" presId="urn:microsoft.com/office/officeart/2005/8/layout/orgChart1"/>
    <dgm:cxn modelId="{B5928765-1436-4AA1-A8F5-2C337951AEE3}" type="presParOf" srcId="{E45C104A-1BEC-4341-A56C-7D786A41D505}" destId="{A510A119-7FAC-46AD-A867-0DFC8F62A5B4}" srcOrd="0" destOrd="0" presId="urn:microsoft.com/office/officeart/2005/8/layout/orgChart1"/>
    <dgm:cxn modelId="{6D25FE73-A185-4A3D-9332-C95CC86707B7}" type="presParOf" srcId="{E45C104A-1BEC-4341-A56C-7D786A41D505}" destId="{3E4FEE54-DAC3-4155-9E88-9C9C0FE053E8}" srcOrd="1" destOrd="0" presId="urn:microsoft.com/office/officeart/2005/8/layout/orgChart1"/>
    <dgm:cxn modelId="{53B61081-C6A9-4C30-9476-180D66992955}" type="presParOf" srcId="{56BBB8FF-5EC9-4541-A1A4-F0443D055D48}" destId="{D03BFE1C-C9EB-4814-90E9-A3F557392624}" srcOrd="1" destOrd="0" presId="urn:microsoft.com/office/officeart/2005/8/layout/orgChart1"/>
    <dgm:cxn modelId="{82A4D77F-2544-45A0-9209-62B335C5609B}" type="presParOf" srcId="{56BBB8FF-5EC9-4541-A1A4-F0443D055D48}" destId="{FD5129D1-180F-4D0C-8027-E6D5BC5D9071}" srcOrd="2" destOrd="0" presId="urn:microsoft.com/office/officeart/2005/8/layout/orgChart1"/>
    <dgm:cxn modelId="{DBFBF584-735E-43F1-BB26-A4EB99979817}" type="presParOf" srcId="{F948D63F-5CD4-4307-9FA6-EF9F1D11AD95}" destId="{2EBC2934-BBB7-4421-B556-EDFF7746D1F0}" srcOrd="4" destOrd="0" presId="urn:microsoft.com/office/officeart/2005/8/layout/orgChart1"/>
    <dgm:cxn modelId="{9D1ED984-F476-4F04-AFCE-1C970EEBADF9}" type="presParOf" srcId="{F948D63F-5CD4-4307-9FA6-EF9F1D11AD95}" destId="{6024CD74-E398-4C6B-BF9C-C0A788A64F3E}" srcOrd="5" destOrd="0" presId="urn:microsoft.com/office/officeart/2005/8/layout/orgChart1"/>
    <dgm:cxn modelId="{C4AFD198-900C-41B5-84A6-6B8AEBF3C4FE}" type="presParOf" srcId="{6024CD74-E398-4C6B-BF9C-C0A788A64F3E}" destId="{67D05AB8-4F4C-4A73-AC09-8BBCD928D29C}" srcOrd="0" destOrd="0" presId="urn:microsoft.com/office/officeart/2005/8/layout/orgChart1"/>
    <dgm:cxn modelId="{330F9786-534B-4506-BCEC-06762AF7BED4}" type="presParOf" srcId="{67D05AB8-4F4C-4A73-AC09-8BBCD928D29C}" destId="{FC94EE5A-7BA8-404A-A28B-B02C214F4F68}" srcOrd="0" destOrd="0" presId="urn:microsoft.com/office/officeart/2005/8/layout/orgChart1"/>
    <dgm:cxn modelId="{5E8D12EA-405F-4EA3-8EFB-F69974477E0D}" type="presParOf" srcId="{67D05AB8-4F4C-4A73-AC09-8BBCD928D29C}" destId="{D42FF946-B62D-4A79-BE36-6AA4BC51CB42}" srcOrd="1" destOrd="0" presId="urn:microsoft.com/office/officeart/2005/8/layout/orgChart1"/>
    <dgm:cxn modelId="{B7C5B7B4-17BA-45EF-9D1D-ABE7FD5430A9}" type="presParOf" srcId="{6024CD74-E398-4C6B-BF9C-C0A788A64F3E}" destId="{22031080-FD32-4F7B-8E05-F9B98BEAC4F1}" srcOrd="1" destOrd="0" presId="urn:microsoft.com/office/officeart/2005/8/layout/orgChart1"/>
    <dgm:cxn modelId="{18CE3EBD-B8BA-434C-B9A5-C757E703EB1B}" type="presParOf" srcId="{6024CD74-E398-4C6B-BF9C-C0A788A64F3E}" destId="{F1260518-F441-4CEB-AEA4-7DACB796B98E}" srcOrd="2" destOrd="0" presId="urn:microsoft.com/office/officeart/2005/8/layout/orgChart1"/>
    <dgm:cxn modelId="{3F966A23-3D9E-4602-B0D1-ED43555321D7}" type="presParOf" srcId="{F948D63F-5CD4-4307-9FA6-EF9F1D11AD95}" destId="{D51FDDEC-3BF6-462E-AF10-6844DBECC1C3}" srcOrd="6" destOrd="0" presId="urn:microsoft.com/office/officeart/2005/8/layout/orgChart1"/>
    <dgm:cxn modelId="{5C08E5A3-5F97-44DA-B5E4-6FEE1EC1410A}" type="presParOf" srcId="{F948D63F-5CD4-4307-9FA6-EF9F1D11AD95}" destId="{530EF99D-D0FD-4F13-897F-C86A9012C66F}" srcOrd="7" destOrd="0" presId="urn:microsoft.com/office/officeart/2005/8/layout/orgChart1"/>
    <dgm:cxn modelId="{BD3BF105-5ED1-4143-AEBE-A0A501CA5D41}" type="presParOf" srcId="{530EF99D-D0FD-4F13-897F-C86A9012C66F}" destId="{0E9B8139-BC47-434E-8E02-51E3FA957955}" srcOrd="0" destOrd="0" presId="urn:microsoft.com/office/officeart/2005/8/layout/orgChart1"/>
    <dgm:cxn modelId="{1115E55B-C2B5-4E4F-9471-7D97A4B54781}" type="presParOf" srcId="{0E9B8139-BC47-434E-8E02-51E3FA957955}" destId="{4B821748-CE21-4059-8A8D-75BF32A8B538}" srcOrd="0" destOrd="0" presId="urn:microsoft.com/office/officeart/2005/8/layout/orgChart1"/>
    <dgm:cxn modelId="{C8E9B8E6-A807-4389-8E56-DD6D98C0BAEC}" type="presParOf" srcId="{0E9B8139-BC47-434E-8E02-51E3FA957955}" destId="{9B8FF892-1957-4622-83CA-625C51F467D5}" srcOrd="1" destOrd="0" presId="urn:microsoft.com/office/officeart/2005/8/layout/orgChart1"/>
    <dgm:cxn modelId="{3D568310-0678-4C2F-9F31-959B60689C74}" type="presParOf" srcId="{530EF99D-D0FD-4F13-897F-C86A9012C66F}" destId="{1FC669D7-F550-47CF-9B94-ACBA01EDC70F}" srcOrd="1" destOrd="0" presId="urn:microsoft.com/office/officeart/2005/8/layout/orgChart1"/>
    <dgm:cxn modelId="{30B012AB-80A9-43DE-B026-65BC6AD1115C}" type="presParOf" srcId="{530EF99D-D0FD-4F13-897F-C86A9012C66F}" destId="{18D78FE2-9CF3-4ED4-A63F-3083E462CF62}" srcOrd="2" destOrd="0" presId="urn:microsoft.com/office/officeart/2005/8/layout/orgChart1"/>
    <dgm:cxn modelId="{AC22B6C7-A87C-4C42-8321-9061590955C2}" type="presParOf" srcId="{F948D63F-5CD4-4307-9FA6-EF9F1D11AD95}" destId="{6819821E-6EC6-4B8A-A9A0-BCDE70F2800C}" srcOrd="8" destOrd="0" presId="urn:microsoft.com/office/officeart/2005/8/layout/orgChart1"/>
    <dgm:cxn modelId="{121CC2B9-F446-423D-BF20-F2ED1052B5D5}" type="presParOf" srcId="{F948D63F-5CD4-4307-9FA6-EF9F1D11AD95}" destId="{CACED428-30F8-4812-99D7-563FB21C464C}" srcOrd="9" destOrd="0" presId="urn:microsoft.com/office/officeart/2005/8/layout/orgChart1"/>
    <dgm:cxn modelId="{632B27B2-BE97-4C9F-B99D-689C6E0BF3A0}" type="presParOf" srcId="{CACED428-30F8-4812-99D7-563FB21C464C}" destId="{1FDDEB28-E368-472E-BA72-22570A744C05}" srcOrd="0" destOrd="0" presId="urn:microsoft.com/office/officeart/2005/8/layout/orgChart1"/>
    <dgm:cxn modelId="{4B325EA7-9029-41A4-B374-E388CBE20899}" type="presParOf" srcId="{1FDDEB28-E368-472E-BA72-22570A744C05}" destId="{25EB450E-070F-4BD9-BEC6-0E6BFEA7794E}" srcOrd="0" destOrd="0" presId="urn:microsoft.com/office/officeart/2005/8/layout/orgChart1"/>
    <dgm:cxn modelId="{0FD434DC-E465-42F2-A822-510EC4A74D23}" type="presParOf" srcId="{1FDDEB28-E368-472E-BA72-22570A744C05}" destId="{27FC4716-F178-47C1-9478-F958DEB9017A}" srcOrd="1" destOrd="0" presId="urn:microsoft.com/office/officeart/2005/8/layout/orgChart1"/>
    <dgm:cxn modelId="{D37E91DB-D8AA-4652-9E27-84235C4D3A34}" type="presParOf" srcId="{CACED428-30F8-4812-99D7-563FB21C464C}" destId="{D6F6CCF4-B3F5-432B-A537-26529CEA62A5}" srcOrd="1" destOrd="0" presId="urn:microsoft.com/office/officeart/2005/8/layout/orgChart1"/>
    <dgm:cxn modelId="{8D5034B5-EDD9-4BE8-A3D3-B88763E4DB30}" type="presParOf" srcId="{CACED428-30F8-4812-99D7-563FB21C464C}" destId="{113442FD-3ABA-405E-BD0C-0D814B7157BC}" srcOrd="2" destOrd="0" presId="urn:microsoft.com/office/officeart/2005/8/layout/orgChart1"/>
    <dgm:cxn modelId="{C998A2E6-14F2-4171-A3DB-73BB77D62191}" type="presParOf" srcId="{8CE085F8-217A-4F86-8FF7-AFDA78D5528A}" destId="{A7CAFED0-A9CF-4786-9B5B-97F617A253A2}" srcOrd="2" destOrd="0" presId="urn:microsoft.com/office/officeart/2005/8/layout/orgChart1"/>
    <dgm:cxn modelId="{300F4A17-93D4-4229-B2B5-9F5EAC584E12}" type="presParOf" srcId="{F992AC65-4BB2-4456-82D9-1DAC43552C9B}" destId="{BC19D9C1-54DC-4CFE-93BD-BE3A5E5EA24D}" srcOrd="2" destOrd="0" presId="urn:microsoft.com/office/officeart/2005/8/layout/orgChart1"/>
    <dgm:cxn modelId="{76FFBCD4-8419-4086-B316-B5608076A08F}" type="presParOf" srcId="{F992AC65-4BB2-4456-82D9-1DAC43552C9B}" destId="{579BD733-8ED0-4260-9FDD-E3D82E33E330}" srcOrd="3" destOrd="0" presId="urn:microsoft.com/office/officeart/2005/8/layout/orgChart1"/>
    <dgm:cxn modelId="{4AB9B5EE-A002-45AA-B96E-B5858603DA71}" type="presParOf" srcId="{579BD733-8ED0-4260-9FDD-E3D82E33E330}" destId="{0D6FF6C2-985E-4C93-8AD0-EDCE22F86A34}" srcOrd="0" destOrd="0" presId="urn:microsoft.com/office/officeart/2005/8/layout/orgChart1"/>
    <dgm:cxn modelId="{36BBD5C1-135C-430A-AE5C-538ACB5B8519}" type="presParOf" srcId="{0D6FF6C2-985E-4C93-8AD0-EDCE22F86A34}" destId="{521936A0-0F82-400B-B934-F0F2D1541F1D}" srcOrd="0" destOrd="0" presId="urn:microsoft.com/office/officeart/2005/8/layout/orgChart1"/>
    <dgm:cxn modelId="{463B6838-6116-4995-95C7-BE0D4DC9FDD8}" type="presParOf" srcId="{0D6FF6C2-985E-4C93-8AD0-EDCE22F86A34}" destId="{F2317D1D-B118-4CC6-99F7-31D91E214C08}" srcOrd="1" destOrd="0" presId="urn:microsoft.com/office/officeart/2005/8/layout/orgChart1"/>
    <dgm:cxn modelId="{344D1C53-933D-495D-BCBF-7978A733D9A0}" type="presParOf" srcId="{579BD733-8ED0-4260-9FDD-E3D82E33E330}" destId="{620BE052-FCCD-4A51-9B8B-8F0B429E950B}" srcOrd="1" destOrd="0" presId="urn:microsoft.com/office/officeart/2005/8/layout/orgChart1"/>
    <dgm:cxn modelId="{8DD4E289-6FC8-4984-9C49-C767EAA6B774}" type="presParOf" srcId="{620BE052-FCCD-4A51-9B8B-8F0B429E950B}" destId="{21B584D7-01AD-4688-A921-687609632E6E}" srcOrd="0" destOrd="0" presId="urn:microsoft.com/office/officeart/2005/8/layout/orgChart1"/>
    <dgm:cxn modelId="{EEA1CCF8-5305-4A9D-849C-CEB86B1DBF22}" type="presParOf" srcId="{620BE052-FCCD-4A51-9B8B-8F0B429E950B}" destId="{42B9BA73-2D70-4BC1-8471-B775B2DD9B72}" srcOrd="1" destOrd="0" presId="urn:microsoft.com/office/officeart/2005/8/layout/orgChart1"/>
    <dgm:cxn modelId="{344D9426-0623-4485-B580-3EF4286D41A7}" type="presParOf" srcId="{42B9BA73-2D70-4BC1-8471-B775B2DD9B72}" destId="{050F5F15-F67C-4948-9461-6ECE2A202A7B}" srcOrd="0" destOrd="0" presId="urn:microsoft.com/office/officeart/2005/8/layout/orgChart1"/>
    <dgm:cxn modelId="{7CCAB6E2-525C-44ED-A7A7-B7CEC306E3A2}" type="presParOf" srcId="{050F5F15-F67C-4948-9461-6ECE2A202A7B}" destId="{BF486AA0-3EEB-44C1-80C6-BE9E2EFBAB56}" srcOrd="0" destOrd="0" presId="urn:microsoft.com/office/officeart/2005/8/layout/orgChart1"/>
    <dgm:cxn modelId="{57B80E8F-ACB1-4E9C-B74A-4084E7FC175C}" type="presParOf" srcId="{050F5F15-F67C-4948-9461-6ECE2A202A7B}" destId="{9152F882-1294-4408-8581-EF8F5D45478A}" srcOrd="1" destOrd="0" presId="urn:microsoft.com/office/officeart/2005/8/layout/orgChart1"/>
    <dgm:cxn modelId="{5E273FF3-BBA3-45BB-895D-A8024669320D}" type="presParOf" srcId="{42B9BA73-2D70-4BC1-8471-B775B2DD9B72}" destId="{3EDFFB92-3444-4AF4-B0E1-5BC0F8A56585}" srcOrd="1" destOrd="0" presId="urn:microsoft.com/office/officeart/2005/8/layout/orgChart1"/>
    <dgm:cxn modelId="{DDF2CBE9-7B34-4E85-8AD8-816E11ACDAF9}" type="presParOf" srcId="{42B9BA73-2D70-4BC1-8471-B775B2DD9B72}" destId="{DA579A33-5A2C-4201-8D39-AE7FF4DE1EDB}" srcOrd="2" destOrd="0" presId="urn:microsoft.com/office/officeart/2005/8/layout/orgChart1"/>
    <dgm:cxn modelId="{00AB2E83-B179-4257-B5AF-3EC24BDDB6D1}" type="presParOf" srcId="{620BE052-FCCD-4A51-9B8B-8F0B429E950B}" destId="{987FDEEA-D768-45FA-BC10-0E50D9CA606F}" srcOrd="2" destOrd="0" presId="urn:microsoft.com/office/officeart/2005/8/layout/orgChart1"/>
    <dgm:cxn modelId="{33A7F835-0015-4A84-885D-7145DD0B7EE9}" type="presParOf" srcId="{620BE052-FCCD-4A51-9B8B-8F0B429E950B}" destId="{A996A844-A956-428E-A685-4AF5925E8F93}" srcOrd="3" destOrd="0" presId="urn:microsoft.com/office/officeart/2005/8/layout/orgChart1"/>
    <dgm:cxn modelId="{FA49ED79-F325-47AE-9C6A-D1DCE69B6E0A}" type="presParOf" srcId="{A996A844-A956-428E-A685-4AF5925E8F93}" destId="{53854F3E-0450-47AF-BE6C-80D31E796AAF}" srcOrd="0" destOrd="0" presId="urn:microsoft.com/office/officeart/2005/8/layout/orgChart1"/>
    <dgm:cxn modelId="{B3EFE490-8986-4AFE-A109-B735EA359822}" type="presParOf" srcId="{53854F3E-0450-47AF-BE6C-80D31E796AAF}" destId="{AD5EA691-BF3E-4C5E-A351-2ED5C75E27BF}" srcOrd="0" destOrd="0" presId="urn:microsoft.com/office/officeart/2005/8/layout/orgChart1"/>
    <dgm:cxn modelId="{F388435C-E135-41B2-9940-7A0035B3BC89}" type="presParOf" srcId="{53854F3E-0450-47AF-BE6C-80D31E796AAF}" destId="{AD483579-68BD-4C46-AE74-B6EAC9F64E27}" srcOrd="1" destOrd="0" presId="urn:microsoft.com/office/officeart/2005/8/layout/orgChart1"/>
    <dgm:cxn modelId="{05D4EF7C-7429-4E70-890F-2535634C7280}" type="presParOf" srcId="{A996A844-A956-428E-A685-4AF5925E8F93}" destId="{A612AA20-DFD8-49FE-AABD-076944ADDD10}" srcOrd="1" destOrd="0" presId="urn:microsoft.com/office/officeart/2005/8/layout/orgChart1"/>
    <dgm:cxn modelId="{79C5000D-1986-4E1F-B48C-E6C0A1A3E03E}" type="presParOf" srcId="{A996A844-A956-428E-A685-4AF5925E8F93}" destId="{C338E78F-F04E-4624-8E0C-657C3C6F4722}" srcOrd="2" destOrd="0" presId="urn:microsoft.com/office/officeart/2005/8/layout/orgChart1"/>
    <dgm:cxn modelId="{07CA9D52-0A36-4DBF-926C-678FEB848EB1}" type="presParOf" srcId="{620BE052-FCCD-4A51-9B8B-8F0B429E950B}" destId="{17A09EA3-A7AE-44EA-A33F-3085D546000B}" srcOrd="4" destOrd="0" presId="urn:microsoft.com/office/officeart/2005/8/layout/orgChart1"/>
    <dgm:cxn modelId="{073D785A-C8EF-4795-9CE2-5E0E5B80C6E6}" type="presParOf" srcId="{620BE052-FCCD-4A51-9B8B-8F0B429E950B}" destId="{126A4E51-A66A-4FAB-A020-F5C6F4D9232C}" srcOrd="5" destOrd="0" presId="urn:microsoft.com/office/officeart/2005/8/layout/orgChart1"/>
    <dgm:cxn modelId="{0DC3DF73-40A3-4D23-AC66-66196C21B84D}" type="presParOf" srcId="{126A4E51-A66A-4FAB-A020-F5C6F4D9232C}" destId="{06BCD5AF-B309-4621-8E4F-FBAF76F81CEF}" srcOrd="0" destOrd="0" presId="urn:microsoft.com/office/officeart/2005/8/layout/orgChart1"/>
    <dgm:cxn modelId="{CD4A8DC4-D7B2-434B-93B3-FA23F0304DAA}" type="presParOf" srcId="{06BCD5AF-B309-4621-8E4F-FBAF76F81CEF}" destId="{BC7A513C-BFD2-4E97-A6D9-35D4A913770F}" srcOrd="0" destOrd="0" presId="urn:microsoft.com/office/officeart/2005/8/layout/orgChart1"/>
    <dgm:cxn modelId="{056FC967-2279-4660-836D-BC451350983B}" type="presParOf" srcId="{06BCD5AF-B309-4621-8E4F-FBAF76F81CEF}" destId="{F8AF1DE3-E385-44F2-944F-D84EA1CE5FCF}" srcOrd="1" destOrd="0" presId="urn:microsoft.com/office/officeart/2005/8/layout/orgChart1"/>
    <dgm:cxn modelId="{BB34EEA3-143F-42D0-AC46-4CA798C029FF}" type="presParOf" srcId="{126A4E51-A66A-4FAB-A020-F5C6F4D9232C}" destId="{DD0C2649-7048-4577-8D30-74492DD7DB5B}" srcOrd="1" destOrd="0" presId="urn:microsoft.com/office/officeart/2005/8/layout/orgChart1"/>
    <dgm:cxn modelId="{AC068840-EAF6-4B19-9FD0-E9095BE33969}" type="presParOf" srcId="{126A4E51-A66A-4FAB-A020-F5C6F4D9232C}" destId="{53085B31-DA5C-4DE2-8EC9-505A884826D6}" srcOrd="2" destOrd="0" presId="urn:microsoft.com/office/officeart/2005/8/layout/orgChart1"/>
    <dgm:cxn modelId="{EA650CD1-7C3E-4A01-9888-69D6127826BD}" type="presParOf" srcId="{579BD733-8ED0-4260-9FDD-E3D82E33E330}" destId="{6DA6E845-ED8C-4DB5-B387-4378EE0FCFB2}" srcOrd="2" destOrd="0" presId="urn:microsoft.com/office/officeart/2005/8/layout/orgChart1"/>
    <dgm:cxn modelId="{34394DFA-A5A5-4086-AB18-F7D0AD000B1D}" type="presParOf" srcId="{F58FF267-94EB-4B67-BCA3-5D2857CA7873}" destId="{B892EBC1-BF39-4E96-8EF8-31B22A1FD32C}" srcOrd="2" destOrd="0" presId="urn:microsoft.com/office/officeart/2005/8/layout/orgChart1"/>
  </dgm:cxnLst>
  <dgm:bg/>
  <dgm:whole>
    <a:ln>
      <a:noFill/>
    </a:ln>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220848-5022-437F-8FC5-F722746DE2B6}" type="doc">
      <dgm:prSet loTypeId="urn:microsoft.com/office/officeart/2005/8/layout/radial2" loCatId="relationship" qsTypeId="urn:microsoft.com/office/officeart/2005/8/quickstyle/simple1" qsCatId="simple" csTypeId="urn:microsoft.com/office/officeart/2005/8/colors/colorful1#1" csCatId="colorful" phldr="1"/>
      <dgm:spPr/>
      <dgm:t>
        <a:bodyPr/>
        <a:lstStyle/>
        <a:p>
          <a:endParaRPr lang="lv-LV"/>
        </a:p>
      </dgm:t>
    </dgm:pt>
    <dgm:pt modelId="{330A4812-210D-4AED-A9BB-648D6AAD37C1}">
      <dgm:prSet phldrT="[Text]" custT="1"/>
      <dgm:spPr>
        <a:xfrm>
          <a:off x="2079901" y="409839"/>
          <a:ext cx="2375996" cy="1404001"/>
        </a:xfrm>
        <a:solidFill>
          <a:srgbClr val="00B050"/>
        </a:solidFill>
        <a:ln w="25400" cap="flat" cmpd="sng" algn="ctr">
          <a:solidFill>
            <a:sysClr val="window" lastClr="FFFFFF">
              <a:hueOff val="0"/>
              <a:satOff val="0"/>
              <a:lumOff val="0"/>
              <a:alphaOff val="0"/>
            </a:sysClr>
          </a:solidFill>
          <a:prstDash val="solid"/>
        </a:ln>
        <a:effectLst/>
      </dgm:spPr>
      <dgm:t>
        <a:bodyPr lIns="72000"/>
        <a:lstStyle/>
        <a:p>
          <a:pPr algn="ctr"/>
          <a:r>
            <a:rPr lang="lv-LV" sz="1200" b="1">
              <a:solidFill>
                <a:sysClr val="window" lastClr="FFFFFF"/>
              </a:solidFill>
              <a:latin typeface="Calibri"/>
              <a:ea typeface="+mn-ea"/>
              <a:cs typeface="+mn-cs"/>
            </a:rPr>
            <a:t>Karjeras konsultanta pakalpojumi</a:t>
          </a:r>
        </a:p>
        <a:p>
          <a:pPr algn="l"/>
          <a:r>
            <a:rPr lang="lv-LV" sz="1050">
              <a:solidFill>
                <a:sysClr val="window" lastClr="FFFFFF"/>
              </a:solidFill>
              <a:latin typeface="Calibri"/>
              <a:ea typeface="+mn-ea"/>
              <a:cs typeface="+mn-cs"/>
            </a:rPr>
            <a:t>PIKC</a:t>
          </a:r>
        </a:p>
        <a:p>
          <a:pPr algn="l"/>
          <a:r>
            <a:rPr lang="lv-LV" sz="1050">
              <a:solidFill>
                <a:sysClr val="window" lastClr="FFFFFF"/>
              </a:solidFill>
              <a:latin typeface="Calibri"/>
              <a:ea typeface="+mn-ea"/>
              <a:cs typeface="+mn-cs"/>
            </a:rPr>
            <a:t>vidusskola</a:t>
          </a:r>
        </a:p>
        <a:p>
          <a:pPr algn="l"/>
          <a:r>
            <a:rPr lang="lv-LV" sz="1050">
              <a:solidFill>
                <a:sysClr val="window" lastClr="FFFFFF"/>
              </a:solidFill>
              <a:latin typeface="Calibri"/>
              <a:ea typeface="+mn-ea"/>
              <a:cs typeface="+mn-cs"/>
            </a:rPr>
            <a:t>pašvaldības mācību centrs</a:t>
          </a:r>
        </a:p>
        <a:p>
          <a:pPr algn="l"/>
          <a:r>
            <a:rPr lang="lv-LV" sz="1050">
              <a:solidFill>
                <a:sysClr val="window" lastClr="FFFFFF"/>
              </a:solidFill>
              <a:latin typeface="Calibri"/>
              <a:ea typeface="+mn-ea"/>
              <a:cs typeface="+mn-cs"/>
            </a:rPr>
            <a:t>augstskola</a:t>
          </a:r>
        </a:p>
        <a:p>
          <a:pPr algn="l"/>
          <a:r>
            <a:rPr lang="lv-LV" sz="1050">
              <a:solidFill>
                <a:sysClr val="window" lastClr="FFFFFF"/>
              </a:solidFill>
              <a:latin typeface="Calibri"/>
              <a:ea typeface="+mn-ea"/>
              <a:cs typeface="+mn-cs"/>
            </a:rPr>
            <a:t>privātais pakalpojuma sniedzējs</a:t>
          </a:r>
        </a:p>
      </dgm:t>
    </dgm:pt>
    <dgm:pt modelId="{BED2B404-77FD-4A30-AAE0-271EAC52FD50}" type="parTrans" cxnId="{7535D2BD-FB65-4383-B035-A772E0F3A0B8}">
      <dgm:prSet/>
      <dgm:spPr>
        <a:xfrm rot="20027605">
          <a:off x="815059" y="1886991"/>
          <a:ext cx="1623465" cy="65214"/>
        </a:xfrm>
        <a:noFill/>
        <a:ln w="25400" cap="flat" cmpd="sng" algn="ctr">
          <a:solidFill>
            <a:srgbClr val="00B050"/>
          </a:solidFill>
          <a:prstDash val="solid"/>
        </a:ln>
        <a:effectLst/>
      </dgm:spPr>
      <dgm:t>
        <a:bodyPr/>
        <a:lstStyle/>
        <a:p>
          <a:pPr algn="r"/>
          <a:endParaRPr lang="lv-LV"/>
        </a:p>
      </dgm:t>
    </dgm:pt>
    <dgm:pt modelId="{D1673FFF-0D23-444F-B0C1-43A16A749DF1}" type="sibTrans" cxnId="{7535D2BD-FB65-4383-B035-A772E0F3A0B8}">
      <dgm:prSet/>
      <dgm:spPr/>
      <dgm:t>
        <a:bodyPr/>
        <a:lstStyle/>
        <a:p>
          <a:pPr algn="r"/>
          <a:endParaRPr lang="lv-LV"/>
        </a:p>
      </dgm:t>
    </dgm:pt>
    <dgm:pt modelId="{337B8C94-A91D-49B8-85BB-319EB75CC6B9}">
      <dgm:prSet custT="1"/>
      <dgm:spPr>
        <a:xfrm>
          <a:off x="2076924" y="3351906"/>
          <a:ext cx="2375996" cy="1404001"/>
        </a:xfrm>
        <a:solidFill>
          <a:srgbClr val="0070C0"/>
        </a:solidFill>
        <a:ln w="25400" cap="flat" cmpd="sng" algn="ctr">
          <a:solidFill>
            <a:sysClr val="window" lastClr="FFFFFF">
              <a:hueOff val="0"/>
              <a:satOff val="0"/>
              <a:lumOff val="0"/>
              <a:alphaOff val="0"/>
            </a:sysClr>
          </a:solidFill>
          <a:prstDash val="solid"/>
        </a:ln>
        <a:effectLst/>
      </dgm:spPr>
      <dgm:t>
        <a:bodyPr lIns="72000"/>
        <a:lstStyle/>
        <a:p>
          <a:pPr algn="ctr"/>
          <a:r>
            <a:rPr lang="lv-LV" sz="1200" b="1">
              <a:solidFill>
                <a:sysClr val="window" lastClr="FFFFFF"/>
              </a:solidFill>
              <a:latin typeface="Calibri"/>
              <a:ea typeface="+mn-ea"/>
              <a:cs typeface="+mn-cs"/>
            </a:rPr>
            <a:t>Indivīda paša izvēle</a:t>
          </a:r>
        </a:p>
        <a:p>
          <a:pPr algn="l"/>
          <a:r>
            <a:rPr lang="lv-LV" sz="1050">
              <a:solidFill>
                <a:sysClr val="window" lastClr="FFFFFF"/>
              </a:solidFill>
              <a:latin typeface="Calibri"/>
              <a:ea typeface="+mn-ea"/>
              <a:cs typeface="+mn-cs"/>
            </a:rPr>
            <a:t>NVA</a:t>
          </a:r>
        </a:p>
        <a:p>
          <a:pPr algn="l"/>
          <a:r>
            <a:rPr lang="lv-LV" sz="1050">
              <a:solidFill>
                <a:sysClr val="window" lastClr="FFFFFF"/>
              </a:solidFill>
              <a:latin typeface="Calibri"/>
              <a:ea typeface="+mn-ea"/>
              <a:cs typeface="+mn-cs"/>
            </a:rPr>
            <a:t>plānošanas reģiona administrācija</a:t>
          </a:r>
        </a:p>
        <a:p>
          <a:pPr algn="l"/>
          <a:r>
            <a:rPr lang="lv-LV" sz="1050">
              <a:solidFill>
                <a:sysClr val="window" lastClr="FFFFFF"/>
              </a:solidFill>
              <a:latin typeface="Calibri"/>
              <a:ea typeface="+mn-ea"/>
              <a:cs typeface="+mn-cs"/>
            </a:rPr>
            <a:t>nozares asociācija</a:t>
          </a:r>
        </a:p>
        <a:p>
          <a:pPr algn="l"/>
          <a:r>
            <a:rPr lang="lv-LV" sz="1050">
              <a:solidFill>
                <a:sysClr val="window" lastClr="FFFFFF"/>
              </a:solidFill>
              <a:latin typeface="Calibri"/>
              <a:ea typeface="+mn-ea"/>
              <a:cs typeface="+mn-cs"/>
            </a:rPr>
            <a:t>izglītības iestāde (PIKC, augstskola u.c.)</a:t>
          </a:r>
        </a:p>
        <a:p>
          <a:pPr algn="l"/>
          <a:r>
            <a:rPr lang="lv-LV" sz="1050">
              <a:solidFill>
                <a:sysClr val="window" lastClr="FFFFFF"/>
              </a:solidFill>
              <a:latin typeface="Calibri"/>
              <a:ea typeface="+mn-ea"/>
              <a:cs typeface="+mn-cs"/>
            </a:rPr>
            <a:t>pašvaldības mācību centrs</a:t>
          </a:r>
        </a:p>
        <a:p>
          <a:pPr algn="l"/>
          <a:r>
            <a:rPr lang="lv-LV" sz="1050">
              <a:solidFill>
                <a:sysClr val="window" lastClr="FFFFFF"/>
              </a:solidFill>
              <a:latin typeface="Calibri"/>
              <a:ea typeface="+mn-ea"/>
              <a:cs typeface="+mn-cs"/>
            </a:rPr>
            <a:t>privātā iestāde</a:t>
          </a:r>
        </a:p>
      </dgm:t>
    </dgm:pt>
    <dgm:pt modelId="{824A9B5C-D8DE-461C-945F-743A388B9988}" type="parTrans" cxnId="{FAE29952-EDDF-412B-8CB2-0833DF3A2475}">
      <dgm:prSet/>
      <dgm:spPr>
        <a:xfrm rot="1594470">
          <a:off x="812286" y="3202670"/>
          <a:ext cx="1632102" cy="65214"/>
        </a:xfrm>
        <a:noFill/>
        <a:ln w="25400" cap="flat" cmpd="sng" algn="ctr">
          <a:solidFill>
            <a:srgbClr val="4F81BD">
              <a:hueOff val="0"/>
              <a:satOff val="0"/>
              <a:lumOff val="0"/>
              <a:alphaOff val="0"/>
            </a:srgbClr>
          </a:solidFill>
          <a:prstDash val="solid"/>
        </a:ln>
        <a:effectLst/>
      </dgm:spPr>
      <dgm:t>
        <a:bodyPr/>
        <a:lstStyle/>
        <a:p>
          <a:pPr algn="r"/>
          <a:endParaRPr lang="lv-LV"/>
        </a:p>
      </dgm:t>
    </dgm:pt>
    <dgm:pt modelId="{ECF78DB6-E0B6-4CE1-862E-FD8116545273}" type="sibTrans" cxnId="{FAE29952-EDDF-412B-8CB2-0833DF3A2475}">
      <dgm:prSet/>
      <dgm:spPr/>
      <dgm:t>
        <a:bodyPr/>
        <a:lstStyle/>
        <a:p>
          <a:pPr algn="r"/>
          <a:endParaRPr lang="lv-LV"/>
        </a:p>
      </dgm:t>
    </dgm:pt>
    <dgm:pt modelId="{82413F59-8320-48C4-9408-78EFED96D8B4}">
      <dgm:prSet custT="1"/>
      <dgm:spPr>
        <a:xfrm>
          <a:off x="2072734" y="1869739"/>
          <a:ext cx="2375996" cy="1404001"/>
        </a:xfrm>
        <a:solidFill>
          <a:srgbClr val="C00000"/>
        </a:solidFill>
        <a:ln w="25400" cap="flat" cmpd="sng" algn="ctr">
          <a:solidFill>
            <a:sysClr val="window" lastClr="FFFFFF">
              <a:hueOff val="0"/>
              <a:satOff val="0"/>
              <a:lumOff val="0"/>
              <a:alphaOff val="0"/>
            </a:sysClr>
          </a:solidFill>
          <a:prstDash val="solid"/>
        </a:ln>
        <a:effectLst/>
      </dgm:spPr>
      <dgm:t>
        <a:bodyPr lIns="72000"/>
        <a:lstStyle/>
        <a:p>
          <a:pPr algn="ctr"/>
          <a:r>
            <a:rPr lang="lv-LV" sz="1200" b="1">
              <a:solidFill>
                <a:sysClr val="window" lastClr="FFFFFF"/>
              </a:solidFill>
              <a:latin typeface="Calibri"/>
              <a:ea typeface="+mn-ea"/>
              <a:cs typeface="+mn-cs"/>
            </a:rPr>
            <a:t>Darba </a:t>
          </a:r>
          <a:r>
            <a:rPr lang="lv-LV" sz="1050" b="1">
              <a:solidFill>
                <a:sysClr val="window" lastClr="FFFFFF"/>
              </a:solidFill>
              <a:latin typeface="Calibri"/>
              <a:ea typeface="+mn-ea"/>
              <a:cs typeface="+mn-cs"/>
            </a:rPr>
            <a:t>devēja atbalsts</a:t>
          </a:r>
        </a:p>
        <a:p>
          <a:pPr algn="l"/>
          <a:r>
            <a:rPr lang="lv-LV" sz="1050">
              <a:solidFill>
                <a:sysClr val="window" lastClr="FFFFFF"/>
              </a:solidFill>
              <a:latin typeface="Calibri"/>
              <a:ea typeface="+mn-ea"/>
              <a:cs typeface="+mn-cs"/>
            </a:rPr>
            <a:t>plānošanas reģiona administrācija</a:t>
          </a:r>
        </a:p>
        <a:p>
          <a:pPr algn="l"/>
          <a:r>
            <a:rPr lang="lv-LV" sz="1050">
              <a:solidFill>
                <a:sysClr val="window" lastClr="FFFFFF"/>
              </a:solidFill>
              <a:latin typeface="Calibri"/>
              <a:ea typeface="+mn-ea"/>
              <a:cs typeface="+mn-cs"/>
            </a:rPr>
            <a:t>nozares asociācija</a:t>
          </a:r>
        </a:p>
        <a:p>
          <a:pPr algn="l"/>
          <a:r>
            <a:rPr lang="lv-LV" sz="1050">
              <a:solidFill>
                <a:sysClr val="window" lastClr="FFFFFF"/>
              </a:solidFill>
              <a:latin typeface="Calibri"/>
              <a:ea typeface="+mn-ea"/>
              <a:cs typeface="+mn-cs"/>
            </a:rPr>
            <a:t>izglītības iestāde (PIKC, augstskola u.c.)</a:t>
          </a:r>
        </a:p>
        <a:p>
          <a:pPr algn="l"/>
          <a:r>
            <a:rPr lang="lv-LV" sz="1050">
              <a:solidFill>
                <a:sysClr val="window" lastClr="FFFFFF"/>
              </a:solidFill>
              <a:latin typeface="Calibri"/>
              <a:ea typeface="+mn-ea"/>
              <a:cs typeface="+mn-cs"/>
            </a:rPr>
            <a:t>pašvaldības mācību centrs</a:t>
          </a:r>
        </a:p>
        <a:p>
          <a:pPr algn="l"/>
          <a:r>
            <a:rPr lang="lv-LV" sz="1050">
              <a:solidFill>
                <a:sysClr val="window" lastClr="FFFFFF"/>
              </a:solidFill>
              <a:latin typeface="Calibri"/>
              <a:ea typeface="+mn-ea"/>
              <a:cs typeface="+mn-cs"/>
            </a:rPr>
            <a:t>privātā iestāde</a:t>
          </a:r>
        </a:p>
        <a:p>
          <a:pPr algn="l"/>
          <a:r>
            <a:rPr lang="lv-LV" sz="1050">
              <a:solidFill>
                <a:sysClr val="window" lastClr="FFFFFF"/>
              </a:solidFill>
              <a:latin typeface="Calibri"/>
              <a:ea typeface="+mn-ea"/>
              <a:cs typeface="+mn-cs"/>
            </a:rPr>
            <a:t>nozares ministrija</a:t>
          </a:r>
        </a:p>
      </dgm:t>
    </dgm:pt>
    <dgm:pt modelId="{FC33C81D-97EE-42BF-9745-36309DA3E001}" type="parTrans" cxnId="{40F02B94-E243-4728-BB87-4A9EB1694748}">
      <dgm:prSet/>
      <dgm:spPr>
        <a:xfrm rot="21599988">
          <a:off x="898499" y="2539138"/>
          <a:ext cx="1174234" cy="65214"/>
        </a:xfrm>
        <a:noFill/>
        <a:ln w="25400" cap="flat" cmpd="sng" algn="ctr">
          <a:solidFill>
            <a:srgbClr val="C00000"/>
          </a:solidFill>
          <a:prstDash val="solid"/>
        </a:ln>
        <a:effectLst/>
      </dgm:spPr>
      <dgm:t>
        <a:bodyPr/>
        <a:lstStyle/>
        <a:p>
          <a:pPr algn="r"/>
          <a:endParaRPr lang="lv-LV"/>
        </a:p>
      </dgm:t>
    </dgm:pt>
    <dgm:pt modelId="{0CE0E99B-147E-4DC9-ACF4-F22A0F8BBBF4}" type="sibTrans" cxnId="{40F02B94-E243-4728-BB87-4A9EB1694748}">
      <dgm:prSet/>
      <dgm:spPr/>
      <dgm:t>
        <a:bodyPr/>
        <a:lstStyle/>
        <a:p>
          <a:pPr algn="r"/>
          <a:endParaRPr lang="lv-LV"/>
        </a:p>
      </dgm:t>
    </dgm:pt>
    <dgm:pt modelId="{DDE81CCC-3374-47AC-9585-4C9FDAA07550}" type="pres">
      <dgm:prSet presAssocID="{6B220848-5022-437F-8FC5-F722746DE2B6}" presName="composite" presStyleCnt="0">
        <dgm:presLayoutVars>
          <dgm:chMax val="5"/>
          <dgm:dir/>
          <dgm:animLvl val="ctr"/>
          <dgm:resizeHandles val="exact"/>
        </dgm:presLayoutVars>
      </dgm:prSet>
      <dgm:spPr/>
      <dgm:t>
        <a:bodyPr/>
        <a:lstStyle/>
        <a:p>
          <a:endParaRPr lang="lv-LV"/>
        </a:p>
      </dgm:t>
    </dgm:pt>
    <dgm:pt modelId="{487E2751-42D5-4D30-B6FA-E4531FA5B42E}" type="pres">
      <dgm:prSet presAssocID="{6B220848-5022-437F-8FC5-F722746DE2B6}" presName="cycle" presStyleCnt="0"/>
      <dgm:spPr/>
    </dgm:pt>
    <dgm:pt modelId="{0367FF02-50B6-4D61-AC29-669BA18105D0}" type="pres">
      <dgm:prSet presAssocID="{6B220848-5022-437F-8FC5-F722746DE2B6}" presName="centerShape" presStyleCnt="0"/>
      <dgm:spPr/>
    </dgm:pt>
    <dgm:pt modelId="{7D9376BA-D72A-4848-987D-D9B750397FF1}" type="pres">
      <dgm:prSet presAssocID="{6B220848-5022-437F-8FC5-F722746DE2B6}" presName="connSite" presStyleLbl="node1" presStyleIdx="0" presStyleCnt="4"/>
      <dgm:spPr/>
    </dgm:pt>
    <dgm:pt modelId="{450BBD2A-E88D-46FE-BB53-7A0B32FE027C}" type="pres">
      <dgm:prSet presAssocID="{6B220848-5022-437F-8FC5-F722746DE2B6}" presName="visible" presStyleLbl="node1" presStyleIdx="0" presStyleCnt="4" custScaleX="66071" custScaleY="66071" custLinFactNeighborX="26192" custLinFactNeighborY="559"/>
      <dgm:spPr>
        <a:xfrm>
          <a:off x="185164" y="2018100"/>
          <a:ext cx="1126358" cy="1126358"/>
        </a:xfrm>
        <a:prstGeom prst="rect">
          <a:avLst/>
        </a:prstGeom>
        <a:blipFill>
          <a:blip xmlns:r="http://schemas.openxmlformats.org/officeDocument/2006/relationships" r:embed="rId1" cstate="print">
            <a:extLst/>
          </a:blip>
          <a:srcRect/>
          <a:stretch>
            <a:fillRect/>
          </a:stretch>
        </a:blipFill>
        <a:ln w="25400" cap="flat" cmpd="sng" algn="ctr">
          <a:solidFill>
            <a:sysClr val="window" lastClr="FFFFFF">
              <a:hueOff val="0"/>
              <a:satOff val="0"/>
              <a:lumOff val="0"/>
              <a:alphaOff val="0"/>
            </a:sysClr>
          </a:solidFill>
          <a:prstDash val="solid"/>
        </a:ln>
        <a:effectLst/>
      </dgm:spPr>
      <dgm:t>
        <a:bodyPr/>
        <a:lstStyle/>
        <a:p>
          <a:endParaRPr lang="lv-LV"/>
        </a:p>
      </dgm:t>
    </dgm:pt>
    <dgm:pt modelId="{AADD21ED-8454-4A2F-9A1A-9CCD599FFA08}" type="pres">
      <dgm:prSet presAssocID="{BED2B404-77FD-4A30-AAE0-271EAC52FD50}" presName="Name25" presStyleLbl="parChTrans1D1" presStyleIdx="0" presStyleCnt="3"/>
      <dgm:spPr>
        <a:custGeom>
          <a:avLst/>
          <a:gdLst/>
          <a:ahLst/>
          <a:cxnLst/>
          <a:rect l="0" t="0" r="0" b="0"/>
          <a:pathLst>
            <a:path>
              <a:moveTo>
                <a:pt x="0" y="32607"/>
              </a:moveTo>
              <a:lnTo>
                <a:pt x="1623465" y="32607"/>
              </a:lnTo>
            </a:path>
          </a:pathLst>
        </a:custGeom>
      </dgm:spPr>
      <dgm:t>
        <a:bodyPr/>
        <a:lstStyle/>
        <a:p>
          <a:endParaRPr lang="lv-LV"/>
        </a:p>
      </dgm:t>
    </dgm:pt>
    <dgm:pt modelId="{3F3F199D-D0A0-4D2B-B6A5-B7155323C089}" type="pres">
      <dgm:prSet presAssocID="{330A4812-210D-4AED-A9BB-648D6AAD37C1}" presName="node" presStyleCnt="0"/>
      <dgm:spPr/>
    </dgm:pt>
    <dgm:pt modelId="{99261492-1D1F-4779-B0E9-B2D20D92B18D}" type="pres">
      <dgm:prSet presAssocID="{330A4812-210D-4AED-A9BB-648D6AAD37C1}" presName="parentNode" presStyleLbl="node1" presStyleIdx="1" presStyleCnt="4" custScaleX="232289" custScaleY="137262" custLinFactX="72905" custLinFactNeighborX="100000" custLinFactNeighborY="-19401">
        <dgm:presLayoutVars>
          <dgm:chMax val="1"/>
          <dgm:bulletEnabled val="1"/>
        </dgm:presLayoutVars>
      </dgm:prSet>
      <dgm:spPr>
        <a:prstGeom prst="rect">
          <a:avLst/>
        </a:prstGeom>
      </dgm:spPr>
      <dgm:t>
        <a:bodyPr/>
        <a:lstStyle/>
        <a:p>
          <a:endParaRPr lang="lv-LV"/>
        </a:p>
      </dgm:t>
    </dgm:pt>
    <dgm:pt modelId="{F7ECAB33-C8DE-4BFB-8C29-5527731A4104}" type="pres">
      <dgm:prSet presAssocID="{330A4812-210D-4AED-A9BB-648D6AAD37C1}" presName="childNode" presStyleLbl="revTx" presStyleIdx="0" presStyleCnt="0">
        <dgm:presLayoutVars>
          <dgm:bulletEnabled val="1"/>
        </dgm:presLayoutVars>
      </dgm:prSet>
      <dgm:spPr>
        <a:solidFill>
          <a:srgbClr val="C00000"/>
        </a:solidFill>
      </dgm:spPr>
      <dgm:t>
        <a:bodyPr/>
        <a:lstStyle/>
        <a:p>
          <a:endParaRPr lang="lv-LV"/>
        </a:p>
      </dgm:t>
    </dgm:pt>
    <dgm:pt modelId="{7FA28F89-D3E1-406B-A60E-B0B8AB4BA905}" type="pres">
      <dgm:prSet presAssocID="{FC33C81D-97EE-42BF-9745-36309DA3E001}" presName="Name25" presStyleLbl="parChTrans1D1" presStyleIdx="1" presStyleCnt="3"/>
      <dgm:spPr>
        <a:custGeom>
          <a:avLst/>
          <a:gdLst/>
          <a:ahLst/>
          <a:cxnLst/>
          <a:rect l="0" t="0" r="0" b="0"/>
          <a:pathLst>
            <a:path>
              <a:moveTo>
                <a:pt x="0" y="32607"/>
              </a:moveTo>
              <a:lnTo>
                <a:pt x="1174234" y="32607"/>
              </a:lnTo>
            </a:path>
          </a:pathLst>
        </a:custGeom>
      </dgm:spPr>
      <dgm:t>
        <a:bodyPr/>
        <a:lstStyle/>
        <a:p>
          <a:endParaRPr lang="lv-LV"/>
        </a:p>
      </dgm:t>
    </dgm:pt>
    <dgm:pt modelId="{9CB2DB0D-C44A-4364-8CBC-8B7D93002910}" type="pres">
      <dgm:prSet presAssocID="{82413F59-8320-48C4-9408-78EFED96D8B4}" presName="node" presStyleCnt="0"/>
      <dgm:spPr/>
    </dgm:pt>
    <dgm:pt modelId="{897ACFA9-A8DF-40BB-9344-0B2B628A3EA9}" type="pres">
      <dgm:prSet presAssocID="{82413F59-8320-48C4-9408-78EFED96D8B4}" presName="parentNode" presStyleLbl="node1" presStyleIdx="2" presStyleCnt="4" custScaleX="232289" custScaleY="137262" custLinFactX="39159" custLinFactNeighborX="100000" custLinFactNeighborY="-1">
        <dgm:presLayoutVars>
          <dgm:chMax val="1"/>
          <dgm:bulletEnabled val="1"/>
        </dgm:presLayoutVars>
      </dgm:prSet>
      <dgm:spPr>
        <a:prstGeom prst="rect">
          <a:avLst/>
        </a:prstGeom>
      </dgm:spPr>
      <dgm:t>
        <a:bodyPr/>
        <a:lstStyle/>
        <a:p>
          <a:endParaRPr lang="lv-LV"/>
        </a:p>
      </dgm:t>
    </dgm:pt>
    <dgm:pt modelId="{3E938188-F619-4E42-A605-751768ACF7AF}" type="pres">
      <dgm:prSet presAssocID="{82413F59-8320-48C4-9408-78EFED96D8B4}" presName="childNode" presStyleLbl="revTx" presStyleIdx="0" presStyleCnt="0">
        <dgm:presLayoutVars>
          <dgm:bulletEnabled val="1"/>
        </dgm:presLayoutVars>
      </dgm:prSet>
      <dgm:spPr/>
    </dgm:pt>
    <dgm:pt modelId="{DBCC033A-16A2-4CDC-AE68-3F2CA50BB1A3}" type="pres">
      <dgm:prSet presAssocID="{824A9B5C-D8DE-461C-945F-743A388B9988}" presName="Name25" presStyleLbl="parChTrans1D1" presStyleIdx="2" presStyleCnt="3"/>
      <dgm:spPr>
        <a:custGeom>
          <a:avLst/>
          <a:gdLst/>
          <a:ahLst/>
          <a:cxnLst/>
          <a:rect l="0" t="0" r="0" b="0"/>
          <a:pathLst>
            <a:path>
              <a:moveTo>
                <a:pt x="0" y="32607"/>
              </a:moveTo>
              <a:lnTo>
                <a:pt x="1632102" y="32607"/>
              </a:lnTo>
            </a:path>
          </a:pathLst>
        </a:custGeom>
      </dgm:spPr>
      <dgm:t>
        <a:bodyPr/>
        <a:lstStyle/>
        <a:p>
          <a:endParaRPr lang="lv-LV"/>
        </a:p>
      </dgm:t>
    </dgm:pt>
    <dgm:pt modelId="{32B7DFEA-3DE1-4620-B0B3-7DD468174500}" type="pres">
      <dgm:prSet presAssocID="{337B8C94-A91D-49B8-85BB-319EB75CC6B9}" presName="node" presStyleCnt="0"/>
      <dgm:spPr/>
    </dgm:pt>
    <dgm:pt modelId="{125DCF3B-7C77-4E21-A36E-7C1E23C25A5E}" type="pres">
      <dgm:prSet presAssocID="{337B8C94-A91D-49B8-85BB-319EB75CC6B9}" presName="parentNode" presStyleLbl="node1" presStyleIdx="3" presStyleCnt="4" custScaleX="232289" custScaleY="137262" custLinFactX="72614" custLinFactNeighborX="100000" custLinFactNeighborY="21576">
        <dgm:presLayoutVars>
          <dgm:chMax val="1"/>
          <dgm:bulletEnabled val="1"/>
        </dgm:presLayoutVars>
      </dgm:prSet>
      <dgm:spPr>
        <a:prstGeom prst="rect">
          <a:avLst/>
        </a:prstGeom>
      </dgm:spPr>
      <dgm:t>
        <a:bodyPr/>
        <a:lstStyle/>
        <a:p>
          <a:endParaRPr lang="lv-LV"/>
        </a:p>
      </dgm:t>
    </dgm:pt>
    <dgm:pt modelId="{2FF1E5AF-C4BF-4883-9787-423BAD67CCA2}" type="pres">
      <dgm:prSet presAssocID="{337B8C94-A91D-49B8-85BB-319EB75CC6B9}" presName="childNode" presStyleLbl="revTx" presStyleIdx="0" presStyleCnt="0">
        <dgm:presLayoutVars>
          <dgm:bulletEnabled val="1"/>
        </dgm:presLayoutVars>
      </dgm:prSet>
      <dgm:spPr/>
    </dgm:pt>
  </dgm:ptLst>
  <dgm:cxnLst>
    <dgm:cxn modelId="{7625D4F9-CA82-4E5D-8BDB-F1492350AE76}" type="presOf" srcId="{BED2B404-77FD-4A30-AAE0-271EAC52FD50}" destId="{AADD21ED-8454-4A2F-9A1A-9CCD599FFA08}" srcOrd="0" destOrd="0" presId="urn:microsoft.com/office/officeart/2005/8/layout/radial2"/>
    <dgm:cxn modelId="{4BDEBAF5-8EAA-46AC-929F-C2B4FAE207AF}" type="presOf" srcId="{330A4812-210D-4AED-A9BB-648D6AAD37C1}" destId="{99261492-1D1F-4779-B0E9-B2D20D92B18D}" srcOrd="0" destOrd="0" presId="urn:microsoft.com/office/officeart/2005/8/layout/radial2"/>
    <dgm:cxn modelId="{FAE29952-EDDF-412B-8CB2-0833DF3A2475}" srcId="{6B220848-5022-437F-8FC5-F722746DE2B6}" destId="{337B8C94-A91D-49B8-85BB-319EB75CC6B9}" srcOrd="2" destOrd="0" parTransId="{824A9B5C-D8DE-461C-945F-743A388B9988}" sibTransId="{ECF78DB6-E0B6-4CE1-862E-FD8116545273}"/>
    <dgm:cxn modelId="{4AA4D7F0-66C3-4B63-881D-EBA72D073B1E}" type="presOf" srcId="{FC33C81D-97EE-42BF-9745-36309DA3E001}" destId="{7FA28F89-D3E1-406B-A60E-B0B8AB4BA905}" srcOrd="0" destOrd="0" presId="urn:microsoft.com/office/officeart/2005/8/layout/radial2"/>
    <dgm:cxn modelId="{EB3EC254-2790-4CFB-8FEA-E84CEAE5F91D}" type="presOf" srcId="{337B8C94-A91D-49B8-85BB-319EB75CC6B9}" destId="{125DCF3B-7C77-4E21-A36E-7C1E23C25A5E}" srcOrd="0" destOrd="0" presId="urn:microsoft.com/office/officeart/2005/8/layout/radial2"/>
    <dgm:cxn modelId="{F4AE803E-35F1-47C9-B22D-E8B3180D013E}" type="presOf" srcId="{6B220848-5022-437F-8FC5-F722746DE2B6}" destId="{DDE81CCC-3374-47AC-9585-4C9FDAA07550}" srcOrd="0" destOrd="0" presId="urn:microsoft.com/office/officeart/2005/8/layout/radial2"/>
    <dgm:cxn modelId="{40F02B94-E243-4728-BB87-4A9EB1694748}" srcId="{6B220848-5022-437F-8FC5-F722746DE2B6}" destId="{82413F59-8320-48C4-9408-78EFED96D8B4}" srcOrd="1" destOrd="0" parTransId="{FC33C81D-97EE-42BF-9745-36309DA3E001}" sibTransId="{0CE0E99B-147E-4DC9-ACF4-F22A0F8BBBF4}"/>
    <dgm:cxn modelId="{7EB3D332-F9E2-4595-8684-16A83B03CB3F}" type="presOf" srcId="{824A9B5C-D8DE-461C-945F-743A388B9988}" destId="{DBCC033A-16A2-4CDC-AE68-3F2CA50BB1A3}" srcOrd="0" destOrd="0" presId="urn:microsoft.com/office/officeart/2005/8/layout/radial2"/>
    <dgm:cxn modelId="{25EBA261-538B-4CAB-8F15-1EBEA1EEF110}" type="presOf" srcId="{82413F59-8320-48C4-9408-78EFED96D8B4}" destId="{897ACFA9-A8DF-40BB-9344-0B2B628A3EA9}" srcOrd="0" destOrd="0" presId="urn:microsoft.com/office/officeart/2005/8/layout/radial2"/>
    <dgm:cxn modelId="{7535D2BD-FB65-4383-B035-A772E0F3A0B8}" srcId="{6B220848-5022-437F-8FC5-F722746DE2B6}" destId="{330A4812-210D-4AED-A9BB-648D6AAD37C1}" srcOrd="0" destOrd="0" parTransId="{BED2B404-77FD-4A30-AAE0-271EAC52FD50}" sibTransId="{D1673FFF-0D23-444F-B0C1-43A16A749DF1}"/>
    <dgm:cxn modelId="{4C4F718A-4901-40A3-972F-008AE83F5209}" type="presParOf" srcId="{DDE81CCC-3374-47AC-9585-4C9FDAA07550}" destId="{487E2751-42D5-4D30-B6FA-E4531FA5B42E}" srcOrd="0" destOrd="0" presId="urn:microsoft.com/office/officeart/2005/8/layout/radial2"/>
    <dgm:cxn modelId="{76799E33-5587-4E1F-8449-26EF27D59F34}" type="presParOf" srcId="{487E2751-42D5-4D30-B6FA-E4531FA5B42E}" destId="{0367FF02-50B6-4D61-AC29-669BA18105D0}" srcOrd="0" destOrd="0" presId="urn:microsoft.com/office/officeart/2005/8/layout/radial2"/>
    <dgm:cxn modelId="{344B588C-0FD3-4877-91C1-DB5DB760277A}" type="presParOf" srcId="{0367FF02-50B6-4D61-AC29-669BA18105D0}" destId="{7D9376BA-D72A-4848-987D-D9B750397FF1}" srcOrd="0" destOrd="0" presId="urn:microsoft.com/office/officeart/2005/8/layout/radial2"/>
    <dgm:cxn modelId="{D28817B9-A09A-40EE-9C42-CD4EAABD1C7D}" type="presParOf" srcId="{0367FF02-50B6-4D61-AC29-669BA18105D0}" destId="{450BBD2A-E88D-46FE-BB53-7A0B32FE027C}" srcOrd="1" destOrd="0" presId="urn:microsoft.com/office/officeart/2005/8/layout/radial2"/>
    <dgm:cxn modelId="{630AA39D-A939-4B8A-B95B-8A211C0611FB}" type="presParOf" srcId="{487E2751-42D5-4D30-B6FA-E4531FA5B42E}" destId="{AADD21ED-8454-4A2F-9A1A-9CCD599FFA08}" srcOrd="1" destOrd="0" presId="urn:microsoft.com/office/officeart/2005/8/layout/radial2"/>
    <dgm:cxn modelId="{34CE52EB-616C-48DB-97A3-2DDAFF78851B}" type="presParOf" srcId="{487E2751-42D5-4D30-B6FA-E4531FA5B42E}" destId="{3F3F199D-D0A0-4D2B-B6A5-B7155323C089}" srcOrd="2" destOrd="0" presId="urn:microsoft.com/office/officeart/2005/8/layout/radial2"/>
    <dgm:cxn modelId="{188E0E85-5F16-4D33-8847-1AEB7299B39E}" type="presParOf" srcId="{3F3F199D-D0A0-4D2B-B6A5-B7155323C089}" destId="{99261492-1D1F-4779-B0E9-B2D20D92B18D}" srcOrd="0" destOrd="0" presId="urn:microsoft.com/office/officeart/2005/8/layout/radial2"/>
    <dgm:cxn modelId="{9D0CFE08-CCCE-4B28-9946-48F318A5D0B6}" type="presParOf" srcId="{3F3F199D-D0A0-4D2B-B6A5-B7155323C089}" destId="{F7ECAB33-C8DE-4BFB-8C29-5527731A4104}" srcOrd="1" destOrd="0" presId="urn:microsoft.com/office/officeart/2005/8/layout/radial2"/>
    <dgm:cxn modelId="{A23AFAA4-CBCB-4EE4-AC4A-C835C1C3B2F9}" type="presParOf" srcId="{487E2751-42D5-4D30-B6FA-E4531FA5B42E}" destId="{7FA28F89-D3E1-406B-A60E-B0B8AB4BA905}" srcOrd="3" destOrd="0" presId="urn:microsoft.com/office/officeart/2005/8/layout/radial2"/>
    <dgm:cxn modelId="{6BB9B60B-2FC1-41B3-A604-D4688886899F}" type="presParOf" srcId="{487E2751-42D5-4D30-B6FA-E4531FA5B42E}" destId="{9CB2DB0D-C44A-4364-8CBC-8B7D93002910}" srcOrd="4" destOrd="0" presId="urn:microsoft.com/office/officeart/2005/8/layout/radial2"/>
    <dgm:cxn modelId="{BEF03B2A-EB62-4565-B10C-4D99B90A0357}" type="presParOf" srcId="{9CB2DB0D-C44A-4364-8CBC-8B7D93002910}" destId="{897ACFA9-A8DF-40BB-9344-0B2B628A3EA9}" srcOrd="0" destOrd="0" presId="urn:microsoft.com/office/officeart/2005/8/layout/radial2"/>
    <dgm:cxn modelId="{2CB1362A-2E3C-4670-A666-1D6F97CA85B4}" type="presParOf" srcId="{9CB2DB0D-C44A-4364-8CBC-8B7D93002910}" destId="{3E938188-F619-4E42-A605-751768ACF7AF}" srcOrd="1" destOrd="0" presId="urn:microsoft.com/office/officeart/2005/8/layout/radial2"/>
    <dgm:cxn modelId="{75C82EB2-BF5A-46DD-9E4B-1D6E37509CCD}" type="presParOf" srcId="{487E2751-42D5-4D30-B6FA-E4531FA5B42E}" destId="{DBCC033A-16A2-4CDC-AE68-3F2CA50BB1A3}" srcOrd="5" destOrd="0" presId="urn:microsoft.com/office/officeart/2005/8/layout/radial2"/>
    <dgm:cxn modelId="{2BAD5186-F09D-4984-8D8D-34232F1F161E}" type="presParOf" srcId="{487E2751-42D5-4D30-B6FA-E4531FA5B42E}" destId="{32B7DFEA-3DE1-4620-B0B3-7DD468174500}" srcOrd="6" destOrd="0" presId="urn:microsoft.com/office/officeart/2005/8/layout/radial2"/>
    <dgm:cxn modelId="{318DEC50-F353-4619-8780-DA9445B850D9}" type="presParOf" srcId="{32B7DFEA-3DE1-4620-B0B3-7DD468174500}" destId="{125DCF3B-7C77-4E21-A36E-7C1E23C25A5E}" srcOrd="0" destOrd="0" presId="urn:microsoft.com/office/officeart/2005/8/layout/radial2"/>
    <dgm:cxn modelId="{4DCBC9F2-9DF5-4618-9DCD-5762E1C2AE83}" type="presParOf" srcId="{32B7DFEA-3DE1-4620-B0B3-7DD468174500}" destId="{2FF1E5AF-C4BF-4883-9787-423BAD67CCA2}" srcOrd="1" destOrd="0" presId="urn:microsoft.com/office/officeart/2005/8/layout/radial2"/>
  </dgm:cxnLst>
  <dgm:bg/>
  <dgm:whole>
    <a:ln>
      <a:noFill/>
    </a:ln>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A09EA3-A7AE-44EA-A33F-3085D546000B}">
      <dsp:nvSpPr>
        <dsp:cNvPr id="0" name=""/>
        <dsp:cNvSpPr/>
      </dsp:nvSpPr>
      <dsp:spPr>
        <a:xfrm>
          <a:off x="2024707" y="1123340"/>
          <a:ext cx="244240" cy="1684544"/>
        </a:xfrm>
        <a:custGeom>
          <a:avLst/>
          <a:gdLst/>
          <a:ahLst/>
          <a:cxnLst/>
          <a:rect l="0" t="0" r="0" b="0"/>
          <a:pathLst>
            <a:path>
              <a:moveTo>
                <a:pt x="0" y="0"/>
              </a:moveTo>
              <a:lnTo>
                <a:pt x="0" y="1682092"/>
              </a:lnTo>
              <a:lnTo>
                <a:pt x="243885" y="1682092"/>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7FDEEA-D768-45FA-BC10-0E50D9CA606F}">
      <dsp:nvSpPr>
        <dsp:cNvPr id="0" name=""/>
        <dsp:cNvSpPr/>
      </dsp:nvSpPr>
      <dsp:spPr>
        <a:xfrm>
          <a:off x="2024707" y="1123340"/>
          <a:ext cx="244240" cy="1048359"/>
        </a:xfrm>
        <a:custGeom>
          <a:avLst/>
          <a:gdLst/>
          <a:ahLst/>
          <a:cxnLst/>
          <a:rect l="0" t="0" r="0" b="0"/>
          <a:pathLst>
            <a:path>
              <a:moveTo>
                <a:pt x="0" y="0"/>
              </a:moveTo>
              <a:lnTo>
                <a:pt x="0" y="1046834"/>
              </a:lnTo>
              <a:lnTo>
                <a:pt x="243885" y="1046834"/>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B584D7-01AD-4688-A921-687609632E6E}">
      <dsp:nvSpPr>
        <dsp:cNvPr id="0" name=""/>
        <dsp:cNvSpPr/>
      </dsp:nvSpPr>
      <dsp:spPr>
        <a:xfrm>
          <a:off x="2024707" y="1123340"/>
          <a:ext cx="244240" cy="412175"/>
        </a:xfrm>
        <a:custGeom>
          <a:avLst/>
          <a:gdLst/>
          <a:ahLst/>
          <a:cxnLst/>
          <a:rect l="0" t="0" r="0" b="0"/>
          <a:pathLst>
            <a:path>
              <a:moveTo>
                <a:pt x="0" y="0"/>
              </a:moveTo>
              <a:lnTo>
                <a:pt x="0" y="411575"/>
              </a:lnTo>
              <a:lnTo>
                <a:pt x="243885" y="411575"/>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19D9C1-54DC-4CFE-93BD-BE3A5E5EA24D}">
      <dsp:nvSpPr>
        <dsp:cNvPr id="0" name=""/>
        <dsp:cNvSpPr/>
      </dsp:nvSpPr>
      <dsp:spPr>
        <a:xfrm>
          <a:off x="1745615" y="487155"/>
          <a:ext cx="930401" cy="188167"/>
        </a:xfrm>
        <a:custGeom>
          <a:avLst/>
          <a:gdLst/>
          <a:ahLst/>
          <a:cxnLst/>
          <a:rect l="0" t="0" r="0" b="0"/>
          <a:pathLst>
            <a:path>
              <a:moveTo>
                <a:pt x="0" y="0"/>
              </a:moveTo>
              <a:lnTo>
                <a:pt x="0" y="93946"/>
              </a:lnTo>
              <a:lnTo>
                <a:pt x="929047" y="93946"/>
              </a:lnTo>
              <a:lnTo>
                <a:pt x="929047" y="18789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19821E-6EC6-4B8A-A9A0-BCDE70F2800C}">
      <dsp:nvSpPr>
        <dsp:cNvPr id="0" name=""/>
        <dsp:cNvSpPr/>
      </dsp:nvSpPr>
      <dsp:spPr>
        <a:xfrm>
          <a:off x="168340" y="1123340"/>
          <a:ext cx="250895" cy="2956912"/>
        </a:xfrm>
        <a:custGeom>
          <a:avLst/>
          <a:gdLst/>
          <a:ahLst/>
          <a:cxnLst/>
          <a:rect l="0" t="0" r="0" b="0"/>
          <a:pathLst>
            <a:path>
              <a:moveTo>
                <a:pt x="0" y="0"/>
              </a:moveTo>
              <a:lnTo>
                <a:pt x="0" y="2952609"/>
              </a:lnTo>
              <a:lnTo>
                <a:pt x="250530" y="295260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1FDDEC-3BF6-462E-AF10-6844DBECC1C3}">
      <dsp:nvSpPr>
        <dsp:cNvPr id="0" name=""/>
        <dsp:cNvSpPr/>
      </dsp:nvSpPr>
      <dsp:spPr>
        <a:xfrm>
          <a:off x="168340" y="1123340"/>
          <a:ext cx="250895" cy="2320728"/>
        </a:xfrm>
        <a:custGeom>
          <a:avLst/>
          <a:gdLst/>
          <a:ahLst/>
          <a:cxnLst/>
          <a:rect l="0" t="0" r="0" b="0"/>
          <a:pathLst>
            <a:path>
              <a:moveTo>
                <a:pt x="0" y="0"/>
              </a:moveTo>
              <a:lnTo>
                <a:pt x="0" y="2317351"/>
              </a:lnTo>
              <a:lnTo>
                <a:pt x="250530" y="2317351"/>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BC2934-BBB7-4421-B556-EDFF7746D1F0}">
      <dsp:nvSpPr>
        <dsp:cNvPr id="0" name=""/>
        <dsp:cNvSpPr/>
      </dsp:nvSpPr>
      <dsp:spPr>
        <a:xfrm>
          <a:off x="168340" y="1123340"/>
          <a:ext cx="250895" cy="1684544"/>
        </a:xfrm>
        <a:custGeom>
          <a:avLst/>
          <a:gdLst/>
          <a:ahLst/>
          <a:cxnLst/>
          <a:rect l="0" t="0" r="0" b="0"/>
          <a:pathLst>
            <a:path>
              <a:moveTo>
                <a:pt x="0" y="0"/>
              </a:moveTo>
              <a:lnTo>
                <a:pt x="0" y="1682092"/>
              </a:lnTo>
              <a:lnTo>
                <a:pt x="250530" y="1682092"/>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BA421E-CE28-412F-B298-F11E4BA40D7D}">
      <dsp:nvSpPr>
        <dsp:cNvPr id="0" name=""/>
        <dsp:cNvSpPr/>
      </dsp:nvSpPr>
      <dsp:spPr>
        <a:xfrm>
          <a:off x="168340" y="1123340"/>
          <a:ext cx="250895" cy="1048359"/>
        </a:xfrm>
        <a:custGeom>
          <a:avLst/>
          <a:gdLst/>
          <a:ahLst/>
          <a:cxnLst/>
          <a:rect l="0" t="0" r="0" b="0"/>
          <a:pathLst>
            <a:path>
              <a:moveTo>
                <a:pt x="0" y="0"/>
              </a:moveTo>
              <a:lnTo>
                <a:pt x="0" y="1046834"/>
              </a:lnTo>
              <a:lnTo>
                <a:pt x="250530" y="1046834"/>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E27585-29E9-4D55-A5EF-ED69998EE0CD}">
      <dsp:nvSpPr>
        <dsp:cNvPr id="0" name=""/>
        <dsp:cNvSpPr/>
      </dsp:nvSpPr>
      <dsp:spPr>
        <a:xfrm>
          <a:off x="168340" y="1123340"/>
          <a:ext cx="250895" cy="412175"/>
        </a:xfrm>
        <a:custGeom>
          <a:avLst/>
          <a:gdLst/>
          <a:ahLst/>
          <a:cxnLst/>
          <a:rect l="0" t="0" r="0" b="0"/>
          <a:pathLst>
            <a:path>
              <a:moveTo>
                <a:pt x="0" y="0"/>
              </a:moveTo>
              <a:lnTo>
                <a:pt x="0" y="411575"/>
              </a:lnTo>
              <a:lnTo>
                <a:pt x="250530" y="411575"/>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5EEA21D-2A3B-4FC9-977E-2379348178EF}">
      <dsp:nvSpPr>
        <dsp:cNvPr id="0" name=""/>
        <dsp:cNvSpPr/>
      </dsp:nvSpPr>
      <dsp:spPr>
        <a:xfrm>
          <a:off x="837394" y="487155"/>
          <a:ext cx="908220" cy="188167"/>
        </a:xfrm>
        <a:custGeom>
          <a:avLst/>
          <a:gdLst/>
          <a:ahLst/>
          <a:cxnLst/>
          <a:rect l="0" t="0" r="0" b="0"/>
          <a:pathLst>
            <a:path>
              <a:moveTo>
                <a:pt x="906898" y="0"/>
              </a:moveTo>
              <a:lnTo>
                <a:pt x="906898" y="93946"/>
              </a:lnTo>
              <a:lnTo>
                <a:pt x="0" y="93946"/>
              </a:lnTo>
              <a:lnTo>
                <a:pt x="0" y="18789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B8B20A-009C-4CD6-866B-E64E8C0DA03A}">
      <dsp:nvSpPr>
        <dsp:cNvPr id="0" name=""/>
        <dsp:cNvSpPr/>
      </dsp:nvSpPr>
      <dsp:spPr>
        <a:xfrm>
          <a:off x="1" y="39138"/>
          <a:ext cx="3491226" cy="4480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v-LV" sz="1600" b="1" kern="1200">
              <a:solidFill>
                <a:sysClr val="window" lastClr="FFFFFF"/>
              </a:solidFill>
              <a:latin typeface="Calibri"/>
              <a:ea typeface="+mn-ea"/>
              <a:cs typeface="+mn-cs"/>
            </a:rPr>
            <a:t>IZM</a:t>
          </a:r>
        </a:p>
      </dsp:txBody>
      <dsp:txXfrm>
        <a:off x="1" y="39138"/>
        <a:ext cx="3491226" cy="448017"/>
      </dsp:txXfrm>
    </dsp:sp>
    <dsp:sp modelId="{BB564B59-CE76-4510-A86B-5BECC9EDC7EF}">
      <dsp:nvSpPr>
        <dsp:cNvPr id="0" name=""/>
        <dsp:cNvSpPr/>
      </dsp:nvSpPr>
      <dsp:spPr>
        <a:xfrm>
          <a:off x="1076" y="675323"/>
          <a:ext cx="1672635" cy="448017"/>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5 plānošanas reģioni</a:t>
          </a:r>
        </a:p>
      </dsp:txBody>
      <dsp:txXfrm>
        <a:off x="1076" y="675323"/>
        <a:ext cx="1672635" cy="448017"/>
      </dsp:txXfrm>
    </dsp:sp>
    <dsp:sp modelId="{D8078D43-5582-499D-BE83-64926F12FF11}">
      <dsp:nvSpPr>
        <dsp:cNvPr id="0" name=""/>
        <dsp:cNvSpPr/>
      </dsp:nvSpPr>
      <dsp:spPr>
        <a:xfrm>
          <a:off x="419235" y="1311507"/>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Izglītības iestādes</a:t>
          </a:r>
        </a:p>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(PIKC, vispārējās un augstākās)</a:t>
          </a:r>
        </a:p>
      </dsp:txBody>
      <dsp:txXfrm>
        <a:off x="419235" y="1311507"/>
        <a:ext cx="896034" cy="448017"/>
      </dsp:txXfrm>
    </dsp:sp>
    <dsp:sp modelId="{A510A119-7FAC-46AD-A867-0DFC8F62A5B4}">
      <dsp:nvSpPr>
        <dsp:cNvPr id="0" name=""/>
        <dsp:cNvSpPr/>
      </dsp:nvSpPr>
      <dsp:spPr>
        <a:xfrm>
          <a:off x="419235" y="1947691"/>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Privātie pakalpojumu sniedzēji</a:t>
          </a:r>
        </a:p>
      </dsp:txBody>
      <dsp:txXfrm>
        <a:off x="419235" y="1947691"/>
        <a:ext cx="896034" cy="448017"/>
      </dsp:txXfrm>
    </dsp:sp>
    <dsp:sp modelId="{FC94EE5A-7BA8-404A-A28B-B02C214F4F68}">
      <dsp:nvSpPr>
        <dsp:cNvPr id="0" name=""/>
        <dsp:cNvSpPr/>
      </dsp:nvSpPr>
      <dsp:spPr>
        <a:xfrm>
          <a:off x="419235" y="2583875"/>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Nozaru asociācijas</a:t>
          </a:r>
        </a:p>
      </dsp:txBody>
      <dsp:txXfrm>
        <a:off x="419235" y="2583875"/>
        <a:ext cx="896034" cy="448017"/>
      </dsp:txXfrm>
    </dsp:sp>
    <dsp:sp modelId="{4B821748-CE21-4059-8A8D-75BF32A8B538}">
      <dsp:nvSpPr>
        <dsp:cNvPr id="0" name=""/>
        <dsp:cNvSpPr/>
      </dsp:nvSpPr>
      <dsp:spPr>
        <a:xfrm>
          <a:off x="419235" y="3220059"/>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Pašvaldības (pieaugušo mācību centri)</a:t>
          </a:r>
        </a:p>
      </dsp:txBody>
      <dsp:txXfrm>
        <a:off x="419235" y="3220059"/>
        <a:ext cx="896034" cy="448017"/>
      </dsp:txXfrm>
    </dsp:sp>
    <dsp:sp modelId="{25EB450E-070F-4BD9-BEC6-0E6BFEA7794E}">
      <dsp:nvSpPr>
        <dsp:cNvPr id="0" name=""/>
        <dsp:cNvSpPr/>
      </dsp:nvSpPr>
      <dsp:spPr>
        <a:xfrm>
          <a:off x="419235" y="3856244"/>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Pats indivīds</a:t>
          </a:r>
        </a:p>
      </dsp:txBody>
      <dsp:txXfrm>
        <a:off x="419235" y="3856244"/>
        <a:ext cx="896034" cy="448017"/>
      </dsp:txXfrm>
    </dsp:sp>
    <dsp:sp modelId="{521936A0-0F82-400B-B934-F0F2D1541F1D}">
      <dsp:nvSpPr>
        <dsp:cNvPr id="0" name=""/>
        <dsp:cNvSpPr/>
      </dsp:nvSpPr>
      <dsp:spPr>
        <a:xfrm>
          <a:off x="1861879" y="675323"/>
          <a:ext cx="1628273" cy="448017"/>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Nozares ministrijas (LM un EM)</a:t>
          </a:r>
        </a:p>
      </dsp:txBody>
      <dsp:txXfrm>
        <a:off x="1861879" y="675323"/>
        <a:ext cx="1628273" cy="448017"/>
      </dsp:txXfrm>
    </dsp:sp>
    <dsp:sp modelId="{BF486AA0-3EEB-44C1-80C6-BE9E2EFBAB56}">
      <dsp:nvSpPr>
        <dsp:cNvPr id="0" name=""/>
        <dsp:cNvSpPr/>
      </dsp:nvSpPr>
      <dsp:spPr>
        <a:xfrm>
          <a:off x="2268948" y="1311507"/>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NVA</a:t>
          </a:r>
        </a:p>
      </dsp:txBody>
      <dsp:txXfrm>
        <a:off x="2268948" y="1311507"/>
        <a:ext cx="896034" cy="448017"/>
      </dsp:txXfrm>
    </dsp:sp>
    <dsp:sp modelId="{AD5EA691-BF3E-4C5E-A351-2ED5C75E27BF}">
      <dsp:nvSpPr>
        <dsp:cNvPr id="0" name=""/>
        <dsp:cNvSpPr/>
      </dsp:nvSpPr>
      <dsp:spPr>
        <a:xfrm>
          <a:off x="2268948" y="1947691"/>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Nozaru asociācijas</a:t>
          </a:r>
        </a:p>
      </dsp:txBody>
      <dsp:txXfrm>
        <a:off x="2268948" y="1947691"/>
        <a:ext cx="896034" cy="448017"/>
      </dsp:txXfrm>
    </dsp:sp>
    <dsp:sp modelId="{BC7A513C-BFD2-4E97-A6D9-35D4A913770F}">
      <dsp:nvSpPr>
        <dsp:cNvPr id="0" name=""/>
        <dsp:cNvSpPr/>
      </dsp:nvSpPr>
      <dsp:spPr>
        <a:xfrm>
          <a:off x="2268948" y="2583875"/>
          <a:ext cx="896034" cy="448017"/>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Darba devēji</a:t>
          </a:r>
        </a:p>
      </dsp:txBody>
      <dsp:txXfrm>
        <a:off x="2268948" y="2583875"/>
        <a:ext cx="896034" cy="4480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CC033A-16A2-4CDC-AE68-3F2CA50BB1A3}">
      <dsp:nvSpPr>
        <dsp:cNvPr id="0" name=""/>
        <dsp:cNvSpPr/>
      </dsp:nvSpPr>
      <dsp:spPr>
        <a:xfrm rot="1594477">
          <a:off x="812222" y="2826461"/>
          <a:ext cx="1632218" cy="65214"/>
        </a:xfrm>
        <a:custGeom>
          <a:avLst/>
          <a:gdLst/>
          <a:ahLst/>
          <a:cxnLst/>
          <a:rect l="0" t="0" r="0" b="0"/>
          <a:pathLst>
            <a:path>
              <a:moveTo>
                <a:pt x="0" y="32607"/>
              </a:moveTo>
              <a:lnTo>
                <a:pt x="1632102" y="32607"/>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A28F89-D3E1-406B-A60E-B0B8AB4BA905}">
      <dsp:nvSpPr>
        <dsp:cNvPr id="0" name=""/>
        <dsp:cNvSpPr/>
      </dsp:nvSpPr>
      <dsp:spPr>
        <a:xfrm rot="21599988">
          <a:off x="898442" y="2162900"/>
          <a:ext cx="1174350" cy="65214"/>
        </a:xfrm>
        <a:custGeom>
          <a:avLst/>
          <a:gdLst/>
          <a:ahLst/>
          <a:cxnLst/>
          <a:rect l="0" t="0" r="0" b="0"/>
          <a:pathLst>
            <a:path>
              <a:moveTo>
                <a:pt x="0" y="32607"/>
              </a:moveTo>
              <a:lnTo>
                <a:pt x="1174234" y="32607"/>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AADD21ED-8454-4A2F-9A1A-9CCD599FFA08}">
      <dsp:nvSpPr>
        <dsp:cNvPr id="0" name=""/>
        <dsp:cNvSpPr/>
      </dsp:nvSpPr>
      <dsp:spPr>
        <a:xfrm rot="20027597">
          <a:off x="814995" y="1510724"/>
          <a:ext cx="1623581" cy="65214"/>
        </a:xfrm>
        <a:custGeom>
          <a:avLst/>
          <a:gdLst/>
          <a:ahLst/>
          <a:cxnLst/>
          <a:rect l="0" t="0" r="0" b="0"/>
          <a:pathLst>
            <a:path>
              <a:moveTo>
                <a:pt x="0" y="32607"/>
              </a:moveTo>
              <a:lnTo>
                <a:pt x="1623465" y="32607"/>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450BBD2A-E88D-46FE-BB53-7A0B32FE027C}">
      <dsp:nvSpPr>
        <dsp:cNvPr id="0" name=""/>
        <dsp:cNvSpPr/>
      </dsp:nvSpPr>
      <dsp:spPr>
        <a:xfrm>
          <a:off x="185106" y="1641862"/>
          <a:ext cx="1126358" cy="1126358"/>
        </a:xfrm>
        <a:prstGeom prst="rect">
          <a:avLst/>
        </a:prstGeom>
        <a:blipFill>
          <a:blip xmlns:r="http://schemas.openxmlformats.org/officeDocument/2006/relationships" r:embed="rId1" cstate="print">
            <a:extLst/>
          </a:blip>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261492-1D1F-4779-B0E9-B2D20D92B18D}">
      <dsp:nvSpPr>
        <dsp:cNvPr id="0" name=""/>
        <dsp:cNvSpPr/>
      </dsp:nvSpPr>
      <dsp:spPr>
        <a:xfrm>
          <a:off x="2079943" y="33544"/>
          <a:ext cx="2375996" cy="1404001"/>
        </a:xfrm>
        <a:prstGeom prst="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 lastClr="FFFFFF"/>
              </a:solidFill>
              <a:latin typeface="Calibri"/>
              <a:ea typeface="+mn-ea"/>
              <a:cs typeface="+mn-cs"/>
            </a:rPr>
            <a:t>Karjeras konsultanta pakalpojumi</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PIKC</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vidusskola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pašvaldības mācību centrs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augstskola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privātais pakalpojuma sniedzējs</a:t>
          </a:r>
        </a:p>
      </dsp:txBody>
      <dsp:txXfrm>
        <a:off x="2079943" y="33544"/>
        <a:ext cx="2375996" cy="1404001"/>
      </dsp:txXfrm>
    </dsp:sp>
    <dsp:sp modelId="{897ACFA9-A8DF-40BB-9344-0B2B628A3EA9}">
      <dsp:nvSpPr>
        <dsp:cNvPr id="0" name=""/>
        <dsp:cNvSpPr/>
      </dsp:nvSpPr>
      <dsp:spPr>
        <a:xfrm>
          <a:off x="2072792" y="1493501"/>
          <a:ext cx="2375996" cy="1404001"/>
        </a:xfrm>
        <a:prstGeom prst="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 lastClr="FFFFFF"/>
              </a:solidFill>
              <a:latin typeface="Calibri"/>
              <a:ea typeface="+mn-ea"/>
              <a:cs typeface="+mn-cs"/>
            </a:rPr>
            <a:t>Darba </a:t>
          </a:r>
          <a:r>
            <a:rPr lang="lv-LV" sz="1050" b="1" kern="1200">
              <a:solidFill>
                <a:sysClr val="window" lastClr="FFFFFF"/>
              </a:solidFill>
              <a:latin typeface="Calibri"/>
              <a:ea typeface="+mn-ea"/>
              <a:cs typeface="+mn-cs"/>
            </a:rPr>
            <a:t>devēja atbalsts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plānošanas reģiona administrācija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nozares asociācija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izglītības iestāde (PIKC, augstskola u.c.)</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pašvaldības mācību centrs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privātā iestāde</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nozares ministrija</a:t>
          </a:r>
        </a:p>
      </dsp:txBody>
      <dsp:txXfrm>
        <a:off x="2072792" y="1493501"/>
        <a:ext cx="2375996" cy="1404001"/>
      </dsp:txXfrm>
    </dsp:sp>
    <dsp:sp modelId="{125DCF3B-7C77-4E21-A36E-7C1E23C25A5E}">
      <dsp:nvSpPr>
        <dsp:cNvPr id="0" name=""/>
        <dsp:cNvSpPr/>
      </dsp:nvSpPr>
      <dsp:spPr>
        <a:xfrm>
          <a:off x="2076967" y="2975727"/>
          <a:ext cx="2375996" cy="1404001"/>
        </a:xfrm>
        <a:prstGeom prst="rect">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 lastClr="FFFFFF"/>
              </a:solidFill>
              <a:latin typeface="Calibri"/>
              <a:ea typeface="+mn-ea"/>
              <a:cs typeface="+mn-cs"/>
            </a:rPr>
            <a:t>Indivīda paša izvēle</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NVA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plānošanas reģiona administrācija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nozares asociācija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izglītības iestāde (PIKC, augstskola u.c.)</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pašvaldības mācību centrs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privātā iestāde</a:t>
          </a:r>
        </a:p>
      </dsp:txBody>
      <dsp:txXfrm>
        <a:off x="2076967" y="2975727"/>
        <a:ext cx="2375996" cy="14040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F973-C589-4D2A-9E36-6105D91D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67073</Words>
  <Characters>38233</Characters>
  <Application>Microsoft Office Word</Application>
  <DocSecurity>0</DocSecurity>
  <Lines>318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105096</CharactersWithSpaces>
  <SharedDoc>false</SharedDoc>
  <HLinks>
    <vt:vector size="54" baseType="variant">
      <vt:variant>
        <vt:i4>7602239</vt:i4>
      </vt:variant>
      <vt:variant>
        <vt:i4>24</vt:i4>
      </vt:variant>
      <vt:variant>
        <vt:i4>0</vt:i4>
      </vt:variant>
      <vt:variant>
        <vt:i4>5</vt:i4>
      </vt:variant>
      <vt:variant>
        <vt:lpwstr>http://www.draugiem.lv/</vt:lpwstr>
      </vt:variant>
      <vt:variant>
        <vt:lpwstr/>
      </vt:variant>
      <vt:variant>
        <vt:i4>655439</vt:i4>
      </vt:variant>
      <vt:variant>
        <vt:i4>21</vt:i4>
      </vt:variant>
      <vt:variant>
        <vt:i4>0</vt:i4>
      </vt:variant>
      <vt:variant>
        <vt:i4>5</vt:i4>
      </vt:variant>
      <vt:variant>
        <vt:lpwstr>http://nqf-latvia.lv/</vt:lpwstr>
      </vt:variant>
      <vt:variant>
        <vt:lpwstr/>
      </vt:variant>
      <vt:variant>
        <vt:i4>8323178</vt:i4>
      </vt:variant>
      <vt:variant>
        <vt:i4>18</vt:i4>
      </vt:variant>
      <vt:variant>
        <vt:i4>0</vt:i4>
      </vt:variant>
      <vt:variant>
        <vt:i4>5</vt:i4>
      </vt:variant>
      <vt:variant>
        <vt:lpwstr>http://nki-latvija.lv/</vt:lpwstr>
      </vt:variant>
      <vt:variant>
        <vt:lpwstr/>
      </vt:variant>
      <vt:variant>
        <vt:i4>8323123</vt:i4>
      </vt:variant>
      <vt:variant>
        <vt:i4>15</vt:i4>
      </vt:variant>
      <vt:variant>
        <vt:i4>0</vt:i4>
      </vt:variant>
      <vt:variant>
        <vt:i4>5</vt:i4>
      </vt:variant>
      <vt:variant>
        <vt:lpwstr>http://www.nki-latvija.lv/</vt:lpwstr>
      </vt:variant>
      <vt:variant>
        <vt:lpwstr/>
      </vt:variant>
      <vt:variant>
        <vt:i4>2228259</vt:i4>
      </vt:variant>
      <vt:variant>
        <vt:i4>9</vt:i4>
      </vt:variant>
      <vt:variant>
        <vt:i4>0</vt:i4>
      </vt:variant>
      <vt:variant>
        <vt:i4>5</vt:i4>
      </vt:variant>
      <vt:variant>
        <vt:lpwstr>http://cilvektiesibas.org.lv/lv/publications/petijums-par-patveruma-mekletaju-beglu-un-personu</vt:lpwstr>
      </vt:variant>
      <vt:variant>
        <vt:lpwstr/>
      </vt:variant>
      <vt:variant>
        <vt:i4>524354</vt:i4>
      </vt:variant>
      <vt:variant>
        <vt:i4>6</vt:i4>
      </vt:variant>
      <vt:variant>
        <vt:i4>0</vt:i4>
      </vt:variant>
      <vt:variant>
        <vt:i4>5</vt:i4>
      </vt:variant>
      <vt:variant>
        <vt:lpwstr>http://izm.izm.gov.lv/normativie-akti/informativie-zinojumi.html</vt:lpwstr>
      </vt:variant>
      <vt:variant>
        <vt:lpwstr/>
      </vt:variant>
      <vt:variant>
        <vt:i4>1376330</vt:i4>
      </vt:variant>
      <vt:variant>
        <vt:i4>3</vt:i4>
      </vt:variant>
      <vt:variant>
        <vt:i4>0</vt:i4>
      </vt:variant>
      <vt:variant>
        <vt:i4>5</vt:i4>
      </vt:variant>
      <vt:variant>
        <vt:lpwstr>http://www.em.gov.lv/images/modules/items/LV_NRP_lat.pdf</vt:lpwstr>
      </vt:variant>
      <vt:variant>
        <vt:lpwstr/>
      </vt:variant>
      <vt:variant>
        <vt:i4>6291562</vt:i4>
      </vt:variant>
      <vt:variant>
        <vt:i4>3</vt:i4>
      </vt:variant>
      <vt:variant>
        <vt:i4>0</vt:i4>
      </vt:variant>
      <vt:variant>
        <vt:i4>5</vt:i4>
      </vt:variant>
      <vt:variant>
        <vt:lpwstr>http://izm.izm.gov.lv/nozares-politika/izglitiba/muzizglitiba/7251.html</vt:lpwstr>
      </vt:variant>
      <vt:variant>
        <vt:lpwstr/>
      </vt:variant>
      <vt:variant>
        <vt:i4>6881387</vt:i4>
      </vt:variant>
      <vt:variant>
        <vt:i4>0</vt:i4>
      </vt:variant>
      <vt:variant>
        <vt:i4>0</vt:i4>
      </vt:variant>
      <vt:variant>
        <vt:i4>5</vt:i4>
      </vt:variant>
      <vt:variant>
        <vt:lpwstr>http://izm.izm.gov.lv/nozares-politika/izglitiba/muzizglitiba/7248.html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2014.–2020.gada Eiropas struktūrfondu plānošanas periodam piemērojamo ex-ante nosacījumu izpildes pašvērtējums</dc:title>
  <dc:creator>rkalvans</dc:creator>
  <cp:lastModifiedBy>dpapans</cp:lastModifiedBy>
  <cp:revision>2</cp:revision>
  <dcterms:created xsi:type="dcterms:W3CDTF">2013-12-13T10:49:00Z</dcterms:created>
  <dcterms:modified xsi:type="dcterms:W3CDTF">2013-12-13T10:49:00Z</dcterms:modified>
</cp:coreProperties>
</file>