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B11EDF" w:rsidRDefault="00B11EDF" w:rsidP="00E60AEA">
      <w:pPr>
        <w:spacing w:after="0" w:line="240" w:lineRule="auto"/>
        <w:jc w:val="center"/>
        <w:rPr>
          <w:rFonts w:ascii="Times New Roman" w:hAnsi="Times New Roman" w:cs="Times New Roman"/>
          <w:b/>
          <w:sz w:val="28"/>
          <w:szCs w:val="28"/>
        </w:rPr>
      </w:pPr>
    </w:p>
    <w:p w:rsidR="00E60AEA" w:rsidRPr="00D8362F" w:rsidRDefault="00E60AEA" w:rsidP="00E60AEA">
      <w:pPr>
        <w:spacing w:after="0" w:line="240" w:lineRule="auto"/>
        <w:jc w:val="center"/>
        <w:rPr>
          <w:rFonts w:ascii="Times New Roman" w:hAnsi="Times New Roman" w:cs="Times New Roman"/>
          <w:b/>
          <w:sz w:val="26"/>
          <w:szCs w:val="26"/>
        </w:rPr>
      </w:pPr>
      <w:r w:rsidRPr="00D8362F">
        <w:rPr>
          <w:rFonts w:ascii="Times New Roman" w:hAnsi="Times New Roman" w:cs="Times New Roman"/>
          <w:b/>
          <w:sz w:val="26"/>
          <w:szCs w:val="26"/>
        </w:rPr>
        <w:t xml:space="preserve">Informatīvais ziņojums </w:t>
      </w:r>
    </w:p>
    <w:p w:rsidR="00A6158E" w:rsidRPr="00D8362F" w:rsidRDefault="0034753A" w:rsidP="00E60AE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w:t>
      </w:r>
      <w:r w:rsidR="00E60AEA" w:rsidRPr="00D8362F">
        <w:rPr>
          <w:rFonts w:ascii="Times New Roman" w:hAnsi="Times New Roman" w:cs="Times New Roman"/>
          <w:b/>
          <w:sz w:val="26"/>
          <w:szCs w:val="26"/>
        </w:rPr>
        <w:t>ar valsts budžeta finansējuma normatīviem augstākās izglītības iestādēs un priekšlikumi</w:t>
      </w:r>
      <w:r w:rsidR="00B11EDF" w:rsidRPr="00D8362F">
        <w:rPr>
          <w:rFonts w:ascii="Times New Roman" w:hAnsi="Times New Roman" w:cs="Times New Roman"/>
          <w:b/>
          <w:sz w:val="26"/>
          <w:szCs w:val="26"/>
        </w:rPr>
        <w:t>em</w:t>
      </w:r>
      <w:r w:rsidR="00E60AEA" w:rsidRPr="00D8362F">
        <w:rPr>
          <w:rFonts w:ascii="Times New Roman" w:hAnsi="Times New Roman" w:cs="Times New Roman"/>
          <w:b/>
          <w:sz w:val="26"/>
          <w:szCs w:val="26"/>
        </w:rPr>
        <w:t xml:space="preserve"> par nepieciešamību nodrošināt vienādu koeficientu piemērošanu augstākās izglītības iestādēm</w:t>
      </w:r>
      <w:r>
        <w:rPr>
          <w:rFonts w:ascii="Times New Roman" w:hAnsi="Times New Roman" w:cs="Times New Roman"/>
          <w:b/>
          <w:sz w:val="26"/>
          <w:szCs w:val="26"/>
        </w:rPr>
        <w:t>”</w:t>
      </w:r>
    </w:p>
    <w:p w:rsidR="00E60AEA" w:rsidRPr="00D8362F" w:rsidRDefault="00E60AEA">
      <w:pPr>
        <w:spacing w:after="0" w:line="240" w:lineRule="auto"/>
        <w:jc w:val="center"/>
        <w:rPr>
          <w:rFonts w:ascii="Times New Roman" w:hAnsi="Times New Roman" w:cs="Times New Roman"/>
          <w:b/>
          <w:sz w:val="26"/>
          <w:szCs w:val="26"/>
        </w:rPr>
      </w:pPr>
    </w:p>
    <w:p w:rsidR="00E60AEA" w:rsidRPr="00D8362F" w:rsidRDefault="00E60AEA">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Default="0011659E">
      <w:pPr>
        <w:spacing w:after="0" w:line="240" w:lineRule="auto"/>
        <w:jc w:val="center"/>
        <w:rPr>
          <w:rFonts w:ascii="Times New Roman" w:hAnsi="Times New Roman" w:cs="Times New Roman"/>
          <w:b/>
          <w:sz w:val="26"/>
          <w:szCs w:val="26"/>
        </w:rPr>
      </w:pPr>
    </w:p>
    <w:p w:rsidR="00472F59" w:rsidRDefault="00472F59">
      <w:pPr>
        <w:spacing w:after="0" w:line="240" w:lineRule="auto"/>
        <w:jc w:val="center"/>
        <w:rPr>
          <w:rFonts w:ascii="Times New Roman" w:hAnsi="Times New Roman" w:cs="Times New Roman"/>
          <w:b/>
          <w:sz w:val="26"/>
          <w:szCs w:val="26"/>
        </w:rPr>
      </w:pPr>
    </w:p>
    <w:p w:rsidR="00472F59" w:rsidRDefault="00472F59">
      <w:pPr>
        <w:spacing w:after="0" w:line="240" w:lineRule="auto"/>
        <w:jc w:val="center"/>
        <w:rPr>
          <w:rFonts w:ascii="Times New Roman" w:hAnsi="Times New Roman" w:cs="Times New Roman"/>
          <w:b/>
          <w:sz w:val="26"/>
          <w:szCs w:val="26"/>
        </w:rPr>
      </w:pPr>
    </w:p>
    <w:p w:rsidR="00472F59" w:rsidRDefault="00472F59">
      <w:pPr>
        <w:spacing w:after="0" w:line="240" w:lineRule="auto"/>
        <w:jc w:val="center"/>
        <w:rPr>
          <w:rFonts w:ascii="Times New Roman" w:hAnsi="Times New Roman" w:cs="Times New Roman"/>
          <w:b/>
          <w:sz w:val="26"/>
          <w:szCs w:val="26"/>
        </w:rPr>
      </w:pPr>
    </w:p>
    <w:p w:rsidR="00472F59" w:rsidRDefault="00472F59">
      <w:pPr>
        <w:spacing w:after="0" w:line="240" w:lineRule="auto"/>
        <w:jc w:val="center"/>
        <w:rPr>
          <w:rFonts w:ascii="Times New Roman" w:hAnsi="Times New Roman" w:cs="Times New Roman"/>
          <w:b/>
          <w:sz w:val="26"/>
          <w:szCs w:val="26"/>
        </w:rPr>
      </w:pPr>
    </w:p>
    <w:p w:rsidR="00472F59" w:rsidRDefault="00472F59">
      <w:pPr>
        <w:spacing w:after="0" w:line="240" w:lineRule="auto"/>
        <w:jc w:val="center"/>
        <w:rPr>
          <w:rFonts w:ascii="Times New Roman" w:hAnsi="Times New Roman" w:cs="Times New Roman"/>
          <w:b/>
          <w:sz w:val="26"/>
          <w:szCs w:val="26"/>
        </w:rPr>
      </w:pPr>
    </w:p>
    <w:p w:rsidR="00472F59" w:rsidRPr="00D8362F" w:rsidRDefault="00472F59">
      <w:pPr>
        <w:spacing w:after="0" w:line="240" w:lineRule="auto"/>
        <w:jc w:val="center"/>
        <w:rPr>
          <w:rFonts w:ascii="Times New Roman" w:hAnsi="Times New Roman" w:cs="Times New Roman"/>
          <w:b/>
          <w:sz w:val="26"/>
          <w:szCs w:val="26"/>
        </w:rPr>
      </w:pPr>
    </w:p>
    <w:p w:rsidR="0011659E" w:rsidRPr="00D8362F" w:rsidRDefault="0011659E">
      <w:pPr>
        <w:spacing w:after="0" w:line="240" w:lineRule="auto"/>
        <w:jc w:val="center"/>
        <w:rPr>
          <w:rFonts w:ascii="Times New Roman" w:hAnsi="Times New Roman" w:cs="Times New Roman"/>
          <w:b/>
          <w:sz w:val="26"/>
          <w:szCs w:val="26"/>
        </w:rPr>
      </w:pPr>
    </w:p>
    <w:p w:rsidR="0011659E" w:rsidRPr="00D8362F" w:rsidRDefault="0011659E" w:rsidP="0011659E">
      <w:pPr>
        <w:spacing w:after="0" w:line="240" w:lineRule="auto"/>
        <w:jc w:val="center"/>
        <w:rPr>
          <w:rFonts w:ascii="Times New Roman" w:eastAsia="Calibri" w:hAnsi="Times New Roman" w:cs="Times New Roman"/>
          <w:sz w:val="26"/>
          <w:szCs w:val="26"/>
        </w:rPr>
      </w:pPr>
      <w:r w:rsidRPr="00D8362F">
        <w:rPr>
          <w:rFonts w:ascii="Times New Roman" w:eastAsia="Calibri" w:hAnsi="Times New Roman" w:cs="Times New Roman"/>
          <w:sz w:val="26"/>
          <w:szCs w:val="26"/>
        </w:rPr>
        <w:t>Rīga</w:t>
      </w:r>
    </w:p>
    <w:p w:rsidR="0011659E" w:rsidRPr="00D8362F" w:rsidRDefault="0011659E" w:rsidP="0011659E">
      <w:pPr>
        <w:spacing w:after="0" w:line="240" w:lineRule="auto"/>
        <w:jc w:val="center"/>
        <w:rPr>
          <w:rFonts w:ascii="Times New Roman" w:hAnsi="Times New Roman" w:cs="Times New Roman"/>
          <w:sz w:val="26"/>
          <w:szCs w:val="26"/>
        </w:rPr>
      </w:pPr>
      <w:r w:rsidRPr="00D8362F">
        <w:rPr>
          <w:rFonts w:ascii="Times New Roman" w:eastAsia="Calibri" w:hAnsi="Times New Roman" w:cs="Times New Roman"/>
          <w:sz w:val="26"/>
          <w:szCs w:val="26"/>
        </w:rPr>
        <w:t xml:space="preserve"> 2013</w:t>
      </w:r>
    </w:p>
    <w:p w:rsidR="00472F59" w:rsidRDefault="00472F59" w:rsidP="0011659E">
      <w:pPr>
        <w:spacing w:after="0" w:line="240" w:lineRule="auto"/>
        <w:jc w:val="center"/>
        <w:rPr>
          <w:rFonts w:ascii="Times New Roman" w:hAnsi="Times New Roman" w:cs="Times New Roman"/>
          <w:sz w:val="26"/>
          <w:szCs w:val="26"/>
        </w:rPr>
      </w:pPr>
    </w:p>
    <w:p w:rsidR="00472F59" w:rsidRDefault="00472F59" w:rsidP="0011659E">
      <w:pPr>
        <w:spacing w:after="0" w:line="240" w:lineRule="auto"/>
        <w:jc w:val="center"/>
        <w:rPr>
          <w:rFonts w:ascii="Times New Roman" w:hAnsi="Times New Roman" w:cs="Times New Roman"/>
          <w:sz w:val="26"/>
          <w:szCs w:val="26"/>
        </w:rPr>
      </w:pPr>
    </w:p>
    <w:p w:rsidR="00472F59" w:rsidRDefault="00472F59" w:rsidP="0011659E">
      <w:pPr>
        <w:spacing w:after="0" w:line="240" w:lineRule="auto"/>
        <w:jc w:val="center"/>
        <w:rPr>
          <w:rFonts w:ascii="Times New Roman" w:hAnsi="Times New Roman" w:cs="Times New Roman"/>
          <w:sz w:val="26"/>
          <w:szCs w:val="26"/>
        </w:rPr>
      </w:pPr>
    </w:p>
    <w:p w:rsidR="0011659E" w:rsidRPr="00D8362F" w:rsidRDefault="0011659E" w:rsidP="0011659E">
      <w:pPr>
        <w:spacing w:after="0" w:line="240" w:lineRule="auto"/>
        <w:jc w:val="center"/>
        <w:rPr>
          <w:rFonts w:ascii="Times New Roman" w:hAnsi="Times New Roman" w:cs="Times New Roman"/>
          <w:sz w:val="26"/>
          <w:szCs w:val="26"/>
        </w:rPr>
      </w:pPr>
    </w:p>
    <w:p w:rsidR="005659B6" w:rsidRPr="00D8362F" w:rsidRDefault="005659B6" w:rsidP="0011659E">
      <w:pPr>
        <w:spacing w:after="0" w:line="240" w:lineRule="auto"/>
        <w:jc w:val="both"/>
        <w:rPr>
          <w:rFonts w:ascii="Times New Roman" w:hAnsi="Times New Roman" w:cs="Times New Roman"/>
          <w:sz w:val="26"/>
          <w:szCs w:val="26"/>
        </w:rPr>
      </w:pPr>
    </w:p>
    <w:p w:rsidR="0011659E" w:rsidRPr="00D8362F" w:rsidRDefault="0011659E" w:rsidP="005659B6">
      <w:pPr>
        <w:spacing w:after="0" w:line="240" w:lineRule="auto"/>
        <w:ind w:firstLine="720"/>
        <w:jc w:val="both"/>
        <w:rPr>
          <w:rFonts w:ascii="Times New Roman" w:hAnsi="Times New Roman" w:cs="Times New Roman"/>
          <w:sz w:val="26"/>
          <w:szCs w:val="26"/>
        </w:rPr>
      </w:pPr>
      <w:r w:rsidRPr="00D8362F">
        <w:rPr>
          <w:rFonts w:ascii="Times New Roman" w:eastAsia="Calibri" w:hAnsi="Times New Roman" w:cs="Times New Roman"/>
          <w:sz w:val="26"/>
          <w:szCs w:val="26"/>
        </w:rPr>
        <w:t xml:space="preserve">Izglītības </w:t>
      </w:r>
      <w:r w:rsidRPr="00D8362F">
        <w:rPr>
          <w:rFonts w:ascii="Times New Roman" w:hAnsi="Times New Roman" w:cs="Times New Roman"/>
          <w:sz w:val="26"/>
          <w:szCs w:val="26"/>
        </w:rPr>
        <w:t xml:space="preserve">un zinātnes ministrija (turpmāk </w:t>
      </w:r>
      <w:r w:rsidRPr="00D8362F">
        <w:rPr>
          <w:rFonts w:ascii="Times New Roman" w:eastAsia="Calibri" w:hAnsi="Times New Roman" w:cs="Times New Roman"/>
          <w:sz w:val="26"/>
          <w:szCs w:val="26"/>
        </w:rPr>
        <w:t>–</w:t>
      </w:r>
      <w:r w:rsidRPr="00D8362F">
        <w:rPr>
          <w:rFonts w:ascii="Times New Roman" w:hAnsi="Times New Roman" w:cs="Times New Roman"/>
          <w:sz w:val="26"/>
          <w:szCs w:val="26"/>
        </w:rPr>
        <w:t xml:space="preserve"> </w:t>
      </w:r>
      <w:r w:rsidRPr="00D8362F">
        <w:rPr>
          <w:rFonts w:ascii="Times New Roman" w:eastAsia="Calibri" w:hAnsi="Times New Roman" w:cs="Times New Roman"/>
          <w:sz w:val="26"/>
          <w:szCs w:val="26"/>
        </w:rPr>
        <w:t xml:space="preserve">IZM), izpildot Ministru </w:t>
      </w:r>
      <w:r w:rsidRPr="00D8362F">
        <w:rPr>
          <w:rFonts w:ascii="Times New Roman" w:hAnsi="Times New Roman" w:cs="Times New Roman"/>
          <w:sz w:val="26"/>
          <w:szCs w:val="26"/>
        </w:rPr>
        <w:t xml:space="preserve">kabineta </w:t>
      </w:r>
      <w:r w:rsidRPr="00D8362F">
        <w:rPr>
          <w:rFonts w:ascii="Times New Roman" w:eastAsia="Calibri" w:hAnsi="Times New Roman" w:cs="Times New Roman"/>
          <w:sz w:val="26"/>
          <w:szCs w:val="26"/>
        </w:rPr>
        <w:t xml:space="preserve">2013.gada </w:t>
      </w:r>
      <w:r w:rsidRPr="00D8362F">
        <w:rPr>
          <w:rFonts w:ascii="Times New Roman" w:hAnsi="Times New Roman" w:cs="Times New Roman"/>
          <w:sz w:val="26"/>
          <w:szCs w:val="26"/>
        </w:rPr>
        <w:t>5.marta sēdē uzdoto (prot. Nr.13 44.§ 36.punkts)</w:t>
      </w:r>
      <w:r w:rsidRPr="00D8362F">
        <w:rPr>
          <w:rFonts w:ascii="Times New Roman" w:eastAsia="Calibri" w:hAnsi="Times New Roman" w:cs="Times New Roman"/>
          <w:sz w:val="26"/>
          <w:szCs w:val="26"/>
        </w:rPr>
        <w:t xml:space="preserve">, ir sagatavojusi </w:t>
      </w:r>
      <w:bookmarkStart w:id="0" w:name="OLE_LINK1"/>
      <w:bookmarkStart w:id="1" w:name="OLE_LINK2"/>
      <w:r w:rsidRPr="00D8362F">
        <w:rPr>
          <w:rFonts w:ascii="Times New Roman" w:eastAsia="Calibri" w:hAnsi="Times New Roman" w:cs="Times New Roman"/>
          <w:sz w:val="26"/>
          <w:szCs w:val="26"/>
        </w:rPr>
        <w:t>informatīvo ziņojumu</w:t>
      </w:r>
      <w:r w:rsidRPr="00D8362F">
        <w:rPr>
          <w:rFonts w:ascii="Times New Roman" w:hAnsi="Times New Roman" w:cs="Times New Roman"/>
          <w:sz w:val="26"/>
          <w:szCs w:val="26"/>
        </w:rPr>
        <w:t xml:space="preserve"> </w:t>
      </w:r>
      <w:r w:rsidR="00E40A48">
        <w:rPr>
          <w:rFonts w:ascii="Times New Roman" w:hAnsi="Times New Roman" w:cs="Times New Roman"/>
          <w:sz w:val="26"/>
          <w:szCs w:val="26"/>
        </w:rPr>
        <w:t>„P</w:t>
      </w:r>
      <w:r w:rsidRPr="00D8362F">
        <w:rPr>
          <w:rFonts w:ascii="Times New Roman" w:hAnsi="Times New Roman" w:cs="Times New Roman"/>
          <w:sz w:val="26"/>
          <w:szCs w:val="26"/>
        </w:rPr>
        <w:t>ar valsts budžeta finansējuma normatīviem augstākās izglītības iestādēs un priekšlikumiem par nepieciešamību nodrošināt vienādu koeficientu piemērošanu augstākās izglītības iestādēm</w:t>
      </w:r>
      <w:bookmarkEnd w:id="0"/>
      <w:bookmarkEnd w:id="1"/>
      <w:r w:rsidR="00E40A48">
        <w:rPr>
          <w:rFonts w:ascii="Times New Roman" w:hAnsi="Times New Roman" w:cs="Times New Roman"/>
          <w:sz w:val="26"/>
          <w:szCs w:val="26"/>
        </w:rPr>
        <w:t>”</w:t>
      </w:r>
      <w:r w:rsidRPr="00D8362F">
        <w:rPr>
          <w:rFonts w:ascii="Times New Roman" w:hAnsi="Times New Roman" w:cs="Times New Roman"/>
          <w:sz w:val="26"/>
          <w:szCs w:val="26"/>
        </w:rPr>
        <w:t xml:space="preserve"> (turpmāk – </w:t>
      </w:r>
      <w:r w:rsidR="005B0AF5">
        <w:rPr>
          <w:rFonts w:ascii="Times New Roman" w:hAnsi="Times New Roman" w:cs="Times New Roman"/>
          <w:sz w:val="26"/>
          <w:szCs w:val="26"/>
        </w:rPr>
        <w:t>I</w:t>
      </w:r>
      <w:r w:rsidRPr="00D8362F">
        <w:rPr>
          <w:rFonts w:ascii="Times New Roman" w:hAnsi="Times New Roman" w:cs="Times New Roman"/>
          <w:sz w:val="26"/>
          <w:szCs w:val="26"/>
        </w:rPr>
        <w:t>nformatīvais ziņojums)</w:t>
      </w:r>
      <w:r w:rsidR="005B6A32" w:rsidRPr="00D8362F">
        <w:rPr>
          <w:rFonts w:ascii="Times New Roman" w:hAnsi="Times New Roman" w:cs="Times New Roman"/>
          <w:sz w:val="26"/>
          <w:szCs w:val="26"/>
        </w:rPr>
        <w:t>. Informatīvais ziņojums sagatavots sadarbībā ar Kultūras ministriju, Veselības ministriju un Zemkopības ministriju un Finanšu ministrij</w:t>
      </w:r>
      <w:r w:rsidR="005861EB" w:rsidRPr="00D8362F">
        <w:rPr>
          <w:rFonts w:ascii="Times New Roman" w:hAnsi="Times New Roman" w:cs="Times New Roman"/>
          <w:sz w:val="26"/>
          <w:szCs w:val="26"/>
        </w:rPr>
        <w:t>u</w:t>
      </w:r>
      <w:r w:rsidR="005B6A32" w:rsidRPr="00D8362F">
        <w:rPr>
          <w:rFonts w:ascii="Times New Roman" w:hAnsi="Times New Roman" w:cs="Times New Roman"/>
          <w:sz w:val="26"/>
          <w:szCs w:val="26"/>
        </w:rPr>
        <w:t>.</w:t>
      </w:r>
    </w:p>
    <w:p w:rsidR="005B6A32" w:rsidRPr="00D8362F" w:rsidRDefault="005B6A32" w:rsidP="005659B6">
      <w:pPr>
        <w:spacing w:after="0" w:line="240" w:lineRule="auto"/>
        <w:ind w:firstLine="720"/>
        <w:jc w:val="both"/>
        <w:rPr>
          <w:rFonts w:ascii="Times New Roman" w:hAnsi="Times New Roman" w:cs="Times New Roman"/>
          <w:sz w:val="26"/>
          <w:szCs w:val="26"/>
        </w:rPr>
      </w:pPr>
    </w:p>
    <w:p w:rsidR="005B6A32" w:rsidRPr="00D8362F" w:rsidRDefault="005B6A32" w:rsidP="005B6A32">
      <w:pPr>
        <w:spacing w:after="0" w:line="240" w:lineRule="auto"/>
        <w:ind w:firstLine="720"/>
        <w:jc w:val="center"/>
        <w:rPr>
          <w:rFonts w:ascii="Times New Roman" w:hAnsi="Times New Roman" w:cs="Times New Roman"/>
          <w:b/>
          <w:sz w:val="26"/>
          <w:szCs w:val="26"/>
        </w:rPr>
      </w:pPr>
      <w:r w:rsidRPr="00D8362F">
        <w:rPr>
          <w:rFonts w:ascii="Times New Roman" w:hAnsi="Times New Roman" w:cs="Times New Roman"/>
          <w:b/>
          <w:sz w:val="26"/>
          <w:szCs w:val="26"/>
        </w:rPr>
        <w:t>1.</w:t>
      </w:r>
      <w:r w:rsidRPr="00D8362F">
        <w:rPr>
          <w:rFonts w:ascii="Times New Roman" w:hAnsi="Times New Roman" w:cs="Times New Roman"/>
          <w:sz w:val="26"/>
          <w:szCs w:val="26"/>
        </w:rPr>
        <w:t xml:space="preserve"> </w:t>
      </w:r>
      <w:r w:rsidRPr="00D8362F">
        <w:rPr>
          <w:rFonts w:ascii="Times New Roman" w:hAnsi="Times New Roman" w:cs="Times New Roman"/>
          <w:b/>
          <w:sz w:val="26"/>
          <w:szCs w:val="26"/>
        </w:rPr>
        <w:t xml:space="preserve">Valsts budžeta finansējuma normatīvi augstākās izglītības iestādēm </w:t>
      </w:r>
    </w:p>
    <w:p w:rsidR="005B6A32" w:rsidRPr="00D8362F" w:rsidRDefault="005B6A32" w:rsidP="005B6A32">
      <w:pPr>
        <w:spacing w:after="0" w:line="240" w:lineRule="auto"/>
        <w:ind w:firstLine="720"/>
        <w:jc w:val="center"/>
        <w:rPr>
          <w:rFonts w:ascii="Times New Roman" w:hAnsi="Times New Roman" w:cs="Times New Roman"/>
          <w:b/>
          <w:sz w:val="26"/>
          <w:szCs w:val="26"/>
        </w:rPr>
      </w:pPr>
    </w:p>
    <w:p w:rsidR="005B6A32" w:rsidRPr="00D8362F" w:rsidRDefault="005B6A32" w:rsidP="005B6A32">
      <w:pPr>
        <w:spacing w:after="0" w:line="240" w:lineRule="auto"/>
        <w:ind w:firstLine="709"/>
        <w:jc w:val="both"/>
        <w:rPr>
          <w:rFonts w:ascii="Times New Roman" w:hAnsi="Times New Roman" w:cs="Times New Roman"/>
          <w:sz w:val="26"/>
          <w:szCs w:val="26"/>
        </w:rPr>
      </w:pPr>
      <w:r w:rsidRPr="00D8362F">
        <w:rPr>
          <w:rFonts w:ascii="Times New Roman" w:hAnsi="Times New Roman" w:cs="Times New Roman"/>
          <w:sz w:val="26"/>
          <w:szCs w:val="26"/>
        </w:rPr>
        <w:t xml:space="preserve">Augstākās izglītības iestādes Latvijā tiek finansētas saskaņā ar Ministru kabineta </w:t>
      </w:r>
      <w:r w:rsidR="006D4852">
        <w:rPr>
          <w:rFonts w:ascii="Times New Roman" w:hAnsi="Times New Roman" w:cs="Times New Roman"/>
          <w:sz w:val="26"/>
          <w:szCs w:val="26"/>
        </w:rPr>
        <w:t xml:space="preserve">2006.gada 12.decembra </w:t>
      </w:r>
      <w:r w:rsidRPr="00D8362F">
        <w:rPr>
          <w:rFonts w:ascii="Times New Roman" w:hAnsi="Times New Roman" w:cs="Times New Roman"/>
          <w:sz w:val="26"/>
          <w:szCs w:val="26"/>
        </w:rPr>
        <w:t xml:space="preserve">noteikumiem Nr.994 „Kārtība kādā augstskolas un koledžas tiek finansētas no valsts budžeta līdzekļiem” (turpmāk – MK noteikumi Nr.994). </w:t>
      </w:r>
      <w:r w:rsidR="00962192">
        <w:rPr>
          <w:rFonts w:ascii="Times New Roman" w:hAnsi="Times New Roman" w:cs="Times New Roman"/>
          <w:sz w:val="26"/>
          <w:szCs w:val="26"/>
        </w:rPr>
        <w:t>Aprēķins balstās uz normatīv</w:t>
      </w:r>
      <w:r w:rsidR="0010571B">
        <w:rPr>
          <w:rFonts w:ascii="Times New Roman" w:hAnsi="Times New Roman" w:cs="Times New Roman"/>
          <w:sz w:val="26"/>
          <w:szCs w:val="26"/>
        </w:rPr>
        <w:t>ā</w:t>
      </w:r>
      <w:r w:rsidR="00962192">
        <w:rPr>
          <w:rFonts w:ascii="Times New Roman" w:hAnsi="Times New Roman" w:cs="Times New Roman"/>
          <w:sz w:val="26"/>
          <w:szCs w:val="26"/>
        </w:rPr>
        <w:t xml:space="preserve"> finansējuma principu.</w:t>
      </w:r>
    </w:p>
    <w:p w:rsidR="00917D9D" w:rsidRPr="00917D9D" w:rsidRDefault="00690CEC" w:rsidP="00917D9D">
      <w:pPr>
        <w:spacing w:after="0" w:line="240" w:lineRule="auto"/>
        <w:ind w:firstLine="709"/>
        <w:jc w:val="both"/>
        <w:rPr>
          <w:rFonts w:ascii="Times New Roman" w:hAnsi="Times New Roman" w:cs="Times New Roman"/>
          <w:sz w:val="26"/>
          <w:szCs w:val="26"/>
        </w:rPr>
      </w:pPr>
      <w:r w:rsidRPr="00D8362F">
        <w:rPr>
          <w:rFonts w:ascii="Times New Roman" w:hAnsi="Times New Roman" w:cs="Times New Roman"/>
          <w:sz w:val="26"/>
          <w:szCs w:val="26"/>
        </w:rPr>
        <w:t xml:space="preserve">Normatīvā </w:t>
      </w:r>
      <w:r w:rsidR="003F3EB3">
        <w:rPr>
          <w:rFonts w:ascii="Times New Roman" w:hAnsi="Times New Roman" w:cs="Times New Roman"/>
          <w:sz w:val="26"/>
          <w:szCs w:val="26"/>
        </w:rPr>
        <w:t xml:space="preserve">studiju </w:t>
      </w:r>
      <w:r w:rsidRPr="00D8362F">
        <w:rPr>
          <w:rFonts w:ascii="Times New Roman" w:hAnsi="Times New Roman" w:cs="Times New Roman"/>
          <w:sz w:val="26"/>
          <w:szCs w:val="26"/>
        </w:rPr>
        <w:t>finansējuma aprēķina pamatā ir studiju vietas bāzes izmaksas, katrai augstākās izglītības iestādei noteiktais studiju vietu skaits</w:t>
      </w:r>
      <w:r w:rsidR="006D4852">
        <w:rPr>
          <w:rFonts w:ascii="Times New Roman" w:hAnsi="Times New Roman" w:cs="Times New Roman"/>
          <w:sz w:val="26"/>
          <w:szCs w:val="26"/>
        </w:rPr>
        <w:t xml:space="preserve"> un</w:t>
      </w:r>
      <w:r w:rsidRPr="00D8362F">
        <w:rPr>
          <w:rFonts w:ascii="Times New Roman" w:hAnsi="Times New Roman" w:cs="Times New Roman"/>
          <w:sz w:val="26"/>
          <w:szCs w:val="26"/>
        </w:rPr>
        <w:t xml:space="preserve"> studiju izmaksu koeficienti, kas noteikti pa izglītības tematiskajām jomām </w:t>
      </w:r>
      <w:r w:rsidR="00606CCE">
        <w:rPr>
          <w:rFonts w:ascii="Times New Roman" w:hAnsi="Times New Roman" w:cs="Times New Roman"/>
          <w:sz w:val="26"/>
          <w:szCs w:val="26"/>
        </w:rPr>
        <w:t>MK noteikumu Nr.994 1.pielikumā</w:t>
      </w:r>
      <w:r w:rsidRPr="00D8362F">
        <w:rPr>
          <w:rFonts w:ascii="Times New Roman" w:hAnsi="Times New Roman" w:cs="Times New Roman"/>
          <w:sz w:val="26"/>
          <w:szCs w:val="26"/>
        </w:rPr>
        <w:t>.</w:t>
      </w:r>
      <w:r w:rsidR="00917D9D">
        <w:rPr>
          <w:rFonts w:ascii="Times New Roman" w:hAnsi="Times New Roman" w:cs="Times New Roman"/>
          <w:sz w:val="26"/>
          <w:szCs w:val="26"/>
        </w:rPr>
        <w:t xml:space="preserve"> </w:t>
      </w:r>
      <w:r w:rsidR="00917D9D" w:rsidRPr="00917D9D">
        <w:rPr>
          <w:rFonts w:ascii="Times New Roman" w:hAnsi="Times New Roman" w:cs="Times New Roman"/>
          <w:sz w:val="26"/>
          <w:szCs w:val="26"/>
        </w:rPr>
        <w:t xml:space="preserve">Izglītības tematisko jomu studiju </w:t>
      </w:r>
      <w:r w:rsidR="00917D9D" w:rsidRPr="00D8362F">
        <w:rPr>
          <w:rFonts w:ascii="Times New Roman" w:hAnsi="Times New Roman" w:cs="Times New Roman"/>
          <w:sz w:val="26"/>
          <w:szCs w:val="26"/>
        </w:rPr>
        <w:t xml:space="preserve">izmaksu </w:t>
      </w:r>
      <w:r w:rsidR="00917D9D" w:rsidRPr="00917D9D">
        <w:rPr>
          <w:rFonts w:ascii="Times New Roman" w:hAnsi="Times New Roman" w:cs="Times New Roman"/>
          <w:sz w:val="26"/>
          <w:szCs w:val="26"/>
        </w:rPr>
        <w:t>koeficienti ir rādītāji, kas nosaka studiju vietas izmaksu apmēru attiecīgajā izglītības tematiskajā jomā attiecībā pret studiju vietas bāzes izmaksām.</w:t>
      </w:r>
      <w:r w:rsidR="00167CD2">
        <w:rPr>
          <w:rFonts w:ascii="Times New Roman" w:hAnsi="Times New Roman" w:cs="Times New Roman"/>
          <w:sz w:val="26"/>
          <w:szCs w:val="26"/>
        </w:rPr>
        <w:t xml:space="preserve"> Studiju izmaksu koeficientu optimālās vērtības svārstās no </w:t>
      </w:r>
      <w:r w:rsidR="00E30D8A">
        <w:rPr>
          <w:rFonts w:ascii="Times New Roman" w:hAnsi="Times New Roman" w:cs="Times New Roman"/>
          <w:sz w:val="26"/>
          <w:szCs w:val="26"/>
        </w:rPr>
        <w:t xml:space="preserve">1,1 </w:t>
      </w:r>
      <w:r w:rsidR="00167CD2">
        <w:rPr>
          <w:rFonts w:ascii="Times New Roman" w:hAnsi="Times New Roman" w:cs="Times New Roman"/>
          <w:sz w:val="26"/>
          <w:szCs w:val="26"/>
        </w:rPr>
        <w:t>lētāk</w:t>
      </w:r>
      <w:r w:rsidR="00E30D8A">
        <w:rPr>
          <w:rFonts w:ascii="Times New Roman" w:hAnsi="Times New Roman" w:cs="Times New Roman"/>
          <w:sz w:val="26"/>
          <w:szCs w:val="26"/>
        </w:rPr>
        <w:t>aj</w:t>
      </w:r>
      <w:r w:rsidR="00167CD2">
        <w:rPr>
          <w:rFonts w:ascii="Times New Roman" w:hAnsi="Times New Roman" w:cs="Times New Roman"/>
          <w:sz w:val="26"/>
          <w:szCs w:val="26"/>
        </w:rPr>
        <w:t>ā tieslietu jom</w:t>
      </w:r>
      <w:r w:rsidR="00E30D8A">
        <w:rPr>
          <w:rFonts w:ascii="Times New Roman" w:hAnsi="Times New Roman" w:cs="Times New Roman"/>
          <w:sz w:val="26"/>
          <w:szCs w:val="26"/>
        </w:rPr>
        <w:t xml:space="preserve">ā </w:t>
      </w:r>
      <w:r w:rsidR="00167CD2">
        <w:rPr>
          <w:rFonts w:ascii="Times New Roman" w:hAnsi="Times New Roman" w:cs="Times New Roman"/>
          <w:sz w:val="26"/>
          <w:szCs w:val="26"/>
        </w:rPr>
        <w:t>līdz</w:t>
      </w:r>
      <w:r w:rsidR="00E30D8A">
        <w:rPr>
          <w:rFonts w:ascii="Times New Roman" w:hAnsi="Times New Roman" w:cs="Times New Roman"/>
          <w:sz w:val="26"/>
          <w:szCs w:val="26"/>
        </w:rPr>
        <w:t xml:space="preserve"> 5,1</w:t>
      </w:r>
      <w:r w:rsidR="00167CD2">
        <w:rPr>
          <w:rFonts w:ascii="Times New Roman" w:hAnsi="Times New Roman" w:cs="Times New Roman"/>
          <w:sz w:val="26"/>
          <w:szCs w:val="26"/>
        </w:rPr>
        <w:t xml:space="preserve"> </w:t>
      </w:r>
      <w:r w:rsidR="00E30D8A">
        <w:rPr>
          <w:rFonts w:ascii="Times New Roman" w:hAnsi="Times New Roman" w:cs="Times New Roman"/>
          <w:sz w:val="26"/>
          <w:szCs w:val="26"/>
        </w:rPr>
        <w:t xml:space="preserve">zobārstniecībā un 6,0 militārajā aizsardzībā. </w:t>
      </w:r>
    </w:p>
    <w:p w:rsidR="005861EB" w:rsidRPr="00D8362F" w:rsidRDefault="005861EB" w:rsidP="005861EB">
      <w:pPr>
        <w:spacing w:after="0" w:line="240" w:lineRule="auto"/>
        <w:ind w:firstLine="709"/>
        <w:jc w:val="both"/>
        <w:rPr>
          <w:rFonts w:ascii="Times New Roman" w:hAnsi="Times New Roman" w:cs="Times New Roman"/>
          <w:sz w:val="26"/>
          <w:szCs w:val="26"/>
        </w:rPr>
      </w:pPr>
      <w:r w:rsidRPr="00D8362F">
        <w:rPr>
          <w:rFonts w:ascii="Times New Roman" w:hAnsi="Times New Roman" w:cs="Times New Roman"/>
          <w:sz w:val="26"/>
          <w:szCs w:val="26"/>
        </w:rPr>
        <w:t>Studiju finansējuma apmēru, ko augstskolai vai koledžai piešķir no valsts budžeta līdzekļiem bakalaura, profesionālo, maģistra un doktora studiju programmu īstenošanai, aprēķina, izmantojot šādu formulu:</w:t>
      </w:r>
    </w:p>
    <w:p w:rsidR="005861EB" w:rsidRPr="00D8362F" w:rsidRDefault="005861EB" w:rsidP="005861EB">
      <w:pPr>
        <w:spacing w:after="0" w:line="240" w:lineRule="auto"/>
        <w:ind w:firstLine="709"/>
        <w:jc w:val="both"/>
        <w:rPr>
          <w:rFonts w:ascii="Times New Roman" w:hAnsi="Times New Roman" w:cs="Times New Roman"/>
          <w:sz w:val="26"/>
          <w:szCs w:val="26"/>
        </w:rPr>
      </w:pPr>
    </w:p>
    <w:p w:rsidR="005861EB" w:rsidRPr="00D8362F" w:rsidRDefault="005861EB" w:rsidP="005861EB">
      <w:pPr>
        <w:spacing w:after="0" w:line="240" w:lineRule="auto"/>
        <w:ind w:firstLine="709"/>
        <w:jc w:val="both"/>
        <w:rPr>
          <w:rFonts w:ascii="Times New Roman" w:hAnsi="Times New Roman" w:cs="Times New Roman"/>
          <w:sz w:val="26"/>
          <w:szCs w:val="26"/>
        </w:rPr>
      </w:pPr>
      <w:r w:rsidRPr="00D8362F">
        <w:rPr>
          <w:rFonts w:ascii="Times New Roman" w:hAnsi="Times New Roman" w:cs="Times New Roman"/>
          <w:bCs/>
          <w:sz w:val="26"/>
          <w:szCs w:val="26"/>
        </w:rPr>
        <w:t>F</w:t>
      </w:r>
      <w:r w:rsidRPr="00D8362F">
        <w:rPr>
          <w:rFonts w:ascii="Times New Roman" w:hAnsi="Times New Roman" w:cs="Times New Roman"/>
          <w:bCs/>
          <w:sz w:val="26"/>
          <w:szCs w:val="26"/>
          <w:vertAlign w:val="subscript"/>
        </w:rPr>
        <w:t>S</w:t>
      </w:r>
      <w:r w:rsidRPr="00D8362F">
        <w:rPr>
          <w:rFonts w:ascii="Times New Roman" w:hAnsi="Times New Roman" w:cs="Times New Roman"/>
          <w:bCs/>
          <w:sz w:val="26"/>
          <w:szCs w:val="26"/>
        </w:rPr>
        <w:t xml:space="preserve"> = </w:t>
      </w:r>
      <w:proofErr w:type="spellStart"/>
      <w:r w:rsidRPr="00D8362F">
        <w:rPr>
          <w:rFonts w:ascii="Times New Roman" w:hAnsi="Times New Roman" w:cs="Times New Roman"/>
          <w:sz w:val="26"/>
          <w:szCs w:val="26"/>
        </w:rPr>
        <w:t>Tb</w:t>
      </w:r>
      <w:proofErr w:type="spellEnd"/>
      <w:r w:rsidRPr="00D8362F">
        <w:rPr>
          <w:rFonts w:ascii="Times New Roman" w:hAnsi="Times New Roman" w:cs="Times New Roman"/>
          <w:sz w:val="26"/>
          <w:szCs w:val="26"/>
        </w:rPr>
        <w:t xml:space="preserve"> x [Σ(</w:t>
      </w:r>
      <w:proofErr w:type="spellStart"/>
      <w:r w:rsidRPr="00D8362F">
        <w:rPr>
          <w:rFonts w:ascii="Times New Roman" w:hAnsi="Times New Roman" w:cs="Times New Roman"/>
          <w:sz w:val="26"/>
          <w:szCs w:val="26"/>
        </w:rPr>
        <w:t>ki</w:t>
      </w:r>
      <w:proofErr w:type="spellEnd"/>
      <w:r w:rsidRPr="00D8362F">
        <w:rPr>
          <w:rFonts w:ascii="Times New Roman" w:hAnsi="Times New Roman" w:cs="Times New Roman"/>
          <w:sz w:val="26"/>
          <w:szCs w:val="26"/>
        </w:rPr>
        <w:t xml:space="preserve"> x </w:t>
      </w:r>
      <w:proofErr w:type="spellStart"/>
      <w:r w:rsidRPr="00D8362F">
        <w:rPr>
          <w:rFonts w:ascii="Times New Roman" w:hAnsi="Times New Roman" w:cs="Times New Roman"/>
          <w:sz w:val="26"/>
          <w:szCs w:val="26"/>
        </w:rPr>
        <w:t>ni</w:t>
      </w:r>
      <w:proofErr w:type="spellEnd"/>
      <w:r w:rsidRPr="00D8362F">
        <w:rPr>
          <w:rFonts w:ascii="Times New Roman" w:hAnsi="Times New Roman" w:cs="Times New Roman"/>
          <w:sz w:val="26"/>
          <w:szCs w:val="26"/>
        </w:rPr>
        <w:t>) + 1,5 x Σ(</w:t>
      </w:r>
      <w:proofErr w:type="spellStart"/>
      <w:r w:rsidRPr="00D8362F">
        <w:rPr>
          <w:rFonts w:ascii="Times New Roman" w:hAnsi="Times New Roman" w:cs="Times New Roman"/>
          <w:sz w:val="26"/>
          <w:szCs w:val="26"/>
        </w:rPr>
        <w:t>ki</w:t>
      </w:r>
      <w:proofErr w:type="spellEnd"/>
      <w:r w:rsidRPr="00D8362F">
        <w:rPr>
          <w:rFonts w:ascii="Times New Roman" w:hAnsi="Times New Roman" w:cs="Times New Roman"/>
          <w:sz w:val="26"/>
          <w:szCs w:val="26"/>
        </w:rPr>
        <w:t xml:space="preserve"> x </w:t>
      </w:r>
      <w:proofErr w:type="spellStart"/>
      <w:r w:rsidRPr="00D8362F">
        <w:rPr>
          <w:rFonts w:ascii="Times New Roman" w:hAnsi="Times New Roman" w:cs="Times New Roman"/>
          <w:sz w:val="26"/>
          <w:szCs w:val="26"/>
        </w:rPr>
        <w:t>mi</w:t>
      </w:r>
      <w:proofErr w:type="spellEnd"/>
      <w:r w:rsidRPr="00D8362F">
        <w:rPr>
          <w:rFonts w:ascii="Times New Roman" w:hAnsi="Times New Roman" w:cs="Times New Roman"/>
          <w:sz w:val="26"/>
          <w:szCs w:val="26"/>
        </w:rPr>
        <w:t xml:space="preserve">)] + </w:t>
      </w:r>
      <w:proofErr w:type="spellStart"/>
      <w:r w:rsidRPr="00D8362F">
        <w:rPr>
          <w:rFonts w:ascii="Times New Roman" w:hAnsi="Times New Roman" w:cs="Times New Roman"/>
          <w:sz w:val="26"/>
          <w:szCs w:val="26"/>
        </w:rPr>
        <w:t>Sb</w:t>
      </w:r>
      <w:proofErr w:type="spellEnd"/>
      <w:r w:rsidRPr="00D8362F">
        <w:rPr>
          <w:rFonts w:ascii="Times New Roman" w:hAnsi="Times New Roman" w:cs="Times New Roman"/>
          <w:sz w:val="26"/>
          <w:szCs w:val="26"/>
        </w:rPr>
        <w:t xml:space="preserve"> x Σ(</w:t>
      </w:r>
      <w:proofErr w:type="spellStart"/>
      <w:r w:rsidRPr="00D8362F">
        <w:rPr>
          <w:rFonts w:ascii="Times New Roman" w:hAnsi="Times New Roman" w:cs="Times New Roman"/>
          <w:sz w:val="26"/>
          <w:szCs w:val="26"/>
        </w:rPr>
        <w:t>ni</w:t>
      </w:r>
      <w:proofErr w:type="spellEnd"/>
      <w:r w:rsidRPr="00D8362F">
        <w:rPr>
          <w:rFonts w:ascii="Times New Roman" w:hAnsi="Times New Roman" w:cs="Times New Roman"/>
          <w:sz w:val="26"/>
          <w:szCs w:val="26"/>
        </w:rPr>
        <w:t xml:space="preserve"> + </w:t>
      </w:r>
      <w:proofErr w:type="spellStart"/>
      <w:r w:rsidRPr="00D8362F">
        <w:rPr>
          <w:rFonts w:ascii="Times New Roman" w:hAnsi="Times New Roman" w:cs="Times New Roman"/>
          <w:sz w:val="26"/>
          <w:szCs w:val="26"/>
        </w:rPr>
        <w:t>mi</w:t>
      </w:r>
      <w:proofErr w:type="spellEnd"/>
      <w:r w:rsidRPr="00D8362F">
        <w:rPr>
          <w:rFonts w:ascii="Times New Roman" w:hAnsi="Times New Roman" w:cs="Times New Roman"/>
          <w:sz w:val="26"/>
          <w:szCs w:val="26"/>
        </w:rPr>
        <w:t xml:space="preserve">) + </w:t>
      </w:r>
    </w:p>
    <w:p w:rsidR="005861EB" w:rsidRPr="00D8362F" w:rsidRDefault="005861EB" w:rsidP="005861EB">
      <w:pPr>
        <w:spacing w:after="0" w:line="240" w:lineRule="auto"/>
        <w:ind w:firstLine="709"/>
        <w:jc w:val="both"/>
        <w:rPr>
          <w:rFonts w:ascii="Times New Roman" w:hAnsi="Times New Roman" w:cs="Times New Roman"/>
          <w:sz w:val="26"/>
          <w:szCs w:val="26"/>
        </w:rPr>
      </w:pPr>
      <w:r w:rsidRPr="00D8362F">
        <w:rPr>
          <w:rFonts w:ascii="Times New Roman" w:hAnsi="Times New Roman" w:cs="Times New Roman"/>
          <w:sz w:val="26"/>
          <w:szCs w:val="26"/>
        </w:rPr>
        <w:t xml:space="preserve">+ </w:t>
      </w:r>
      <w:proofErr w:type="spellStart"/>
      <w:r w:rsidRPr="00D8362F">
        <w:rPr>
          <w:rFonts w:ascii="Times New Roman" w:hAnsi="Times New Roman" w:cs="Times New Roman"/>
          <w:sz w:val="26"/>
          <w:szCs w:val="26"/>
        </w:rPr>
        <w:t>Tb</w:t>
      </w:r>
      <w:proofErr w:type="spellEnd"/>
      <w:r w:rsidRPr="00D8362F">
        <w:rPr>
          <w:rFonts w:ascii="Times New Roman" w:hAnsi="Times New Roman" w:cs="Times New Roman"/>
          <w:sz w:val="26"/>
          <w:szCs w:val="26"/>
        </w:rPr>
        <w:t xml:space="preserve"> x 3 x Σ(</w:t>
      </w:r>
      <w:proofErr w:type="spellStart"/>
      <w:r w:rsidRPr="00D8362F">
        <w:rPr>
          <w:rFonts w:ascii="Times New Roman" w:hAnsi="Times New Roman" w:cs="Times New Roman"/>
          <w:sz w:val="26"/>
          <w:szCs w:val="26"/>
        </w:rPr>
        <w:t>ki</w:t>
      </w:r>
      <w:proofErr w:type="spellEnd"/>
      <w:r w:rsidRPr="00D8362F">
        <w:rPr>
          <w:rFonts w:ascii="Times New Roman" w:hAnsi="Times New Roman" w:cs="Times New Roman"/>
          <w:sz w:val="26"/>
          <w:szCs w:val="26"/>
        </w:rPr>
        <w:t xml:space="preserve"> × </w:t>
      </w:r>
      <w:proofErr w:type="spellStart"/>
      <w:r w:rsidRPr="00D8362F">
        <w:rPr>
          <w:rFonts w:ascii="Times New Roman" w:hAnsi="Times New Roman" w:cs="Times New Roman"/>
          <w:sz w:val="26"/>
          <w:szCs w:val="26"/>
        </w:rPr>
        <w:t>di</w:t>
      </w:r>
      <w:proofErr w:type="spellEnd"/>
      <w:r w:rsidRPr="00D8362F">
        <w:rPr>
          <w:rFonts w:ascii="Times New Roman" w:hAnsi="Times New Roman" w:cs="Times New Roman"/>
          <w:sz w:val="26"/>
          <w:szCs w:val="26"/>
        </w:rPr>
        <w:t xml:space="preserve">) + </w:t>
      </w:r>
      <w:proofErr w:type="spellStart"/>
      <w:r w:rsidRPr="00D8362F">
        <w:rPr>
          <w:rFonts w:ascii="Times New Roman" w:hAnsi="Times New Roman" w:cs="Times New Roman"/>
          <w:sz w:val="26"/>
          <w:szCs w:val="26"/>
        </w:rPr>
        <w:t>Sd</w:t>
      </w:r>
      <w:proofErr w:type="spellEnd"/>
      <w:r w:rsidRPr="00D8362F">
        <w:rPr>
          <w:rFonts w:ascii="Times New Roman" w:hAnsi="Times New Roman" w:cs="Times New Roman"/>
          <w:sz w:val="26"/>
          <w:szCs w:val="26"/>
        </w:rPr>
        <w:t xml:space="preserve"> x </w:t>
      </w:r>
      <w:proofErr w:type="spellStart"/>
      <w:r w:rsidRPr="00D8362F">
        <w:rPr>
          <w:rFonts w:ascii="Times New Roman" w:hAnsi="Times New Roman" w:cs="Times New Roman"/>
          <w:sz w:val="26"/>
          <w:szCs w:val="26"/>
        </w:rPr>
        <w:t>Σdi</w:t>
      </w:r>
      <w:proofErr w:type="spellEnd"/>
      <w:r w:rsidRPr="00D8362F">
        <w:rPr>
          <w:rFonts w:ascii="Times New Roman" w:hAnsi="Times New Roman" w:cs="Times New Roman"/>
          <w:sz w:val="26"/>
          <w:szCs w:val="26"/>
        </w:rPr>
        <w:t xml:space="preserve">,                                                                   </w:t>
      </w:r>
    </w:p>
    <w:p w:rsidR="005861EB" w:rsidRPr="00D8362F" w:rsidRDefault="005861EB" w:rsidP="005861EB">
      <w:pPr>
        <w:spacing w:after="0" w:line="240" w:lineRule="auto"/>
        <w:ind w:firstLine="709"/>
        <w:jc w:val="both"/>
        <w:rPr>
          <w:rFonts w:ascii="Times New Roman" w:hAnsi="Times New Roman" w:cs="Times New Roman"/>
          <w:sz w:val="26"/>
          <w:szCs w:val="26"/>
        </w:rPr>
      </w:pPr>
    </w:p>
    <w:p w:rsidR="005861EB" w:rsidRPr="00D8362F" w:rsidRDefault="005861EB" w:rsidP="005861EB">
      <w:pPr>
        <w:spacing w:after="0" w:line="240" w:lineRule="auto"/>
        <w:ind w:firstLine="709"/>
        <w:jc w:val="both"/>
        <w:rPr>
          <w:rFonts w:ascii="Times New Roman" w:hAnsi="Times New Roman" w:cs="Times New Roman"/>
          <w:sz w:val="26"/>
          <w:szCs w:val="26"/>
        </w:rPr>
      </w:pPr>
      <w:r w:rsidRPr="00D8362F">
        <w:rPr>
          <w:rFonts w:ascii="Times New Roman" w:hAnsi="Times New Roman" w:cs="Times New Roman"/>
          <w:sz w:val="26"/>
          <w:szCs w:val="26"/>
        </w:rPr>
        <w:t>kur</w:t>
      </w:r>
    </w:p>
    <w:p w:rsidR="005861EB" w:rsidRPr="00D8362F" w:rsidRDefault="005861EB" w:rsidP="005861EB">
      <w:pPr>
        <w:spacing w:after="0" w:line="240" w:lineRule="auto"/>
        <w:ind w:firstLine="709"/>
        <w:jc w:val="both"/>
        <w:rPr>
          <w:rFonts w:ascii="Times New Roman" w:hAnsi="Times New Roman" w:cs="Times New Roman"/>
          <w:sz w:val="26"/>
          <w:szCs w:val="26"/>
        </w:rPr>
      </w:pPr>
      <w:proofErr w:type="spellStart"/>
      <w:r w:rsidRPr="00D8362F">
        <w:rPr>
          <w:rFonts w:ascii="Times New Roman" w:hAnsi="Times New Roman" w:cs="Times New Roman"/>
          <w:sz w:val="26"/>
          <w:szCs w:val="26"/>
        </w:rPr>
        <w:t>Fs</w:t>
      </w:r>
      <w:proofErr w:type="spellEnd"/>
      <w:r w:rsidRPr="00D8362F">
        <w:rPr>
          <w:rFonts w:ascii="Times New Roman" w:hAnsi="Times New Roman" w:cs="Times New Roman"/>
          <w:sz w:val="26"/>
          <w:szCs w:val="26"/>
        </w:rPr>
        <w:t xml:space="preserve"> - studiju finansējuma apmērs;</w:t>
      </w:r>
    </w:p>
    <w:p w:rsidR="005861EB" w:rsidRPr="00D8362F" w:rsidRDefault="005861EB" w:rsidP="005861EB">
      <w:pPr>
        <w:spacing w:after="0" w:line="240" w:lineRule="auto"/>
        <w:ind w:firstLine="709"/>
        <w:jc w:val="both"/>
        <w:rPr>
          <w:rFonts w:ascii="Times New Roman" w:hAnsi="Times New Roman" w:cs="Times New Roman"/>
          <w:sz w:val="26"/>
          <w:szCs w:val="26"/>
        </w:rPr>
      </w:pPr>
      <w:proofErr w:type="spellStart"/>
      <w:r w:rsidRPr="00D8362F">
        <w:rPr>
          <w:rFonts w:ascii="Times New Roman" w:hAnsi="Times New Roman" w:cs="Times New Roman"/>
          <w:sz w:val="26"/>
          <w:szCs w:val="26"/>
        </w:rPr>
        <w:t>Tb</w:t>
      </w:r>
      <w:proofErr w:type="spellEnd"/>
      <w:r w:rsidRPr="00D8362F">
        <w:rPr>
          <w:rFonts w:ascii="Times New Roman" w:hAnsi="Times New Roman" w:cs="Times New Roman"/>
          <w:sz w:val="26"/>
          <w:szCs w:val="26"/>
        </w:rPr>
        <w:t xml:space="preserve"> - studiju vietas bāzes izmaksas;</w:t>
      </w:r>
    </w:p>
    <w:p w:rsidR="005861EB" w:rsidRPr="00D8362F" w:rsidRDefault="005861EB" w:rsidP="005861EB">
      <w:pPr>
        <w:spacing w:after="0" w:line="240" w:lineRule="auto"/>
        <w:ind w:firstLine="709"/>
        <w:jc w:val="both"/>
        <w:rPr>
          <w:rFonts w:ascii="Times New Roman" w:hAnsi="Times New Roman" w:cs="Times New Roman"/>
          <w:sz w:val="26"/>
          <w:szCs w:val="26"/>
        </w:rPr>
      </w:pPr>
      <w:proofErr w:type="spellStart"/>
      <w:r w:rsidRPr="00D8362F">
        <w:rPr>
          <w:rFonts w:ascii="Times New Roman" w:hAnsi="Times New Roman" w:cs="Times New Roman"/>
          <w:sz w:val="26"/>
          <w:szCs w:val="26"/>
        </w:rPr>
        <w:t>ki</w:t>
      </w:r>
      <w:proofErr w:type="spellEnd"/>
      <w:r w:rsidRPr="00D8362F">
        <w:rPr>
          <w:rFonts w:ascii="Times New Roman" w:hAnsi="Times New Roman" w:cs="Times New Roman"/>
          <w:sz w:val="26"/>
          <w:szCs w:val="26"/>
        </w:rPr>
        <w:t xml:space="preserve"> - attiecīgās izglītības tematiskās jomas studiju izmaksu koeficients;</w:t>
      </w:r>
    </w:p>
    <w:p w:rsidR="005861EB" w:rsidRPr="00D8362F" w:rsidRDefault="005861EB" w:rsidP="005861EB">
      <w:pPr>
        <w:spacing w:after="0" w:line="240" w:lineRule="auto"/>
        <w:ind w:firstLine="709"/>
        <w:jc w:val="both"/>
        <w:rPr>
          <w:rFonts w:ascii="Times New Roman" w:hAnsi="Times New Roman" w:cs="Times New Roman"/>
          <w:sz w:val="26"/>
          <w:szCs w:val="26"/>
        </w:rPr>
      </w:pPr>
      <w:proofErr w:type="spellStart"/>
      <w:r w:rsidRPr="00D8362F">
        <w:rPr>
          <w:rFonts w:ascii="Times New Roman" w:hAnsi="Times New Roman" w:cs="Times New Roman"/>
          <w:sz w:val="26"/>
          <w:szCs w:val="26"/>
        </w:rPr>
        <w:t>ni</w:t>
      </w:r>
      <w:proofErr w:type="spellEnd"/>
      <w:r w:rsidRPr="00D8362F">
        <w:rPr>
          <w:rFonts w:ascii="Times New Roman" w:hAnsi="Times New Roman" w:cs="Times New Roman"/>
          <w:sz w:val="26"/>
          <w:szCs w:val="26"/>
        </w:rPr>
        <w:t xml:space="preserve"> - augstskolai vai koledžai noteiktais studiju vietu skaits bakalaura un profesionālajās studiju programmās attiecīgajā izglītības tematiskajā jomā;</w:t>
      </w:r>
    </w:p>
    <w:p w:rsidR="005861EB" w:rsidRPr="00D8362F" w:rsidRDefault="005861EB" w:rsidP="005861EB">
      <w:pPr>
        <w:spacing w:after="0" w:line="240" w:lineRule="auto"/>
        <w:ind w:firstLine="709"/>
        <w:jc w:val="both"/>
        <w:rPr>
          <w:rFonts w:ascii="Times New Roman" w:hAnsi="Times New Roman" w:cs="Times New Roman"/>
          <w:sz w:val="26"/>
          <w:szCs w:val="26"/>
        </w:rPr>
      </w:pPr>
      <w:proofErr w:type="spellStart"/>
      <w:r w:rsidRPr="00D8362F">
        <w:rPr>
          <w:rFonts w:ascii="Times New Roman" w:hAnsi="Times New Roman" w:cs="Times New Roman"/>
          <w:sz w:val="26"/>
          <w:szCs w:val="26"/>
        </w:rPr>
        <w:t>mi</w:t>
      </w:r>
      <w:proofErr w:type="spellEnd"/>
      <w:r w:rsidRPr="00D8362F">
        <w:rPr>
          <w:rFonts w:ascii="Times New Roman" w:hAnsi="Times New Roman" w:cs="Times New Roman"/>
          <w:sz w:val="26"/>
          <w:szCs w:val="26"/>
        </w:rPr>
        <w:t xml:space="preserve"> - studiju vietu skaits attiecīgās izglītības tematiskās jomas maģistra studiju programmās;</w:t>
      </w:r>
    </w:p>
    <w:p w:rsidR="005861EB" w:rsidRPr="00D8362F" w:rsidRDefault="005861EB" w:rsidP="005861EB">
      <w:pPr>
        <w:spacing w:after="0" w:line="240" w:lineRule="auto"/>
        <w:ind w:firstLine="709"/>
        <w:jc w:val="both"/>
        <w:rPr>
          <w:rFonts w:ascii="Times New Roman" w:hAnsi="Times New Roman" w:cs="Times New Roman"/>
          <w:sz w:val="26"/>
          <w:szCs w:val="26"/>
        </w:rPr>
      </w:pPr>
      <w:proofErr w:type="spellStart"/>
      <w:r w:rsidRPr="00D8362F">
        <w:rPr>
          <w:rFonts w:ascii="Times New Roman" w:hAnsi="Times New Roman" w:cs="Times New Roman"/>
          <w:sz w:val="26"/>
          <w:szCs w:val="26"/>
        </w:rPr>
        <w:t>di</w:t>
      </w:r>
      <w:proofErr w:type="spellEnd"/>
      <w:r w:rsidRPr="00D8362F">
        <w:rPr>
          <w:rFonts w:ascii="Times New Roman" w:hAnsi="Times New Roman" w:cs="Times New Roman"/>
          <w:sz w:val="26"/>
          <w:szCs w:val="26"/>
        </w:rPr>
        <w:t xml:space="preserve"> – augstskolai vai koledžai noteiktais studiju vietu skaits doktora studiju programmās attiecīgajā izglītības tematiskajā jomā;</w:t>
      </w:r>
    </w:p>
    <w:p w:rsidR="005861EB" w:rsidRPr="00D8362F" w:rsidRDefault="005861EB" w:rsidP="005861EB">
      <w:pPr>
        <w:spacing w:after="0" w:line="240" w:lineRule="auto"/>
        <w:ind w:firstLine="709"/>
        <w:jc w:val="both"/>
        <w:rPr>
          <w:rFonts w:ascii="Times New Roman" w:hAnsi="Times New Roman" w:cs="Times New Roman"/>
          <w:sz w:val="26"/>
          <w:szCs w:val="26"/>
        </w:rPr>
      </w:pPr>
      <w:proofErr w:type="spellStart"/>
      <w:r w:rsidRPr="00D8362F">
        <w:rPr>
          <w:rFonts w:ascii="Times New Roman" w:hAnsi="Times New Roman" w:cs="Times New Roman"/>
          <w:sz w:val="26"/>
          <w:szCs w:val="26"/>
        </w:rPr>
        <w:t>Sb</w:t>
      </w:r>
      <w:proofErr w:type="spellEnd"/>
      <w:r w:rsidRPr="00D8362F">
        <w:rPr>
          <w:rFonts w:ascii="Times New Roman" w:hAnsi="Times New Roman" w:cs="Times New Roman"/>
          <w:sz w:val="26"/>
          <w:szCs w:val="26"/>
        </w:rPr>
        <w:t xml:space="preserve"> - studiju vietas sociālā nodrošinājuma izmaksas bakalaura, profesionālajās un maģistra studiju programmās;</w:t>
      </w:r>
    </w:p>
    <w:p w:rsidR="005861EB" w:rsidRPr="00D8362F" w:rsidRDefault="005861EB" w:rsidP="005861EB">
      <w:pPr>
        <w:spacing w:after="0" w:line="240" w:lineRule="auto"/>
        <w:ind w:firstLine="709"/>
        <w:jc w:val="both"/>
        <w:rPr>
          <w:rFonts w:ascii="Times New Roman" w:hAnsi="Times New Roman" w:cs="Times New Roman"/>
          <w:sz w:val="26"/>
          <w:szCs w:val="26"/>
        </w:rPr>
      </w:pPr>
      <w:proofErr w:type="spellStart"/>
      <w:r w:rsidRPr="00D8362F">
        <w:rPr>
          <w:rFonts w:ascii="Times New Roman" w:hAnsi="Times New Roman" w:cs="Times New Roman"/>
          <w:sz w:val="26"/>
          <w:szCs w:val="26"/>
        </w:rPr>
        <w:t>Sd</w:t>
      </w:r>
      <w:proofErr w:type="spellEnd"/>
      <w:r w:rsidRPr="00D8362F">
        <w:rPr>
          <w:rFonts w:ascii="Times New Roman" w:hAnsi="Times New Roman" w:cs="Times New Roman"/>
          <w:sz w:val="26"/>
          <w:szCs w:val="26"/>
        </w:rPr>
        <w:t xml:space="preserve"> - studiju vietas sociālā nodrošinājuma izmaksas doktora studiju programmās.</w:t>
      </w:r>
    </w:p>
    <w:p w:rsidR="005861EB" w:rsidRDefault="005861EB" w:rsidP="005861EB">
      <w:pPr>
        <w:spacing w:after="0" w:line="240" w:lineRule="auto"/>
        <w:ind w:firstLine="709"/>
        <w:jc w:val="both"/>
        <w:rPr>
          <w:rFonts w:ascii="Times New Roman" w:hAnsi="Times New Roman" w:cs="Times New Roman"/>
          <w:sz w:val="26"/>
          <w:szCs w:val="26"/>
        </w:rPr>
      </w:pPr>
    </w:p>
    <w:p w:rsidR="002A7189" w:rsidRDefault="006D4852" w:rsidP="002A7189">
      <w:pPr>
        <w:spacing w:after="0" w:line="240" w:lineRule="auto"/>
        <w:ind w:firstLine="709"/>
        <w:jc w:val="both"/>
        <w:rPr>
          <w:rFonts w:ascii="Times New Roman" w:hAnsi="Times New Roman" w:cs="Times New Roman"/>
          <w:sz w:val="26"/>
          <w:szCs w:val="26"/>
        </w:rPr>
      </w:pPr>
      <w:r w:rsidRPr="00FB1B62">
        <w:rPr>
          <w:rFonts w:ascii="Times New Roman" w:hAnsi="Times New Roman" w:cs="Times New Roman"/>
          <w:b/>
          <w:sz w:val="26"/>
          <w:szCs w:val="26"/>
        </w:rPr>
        <w:lastRenderedPageBreak/>
        <w:t>Studiju vietas bāzes izmaksas</w:t>
      </w:r>
      <w:r w:rsidRPr="00D8362F">
        <w:rPr>
          <w:rFonts w:ascii="Times New Roman" w:hAnsi="Times New Roman" w:cs="Times New Roman"/>
          <w:sz w:val="26"/>
          <w:szCs w:val="26"/>
        </w:rPr>
        <w:t xml:space="preserve"> saskaņā ar MK noteikumu Nr.994 16.punktu katru gadu aprēķina IZM un saskaņo ar Finanšu ministriju un ministrijām, kuru padotībā ir augstskolas un koledžas. Saskaņotās studiju vietas bāzes izmaksas </w:t>
      </w:r>
      <w:r>
        <w:rPr>
          <w:rFonts w:ascii="Times New Roman" w:hAnsi="Times New Roman" w:cs="Times New Roman"/>
          <w:sz w:val="26"/>
          <w:szCs w:val="26"/>
        </w:rPr>
        <w:t xml:space="preserve">jau kopš 2010.gada nav mainījušās un to apmērs ir </w:t>
      </w:r>
      <w:r w:rsidRPr="00D8362F">
        <w:rPr>
          <w:rFonts w:ascii="Times New Roman" w:hAnsi="Times New Roman" w:cs="Times New Roman"/>
          <w:sz w:val="26"/>
          <w:szCs w:val="26"/>
        </w:rPr>
        <w:t>937,09 lati.</w:t>
      </w:r>
      <w:r>
        <w:rPr>
          <w:rFonts w:ascii="Times New Roman" w:hAnsi="Times New Roman" w:cs="Times New Roman"/>
          <w:sz w:val="26"/>
          <w:szCs w:val="26"/>
        </w:rPr>
        <w:t xml:space="preserve"> </w:t>
      </w:r>
      <w:r w:rsidRPr="00D8362F">
        <w:rPr>
          <w:rFonts w:ascii="Times New Roman" w:hAnsi="Times New Roman" w:cs="Times New Roman"/>
          <w:sz w:val="26"/>
          <w:szCs w:val="26"/>
        </w:rPr>
        <w:t xml:space="preserve">2009.gada </w:t>
      </w:r>
      <w:r w:rsidR="002A7189">
        <w:rPr>
          <w:rFonts w:ascii="Times New Roman" w:hAnsi="Times New Roman" w:cs="Times New Roman"/>
          <w:sz w:val="26"/>
          <w:szCs w:val="26"/>
        </w:rPr>
        <w:t xml:space="preserve">sākumā </w:t>
      </w:r>
      <w:r w:rsidRPr="00D8362F">
        <w:rPr>
          <w:rFonts w:ascii="Times New Roman" w:hAnsi="Times New Roman" w:cs="Times New Roman"/>
          <w:sz w:val="26"/>
          <w:szCs w:val="26"/>
        </w:rPr>
        <w:t>studiju vietas bāzes izmaksu apmērs bija 1404,31 lats</w:t>
      </w:r>
      <w:r w:rsidR="00A413DF">
        <w:rPr>
          <w:rFonts w:ascii="Times New Roman" w:hAnsi="Times New Roman" w:cs="Times New Roman"/>
          <w:sz w:val="26"/>
          <w:szCs w:val="26"/>
        </w:rPr>
        <w:t xml:space="preserve">, bet </w:t>
      </w:r>
      <w:r w:rsidR="007E03D5">
        <w:rPr>
          <w:rFonts w:ascii="Times New Roman" w:hAnsi="Times New Roman" w:cs="Times New Roman"/>
          <w:sz w:val="26"/>
          <w:szCs w:val="26"/>
        </w:rPr>
        <w:t>tā</w:t>
      </w:r>
      <w:r w:rsidR="00A413DF">
        <w:rPr>
          <w:rFonts w:ascii="Times New Roman" w:hAnsi="Times New Roman" w:cs="Times New Roman"/>
          <w:sz w:val="26"/>
          <w:szCs w:val="26"/>
        </w:rPr>
        <w:t xml:space="preserve"> paša gada beigās – jau 937,09 lati</w:t>
      </w:r>
      <w:r>
        <w:rPr>
          <w:rFonts w:ascii="Times New Roman" w:hAnsi="Times New Roman" w:cs="Times New Roman"/>
          <w:sz w:val="26"/>
          <w:szCs w:val="26"/>
        </w:rPr>
        <w:t xml:space="preserve">. Tas </w:t>
      </w:r>
      <w:r w:rsidRPr="00D8362F">
        <w:rPr>
          <w:rFonts w:ascii="Times New Roman" w:hAnsi="Times New Roman" w:cs="Times New Roman"/>
          <w:sz w:val="26"/>
          <w:szCs w:val="26"/>
        </w:rPr>
        <w:t xml:space="preserve">tika </w:t>
      </w:r>
      <w:r>
        <w:rPr>
          <w:rFonts w:ascii="Times New Roman" w:hAnsi="Times New Roman" w:cs="Times New Roman"/>
          <w:sz w:val="26"/>
          <w:szCs w:val="26"/>
        </w:rPr>
        <w:t xml:space="preserve">ievērojami </w:t>
      </w:r>
      <w:r w:rsidRPr="00D8362F">
        <w:rPr>
          <w:rFonts w:ascii="Times New Roman" w:hAnsi="Times New Roman" w:cs="Times New Roman"/>
          <w:sz w:val="26"/>
          <w:szCs w:val="26"/>
        </w:rPr>
        <w:t xml:space="preserve">samazināts krīzes </w:t>
      </w:r>
      <w:r>
        <w:rPr>
          <w:rFonts w:ascii="Times New Roman" w:hAnsi="Times New Roman" w:cs="Times New Roman"/>
          <w:sz w:val="26"/>
          <w:szCs w:val="26"/>
        </w:rPr>
        <w:t>laikā, veicot konsolidācijas pasākumus</w:t>
      </w:r>
      <w:r w:rsidR="002A7189">
        <w:rPr>
          <w:rFonts w:ascii="Times New Roman" w:hAnsi="Times New Roman" w:cs="Times New Roman"/>
          <w:sz w:val="26"/>
          <w:szCs w:val="26"/>
        </w:rPr>
        <w:t xml:space="preserve"> (1.tabula)</w:t>
      </w:r>
      <w:r w:rsidRPr="00D8362F">
        <w:rPr>
          <w:rFonts w:ascii="Times New Roman" w:hAnsi="Times New Roman" w:cs="Times New Roman"/>
          <w:sz w:val="26"/>
          <w:szCs w:val="26"/>
        </w:rPr>
        <w:t xml:space="preserve">. </w:t>
      </w:r>
    </w:p>
    <w:p w:rsidR="002A7189" w:rsidRPr="005C1714" w:rsidRDefault="002A7189" w:rsidP="002A7189">
      <w:pPr>
        <w:spacing w:after="0" w:line="240" w:lineRule="auto"/>
        <w:ind w:firstLine="709"/>
        <w:jc w:val="right"/>
        <w:rPr>
          <w:rFonts w:ascii="Times New Roman" w:hAnsi="Times New Roman" w:cs="Times New Roman"/>
          <w:i/>
          <w:sz w:val="26"/>
          <w:szCs w:val="26"/>
        </w:rPr>
      </w:pPr>
      <w:r w:rsidRPr="005C1714">
        <w:rPr>
          <w:rFonts w:ascii="Times New Roman" w:hAnsi="Times New Roman" w:cs="Times New Roman"/>
          <w:i/>
          <w:sz w:val="26"/>
          <w:szCs w:val="26"/>
        </w:rPr>
        <w:t>1.tabula</w:t>
      </w:r>
    </w:p>
    <w:p w:rsidR="002A7189" w:rsidRPr="002A7189" w:rsidRDefault="002A7189" w:rsidP="002A7189">
      <w:pPr>
        <w:spacing w:after="0" w:line="240" w:lineRule="auto"/>
        <w:ind w:firstLine="709"/>
        <w:jc w:val="center"/>
        <w:rPr>
          <w:rFonts w:ascii="Times New Roman" w:hAnsi="Times New Roman" w:cs="Times New Roman"/>
          <w:b/>
          <w:sz w:val="26"/>
          <w:szCs w:val="26"/>
        </w:rPr>
      </w:pPr>
      <w:r w:rsidRPr="002A7189">
        <w:rPr>
          <w:rFonts w:ascii="Times New Roman" w:hAnsi="Times New Roman" w:cs="Times New Roman"/>
          <w:b/>
          <w:sz w:val="26"/>
          <w:szCs w:val="26"/>
        </w:rPr>
        <w:t>Studiju vietas bāzes izmaksas 2007. – 201</w:t>
      </w:r>
      <w:r w:rsidR="00F01C30">
        <w:rPr>
          <w:rFonts w:ascii="Times New Roman" w:hAnsi="Times New Roman" w:cs="Times New Roman"/>
          <w:b/>
          <w:sz w:val="26"/>
          <w:szCs w:val="26"/>
        </w:rPr>
        <w:t>3</w:t>
      </w:r>
      <w:r w:rsidRPr="002A7189">
        <w:rPr>
          <w:rFonts w:ascii="Times New Roman" w:hAnsi="Times New Roman" w:cs="Times New Roman"/>
          <w:b/>
          <w:sz w:val="26"/>
          <w:szCs w:val="26"/>
        </w:rPr>
        <w:t>.gadā, latos</w:t>
      </w:r>
    </w:p>
    <w:p w:rsidR="002A7189" w:rsidRPr="002A7189" w:rsidRDefault="002A7189" w:rsidP="002A7189">
      <w:pPr>
        <w:spacing w:after="0" w:line="240" w:lineRule="auto"/>
        <w:ind w:firstLine="709"/>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1619"/>
        <w:gridCol w:w="1619"/>
        <w:gridCol w:w="1522"/>
        <w:gridCol w:w="1855"/>
      </w:tblGrid>
      <w:tr w:rsidR="002A7189" w:rsidRPr="002A7189" w:rsidTr="005E1344">
        <w:tc>
          <w:tcPr>
            <w:tcW w:w="2041" w:type="dxa"/>
            <w:tcBorders>
              <w:bottom w:val="single" w:sz="4" w:space="0" w:color="auto"/>
            </w:tcBorders>
          </w:tcPr>
          <w:p w:rsidR="002A7189" w:rsidRPr="002A7189" w:rsidRDefault="002A7189" w:rsidP="002A7189">
            <w:pPr>
              <w:spacing w:after="0" w:line="240" w:lineRule="auto"/>
              <w:ind w:firstLine="709"/>
              <w:rPr>
                <w:rFonts w:ascii="Times New Roman" w:hAnsi="Times New Roman" w:cs="Times New Roman"/>
                <w:sz w:val="24"/>
                <w:szCs w:val="24"/>
              </w:rPr>
            </w:pPr>
            <w:r w:rsidRPr="002A7189">
              <w:rPr>
                <w:rFonts w:ascii="Times New Roman" w:hAnsi="Times New Roman" w:cs="Times New Roman"/>
                <w:sz w:val="24"/>
                <w:szCs w:val="24"/>
              </w:rPr>
              <w:t>Gads</w:t>
            </w:r>
          </w:p>
        </w:tc>
        <w:tc>
          <w:tcPr>
            <w:tcW w:w="1619" w:type="dxa"/>
            <w:tcBorders>
              <w:bottom w:val="single" w:sz="4" w:space="0" w:color="auto"/>
            </w:tcBorders>
          </w:tcPr>
          <w:p w:rsidR="002A7189" w:rsidRPr="002A7189" w:rsidRDefault="002A7189" w:rsidP="002A7189">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2007</w:t>
            </w:r>
            <w:r w:rsidR="00C140E5">
              <w:rPr>
                <w:rFonts w:ascii="Times New Roman" w:hAnsi="Times New Roman" w:cs="Times New Roman"/>
                <w:sz w:val="24"/>
                <w:szCs w:val="24"/>
              </w:rPr>
              <w:t>.</w:t>
            </w:r>
          </w:p>
        </w:tc>
        <w:tc>
          <w:tcPr>
            <w:tcW w:w="1619" w:type="dxa"/>
            <w:tcBorders>
              <w:bottom w:val="single" w:sz="4" w:space="0" w:color="auto"/>
            </w:tcBorders>
          </w:tcPr>
          <w:p w:rsidR="002A7189" w:rsidRPr="002A7189" w:rsidRDefault="002A7189" w:rsidP="002A7189">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2008</w:t>
            </w:r>
            <w:r w:rsidR="00C140E5">
              <w:rPr>
                <w:rFonts w:ascii="Times New Roman" w:hAnsi="Times New Roman" w:cs="Times New Roman"/>
                <w:sz w:val="24"/>
                <w:szCs w:val="24"/>
              </w:rPr>
              <w:t>.</w:t>
            </w:r>
          </w:p>
        </w:tc>
        <w:tc>
          <w:tcPr>
            <w:tcW w:w="1522" w:type="dxa"/>
            <w:tcBorders>
              <w:bottom w:val="single" w:sz="4" w:space="0" w:color="auto"/>
            </w:tcBorders>
          </w:tcPr>
          <w:p w:rsidR="002A7189" w:rsidRPr="002A7189" w:rsidRDefault="002A7189" w:rsidP="002A7189">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2009</w:t>
            </w:r>
            <w:r w:rsidR="00C140E5">
              <w:rPr>
                <w:rFonts w:ascii="Times New Roman" w:hAnsi="Times New Roman" w:cs="Times New Roman"/>
                <w:sz w:val="24"/>
                <w:szCs w:val="24"/>
              </w:rPr>
              <w:t>.</w:t>
            </w:r>
          </w:p>
        </w:tc>
        <w:tc>
          <w:tcPr>
            <w:tcW w:w="1855" w:type="dxa"/>
            <w:tcBorders>
              <w:bottom w:val="single" w:sz="4" w:space="0" w:color="auto"/>
            </w:tcBorders>
          </w:tcPr>
          <w:p w:rsidR="002A7189" w:rsidRPr="002A7189" w:rsidRDefault="002A7189" w:rsidP="00F01C30">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2010</w:t>
            </w:r>
            <w:r w:rsidR="00C140E5">
              <w:rPr>
                <w:rFonts w:ascii="Times New Roman" w:hAnsi="Times New Roman" w:cs="Times New Roman"/>
                <w:sz w:val="24"/>
                <w:szCs w:val="24"/>
              </w:rPr>
              <w:t>.</w:t>
            </w:r>
            <w:r w:rsidRPr="002A7189">
              <w:rPr>
                <w:rFonts w:ascii="Times New Roman" w:hAnsi="Times New Roman" w:cs="Times New Roman"/>
                <w:sz w:val="24"/>
                <w:szCs w:val="24"/>
              </w:rPr>
              <w:t xml:space="preserve"> – 201</w:t>
            </w:r>
            <w:r w:rsidR="00F01C30">
              <w:rPr>
                <w:rFonts w:ascii="Times New Roman" w:hAnsi="Times New Roman" w:cs="Times New Roman"/>
                <w:sz w:val="24"/>
                <w:szCs w:val="24"/>
              </w:rPr>
              <w:t>3</w:t>
            </w:r>
            <w:r w:rsidR="00C140E5">
              <w:rPr>
                <w:rFonts w:ascii="Times New Roman" w:hAnsi="Times New Roman" w:cs="Times New Roman"/>
                <w:sz w:val="24"/>
                <w:szCs w:val="24"/>
              </w:rPr>
              <w:t>.</w:t>
            </w:r>
          </w:p>
        </w:tc>
      </w:tr>
      <w:tr w:rsidR="002A7189" w:rsidRPr="002A7189" w:rsidTr="005E1344">
        <w:tc>
          <w:tcPr>
            <w:tcW w:w="2041" w:type="dxa"/>
            <w:tcBorders>
              <w:top w:val="nil"/>
              <w:bottom w:val="dashed" w:sz="4" w:space="0" w:color="auto"/>
            </w:tcBorders>
          </w:tcPr>
          <w:p w:rsidR="002A7189" w:rsidRPr="002A7189" w:rsidRDefault="002A7189" w:rsidP="002A7189">
            <w:pPr>
              <w:spacing w:after="0" w:line="240" w:lineRule="auto"/>
              <w:rPr>
                <w:rFonts w:ascii="Times New Roman" w:hAnsi="Times New Roman" w:cs="Times New Roman"/>
                <w:sz w:val="24"/>
                <w:szCs w:val="24"/>
              </w:rPr>
            </w:pPr>
            <w:r w:rsidRPr="002A7189">
              <w:rPr>
                <w:rFonts w:ascii="Times New Roman" w:hAnsi="Times New Roman" w:cs="Times New Roman"/>
                <w:sz w:val="24"/>
                <w:szCs w:val="24"/>
              </w:rPr>
              <w:t>No attiecīgā gada 1.janvāra</w:t>
            </w:r>
          </w:p>
        </w:tc>
        <w:tc>
          <w:tcPr>
            <w:tcW w:w="1619" w:type="dxa"/>
            <w:tcBorders>
              <w:top w:val="nil"/>
              <w:bottom w:val="dashed" w:sz="4" w:space="0" w:color="auto"/>
            </w:tcBorders>
          </w:tcPr>
          <w:p w:rsidR="002A7189" w:rsidRPr="002A7189" w:rsidRDefault="002A7189" w:rsidP="00F92B73">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1057,33</w:t>
            </w:r>
          </w:p>
        </w:tc>
        <w:tc>
          <w:tcPr>
            <w:tcW w:w="1619" w:type="dxa"/>
            <w:tcBorders>
              <w:top w:val="nil"/>
              <w:bottom w:val="dashed" w:sz="4" w:space="0" w:color="auto"/>
            </w:tcBorders>
          </w:tcPr>
          <w:p w:rsidR="002A7189" w:rsidRPr="002A7189" w:rsidRDefault="002A7189" w:rsidP="00F92B73">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1267,2</w:t>
            </w:r>
          </w:p>
        </w:tc>
        <w:tc>
          <w:tcPr>
            <w:tcW w:w="1522" w:type="dxa"/>
            <w:tcBorders>
              <w:top w:val="nil"/>
              <w:bottom w:val="dashed" w:sz="4" w:space="0" w:color="auto"/>
            </w:tcBorders>
          </w:tcPr>
          <w:p w:rsidR="002A7189" w:rsidRPr="002A7189" w:rsidRDefault="002A7189" w:rsidP="00F92B73">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1404,31</w:t>
            </w:r>
          </w:p>
          <w:p w:rsidR="002A7189" w:rsidRPr="002A7189" w:rsidRDefault="002A7189" w:rsidP="00404E72">
            <w:pPr>
              <w:spacing w:after="0" w:line="240" w:lineRule="auto"/>
              <w:rPr>
                <w:rFonts w:ascii="Times New Roman" w:hAnsi="Times New Roman" w:cs="Times New Roman"/>
                <w:sz w:val="24"/>
                <w:szCs w:val="24"/>
              </w:rPr>
            </w:pPr>
          </w:p>
        </w:tc>
        <w:tc>
          <w:tcPr>
            <w:tcW w:w="1855" w:type="dxa"/>
            <w:tcBorders>
              <w:top w:val="nil"/>
              <w:bottom w:val="dashed" w:sz="4" w:space="0" w:color="auto"/>
            </w:tcBorders>
          </w:tcPr>
          <w:p w:rsidR="002A7189" w:rsidRPr="002A7189" w:rsidRDefault="002A7189" w:rsidP="00F92B73">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937,09</w:t>
            </w:r>
          </w:p>
        </w:tc>
      </w:tr>
      <w:tr w:rsidR="002A7189" w:rsidRPr="002A7189" w:rsidTr="005E1344">
        <w:tc>
          <w:tcPr>
            <w:tcW w:w="2041" w:type="dxa"/>
            <w:tcBorders>
              <w:top w:val="dashed" w:sz="4" w:space="0" w:color="auto"/>
            </w:tcBorders>
          </w:tcPr>
          <w:p w:rsidR="002A7189" w:rsidRPr="002A7189" w:rsidRDefault="002A7189" w:rsidP="002A7189">
            <w:pPr>
              <w:spacing w:after="0" w:line="240" w:lineRule="auto"/>
              <w:rPr>
                <w:rFonts w:ascii="Times New Roman" w:hAnsi="Times New Roman" w:cs="Times New Roman"/>
                <w:sz w:val="24"/>
                <w:szCs w:val="24"/>
              </w:rPr>
            </w:pPr>
            <w:r w:rsidRPr="002A7189">
              <w:rPr>
                <w:rFonts w:ascii="Times New Roman" w:hAnsi="Times New Roman" w:cs="Times New Roman"/>
                <w:sz w:val="24"/>
                <w:szCs w:val="24"/>
              </w:rPr>
              <w:t>No attiecīgā gada 1.septembra</w:t>
            </w:r>
          </w:p>
        </w:tc>
        <w:tc>
          <w:tcPr>
            <w:tcW w:w="1619" w:type="dxa"/>
            <w:tcBorders>
              <w:top w:val="dashed" w:sz="4" w:space="0" w:color="auto"/>
            </w:tcBorders>
          </w:tcPr>
          <w:p w:rsidR="002A7189" w:rsidRPr="002A7189" w:rsidRDefault="002A7189" w:rsidP="002A7189">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1267,2</w:t>
            </w:r>
          </w:p>
        </w:tc>
        <w:tc>
          <w:tcPr>
            <w:tcW w:w="1619" w:type="dxa"/>
            <w:tcBorders>
              <w:top w:val="dashed" w:sz="4" w:space="0" w:color="auto"/>
            </w:tcBorders>
          </w:tcPr>
          <w:p w:rsidR="002A7189" w:rsidRPr="002A7189" w:rsidRDefault="002A7189" w:rsidP="002A7189">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1401,57</w:t>
            </w:r>
          </w:p>
        </w:tc>
        <w:tc>
          <w:tcPr>
            <w:tcW w:w="1522" w:type="dxa"/>
            <w:tcBorders>
              <w:top w:val="dashed" w:sz="4" w:space="0" w:color="auto"/>
            </w:tcBorders>
          </w:tcPr>
          <w:p w:rsidR="002A7189" w:rsidRPr="002A7189" w:rsidRDefault="002A7189" w:rsidP="002A7189">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937,09</w:t>
            </w:r>
          </w:p>
        </w:tc>
        <w:tc>
          <w:tcPr>
            <w:tcW w:w="1855" w:type="dxa"/>
            <w:tcBorders>
              <w:top w:val="dashed" w:sz="4" w:space="0" w:color="auto"/>
            </w:tcBorders>
          </w:tcPr>
          <w:p w:rsidR="002A7189" w:rsidRPr="002A7189" w:rsidRDefault="002A7189" w:rsidP="002A7189">
            <w:pPr>
              <w:spacing w:after="0" w:line="240" w:lineRule="auto"/>
              <w:jc w:val="center"/>
              <w:rPr>
                <w:rFonts w:ascii="Times New Roman" w:hAnsi="Times New Roman" w:cs="Times New Roman"/>
                <w:sz w:val="24"/>
                <w:szCs w:val="24"/>
              </w:rPr>
            </w:pPr>
            <w:r w:rsidRPr="002A7189">
              <w:rPr>
                <w:rFonts w:ascii="Times New Roman" w:hAnsi="Times New Roman" w:cs="Times New Roman"/>
                <w:sz w:val="24"/>
                <w:szCs w:val="24"/>
              </w:rPr>
              <w:t>937,09</w:t>
            </w:r>
          </w:p>
        </w:tc>
      </w:tr>
    </w:tbl>
    <w:p w:rsidR="006D4852" w:rsidRDefault="006D4852" w:rsidP="002A7189">
      <w:pPr>
        <w:spacing w:after="0" w:line="240" w:lineRule="auto"/>
        <w:jc w:val="both"/>
        <w:rPr>
          <w:rFonts w:ascii="Times New Roman" w:hAnsi="Times New Roman" w:cs="Times New Roman"/>
          <w:sz w:val="26"/>
          <w:szCs w:val="26"/>
        </w:rPr>
      </w:pPr>
    </w:p>
    <w:p w:rsidR="002A7189" w:rsidRDefault="002A7189" w:rsidP="002A71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FB1B62">
        <w:rPr>
          <w:rFonts w:ascii="Times New Roman" w:hAnsi="Times New Roman" w:cs="Times New Roman"/>
          <w:b/>
          <w:sz w:val="26"/>
          <w:szCs w:val="26"/>
        </w:rPr>
        <w:t>No valsts budžeta finansējamo studiju vietu skaitu</w:t>
      </w:r>
      <w:r>
        <w:rPr>
          <w:rFonts w:ascii="Times New Roman" w:hAnsi="Times New Roman" w:cs="Times New Roman"/>
          <w:sz w:val="26"/>
          <w:szCs w:val="26"/>
        </w:rPr>
        <w:t xml:space="preserve"> augstskolās saskaņā ar Augstskolu likuma 51</w:t>
      </w:r>
      <w:r w:rsidR="00FB1B62">
        <w:rPr>
          <w:rFonts w:ascii="Times New Roman" w:hAnsi="Times New Roman" w:cs="Times New Roman"/>
          <w:sz w:val="26"/>
          <w:szCs w:val="26"/>
        </w:rPr>
        <w:t>.</w:t>
      </w:r>
      <w:r>
        <w:rPr>
          <w:rFonts w:ascii="Times New Roman" w:hAnsi="Times New Roman" w:cs="Times New Roman"/>
          <w:sz w:val="26"/>
          <w:szCs w:val="26"/>
        </w:rPr>
        <w:t xml:space="preserve">pantu nosaka </w:t>
      </w:r>
      <w:r w:rsidR="00FB1B62">
        <w:rPr>
          <w:rFonts w:ascii="Times New Roman" w:hAnsi="Times New Roman" w:cs="Times New Roman"/>
          <w:sz w:val="26"/>
          <w:szCs w:val="26"/>
        </w:rPr>
        <w:t xml:space="preserve">izglītības </w:t>
      </w:r>
      <w:r w:rsidR="00FB1B62" w:rsidRPr="002A7189">
        <w:rPr>
          <w:rFonts w:ascii="Times New Roman" w:hAnsi="Times New Roman" w:cs="Times New Roman"/>
          <w:sz w:val="26"/>
          <w:szCs w:val="26"/>
        </w:rPr>
        <w:t xml:space="preserve">un </w:t>
      </w:r>
      <w:r w:rsidRPr="002A7189">
        <w:rPr>
          <w:rFonts w:ascii="Times New Roman" w:hAnsi="Times New Roman" w:cs="Times New Roman"/>
          <w:sz w:val="26"/>
          <w:szCs w:val="26"/>
        </w:rPr>
        <w:t>zinātnes ministrs pēc Augstākās izglītības padomes priekšlikuma.</w:t>
      </w:r>
      <w:r>
        <w:rPr>
          <w:rFonts w:ascii="Times New Roman" w:hAnsi="Times New Roman" w:cs="Times New Roman"/>
          <w:sz w:val="26"/>
          <w:szCs w:val="26"/>
        </w:rPr>
        <w:t xml:space="preserve"> </w:t>
      </w:r>
      <w:r w:rsidR="005C1714">
        <w:rPr>
          <w:rFonts w:ascii="Times New Roman" w:hAnsi="Times New Roman" w:cs="Times New Roman"/>
          <w:sz w:val="26"/>
          <w:szCs w:val="26"/>
        </w:rPr>
        <w:t>2.tabulā parādītas valsts budžeta finansējamo studiju vietu skaita izmaiņas ministriju padotībā esošajās augstākās izglītības iestādēs kopš 2008.gada.</w:t>
      </w:r>
    </w:p>
    <w:p w:rsidR="00FB1B62" w:rsidRDefault="00FB1B62" w:rsidP="005C1714">
      <w:pPr>
        <w:spacing w:after="0" w:line="240" w:lineRule="auto"/>
        <w:jc w:val="right"/>
        <w:rPr>
          <w:rFonts w:ascii="Times New Roman" w:hAnsi="Times New Roman" w:cs="Times New Roman"/>
          <w:sz w:val="26"/>
          <w:szCs w:val="26"/>
        </w:rPr>
      </w:pPr>
    </w:p>
    <w:p w:rsidR="005C1714" w:rsidRPr="005C1714" w:rsidRDefault="005C1714" w:rsidP="005C1714">
      <w:pPr>
        <w:spacing w:after="0" w:line="240" w:lineRule="auto"/>
        <w:ind w:firstLine="709"/>
        <w:jc w:val="right"/>
        <w:rPr>
          <w:rFonts w:ascii="Times New Roman" w:hAnsi="Times New Roman" w:cs="Times New Roman"/>
          <w:i/>
          <w:sz w:val="26"/>
          <w:szCs w:val="26"/>
        </w:rPr>
      </w:pPr>
      <w:r w:rsidRPr="005C1714">
        <w:rPr>
          <w:rFonts w:ascii="Times New Roman" w:hAnsi="Times New Roman" w:cs="Times New Roman"/>
          <w:i/>
          <w:sz w:val="26"/>
          <w:szCs w:val="26"/>
        </w:rPr>
        <w:t>2.tabula</w:t>
      </w:r>
    </w:p>
    <w:p w:rsidR="005C1714" w:rsidRDefault="00C140E5" w:rsidP="00C140E5">
      <w:pPr>
        <w:spacing w:after="0" w:line="240" w:lineRule="auto"/>
        <w:jc w:val="center"/>
        <w:rPr>
          <w:rFonts w:ascii="Times New Roman" w:hAnsi="Times New Roman" w:cs="Times New Roman"/>
          <w:sz w:val="26"/>
          <w:szCs w:val="26"/>
        </w:rPr>
      </w:pPr>
      <w:r w:rsidRPr="00C140E5">
        <w:rPr>
          <w:rFonts w:ascii="Times New Roman" w:hAnsi="Times New Roman" w:cs="Times New Roman"/>
          <w:b/>
          <w:sz w:val="26"/>
          <w:szCs w:val="26"/>
        </w:rPr>
        <w:t>Valsts budžeta finansēto studiju vietu skaita izmaiņas ministriju padotībā esošajās augstākās izglītības iestādēs 2008. - 2013.gadā</w:t>
      </w:r>
    </w:p>
    <w:p w:rsidR="005C1714" w:rsidRDefault="005C1714" w:rsidP="002A7189">
      <w:pPr>
        <w:spacing w:after="0" w:line="240" w:lineRule="auto"/>
        <w:jc w:val="both"/>
        <w:rPr>
          <w:rFonts w:ascii="Times New Roman" w:hAnsi="Times New Roman" w:cs="Times New Roman"/>
          <w:sz w:val="26"/>
          <w:szCs w:val="26"/>
        </w:rPr>
      </w:pPr>
    </w:p>
    <w:tbl>
      <w:tblPr>
        <w:tblW w:w="8771" w:type="dxa"/>
        <w:tblInd w:w="93" w:type="dxa"/>
        <w:tblLook w:val="04A0"/>
      </w:tblPr>
      <w:tblGrid>
        <w:gridCol w:w="813"/>
        <w:gridCol w:w="1621"/>
        <w:gridCol w:w="819"/>
        <w:gridCol w:w="883"/>
        <w:gridCol w:w="879"/>
        <w:gridCol w:w="1003"/>
        <w:gridCol w:w="843"/>
        <w:gridCol w:w="823"/>
        <w:gridCol w:w="1087"/>
      </w:tblGrid>
      <w:tr w:rsidR="00C140E5" w:rsidRPr="00C140E5" w:rsidTr="00C140E5">
        <w:trPr>
          <w:trHeight w:val="125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proofErr w:type="spellStart"/>
            <w:r w:rsidRPr="00C140E5">
              <w:rPr>
                <w:rFonts w:ascii="Times New Roman" w:eastAsia="Times New Roman" w:hAnsi="Times New Roman" w:cs="Times New Roman"/>
                <w:sz w:val="24"/>
                <w:szCs w:val="24"/>
                <w:lang w:eastAsia="lv-LV"/>
              </w:rPr>
              <w:t>N.p.k</w:t>
            </w:r>
            <w:proofErr w:type="spellEnd"/>
            <w:r w:rsidRPr="00C140E5">
              <w:rPr>
                <w:rFonts w:ascii="Times New Roman" w:eastAsia="Times New Roman" w:hAnsi="Times New Roman" w:cs="Times New Roman"/>
                <w:sz w:val="24"/>
                <w:szCs w:val="24"/>
                <w:lang w:eastAsia="lv-LV"/>
              </w:rPr>
              <w:t>.</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Ministrija</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2008.</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2009.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2010.*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2011.**</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2012.</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2013.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Izmaiņas pret 2008. </w:t>
            </w:r>
            <w:r>
              <w:rPr>
                <w:rFonts w:ascii="Times New Roman" w:eastAsia="Times New Roman" w:hAnsi="Times New Roman" w:cs="Times New Roman"/>
                <w:sz w:val="24"/>
                <w:szCs w:val="24"/>
                <w:lang w:eastAsia="lv-LV"/>
              </w:rPr>
              <w:t>g</w:t>
            </w:r>
            <w:r w:rsidRPr="00C140E5">
              <w:rPr>
                <w:rFonts w:ascii="Times New Roman" w:eastAsia="Times New Roman" w:hAnsi="Times New Roman" w:cs="Times New Roman"/>
                <w:sz w:val="24"/>
                <w:szCs w:val="24"/>
                <w:lang w:eastAsia="lv-LV"/>
              </w:rPr>
              <w:t>adu</w:t>
            </w:r>
            <w:r>
              <w:rPr>
                <w:rFonts w:ascii="Times New Roman" w:eastAsia="Times New Roman" w:hAnsi="Times New Roman" w:cs="Times New Roman"/>
                <w:sz w:val="24"/>
                <w:szCs w:val="24"/>
                <w:lang w:eastAsia="lv-LV"/>
              </w:rPr>
              <w:t xml:space="preserve"> (8.aile – 3.aile)</w:t>
            </w:r>
          </w:p>
        </w:tc>
      </w:tr>
      <w:tr w:rsidR="00C140E5" w:rsidRPr="00C140E5" w:rsidTr="00C140E5">
        <w:trPr>
          <w:trHeight w:val="28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1</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2</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6</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7</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8</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i/>
                <w:sz w:val="18"/>
                <w:szCs w:val="24"/>
                <w:lang w:eastAsia="lv-LV"/>
              </w:rPr>
            </w:pPr>
            <w:r w:rsidRPr="00C140E5">
              <w:rPr>
                <w:rFonts w:ascii="Times New Roman" w:eastAsia="Times New Roman" w:hAnsi="Times New Roman" w:cs="Times New Roman"/>
                <w:i/>
                <w:sz w:val="18"/>
                <w:szCs w:val="24"/>
                <w:lang w:eastAsia="lv-LV"/>
              </w:rPr>
              <w:t>9</w:t>
            </w:r>
          </w:p>
        </w:tc>
      </w:tr>
      <w:tr w:rsidR="00C140E5" w:rsidRPr="00C140E5" w:rsidTr="00C140E5">
        <w:trPr>
          <w:trHeight w:val="646"/>
        </w:trPr>
        <w:tc>
          <w:tcPr>
            <w:tcW w:w="813" w:type="dxa"/>
            <w:tcBorders>
              <w:top w:val="nil"/>
              <w:left w:val="single" w:sz="4" w:space="0" w:color="auto"/>
              <w:bottom w:val="nil"/>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1.</w:t>
            </w:r>
          </w:p>
        </w:tc>
        <w:tc>
          <w:tcPr>
            <w:tcW w:w="7957" w:type="dxa"/>
            <w:gridSpan w:val="8"/>
            <w:tcBorders>
              <w:top w:val="single" w:sz="4" w:space="0" w:color="auto"/>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Izglītības un zinātnes ministrija, tajā skaitā</w:t>
            </w:r>
          </w:p>
        </w:tc>
      </w:tr>
      <w:tr w:rsidR="00C140E5" w:rsidRPr="00C140E5" w:rsidTr="00C140E5">
        <w:trPr>
          <w:trHeight w:val="646"/>
        </w:trPr>
        <w:tc>
          <w:tcPr>
            <w:tcW w:w="813" w:type="dxa"/>
            <w:tcBorders>
              <w:top w:val="nil"/>
              <w:left w:val="single" w:sz="4" w:space="0" w:color="auto"/>
              <w:bottom w:val="nil"/>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w:t>
            </w:r>
          </w:p>
        </w:tc>
        <w:tc>
          <w:tcPr>
            <w:tcW w:w="1621" w:type="dxa"/>
            <w:tcBorders>
              <w:top w:val="nil"/>
              <w:left w:val="nil"/>
              <w:bottom w:val="single" w:sz="4" w:space="0" w:color="auto"/>
              <w:right w:val="nil"/>
            </w:tcBorders>
            <w:shd w:val="clear" w:color="auto" w:fill="auto"/>
            <w:vAlign w:val="center"/>
            <w:hideMark/>
          </w:tcPr>
          <w:p w:rsidR="00C140E5" w:rsidRPr="00C140E5" w:rsidRDefault="00C140E5" w:rsidP="00C140E5">
            <w:pPr>
              <w:spacing w:after="0" w:line="240" w:lineRule="auto"/>
              <w:jc w:val="right"/>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augstskolas </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19840</w:t>
            </w:r>
          </w:p>
        </w:tc>
        <w:tc>
          <w:tcPr>
            <w:tcW w:w="88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19717</w:t>
            </w:r>
          </w:p>
        </w:tc>
        <w:tc>
          <w:tcPr>
            <w:tcW w:w="879"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19189</w:t>
            </w:r>
          </w:p>
        </w:tc>
        <w:tc>
          <w:tcPr>
            <w:tcW w:w="100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19322</w:t>
            </w:r>
          </w:p>
        </w:tc>
        <w:tc>
          <w:tcPr>
            <w:tcW w:w="84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19305</w:t>
            </w:r>
          </w:p>
        </w:tc>
        <w:tc>
          <w:tcPr>
            <w:tcW w:w="823"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19166</w:t>
            </w:r>
          </w:p>
        </w:tc>
        <w:tc>
          <w:tcPr>
            <w:tcW w:w="1087"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-674</w:t>
            </w:r>
          </w:p>
        </w:tc>
      </w:tr>
      <w:tr w:rsidR="00C140E5" w:rsidRPr="00C140E5" w:rsidTr="00C140E5">
        <w:trPr>
          <w:trHeight w:val="59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w:t>
            </w:r>
          </w:p>
        </w:tc>
        <w:tc>
          <w:tcPr>
            <w:tcW w:w="1621" w:type="dxa"/>
            <w:tcBorders>
              <w:top w:val="nil"/>
              <w:left w:val="nil"/>
              <w:bottom w:val="single" w:sz="4" w:space="0" w:color="auto"/>
              <w:right w:val="nil"/>
            </w:tcBorders>
            <w:shd w:val="clear" w:color="auto" w:fill="auto"/>
            <w:vAlign w:val="center"/>
            <w:hideMark/>
          </w:tcPr>
          <w:p w:rsidR="00C140E5" w:rsidRPr="00C140E5" w:rsidRDefault="00C140E5" w:rsidP="00C140E5">
            <w:pPr>
              <w:spacing w:after="0" w:line="240" w:lineRule="auto"/>
              <w:jc w:val="right"/>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koledžas</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3193</w:t>
            </w:r>
          </w:p>
        </w:tc>
        <w:tc>
          <w:tcPr>
            <w:tcW w:w="88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3431</w:t>
            </w:r>
          </w:p>
        </w:tc>
        <w:tc>
          <w:tcPr>
            <w:tcW w:w="879"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2991</w:t>
            </w:r>
          </w:p>
        </w:tc>
        <w:tc>
          <w:tcPr>
            <w:tcW w:w="100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2832</w:t>
            </w:r>
          </w:p>
        </w:tc>
        <w:tc>
          <w:tcPr>
            <w:tcW w:w="84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2832</w:t>
            </w:r>
          </w:p>
        </w:tc>
        <w:tc>
          <w:tcPr>
            <w:tcW w:w="823"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2823</w:t>
            </w:r>
          </w:p>
        </w:tc>
        <w:tc>
          <w:tcPr>
            <w:tcW w:w="1087"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-370</w:t>
            </w:r>
          </w:p>
        </w:tc>
      </w:tr>
      <w:tr w:rsidR="00C140E5" w:rsidRPr="00C140E5" w:rsidTr="00C140E5">
        <w:trPr>
          <w:trHeight w:val="716"/>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w:t>
            </w:r>
          </w:p>
        </w:tc>
        <w:tc>
          <w:tcPr>
            <w:tcW w:w="1621" w:type="dxa"/>
            <w:tcBorders>
              <w:top w:val="nil"/>
              <w:left w:val="nil"/>
              <w:bottom w:val="single" w:sz="4" w:space="0" w:color="auto"/>
              <w:right w:val="nil"/>
            </w:tcBorders>
            <w:shd w:val="clear" w:color="auto" w:fill="auto"/>
            <w:vAlign w:val="center"/>
            <w:hideMark/>
          </w:tcPr>
          <w:p w:rsidR="00C140E5" w:rsidRPr="00C140E5" w:rsidRDefault="00C140E5" w:rsidP="00C140E5">
            <w:pPr>
              <w:spacing w:after="0" w:line="240" w:lineRule="auto"/>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Kultūras ministrija</w:t>
            </w:r>
            <w:r w:rsidR="001F087E">
              <w:rPr>
                <w:rFonts w:ascii="Times New Roman" w:eastAsia="Times New Roman" w:hAnsi="Times New Roman" w:cs="Times New Roman"/>
                <w:sz w:val="24"/>
                <w:szCs w:val="24"/>
                <w:lang w:eastAsia="lv-LV"/>
              </w:rPr>
              <w:t>***</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C140E5" w:rsidRPr="00C25473" w:rsidRDefault="0033506E" w:rsidP="00C140E5">
            <w:pPr>
              <w:spacing w:after="0" w:line="240" w:lineRule="auto"/>
              <w:jc w:val="center"/>
              <w:rPr>
                <w:rFonts w:ascii="Times New Roman" w:eastAsia="Times New Roman" w:hAnsi="Times New Roman" w:cs="Times New Roman"/>
                <w:sz w:val="24"/>
                <w:szCs w:val="24"/>
                <w:lang w:eastAsia="lv-LV"/>
              </w:rPr>
            </w:pPr>
            <w:r w:rsidRPr="00C25473">
              <w:rPr>
                <w:rFonts w:ascii="Times New Roman" w:eastAsia="Times New Roman" w:hAnsi="Times New Roman" w:cs="Times New Roman"/>
                <w:sz w:val="24"/>
                <w:szCs w:val="24"/>
                <w:lang w:eastAsia="lv-LV"/>
              </w:rPr>
              <w:t>1379</w:t>
            </w:r>
          </w:p>
        </w:tc>
        <w:tc>
          <w:tcPr>
            <w:tcW w:w="883" w:type="dxa"/>
            <w:tcBorders>
              <w:top w:val="nil"/>
              <w:left w:val="nil"/>
              <w:bottom w:val="single" w:sz="4" w:space="0" w:color="auto"/>
              <w:right w:val="single" w:sz="4" w:space="0" w:color="auto"/>
            </w:tcBorders>
            <w:shd w:val="clear" w:color="auto" w:fill="auto"/>
            <w:vAlign w:val="center"/>
            <w:hideMark/>
          </w:tcPr>
          <w:p w:rsidR="00C140E5" w:rsidRPr="00C25473" w:rsidRDefault="0033506E" w:rsidP="00C140E5">
            <w:pPr>
              <w:spacing w:after="0" w:line="240" w:lineRule="auto"/>
              <w:jc w:val="center"/>
              <w:rPr>
                <w:rFonts w:ascii="Times New Roman" w:eastAsia="Times New Roman" w:hAnsi="Times New Roman" w:cs="Times New Roman"/>
                <w:sz w:val="24"/>
                <w:szCs w:val="24"/>
                <w:lang w:eastAsia="lv-LV"/>
              </w:rPr>
            </w:pPr>
            <w:r w:rsidRPr="00C25473">
              <w:rPr>
                <w:rFonts w:ascii="Times New Roman" w:eastAsia="Times New Roman" w:hAnsi="Times New Roman" w:cs="Times New Roman"/>
                <w:sz w:val="24"/>
                <w:szCs w:val="24"/>
                <w:lang w:eastAsia="lv-LV"/>
              </w:rPr>
              <w:t>1397</w:t>
            </w:r>
          </w:p>
        </w:tc>
        <w:tc>
          <w:tcPr>
            <w:tcW w:w="879" w:type="dxa"/>
            <w:tcBorders>
              <w:top w:val="nil"/>
              <w:left w:val="nil"/>
              <w:bottom w:val="single" w:sz="4" w:space="0" w:color="auto"/>
              <w:right w:val="single" w:sz="4" w:space="0" w:color="auto"/>
            </w:tcBorders>
            <w:shd w:val="clear" w:color="auto" w:fill="auto"/>
            <w:vAlign w:val="center"/>
            <w:hideMark/>
          </w:tcPr>
          <w:p w:rsidR="00C140E5" w:rsidRPr="00C25473" w:rsidRDefault="0033506E" w:rsidP="00C140E5">
            <w:pPr>
              <w:spacing w:after="0" w:line="240" w:lineRule="auto"/>
              <w:jc w:val="center"/>
              <w:rPr>
                <w:rFonts w:ascii="Times New Roman" w:eastAsia="Times New Roman" w:hAnsi="Times New Roman" w:cs="Times New Roman"/>
                <w:sz w:val="24"/>
                <w:szCs w:val="24"/>
                <w:lang w:eastAsia="lv-LV"/>
              </w:rPr>
            </w:pPr>
            <w:r w:rsidRPr="00C25473">
              <w:rPr>
                <w:rFonts w:ascii="Times New Roman" w:eastAsia="Times New Roman" w:hAnsi="Times New Roman" w:cs="Times New Roman"/>
                <w:sz w:val="24"/>
                <w:szCs w:val="24"/>
                <w:lang w:eastAsia="lv-LV"/>
              </w:rPr>
              <w:t>1474</w:t>
            </w:r>
          </w:p>
        </w:tc>
        <w:tc>
          <w:tcPr>
            <w:tcW w:w="1003" w:type="dxa"/>
            <w:tcBorders>
              <w:top w:val="nil"/>
              <w:left w:val="nil"/>
              <w:bottom w:val="single" w:sz="4" w:space="0" w:color="auto"/>
              <w:right w:val="single" w:sz="4" w:space="0" w:color="auto"/>
            </w:tcBorders>
            <w:shd w:val="clear" w:color="auto" w:fill="auto"/>
            <w:vAlign w:val="center"/>
            <w:hideMark/>
          </w:tcPr>
          <w:p w:rsidR="00C140E5" w:rsidRPr="00C25473" w:rsidRDefault="0033506E" w:rsidP="00C140E5">
            <w:pPr>
              <w:spacing w:after="0" w:line="240" w:lineRule="auto"/>
              <w:jc w:val="center"/>
              <w:rPr>
                <w:rFonts w:ascii="Times New Roman" w:eastAsia="Times New Roman" w:hAnsi="Times New Roman" w:cs="Times New Roman"/>
                <w:sz w:val="24"/>
                <w:szCs w:val="24"/>
                <w:lang w:eastAsia="lv-LV"/>
              </w:rPr>
            </w:pPr>
            <w:r w:rsidRPr="00C25473">
              <w:rPr>
                <w:rFonts w:ascii="Times New Roman" w:eastAsia="Times New Roman" w:hAnsi="Times New Roman" w:cs="Times New Roman"/>
                <w:sz w:val="24"/>
                <w:szCs w:val="24"/>
                <w:lang w:eastAsia="lv-LV"/>
              </w:rPr>
              <w:t>1487</w:t>
            </w:r>
          </w:p>
        </w:tc>
        <w:tc>
          <w:tcPr>
            <w:tcW w:w="843" w:type="dxa"/>
            <w:tcBorders>
              <w:top w:val="nil"/>
              <w:left w:val="nil"/>
              <w:bottom w:val="single" w:sz="4" w:space="0" w:color="auto"/>
              <w:right w:val="single" w:sz="4" w:space="0" w:color="auto"/>
            </w:tcBorders>
            <w:shd w:val="clear" w:color="auto" w:fill="auto"/>
            <w:vAlign w:val="center"/>
            <w:hideMark/>
          </w:tcPr>
          <w:p w:rsidR="00C140E5" w:rsidRPr="00C25473" w:rsidRDefault="00C140E5" w:rsidP="00C140E5">
            <w:pPr>
              <w:spacing w:after="0" w:line="240" w:lineRule="auto"/>
              <w:jc w:val="center"/>
              <w:rPr>
                <w:rFonts w:ascii="Times New Roman" w:eastAsia="Times New Roman" w:hAnsi="Times New Roman" w:cs="Times New Roman"/>
                <w:sz w:val="24"/>
                <w:szCs w:val="24"/>
                <w:lang w:eastAsia="lv-LV"/>
              </w:rPr>
            </w:pPr>
            <w:r w:rsidRPr="00C25473">
              <w:rPr>
                <w:rFonts w:ascii="Times New Roman" w:eastAsia="Times New Roman" w:hAnsi="Times New Roman" w:cs="Times New Roman"/>
                <w:sz w:val="24"/>
                <w:szCs w:val="24"/>
                <w:lang w:eastAsia="lv-LV"/>
              </w:rPr>
              <w:t>1532</w:t>
            </w:r>
          </w:p>
        </w:tc>
        <w:tc>
          <w:tcPr>
            <w:tcW w:w="823" w:type="dxa"/>
            <w:tcBorders>
              <w:top w:val="nil"/>
              <w:left w:val="nil"/>
              <w:bottom w:val="single" w:sz="4" w:space="0" w:color="auto"/>
              <w:right w:val="single" w:sz="4" w:space="0" w:color="auto"/>
            </w:tcBorders>
            <w:shd w:val="clear" w:color="auto" w:fill="auto"/>
            <w:noWrap/>
            <w:vAlign w:val="center"/>
            <w:hideMark/>
          </w:tcPr>
          <w:p w:rsidR="00C140E5" w:rsidRPr="00C25473" w:rsidRDefault="00C140E5" w:rsidP="00C140E5">
            <w:pPr>
              <w:spacing w:after="0" w:line="240" w:lineRule="auto"/>
              <w:jc w:val="center"/>
              <w:rPr>
                <w:rFonts w:ascii="Times New Roman" w:eastAsia="Times New Roman" w:hAnsi="Times New Roman" w:cs="Times New Roman"/>
                <w:sz w:val="24"/>
                <w:szCs w:val="24"/>
                <w:lang w:eastAsia="lv-LV"/>
              </w:rPr>
            </w:pPr>
            <w:r w:rsidRPr="00C25473">
              <w:rPr>
                <w:rFonts w:ascii="Times New Roman" w:eastAsia="Times New Roman" w:hAnsi="Times New Roman" w:cs="Times New Roman"/>
                <w:sz w:val="24"/>
                <w:szCs w:val="24"/>
                <w:lang w:eastAsia="lv-LV"/>
              </w:rPr>
              <w:t>1585</w:t>
            </w:r>
          </w:p>
        </w:tc>
        <w:tc>
          <w:tcPr>
            <w:tcW w:w="1087" w:type="dxa"/>
            <w:tcBorders>
              <w:top w:val="nil"/>
              <w:left w:val="nil"/>
              <w:bottom w:val="single" w:sz="4" w:space="0" w:color="auto"/>
              <w:right w:val="single" w:sz="4" w:space="0" w:color="auto"/>
            </w:tcBorders>
            <w:shd w:val="clear" w:color="auto" w:fill="auto"/>
            <w:noWrap/>
            <w:vAlign w:val="center"/>
            <w:hideMark/>
          </w:tcPr>
          <w:p w:rsidR="00C140E5" w:rsidRPr="00C140E5" w:rsidRDefault="0033506E" w:rsidP="00C140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206</w:t>
            </w:r>
          </w:p>
        </w:tc>
      </w:tr>
      <w:tr w:rsidR="00C140E5" w:rsidRPr="00C140E5" w:rsidTr="00C140E5">
        <w:trPr>
          <w:trHeight w:val="716"/>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3.</w:t>
            </w:r>
          </w:p>
        </w:tc>
        <w:tc>
          <w:tcPr>
            <w:tcW w:w="1621" w:type="dxa"/>
            <w:tcBorders>
              <w:top w:val="nil"/>
              <w:left w:val="nil"/>
              <w:bottom w:val="single" w:sz="4" w:space="0" w:color="auto"/>
              <w:right w:val="nil"/>
            </w:tcBorders>
            <w:shd w:val="clear" w:color="auto" w:fill="auto"/>
            <w:vAlign w:val="center"/>
            <w:hideMark/>
          </w:tcPr>
          <w:p w:rsidR="00C140E5" w:rsidRPr="00C140E5" w:rsidRDefault="00C140E5" w:rsidP="00C140E5">
            <w:pPr>
              <w:spacing w:after="0" w:line="240" w:lineRule="auto"/>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Veselības ministrija</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2176</w:t>
            </w:r>
          </w:p>
        </w:tc>
        <w:tc>
          <w:tcPr>
            <w:tcW w:w="883" w:type="dxa"/>
            <w:tcBorders>
              <w:top w:val="nil"/>
              <w:left w:val="nil"/>
              <w:bottom w:val="single" w:sz="4" w:space="0" w:color="auto"/>
              <w:right w:val="single" w:sz="4" w:space="0" w:color="auto"/>
            </w:tcBorders>
            <w:shd w:val="clear" w:color="auto" w:fill="auto"/>
            <w:vAlign w:val="center"/>
            <w:hideMark/>
          </w:tcPr>
          <w:p w:rsidR="00C140E5" w:rsidRPr="00C140E5" w:rsidRDefault="00ED2CD0" w:rsidP="00C140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2190</w:t>
            </w:r>
          </w:p>
        </w:tc>
        <w:tc>
          <w:tcPr>
            <w:tcW w:w="879" w:type="dxa"/>
            <w:tcBorders>
              <w:top w:val="nil"/>
              <w:left w:val="nil"/>
              <w:bottom w:val="single" w:sz="4" w:space="0" w:color="auto"/>
              <w:right w:val="single" w:sz="4" w:space="0" w:color="auto"/>
            </w:tcBorders>
            <w:shd w:val="clear" w:color="auto" w:fill="auto"/>
            <w:vAlign w:val="center"/>
            <w:hideMark/>
          </w:tcPr>
          <w:p w:rsidR="00C140E5" w:rsidRPr="00C140E5" w:rsidRDefault="00ED2CD0" w:rsidP="00C140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2838</w:t>
            </w:r>
          </w:p>
        </w:tc>
        <w:tc>
          <w:tcPr>
            <w:tcW w:w="1003" w:type="dxa"/>
            <w:tcBorders>
              <w:top w:val="nil"/>
              <w:left w:val="nil"/>
              <w:bottom w:val="single" w:sz="4" w:space="0" w:color="auto"/>
              <w:right w:val="single" w:sz="4" w:space="0" w:color="auto"/>
            </w:tcBorders>
            <w:shd w:val="clear" w:color="auto" w:fill="auto"/>
            <w:vAlign w:val="center"/>
            <w:hideMark/>
          </w:tcPr>
          <w:p w:rsidR="00C140E5" w:rsidRPr="00C140E5" w:rsidRDefault="00ED2CD0" w:rsidP="00C140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3236</w:t>
            </w:r>
          </w:p>
        </w:tc>
        <w:tc>
          <w:tcPr>
            <w:tcW w:w="84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3261</w:t>
            </w:r>
          </w:p>
        </w:tc>
        <w:tc>
          <w:tcPr>
            <w:tcW w:w="823"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3124</w:t>
            </w:r>
          </w:p>
        </w:tc>
        <w:tc>
          <w:tcPr>
            <w:tcW w:w="1087"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948</w:t>
            </w:r>
          </w:p>
        </w:tc>
      </w:tr>
      <w:tr w:rsidR="00C140E5" w:rsidRPr="00C140E5" w:rsidTr="00C140E5">
        <w:trPr>
          <w:trHeight w:val="716"/>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4.</w:t>
            </w:r>
          </w:p>
        </w:tc>
        <w:tc>
          <w:tcPr>
            <w:tcW w:w="1621" w:type="dxa"/>
            <w:tcBorders>
              <w:top w:val="nil"/>
              <w:left w:val="nil"/>
              <w:bottom w:val="single" w:sz="4" w:space="0" w:color="auto"/>
              <w:right w:val="nil"/>
            </w:tcBorders>
            <w:shd w:val="clear" w:color="auto" w:fill="auto"/>
            <w:vAlign w:val="center"/>
            <w:hideMark/>
          </w:tcPr>
          <w:p w:rsidR="00C140E5" w:rsidRPr="00C140E5" w:rsidRDefault="00C140E5" w:rsidP="00C140E5">
            <w:pPr>
              <w:spacing w:after="0" w:line="240" w:lineRule="auto"/>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Zemkopības ministrija</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3040</w:t>
            </w:r>
          </w:p>
        </w:tc>
        <w:tc>
          <w:tcPr>
            <w:tcW w:w="88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3040</w:t>
            </w:r>
          </w:p>
        </w:tc>
        <w:tc>
          <w:tcPr>
            <w:tcW w:w="879"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2737</w:t>
            </w:r>
          </w:p>
        </w:tc>
        <w:tc>
          <w:tcPr>
            <w:tcW w:w="100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2737</w:t>
            </w:r>
          </w:p>
        </w:tc>
        <w:tc>
          <w:tcPr>
            <w:tcW w:w="843" w:type="dxa"/>
            <w:tcBorders>
              <w:top w:val="nil"/>
              <w:left w:val="nil"/>
              <w:bottom w:val="single" w:sz="4" w:space="0" w:color="auto"/>
              <w:right w:val="single" w:sz="4" w:space="0" w:color="auto"/>
            </w:tcBorders>
            <w:shd w:val="clear" w:color="auto" w:fill="auto"/>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2736</w:t>
            </w:r>
          </w:p>
        </w:tc>
        <w:tc>
          <w:tcPr>
            <w:tcW w:w="823"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2740</w:t>
            </w:r>
          </w:p>
        </w:tc>
        <w:tc>
          <w:tcPr>
            <w:tcW w:w="1087"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33506E">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w:t>
            </w:r>
            <w:r w:rsidR="0033506E">
              <w:rPr>
                <w:rFonts w:ascii="Times New Roman" w:eastAsia="Times New Roman" w:hAnsi="Times New Roman" w:cs="Times New Roman"/>
                <w:sz w:val="24"/>
                <w:szCs w:val="24"/>
                <w:lang w:eastAsia="lv-LV"/>
              </w:rPr>
              <w:t>300</w:t>
            </w:r>
          </w:p>
        </w:tc>
      </w:tr>
      <w:tr w:rsidR="00C140E5" w:rsidRPr="00C140E5" w:rsidTr="00C140E5">
        <w:trPr>
          <w:trHeight w:val="534"/>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lastRenderedPageBreak/>
              <w:t> </w:t>
            </w:r>
          </w:p>
        </w:tc>
        <w:tc>
          <w:tcPr>
            <w:tcW w:w="1621"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right"/>
              <w:rPr>
                <w:rFonts w:ascii="Times New Roman" w:eastAsia="Times New Roman" w:hAnsi="Times New Roman" w:cs="Times New Roman"/>
                <w:b/>
                <w:bCs/>
                <w:sz w:val="24"/>
                <w:szCs w:val="24"/>
                <w:lang w:eastAsia="lv-LV"/>
              </w:rPr>
            </w:pPr>
            <w:r w:rsidRPr="00C140E5">
              <w:rPr>
                <w:rFonts w:ascii="Times New Roman" w:eastAsia="Times New Roman" w:hAnsi="Times New Roman" w:cs="Times New Roman"/>
                <w:b/>
                <w:bCs/>
                <w:sz w:val="24"/>
                <w:szCs w:val="24"/>
                <w:lang w:eastAsia="lv-LV"/>
              </w:rPr>
              <w:t>Kopā</w:t>
            </w:r>
          </w:p>
        </w:tc>
        <w:tc>
          <w:tcPr>
            <w:tcW w:w="819" w:type="dxa"/>
            <w:tcBorders>
              <w:top w:val="nil"/>
              <w:left w:val="nil"/>
              <w:bottom w:val="single" w:sz="4" w:space="0" w:color="auto"/>
              <w:right w:val="single" w:sz="4" w:space="0" w:color="auto"/>
            </w:tcBorders>
            <w:shd w:val="clear" w:color="auto" w:fill="auto"/>
            <w:noWrap/>
            <w:vAlign w:val="center"/>
            <w:hideMark/>
          </w:tcPr>
          <w:p w:rsidR="00C140E5" w:rsidRPr="00C140E5" w:rsidRDefault="0033506E" w:rsidP="00C140E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29628</w:t>
            </w:r>
          </w:p>
        </w:tc>
        <w:tc>
          <w:tcPr>
            <w:tcW w:w="883" w:type="dxa"/>
            <w:tcBorders>
              <w:top w:val="nil"/>
              <w:left w:val="nil"/>
              <w:bottom w:val="single" w:sz="4" w:space="0" w:color="auto"/>
              <w:right w:val="single" w:sz="4" w:space="0" w:color="auto"/>
            </w:tcBorders>
            <w:shd w:val="clear" w:color="auto" w:fill="auto"/>
            <w:noWrap/>
            <w:vAlign w:val="center"/>
            <w:hideMark/>
          </w:tcPr>
          <w:p w:rsidR="00C140E5" w:rsidRPr="00C140E5" w:rsidRDefault="0033506E" w:rsidP="00C140E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30085</w:t>
            </w:r>
          </w:p>
        </w:tc>
        <w:tc>
          <w:tcPr>
            <w:tcW w:w="879" w:type="dxa"/>
            <w:tcBorders>
              <w:top w:val="nil"/>
              <w:left w:val="nil"/>
              <w:bottom w:val="single" w:sz="4" w:space="0" w:color="auto"/>
              <w:right w:val="single" w:sz="4" w:space="0" w:color="auto"/>
            </w:tcBorders>
            <w:shd w:val="clear" w:color="auto" w:fill="auto"/>
            <w:noWrap/>
            <w:vAlign w:val="center"/>
            <w:hideMark/>
          </w:tcPr>
          <w:p w:rsidR="00C140E5" w:rsidRPr="00C140E5" w:rsidRDefault="0033506E" w:rsidP="00C140E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28954</w:t>
            </w:r>
          </w:p>
        </w:tc>
        <w:tc>
          <w:tcPr>
            <w:tcW w:w="1003"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33506E">
            <w:pPr>
              <w:spacing w:after="0" w:line="240" w:lineRule="auto"/>
              <w:jc w:val="center"/>
              <w:rPr>
                <w:rFonts w:ascii="Times New Roman" w:eastAsia="Times New Roman" w:hAnsi="Times New Roman" w:cs="Times New Roman"/>
                <w:b/>
                <w:bCs/>
                <w:sz w:val="24"/>
                <w:szCs w:val="24"/>
                <w:lang w:eastAsia="lv-LV"/>
              </w:rPr>
            </w:pPr>
            <w:r w:rsidRPr="00C140E5">
              <w:rPr>
                <w:rFonts w:ascii="Times New Roman" w:eastAsia="Times New Roman" w:hAnsi="Times New Roman" w:cs="Times New Roman"/>
                <w:b/>
                <w:bCs/>
                <w:sz w:val="24"/>
                <w:szCs w:val="24"/>
                <w:lang w:eastAsia="lv-LV"/>
              </w:rPr>
              <w:t>29</w:t>
            </w:r>
            <w:r w:rsidR="0033506E">
              <w:rPr>
                <w:rFonts w:ascii="Times New Roman" w:eastAsia="Times New Roman" w:hAnsi="Times New Roman" w:cs="Times New Roman"/>
                <w:b/>
                <w:bCs/>
                <w:sz w:val="24"/>
                <w:szCs w:val="24"/>
                <w:lang w:eastAsia="lv-LV"/>
              </w:rPr>
              <w:t>640</w:t>
            </w:r>
          </w:p>
        </w:tc>
        <w:tc>
          <w:tcPr>
            <w:tcW w:w="843"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b/>
                <w:bCs/>
                <w:sz w:val="24"/>
                <w:szCs w:val="24"/>
                <w:lang w:eastAsia="lv-LV"/>
              </w:rPr>
            </w:pPr>
            <w:r w:rsidRPr="00C140E5">
              <w:rPr>
                <w:rFonts w:ascii="Times New Roman" w:eastAsia="Times New Roman" w:hAnsi="Times New Roman" w:cs="Times New Roman"/>
                <w:b/>
                <w:bCs/>
                <w:sz w:val="24"/>
                <w:szCs w:val="24"/>
                <w:lang w:eastAsia="lv-LV"/>
              </w:rPr>
              <w:t>29666</w:t>
            </w:r>
          </w:p>
        </w:tc>
        <w:tc>
          <w:tcPr>
            <w:tcW w:w="823"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C140E5">
            <w:pPr>
              <w:spacing w:after="0" w:line="240" w:lineRule="auto"/>
              <w:jc w:val="center"/>
              <w:rPr>
                <w:rFonts w:ascii="Times New Roman" w:eastAsia="Times New Roman" w:hAnsi="Times New Roman" w:cs="Times New Roman"/>
                <w:b/>
                <w:bCs/>
                <w:sz w:val="24"/>
                <w:szCs w:val="24"/>
                <w:lang w:eastAsia="lv-LV"/>
              </w:rPr>
            </w:pPr>
            <w:r w:rsidRPr="00C140E5">
              <w:rPr>
                <w:rFonts w:ascii="Times New Roman" w:eastAsia="Times New Roman" w:hAnsi="Times New Roman" w:cs="Times New Roman"/>
                <w:b/>
                <w:bCs/>
                <w:sz w:val="24"/>
                <w:szCs w:val="24"/>
                <w:lang w:eastAsia="lv-LV"/>
              </w:rPr>
              <w:t>29438</w:t>
            </w:r>
          </w:p>
        </w:tc>
        <w:tc>
          <w:tcPr>
            <w:tcW w:w="1087" w:type="dxa"/>
            <w:tcBorders>
              <w:top w:val="nil"/>
              <w:left w:val="nil"/>
              <w:bottom w:val="single" w:sz="4" w:space="0" w:color="auto"/>
              <w:right w:val="single" w:sz="4" w:space="0" w:color="auto"/>
            </w:tcBorders>
            <w:shd w:val="clear" w:color="auto" w:fill="auto"/>
            <w:noWrap/>
            <w:vAlign w:val="center"/>
            <w:hideMark/>
          </w:tcPr>
          <w:p w:rsidR="00C140E5" w:rsidRPr="00C140E5" w:rsidRDefault="00C140E5" w:rsidP="0033506E">
            <w:pPr>
              <w:spacing w:after="0" w:line="240" w:lineRule="auto"/>
              <w:jc w:val="center"/>
              <w:rPr>
                <w:rFonts w:ascii="Times New Roman" w:eastAsia="Times New Roman" w:hAnsi="Times New Roman" w:cs="Times New Roman"/>
                <w:b/>
                <w:bCs/>
                <w:sz w:val="24"/>
                <w:szCs w:val="24"/>
                <w:lang w:eastAsia="lv-LV"/>
              </w:rPr>
            </w:pPr>
            <w:r w:rsidRPr="00C140E5">
              <w:rPr>
                <w:rFonts w:ascii="Times New Roman" w:eastAsia="Times New Roman" w:hAnsi="Times New Roman" w:cs="Times New Roman"/>
                <w:b/>
                <w:bCs/>
                <w:sz w:val="24"/>
                <w:szCs w:val="24"/>
                <w:lang w:eastAsia="lv-LV"/>
              </w:rPr>
              <w:t>-</w:t>
            </w:r>
            <w:r w:rsidR="0033506E">
              <w:rPr>
                <w:rFonts w:ascii="Times New Roman" w:eastAsia="Times New Roman" w:hAnsi="Times New Roman" w:cs="Times New Roman"/>
                <w:b/>
                <w:bCs/>
                <w:sz w:val="24"/>
                <w:szCs w:val="24"/>
                <w:lang w:eastAsia="lv-LV"/>
              </w:rPr>
              <w:t>190</w:t>
            </w:r>
          </w:p>
        </w:tc>
      </w:tr>
      <w:tr w:rsidR="00C140E5" w:rsidRPr="00C140E5" w:rsidTr="00C140E5">
        <w:trPr>
          <w:trHeight w:val="1292"/>
        </w:trPr>
        <w:tc>
          <w:tcPr>
            <w:tcW w:w="8770" w:type="dxa"/>
            <w:gridSpan w:val="9"/>
            <w:tcBorders>
              <w:top w:val="single" w:sz="4" w:space="0" w:color="auto"/>
              <w:left w:val="nil"/>
              <w:bottom w:val="nil"/>
              <w:right w:val="nil"/>
            </w:tcBorders>
            <w:shd w:val="clear" w:color="auto" w:fill="auto"/>
            <w:hideMark/>
          </w:tcPr>
          <w:p w:rsidR="006A287C" w:rsidRDefault="006A287C" w:rsidP="006A287C">
            <w:pPr>
              <w:spacing w:after="0" w:line="240" w:lineRule="auto"/>
              <w:jc w:val="both"/>
              <w:rPr>
                <w:rFonts w:ascii="Times New Roman" w:eastAsia="Times New Roman" w:hAnsi="Times New Roman" w:cs="Times New Roman"/>
                <w:i/>
                <w:sz w:val="20"/>
                <w:lang w:eastAsia="lv-LV"/>
              </w:rPr>
            </w:pPr>
          </w:p>
          <w:p w:rsidR="00C140E5" w:rsidRPr="00C140E5" w:rsidRDefault="00C140E5" w:rsidP="006A287C">
            <w:pPr>
              <w:spacing w:after="0" w:line="240" w:lineRule="auto"/>
              <w:jc w:val="both"/>
              <w:rPr>
                <w:rFonts w:ascii="Times New Roman" w:eastAsia="Times New Roman" w:hAnsi="Times New Roman" w:cs="Times New Roman"/>
                <w:i/>
                <w:sz w:val="20"/>
                <w:lang w:eastAsia="lv-LV"/>
              </w:rPr>
            </w:pPr>
            <w:r w:rsidRPr="00C140E5">
              <w:rPr>
                <w:rFonts w:ascii="Times New Roman" w:eastAsia="Times New Roman" w:hAnsi="Times New Roman" w:cs="Times New Roman"/>
                <w:i/>
                <w:sz w:val="20"/>
                <w:lang w:eastAsia="lv-LV"/>
              </w:rPr>
              <w:t>* - Saskaņā ar Ministru kabineta 2009.gada 25.augusta rīkojumu Nr.578 "Par Sarkanā Krusta medicīnas koledžas reorganizāciju" IZM padotībā esošā Sarkanā Krusta medicīnas koledža tika nodota Veselības ministrijas pa</w:t>
            </w:r>
            <w:r w:rsidRPr="006A287C">
              <w:rPr>
                <w:rFonts w:ascii="Times New Roman" w:eastAsia="Times New Roman" w:hAnsi="Times New Roman" w:cs="Times New Roman"/>
                <w:i/>
                <w:sz w:val="20"/>
                <w:lang w:eastAsia="lv-LV"/>
              </w:rPr>
              <w:t>d</w:t>
            </w:r>
            <w:r w:rsidRPr="00C140E5">
              <w:rPr>
                <w:rFonts w:ascii="Times New Roman" w:eastAsia="Times New Roman" w:hAnsi="Times New Roman" w:cs="Times New Roman"/>
                <w:i/>
                <w:sz w:val="20"/>
                <w:lang w:eastAsia="lv-LV"/>
              </w:rPr>
              <w:t>otībā e</w:t>
            </w:r>
            <w:r w:rsidRPr="006A287C">
              <w:rPr>
                <w:rFonts w:ascii="Times New Roman" w:eastAsia="Times New Roman" w:hAnsi="Times New Roman" w:cs="Times New Roman"/>
                <w:i/>
                <w:sz w:val="20"/>
                <w:lang w:eastAsia="lv-LV"/>
              </w:rPr>
              <w:t>s</w:t>
            </w:r>
            <w:r w:rsidRPr="00C140E5">
              <w:rPr>
                <w:rFonts w:ascii="Times New Roman" w:eastAsia="Times New Roman" w:hAnsi="Times New Roman" w:cs="Times New Roman"/>
                <w:i/>
                <w:sz w:val="20"/>
                <w:lang w:eastAsia="lv-LV"/>
              </w:rPr>
              <w:t>ošajai Rīgas Stradiņa universitātei no 2010.gada 2.janvāra, attiecīgi pārdalot valsts finansēto studiju vietu skaitu</w:t>
            </w:r>
            <w:r w:rsidR="006A287C" w:rsidRPr="006A287C">
              <w:rPr>
                <w:rFonts w:ascii="Times New Roman" w:eastAsia="Times New Roman" w:hAnsi="Times New Roman" w:cs="Times New Roman"/>
                <w:i/>
                <w:sz w:val="20"/>
                <w:lang w:eastAsia="lv-LV"/>
              </w:rPr>
              <w:t xml:space="preserve"> un valsts budžeta finansējumu </w:t>
            </w:r>
          </w:p>
        </w:tc>
      </w:tr>
      <w:tr w:rsidR="00C140E5" w:rsidRPr="00C140E5" w:rsidTr="00C140E5">
        <w:trPr>
          <w:trHeight w:val="1208"/>
        </w:trPr>
        <w:tc>
          <w:tcPr>
            <w:tcW w:w="8770" w:type="dxa"/>
            <w:gridSpan w:val="9"/>
            <w:tcBorders>
              <w:top w:val="nil"/>
              <w:left w:val="nil"/>
              <w:bottom w:val="nil"/>
              <w:right w:val="nil"/>
            </w:tcBorders>
            <w:shd w:val="clear" w:color="auto" w:fill="auto"/>
            <w:hideMark/>
          </w:tcPr>
          <w:p w:rsidR="00C140E5" w:rsidRDefault="00C140E5" w:rsidP="00C140E5">
            <w:pPr>
              <w:spacing w:after="0" w:line="240" w:lineRule="auto"/>
              <w:jc w:val="both"/>
              <w:rPr>
                <w:rFonts w:ascii="Times New Roman" w:eastAsia="Times New Roman" w:hAnsi="Times New Roman" w:cs="Times New Roman"/>
                <w:i/>
                <w:sz w:val="20"/>
                <w:lang w:eastAsia="lv-LV"/>
              </w:rPr>
            </w:pPr>
            <w:r w:rsidRPr="00C140E5">
              <w:rPr>
                <w:rFonts w:ascii="Times New Roman" w:eastAsia="Times New Roman" w:hAnsi="Times New Roman" w:cs="Times New Roman"/>
                <w:i/>
                <w:sz w:val="20"/>
                <w:lang w:eastAsia="lv-LV"/>
              </w:rPr>
              <w:t>** - Saskaņā ar Ministru kabineta 2010.gada 14.maija rīkojumu Nr.265 "Par Liepājas medicīnas koledžas pievienošanu Rīgas Stradiņa universitātei</w:t>
            </w:r>
            <w:r w:rsidRPr="006A287C">
              <w:rPr>
                <w:rFonts w:ascii="Times New Roman" w:eastAsia="Times New Roman" w:hAnsi="Times New Roman" w:cs="Times New Roman"/>
                <w:i/>
                <w:sz w:val="20"/>
                <w:lang w:eastAsia="lv-LV"/>
              </w:rPr>
              <w:t>”</w:t>
            </w:r>
            <w:r w:rsidRPr="00C140E5">
              <w:rPr>
                <w:rFonts w:ascii="Times New Roman" w:eastAsia="Times New Roman" w:hAnsi="Times New Roman" w:cs="Times New Roman"/>
                <w:i/>
                <w:sz w:val="20"/>
                <w:lang w:eastAsia="lv-LV"/>
              </w:rPr>
              <w:t xml:space="preserve"> IZM padotībā esošā Liepājas medicīnas koledža tika pievienota </w:t>
            </w:r>
            <w:r w:rsidR="006A287C" w:rsidRPr="00C140E5">
              <w:rPr>
                <w:rFonts w:ascii="Times New Roman" w:eastAsia="Times New Roman" w:hAnsi="Times New Roman" w:cs="Times New Roman"/>
                <w:i/>
                <w:sz w:val="20"/>
                <w:lang w:eastAsia="lv-LV"/>
              </w:rPr>
              <w:t>Veselības ministrijas pa</w:t>
            </w:r>
            <w:r w:rsidR="006A287C" w:rsidRPr="006A287C">
              <w:rPr>
                <w:rFonts w:ascii="Times New Roman" w:eastAsia="Times New Roman" w:hAnsi="Times New Roman" w:cs="Times New Roman"/>
                <w:i/>
                <w:sz w:val="20"/>
                <w:lang w:eastAsia="lv-LV"/>
              </w:rPr>
              <w:t>d</w:t>
            </w:r>
            <w:r w:rsidR="006A287C" w:rsidRPr="00C140E5">
              <w:rPr>
                <w:rFonts w:ascii="Times New Roman" w:eastAsia="Times New Roman" w:hAnsi="Times New Roman" w:cs="Times New Roman"/>
                <w:i/>
                <w:sz w:val="20"/>
                <w:lang w:eastAsia="lv-LV"/>
              </w:rPr>
              <w:t>otībā e</w:t>
            </w:r>
            <w:r w:rsidR="006A287C" w:rsidRPr="006A287C">
              <w:rPr>
                <w:rFonts w:ascii="Times New Roman" w:eastAsia="Times New Roman" w:hAnsi="Times New Roman" w:cs="Times New Roman"/>
                <w:i/>
                <w:sz w:val="20"/>
                <w:lang w:eastAsia="lv-LV"/>
              </w:rPr>
              <w:t>s</w:t>
            </w:r>
            <w:r w:rsidR="006A287C" w:rsidRPr="00C140E5">
              <w:rPr>
                <w:rFonts w:ascii="Times New Roman" w:eastAsia="Times New Roman" w:hAnsi="Times New Roman" w:cs="Times New Roman"/>
                <w:i/>
                <w:sz w:val="20"/>
                <w:lang w:eastAsia="lv-LV"/>
              </w:rPr>
              <w:t xml:space="preserve">ošajai </w:t>
            </w:r>
            <w:r w:rsidRPr="00C140E5">
              <w:rPr>
                <w:rFonts w:ascii="Times New Roman" w:eastAsia="Times New Roman" w:hAnsi="Times New Roman" w:cs="Times New Roman"/>
                <w:i/>
                <w:sz w:val="20"/>
                <w:lang w:eastAsia="lv-LV"/>
              </w:rPr>
              <w:t>Rīgas Stradiņa universitātei no 2010.gada 1.septembra, attiecīgi pārdalot valsts finansēto studiju vietu skaitu</w:t>
            </w:r>
            <w:r w:rsidR="006A287C" w:rsidRPr="006A287C">
              <w:rPr>
                <w:rFonts w:ascii="Times New Roman" w:eastAsia="Times New Roman" w:hAnsi="Times New Roman" w:cs="Times New Roman"/>
                <w:i/>
                <w:sz w:val="20"/>
                <w:lang w:eastAsia="lv-LV"/>
              </w:rPr>
              <w:t xml:space="preserve"> un valsts budžeta finansējumu</w:t>
            </w:r>
            <w:r w:rsidR="00A03031">
              <w:rPr>
                <w:rFonts w:ascii="Times New Roman" w:eastAsia="Times New Roman" w:hAnsi="Times New Roman" w:cs="Times New Roman"/>
                <w:i/>
                <w:sz w:val="20"/>
                <w:lang w:eastAsia="lv-LV"/>
              </w:rPr>
              <w:t>. Tabulā</w:t>
            </w:r>
            <w:r w:rsidR="00C25473">
              <w:rPr>
                <w:rFonts w:ascii="Times New Roman" w:eastAsia="Times New Roman" w:hAnsi="Times New Roman" w:cs="Times New Roman"/>
                <w:i/>
                <w:sz w:val="20"/>
                <w:lang w:eastAsia="lv-LV"/>
              </w:rPr>
              <w:t xml:space="preserve"> </w:t>
            </w:r>
            <w:r w:rsidR="00A03031">
              <w:rPr>
                <w:rFonts w:ascii="Times New Roman" w:eastAsia="Times New Roman" w:hAnsi="Times New Roman" w:cs="Times New Roman"/>
                <w:i/>
                <w:sz w:val="20"/>
                <w:lang w:eastAsia="lv-LV"/>
              </w:rPr>
              <w:t>pārdale iekļauta ar 2011.gadu</w:t>
            </w:r>
          </w:p>
          <w:p w:rsidR="005A0F8B" w:rsidRDefault="005A0F8B" w:rsidP="00C140E5">
            <w:pPr>
              <w:spacing w:after="0" w:line="240" w:lineRule="auto"/>
              <w:jc w:val="both"/>
              <w:rPr>
                <w:rFonts w:ascii="Times New Roman" w:eastAsia="Times New Roman" w:hAnsi="Times New Roman" w:cs="Times New Roman"/>
                <w:i/>
                <w:sz w:val="20"/>
                <w:lang w:eastAsia="lv-LV"/>
              </w:rPr>
            </w:pPr>
          </w:p>
          <w:p w:rsidR="00E73500" w:rsidRPr="00E73500" w:rsidRDefault="00E73500" w:rsidP="00E73500">
            <w:pPr>
              <w:spacing w:after="0" w:line="240" w:lineRule="auto"/>
              <w:jc w:val="both"/>
              <w:rPr>
                <w:rFonts w:ascii="Times New Roman" w:eastAsia="Times New Roman" w:hAnsi="Times New Roman" w:cs="Times New Roman"/>
                <w:i/>
                <w:sz w:val="20"/>
                <w:lang w:eastAsia="lv-LV"/>
              </w:rPr>
            </w:pPr>
            <w:r>
              <w:rPr>
                <w:rFonts w:ascii="Times New Roman" w:eastAsia="Times New Roman" w:hAnsi="Times New Roman" w:cs="Times New Roman"/>
                <w:i/>
                <w:sz w:val="20"/>
                <w:lang w:eastAsia="lv-LV"/>
              </w:rPr>
              <w:t xml:space="preserve"> </w:t>
            </w:r>
            <w:r w:rsidR="001F087E">
              <w:rPr>
                <w:rFonts w:ascii="Times New Roman" w:eastAsia="Times New Roman" w:hAnsi="Times New Roman" w:cs="Times New Roman"/>
                <w:i/>
                <w:sz w:val="20"/>
                <w:lang w:eastAsia="lv-LV"/>
              </w:rPr>
              <w:t xml:space="preserve">*** - </w:t>
            </w:r>
            <w:r w:rsidRPr="00E73500">
              <w:rPr>
                <w:rFonts w:ascii="Times New Roman" w:eastAsia="Times New Roman" w:hAnsi="Times New Roman" w:cs="Times New Roman"/>
                <w:i/>
                <w:sz w:val="20"/>
                <w:lang w:eastAsia="lv-LV"/>
              </w:rPr>
              <w:t xml:space="preserve">Saskaņā ar Ministru kabineta 2011.gada 26.septembra rīkojumu Nr.476 „Par Latvijas Kultūras koledžas reorganizāciju” reorganizēta Kultūras ministrijas padotībā esošā valsts izglītības iestāde - Latvijas Kultūras koledža, kas nodota atvasinātai publiskai personai - Latvijas Kultūras akadēmijai. Koledža turpina pastāvēt kā Latvijas Kultūras akadēmijas aģentūra "Latvijas Kultūras akadēmijas Latvijas Kultūras koledža. Lai nodrošinātu datu salīdzināmību, dati par koledžas budžeta finansēto studiju vietu skaitu tabulā iekļauti kopējā studentu skaitā visos periodos. </w:t>
            </w:r>
          </w:p>
          <w:p w:rsidR="00203D00" w:rsidRPr="00C140E5" w:rsidRDefault="00203D00" w:rsidP="00C140E5">
            <w:pPr>
              <w:spacing w:after="0" w:line="240" w:lineRule="auto"/>
              <w:jc w:val="both"/>
              <w:rPr>
                <w:rFonts w:ascii="Times New Roman" w:eastAsia="Times New Roman" w:hAnsi="Times New Roman" w:cs="Times New Roman"/>
                <w:sz w:val="20"/>
                <w:lang w:eastAsia="lv-LV"/>
              </w:rPr>
            </w:pPr>
          </w:p>
        </w:tc>
      </w:tr>
    </w:tbl>
    <w:p w:rsidR="00882741" w:rsidRDefault="005861EB" w:rsidP="005861EB">
      <w:pPr>
        <w:spacing w:after="0" w:line="240" w:lineRule="auto"/>
        <w:ind w:firstLine="709"/>
        <w:jc w:val="both"/>
        <w:rPr>
          <w:rFonts w:ascii="Times New Roman" w:hAnsi="Times New Roman" w:cs="Times New Roman"/>
          <w:sz w:val="26"/>
          <w:szCs w:val="26"/>
        </w:rPr>
      </w:pPr>
      <w:r w:rsidRPr="00FB1B62">
        <w:rPr>
          <w:rFonts w:ascii="Times New Roman" w:hAnsi="Times New Roman" w:cs="Times New Roman"/>
          <w:b/>
          <w:sz w:val="26"/>
          <w:szCs w:val="26"/>
        </w:rPr>
        <w:t>Studiju izmaksu koeficientiem</w:t>
      </w:r>
      <w:r w:rsidRPr="00D8362F">
        <w:rPr>
          <w:rFonts w:ascii="Times New Roman" w:hAnsi="Times New Roman" w:cs="Times New Roman"/>
          <w:sz w:val="26"/>
          <w:szCs w:val="26"/>
        </w:rPr>
        <w:t xml:space="preserve"> </w:t>
      </w:r>
      <w:r w:rsidR="00E73500" w:rsidRPr="00E73500">
        <w:rPr>
          <w:rFonts w:ascii="Times New Roman" w:hAnsi="Times New Roman" w:cs="Times New Roman"/>
          <w:sz w:val="26"/>
          <w:szCs w:val="26"/>
        </w:rPr>
        <w:t>MK noteikumos Nr.994</w:t>
      </w:r>
      <w:r w:rsidR="00E73500">
        <w:rPr>
          <w:rFonts w:ascii="Times New Roman" w:hAnsi="Times New Roman" w:cs="Times New Roman"/>
          <w:color w:val="FF0000"/>
          <w:sz w:val="26"/>
          <w:szCs w:val="26"/>
        </w:rPr>
        <w:t xml:space="preserve"> </w:t>
      </w:r>
      <w:r w:rsidRPr="00D8362F">
        <w:rPr>
          <w:rFonts w:ascii="Times New Roman" w:hAnsi="Times New Roman" w:cs="Times New Roman"/>
          <w:sz w:val="26"/>
          <w:szCs w:val="26"/>
        </w:rPr>
        <w:t xml:space="preserve">ir noteikta </w:t>
      </w:r>
      <w:r w:rsidRPr="00A77DE6">
        <w:rPr>
          <w:rFonts w:ascii="Times New Roman" w:hAnsi="Times New Roman" w:cs="Times New Roman"/>
          <w:sz w:val="26"/>
          <w:szCs w:val="26"/>
        </w:rPr>
        <w:t>optimālā vērtība</w:t>
      </w:r>
      <w:r w:rsidR="00592229">
        <w:rPr>
          <w:rFonts w:ascii="Times New Roman" w:hAnsi="Times New Roman" w:cs="Times New Roman"/>
          <w:sz w:val="26"/>
          <w:szCs w:val="26"/>
        </w:rPr>
        <w:t xml:space="preserve">, </w:t>
      </w:r>
      <w:r w:rsidR="00592229" w:rsidRPr="00917D9D">
        <w:rPr>
          <w:rFonts w:ascii="Times New Roman" w:hAnsi="Times New Roman" w:cs="Times New Roman"/>
          <w:sz w:val="26"/>
          <w:szCs w:val="26"/>
        </w:rPr>
        <w:t xml:space="preserve">kas </w:t>
      </w:r>
      <w:r w:rsidR="00592229">
        <w:rPr>
          <w:rFonts w:ascii="Times New Roman" w:hAnsi="Times New Roman" w:cs="Times New Roman"/>
          <w:sz w:val="26"/>
          <w:szCs w:val="26"/>
        </w:rPr>
        <w:t>raksturo</w:t>
      </w:r>
      <w:r w:rsidR="00592229" w:rsidRPr="00917D9D">
        <w:rPr>
          <w:rFonts w:ascii="Times New Roman" w:hAnsi="Times New Roman" w:cs="Times New Roman"/>
          <w:sz w:val="26"/>
          <w:szCs w:val="26"/>
        </w:rPr>
        <w:t xml:space="preserve"> studiju vietas izmaksu apmēru attiecīgajā izglītības tematiskajā jomā attiecībā pret studiju vietas bāzes izmaksām</w:t>
      </w:r>
      <w:r w:rsidR="00592229">
        <w:rPr>
          <w:rFonts w:ascii="Times New Roman" w:hAnsi="Times New Roman" w:cs="Times New Roman"/>
          <w:sz w:val="26"/>
          <w:szCs w:val="26"/>
        </w:rPr>
        <w:t>,</w:t>
      </w:r>
      <w:r w:rsidRPr="00A77DE6">
        <w:rPr>
          <w:rFonts w:ascii="Times New Roman" w:hAnsi="Times New Roman" w:cs="Times New Roman"/>
          <w:sz w:val="26"/>
          <w:szCs w:val="26"/>
        </w:rPr>
        <w:t xml:space="preserve"> un minimālā vērtība.</w:t>
      </w:r>
      <w:r w:rsidRPr="00D8362F">
        <w:rPr>
          <w:rFonts w:ascii="Times New Roman" w:hAnsi="Times New Roman" w:cs="Times New Roman"/>
          <w:sz w:val="26"/>
          <w:szCs w:val="26"/>
        </w:rPr>
        <w:t xml:space="preserve"> Minimālie studiju izmaksu koeficienti tika ieviesti 2002.gadā, kad mainījās augstākās izglītības finansēšanas sistēma, pārejot uz normatīvo finansēšanas principu. Minimālie studiju izmaksu koeficienti tika aprēķināti, balstoties uz finansiālo situāciju (resursu izmaksām, cenu līmeņa) 2001.gadā</w:t>
      </w:r>
      <w:r w:rsidR="00917D9D">
        <w:rPr>
          <w:rFonts w:ascii="Times New Roman" w:hAnsi="Times New Roman" w:cs="Times New Roman"/>
          <w:sz w:val="26"/>
          <w:szCs w:val="26"/>
        </w:rPr>
        <w:t xml:space="preserve"> un </w:t>
      </w:r>
      <w:r w:rsidR="00917D9D" w:rsidRPr="00A77DE6">
        <w:rPr>
          <w:rFonts w:ascii="Times New Roman" w:hAnsi="Times New Roman" w:cs="Times New Roman"/>
          <w:sz w:val="26"/>
          <w:szCs w:val="26"/>
        </w:rPr>
        <w:t>neatspoguļoja patieso izmaksu atšķirību starp studiju jomām.</w:t>
      </w:r>
      <w:r w:rsidRPr="00D8362F">
        <w:rPr>
          <w:rFonts w:ascii="Times New Roman" w:hAnsi="Times New Roman" w:cs="Times New Roman"/>
          <w:sz w:val="26"/>
          <w:szCs w:val="26"/>
        </w:rPr>
        <w:t xml:space="preserve"> </w:t>
      </w:r>
      <w:r w:rsidR="00917D9D">
        <w:rPr>
          <w:rFonts w:ascii="Times New Roman" w:hAnsi="Times New Roman" w:cs="Times New Roman"/>
          <w:sz w:val="26"/>
          <w:szCs w:val="26"/>
        </w:rPr>
        <w:t>Turklāt vislielākā atšķirība starp studiju izmaksu koeficientu optimālajām vērtībām un minimālajām vērtībām - va</w:t>
      </w:r>
      <w:r w:rsidR="00A13C56">
        <w:rPr>
          <w:rFonts w:ascii="Times New Roman" w:hAnsi="Times New Roman" w:cs="Times New Roman"/>
          <w:sz w:val="26"/>
          <w:szCs w:val="26"/>
        </w:rPr>
        <w:t>irāk kā 40% - izveidojās</w:t>
      </w:r>
      <w:r w:rsidR="009941FF">
        <w:rPr>
          <w:rFonts w:ascii="Times New Roman" w:hAnsi="Times New Roman" w:cs="Times New Roman"/>
          <w:sz w:val="26"/>
          <w:szCs w:val="26"/>
        </w:rPr>
        <w:t xml:space="preserve"> </w:t>
      </w:r>
      <w:r w:rsidR="00917D9D">
        <w:rPr>
          <w:rFonts w:ascii="Times New Roman" w:hAnsi="Times New Roman" w:cs="Times New Roman"/>
          <w:sz w:val="26"/>
          <w:szCs w:val="26"/>
        </w:rPr>
        <w:t xml:space="preserve">dabaszinātņu, matemātikas un informācijas tehnoloģiju, kā arī inženierzinātņu, </w:t>
      </w:r>
      <w:r w:rsidR="00917D9D" w:rsidRPr="00917D9D">
        <w:rPr>
          <w:rFonts w:ascii="Times New Roman" w:hAnsi="Times New Roman" w:cs="Times New Roman"/>
          <w:bCs/>
          <w:iCs/>
          <w:sz w:val="26"/>
          <w:szCs w:val="26"/>
        </w:rPr>
        <w:t>ražošanas un būvniecības</w:t>
      </w:r>
      <w:r w:rsidR="00917D9D">
        <w:rPr>
          <w:rFonts w:ascii="Times New Roman" w:hAnsi="Times New Roman" w:cs="Times New Roman"/>
          <w:sz w:val="26"/>
          <w:szCs w:val="26"/>
        </w:rPr>
        <w:t xml:space="preserve"> izglītības tematisko grupu studiju</w:t>
      </w:r>
      <w:r w:rsidR="00882741">
        <w:rPr>
          <w:rFonts w:ascii="Times New Roman" w:hAnsi="Times New Roman" w:cs="Times New Roman"/>
          <w:sz w:val="26"/>
          <w:szCs w:val="26"/>
        </w:rPr>
        <w:t xml:space="preserve"> izmaksu koeficient</w:t>
      </w:r>
      <w:r w:rsidR="00882580">
        <w:rPr>
          <w:rFonts w:ascii="Times New Roman" w:hAnsi="Times New Roman" w:cs="Times New Roman"/>
          <w:sz w:val="26"/>
          <w:szCs w:val="26"/>
        </w:rPr>
        <w:t>iem</w:t>
      </w:r>
      <w:r w:rsidR="00D17DA1">
        <w:rPr>
          <w:rFonts w:ascii="Times New Roman" w:hAnsi="Times New Roman" w:cs="Times New Roman"/>
          <w:sz w:val="26"/>
          <w:szCs w:val="26"/>
        </w:rPr>
        <w:t xml:space="preserve"> (skat. </w:t>
      </w:r>
      <w:r w:rsidR="006D07EF">
        <w:rPr>
          <w:rFonts w:ascii="Times New Roman" w:hAnsi="Times New Roman" w:cs="Times New Roman"/>
          <w:sz w:val="26"/>
          <w:szCs w:val="26"/>
        </w:rPr>
        <w:t>informatīvā</w:t>
      </w:r>
      <w:r w:rsidR="00D17DA1">
        <w:rPr>
          <w:rFonts w:ascii="Times New Roman" w:hAnsi="Times New Roman" w:cs="Times New Roman"/>
          <w:sz w:val="26"/>
          <w:szCs w:val="26"/>
        </w:rPr>
        <w:t xml:space="preserve"> ziņojuma 1.pielikumu)</w:t>
      </w:r>
      <w:r w:rsidR="00882741">
        <w:rPr>
          <w:rFonts w:ascii="Times New Roman" w:hAnsi="Times New Roman" w:cs="Times New Roman"/>
          <w:sz w:val="26"/>
          <w:szCs w:val="26"/>
        </w:rPr>
        <w:t xml:space="preserve">. </w:t>
      </w:r>
      <w:r w:rsidR="00A13C56">
        <w:rPr>
          <w:rFonts w:ascii="Times New Roman" w:hAnsi="Times New Roman" w:cs="Times New Roman"/>
          <w:sz w:val="26"/>
          <w:szCs w:val="26"/>
        </w:rPr>
        <w:t xml:space="preserve">Tās ir valstij prioritāri svarīgas jomas, kurās </w:t>
      </w:r>
      <w:r w:rsidR="00882AA9">
        <w:rPr>
          <w:rFonts w:ascii="Times New Roman" w:hAnsi="Times New Roman" w:cs="Times New Roman"/>
          <w:sz w:val="26"/>
          <w:szCs w:val="26"/>
        </w:rPr>
        <w:t xml:space="preserve">Ekonomikas ministrija prognozē augstākās kvalifikācijas speciālistu iztrūkumu gan </w:t>
      </w:r>
      <w:r w:rsidR="00A13C56">
        <w:rPr>
          <w:rFonts w:ascii="Times New Roman" w:hAnsi="Times New Roman" w:cs="Times New Roman"/>
          <w:sz w:val="26"/>
          <w:szCs w:val="26"/>
        </w:rPr>
        <w:t>vidējā termiņā, gan ilgtermiņā</w:t>
      </w:r>
      <w:r w:rsidR="00A13C56">
        <w:rPr>
          <w:rStyle w:val="FootnoteReference"/>
          <w:rFonts w:ascii="Times New Roman" w:hAnsi="Times New Roman" w:cs="Times New Roman"/>
          <w:sz w:val="26"/>
          <w:szCs w:val="26"/>
        </w:rPr>
        <w:footnoteReference w:id="1"/>
      </w:r>
      <w:r w:rsidR="00A13C56">
        <w:rPr>
          <w:rFonts w:ascii="Times New Roman" w:hAnsi="Times New Roman" w:cs="Times New Roman"/>
          <w:sz w:val="26"/>
          <w:szCs w:val="26"/>
        </w:rPr>
        <w:t>.</w:t>
      </w:r>
      <w:r w:rsidR="00404E72">
        <w:rPr>
          <w:rFonts w:ascii="Times New Roman" w:hAnsi="Times New Roman" w:cs="Times New Roman"/>
          <w:sz w:val="26"/>
          <w:szCs w:val="26"/>
        </w:rPr>
        <w:t xml:space="preserve"> Valsts budžeta finansēto studiju vietu skaits 2013.gadā</w:t>
      </w:r>
      <w:r w:rsidR="00404E72" w:rsidRPr="00404E72">
        <w:rPr>
          <w:rFonts w:ascii="Times New Roman" w:hAnsi="Times New Roman" w:cs="Times New Roman"/>
          <w:sz w:val="26"/>
          <w:szCs w:val="26"/>
        </w:rPr>
        <w:t xml:space="preserve"> </w:t>
      </w:r>
      <w:r w:rsidR="00404E72">
        <w:rPr>
          <w:rFonts w:ascii="Times New Roman" w:hAnsi="Times New Roman" w:cs="Times New Roman"/>
          <w:sz w:val="26"/>
          <w:szCs w:val="26"/>
        </w:rPr>
        <w:t xml:space="preserve">dabaszinātņu, matemātikas un informācijas tehnoloģiju, kā arī inženierzinātņu, </w:t>
      </w:r>
      <w:r w:rsidR="00404E72" w:rsidRPr="00917D9D">
        <w:rPr>
          <w:rFonts w:ascii="Times New Roman" w:hAnsi="Times New Roman" w:cs="Times New Roman"/>
          <w:bCs/>
          <w:iCs/>
          <w:sz w:val="26"/>
          <w:szCs w:val="26"/>
        </w:rPr>
        <w:t>ražošanas un būvniecības</w:t>
      </w:r>
      <w:r w:rsidR="00404E72">
        <w:rPr>
          <w:rFonts w:ascii="Times New Roman" w:hAnsi="Times New Roman" w:cs="Times New Roman"/>
          <w:sz w:val="26"/>
          <w:szCs w:val="26"/>
        </w:rPr>
        <w:t xml:space="preserve"> izglītības tematiskajās grupās ir </w:t>
      </w:r>
      <w:r w:rsidR="000F4126">
        <w:rPr>
          <w:rFonts w:ascii="Times New Roman" w:hAnsi="Times New Roman" w:cs="Times New Roman"/>
          <w:sz w:val="26"/>
          <w:szCs w:val="26"/>
        </w:rPr>
        <w:t>12</w:t>
      </w:r>
      <w:r w:rsidR="0093315C">
        <w:rPr>
          <w:rFonts w:ascii="Times New Roman" w:hAnsi="Times New Roman" w:cs="Times New Roman"/>
          <w:sz w:val="26"/>
          <w:szCs w:val="26"/>
        </w:rPr>
        <w:t xml:space="preserve"> </w:t>
      </w:r>
      <w:r w:rsidR="000F4126">
        <w:rPr>
          <w:rFonts w:ascii="Times New Roman" w:hAnsi="Times New Roman" w:cs="Times New Roman"/>
          <w:sz w:val="26"/>
          <w:szCs w:val="26"/>
        </w:rPr>
        <w:t>186 jeb 41,4% no valsts budžeta finansēto studiju vietu kopskaita</w:t>
      </w:r>
      <w:r w:rsidR="00C25473">
        <w:rPr>
          <w:rFonts w:ascii="Times New Roman" w:hAnsi="Times New Roman" w:cs="Times New Roman"/>
          <w:sz w:val="26"/>
          <w:szCs w:val="26"/>
        </w:rPr>
        <w:t xml:space="preserve">, kas ir noteiktas </w:t>
      </w:r>
      <w:r w:rsidR="0093315C">
        <w:rPr>
          <w:rFonts w:ascii="Times New Roman" w:hAnsi="Times New Roman" w:cs="Times New Roman"/>
          <w:sz w:val="26"/>
          <w:szCs w:val="26"/>
        </w:rPr>
        <w:t xml:space="preserve">IZM padotībā esošajā Rīgas Tehniskajā universitātē, IZM padotībā esošajās koledžās – Rīgas Tehniskā koledžā, Rīgas Celtniecības koledžā, Rīgas Uzņēmējdarbības koledžā, Olaines Mehānikas un tehnoloģijas koledžā, Liepājas Jūrniecības koledžā, </w:t>
      </w:r>
      <w:r w:rsidR="002E04F1">
        <w:rPr>
          <w:rFonts w:ascii="Times New Roman" w:hAnsi="Times New Roman" w:cs="Times New Roman"/>
          <w:sz w:val="26"/>
          <w:szCs w:val="26"/>
        </w:rPr>
        <w:t xml:space="preserve">Jēkabpils </w:t>
      </w:r>
      <w:proofErr w:type="spellStart"/>
      <w:r w:rsidR="002E04F1">
        <w:rPr>
          <w:rFonts w:ascii="Times New Roman" w:hAnsi="Times New Roman" w:cs="Times New Roman"/>
          <w:sz w:val="26"/>
          <w:szCs w:val="26"/>
        </w:rPr>
        <w:t>Agrobiznesa</w:t>
      </w:r>
      <w:proofErr w:type="spellEnd"/>
      <w:r w:rsidR="002E04F1">
        <w:rPr>
          <w:rFonts w:ascii="Times New Roman" w:hAnsi="Times New Roman" w:cs="Times New Roman"/>
          <w:sz w:val="26"/>
          <w:szCs w:val="26"/>
        </w:rPr>
        <w:t xml:space="preserve"> koledžā un Malnavas koledžā, kā arī Zemkopības ministrijas padotībā esošajā Latvijas Lauksaimniecības universitātē</w:t>
      </w:r>
      <w:r w:rsidR="009B5857">
        <w:rPr>
          <w:rFonts w:ascii="Times New Roman" w:hAnsi="Times New Roman" w:cs="Times New Roman"/>
          <w:sz w:val="26"/>
          <w:szCs w:val="26"/>
        </w:rPr>
        <w:t xml:space="preserve"> un Veselības ministrijas padotībā esošajā Rīgas Stradiņa universitātē</w:t>
      </w:r>
      <w:r w:rsidR="002E04F1">
        <w:rPr>
          <w:rFonts w:ascii="Times New Roman" w:hAnsi="Times New Roman" w:cs="Times New Roman"/>
          <w:sz w:val="26"/>
          <w:szCs w:val="26"/>
        </w:rPr>
        <w:t>.</w:t>
      </w:r>
    </w:p>
    <w:p w:rsidR="005861EB" w:rsidRPr="00D8362F" w:rsidRDefault="005861EB" w:rsidP="005861EB">
      <w:pPr>
        <w:spacing w:after="0" w:line="240" w:lineRule="auto"/>
        <w:ind w:firstLine="709"/>
        <w:jc w:val="both"/>
        <w:rPr>
          <w:rFonts w:ascii="Times New Roman" w:hAnsi="Times New Roman" w:cs="Times New Roman"/>
          <w:sz w:val="26"/>
          <w:szCs w:val="26"/>
        </w:rPr>
      </w:pPr>
      <w:r w:rsidRPr="00D8362F">
        <w:rPr>
          <w:rFonts w:ascii="Times New Roman" w:hAnsi="Times New Roman" w:cs="Times New Roman"/>
          <w:sz w:val="26"/>
          <w:szCs w:val="26"/>
        </w:rPr>
        <w:t>Uzsākot pāreju uz normatīvo formulas finansējuma principu</w:t>
      </w:r>
      <w:r w:rsidR="000F071A">
        <w:rPr>
          <w:rFonts w:ascii="Times New Roman" w:hAnsi="Times New Roman" w:cs="Times New Roman"/>
          <w:sz w:val="26"/>
          <w:szCs w:val="26"/>
        </w:rPr>
        <w:t xml:space="preserve"> 2002.gadā</w:t>
      </w:r>
      <w:r w:rsidRPr="00D8362F">
        <w:rPr>
          <w:rFonts w:ascii="Times New Roman" w:hAnsi="Times New Roman" w:cs="Times New Roman"/>
          <w:sz w:val="26"/>
          <w:szCs w:val="26"/>
        </w:rPr>
        <w:t xml:space="preserve">, </w:t>
      </w:r>
      <w:r w:rsidR="001F087E" w:rsidRPr="001F087E">
        <w:rPr>
          <w:rFonts w:ascii="Times New Roman" w:hAnsi="Times New Roman" w:cs="Times New Roman"/>
          <w:sz w:val="26"/>
          <w:szCs w:val="26"/>
        </w:rPr>
        <w:t xml:space="preserve">MK noteikumos </w:t>
      </w:r>
      <w:r w:rsidR="005A0F8B">
        <w:rPr>
          <w:rFonts w:ascii="Times New Roman" w:hAnsi="Times New Roman" w:cs="Times New Roman"/>
          <w:sz w:val="26"/>
          <w:szCs w:val="26"/>
        </w:rPr>
        <w:t>noteica</w:t>
      </w:r>
      <w:r w:rsidRPr="00D8362F">
        <w:rPr>
          <w:rFonts w:ascii="Times New Roman" w:hAnsi="Times New Roman" w:cs="Times New Roman"/>
          <w:sz w:val="26"/>
          <w:szCs w:val="26"/>
        </w:rPr>
        <w:t xml:space="preserve">, ka tuvāko 10 gadu laikā pakāpeniski tiks sasniegti optimālie studiju izmaksu koeficienti, katru gadu palielinot koeficienta vērtību </w:t>
      </w:r>
      <w:r w:rsidRPr="00D8362F">
        <w:rPr>
          <w:rFonts w:ascii="Times New Roman" w:hAnsi="Times New Roman" w:cs="Times New Roman"/>
          <w:sz w:val="26"/>
          <w:szCs w:val="26"/>
        </w:rPr>
        <w:lastRenderedPageBreak/>
        <w:t xml:space="preserve">par </w:t>
      </w:r>
      <w:r w:rsidR="00F73BF5">
        <w:rPr>
          <w:rFonts w:ascii="Times New Roman" w:hAnsi="Times New Roman" w:cs="Times New Roman"/>
          <w:sz w:val="26"/>
          <w:szCs w:val="26"/>
        </w:rPr>
        <w:t>1/10 daļu no starpības starp optimālajiem un minimālajiem koeficientiem</w:t>
      </w:r>
      <w:r w:rsidRPr="00D8362F">
        <w:rPr>
          <w:rFonts w:ascii="Times New Roman" w:hAnsi="Times New Roman" w:cs="Times New Roman"/>
          <w:sz w:val="26"/>
          <w:szCs w:val="26"/>
        </w:rPr>
        <w:t>.</w:t>
      </w:r>
      <w:r w:rsidR="00B35A81" w:rsidRPr="00D8362F">
        <w:rPr>
          <w:rFonts w:ascii="Times New Roman" w:hAnsi="Times New Roman" w:cs="Times New Roman"/>
          <w:sz w:val="26"/>
          <w:szCs w:val="26"/>
        </w:rPr>
        <w:t xml:space="preserve"> Tātad 2012.gadā </w:t>
      </w:r>
      <w:r w:rsidR="0061247A">
        <w:rPr>
          <w:rFonts w:ascii="Times New Roman" w:hAnsi="Times New Roman" w:cs="Times New Roman"/>
          <w:sz w:val="26"/>
          <w:szCs w:val="26"/>
        </w:rPr>
        <w:t xml:space="preserve">jau </w:t>
      </w:r>
      <w:r w:rsidR="00F73BF5">
        <w:rPr>
          <w:rFonts w:ascii="Times New Roman" w:hAnsi="Times New Roman" w:cs="Times New Roman"/>
          <w:sz w:val="26"/>
          <w:szCs w:val="26"/>
        </w:rPr>
        <w:t xml:space="preserve">bija </w:t>
      </w:r>
      <w:r w:rsidR="00B35A81" w:rsidRPr="00D8362F">
        <w:rPr>
          <w:rFonts w:ascii="Times New Roman" w:hAnsi="Times New Roman" w:cs="Times New Roman"/>
          <w:sz w:val="26"/>
          <w:szCs w:val="26"/>
        </w:rPr>
        <w:t>jāsasniedz studiju izmaksu koeficientu optimālās vērtības</w:t>
      </w:r>
      <w:r w:rsidR="00B50CFE">
        <w:rPr>
          <w:rFonts w:ascii="Times New Roman" w:hAnsi="Times New Roman" w:cs="Times New Roman"/>
          <w:sz w:val="26"/>
          <w:szCs w:val="26"/>
        </w:rPr>
        <w:t xml:space="preserve"> </w:t>
      </w:r>
      <w:r w:rsidR="00B50CFE" w:rsidRPr="00B50CFE">
        <w:rPr>
          <w:rFonts w:ascii="Times New Roman" w:hAnsi="Times New Roman" w:cs="Times New Roman"/>
          <w:sz w:val="26"/>
          <w:szCs w:val="26"/>
        </w:rPr>
        <w:t>visās izglītības tematiskajās grupās</w:t>
      </w:r>
      <w:r w:rsidR="00B35A81" w:rsidRPr="00D8362F">
        <w:rPr>
          <w:rFonts w:ascii="Times New Roman" w:hAnsi="Times New Roman" w:cs="Times New Roman"/>
          <w:sz w:val="26"/>
          <w:szCs w:val="26"/>
        </w:rPr>
        <w:t>.</w:t>
      </w:r>
    </w:p>
    <w:p w:rsidR="005861EB" w:rsidRPr="00D8362F" w:rsidRDefault="005861EB" w:rsidP="005861EB">
      <w:pPr>
        <w:spacing w:after="0" w:line="240" w:lineRule="auto"/>
        <w:ind w:firstLine="709"/>
        <w:jc w:val="both"/>
        <w:rPr>
          <w:rFonts w:ascii="Times New Roman" w:hAnsi="Times New Roman" w:cs="Times New Roman"/>
          <w:sz w:val="26"/>
          <w:szCs w:val="26"/>
        </w:rPr>
      </w:pPr>
      <w:r w:rsidRPr="00D8362F">
        <w:rPr>
          <w:rFonts w:ascii="Times New Roman" w:hAnsi="Times New Roman" w:cs="Times New Roman"/>
          <w:sz w:val="26"/>
          <w:szCs w:val="26"/>
        </w:rPr>
        <w:t>Ņemot vērā budžeta finansējuma samazinājumu augstākaj</w:t>
      </w:r>
      <w:r w:rsidR="001628B1">
        <w:rPr>
          <w:rFonts w:ascii="Times New Roman" w:hAnsi="Times New Roman" w:cs="Times New Roman"/>
          <w:sz w:val="26"/>
          <w:szCs w:val="26"/>
        </w:rPr>
        <w:t>ai</w:t>
      </w:r>
      <w:r w:rsidRPr="00D8362F">
        <w:rPr>
          <w:rFonts w:ascii="Times New Roman" w:hAnsi="Times New Roman" w:cs="Times New Roman"/>
          <w:sz w:val="26"/>
          <w:szCs w:val="26"/>
        </w:rPr>
        <w:t xml:space="preserve"> izglītīb</w:t>
      </w:r>
      <w:r w:rsidR="001628B1">
        <w:rPr>
          <w:rFonts w:ascii="Times New Roman" w:hAnsi="Times New Roman" w:cs="Times New Roman"/>
          <w:sz w:val="26"/>
          <w:szCs w:val="26"/>
        </w:rPr>
        <w:t>ai</w:t>
      </w:r>
      <w:r w:rsidRPr="00D8362F">
        <w:rPr>
          <w:rFonts w:ascii="Times New Roman" w:hAnsi="Times New Roman" w:cs="Times New Roman"/>
          <w:sz w:val="26"/>
          <w:szCs w:val="26"/>
        </w:rPr>
        <w:t xml:space="preserve"> </w:t>
      </w:r>
      <w:r w:rsidR="003F57DD" w:rsidRPr="00D8362F">
        <w:rPr>
          <w:rFonts w:ascii="Times New Roman" w:hAnsi="Times New Roman" w:cs="Times New Roman"/>
          <w:sz w:val="26"/>
          <w:szCs w:val="26"/>
        </w:rPr>
        <w:t>krīzes laikā</w:t>
      </w:r>
      <w:r w:rsidR="00B35A81" w:rsidRPr="00D8362F">
        <w:rPr>
          <w:rFonts w:ascii="Times New Roman" w:hAnsi="Times New Roman" w:cs="Times New Roman"/>
          <w:sz w:val="26"/>
          <w:szCs w:val="26"/>
        </w:rPr>
        <w:t xml:space="preserve"> (</w:t>
      </w:r>
      <w:r w:rsidR="005C1714">
        <w:rPr>
          <w:rFonts w:ascii="Times New Roman" w:hAnsi="Times New Roman" w:cs="Times New Roman"/>
          <w:sz w:val="26"/>
          <w:szCs w:val="26"/>
        </w:rPr>
        <w:t>3</w:t>
      </w:r>
      <w:r w:rsidR="00B35A81" w:rsidRPr="00D8362F">
        <w:rPr>
          <w:rFonts w:ascii="Times New Roman" w:hAnsi="Times New Roman" w:cs="Times New Roman"/>
          <w:sz w:val="26"/>
          <w:szCs w:val="26"/>
        </w:rPr>
        <w:t>.tabula)</w:t>
      </w:r>
      <w:r w:rsidR="00462710">
        <w:rPr>
          <w:rFonts w:ascii="Times New Roman" w:hAnsi="Times New Roman" w:cs="Times New Roman"/>
          <w:sz w:val="26"/>
          <w:szCs w:val="26"/>
        </w:rPr>
        <w:t xml:space="preserve">, šis </w:t>
      </w:r>
      <w:r w:rsidRPr="00D8362F">
        <w:rPr>
          <w:rFonts w:ascii="Times New Roman" w:hAnsi="Times New Roman" w:cs="Times New Roman"/>
          <w:sz w:val="26"/>
          <w:szCs w:val="26"/>
        </w:rPr>
        <w:t xml:space="preserve">lēmums nav izpildīts un ir notikusi atgriešanās no optimālajiem uz </w:t>
      </w:r>
      <w:r w:rsidR="0061247A">
        <w:rPr>
          <w:rFonts w:ascii="Times New Roman" w:hAnsi="Times New Roman" w:cs="Times New Roman"/>
          <w:sz w:val="26"/>
          <w:szCs w:val="26"/>
        </w:rPr>
        <w:t xml:space="preserve">tikai </w:t>
      </w:r>
      <w:r w:rsidR="00B35A81" w:rsidRPr="00D8362F">
        <w:rPr>
          <w:rFonts w:ascii="Times New Roman" w:hAnsi="Times New Roman" w:cs="Times New Roman"/>
          <w:sz w:val="26"/>
          <w:szCs w:val="26"/>
        </w:rPr>
        <w:t xml:space="preserve">daļēji nodrošinātiem </w:t>
      </w:r>
      <w:r w:rsidRPr="00D8362F">
        <w:rPr>
          <w:rFonts w:ascii="Times New Roman" w:hAnsi="Times New Roman" w:cs="Times New Roman"/>
          <w:sz w:val="26"/>
          <w:szCs w:val="26"/>
        </w:rPr>
        <w:t>minimālajiem koeficientiem</w:t>
      </w:r>
      <w:r w:rsidR="005B41EB">
        <w:rPr>
          <w:rFonts w:ascii="Times New Roman" w:hAnsi="Times New Roman" w:cs="Times New Roman"/>
          <w:sz w:val="26"/>
          <w:szCs w:val="26"/>
        </w:rPr>
        <w:t xml:space="preserve"> (</w:t>
      </w:r>
      <w:r w:rsidR="005C1714">
        <w:rPr>
          <w:rFonts w:ascii="Times New Roman" w:hAnsi="Times New Roman" w:cs="Times New Roman"/>
          <w:sz w:val="26"/>
          <w:szCs w:val="26"/>
        </w:rPr>
        <w:t>4</w:t>
      </w:r>
      <w:r w:rsidR="005B41EB">
        <w:rPr>
          <w:rFonts w:ascii="Times New Roman" w:hAnsi="Times New Roman" w:cs="Times New Roman"/>
          <w:sz w:val="26"/>
          <w:szCs w:val="26"/>
        </w:rPr>
        <w:t>.tabula</w:t>
      </w:r>
      <w:r w:rsidR="00F73BF5">
        <w:rPr>
          <w:rFonts w:ascii="Times New Roman" w:hAnsi="Times New Roman" w:cs="Times New Roman"/>
          <w:sz w:val="26"/>
          <w:szCs w:val="26"/>
        </w:rPr>
        <w:t xml:space="preserve"> 6.aile</w:t>
      </w:r>
      <w:r w:rsidR="005B41EB">
        <w:rPr>
          <w:rFonts w:ascii="Times New Roman" w:hAnsi="Times New Roman" w:cs="Times New Roman"/>
          <w:sz w:val="26"/>
          <w:szCs w:val="26"/>
        </w:rPr>
        <w:t>)</w:t>
      </w:r>
      <w:r w:rsidR="00D8362F">
        <w:rPr>
          <w:rFonts w:ascii="Times New Roman" w:hAnsi="Times New Roman" w:cs="Times New Roman"/>
          <w:sz w:val="26"/>
          <w:szCs w:val="26"/>
        </w:rPr>
        <w:t>.</w:t>
      </w:r>
    </w:p>
    <w:p w:rsidR="002A7189" w:rsidRDefault="002A7189" w:rsidP="00B35A81">
      <w:pPr>
        <w:spacing w:after="0" w:line="240" w:lineRule="auto"/>
        <w:ind w:firstLine="709"/>
        <w:jc w:val="right"/>
        <w:rPr>
          <w:rFonts w:ascii="Times New Roman" w:hAnsi="Times New Roman" w:cs="Times New Roman"/>
          <w:i/>
          <w:sz w:val="24"/>
          <w:szCs w:val="24"/>
        </w:rPr>
      </w:pPr>
    </w:p>
    <w:p w:rsidR="00B35A81" w:rsidRPr="005C1714" w:rsidRDefault="005C1714" w:rsidP="007F10CA">
      <w:pPr>
        <w:spacing w:after="0" w:line="240" w:lineRule="auto"/>
        <w:ind w:firstLine="709"/>
        <w:jc w:val="right"/>
        <w:rPr>
          <w:rFonts w:ascii="Times New Roman" w:hAnsi="Times New Roman" w:cs="Times New Roman"/>
          <w:i/>
          <w:sz w:val="26"/>
          <w:szCs w:val="26"/>
        </w:rPr>
      </w:pPr>
      <w:r w:rsidRPr="005C1714">
        <w:rPr>
          <w:rFonts w:ascii="Times New Roman" w:hAnsi="Times New Roman" w:cs="Times New Roman"/>
          <w:i/>
          <w:sz w:val="26"/>
          <w:szCs w:val="26"/>
        </w:rPr>
        <w:t>3.tabula</w:t>
      </w:r>
    </w:p>
    <w:p w:rsidR="00B35A81" w:rsidRPr="005B41EB" w:rsidRDefault="00B35A81" w:rsidP="00B35A81">
      <w:pPr>
        <w:spacing w:after="0" w:line="240" w:lineRule="auto"/>
        <w:jc w:val="center"/>
        <w:rPr>
          <w:rFonts w:ascii="Times New Roman" w:hAnsi="Times New Roman" w:cs="Times New Roman"/>
          <w:b/>
          <w:sz w:val="26"/>
          <w:szCs w:val="26"/>
        </w:rPr>
      </w:pPr>
      <w:r w:rsidRPr="005B41EB">
        <w:rPr>
          <w:rFonts w:ascii="Times New Roman" w:hAnsi="Times New Roman" w:cs="Times New Roman"/>
          <w:b/>
          <w:sz w:val="26"/>
          <w:szCs w:val="26"/>
        </w:rPr>
        <w:t>Valsts budžeta dotācija no vispārējiem ieņēmumiem ministriju padotībā esošajām augstskolām un koledžām 2008.gadā un 2013.gadā, latos</w:t>
      </w:r>
    </w:p>
    <w:p w:rsidR="005861EB" w:rsidRDefault="005861EB" w:rsidP="005861EB">
      <w:pPr>
        <w:spacing w:after="0" w:line="240" w:lineRule="auto"/>
        <w:ind w:firstLine="709"/>
        <w:jc w:val="both"/>
        <w:rPr>
          <w:rFonts w:ascii="Times New Roman" w:hAnsi="Times New Roman" w:cs="Times New Roman"/>
          <w:b/>
          <w:sz w:val="28"/>
          <w:szCs w:val="28"/>
        </w:rPr>
      </w:pPr>
    </w:p>
    <w:tbl>
      <w:tblPr>
        <w:tblW w:w="8708" w:type="dxa"/>
        <w:tblInd w:w="-34" w:type="dxa"/>
        <w:tblLayout w:type="fixed"/>
        <w:tblLook w:val="04A0"/>
      </w:tblPr>
      <w:tblGrid>
        <w:gridCol w:w="568"/>
        <w:gridCol w:w="1842"/>
        <w:gridCol w:w="10"/>
        <w:gridCol w:w="1468"/>
        <w:gridCol w:w="1331"/>
        <w:gridCol w:w="1701"/>
        <w:gridCol w:w="1788"/>
      </w:tblGrid>
      <w:tr w:rsidR="00B35A81" w:rsidRPr="00B35A81" w:rsidTr="00545131">
        <w:trPr>
          <w:trHeight w:val="495"/>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B35A81" w:rsidRPr="00B35A81" w:rsidRDefault="00B35A81" w:rsidP="00BF631E">
            <w:pPr>
              <w:spacing w:after="0" w:line="240" w:lineRule="auto"/>
              <w:jc w:val="center"/>
              <w:rPr>
                <w:rFonts w:ascii="Times New Roman" w:eastAsia="Times New Roman" w:hAnsi="Times New Roman" w:cs="Times New Roman"/>
                <w:sz w:val="24"/>
                <w:szCs w:val="24"/>
                <w:lang w:eastAsia="lv-LV"/>
              </w:rPr>
            </w:pPr>
            <w:proofErr w:type="spellStart"/>
            <w:r w:rsidRPr="00B35A81">
              <w:rPr>
                <w:rFonts w:ascii="Times New Roman" w:eastAsia="Times New Roman" w:hAnsi="Times New Roman" w:cs="Times New Roman"/>
                <w:sz w:val="24"/>
                <w:szCs w:val="24"/>
                <w:lang w:eastAsia="lv-LV"/>
              </w:rPr>
              <w:t>N.p</w:t>
            </w:r>
            <w:proofErr w:type="spellEnd"/>
            <w:r w:rsidRPr="00B35A81">
              <w:rPr>
                <w:rFonts w:ascii="Times New Roman" w:eastAsia="Times New Roman" w:hAnsi="Times New Roman" w:cs="Times New Roman"/>
                <w:sz w:val="24"/>
                <w:szCs w:val="24"/>
                <w:lang w:eastAsia="lv-LV"/>
              </w:rPr>
              <w:t>.</w:t>
            </w:r>
            <w:r w:rsidR="00BF631E">
              <w:rPr>
                <w:rFonts w:ascii="Times New Roman" w:eastAsia="Times New Roman" w:hAnsi="Times New Roman" w:cs="Times New Roman"/>
                <w:sz w:val="24"/>
                <w:szCs w:val="24"/>
                <w:lang w:eastAsia="lv-LV"/>
              </w:rPr>
              <w:t xml:space="preserve"> </w:t>
            </w:r>
            <w:r w:rsidRPr="00B35A81">
              <w:rPr>
                <w:rFonts w:ascii="Times New Roman" w:eastAsia="Times New Roman" w:hAnsi="Times New Roman" w:cs="Times New Roman"/>
                <w:sz w:val="24"/>
                <w:szCs w:val="24"/>
                <w:lang w:eastAsia="lv-LV"/>
              </w:rPr>
              <w:t>k.</w:t>
            </w:r>
          </w:p>
        </w:tc>
        <w:tc>
          <w:tcPr>
            <w:tcW w:w="1852" w:type="dxa"/>
            <w:gridSpan w:val="2"/>
            <w:tcBorders>
              <w:top w:val="single" w:sz="4" w:space="0" w:color="auto"/>
              <w:left w:val="nil"/>
              <w:bottom w:val="nil"/>
              <w:right w:val="single" w:sz="4" w:space="0" w:color="auto"/>
            </w:tcBorders>
            <w:shd w:val="clear" w:color="auto" w:fill="auto"/>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Ministrija</w:t>
            </w:r>
          </w:p>
        </w:tc>
        <w:tc>
          <w:tcPr>
            <w:tcW w:w="1468" w:type="dxa"/>
            <w:tcBorders>
              <w:top w:val="single" w:sz="4" w:space="0" w:color="auto"/>
              <w:left w:val="nil"/>
              <w:bottom w:val="nil"/>
              <w:right w:val="single" w:sz="4" w:space="0" w:color="auto"/>
            </w:tcBorders>
            <w:shd w:val="clear" w:color="auto" w:fill="auto"/>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 xml:space="preserve">2008.gadā </w:t>
            </w:r>
          </w:p>
        </w:tc>
        <w:tc>
          <w:tcPr>
            <w:tcW w:w="1331" w:type="dxa"/>
            <w:tcBorders>
              <w:top w:val="single" w:sz="4" w:space="0" w:color="auto"/>
              <w:left w:val="nil"/>
              <w:bottom w:val="nil"/>
              <w:right w:val="single" w:sz="4" w:space="0" w:color="auto"/>
            </w:tcBorders>
            <w:shd w:val="clear" w:color="auto" w:fill="auto"/>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 xml:space="preserve"> 2013.gadā</w:t>
            </w:r>
          </w:p>
        </w:tc>
        <w:tc>
          <w:tcPr>
            <w:tcW w:w="1701" w:type="dxa"/>
            <w:tcBorders>
              <w:top w:val="single" w:sz="4" w:space="0" w:color="auto"/>
              <w:left w:val="nil"/>
              <w:bottom w:val="nil"/>
              <w:right w:val="single" w:sz="4" w:space="0" w:color="auto"/>
            </w:tcBorders>
            <w:shd w:val="clear" w:color="auto" w:fill="auto"/>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Samazinājums</w:t>
            </w:r>
          </w:p>
        </w:tc>
        <w:tc>
          <w:tcPr>
            <w:tcW w:w="1788" w:type="dxa"/>
            <w:tcBorders>
              <w:top w:val="single" w:sz="4" w:space="0" w:color="auto"/>
              <w:left w:val="nil"/>
              <w:bottom w:val="nil"/>
              <w:right w:val="single" w:sz="4" w:space="0" w:color="auto"/>
            </w:tcBorders>
            <w:shd w:val="clear" w:color="auto" w:fill="auto"/>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Samazinājums, %</w:t>
            </w:r>
          </w:p>
        </w:tc>
      </w:tr>
      <w:tr w:rsidR="00B35A81" w:rsidRPr="00B35A81" w:rsidTr="0054513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A81" w:rsidRPr="00B35A81" w:rsidRDefault="00B35A81" w:rsidP="00B35A81">
            <w:pPr>
              <w:spacing w:after="0" w:line="240" w:lineRule="auto"/>
              <w:jc w:val="center"/>
              <w:rPr>
                <w:rFonts w:ascii="Times New Roman" w:eastAsia="Times New Roman" w:hAnsi="Times New Roman" w:cs="Times New Roman"/>
                <w:i/>
                <w:iCs/>
                <w:sz w:val="20"/>
                <w:szCs w:val="20"/>
                <w:lang w:eastAsia="lv-LV"/>
              </w:rPr>
            </w:pPr>
            <w:r w:rsidRPr="00B35A81">
              <w:rPr>
                <w:rFonts w:ascii="Times New Roman" w:eastAsia="Times New Roman" w:hAnsi="Times New Roman" w:cs="Times New Roman"/>
                <w:i/>
                <w:iCs/>
                <w:sz w:val="20"/>
                <w:szCs w:val="20"/>
                <w:lang w:eastAsia="lv-LV"/>
              </w:rPr>
              <w:t>1</w:t>
            </w:r>
          </w:p>
        </w:tc>
        <w:tc>
          <w:tcPr>
            <w:tcW w:w="1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A81" w:rsidRPr="00B35A81" w:rsidRDefault="00B35A81" w:rsidP="00B35A81">
            <w:pPr>
              <w:spacing w:after="0" w:line="240" w:lineRule="auto"/>
              <w:jc w:val="center"/>
              <w:rPr>
                <w:rFonts w:ascii="Times New Roman" w:eastAsia="Times New Roman" w:hAnsi="Times New Roman" w:cs="Times New Roman"/>
                <w:i/>
                <w:iCs/>
                <w:sz w:val="20"/>
                <w:szCs w:val="20"/>
                <w:lang w:eastAsia="lv-LV"/>
              </w:rPr>
            </w:pPr>
            <w:r w:rsidRPr="00B35A81">
              <w:rPr>
                <w:rFonts w:ascii="Times New Roman" w:eastAsia="Times New Roman" w:hAnsi="Times New Roman" w:cs="Times New Roman"/>
                <w:i/>
                <w:iCs/>
                <w:sz w:val="20"/>
                <w:szCs w:val="20"/>
                <w:lang w:eastAsia="lv-LV"/>
              </w:rPr>
              <w:t>2</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B35A81" w:rsidRPr="00B35A81" w:rsidRDefault="00B35A81" w:rsidP="00B35A81">
            <w:pPr>
              <w:spacing w:after="0" w:line="240" w:lineRule="auto"/>
              <w:jc w:val="center"/>
              <w:rPr>
                <w:rFonts w:ascii="Times New Roman" w:eastAsia="Times New Roman" w:hAnsi="Times New Roman" w:cs="Times New Roman"/>
                <w:i/>
                <w:iCs/>
                <w:sz w:val="20"/>
                <w:szCs w:val="20"/>
                <w:lang w:eastAsia="lv-LV"/>
              </w:rPr>
            </w:pPr>
            <w:r w:rsidRPr="00B35A81">
              <w:rPr>
                <w:rFonts w:ascii="Times New Roman" w:eastAsia="Times New Roman" w:hAnsi="Times New Roman" w:cs="Times New Roman"/>
                <w:i/>
                <w:iCs/>
                <w:sz w:val="20"/>
                <w:szCs w:val="20"/>
                <w:lang w:eastAsia="lv-LV"/>
              </w:rPr>
              <w:t>3</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B35A81" w:rsidRPr="00B35A81" w:rsidRDefault="00B35A81" w:rsidP="00B35A81">
            <w:pPr>
              <w:spacing w:after="0" w:line="240" w:lineRule="auto"/>
              <w:jc w:val="center"/>
              <w:rPr>
                <w:rFonts w:ascii="Times New Roman" w:eastAsia="Times New Roman" w:hAnsi="Times New Roman" w:cs="Times New Roman"/>
                <w:i/>
                <w:iCs/>
                <w:sz w:val="20"/>
                <w:szCs w:val="20"/>
                <w:lang w:eastAsia="lv-LV"/>
              </w:rPr>
            </w:pPr>
            <w:r w:rsidRPr="00B35A81">
              <w:rPr>
                <w:rFonts w:ascii="Times New Roman" w:eastAsia="Times New Roman" w:hAnsi="Times New Roman" w:cs="Times New Roman"/>
                <w:i/>
                <w:iCs/>
                <w:sz w:val="20"/>
                <w:szCs w:val="20"/>
                <w:lang w:eastAsia="lv-LV"/>
              </w:rPr>
              <w:t>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A81" w:rsidRPr="00B35A81" w:rsidRDefault="00B35A81" w:rsidP="00B35A81">
            <w:pPr>
              <w:spacing w:after="0" w:line="240" w:lineRule="auto"/>
              <w:jc w:val="center"/>
              <w:rPr>
                <w:rFonts w:ascii="Times New Roman" w:eastAsia="Times New Roman" w:hAnsi="Times New Roman" w:cs="Times New Roman"/>
                <w:i/>
                <w:iCs/>
                <w:sz w:val="20"/>
                <w:szCs w:val="20"/>
                <w:lang w:eastAsia="lv-LV"/>
              </w:rPr>
            </w:pPr>
            <w:r w:rsidRPr="00B35A81">
              <w:rPr>
                <w:rFonts w:ascii="Times New Roman" w:eastAsia="Times New Roman" w:hAnsi="Times New Roman" w:cs="Times New Roman"/>
                <w:i/>
                <w:iCs/>
                <w:sz w:val="20"/>
                <w:szCs w:val="20"/>
                <w:lang w:eastAsia="lv-LV"/>
              </w:rPr>
              <w:t>5</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35A81" w:rsidRPr="00B35A81" w:rsidRDefault="00B35A81" w:rsidP="00B35A81">
            <w:pPr>
              <w:spacing w:after="0" w:line="240" w:lineRule="auto"/>
              <w:jc w:val="center"/>
              <w:rPr>
                <w:rFonts w:ascii="Times New Roman" w:eastAsia="Times New Roman" w:hAnsi="Times New Roman" w:cs="Times New Roman"/>
                <w:i/>
                <w:iCs/>
                <w:sz w:val="20"/>
                <w:szCs w:val="20"/>
                <w:lang w:eastAsia="lv-LV"/>
              </w:rPr>
            </w:pPr>
            <w:r w:rsidRPr="00B35A81">
              <w:rPr>
                <w:rFonts w:ascii="Times New Roman" w:eastAsia="Times New Roman" w:hAnsi="Times New Roman" w:cs="Times New Roman"/>
                <w:i/>
                <w:iCs/>
                <w:sz w:val="20"/>
                <w:szCs w:val="20"/>
                <w:lang w:eastAsia="lv-LV"/>
              </w:rPr>
              <w:t>6</w:t>
            </w:r>
          </w:p>
        </w:tc>
      </w:tr>
      <w:tr w:rsidR="00B35A81" w:rsidRPr="00B35A81" w:rsidTr="00545131">
        <w:trPr>
          <w:trHeight w:val="510"/>
        </w:trPr>
        <w:tc>
          <w:tcPr>
            <w:tcW w:w="568" w:type="dxa"/>
            <w:tcBorders>
              <w:top w:val="nil"/>
              <w:left w:val="single" w:sz="4" w:space="0" w:color="auto"/>
              <w:bottom w:val="nil"/>
              <w:right w:val="nil"/>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1.</w:t>
            </w:r>
          </w:p>
        </w:tc>
        <w:tc>
          <w:tcPr>
            <w:tcW w:w="4651" w:type="dxa"/>
            <w:gridSpan w:val="4"/>
            <w:tcBorders>
              <w:top w:val="single" w:sz="4" w:space="0" w:color="auto"/>
              <w:left w:val="single" w:sz="4" w:space="0" w:color="auto"/>
              <w:bottom w:val="single" w:sz="4" w:space="0" w:color="auto"/>
              <w:right w:val="nil"/>
            </w:tcBorders>
            <w:shd w:val="clear" w:color="auto" w:fill="auto"/>
            <w:noWrap/>
            <w:vAlign w:val="center"/>
            <w:hideMark/>
          </w:tcPr>
          <w:p w:rsidR="00B35A81" w:rsidRPr="00B35A81" w:rsidRDefault="00B35A81" w:rsidP="00B35A81">
            <w:pPr>
              <w:spacing w:after="0" w:line="240" w:lineRule="auto"/>
              <w:rPr>
                <w:rFonts w:ascii="Times New Roman" w:eastAsia="Times New Roman" w:hAnsi="Times New Roman" w:cs="Times New Roman"/>
                <w:bCs/>
                <w:sz w:val="24"/>
                <w:szCs w:val="24"/>
                <w:lang w:eastAsia="lv-LV"/>
              </w:rPr>
            </w:pPr>
            <w:r w:rsidRPr="00B35A81">
              <w:rPr>
                <w:rFonts w:ascii="Times New Roman" w:eastAsia="Times New Roman" w:hAnsi="Times New Roman" w:cs="Times New Roman"/>
                <w:bCs/>
                <w:sz w:val="24"/>
                <w:szCs w:val="24"/>
                <w:lang w:eastAsia="lv-LV"/>
              </w:rPr>
              <w:t>Izglītības un zinātnes ministrija</w:t>
            </w:r>
            <w:r w:rsidRPr="00B35A81">
              <w:rPr>
                <w:rFonts w:ascii="Times New Roman" w:eastAsia="Times New Roman" w:hAnsi="Times New Roman" w:cs="Times New Roman"/>
                <w:sz w:val="24"/>
                <w:szCs w:val="24"/>
                <w:lang w:eastAsia="lv-LV"/>
              </w:rPr>
              <w:t xml:space="preserve">, </w:t>
            </w:r>
            <w:r w:rsidRPr="00B35A81">
              <w:rPr>
                <w:rFonts w:ascii="Times New Roman" w:eastAsia="Times New Roman" w:hAnsi="Times New Roman" w:cs="Times New Roman"/>
                <w:i/>
                <w:iCs/>
                <w:sz w:val="24"/>
                <w:szCs w:val="24"/>
                <w:lang w:eastAsia="lv-LV"/>
              </w:rPr>
              <w:t>tajā skaitā:</w:t>
            </w:r>
          </w:p>
        </w:tc>
        <w:tc>
          <w:tcPr>
            <w:tcW w:w="1701" w:type="dxa"/>
            <w:tcBorders>
              <w:top w:val="nil"/>
              <w:left w:val="nil"/>
              <w:bottom w:val="single" w:sz="4" w:space="0" w:color="auto"/>
              <w:right w:val="nil"/>
            </w:tcBorders>
            <w:shd w:val="clear" w:color="auto" w:fill="auto"/>
            <w:noWrap/>
            <w:vAlign w:val="bottom"/>
            <w:hideMark/>
          </w:tcPr>
          <w:p w:rsidR="00B35A81" w:rsidRPr="00B35A81" w:rsidRDefault="00B35A81" w:rsidP="00B35A81">
            <w:pPr>
              <w:spacing w:after="0" w:line="240" w:lineRule="auto"/>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 </w:t>
            </w:r>
          </w:p>
        </w:tc>
        <w:tc>
          <w:tcPr>
            <w:tcW w:w="1788" w:type="dxa"/>
            <w:tcBorders>
              <w:top w:val="nil"/>
              <w:left w:val="nil"/>
              <w:bottom w:val="single" w:sz="4" w:space="0" w:color="auto"/>
              <w:right w:val="single" w:sz="4" w:space="0" w:color="auto"/>
            </w:tcBorders>
            <w:shd w:val="clear" w:color="auto" w:fill="auto"/>
            <w:noWrap/>
            <w:vAlign w:val="bottom"/>
            <w:hideMark/>
          </w:tcPr>
          <w:p w:rsidR="00B35A81" w:rsidRPr="00B35A81" w:rsidRDefault="00B35A81" w:rsidP="00B35A81">
            <w:pPr>
              <w:spacing w:after="0" w:line="240" w:lineRule="auto"/>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 </w:t>
            </w:r>
          </w:p>
        </w:tc>
      </w:tr>
      <w:tr w:rsidR="00B35A81" w:rsidRPr="00B35A81" w:rsidTr="003C75B0">
        <w:trPr>
          <w:trHeight w:val="525"/>
        </w:trPr>
        <w:tc>
          <w:tcPr>
            <w:tcW w:w="568" w:type="dxa"/>
            <w:tcBorders>
              <w:top w:val="nil"/>
              <w:left w:val="single" w:sz="4" w:space="0" w:color="auto"/>
              <w:bottom w:val="nil"/>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 </w:t>
            </w:r>
          </w:p>
        </w:tc>
        <w:tc>
          <w:tcPr>
            <w:tcW w:w="1842"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right"/>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1.1. augstskolas</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61 983 331</w:t>
            </w:r>
          </w:p>
        </w:tc>
        <w:tc>
          <w:tcPr>
            <w:tcW w:w="1331"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30 224 955</w:t>
            </w:r>
          </w:p>
        </w:tc>
        <w:tc>
          <w:tcPr>
            <w:tcW w:w="1701"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-31 758 376</w:t>
            </w:r>
          </w:p>
        </w:tc>
        <w:tc>
          <w:tcPr>
            <w:tcW w:w="1788"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-51%</w:t>
            </w:r>
          </w:p>
        </w:tc>
      </w:tr>
      <w:tr w:rsidR="00B35A81" w:rsidRPr="00B35A81" w:rsidTr="003C75B0">
        <w:trPr>
          <w:trHeight w:val="555"/>
        </w:trPr>
        <w:tc>
          <w:tcPr>
            <w:tcW w:w="568" w:type="dxa"/>
            <w:tcBorders>
              <w:top w:val="nil"/>
              <w:left w:val="single" w:sz="4" w:space="0" w:color="auto"/>
              <w:bottom w:val="nil"/>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 </w:t>
            </w:r>
          </w:p>
        </w:tc>
        <w:tc>
          <w:tcPr>
            <w:tcW w:w="1842"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right"/>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1.2. koledžas</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9 439 282</w:t>
            </w:r>
          </w:p>
        </w:tc>
        <w:tc>
          <w:tcPr>
            <w:tcW w:w="1331"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4 357 639</w:t>
            </w:r>
          </w:p>
        </w:tc>
        <w:tc>
          <w:tcPr>
            <w:tcW w:w="1701"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-5 081 643</w:t>
            </w:r>
          </w:p>
        </w:tc>
        <w:tc>
          <w:tcPr>
            <w:tcW w:w="1788"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-54%</w:t>
            </w:r>
          </w:p>
        </w:tc>
      </w:tr>
      <w:tr w:rsidR="00227F6D" w:rsidRPr="00B35A81" w:rsidTr="003C75B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F6D" w:rsidRPr="00B35A81" w:rsidRDefault="00227F6D"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2.</w:t>
            </w:r>
          </w:p>
        </w:tc>
        <w:tc>
          <w:tcPr>
            <w:tcW w:w="1842" w:type="dxa"/>
            <w:tcBorders>
              <w:top w:val="nil"/>
              <w:left w:val="nil"/>
              <w:bottom w:val="single" w:sz="4" w:space="0" w:color="auto"/>
              <w:right w:val="single" w:sz="4" w:space="0" w:color="auto"/>
            </w:tcBorders>
            <w:shd w:val="clear" w:color="auto" w:fill="auto"/>
            <w:vAlign w:val="center"/>
            <w:hideMark/>
          </w:tcPr>
          <w:p w:rsidR="00227F6D" w:rsidRPr="00B35A81" w:rsidRDefault="00227F6D" w:rsidP="00B35A81">
            <w:pPr>
              <w:spacing w:after="0" w:line="240" w:lineRule="auto"/>
              <w:rPr>
                <w:rFonts w:ascii="Times New Roman" w:eastAsia="Times New Roman" w:hAnsi="Times New Roman" w:cs="Times New Roman"/>
                <w:bCs/>
                <w:sz w:val="24"/>
                <w:szCs w:val="24"/>
                <w:lang w:eastAsia="lv-LV"/>
              </w:rPr>
            </w:pPr>
            <w:r w:rsidRPr="00B35A81">
              <w:rPr>
                <w:rFonts w:ascii="Times New Roman" w:eastAsia="Times New Roman" w:hAnsi="Times New Roman" w:cs="Times New Roman"/>
                <w:bCs/>
                <w:sz w:val="24"/>
                <w:szCs w:val="24"/>
                <w:lang w:eastAsia="lv-LV"/>
              </w:rPr>
              <w:t>Kultūras ministrija</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27F6D" w:rsidRPr="00227F6D" w:rsidRDefault="00227F6D" w:rsidP="00227F6D">
            <w:pPr>
              <w:spacing w:after="0" w:line="240" w:lineRule="auto"/>
              <w:jc w:val="center"/>
              <w:rPr>
                <w:rFonts w:ascii="Times New Roman" w:eastAsia="Times New Roman" w:hAnsi="Times New Roman" w:cs="Times New Roman"/>
                <w:sz w:val="24"/>
                <w:szCs w:val="24"/>
                <w:lang w:eastAsia="lv-LV"/>
              </w:rPr>
            </w:pPr>
            <w:r w:rsidRPr="00227F6D">
              <w:rPr>
                <w:rFonts w:ascii="Times New Roman" w:eastAsia="Times New Roman" w:hAnsi="Times New Roman" w:cs="Times New Roman"/>
                <w:sz w:val="24"/>
                <w:szCs w:val="24"/>
                <w:lang w:eastAsia="lv-LV"/>
              </w:rPr>
              <w:t>7 691 149</w:t>
            </w:r>
          </w:p>
        </w:tc>
        <w:tc>
          <w:tcPr>
            <w:tcW w:w="1331" w:type="dxa"/>
            <w:tcBorders>
              <w:top w:val="nil"/>
              <w:left w:val="nil"/>
              <w:bottom w:val="single" w:sz="4" w:space="0" w:color="auto"/>
              <w:right w:val="single" w:sz="4" w:space="0" w:color="auto"/>
            </w:tcBorders>
            <w:shd w:val="clear" w:color="auto" w:fill="auto"/>
            <w:noWrap/>
            <w:vAlign w:val="center"/>
            <w:hideMark/>
          </w:tcPr>
          <w:p w:rsidR="00227F6D" w:rsidRPr="00227F6D" w:rsidRDefault="00227F6D" w:rsidP="00227F6D">
            <w:pPr>
              <w:spacing w:after="0" w:line="240" w:lineRule="auto"/>
              <w:jc w:val="center"/>
              <w:rPr>
                <w:rFonts w:ascii="Times New Roman" w:eastAsia="Times New Roman" w:hAnsi="Times New Roman" w:cs="Times New Roman"/>
                <w:sz w:val="24"/>
                <w:szCs w:val="24"/>
                <w:lang w:eastAsia="lv-LV"/>
              </w:rPr>
            </w:pPr>
            <w:r w:rsidRPr="00227F6D">
              <w:rPr>
                <w:rFonts w:ascii="Times New Roman" w:eastAsia="Times New Roman" w:hAnsi="Times New Roman" w:cs="Times New Roman"/>
                <w:sz w:val="24"/>
                <w:szCs w:val="24"/>
                <w:lang w:eastAsia="lv-LV"/>
              </w:rPr>
              <w:t>4 681 725</w:t>
            </w:r>
          </w:p>
        </w:tc>
        <w:tc>
          <w:tcPr>
            <w:tcW w:w="1701" w:type="dxa"/>
            <w:tcBorders>
              <w:top w:val="nil"/>
              <w:left w:val="nil"/>
              <w:bottom w:val="single" w:sz="4" w:space="0" w:color="auto"/>
              <w:right w:val="single" w:sz="4" w:space="0" w:color="auto"/>
            </w:tcBorders>
            <w:shd w:val="clear" w:color="auto" w:fill="auto"/>
            <w:noWrap/>
            <w:vAlign w:val="center"/>
            <w:hideMark/>
          </w:tcPr>
          <w:p w:rsidR="00227F6D" w:rsidRPr="00227F6D" w:rsidRDefault="00227F6D" w:rsidP="00227F6D">
            <w:pPr>
              <w:spacing w:after="0" w:line="240" w:lineRule="auto"/>
              <w:jc w:val="center"/>
              <w:rPr>
                <w:rFonts w:ascii="Times New Roman" w:eastAsia="Times New Roman" w:hAnsi="Times New Roman" w:cs="Times New Roman"/>
                <w:sz w:val="24"/>
                <w:szCs w:val="24"/>
                <w:lang w:eastAsia="lv-LV"/>
              </w:rPr>
            </w:pPr>
            <w:r w:rsidRPr="00227F6D">
              <w:rPr>
                <w:rFonts w:ascii="Times New Roman" w:eastAsia="Times New Roman" w:hAnsi="Times New Roman" w:cs="Times New Roman"/>
                <w:sz w:val="24"/>
                <w:szCs w:val="24"/>
                <w:lang w:eastAsia="lv-LV"/>
              </w:rPr>
              <w:t>-3 009 424</w:t>
            </w:r>
          </w:p>
        </w:tc>
        <w:tc>
          <w:tcPr>
            <w:tcW w:w="1788" w:type="dxa"/>
            <w:tcBorders>
              <w:top w:val="nil"/>
              <w:left w:val="nil"/>
              <w:bottom w:val="single" w:sz="4" w:space="0" w:color="auto"/>
              <w:right w:val="single" w:sz="4" w:space="0" w:color="auto"/>
            </w:tcBorders>
            <w:shd w:val="clear" w:color="auto" w:fill="auto"/>
            <w:noWrap/>
            <w:vAlign w:val="center"/>
            <w:hideMark/>
          </w:tcPr>
          <w:p w:rsidR="00227F6D" w:rsidRPr="00227F6D" w:rsidRDefault="00227F6D" w:rsidP="00227F6D">
            <w:pPr>
              <w:spacing w:after="0" w:line="240" w:lineRule="auto"/>
              <w:jc w:val="center"/>
              <w:rPr>
                <w:rFonts w:ascii="Times New Roman" w:eastAsia="Times New Roman" w:hAnsi="Times New Roman" w:cs="Times New Roman"/>
                <w:sz w:val="24"/>
                <w:szCs w:val="24"/>
                <w:lang w:eastAsia="lv-LV"/>
              </w:rPr>
            </w:pPr>
            <w:r w:rsidRPr="00227F6D">
              <w:rPr>
                <w:rFonts w:ascii="Times New Roman" w:eastAsia="Times New Roman" w:hAnsi="Times New Roman" w:cs="Times New Roman"/>
                <w:sz w:val="24"/>
                <w:szCs w:val="24"/>
                <w:lang w:eastAsia="lv-LV"/>
              </w:rPr>
              <w:t>-39%</w:t>
            </w:r>
          </w:p>
        </w:tc>
      </w:tr>
      <w:tr w:rsidR="00B35A81" w:rsidRPr="00B35A81" w:rsidTr="003C75B0">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3.</w:t>
            </w:r>
          </w:p>
        </w:tc>
        <w:tc>
          <w:tcPr>
            <w:tcW w:w="1842" w:type="dxa"/>
            <w:tcBorders>
              <w:top w:val="nil"/>
              <w:left w:val="nil"/>
              <w:bottom w:val="single" w:sz="4" w:space="0" w:color="auto"/>
              <w:right w:val="single" w:sz="4" w:space="0" w:color="auto"/>
            </w:tcBorders>
            <w:shd w:val="clear" w:color="auto" w:fill="auto"/>
            <w:vAlign w:val="center"/>
            <w:hideMark/>
          </w:tcPr>
          <w:p w:rsidR="00B35A81" w:rsidRPr="00B35A81" w:rsidRDefault="00B35A81" w:rsidP="00B35A81">
            <w:pPr>
              <w:spacing w:after="0" w:line="240" w:lineRule="auto"/>
              <w:rPr>
                <w:rFonts w:ascii="Times New Roman" w:eastAsia="Times New Roman" w:hAnsi="Times New Roman" w:cs="Times New Roman"/>
                <w:bCs/>
                <w:sz w:val="24"/>
                <w:szCs w:val="24"/>
                <w:lang w:eastAsia="lv-LV"/>
              </w:rPr>
            </w:pPr>
            <w:r w:rsidRPr="00B35A81">
              <w:rPr>
                <w:rFonts w:ascii="Times New Roman" w:eastAsia="Times New Roman" w:hAnsi="Times New Roman" w:cs="Times New Roman"/>
                <w:bCs/>
                <w:sz w:val="24"/>
                <w:szCs w:val="24"/>
                <w:lang w:eastAsia="lv-LV"/>
              </w:rPr>
              <w:t>Veselības ministrija</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13 526 117</w:t>
            </w:r>
          </w:p>
        </w:tc>
        <w:tc>
          <w:tcPr>
            <w:tcW w:w="1331"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10 850 827</w:t>
            </w:r>
          </w:p>
        </w:tc>
        <w:tc>
          <w:tcPr>
            <w:tcW w:w="1701"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-2 675 290</w:t>
            </w:r>
          </w:p>
        </w:tc>
        <w:tc>
          <w:tcPr>
            <w:tcW w:w="1788"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-20%</w:t>
            </w:r>
          </w:p>
        </w:tc>
      </w:tr>
      <w:tr w:rsidR="00B35A81" w:rsidRPr="00B35A81" w:rsidTr="003C75B0">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4.</w:t>
            </w:r>
          </w:p>
        </w:tc>
        <w:tc>
          <w:tcPr>
            <w:tcW w:w="1842" w:type="dxa"/>
            <w:tcBorders>
              <w:top w:val="nil"/>
              <w:left w:val="nil"/>
              <w:bottom w:val="single" w:sz="4" w:space="0" w:color="auto"/>
              <w:right w:val="single" w:sz="4" w:space="0" w:color="auto"/>
            </w:tcBorders>
            <w:shd w:val="clear" w:color="auto" w:fill="auto"/>
            <w:vAlign w:val="center"/>
            <w:hideMark/>
          </w:tcPr>
          <w:p w:rsidR="00B35A81" w:rsidRPr="00B35A81" w:rsidRDefault="00B35A81" w:rsidP="00B35A81">
            <w:pPr>
              <w:spacing w:after="0" w:line="240" w:lineRule="auto"/>
              <w:rPr>
                <w:rFonts w:ascii="Times New Roman" w:eastAsia="Times New Roman" w:hAnsi="Times New Roman" w:cs="Times New Roman"/>
                <w:bCs/>
                <w:sz w:val="24"/>
                <w:szCs w:val="24"/>
                <w:lang w:eastAsia="lv-LV"/>
              </w:rPr>
            </w:pPr>
            <w:r w:rsidRPr="00B35A81">
              <w:rPr>
                <w:rFonts w:ascii="Times New Roman" w:eastAsia="Times New Roman" w:hAnsi="Times New Roman" w:cs="Times New Roman"/>
                <w:bCs/>
                <w:sz w:val="24"/>
                <w:szCs w:val="24"/>
                <w:lang w:eastAsia="lv-LV"/>
              </w:rPr>
              <w:t>Zemkopības ministrija</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11 503 277</w:t>
            </w:r>
          </w:p>
        </w:tc>
        <w:tc>
          <w:tcPr>
            <w:tcW w:w="1331"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5 282 039</w:t>
            </w:r>
          </w:p>
        </w:tc>
        <w:tc>
          <w:tcPr>
            <w:tcW w:w="1701"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-6 221 238</w:t>
            </w:r>
          </w:p>
        </w:tc>
        <w:tc>
          <w:tcPr>
            <w:tcW w:w="1788" w:type="dxa"/>
            <w:tcBorders>
              <w:top w:val="nil"/>
              <w:left w:val="nil"/>
              <w:bottom w:val="single" w:sz="4" w:space="0" w:color="auto"/>
              <w:right w:val="single" w:sz="4" w:space="0" w:color="auto"/>
            </w:tcBorders>
            <w:shd w:val="clear" w:color="auto" w:fill="auto"/>
            <w:noWrap/>
            <w:vAlign w:val="center"/>
            <w:hideMark/>
          </w:tcPr>
          <w:p w:rsidR="00B35A81" w:rsidRPr="00B35A81" w:rsidRDefault="00B35A81" w:rsidP="00B35A81">
            <w:pPr>
              <w:spacing w:after="0" w:line="240" w:lineRule="auto"/>
              <w:jc w:val="center"/>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-54%</w:t>
            </w:r>
          </w:p>
        </w:tc>
      </w:tr>
      <w:tr w:rsidR="00545131" w:rsidRPr="00B35A81" w:rsidTr="003C75B0">
        <w:trPr>
          <w:trHeight w:val="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45131" w:rsidRPr="00B35A81" w:rsidRDefault="00545131" w:rsidP="00B35A81">
            <w:pPr>
              <w:spacing w:after="0" w:line="240" w:lineRule="auto"/>
              <w:rPr>
                <w:rFonts w:ascii="Times New Roman" w:eastAsia="Times New Roman" w:hAnsi="Times New Roman" w:cs="Times New Roman"/>
                <w:sz w:val="24"/>
                <w:szCs w:val="24"/>
                <w:lang w:eastAsia="lv-LV"/>
              </w:rPr>
            </w:pPr>
            <w:r w:rsidRPr="00B35A81">
              <w:rPr>
                <w:rFonts w:ascii="Times New Roman" w:eastAsia="Times New Roman" w:hAnsi="Times New Roman" w:cs="Times New Roman"/>
                <w:sz w:val="24"/>
                <w:szCs w:val="24"/>
                <w:lang w:eastAsia="lv-LV"/>
              </w:rPr>
              <w:t> </w:t>
            </w:r>
          </w:p>
        </w:tc>
        <w:tc>
          <w:tcPr>
            <w:tcW w:w="1842" w:type="dxa"/>
            <w:tcBorders>
              <w:top w:val="nil"/>
              <w:left w:val="nil"/>
              <w:bottom w:val="single" w:sz="4" w:space="0" w:color="auto"/>
              <w:right w:val="single" w:sz="4" w:space="0" w:color="auto"/>
            </w:tcBorders>
            <w:shd w:val="clear" w:color="auto" w:fill="auto"/>
            <w:noWrap/>
            <w:vAlign w:val="center"/>
            <w:hideMark/>
          </w:tcPr>
          <w:p w:rsidR="00545131" w:rsidRPr="00B35A81" w:rsidRDefault="00545131" w:rsidP="00B35A81">
            <w:pPr>
              <w:spacing w:after="0" w:line="240" w:lineRule="auto"/>
              <w:jc w:val="right"/>
              <w:rPr>
                <w:rFonts w:ascii="Times New Roman" w:eastAsia="Times New Roman" w:hAnsi="Times New Roman" w:cs="Times New Roman"/>
                <w:b/>
                <w:bCs/>
                <w:sz w:val="24"/>
                <w:szCs w:val="24"/>
                <w:lang w:eastAsia="lv-LV"/>
              </w:rPr>
            </w:pPr>
            <w:r w:rsidRPr="00B35A81">
              <w:rPr>
                <w:rFonts w:ascii="Times New Roman" w:eastAsia="Times New Roman" w:hAnsi="Times New Roman" w:cs="Times New Roman"/>
                <w:b/>
                <w:bCs/>
                <w:sz w:val="24"/>
                <w:szCs w:val="24"/>
                <w:lang w:eastAsia="lv-LV"/>
              </w:rPr>
              <w:t>KOPĀ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545131" w:rsidRPr="003C75B0" w:rsidRDefault="00545131" w:rsidP="003C75B0">
            <w:pPr>
              <w:spacing w:after="0" w:line="240" w:lineRule="auto"/>
              <w:jc w:val="center"/>
              <w:rPr>
                <w:rFonts w:ascii="Times New Roman" w:eastAsia="Times New Roman" w:hAnsi="Times New Roman" w:cs="Times New Roman"/>
                <w:sz w:val="24"/>
                <w:szCs w:val="24"/>
                <w:lang w:eastAsia="lv-LV"/>
              </w:rPr>
            </w:pPr>
            <w:r w:rsidRPr="003C75B0">
              <w:rPr>
                <w:rFonts w:ascii="Times New Roman" w:eastAsia="Times New Roman" w:hAnsi="Times New Roman" w:cs="Times New Roman"/>
                <w:sz w:val="24"/>
                <w:szCs w:val="24"/>
                <w:lang w:eastAsia="lv-LV"/>
              </w:rPr>
              <w:t>104 143 156</w:t>
            </w:r>
          </w:p>
        </w:tc>
        <w:tc>
          <w:tcPr>
            <w:tcW w:w="1331" w:type="dxa"/>
            <w:tcBorders>
              <w:top w:val="nil"/>
              <w:left w:val="nil"/>
              <w:bottom w:val="single" w:sz="4" w:space="0" w:color="auto"/>
              <w:right w:val="single" w:sz="4" w:space="0" w:color="auto"/>
            </w:tcBorders>
            <w:shd w:val="clear" w:color="auto" w:fill="auto"/>
            <w:noWrap/>
            <w:vAlign w:val="center"/>
            <w:hideMark/>
          </w:tcPr>
          <w:p w:rsidR="00545131" w:rsidRPr="003C75B0" w:rsidRDefault="00545131" w:rsidP="003C75B0">
            <w:pPr>
              <w:spacing w:after="0" w:line="240" w:lineRule="auto"/>
              <w:jc w:val="center"/>
              <w:rPr>
                <w:rFonts w:ascii="Times New Roman" w:eastAsia="Times New Roman" w:hAnsi="Times New Roman" w:cs="Times New Roman"/>
                <w:sz w:val="24"/>
                <w:szCs w:val="24"/>
                <w:lang w:eastAsia="lv-LV"/>
              </w:rPr>
            </w:pPr>
            <w:r w:rsidRPr="003C75B0">
              <w:rPr>
                <w:rFonts w:ascii="Times New Roman" w:eastAsia="Times New Roman" w:hAnsi="Times New Roman" w:cs="Times New Roman"/>
                <w:sz w:val="24"/>
                <w:szCs w:val="24"/>
                <w:lang w:eastAsia="lv-LV"/>
              </w:rPr>
              <w:t>55 397 185</w:t>
            </w:r>
          </w:p>
        </w:tc>
        <w:tc>
          <w:tcPr>
            <w:tcW w:w="1701" w:type="dxa"/>
            <w:tcBorders>
              <w:top w:val="nil"/>
              <w:left w:val="nil"/>
              <w:bottom w:val="single" w:sz="4" w:space="0" w:color="auto"/>
              <w:right w:val="single" w:sz="4" w:space="0" w:color="auto"/>
            </w:tcBorders>
            <w:shd w:val="clear" w:color="auto" w:fill="auto"/>
            <w:noWrap/>
            <w:vAlign w:val="center"/>
            <w:hideMark/>
          </w:tcPr>
          <w:p w:rsidR="00545131" w:rsidRPr="003C75B0" w:rsidRDefault="00545131" w:rsidP="003C75B0">
            <w:pPr>
              <w:spacing w:after="0" w:line="240" w:lineRule="auto"/>
              <w:jc w:val="center"/>
              <w:rPr>
                <w:rFonts w:ascii="Times New Roman" w:eastAsia="Times New Roman" w:hAnsi="Times New Roman" w:cs="Times New Roman"/>
                <w:sz w:val="24"/>
                <w:szCs w:val="24"/>
                <w:lang w:eastAsia="lv-LV"/>
              </w:rPr>
            </w:pPr>
            <w:r w:rsidRPr="003C75B0">
              <w:rPr>
                <w:rFonts w:ascii="Times New Roman" w:eastAsia="Times New Roman" w:hAnsi="Times New Roman" w:cs="Times New Roman"/>
                <w:sz w:val="24"/>
                <w:szCs w:val="24"/>
                <w:lang w:eastAsia="lv-LV"/>
              </w:rPr>
              <w:t>-48 745 971</w:t>
            </w:r>
          </w:p>
        </w:tc>
        <w:tc>
          <w:tcPr>
            <w:tcW w:w="1788" w:type="dxa"/>
            <w:tcBorders>
              <w:top w:val="nil"/>
              <w:left w:val="nil"/>
              <w:bottom w:val="single" w:sz="4" w:space="0" w:color="auto"/>
              <w:right w:val="single" w:sz="4" w:space="0" w:color="auto"/>
            </w:tcBorders>
            <w:shd w:val="clear" w:color="auto" w:fill="auto"/>
            <w:noWrap/>
            <w:vAlign w:val="center"/>
            <w:hideMark/>
          </w:tcPr>
          <w:p w:rsidR="00545131" w:rsidRPr="003C75B0" w:rsidRDefault="00545131" w:rsidP="003C75B0">
            <w:pPr>
              <w:spacing w:after="0" w:line="240" w:lineRule="auto"/>
              <w:jc w:val="center"/>
              <w:rPr>
                <w:rFonts w:ascii="Times New Roman" w:eastAsia="Times New Roman" w:hAnsi="Times New Roman" w:cs="Times New Roman"/>
                <w:sz w:val="24"/>
                <w:szCs w:val="24"/>
                <w:lang w:eastAsia="lv-LV"/>
              </w:rPr>
            </w:pPr>
            <w:r w:rsidRPr="003C75B0">
              <w:rPr>
                <w:rFonts w:ascii="Times New Roman" w:eastAsia="Times New Roman" w:hAnsi="Times New Roman" w:cs="Times New Roman"/>
                <w:sz w:val="24"/>
                <w:szCs w:val="24"/>
                <w:lang w:eastAsia="lv-LV"/>
              </w:rPr>
              <w:t>-47%</w:t>
            </w:r>
          </w:p>
        </w:tc>
      </w:tr>
    </w:tbl>
    <w:p w:rsidR="00B35A81" w:rsidRDefault="00B35A81" w:rsidP="005861EB">
      <w:pPr>
        <w:spacing w:after="0" w:line="240" w:lineRule="auto"/>
        <w:ind w:firstLine="709"/>
        <w:jc w:val="both"/>
        <w:rPr>
          <w:rFonts w:ascii="Times New Roman" w:hAnsi="Times New Roman" w:cs="Times New Roman"/>
          <w:b/>
          <w:sz w:val="28"/>
          <w:szCs w:val="28"/>
        </w:rPr>
      </w:pPr>
    </w:p>
    <w:p w:rsidR="008216B0" w:rsidRDefault="008216B0" w:rsidP="008216B0">
      <w:pPr>
        <w:spacing w:after="0" w:line="240" w:lineRule="auto"/>
        <w:ind w:firstLine="709"/>
        <w:jc w:val="both"/>
        <w:rPr>
          <w:rFonts w:ascii="Times New Roman" w:hAnsi="Times New Roman" w:cs="Times New Roman"/>
          <w:i/>
          <w:sz w:val="26"/>
          <w:szCs w:val="26"/>
        </w:rPr>
      </w:pPr>
    </w:p>
    <w:p w:rsidR="0068165A" w:rsidRDefault="005C1714" w:rsidP="000F6719">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4</w:t>
      </w:r>
      <w:r w:rsidR="003F57DD" w:rsidRPr="003F57DD">
        <w:rPr>
          <w:rFonts w:ascii="Times New Roman" w:hAnsi="Times New Roman" w:cs="Times New Roman"/>
          <w:i/>
          <w:sz w:val="26"/>
          <w:szCs w:val="26"/>
        </w:rPr>
        <w:t>.tabula</w:t>
      </w:r>
    </w:p>
    <w:p w:rsidR="00AF5DE2" w:rsidRDefault="00AF5DE2" w:rsidP="003F57D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K</w:t>
      </w:r>
      <w:r w:rsidR="003F57DD" w:rsidRPr="005B41EB">
        <w:rPr>
          <w:rFonts w:ascii="Times New Roman" w:hAnsi="Times New Roman" w:cs="Times New Roman"/>
          <w:b/>
          <w:sz w:val="26"/>
          <w:szCs w:val="26"/>
        </w:rPr>
        <w:t xml:space="preserve">opsavilkums </w:t>
      </w:r>
    </w:p>
    <w:p w:rsidR="003F57DD" w:rsidRPr="005B41EB" w:rsidRDefault="003F57DD" w:rsidP="003F57DD">
      <w:pPr>
        <w:spacing w:after="0" w:line="240" w:lineRule="auto"/>
        <w:jc w:val="center"/>
        <w:rPr>
          <w:rFonts w:ascii="Times New Roman" w:hAnsi="Times New Roman" w:cs="Times New Roman"/>
          <w:b/>
          <w:sz w:val="26"/>
          <w:szCs w:val="26"/>
        </w:rPr>
      </w:pPr>
      <w:r w:rsidRPr="005B41EB">
        <w:rPr>
          <w:rFonts w:ascii="Times New Roman" w:hAnsi="Times New Roman" w:cs="Times New Roman"/>
          <w:b/>
          <w:sz w:val="26"/>
          <w:szCs w:val="26"/>
        </w:rPr>
        <w:t xml:space="preserve">par studiju izmaksu koeficientu nodrošinājuma līmeni ministriju padotībā esošajās valsts budžeta finansētajās augstskolās un koledžās 2013.gadā saskaņā ar MK noteikumiem Nr.994 </w:t>
      </w:r>
    </w:p>
    <w:p w:rsidR="003F57DD" w:rsidRDefault="003F57DD" w:rsidP="005861EB">
      <w:pPr>
        <w:spacing w:after="0" w:line="240" w:lineRule="auto"/>
        <w:ind w:firstLine="709"/>
        <w:jc w:val="both"/>
        <w:rPr>
          <w:rFonts w:ascii="Times New Roman" w:hAnsi="Times New Roman" w:cs="Times New Roman"/>
          <w:b/>
          <w:sz w:val="28"/>
          <w:szCs w:val="28"/>
        </w:rPr>
      </w:pPr>
    </w:p>
    <w:tbl>
      <w:tblPr>
        <w:tblW w:w="9924" w:type="dxa"/>
        <w:tblInd w:w="-601" w:type="dxa"/>
        <w:tblLayout w:type="fixed"/>
        <w:tblLook w:val="04A0"/>
      </w:tblPr>
      <w:tblGrid>
        <w:gridCol w:w="425"/>
        <w:gridCol w:w="1277"/>
        <w:gridCol w:w="1134"/>
        <w:gridCol w:w="1277"/>
        <w:gridCol w:w="1133"/>
        <w:gridCol w:w="1132"/>
        <w:gridCol w:w="1278"/>
        <w:gridCol w:w="1134"/>
        <w:gridCol w:w="1134"/>
      </w:tblGrid>
      <w:tr w:rsidR="003F57DD" w:rsidRPr="003F57DD" w:rsidTr="00FB6E7A">
        <w:trPr>
          <w:trHeight w:val="2580"/>
        </w:trPr>
        <w:tc>
          <w:tcPr>
            <w:tcW w:w="425" w:type="dxa"/>
            <w:tcBorders>
              <w:top w:val="single" w:sz="4" w:space="0" w:color="auto"/>
              <w:left w:val="single" w:sz="4" w:space="0" w:color="auto"/>
              <w:bottom w:val="nil"/>
              <w:right w:val="single" w:sz="4" w:space="0" w:color="auto"/>
            </w:tcBorders>
            <w:shd w:val="clear" w:color="auto" w:fill="auto"/>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proofErr w:type="spellStart"/>
            <w:r w:rsidRPr="00C140E5">
              <w:rPr>
                <w:rFonts w:ascii="Times New Roman" w:eastAsia="Times New Roman" w:hAnsi="Times New Roman" w:cs="Times New Roman"/>
                <w:sz w:val="16"/>
                <w:szCs w:val="16"/>
                <w:lang w:eastAsia="lv-LV"/>
              </w:rPr>
              <w:t>N.p.k</w:t>
            </w:r>
            <w:proofErr w:type="spellEnd"/>
            <w:r w:rsidRPr="00C140E5">
              <w:rPr>
                <w:rFonts w:ascii="Times New Roman" w:eastAsia="Times New Roman" w:hAnsi="Times New Roman" w:cs="Times New Roman"/>
                <w:sz w:val="16"/>
                <w:szCs w:val="16"/>
                <w:lang w:eastAsia="lv-LV"/>
              </w:rPr>
              <w:t>.</w:t>
            </w:r>
          </w:p>
        </w:tc>
        <w:tc>
          <w:tcPr>
            <w:tcW w:w="1277" w:type="dxa"/>
            <w:tcBorders>
              <w:top w:val="single" w:sz="4" w:space="0" w:color="auto"/>
              <w:left w:val="nil"/>
              <w:bottom w:val="nil"/>
              <w:right w:val="single" w:sz="4" w:space="0" w:color="auto"/>
            </w:tcBorders>
            <w:shd w:val="clear" w:color="auto" w:fill="auto"/>
            <w:vAlign w:val="center"/>
            <w:hideMark/>
          </w:tcPr>
          <w:p w:rsidR="003F57DD" w:rsidRPr="003941DD" w:rsidRDefault="003F57DD" w:rsidP="003F57DD">
            <w:pPr>
              <w:spacing w:after="0" w:line="240" w:lineRule="auto"/>
              <w:jc w:val="center"/>
              <w:rPr>
                <w:rFonts w:ascii="Times New Roman" w:eastAsia="Times New Roman" w:hAnsi="Times New Roman" w:cs="Times New Roman"/>
                <w:sz w:val="18"/>
                <w:szCs w:val="18"/>
                <w:lang w:eastAsia="lv-LV"/>
              </w:rPr>
            </w:pPr>
            <w:r w:rsidRPr="003941DD">
              <w:rPr>
                <w:rFonts w:ascii="Times New Roman" w:eastAsia="Times New Roman" w:hAnsi="Times New Roman" w:cs="Times New Roman"/>
                <w:sz w:val="18"/>
                <w:szCs w:val="18"/>
                <w:lang w:eastAsia="lv-LV"/>
              </w:rPr>
              <w:t>Ministrija</w:t>
            </w:r>
          </w:p>
        </w:tc>
        <w:tc>
          <w:tcPr>
            <w:tcW w:w="1134" w:type="dxa"/>
            <w:tcBorders>
              <w:top w:val="single" w:sz="4" w:space="0" w:color="auto"/>
              <w:left w:val="nil"/>
              <w:bottom w:val="nil"/>
              <w:right w:val="single" w:sz="4" w:space="0" w:color="auto"/>
            </w:tcBorders>
            <w:shd w:val="clear" w:color="auto" w:fill="auto"/>
            <w:vAlign w:val="center"/>
            <w:hideMark/>
          </w:tcPr>
          <w:p w:rsidR="003F57DD" w:rsidRPr="003941DD" w:rsidRDefault="003F57DD" w:rsidP="003F57DD">
            <w:pPr>
              <w:spacing w:after="0" w:line="240" w:lineRule="auto"/>
              <w:jc w:val="center"/>
              <w:rPr>
                <w:rFonts w:ascii="Times New Roman" w:eastAsia="Times New Roman" w:hAnsi="Times New Roman" w:cs="Times New Roman"/>
                <w:sz w:val="18"/>
                <w:szCs w:val="18"/>
                <w:lang w:eastAsia="lv-LV"/>
              </w:rPr>
            </w:pPr>
            <w:r w:rsidRPr="003941DD">
              <w:rPr>
                <w:rFonts w:ascii="Times New Roman" w:eastAsia="Times New Roman" w:hAnsi="Times New Roman" w:cs="Times New Roman"/>
                <w:sz w:val="18"/>
                <w:szCs w:val="18"/>
                <w:lang w:eastAsia="lv-LV"/>
              </w:rPr>
              <w:t xml:space="preserve"> </w:t>
            </w:r>
            <w:r w:rsidRPr="003941DD">
              <w:rPr>
                <w:rFonts w:ascii="Times New Roman" w:eastAsia="Times New Roman" w:hAnsi="Times New Roman" w:cs="Times New Roman"/>
                <w:b/>
                <w:bCs/>
                <w:sz w:val="18"/>
                <w:szCs w:val="18"/>
                <w:lang w:eastAsia="lv-LV"/>
              </w:rPr>
              <w:t>Esošā</w:t>
            </w:r>
            <w:r w:rsidRPr="003941DD">
              <w:rPr>
                <w:rFonts w:ascii="Times New Roman" w:eastAsia="Times New Roman" w:hAnsi="Times New Roman" w:cs="Times New Roman"/>
                <w:sz w:val="18"/>
                <w:szCs w:val="18"/>
                <w:lang w:eastAsia="lv-LV"/>
              </w:rPr>
              <w:t xml:space="preserve"> valsts budžeta dotācija no vispārējiem ieņēmumiem 2013.gadā, latos</w:t>
            </w:r>
          </w:p>
        </w:tc>
        <w:tc>
          <w:tcPr>
            <w:tcW w:w="1277" w:type="dxa"/>
            <w:tcBorders>
              <w:top w:val="single" w:sz="4" w:space="0" w:color="auto"/>
              <w:left w:val="nil"/>
              <w:bottom w:val="nil"/>
              <w:right w:val="single" w:sz="4" w:space="0" w:color="auto"/>
            </w:tcBorders>
            <w:shd w:val="clear" w:color="auto" w:fill="auto"/>
            <w:vAlign w:val="center"/>
            <w:hideMark/>
          </w:tcPr>
          <w:p w:rsidR="003F57DD" w:rsidRPr="003941DD" w:rsidRDefault="003F57DD" w:rsidP="003941DD">
            <w:pPr>
              <w:spacing w:after="0" w:line="240" w:lineRule="auto"/>
              <w:jc w:val="center"/>
              <w:rPr>
                <w:rFonts w:ascii="Times New Roman" w:eastAsia="Times New Roman" w:hAnsi="Times New Roman" w:cs="Times New Roman"/>
                <w:sz w:val="18"/>
                <w:szCs w:val="18"/>
                <w:lang w:eastAsia="lv-LV"/>
              </w:rPr>
            </w:pPr>
            <w:r w:rsidRPr="003941DD">
              <w:rPr>
                <w:rFonts w:ascii="Times New Roman" w:eastAsia="Times New Roman" w:hAnsi="Times New Roman" w:cs="Times New Roman"/>
                <w:sz w:val="18"/>
                <w:szCs w:val="18"/>
                <w:lang w:eastAsia="lv-LV"/>
              </w:rPr>
              <w:t xml:space="preserve">Valsts budžeta dotācija, pielietojot </w:t>
            </w:r>
            <w:r w:rsidRPr="003941DD">
              <w:rPr>
                <w:rFonts w:ascii="Times New Roman" w:eastAsia="Times New Roman" w:hAnsi="Times New Roman" w:cs="Times New Roman"/>
                <w:b/>
                <w:bCs/>
                <w:sz w:val="18"/>
                <w:szCs w:val="18"/>
                <w:lang w:eastAsia="lv-LV"/>
              </w:rPr>
              <w:t>minimālos</w:t>
            </w:r>
            <w:r w:rsidRPr="003941DD">
              <w:rPr>
                <w:rFonts w:ascii="Times New Roman" w:eastAsia="Times New Roman" w:hAnsi="Times New Roman" w:cs="Times New Roman"/>
                <w:sz w:val="18"/>
                <w:szCs w:val="18"/>
                <w:lang w:eastAsia="lv-LV"/>
              </w:rPr>
              <w:t xml:space="preserve"> studiju izmaksu koeficientus</w:t>
            </w:r>
            <w:r w:rsidR="003941DD">
              <w:rPr>
                <w:rFonts w:ascii="Times New Roman" w:eastAsia="Times New Roman" w:hAnsi="Times New Roman" w:cs="Times New Roman"/>
                <w:sz w:val="18"/>
                <w:szCs w:val="18"/>
                <w:lang w:eastAsia="lv-LV"/>
              </w:rPr>
              <w:t>,</w:t>
            </w:r>
            <w:r w:rsidRPr="003941DD">
              <w:rPr>
                <w:rFonts w:ascii="Times New Roman" w:eastAsia="Times New Roman" w:hAnsi="Times New Roman" w:cs="Times New Roman"/>
                <w:sz w:val="18"/>
                <w:szCs w:val="18"/>
                <w:lang w:eastAsia="lv-LV"/>
              </w:rPr>
              <w:t xml:space="preserve"> latos </w:t>
            </w:r>
          </w:p>
        </w:tc>
        <w:tc>
          <w:tcPr>
            <w:tcW w:w="1133" w:type="dxa"/>
            <w:tcBorders>
              <w:top w:val="single" w:sz="4" w:space="0" w:color="auto"/>
              <w:left w:val="nil"/>
              <w:bottom w:val="nil"/>
              <w:right w:val="single" w:sz="4" w:space="0" w:color="auto"/>
            </w:tcBorders>
            <w:shd w:val="clear" w:color="auto" w:fill="auto"/>
            <w:vAlign w:val="center"/>
            <w:hideMark/>
          </w:tcPr>
          <w:p w:rsidR="003F57DD" w:rsidRPr="003941DD" w:rsidRDefault="003941DD" w:rsidP="003F57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Pietrūkst līdz minimālajiem</w:t>
            </w:r>
            <w:r w:rsidR="003F57DD" w:rsidRPr="003941DD">
              <w:rPr>
                <w:rFonts w:ascii="Times New Roman" w:eastAsia="Times New Roman" w:hAnsi="Times New Roman" w:cs="Times New Roman"/>
                <w:sz w:val="18"/>
                <w:szCs w:val="18"/>
                <w:lang w:eastAsia="lv-LV"/>
              </w:rPr>
              <w:t xml:space="preserve">, latos  (3.aile </w:t>
            </w:r>
            <w:r w:rsidR="00B03D2F" w:rsidRPr="003941DD">
              <w:rPr>
                <w:rFonts w:ascii="Times New Roman" w:eastAsia="Times New Roman" w:hAnsi="Times New Roman" w:cs="Times New Roman"/>
                <w:sz w:val="18"/>
                <w:szCs w:val="18"/>
                <w:lang w:eastAsia="lv-LV"/>
              </w:rPr>
              <w:t>–</w:t>
            </w:r>
            <w:r w:rsidR="003F57DD" w:rsidRPr="003941DD">
              <w:rPr>
                <w:rFonts w:ascii="Times New Roman" w:eastAsia="Times New Roman" w:hAnsi="Times New Roman" w:cs="Times New Roman"/>
                <w:sz w:val="18"/>
                <w:szCs w:val="18"/>
                <w:lang w:eastAsia="lv-LV"/>
              </w:rPr>
              <w:t xml:space="preserve"> 4.aile)</w:t>
            </w:r>
          </w:p>
        </w:tc>
        <w:tc>
          <w:tcPr>
            <w:tcW w:w="1132" w:type="dxa"/>
            <w:tcBorders>
              <w:top w:val="single" w:sz="4" w:space="0" w:color="auto"/>
              <w:left w:val="nil"/>
              <w:bottom w:val="nil"/>
              <w:right w:val="single" w:sz="4" w:space="0" w:color="auto"/>
            </w:tcBorders>
            <w:shd w:val="clear" w:color="auto" w:fill="auto"/>
            <w:vAlign w:val="center"/>
            <w:hideMark/>
          </w:tcPr>
          <w:p w:rsidR="003F57DD" w:rsidRPr="003941DD" w:rsidRDefault="003F57DD" w:rsidP="005B41EB">
            <w:pPr>
              <w:spacing w:after="0" w:line="240" w:lineRule="auto"/>
              <w:jc w:val="center"/>
              <w:rPr>
                <w:rFonts w:ascii="Times New Roman" w:eastAsia="Times New Roman" w:hAnsi="Times New Roman" w:cs="Times New Roman"/>
                <w:sz w:val="18"/>
                <w:szCs w:val="18"/>
                <w:lang w:eastAsia="lv-LV"/>
              </w:rPr>
            </w:pPr>
            <w:r w:rsidRPr="003941DD">
              <w:rPr>
                <w:rFonts w:ascii="Times New Roman" w:eastAsia="Times New Roman" w:hAnsi="Times New Roman" w:cs="Times New Roman"/>
                <w:sz w:val="18"/>
                <w:szCs w:val="18"/>
                <w:lang w:eastAsia="lv-LV"/>
              </w:rPr>
              <w:t xml:space="preserve">Nodrošinājuma līmenis 2013.gadā </w:t>
            </w:r>
            <w:r w:rsidR="005B41EB" w:rsidRPr="003941DD">
              <w:rPr>
                <w:rFonts w:ascii="Times New Roman" w:eastAsia="Times New Roman" w:hAnsi="Times New Roman" w:cs="Times New Roman"/>
                <w:sz w:val="18"/>
                <w:szCs w:val="18"/>
                <w:lang w:eastAsia="lv-LV"/>
              </w:rPr>
              <w:t>salīdzinājumā ar</w:t>
            </w:r>
            <w:r w:rsidRPr="003941DD">
              <w:rPr>
                <w:rFonts w:ascii="Times New Roman" w:eastAsia="Times New Roman" w:hAnsi="Times New Roman" w:cs="Times New Roman"/>
                <w:sz w:val="18"/>
                <w:szCs w:val="18"/>
                <w:lang w:eastAsia="lv-LV"/>
              </w:rPr>
              <w:t xml:space="preserve"> </w:t>
            </w:r>
            <w:r w:rsidRPr="003941DD">
              <w:rPr>
                <w:rFonts w:ascii="Times New Roman" w:eastAsia="Times New Roman" w:hAnsi="Times New Roman" w:cs="Times New Roman"/>
                <w:b/>
                <w:bCs/>
                <w:sz w:val="18"/>
                <w:szCs w:val="18"/>
                <w:lang w:eastAsia="lv-LV"/>
              </w:rPr>
              <w:t>minimālo, %</w:t>
            </w:r>
            <w:r w:rsidRPr="003941DD">
              <w:rPr>
                <w:rFonts w:ascii="Times New Roman" w:eastAsia="Times New Roman" w:hAnsi="Times New Roman" w:cs="Times New Roman"/>
                <w:sz w:val="18"/>
                <w:szCs w:val="18"/>
                <w:lang w:eastAsia="lv-LV"/>
              </w:rPr>
              <w:t xml:space="preserve"> </w:t>
            </w:r>
          </w:p>
        </w:tc>
        <w:tc>
          <w:tcPr>
            <w:tcW w:w="1278" w:type="dxa"/>
            <w:tcBorders>
              <w:top w:val="single" w:sz="4" w:space="0" w:color="auto"/>
              <w:left w:val="nil"/>
              <w:bottom w:val="nil"/>
              <w:right w:val="single" w:sz="4" w:space="0" w:color="auto"/>
            </w:tcBorders>
            <w:shd w:val="clear" w:color="auto" w:fill="auto"/>
            <w:vAlign w:val="center"/>
            <w:hideMark/>
          </w:tcPr>
          <w:p w:rsidR="003F57DD" w:rsidRPr="003941DD" w:rsidRDefault="003F57DD" w:rsidP="003F57DD">
            <w:pPr>
              <w:spacing w:after="0" w:line="240" w:lineRule="auto"/>
              <w:jc w:val="center"/>
              <w:rPr>
                <w:rFonts w:ascii="Times New Roman" w:eastAsia="Times New Roman" w:hAnsi="Times New Roman" w:cs="Times New Roman"/>
                <w:sz w:val="18"/>
                <w:szCs w:val="18"/>
                <w:lang w:eastAsia="lv-LV"/>
              </w:rPr>
            </w:pPr>
            <w:r w:rsidRPr="003941DD">
              <w:rPr>
                <w:rFonts w:ascii="Times New Roman" w:eastAsia="Times New Roman" w:hAnsi="Times New Roman" w:cs="Times New Roman"/>
                <w:sz w:val="18"/>
                <w:szCs w:val="18"/>
                <w:lang w:eastAsia="lv-LV"/>
              </w:rPr>
              <w:t xml:space="preserve">Valsts budžeta dotācija, pielietojot </w:t>
            </w:r>
            <w:r w:rsidRPr="003941DD">
              <w:rPr>
                <w:rFonts w:ascii="Times New Roman" w:eastAsia="Times New Roman" w:hAnsi="Times New Roman" w:cs="Times New Roman"/>
                <w:b/>
                <w:bCs/>
                <w:sz w:val="18"/>
                <w:szCs w:val="18"/>
                <w:lang w:eastAsia="lv-LV"/>
              </w:rPr>
              <w:t xml:space="preserve">optimālos </w:t>
            </w:r>
            <w:r w:rsidRPr="003941DD">
              <w:rPr>
                <w:rFonts w:ascii="Times New Roman" w:eastAsia="Times New Roman" w:hAnsi="Times New Roman" w:cs="Times New Roman"/>
                <w:sz w:val="18"/>
                <w:szCs w:val="18"/>
                <w:lang w:eastAsia="lv-LV"/>
              </w:rPr>
              <w:t xml:space="preserve">studiju izmaksu koeficientus, latos </w:t>
            </w:r>
          </w:p>
        </w:tc>
        <w:tc>
          <w:tcPr>
            <w:tcW w:w="1134" w:type="dxa"/>
            <w:tcBorders>
              <w:top w:val="single" w:sz="4" w:space="0" w:color="auto"/>
              <w:left w:val="nil"/>
              <w:bottom w:val="nil"/>
              <w:right w:val="nil"/>
            </w:tcBorders>
            <w:shd w:val="clear" w:color="auto" w:fill="auto"/>
            <w:vAlign w:val="center"/>
            <w:hideMark/>
          </w:tcPr>
          <w:p w:rsidR="003F57DD" w:rsidRPr="003941DD" w:rsidRDefault="003941DD" w:rsidP="003F57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Pietrūkst līdz optimālajiem</w:t>
            </w:r>
            <w:r w:rsidR="003F57DD" w:rsidRPr="003941DD">
              <w:rPr>
                <w:rFonts w:ascii="Times New Roman" w:eastAsia="Times New Roman" w:hAnsi="Times New Roman" w:cs="Times New Roman"/>
                <w:sz w:val="18"/>
                <w:szCs w:val="18"/>
                <w:lang w:eastAsia="lv-LV"/>
              </w:rPr>
              <w:t xml:space="preserve">, latos (3.aile </w:t>
            </w:r>
            <w:r w:rsidR="00B03D2F" w:rsidRPr="003941DD">
              <w:rPr>
                <w:rFonts w:ascii="Times New Roman" w:eastAsia="Times New Roman" w:hAnsi="Times New Roman" w:cs="Times New Roman"/>
                <w:sz w:val="18"/>
                <w:szCs w:val="18"/>
                <w:lang w:eastAsia="lv-LV"/>
              </w:rPr>
              <w:t>–</w:t>
            </w:r>
            <w:r w:rsidR="003F57DD" w:rsidRPr="003941DD">
              <w:rPr>
                <w:rFonts w:ascii="Times New Roman" w:eastAsia="Times New Roman" w:hAnsi="Times New Roman" w:cs="Times New Roman"/>
                <w:sz w:val="18"/>
                <w:szCs w:val="18"/>
                <w:lang w:eastAsia="lv-LV"/>
              </w:rPr>
              <w:t xml:space="preserve"> 7.aile)</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3F57DD" w:rsidRPr="003941DD" w:rsidRDefault="003F57DD" w:rsidP="003F57DD">
            <w:pPr>
              <w:spacing w:after="0" w:line="240" w:lineRule="auto"/>
              <w:jc w:val="center"/>
              <w:rPr>
                <w:rFonts w:ascii="Times New Roman" w:eastAsia="Times New Roman" w:hAnsi="Times New Roman" w:cs="Times New Roman"/>
                <w:sz w:val="18"/>
                <w:szCs w:val="18"/>
                <w:lang w:eastAsia="lv-LV"/>
              </w:rPr>
            </w:pPr>
            <w:r w:rsidRPr="003941DD">
              <w:rPr>
                <w:rFonts w:ascii="Times New Roman" w:eastAsia="Times New Roman" w:hAnsi="Times New Roman" w:cs="Times New Roman"/>
                <w:sz w:val="18"/>
                <w:szCs w:val="18"/>
                <w:lang w:eastAsia="lv-LV"/>
              </w:rPr>
              <w:t xml:space="preserve">Nodrošinājuma līmenis 2013.gadā </w:t>
            </w:r>
            <w:r w:rsidR="005B41EB" w:rsidRPr="003941DD">
              <w:rPr>
                <w:rFonts w:ascii="Times New Roman" w:eastAsia="Times New Roman" w:hAnsi="Times New Roman" w:cs="Times New Roman"/>
                <w:sz w:val="18"/>
                <w:szCs w:val="18"/>
                <w:lang w:eastAsia="lv-LV"/>
              </w:rPr>
              <w:t>salīdzinājumā ar</w:t>
            </w:r>
            <w:r w:rsidRPr="003941DD">
              <w:rPr>
                <w:rFonts w:ascii="Times New Roman" w:eastAsia="Times New Roman" w:hAnsi="Times New Roman" w:cs="Times New Roman"/>
                <w:sz w:val="18"/>
                <w:szCs w:val="18"/>
                <w:lang w:eastAsia="lv-LV"/>
              </w:rPr>
              <w:t xml:space="preserve"> </w:t>
            </w:r>
            <w:r w:rsidRPr="003941DD">
              <w:rPr>
                <w:rFonts w:ascii="Times New Roman" w:eastAsia="Times New Roman" w:hAnsi="Times New Roman" w:cs="Times New Roman"/>
                <w:b/>
                <w:bCs/>
                <w:sz w:val="18"/>
                <w:szCs w:val="18"/>
                <w:lang w:eastAsia="lv-LV"/>
              </w:rPr>
              <w:t>optimālo %</w:t>
            </w:r>
            <w:r w:rsidRPr="003941DD">
              <w:rPr>
                <w:rFonts w:ascii="Times New Roman" w:eastAsia="Times New Roman" w:hAnsi="Times New Roman" w:cs="Times New Roman"/>
                <w:sz w:val="18"/>
                <w:szCs w:val="18"/>
                <w:lang w:eastAsia="lv-LV"/>
              </w:rPr>
              <w:t xml:space="preserve"> </w:t>
            </w:r>
          </w:p>
        </w:tc>
      </w:tr>
      <w:tr w:rsidR="003F57DD" w:rsidRPr="003F57DD" w:rsidTr="00FB6E7A">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lastRenderedPageBreak/>
              <w:t>1</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t>3</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t>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t>5</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t>6</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57DD" w:rsidRPr="003F57DD" w:rsidRDefault="003F57DD" w:rsidP="003F57DD">
            <w:pPr>
              <w:spacing w:after="0" w:line="240" w:lineRule="auto"/>
              <w:jc w:val="center"/>
              <w:rPr>
                <w:rFonts w:ascii="Arial" w:eastAsia="Times New Roman" w:hAnsi="Arial" w:cs="Arial"/>
                <w:i/>
                <w:iCs/>
                <w:sz w:val="16"/>
                <w:szCs w:val="16"/>
                <w:lang w:eastAsia="lv-LV"/>
              </w:rPr>
            </w:pPr>
            <w:r w:rsidRPr="003F57DD">
              <w:rPr>
                <w:rFonts w:ascii="Arial" w:eastAsia="Times New Roman" w:hAnsi="Arial" w:cs="Arial"/>
                <w:i/>
                <w:iCs/>
                <w:sz w:val="16"/>
                <w:szCs w:val="16"/>
                <w:lang w:eastAsia="lv-LV"/>
              </w:rPr>
              <w:t>9</w:t>
            </w:r>
          </w:p>
        </w:tc>
      </w:tr>
      <w:tr w:rsidR="003F57DD" w:rsidRPr="003F57DD" w:rsidTr="00FB6E7A">
        <w:trPr>
          <w:trHeight w:val="569"/>
        </w:trPr>
        <w:tc>
          <w:tcPr>
            <w:tcW w:w="425" w:type="dxa"/>
            <w:tcBorders>
              <w:top w:val="nil"/>
              <w:left w:val="single" w:sz="4" w:space="0" w:color="auto"/>
              <w:bottom w:val="nil"/>
              <w:right w:val="nil"/>
            </w:tcBorders>
            <w:shd w:val="clear" w:color="auto" w:fill="auto"/>
            <w:noWrap/>
            <w:vAlign w:val="center"/>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1.</w:t>
            </w:r>
          </w:p>
        </w:tc>
        <w:tc>
          <w:tcPr>
            <w:tcW w:w="3688" w:type="dxa"/>
            <w:gridSpan w:val="3"/>
            <w:tcBorders>
              <w:top w:val="single" w:sz="4" w:space="0" w:color="auto"/>
              <w:left w:val="single" w:sz="4" w:space="0" w:color="auto"/>
              <w:bottom w:val="single" w:sz="4" w:space="0" w:color="auto"/>
              <w:right w:val="nil"/>
            </w:tcBorders>
            <w:shd w:val="clear" w:color="auto" w:fill="auto"/>
            <w:noWrap/>
            <w:vAlign w:val="bottom"/>
            <w:hideMark/>
          </w:tcPr>
          <w:p w:rsidR="003F57DD" w:rsidRPr="00C140E5" w:rsidRDefault="003F57DD" w:rsidP="003F57DD">
            <w:pPr>
              <w:spacing w:after="0" w:line="240" w:lineRule="auto"/>
              <w:rPr>
                <w:rFonts w:ascii="Times New Roman" w:eastAsia="Times New Roman" w:hAnsi="Times New Roman" w:cs="Times New Roman"/>
                <w:sz w:val="18"/>
                <w:szCs w:val="18"/>
                <w:lang w:eastAsia="lv-LV"/>
              </w:rPr>
            </w:pPr>
            <w:r w:rsidRPr="00C140E5">
              <w:rPr>
                <w:rFonts w:ascii="Times New Roman" w:eastAsia="Times New Roman" w:hAnsi="Times New Roman" w:cs="Times New Roman"/>
                <w:b/>
                <w:bCs/>
                <w:sz w:val="18"/>
                <w:szCs w:val="18"/>
                <w:lang w:eastAsia="lv-LV"/>
              </w:rPr>
              <w:t>Izglītības un zinātnes ministrija</w:t>
            </w:r>
            <w:r w:rsidRPr="00C140E5">
              <w:rPr>
                <w:rFonts w:ascii="Times New Roman" w:eastAsia="Times New Roman" w:hAnsi="Times New Roman" w:cs="Times New Roman"/>
                <w:sz w:val="18"/>
                <w:szCs w:val="18"/>
                <w:lang w:eastAsia="lv-LV"/>
              </w:rPr>
              <w:t xml:space="preserve">, </w:t>
            </w:r>
          </w:p>
          <w:p w:rsidR="003F57DD" w:rsidRPr="00C140E5" w:rsidRDefault="003F57DD" w:rsidP="003F57DD">
            <w:pPr>
              <w:spacing w:after="0" w:line="240" w:lineRule="auto"/>
              <w:rPr>
                <w:rFonts w:ascii="Times New Roman" w:eastAsia="Times New Roman" w:hAnsi="Times New Roman" w:cs="Times New Roman"/>
                <w:b/>
                <w:bCs/>
                <w:sz w:val="18"/>
                <w:szCs w:val="18"/>
                <w:lang w:eastAsia="lv-LV"/>
              </w:rPr>
            </w:pPr>
            <w:r w:rsidRPr="00C140E5">
              <w:rPr>
                <w:rFonts w:ascii="Times New Roman" w:eastAsia="Times New Roman" w:hAnsi="Times New Roman" w:cs="Times New Roman"/>
                <w:i/>
                <w:iCs/>
                <w:sz w:val="18"/>
                <w:szCs w:val="18"/>
                <w:lang w:eastAsia="lv-LV"/>
              </w:rPr>
              <w:t>tajā skaitā:</w:t>
            </w:r>
          </w:p>
        </w:tc>
        <w:tc>
          <w:tcPr>
            <w:tcW w:w="1133" w:type="dxa"/>
            <w:tcBorders>
              <w:top w:val="nil"/>
              <w:left w:val="nil"/>
              <w:bottom w:val="single" w:sz="4" w:space="0" w:color="auto"/>
              <w:right w:val="nil"/>
            </w:tcBorders>
            <w:shd w:val="clear" w:color="auto" w:fill="auto"/>
            <w:noWrap/>
            <w:vAlign w:val="bottom"/>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 </w:t>
            </w:r>
          </w:p>
        </w:tc>
        <w:tc>
          <w:tcPr>
            <w:tcW w:w="1132" w:type="dxa"/>
            <w:tcBorders>
              <w:top w:val="nil"/>
              <w:left w:val="nil"/>
              <w:bottom w:val="single" w:sz="4" w:space="0" w:color="auto"/>
              <w:right w:val="nil"/>
            </w:tcBorders>
            <w:shd w:val="clear" w:color="auto" w:fill="auto"/>
            <w:noWrap/>
            <w:vAlign w:val="bottom"/>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 </w:t>
            </w:r>
          </w:p>
        </w:tc>
        <w:tc>
          <w:tcPr>
            <w:tcW w:w="1278" w:type="dxa"/>
            <w:tcBorders>
              <w:top w:val="nil"/>
              <w:left w:val="nil"/>
              <w:bottom w:val="single" w:sz="4" w:space="0" w:color="auto"/>
              <w:right w:val="nil"/>
            </w:tcBorders>
            <w:shd w:val="clear" w:color="auto" w:fill="auto"/>
            <w:noWrap/>
            <w:vAlign w:val="bottom"/>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 </w:t>
            </w:r>
          </w:p>
        </w:tc>
        <w:tc>
          <w:tcPr>
            <w:tcW w:w="1134" w:type="dxa"/>
            <w:tcBorders>
              <w:top w:val="nil"/>
              <w:left w:val="nil"/>
              <w:bottom w:val="nil"/>
              <w:right w:val="nil"/>
            </w:tcBorders>
            <w:shd w:val="clear" w:color="auto" w:fill="auto"/>
            <w:noWrap/>
            <w:vAlign w:val="bottom"/>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 </w:t>
            </w:r>
          </w:p>
        </w:tc>
      </w:tr>
      <w:tr w:rsidR="003F57DD" w:rsidRPr="003F57DD" w:rsidTr="00FB6E7A">
        <w:trPr>
          <w:trHeight w:val="574"/>
        </w:trPr>
        <w:tc>
          <w:tcPr>
            <w:tcW w:w="425" w:type="dxa"/>
            <w:tcBorders>
              <w:top w:val="nil"/>
              <w:left w:val="single" w:sz="4" w:space="0" w:color="auto"/>
              <w:bottom w:val="nil"/>
              <w:right w:val="single" w:sz="4" w:space="0" w:color="auto"/>
            </w:tcBorders>
            <w:shd w:val="clear" w:color="auto" w:fill="auto"/>
            <w:noWrap/>
            <w:vAlign w:val="center"/>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right"/>
              <w:rPr>
                <w:rFonts w:ascii="Times New Roman" w:eastAsia="Times New Roman" w:hAnsi="Times New Roman" w:cs="Times New Roman"/>
                <w:sz w:val="18"/>
                <w:szCs w:val="18"/>
                <w:lang w:eastAsia="lv-LV"/>
              </w:rPr>
            </w:pPr>
            <w:r w:rsidRPr="00C140E5">
              <w:rPr>
                <w:rFonts w:ascii="Times New Roman" w:eastAsia="Times New Roman" w:hAnsi="Times New Roman" w:cs="Times New Roman"/>
                <w:sz w:val="18"/>
                <w:szCs w:val="18"/>
                <w:lang w:eastAsia="lv-LV"/>
              </w:rPr>
              <w:t xml:space="preserve"> augstskolas</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30 224 955</w:t>
            </w:r>
          </w:p>
        </w:tc>
        <w:tc>
          <w:tcPr>
            <w:tcW w:w="1277"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36 631 850</w:t>
            </w:r>
          </w:p>
        </w:tc>
        <w:tc>
          <w:tcPr>
            <w:tcW w:w="1133"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-6 406 895</w:t>
            </w:r>
          </w:p>
        </w:tc>
        <w:tc>
          <w:tcPr>
            <w:tcW w:w="1132"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b/>
                <w:sz w:val="16"/>
                <w:szCs w:val="16"/>
                <w:lang w:eastAsia="lv-LV"/>
              </w:rPr>
            </w:pPr>
            <w:r w:rsidRPr="00C140E5">
              <w:rPr>
                <w:rFonts w:ascii="Times New Roman" w:eastAsia="Times New Roman" w:hAnsi="Times New Roman" w:cs="Times New Roman"/>
                <w:b/>
                <w:sz w:val="16"/>
                <w:szCs w:val="16"/>
                <w:lang w:eastAsia="lv-LV"/>
              </w:rPr>
              <w:t>83%</w:t>
            </w:r>
          </w:p>
        </w:tc>
        <w:tc>
          <w:tcPr>
            <w:tcW w:w="1278"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55 425 483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-25 200 528</w:t>
            </w:r>
          </w:p>
        </w:tc>
        <w:tc>
          <w:tcPr>
            <w:tcW w:w="1134" w:type="dxa"/>
            <w:tcBorders>
              <w:top w:val="nil"/>
              <w:left w:val="nil"/>
              <w:bottom w:val="single" w:sz="4" w:space="0" w:color="auto"/>
              <w:right w:val="single" w:sz="4" w:space="0" w:color="auto"/>
            </w:tcBorders>
            <w:shd w:val="clear" w:color="auto" w:fill="auto"/>
            <w:vAlign w:val="center"/>
            <w:hideMark/>
          </w:tcPr>
          <w:p w:rsidR="003F57DD" w:rsidRPr="00B44B1F" w:rsidRDefault="003F57DD" w:rsidP="003F57DD">
            <w:pPr>
              <w:spacing w:after="0" w:line="240" w:lineRule="auto"/>
              <w:jc w:val="center"/>
              <w:rPr>
                <w:rFonts w:ascii="Times New Roman" w:eastAsia="Times New Roman" w:hAnsi="Times New Roman" w:cs="Times New Roman"/>
                <w:b/>
                <w:sz w:val="16"/>
                <w:szCs w:val="16"/>
                <w:lang w:eastAsia="lv-LV"/>
              </w:rPr>
            </w:pPr>
            <w:r w:rsidRPr="00B44B1F">
              <w:rPr>
                <w:rFonts w:ascii="Times New Roman" w:eastAsia="Times New Roman" w:hAnsi="Times New Roman" w:cs="Times New Roman"/>
                <w:b/>
                <w:sz w:val="16"/>
                <w:szCs w:val="16"/>
                <w:lang w:eastAsia="lv-LV"/>
              </w:rPr>
              <w:t>55%</w:t>
            </w:r>
          </w:p>
        </w:tc>
      </w:tr>
      <w:tr w:rsidR="003F57DD" w:rsidRPr="003F57DD" w:rsidTr="00FB6E7A">
        <w:trPr>
          <w:trHeight w:val="568"/>
        </w:trPr>
        <w:tc>
          <w:tcPr>
            <w:tcW w:w="425" w:type="dxa"/>
            <w:tcBorders>
              <w:top w:val="nil"/>
              <w:left w:val="single" w:sz="4" w:space="0" w:color="auto"/>
              <w:bottom w:val="nil"/>
              <w:right w:val="single" w:sz="4" w:space="0" w:color="auto"/>
            </w:tcBorders>
            <w:shd w:val="clear" w:color="auto" w:fill="auto"/>
            <w:noWrap/>
            <w:vAlign w:val="center"/>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right"/>
              <w:rPr>
                <w:rFonts w:ascii="Times New Roman" w:eastAsia="Times New Roman" w:hAnsi="Times New Roman" w:cs="Times New Roman"/>
                <w:sz w:val="18"/>
                <w:szCs w:val="18"/>
                <w:lang w:eastAsia="lv-LV"/>
              </w:rPr>
            </w:pPr>
            <w:r w:rsidRPr="00C140E5">
              <w:rPr>
                <w:rFonts w:ascii="Times New Roman" w:eastAsia="Times New Roman" w:hAnsi="Times New Roman" w:cs="Times New Roman"/>
                <w:sz w:val="18"/>
                <w:szCs w:val="18"/>
                <w:lang w:eastAsia="lv-LV"/>
              </w:rPr>
              <w:t xml:space="preserve"> koledžas</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4 357 639</w:t>
            </w:r>
          </w:p>
        </w:tc>
        <w:tc>
          <w:tcPr>
            <w:tcW w:w="1277"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6 964 496</w:t>
            </w:r>
          </w:p>
        </w:tc>
        <w:tc>
          <w:tcPr>
            <w:tcW w:w="1133"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-2 606 857</w:t>
            </w:r>
          </w:p>
        </w:tc>
        <w:tc>
          <w:tcPr>
            <w:tcW w:w="1132"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b/>
                <w:sz w:val="16"/>
                <w:szCs w:val="16"/>
                <w:lang w:eastAsia="lv-LV"/>
              </w:rPr>
            </w:pPr>
            <w:r w:rsidRPr="00C140E5">
              <w:rPr>
                <w:rFonts w:ascii="Times New Roman" w:eastAsia="Times New Roman" w:hAnsi="Times New Roman" w:cs="Times New Roman"/>
                <w:b/>
                <w:sz w:val="16"/>
                <w:szCs w:val="16"/>
                <w:lang w:eastAsia="lv-LV"/>
              </w:rPr>
              <w:t>63%</w:t>
            </w:r>
          </w:p>
        </w:tc>
        <w:tc>
          <w:tcPr>
            <w:tcW w:w="1278"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8 819 372</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-4 461 733</w:t>
            </w:r>
          </w:p>
        </w:tc>
        <w:tc>
          <w:tcPr>
            <w:tcW w:w="1134" w:type="dxa"/>
            <w:tcBorders>
              <w:top w:val="nil"/>
              <w:left w:val="nil"/>
              <w:bottom w:val="single" w:sz="4" w:space="0" w:color="auto"/>
              <w:right w:val="single" w:sz="4" w:space="0" w:color="auto"/>
            </w:tcBorders>
            <w:shd w:val="clear" w:color="auto" w:fill="auto"/>
            <w:vAlign w:val="center"/>
            <w:hideMark/>
          </w:tcPr>
          <w:p w:rsidR="003F57DD" w:rsidRPr="00B44B1F" w:rsidRDefault="003F57DD" w:rsidP="003F57DD">
            <w:pPr>
              <w:spacing w:after="0" w:line="240" w:lineRule="auto"/>
              <w:jc w:val="center"/>
              <w:rPr>
                <w:rFonts w:ascii="Times New Roman" w:eastAsia="Times New Roman" w:hAnsi="Times New Roman" w:cs="Times New Roman"/>
                <w:b/>
                <w:sz w:val="16"/>
                <w:szCs w:val="16"/>
                <w:lang w:eastAsia="lv-LV"/>
              </w:rPr>
            </w:pPr>
            <w:r w:rsidRPr="00B44B1F">
              <w:rPr>
                <w:rFonts w:ascii="Times New Roman" w:eastAsia="Times New Roman" w:hAnsi="Times New Roman" w:cs="Times New Roman"/>
                <w:b/>
                <w:sz w:val="16"/>
                <w:szCs w:val="16"/>
                <w:lang w:eastAsia="lv-LV"/>
              </w:rPr>
              <w:t>49%</w:t>
            </w:r>
          </w:p>
        </w:tc>
      </w:tr>
      <w:tr w:rsidR="003F57DD" w:rsidRPr="003F57DD" w:rsidTr="00FB6E7A">
        <w:trPr>
          <w:trHeight w:val="70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2.</w:t>
            </w:r>
          </w:p>
        </w:tc>
        <w:tc>
          <w:tcPr>
            <w:tcW w:w="1277" w:type="dxa"/>
            <w:tcBorders>
              <w:top w:val="nil"/>
              <w:left w:val="nil"/>
              <w:bottom w:val="single" w:sz="4" w:space="0" w:color="auto"/>
              <w:right w:val="single" w:sz="4" w:space="0" w:color="auto"/>
            </w:tcBorders>
            <w:shd w:val="clear" w:color="auto" w:fill="auto"/>
            <w:vAlign w:val="center"/>
            <w:hideMark/>
          </w:tcPr>
          <w:p w:rsidR="003F57DD" w:rsidRPr="00C140E5" w:rsidRDefault="003F57DD" w:rsidP="003F57DD">
            <w:pPr>
              <w:spacing w:after="0" w:line="240" w:lineRule="auto"/>
              <w:rPr>
                <w:rFonts w:ascii="Times New Roman" w:eastAsia="Times New Roman" w:hAnsi="Times New Roman" w:cs="Times New Roman"/>
                <w:b/>
                <w:bCs/>
                <w:sz w:val="18"/>
                <w:szCs w:val="18"/>
                <w:lang w:eastAsia="lv-LV"/>
              </w:rPr>
            </w:pPr>
            <w:r w:rsidRPr="00C140E5">
              <w:rPr>
                <w:rFonts w:ascii="Times New Roman" w:eastAsia="Times New Roman" w:hAnsi="Times New Roman" w:cs="Times New Roman"/>
                <w:b/>
                <w:bCs/>
                <w:sz w:val="18"/>
                <w:szCs w:val="18"/>
                <w:lang w:eastAsia="lv-LV"/>
              </w:rPr>
              <w:t>Kultūras ministrija</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4 681 725</w:t>
            </w:r>
          </w:p>
        </w:tc>
        <w:tc>
          <w:tcPr>
            <w:tcW w:w="1277"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5 898 606</w:t>
            </w:r>
          </w:p>
        </w:tc>
        <w:tc>
          <w:tcPr>
            <w:tcW w:w="1133"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-1 216 881</w:t>
            </w:r>
          </w:p>
        </w:tc>
        <w:tc>
          <w:tcPr>
            <w:tcW w:w="1132"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b/>
                <w:sz w:val="16"/>
                <w:szCs w:val="16"/>
                <w:lang w:eastAsia="lv-LV"/>
              </w:rPr>
            </w:pPr>
            <w:r w:rsidRPr="00C140E5">
              <w:rPr>
                <w:rFonts w:ascii="Times New Roman" w:eastAsia="Times New Roman" w:hAnsi="Times New Roman" w:cs="Times New Roman"/>
                <w:b/>
                <w:sz w:val="16"/>
                <w:szCs w:val="16"/>
                <w:lang w:eastAsia="lv-LV"/>
              </w:rPr>
              <w:t>79%</w:t>
            </w:r>
          </w:p>
        </w:tc>
        <w:tc>
          <w:tcPr>
            <w:tcW w:w="1278"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6 753 138</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-2 071 413</w:t>
            </w:r>
          </w:p>
        </w:tc>
        <w:tc>
          <w:tcPr>
            <w:tcW w:w="1134" w:type="dxa"/>
            <w:tcBorders>
              <w:top w:val="nil"/>
              <w:left w:val="nil"/>
              <w:bottom w:val="single" w:sz="4" w:space="0" w:color="auto"/>
              <w:right w:val="single" w:sz="4" w:space="0" w:color="auto"/>
            </w:tcBorders>
            <w:shd w:val="clear" w:color="auto" w:fill="auto"/>
            <w:vAlign w:val="center"/>
            <w:hideMark/>
          </w:tcPr>
          <w:p w:rsidR="003F57DD" w:rsidRPr="00B44B1F" w:rsidRDefault="003F57DD" w:rsidP="003F57DD">
            <w:pPr>
              <w:spacing w:after="0" w:line="240" w:lineRule="auto"/>
              <w:jc w:val="center"/>
              <w:rPr>
                <w:rFonts w:ascii="Times New Roman" w:eastAsia="Times New Roman" w:hAnsi="Times New Roman" w:cs="Times New Roman"/>
                <w:b/>
                <w:sz w:val="16"/>
                <w:szCs w:val="16"/>
                <w:lang w:eastAsia="lv-LV"/>
              </w:rPr>
            </w:pPr>
            <w:r w:rsidRPr="00B44B1F">
              <w:rPr>
                <w:rFonts w:ascii="Times New Roman" w:eastAsia="Times New Roman" w:hAnsi="Times New Roman" w:cs="Times New Roman"/>
                <w:b/>
                <w:sz w:val="16"/>
                <w:szCs w:val="16"/>
                <w:lang w:eastAsia="lv-LV"/>
              </w:rPr>
              <w:t>69%</w:t>
            </w:r>
          </w:p>
        </w:tc>
      </w:tr>
      <w:tr w:rsidR="003F57DD" w:rsidRPr="003F57DD" w:rsidTr="00FB6E7A">
        <w:trPr>
          <w:trHeight w:val="82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3.</w:t>
            </w:r>
          </w:p>
        </w:tc>
        <w:tc>
          <w:tcPr>
            <w:tcW w:w="1277" w:type="dxa"/>
            <w:tcBorders>
              <w:top w:val="nil"/>
              <w:left w:val="nil"/>
              <w:bottom w:val="single" w:sz="4" w:space="0" w:color="auto"/>
              <w:right w:val="single" w:sz="4" w:space="0" w:color="auto"/>
            </w:tcBorders>
            <w:shd w:val="clear" w:color="auto" w:fill="auto"/>
            <w:vAlign w:val="center"/>
            <w:hideMark/>
          </w:tcPr>
          <w:p w:rsidR="003F57DD" w:rsidRPr="00C140E5" w:rsidRDefault="003F57DD" w:rsidP="003F57DD">
            <w:pPr>
              <w:spacing w:after="0" w:line="240" w:lineRule="auto"/>
              <w:rPr>
                <w:rFonts w:ascii="Times New Roman" w:eastAsia="Times New Roman" w:hAnsi="Times New Roman" w:cs="Times New Roman"/>
                <w:b/>
                <w:bCs/>
                <w:sz w:val="18"/>
                <w:szCs w:val="18"/>
                <w:lang w:eastAsia="lv-LV"/>
              </w:rPr>
            </w:pPr>
            <w:r w:rsidRPr="00C140E5">
              <w:rPr>
                <w:rFonts w:ascii="Times New Roman" w:eastAsia="Times New Roman" w:hAnsi="Times New Roman" w:cs="Times New Roman"/>
                <w:b/>
                <w:bCs/>
                <w:sz w:val="18"/>
                <w:szCs w:val="18"/>
                <w:lang w:eastAsia="lv-LV"/>
              </w:rPr>
              <w:t>Veselības ministrija</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10 850 827</w:t>
            </w:r>
          </w:p>
        </w:tc>
        <w:tc>
          <w:tcPr>
            <w:tcW w:w="1277"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11 743 636</w:t>
            </w:r>
          </w:p>
        </w:tc>
        <w:tc>
          <w:tcPr>
            <w:tcW w:w="1133"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-892 809</w:t>
            </w:r>
          </w:p>
        </w:tc>
        <w:tc>
          <w:tcPr>
            <w:tcW w:w="1132"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b/>
                <w:sz w:val="16"/>
                <w:szCs w:val="16"/>
                <w:lang w:eastAsia="lv-LV"/>
              </w:rPr>
            </w:pPr>
            <w:r w:rsidRPr="00C140E5">
              <w:rPr>
                <w:rFonts w:ascii="Times New Roman" w:eastAsia="Times New Roman" w:hAnsi="Times New Roman" w:cs="Times New Roman"/>
                <w:b/>
                <w:sz w:val="16"/>
                <w:szCs w:val="16"/>
                <w:lang w:eastAsia="lv-LV"/>
              </w:rPr>
              <w:t>92%</w:t>
            </w:r>
          </w:p>
        </w:tc>
        <w:tc>
          <w:tcPr>
            <w:tcW w:w="1278"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13 582 625</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-2 731 798</w:t>
            </w:r>
          </w:p>
        </w:tc>
        <w:tc>
          <w:tcPr>
            <w:tcW w:w="1134" w:type="dxa"/>
            <w:tcBorders>
              <w:top w:val="nil"/>
              <w:left w:val="nil"/>
              <w:bottom w:val="single" w:sz="4" w:space="0" w:color="auto"/>
              <w:right w:val="single" w:sz="4" w:space="0" w:color="auto"/>
            </w:tcBorders>
            <w:shd w:val="clear" w:color="auto" w:fill="auto"/>
            <w:vAlign w:val="center"/>
            <w:hideMark/>
          </w:tcPr>
          <w:p w:rsidR="003F57DD" w:rsidRPr="00B44B1F" w:rsidRDefault="003F57DD" w:rsidP="003F57DD">
            <w:pPr>
              <w:spacing w:after="0" w:line="240" w:lineRule="auto"/>
              <w:jc w:val="center"/>
              <w:rPr>
                <w:rFonts w:ascii="Times New Roman" w:eastAsia="Times New Roman" w:hAnsi="Times New Roman" w:cs="Times New Roman"/>
                <w:b/>
                <w:sz w:val="16"/>
                <w:szCs w:val="16"/>
                <w:lang w:eastAsia="lv-LV"/>
              </w:rPr>
            </w:pPr>
            <w:r w:rsidRPr="00B44B1F">
              <w:rPr>
                <w:rFonts w:ascii="Times New Roman" w:eastAsia="Times New Roman" w:hAnsi="Times New Roman" w:cs="Times New Roman"/>
                <w:b/>
                <w:sz w:val="16"/>
                <w:szCs w:val="16"/>
                <w:lang w:eastAsia="lv-LV"/>
              </w:rPr>
              <w:t>80%</w:t>
            </w:r>
          </w:p>
        </w:tc>
      </w:tr>
      <w:tr w:rsidR="003F57DD" w:rsidRPr="003F57DD" w:rsidTr="00FB6E7A">
        <w:trPr>
          <w:trHeight w:val="8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F57DD" w:rsidRPr="00C140E5" w:rsidRDefault="003F57DD" w:rsidP="003F57DD">
            <w:pPr>
              <w:spacing w:after="0" w:line="240" w:lineRule="auto"/>
              <w:rPr>
                <w:rFonts w:ascii="Times New Roman" w:eastAsia="Times New Roman" w:hAnsi="Times New Roman" w:cs="Times New Roman"/>
                <w:b/>
                <w:bCs/>
                <w:sz w:val="18"/>
                <w:szCs w:val="18"/>
                <w:lang w:eastAsia="lv-LV"/>
              </w:rPr>
            </w:pPr>
            <w:r w:rsidRPr="00C140E5">
              <w:rPr>
                <w:rFonts w:ascii="Times New Roman" w:eastAsia="Times New Roman" w:hAnsi="Times New Roman" w:cs="Times New Roman"/>
                <w:b/>
                <w:bCs/>
                <w:sz w:val="18"/>
                <w:szCs w:val="18"/>
                <w:lang w:eastAsia="lv-LV"/>
              </w:rPr>
              <w:t>Zemkopības ministrija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5 282 039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6 208 970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-926 931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b/>
                <w:sz w:val="16"/>
                <w:szCs w:val="16"/>
                <w:lang w:eastAsia="lv-LV"/>
              </w:rPr>
            </w:pPr>
            <w:r w:rsidRPr="00C140E5">
              <w:rPr>
                <w:rFonts w:ascii="Times New Roman" w:eastAsia="Times New Roman" w:hAnsi="Times New Roman" w:cs="Times New Roman"/>
                <w:b/>
                <w:sz w:val="16"/>
                <w:szCs w:val="16"/>
                <w:lang w:eastAsia="lv-LV"/>
              </w:rPr>
              <w:t>85%</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8 901 373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-3 619 334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57DD" w:rsidRPr="00B44B1F" w:rsidRDefault="003F57DD" w:rsidP="003F57DD">
            <w:pPr>
              <w:spacing w:after="0" w:line="240" w:lineRule="auto"/>
              <w:jc w:val="center"/>
              <w:rPr>
                <w:rFonts w:ascii="Times New Roman" w:eastAsia="Times New Roman" w:hAnsi="Times New Roman" w:cs="Times New Roman"/>
                <w:b/>
                <w:sz w:val="16"/>
                <w:szCs w:val="16"/>
                <w:lang w:eastAsia="lv-LV"/>
              </w:rPr>
            </w:pPr>
            <w:r w:rsidRPr="00B44B1F">
              <w:rPr>
                <w:rFonts w:ascii="Times New Roman" w:eastAsia="Times New Roman" w:hAnsi="Times New Roman" w:cs="Times New Roman"/>
                <w:b/>
                <w:sz w:val="16"/>
                <w:szCs w:val="16"/>
                <w:lang w:eastAsia="lv-LV"/>
              </w:rPr>
              <w:t>59%</w:t>
            </w:r>
          </w:p>
        </w:tc>
      </w:tr>
      <w:tr w:rsidR="003F57DD" w:rsidRPr="003F57DD" w:rsidTr="00FB6E7A">
        <w:trPr>
          <w:trHeight w:val="4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rPr>
                <w:rFonts w:ascii="Times New Roman" w:eastAsia="Times New Roman" w:hAnsi="Times New Roman" w:cs="Times New Roman"/>
                <w:sz w:val="16"/>
                <w:szCs w:val="16"/>
                <w:lang w:eastAsia="lv-LV"/>
              </w:rPr>
            </w:pPr>
          </w:p>
        </w:tc>
        <w:tc>
          <w:tcPr>
            <w:tcW w:w="1277"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right"/>
              <w:rPr>
                <w:rFonts w:ascii="Times New Roman" w:eastAsia="Times New Roman" w:hAnsi="Times New Roman" w:cs="Times New Roman"/>
                <w:b/>
                <w:bCs/>
                <w:sz w:val="18"/>
                <w:szCs w:val="18"/>
                <w:lang w:eastAsia="lv-LV"/>
              </w:rPr>
            </w:pPr>
            <w:r w:rsidRPr="00C140E5">
              <w:rPr>
                <w:rFonts w:ascii="Times New Roman" w:eastAsia="Times New Roman" w:hAnsi="Times New Roman" w:cs="Times New Roman"/>
                <w:b/>
                <w:bCs/>
                <w:sz w:val="18"/>
                <w:szCs w:val="18"/>
                <w:lang w:eastAsia="lv-LV"/>
              </w:rPr>
              <w:t>KOPĀ</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right"/>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55 397 185</w:t>
            </w:r>
          </w:p>
        </w:tc>
        <w:tc>
          <w:tcPr>
            <w:tcW w:w="1277"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right"/>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67 447 558</w:t>
            </w:r>
          </w:p>
        </w:tc>
        <w:tc>
          <w:tcPr>
            <w:tcW w:w="1133"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right"/>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-12 050 373</w:t>
            </w:r>
          </w:p>
        </w:tc>
        <w:tc>
          <w:tcPr>
            <w:tcW w:w="1132"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 </w:t>
            </w:r>
          </w:p>
        </w:tc>
        <w:tc>
          <w:tcPr>
            <w:tcW w:w="1278"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right"/>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93 481 991</w:t>
            </w:r>
          </w:p>
        </w:tc>
        <w:tc>
          <w:tcPr>
            <w:tcW w:w="1134" w:type="dxa"/>
            <w:tcBorders>
              <w:top w:val="nil"/>
              <w:left w:val="nil"/>
              <w:bottom w:val="single" w:sz="4" w:space="0" w:color="auto"/>
              <w:right w:val="single" w:sz="4" w:space="0" w:color="auto"/>
            </w:tcBorders>
            <w:shd w:val="clear" w:color="auto" w:fill="auto"/>
            <w:noWrap/>
            <w:vAlign w:val="center"/>
            <w:hideMark/>
          </w:tcPr>
          <w:p w:rsidR="003F57DD" w:rsidRPr="00C140E5" w:rsidRDefault="003F57DD" w:rsidP="003F57DD">
            <w:pPr>
              <w:spacing w:after="0" w:line="240" w:lineRule="auto"/>
              <w:jc w:val="right"/>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-38 084 806</w:t>
            </w:r>
          </w:p>
        </w:tc>
        <w:tc>
          <w:tcPr>
            <w:tcW w:w="1134" w:type="dxa"/>
            <w:tcBorders>
              <w:top w:val="nil"/>
              <w:left w:val="nil"/>
              <w:bottom w:val="single" w:sz="4" w:space="0" w:color="auto"/>
              <w:right w:val="single" w:sz="4" w:space="0" w:color="auto"/>
            </w:tcBorders>
            <w:shd w:val="clear" w:color="auto" w:fill="auto"/>
            <w:vAlign w:val="center"/>
            <w:hideMark/>
          </w:tcPr>
          <w:p w:rsidR="003F57DD" w:rsidRPr="00C140E5" w:rsidRDefault="003F57DD" w:rsidP="003F57DD">
            <w:pPr>
              <w:spacing w:after="0" w:line="240" w:lineRule="auto"/>
              <w:jc w:val="center"/>
              <w:rPr>
                <w:rFonts w:ascii="Times New Roman" w:eastAsia="Times New Roman" w:hAnsi="Times New Roman" w:cs="Times New Roman"/>
                <w:sz w:val="16"/>
                <w:szCs w:val="16"/>
                <w:lang w:eastAsia="lv-LV"/>
              </w:rPr>
            </w:pPr>
            <w:r w:rsidRPr="00C140E5">
              <w:rPr>
                <w:rFonts w:ascii="Times New Roman" w:eastAsia="Times New Roman" w:hAnsi="Times New Roman" w:cs="Times New Roman"/>
                <w:sz w:val="16"/>
                <w:szCs w:val="16"/>
                <w:lang w:eastAsia="lv-LV"/>
              </w:rPr>
              <w:t> </w:t>
            </w:r>
          </w:p>
        </w:tc>
      </w:tr>
    </w:tbl>
    <w:p w:rsidR="00B35A81" w:rsidRDefault="00B35A81" w:rsidP="005861EB">
      <w:pPr>
        <w:spacing w:after="0" w:line="240" w:lineRule="auto"/>
        <w:ind w:firstLine="709"/>
        <w:jc w:val="both"/>
        <w:rPr>
          <w:rFonts w:ascii="Times New Roman" w:hAnsi="Times New Roman" w:cs="Times New Roman"/>
          <w:b/>
          <w:sz w:val="28"/>
          <w:szCs w:val="28"/>
        </w:rPr>
      </w:pPr>
    </w:p>
    <w:p w:rsidR="00DD0342" w:rsidRPr="00F73BF5" w:rsidRDefault="00DD0342" w:rsidP="00DD03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4.tabulā </w:t>
      </w:r>
      <w:r w:rsidRPr="00D8362F">
        <w:rPr>
          <w:rFonts w:ascii="Times New Roman" w:hAnsi="Times New Roman" w:cs="Times New Roman"/>
          <w:sz w:val="26"/>
          <w:szCs w:val="26"/>
        </w:rPr>
        <w:t>apkopot</w:t>
      </w:r>
      <w:r>
        <w:rPr>
          <w:rFonts w:ascii="Times New Roman" w:hAnsi="Times New Roman" w:cs="Times New Roman"/>
          <w:sz w:val="26"/>
          <w:szCs w:val="26"/>
        </w:rPr>
        <w:t>ā</w:t>
      </w:r>
      <w:r w:rsidRPr="00D8362F">
        <w:rPr>
          <w:rFonts w:ascii="Times New Roman" w:hAnsi="Times New Roman" w:cs="Times New Roman"/>
          <w:sz w:val="26"/>
          <w:szCs w:val="26"/>
        </w:rPr>
        <w:t xml:space="preserve"> </w:t>
      </w:r>
      <w:r>
        <w:rPr>
          <w:rFonts w:ascii="Times New Roman" w:hAnsi="Times New Roman" w:cs="Times New Roman"/>
          <w:sz w:val="26"/>
          <w:szCs w:val="26"/>
        </w:rPr>
        <w:t xml:space="preserve">informācija par </w:t>
      </w:r>
      <w:r w:rsidRPr="003F57DD">
        <w:rPr>
          <w:rFonts w:ascii="Times New Roman" w:hAnsi="Times New Roman" w:cs="Times New Roman"/>
          <w:sz w:val="26"/>
          <w:szCs w:val="26"/>
        </w:rPr>
        <w:t>studiju izmaksu koeficientu nodrošinājuma līmeni ministriju padotībā esošajās valsts budžeta finansētajās augstskolās un koledžās 2013.gadā saskaņā ar MK noteikumiem Nr.994</w:t>
      </w:r>
      <w:r>
        <w:rPr>
          <w:rFonts w:ascii="Times New Roman" w:hAnsi="Times New Roman" w:cs="Times New Roman"/>
          <w:sz w:val="26"/>
          <w:szCs w:val="26"/>
        </w:rPr>
        <w:t xml:space="preserve"> liecina, ka </w:t>
      </w:r>
      <w:r w:rsidRPr="00F73BF5">
        <w:rPr>
          <w:rFonts w:ascii="Times New Roman" w:hAnsi="Times New Roman" w:cs="Times New Roman"/>
          <w:sz w:val="26"/>
          <w:szCs w:val="26"/>
        </w:rPr>
        <w:t xml:space="preserve">Veselības ministrijas padotībā esošajai Rīgas Stradiņa universitātei studiju izmaksu koeficienti tiek nodrošināti 92% apmērā no MK noteikumu Nr.994 1.pielikumā noteiktajām minimālajām vērtībām, Zemkopības ministrijas padotībā esošajai Latvijas Lauksaimniecības universitātei – 85% apmērā, IZM augstskolām – 83% apmērā, IZM koledžām – 63% apmērā un Kultūras ministrijas padotībā esošajām augstskolām – 79% apmērā. </w:t>
      </w:r>
    </w:p>
    <w:p w:rsidR="00DD0342" w:rsidRDefault="00DD0342" w:rsidP="00DD03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Salīdzinot </w:t>
      </w:r>
      <w:r w:rsidRPr="003F57DD">
        <w:rPr>
          <w:rFonts w:ascii="Times New Roman" w:hAnsi="Times New Roman" w:cs="Times New Roman"/>
          <w:sz w:val="26"/>
          <w:szCs w:val="26"/>
        </w:rPr>
        <w:t>studiju izmaksu koeficientu nodrošinājuma līmeni</w:t>
      </w:r>
      <w:r>
        <w:rPr>
          <w:rFonts w:ascii="Times New Roman" w:hAnsi="Times New Roman" w:cs="Times New Roman"/>
          <w:sz w:val="26"/>
          <w:szCs w:val="26"/>
        </w:rPr>
        <w:t xml:space="preserve"> 2013.gadā ar </w:t>
      </w:r>
      <w:r w:rsidRPr="00D8362F">
        <w:rPr>
          <w:rFonts w:ascii="Times New Roman" w:hAnsi="Times New Roman" w:cs="Times New Roman"/>
          <w:sz w:val="26"/>
          <w:szCs w:val="26"/>
        </w:rPr>
        <w:t xml:space="preserve">MK noteikumu Nr.994 </w:t>
      </w:r>
      <w:r>
        <w:rPr>
          <w:rFonts w:ascii="Times New Roman" w:hAnsi="Times New Roman" w:cs="Times New Roman"/>
          <w:sz w:val="26"/>
          <w:szCs w:val="26"/>
        </w:rPr>
        <w:t>1.pielikumā noteiktajām optimālajām vērtībām, redzams, ka nodrošinājums ir ievērojami zemāks (4.tabula</w:t>
      </w:r>
      <w:r w:rsidR="00014DFE">
        <w:rPr>
          <w:rFonts w:ascii="Times New Roman" w:hAnsi="Times New Roman" w:cs="Times New Roman"/>
          <w:sz w:val="26"/>
          <w:szCs w:val="26"/>
        </w:rPr>
        <w:t>s 9.</w:t>
      </w:r>
      <w:r w:rsidR="00F73BF5">
        <w:rPr>
          <w:rFonts w:ascii="Times New Roman" w:hAnsi="Times New Roman" w:cs="Times New Roman"/>
          <w:sz w:val="26"/>
          <w:szCs w:val="26"/>
        </w:rPr>
        <w:t>aile</w:t>
      </w:r>
      <w:r>
        <w:rPr>
          <w:rFonts w:ascii="Times New Roman" w:hAnsi="Times New Roman" w:cs="Times New Roman"/>
          <w:sz w:val="26"/>
          <w:szCs w:val="26"/>
        </w:rPr>
        <w:t xml:space="preserve">, </w:t>
      </w:r>
      <w:r w:rsidRPr="00C16F3E">
        <w:rPr>
          <w:rFonts w:ascii="Times New Roman" w:hAnsi="Times New Roman" w:cs="Times New Roman"/>
          <w:sz w:val="26"/>
          <w:szCs w:val="26"/>
        </w:rPr>
        <w:t>1.attēl</w:t>
      </w:r>
      <w:r>
        <w:rPr>
          <w:rFonts w:ascii="Times New Roman" w:hAnsi="Times New Roman" w:cs="Times New Roman"/>
          <w:sz w:val="26"/>
          <w:szCs w:val="26"/>
        </w:rPr>
        <w:t>s).</w:t>
      </w:r>
      <w:r w:rsidRPr="00C16F3E">
        <w:rPr>
          <w:rFonts w:ascii="Times New Roman" w:hAnsi="Times New Roman" w:cs="Times New Roman"/>
          <w:sz w:val="26"/>
          <w:szCs w:val="26"/>
        </w:rPr>
        <w:t xml:space="preserve"> </w:t>
      </w:r>
      <w:r>
        <w:rPr>
          <w:rFonts w:ascii="Times New Roman" w:hAnsi="Times New Roman" w:cs="Times New Roman"/>
          <w:sz w:val="26"/>
          <w:szCs w:val="26"/>
        </w:rPr>
        <w:t xml:space="preserve">Tā </w:t>
      </w:r>
      <w:r w:rsidRPr="000F6719">
        <w:rPr>
          <w:rFonts w:ascii="Times New Roman" w:hAnsi="Times New Roman" w:cs="Times New Roman"/>
          <w:sz w:val="26"/>
          <w:szCs w:val="26"/>
        </w:rPr>
        <w:t>Veselības ministrijas</w:t>
      </w:r>
      <w:r>
        <w:rPr>
          <w:rFonts w:ascii="Times New Roman" w:hAnsi="Times New Roman" w:cs="Times New Roman"/>
          <w:sz w:val="26"/>
          <w:szCs w:val="26"/>
        </w:rPr>
        <w:t xml:space="preserve"> padotībā esošajai Rīgas Stradiņa universitātei tas ir 80%, </w:t>
      </w:r>
      <w:r w:rsidRPr="000F6719">
        <w:rPr>
          <w:rFonts w:ascii="Times New Roman" w:hAnsi="Times New Roman" w:cs="Times New Roman"/>
          <w:sz w:val="26"/>
          <w:szCs w:val="26"/>
        </w:rPr>
        <w:t>Zemkopības ministrijas padotībā esošajai Latvijas Lauksaimniecības universitātei – 59%, IZM augstskolām – 55%, IZM koledžām – 49% un Kultūras ministrijas padotībā esošajām augstskolām – 69% apmērā</w:t>
      </w:r>
      <w:r>
        <w:rPr>
          <w:rFonts w:ascii="Times New Roman" w:hAnsi="Times New Roman" w:cs="Times New Roman"/>
          <w:sz w:val="26"/>
          <w:szCs w:val="26"/>
        </w:rPr>
        <w:t xml:space="preserve"> no noteiktajām </w:t>
      </w:r>
      <w:r w:rsidRPr="003F57DD">
        <w:rPr>
          <w:rFonts w:ascii="Times New Roman" w:hAnsi="Times New Roman" w:cs="Times New Roman"/>
          <w:sz w:val="26"/>
          <w:szCs w:val="26"/>
        </w:rPr>
        <w:t xml:space="preserve">studiju izmaksu koeficientu </w:t>
      </w:r>
      <w:r>
        <w:rPr>
          <w:rFonts w:ascii="Times New Roman" w:hAnsi="Times New Roman" w:cs="Times New Roman"/>
          <w:sz w:val="26"/>
          <w:szCs w:val="26"/>
        </w:rPr>
        <w:t>optimālajām vērtībām.</w:t>
      </w:r>
    </w:p>
    <w:p w:rsidR="00DD0342" w:rsidRDefault="00DD0342" w:rsidP="005861EB">
      <w:pPr>
        <w:spacing w:after="0" w:line="240" w:lineRule="auto"/>
        <w:ind w:firstLine="709"/>
        <w:jc w:val="both"/>
        <w:rPr>
          <w:rFonts w:ascii="Times New Roman" w:hAnsi="Times New Roman" w:cs="Times New Roman"/>
          <w:b/>
          <w:sz w:val="28"/>
          <w:szCs w:val="28"/>
        </w:rPr>
      </w:pPr>
    </w:p>
    <w:p w:rsidR="005861EB" w:rsidRDefault="000F6719" w:rsidP="002A7189">
      <w:pPr>
        <w:spacing w:after="0" w:line="240" w:lineRule="auto"/>
        <w:ind w:firstLine="709"/>
        <w:jc w:val="right"/>
        <w:rPr>
          <w:rFonts w:ascii="Times New Roman" w:hAnsi="Times New Roman" w:cs="Times New Roman"/>
          <w:b/>
          <w:sz w:val="28"/>
          <w:szCs w:val="28"/>
        </w:rPr>
      </w:pPr>
      <w:r w:rsidRPr="000F6719">
        <w:rPr>
          <w:rFonts w:ascii="Times New Roman" w:hAnsi="Times New Roman" w:cs="Times New Roman"/>
          <w:i/>
          <w:sz w:val="26"/>
          <w:szCs w:val="26"/>
        </w:rPr>
        <w:lastRenderedPageBreak/>
        <w:t>1.attēls</w:t>
      </w:r>
      <w:r w:rsidR="008216B0" w:rsidRPr="008216B0">
        <w:rPr>
          <w:rFonts w:ascii="Times New Roman" w:hAnsi="Times New Roman" w:cs="Times New Roman"/>
          <w:b/>
          <w:noProof/>
          <w:sz w:val="28"/>
          <w:szCs w:val="28"/>
          <w:lang w:eastAsia="lv-LV"/>
        </w:rPr>
        <w:drawing>
          <wp:inline distT="0" distB="0" distL="0" distR="0">
            <wp:extent cx="5038725" cy="36576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7FBC" w:rsidRPr="00A62111" w:rsidRDefault="00D97FBC" w:rsidP="006D4852">
      <w:pPr>
        <w:spacing w:after="0" w:line="240" w:lineRule="auto"/>
        <w:jc w:val="both"/>
        <w:rPr>
          <w:rFonts w:ascii="Times New Roman" w:hAnsi="Times New Roman" w:cs="Times New Roman"/>
          <w:b/>
          <w:i/>
          <w:sz w:val="26"/>
          <w:szCs w:val="26"/>
        </w:rPr>
      </w:pPr>
      <w:r w:rsidRPr="00A62111">
        <w:rPr>
          <w:rFonts w:ascii="Times New Roman" w:hAnsi="Times New Roman" w:cs="Times New Roman"/>
          <w:b/>
          <w:i/>
          <w:sz w:val="26"/>
          <w:szCs w:val="26"/>
        </w:rPr>
        <w:t xml:space="preserve">Secinājumi: </w:t>
      </w:r>
    </w:p>
    <w:p w:rsidR="00D97FBC" w:rsidRPr="000220D5" w:rsidRDefault="00D97FBC" w:rsidP="008270C8">
      <w:pPr>
        <w:pStyle w:val="ListParagraph"/>
        <w:numPr>
          <w:ilvl w:val="1"/>
          <w:numId w:val="3"/>
        </w:numPr>
        <w:spacing w:after="0" w:line="240" w:lineRule="auto"/>
        <w:ind w:left="0" w:firstLine="360"/>
        <w:jc w:val="both"/>
        <w:rPr>
          <w:rFonts w:ascii="Times New Roman" w:hAnsi="Times New Roman" w:cs="Times New Roman"/>
          <w:sz w:val="26"/>
          <w:szCs w:val="26"/>
        </w:rPr>
      </w:pPr>
      <w:r w:rsidRPr="000220D5">
        <w:rPr>
          <w:rFonts w:ascii="Times New Roman" w:hAnsi="Times New Roman" w:cs="Times New Roman"/>
          <w:sz w:val="26"/>
          <w:szCs w:val="26"/>
        </w:rPr>
        <w:t>Visas ministrijas, kuru padotībā ir augstākās izglītības iestādes</w:t>
      </w:r>
      <w:r w:rsidR="00CA2F81">
        <w:rPr>
          <w:rFonts w:ascii="Times New Roman" w:hAnsi="Times New Roman" w:cs="Times New Roman"/>
          <w:sz w:val="26"/>
          <w:szCs w:val="26"/>
        </w:rPr>
        <w:t>,</w:t>
      </w:r>
      <w:r w:rsidR="000220D5" w:rsidRPr="000220D5">
        <w:rPr>
          <w:rFonts w:ascii="Times New Roman" w:hAnsi="Times New Roman" w:cs="Times New Roman"/>
          <w:sz w:val="26"/>
          <w:szCs w:val="26"/>
        </w:rPr>
        <w:t xml:space="preserve"> </w:t>
      </w:r>
      <w:r w:rsidR="000220D5">
        <w:rPr>
          <w:rFonts w:ascii="Times New Roman" w:hAnsi="Times New Roman" w:cs="Times New Roman"/>
          <w:sz w:val="26"/>
          <w:szCs w:val="26"/>
        </w:rPr>
        <w:t>2013.gadā</w:t>
      </w:r>
      <w:r w:rsidR="000220D5" w:rsidRPr="000220D5">
        <w:rPr>
          <w:rFonts w:ascii="Times New Roman" w:hAnsi="Times New Roman" w:cs="Times New Roman"/>
          <w:sz w:val="26"/>
          <w:szCs w:val="26"/>
        </w:rPr>
        <w:t xml:space="preserve"> valsts noteiktajam studiju vietu skaitam</w:t>
      </w:r>
      <w:r w:rsidRPr="000220D5">
        <w:rPr>
          <w:rFonts w:ascii="Times New Roman" w:hAnsi="Times New Roman" w:cs="Times New Roman"/>
          <w:sz w:val="26"/>
          <w:szCs w:val="26"/>
        </w:rPr>
        <w:t xml:space="preserve"> nenodrošina </w:t>
      </w:r>
      <w:r w:rsidR="00924421" w:rsidRPr="000220D5">
        <w:rPr>
          <w:rFonts w:ascii="Times New Roman" w:hAnsi="Times New Roman" w:cs="Times New Roman"/>
          <w:sz w:val="26"/>
          <w:szCs w:val="26"/>
        </w:rPr>
        <w:t xml:space="preserve">pilnā apmērā </w:t>
      </w:r>
      <w:r w:rsidRPr="000220D5">
        <w:rPr>
          <w:rFonts w:ascii="Times New Roman" w:hAnsi="Times New Roman" w:cs="Times New Roman"/>
          <w:sz w:val="26"/>
          <w:szCs w:val="26"/>
        </w:rPr>
        <w:t xml:space="preserve">studiju izmaksu koeficientu </w:t>
      </w:r>
      <w:r w:rsidR="00924421" w:rsidRPr="000220D5">
        <w:rPr>
          <w:rFonts w:ascii="Times New Roman" w:hAnsi="Times New Roman" w:cs="Times New Roman"/>
          <w:sz w:val="26"/>
          <w:szCs w:val="26"/>
        </w:rPr>
        <w:t xml:space="preserve">minimālo </w:t>
      </w:r>
      <w:r w:rsidR="007F10CA" w:rsidRPr="000220D5">
        <w:rPr>
          <w:rFonts w:ascii="Times New Roman" w:hAnsi="Times New Roman" w:cs="Times New Roman"/>
          <w:sz w:val="26"/>
          <w:szCs w:val="26"/>
        </w:rPr>
        <w:t>vērtīb</w:t>
      </w:r>
      <w:r w:rsidR="00924421" w:rsidRPr="000220D5">
        <w:rPr>
          <w:rFonts w:ascii="Times New Roman" w:hAnsi="Times New Roman" w:cs="Times New Roman"/>
          <w:sz w:val="26"/>
          <w:szCs w:val="26"/>
        </w:rPr>
        <w:t>u</w:t>
      </w:r>
      <w:r w:rsidR="007F10CA" w:rsidRPr="000220D5">
        <w:rPr>
          <w:rFonts w:ascii="Times New Roman" w:hAnsi="Times New Roman" w:cs="Times New Roman"/>
          <w:sz w:val="26"/>
          <w:szCs w:val="26"/>
        </w:rPr>
        <w:t xml:space="preserve"> </w:t>
      </w:r>
      <w:r w:rsidR="00924421" w:rsidRPr="000220D5">
        <w:rPr>
          <w:rFonts w:ascii="Times New Roman" w:hAnsi="Times New Roman" w:cs="Times New Roman"/>
          <w:sz w:val="26"/>
          <w:szCs w:val="26"/>
        </w:rPr>
        <w:t xml:space="preserve">piemērošanu </w:t>
      </w:r>
      <w:r w:rsidRPr="000220D5">
        <w:rPr>
          <w:rFonts w:ascii="Times New Roman" w:hAnsi="Times New Roman" w:cs="Times New Roman"/>
          <w:sz w:val="26"/>
          <w:szCs w:val="26"/>
        </w:rPr>
        <w:t>valsts budžeta dotācijas aprēķinā.</w:t>
      </w:r>
    </w:p>
    <w:p w:rsidR="00D97FBC" w:rsidRPr="000220D5" w:rsidRDefault="00D97FBC" w:rsidP="008270C8">
      <w:pPr>
        <w:pStyle w:val="ListParagraph"/>
        <w:numPr>
          <w:ilvl w:val="1"/>
          <w:numId w:val="3"/>
        </w:numPr>
        <w:spacing w:after="0" w:line="240" w:lineRule="auto"/>
        <w:ind w:left="0" w:firstLine="360"/>
        <w:jc w:val="both"/>
        <w:rPr>
          <w:rFonts w:ascii="Times New Roman" w:hAnsi="Times New Roman" w:cs="Times New Roman"/>
          <w:sz w:val="26"/>
          <w:szCs w:val="26"/>
        </w:rPr>
      </w:pPr>
      <w:r w:rsidRPr="000220D5">
        <w:rPr>
          <w:rFonts w:ascii="Times New Roman" w:hAnsi="Times New Roman" w:cs="Times New Roman"/>
          <w:sz w:val="26"/>
          <w:szCs w:val="26"/>
        </w:rPr>
        <w:t xml:space="preserve">Visaugstākais nodrošinājuma līmenis 2013.gadā, salīdzinājumā ar </w:t>
      </w:r>
      <w:r w:rsidRPr="00DB6DB4">
        <w:rPr>
          <w:rFonts w:ascii="Times New Roman" w:hAnsi="Times New Roman" w:cs="Times New Roman"/>
          <w:sz w:val="26"/>
          <w:szCs w:val="26"/>
        </w:rPr>
        <w:t>minimālaj</w:t>
      </w:r>
      <w:r w:rsidR="007F10CA" w:rsidRPr="00DB6DB4">
        <w:rPr>
          <w:rFonts w:ascii="Times New Roman" w:hAnsi="Times New Roman" w:cs="Times New Roman"/>
          <w:sz w:val="26"/>
          <w:szCs w:val="26"/>
        </w:rPr>
        <w:t>ā</w:t>
      </w:r>
      <w:r w:rsidRPr="00DB6DB4">
        <w:rPr>
          <w:rFonts w:ascii="Times New Roman" w:hAnsi="Times New Roman" w:cs="Times New Roman"/>
          <w:sz w:val="26"/>
          <w:szCs w:val="26"/>
        </w:rPr>
        <w:t>m</w:t>
      </w:r>
      <w:r w:rsidRPr="000220D5">
        <w:rPr>
          <w:rFonts w:ascii="Times New Roman" w:hAnsi="Times New Roman" w:cs="Times New Roman"/>
          <w:sz w:val="26"/>
          <w:szCs w:val="26"/>
        </w:rPr>
        <w:t xml:space="preserve"> studiju izmaksu koeficient</w:t>
      </w:r>
      <w:r w:rsidR="00833FC7" w:rsidRPr="000220D5">
        <w:rPr>
          <w:rFonts w:ascii="Times New Roman" w:hAnsi="Times New Roman" w:cs="Times New Roman"/>
          <w:sz w:val="26"/>
          <w:szCs w:val="26"/>
        </w:rPr>
        <w:t>u vērtībām</w:t>
      </w:r>
      <w:r w:rsidRPr="000220D5">
        <w:rPr>
          <w:rFonts w:ascii="Times New Roman" w:hAnsi="Times New Roman" w:cs="Times New Roman"/>
          <w:sz w:val="26"/>
          <w:szCs w:val="26"/>
        </w:rPr>
        <w:t>, ir Veselības ministrijai – 92% apmērā, viszemākais – IZM koledžām – 63% apmērā.</w:t>
      </w:r>
    </w:p>
    <w:p w:rsidR="00D97FBC" w:rsidRPr="000220D5" w:rsidRDefault="00D97FBC" w:rsidP="008270C8">
      <w:pPr>
        <w:pStyle w:val="ListParagraph"/>
        <w:numPr>
          <w:ilvl w:val="1"/>
          <w:numId w:val="3"/>
        </w:numPr>
        <w:spacing w:after="0" w:line="240" w:lineRule="auto"/>
        <w:ind w:left="0" w:firstLine="360"/>
        <w:jc w:val="both"/>
        <w:rPr>
          <w:rFonts w:ascii="Times New Roman" w:hAnsi="Times New Roman" w:cs="Times New Roman"/>
          <w:sz w:val="26"/>
          <w:szCs w:val="26"/>
        </w:rPr>
      </w:pPr>
      <w:r w:rsidRPr="000220D5">
        <w:rPr>
          <w:rFonts w:ascii="Times New Roman" w:hAnsi="Times New Roman" w:cs="Times New Roman"/>
          <w:sz w:val="26"/>
          <w:szCs w:val="26"/>
        </w:rPr>
        <w:t xml:space="preserve">Visaugstākais nodrošinājuma līmenis 2013.gadā, salīdzinājumā ar </w:t>
      </w:r>
      <w:r w:rsidRPr="00DB6DB4">
        <w:rPr>
          <w:rFonts w:ascii="Times New Roman" w:hAnsi="Times New Roman" w:cs="Times New Roman"/>
          <w:sz w:val="26"/>
          <w:szCs w:val="26"/>
        </w:rPr>
        <w:t>optimālaj</w:t>
      </w:r>
      <w:r w:rsidR="007F10CA" w:rsidRPr="00DB6DB4">
        <w:rPr>
          <w:rFonts w:ascii="Times New Roman" w:hAnsi="Times New Roman" w:cs="Times New Roman"/>
          <w:sz w:val="26"/>
          <w:szCs w:val="26"/>
        </w:rPr>
        <w:t>ā</w:t>
      </w:r>
      <w:r w:rsidRPr="00DB6DB4">
        <w:rPr>
          <w:rFonts w:ascii="Times New Roman" w:hAnsi="Times New Roman" w:cs="Times New Roman"/>
          <w:sz w:val="26"/>
          <w:szCs w:val="26"/>
        </w:rPr>
        <w:t>m</w:t>
      </w:r>
      <w:r w:rsidRPr="000220D5">
        <w:rPr>
          <w:rFonts w:ascii="Times New Roman" w:hAnsi="Times New Roman" w:cs="Times New Roman"/>
          <w:sz w:val="26"/>
          <w:szCs w:val="26"/>
        </w:rPr>
        <w:t xml:space="preserve"> studiju izmaksu koeficient</w:t>
      </w:r>
      <w:r w:rsidR="00833FC7" w:rsidRPr="000220D5">
        <w:rPr>
          <w:rFonts w:ascii="Times New Roman" w:hAnsi="Times New Roman" w:cs="Times New Roman"/>
          <w:sz w:val="26"/>
          <w:szCs w:val="26"/>
        </w:rPr>
        <w:t>u vērtībām</w:t>
      </w:r>
      <w:r w:rsidRPr="000220D5">
        <w:rPr>
          <w:rFonts w:ascii="Times New Roman" w:hAnsi="Times New Roman" w:cs="Times New Roman"/>
          <w:sz w:val="26"/>
          <w:szCs w:val="26"/>
        </w:rPr>
        <w:t>, ir Veselības ministrijai – 80% apmērā, viszemākais – IZM koledžām – 49% apmērā.</w:t>
      </w:r>
    </w:p>
    <w:p w:rsidR="00A62111" w:rsidRPr="000220D5" w:rsidRDefault="00A62111" w:rsidP="008270C8">
      <w:pPr>
        <w:pStyle w:val="ListParagraph"/>
        <w:numPr>
          <w:ilvl w:val="1"/>
          <w:numId w:val="3"/>
        </w:numPr>
        <w:spacing w:after="0" w:line="240" w:lineRule="auto"/>
        <w:ind w:left="0" w:firstLine="360"/>
        <w:jc w:val="both"/>
        <w:rPr>
          <w:rFonts w:ascii="Times New Roman" w:hAnsi="Times New Roman" w:cs="Times New Roman"/>
          <w:sz w:val="26"/>
          <w:szCs w:val="26"/>
        </w:rPr>
      </w:pPr>
      <w:r w:rsidRPr="000220D5">
        <w:rPr>
          <w:rFonts w:ascii="Times New Roman" w:hAnsi="Times New Roman" w:cs="Times New Roman"/>
          <w:sz w:val="26"/>
          <w:szCs w:val="26"/>
        </w:rPr>
        <w:t xml:space="preserve">Lielākā </w:t>
      </w:r>
      <w:r w:rsidR="00FE6790" w:rsidRPr="000220D5">
        <w:rPr>
          <w:rFonts w:ascii="Times New Roman" w:hAnsi="Times New Roman" w:cs="Times New Roman"/>
          <w:sz w:val="26"/>
          <w:szCs w:val="26"/>
        </w:rPr>
        <w:t>starpība</w:t>
      </w:r>
      <w:r w:rsidRPr="000220D5">
        <w:rPr>
          <w:rFonts w:ascii="Times New Roman" w:hAnsi="Times New Roman" w:cs="Times New Roman"/>
          <w:sz w:val="26"/>
          <w:szCs w:val="26"/>
        </w:rPr>
        <w:t xml:space="preserve"> starp studiju izmaksu koeficientu minimālajām vērtībām un opti</w:t>
      </w:r>
      <w:r w:rsidR="00882580" w:rsidRPr="000220D5">
        <w:rPr>
          <w:rFonts w:ascii="Times New Roman" w:hAnsi="Times New Roman" w:cs="Times New Roman"/>
          <w:sz w:val="26"/>
          <w:szCs w:val="26"/>
        </w:rPr>
        <w:t xml:space="preserve">mālajām vērtībām – vairāk kā 40% – ir </w:t>
      </w:r>
      <w:r w:rsidR="007828BE" w:rsidRPr="007828BE">
        <w:rPr>
          <w:rFonts w:ascii="Times New Roman" w:hAnsi="Times New Roman" w:cs="Times New Roman"/>
          <w:i/>
          <w:sz w:val="26"/>
          <w:szCs w:val="26"/>
        </w:rPr>
        <w:t>D</w:t>
      </w:r>
      <w:r w:rsidR="00882580" w:rsidRPr="007828BE">
        <w:rPr>
          <w:rFonts w:ascii="Times New Roman" w:hAnsi="Times New Roman" w:cs="Times New Roman"/>
          <w:i/>
          <w:sz w:val="26"/>
          <w:szCs w:val="26"/>
        </w:rPr>
        <w:t>abaszinātņu, matemātikas un informācijas tehnoloģiju</w:t>
      </w:r>
      <w:r w:rsidR="00882580" w:rsidRPr="000220D5">
        <w:rPr>
          <w:rFonts w:ascii="Times New Roman" w:hAnsi="Times New Roman" w:cs="Times New Roman"/>
          <w:sz w:val="26"/>
          <w:szCs w:val="26"/>
        </w:rPr>
        <w:t xml:space="preserve">, kā arī </w:t>
      </w:r>
      <w:r w:rsidR="007828BE" w:rsidRPr="007828BE">
        <w:rPr>
          <w:rFonts w:ascii="Times New Roman" w:hAnsi="Times New Roman" w:cs="Times New Roman"/>
          <w:i/>
          <w:sz w:val="26"/>
          <w:szCs w:val="26"/>
        </w:rPr>
        <w:t>I</w:t>
      </w:r>
      <w:r w:rsidR="00882580" w:rsidRPr="007828BE">
        <w:rPr>
          <w:rFonts w:ascii="Times New Roman" w:hAnsi="Times New Roman" w:cs="Times New Roman"/>
          <w:i/>
          <w:sz w:val="26"/>
          <w:szCs w:val="26"/>
        </w:rPr>
        <w:t xml:space="preserve">nženierzinātņu, </w:t>
      </w:r>
      <w:r w:rsidR="00882580" w:rsidRPr="007828BE">
        <w:rPr>
          <w:rFonts w:ascii="Times New Roman" w:hAnsi="Times New Roman" w:cs="Times New Roman"/>
          <w:bCs/>
          <w:i/>
          <w:iCs/>
          <w:sz w:val="26"/>
          <w:szCs w:val="26"/>
        </w:rPr>
        <w:t>ražošanas un būvniecības</w:t>
      </w:r>
      <w:r w:rsidR="00882580" w:rsidRPr="000220D5">
        <w:rPr>
          <w:rFonts w:ascii="Times New Roman" w:hAnsi="Times New Roman" w:cs="Times New Roman"/>
          <w:sz w:val="26"/>
          <w:szCs w:val="26"/>
        </w:rPr>
        <w:t xml:space="preserve"> izglītības tematisko grupu studiju izmaksu koeficientiem</w:t>
      </w:r>
      <w:r w:rsidR="00494AB0" w:rsidRPr="000220D5">
        <w:rPr>
          <w:rFonts w:ascii="Times New Roman" w:hAnsi="Times New Roman" w:cs="Times New Roman"/>
          <w:sz w:val="26"/>
          <w:szCs w:val="26"/>
        </w:rPr>
        <w:t>, līdz ar to tiek pasliktināta šo jomu studiju kvalitāte</w:t>
      </w:r>
      <w:r w:rsidR="00882580" w:rsidRPr="000220D5">
        <w:rPr>
          <w:rFonts w:ascii="Times New Roman" w:hAnsi="Times New Roman" w:cs="Times New Roman"/>
          <w:sz w:val="26"/>
          <w:szCs w:val="26"/>
        </w:rPr>
        <w:t>.</w:t>
      </w:r>
      <w:r w:rsidRPr="000220D5">
        <w:rPr>
          <w:rFonts w:ascii="Times New Roman" w:hAnsi="Times New Roman" w:cs="Times New Roman"/>
          <w:sz w:val="26"/>
          <w:szCs w:val="26"/>
        </w:rPr>
        <w:t xml:space="preserve"> </w:t>
      </w:r>
    </w:p>
    <w:p w:rsidR="00D97FBC" w:rsidRPr="005B6A32" w:rsidRDefault="00D97FBC" w:rsidP="006D4852">
      <w:pPr>
        <w:spacing w:after="0" w:line="240" w:lineRule="auto"/>
        <w:jc w:val="both"/>
        <w:rPr>
          <w:rFonts w:ascii="Times New Roman" w:hAnsi="Times New Roman" w:cs="Times New Roman"/>
          <w:b/>
          <w:sz w:val="28"/>
          <w:szCs w:val="28"/>
        </w:rPr>
      </w:pPr>
    </w:p>
    <w:p w:rsidR="00452266" w:rsidRDefault="00B03D2F" w:rsidP="00B03D2F">
      <w:pPr>
        <w:spacing w:after="0" w:line="240" w:lineRule="auto"/>
        <w:jc w:val="center"/>
        <w:rPr>
          <w:rFonts w:ascii="Times New Roman" w:hAnsi="Times New Roman" w:cs="Times New Roman"/>
          <w:b/>
          <w:sz w:val="26"/>
          <w:szCs w:val="26"/>
        </w:rPr>
      </w:pPr>
      <w:r w:rsidRPr="00B03D2F">
        <w:rPr>
          <w:rFonts w:ascii="Times New Roman" w:hAnsi="Times New Roman" w:cs="Times New Roman"/>
          <w:b/>
          <w:sz w:val="26"/>
          <w:szCs w:val="26"/>
        </w:rPr>
        <w:t>2.</w:t>
      </w:r>
      <w:r>
        <w:rPr>
          <w:rFonts w:ascii="Times New Roman" w:hAnsi="Times New Roman" w:cs="Times New Roman"/>
          <w:b/>
          <w:sz w:val="26"/>
          <w:szCs w:val="26"/>
        </w:rPr>
        <w:t xml:space="preserve"> Priekšlikumi par nepieciešamību nodrošināt vienādu koeficientu piemērošanu augstākās izglītības iestādēm</w:t>
      </w:r>
    </w:p>
    <w:p w:rsidR="00924421" w:rsidRDefault="00924421" w:rsidP="007C6842">
      <w:pPr>
        <w:spacing w:after="0" w:line="240" w:lineRule="auto"/>
        <w:ind w:firstLine="720"/>
        <w:jc w:val="both"/>
        <w:rPr>
          <w:rFonts w:ascii="Times New Roman" w:hAnsi="Times New Roman" w:cs="Times New Roman"/>
          <w:sz w:val="26"/>
          <w:szCs w:val="26"/>
        </w:rPr>
      </w:pPr>
    </w:p>
    <w:p w:rsidR="002C1002" w:rsidRDefault="007C6842" w:rsidP="007C6842">
      <w:pPr>
        <w:spacing w:after="0" w:line="240" w:lineRule="auto"/>
        <w:ind w:firstLine="720"/>
        <w:jc w:val="both"/>
        <w:rPr>
          <w:rFonts w:ascii="Times New Roman" w:hAnsi="Times New Roman" w:cs="Times New Roman"/>
          <w:sz w:val="26"/>
          <w:szCs w:val="26"/>
        </w:rPr>
      </w:pPr>
      <w:r w:rsidRPr="007C6842">
        <w:rPr>
          <w:rFonts w:ascii="Times New Roman" w:hAnsi="Times New Roman" w:cs="Times New Roman"/>
          <w:sz w:val="26"/>
          <w:szCs w:val="26"/>
        </w:rPr>
        <w:t>Lai nodrošinātu</w:t>
      </w:r>
      <w:r>
        <w:rPr>
          <w:rFonts w:ascii="Times New Roman" w:hAnsi="Times New Roman" w:cs="Times New Roman"/>
          <w:b/>
          <w:sz w:val="26"/>
          <w:szCs w:val="26"/>
        </w:rPr>
        <w:t xml:space="preserve"> </w:t>
      </w:r>
      <w:r w:rsidRPr="007C6842">
        <w:rPr>
          <w:rFonts w:ascii="Times New Roman" w:hAnsi="Times New Roman" w:cs="Times New Roman"/>
          <w:sz w:val="26"/>
          <w:szCs w:val="26"/>
        </w:rPr>
        <w:t>vienādu koeficientu piemērošanu</w:t>
      </w:r>
      <w:r>
        <w:rPr>
          <w:rFonts w:ascii="Times New Roman" w:hAnsi="Times New Roman" w:cs="Times New Roman"/>
          <w:b/>
          <w:sz w:val="26"/>
          <w:szCs w:val="26"/>
        </w:rPr>
        <w:t xml:space="preserve"> </w:t>
      </w:r>
      <w:r w:rsidRPr="007C6842">
        <w:rPr>
          <w:rFonts w:ascii="Times New Roman" w:hAnsi="Times New Roman" w:cs="Times New Roman"/>
          <w:sz w:val="26"/>
          <w:szCs w:val="26"/>
        </w:rPr>
        <w:t xml:space="preserve">visām augstākās </w:t>
      </w:r>
      <w:r>
        <w:rPr>
          <w:rFonts w:ascii="Times New Roman" w:hAnsi="Times New Roman" w:cs="Times New Roman"/>
          <w:sz w:val="26"/>
          <w:szCs w:val="26"/>
        </w:rPr>
        <w:t xml:space="preserve">izglītības iestādēm, kas saņem valsts budžeta finansējumu saskaņā ar MK noteikumiem Nr.994, IZM sadarbībā ar Kultūras ministriju, Veselības ministriju un Zemkopības ministriju ir sagatavojusi priekšlikumus pakāpeniskai valsts </w:t>
      </w:r>
      <w:r>
        <w:rPr>
          <w:rFonts w:ascii="Times New Roman" w:hAnsi="Times New Roman" w:cs="Times New Roman"/>
          <w:sz w:val="26"/>
          <w:szCs w:val="26"/>
        </w:rPr>
        <w:lastRenderedPageBreak/>
        <w:t xml:space="preserve">budžeta bāzes paaugstināšanai 2014.-2016.gadā, iekļaujot tajā nepieciešamo papildu finansējumu </w:t>
      </w:r>
      <w:r w:rsidR="009A1F86">
        <w:rPr>
          <w:rFonts w:ascii="Times New Roman" w:hAnsi="Times New Roman" w:cs="Times New Roman"/>
          <w:sz w:val="26"/>
          <w:szCs w:val="26"/>
        </w:rPr>
        <w:t>vienādu studiju izmaksu koeficientu nodrošināšanai</w:t>
      </w:r>
      <w:r>
        <w:rPr>
          <w:rFonts w:ascii="Times New Roman" w:hAnsi="Times New Roman" w:cs="Times New Roman"/>
          <w:sz w:val="26"/>
          <w:szCs w:val="26"/>
        </w:rPr>
        <w:t xml:space="preserve">. </w:t>
      </w:r>
    </w:p>
    <w:p w:rsidR="00346372" w:rsidRDefault="00346372" w:rsidP="0034637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Finansējuma pieprasījums pamatojams arī ar Augstskolu likuma 78.panta septītajā daļā noteikto, ka </w:t>
      </w:r>
      <w:r w:rsidRPr="003B537E">
        <w:rPr>
          <w:rFonts w:ascii="Times New Roman" w:hAnsi="Times New Roman" w:cs="Times New Roman"/>
          <w:sz w:val="26"/>
          <w:szCs w:val="26"/>
        </w:rPr>
        <w:t>Ministru kabinets, iesniedzot Saeimai gadskārtējo valsts budžeta projektu, tajā paredz ikgadēju finansējuma pieaugumu studijām valsts dibinātās augstskolās ne mazāku par 0,25 procentiem no iekšzemes kopprodukta, līdz valsts piešķirtais finansējums studijām valsts dibinātās augstskolās sasniedz vismaz divus procentus no iekšzemes kopprodukta.</w:t>
      </w:r>
      <w:r>
        <w:rPr>
          <w:rFonts w:ascii="Times New Roman" w:hAnsi="Times New Roman" w:cs="Times New Roman"/>
          <w:sz w:val="26"/>
          <w:szCs w:val="26"/>
        </w:rPr>
        <w:t xml:space="preserve"> Minētā Augstskolu likuma norma stājas spēkā š.g. 1.jūnijā.  Studiju izmaksu koeficientu paaugstināšana un vienāda to piemērošana augstākās izglītības iestādēm ir daļa no  ikgadējā papildu</w:t>
      </w:r>
      <w:r w:rsidRPr="003B537E">
        <w:rPr>
          <w:rFonts w:ascii="Times New Roman" w:hAnsi="Times New Roman" w:cs="Times New Roman"/>
          <w:sz w:val="26"/>
          <w:szCs w:val="26"/>
        </w:rPr>
        <w:t xml:space="preserve"> finansējuma</w:t>
      </w:r>
      <w:r w:rsidR="00DB6DB4">
        <w:rPr>
          <w:rFonts w:ascii="Times New Roman" w:hAnsi="Times New Roman" w:cs="Times New Roman"/>
          <w:sz w:val="26"/>
          <w:szCs w:val="26"/>
        </w:rPr>
        <w:t xml:space="preserve"> pieprasījuma</w:t>
      </w:r>
      <w:r>
        <w:rPr>
          <w:rFonts w:ascii="Times New Roman" w:hAnsi="Times New Roman" w:cs="Times New Roman"/>
          <w:sz w:val="26"/>
          <w:szCs w:val="26"/>
        </w:rPr>
        <w:t>.</w:t>
      </w:r>
    </w:p>
    <w:p w:rsidR="00D97FBC" w:rsidRDefault="00D97FBC" w:rsidP="007C684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IZM ir izvērtējusi atšķirīgo studiju izmaksu koeficientu nodrošinājumu ministriju padotībā esošajām augstākās izglītības iestādēm</w:t>
      </w:r>
      <w:r w:rsidR="00494AB0">
        <w:rPr>
          <w:rFonts w:ascii="Times New Roman" w:hAnsi="Times New Roman" w:cs="Times New Roman"/>
          <w:sz w:val="26"/>
          <w:szCs w:val="26"/>
        </w:rPr>
        <w:t xml:space="preserve"> 2013.gadā. Izvērtējums parāda, ka neviena no ministrijām nav nodrošinājusi studiju izmaksu koeficientu minimālo vērtību piemērošanu dotācijas aprēķinā savā padotībā esošajām augstākās izglītības iestādēm, turklāt nodrošinājuma līmenis </w:t>
      </w:r>
      <w:r w:rsidR="0060776B">
        <w:rPr>
          <w:rFonts w:ascii="Times New Roman" w:hAnsi="Times New Roman" w:cs="Times New Roman"/>
          <w:sz w:val="26"/>
          <w:szCs w:val="26"/>
        </w:rPr>
        <w:t xml:space="preserve">katrai ministrijai </w:t>
      </w:r>
      <w:r w:rsidR="00494AB0">
        <w:rPr>
          <w:rFonts w:ascii="Times New Roman" w:hAnsi="Times New Roman" w:cs="Times New Roman"/>
          <w:sz w:val="26"/>
          <w:szCs w:val="26"/>
        </w:rPr>
        <w:t>ir atšķirīgs.</w:t>
      </w:r>
      <w:r w:rsidR="0060776B">
        <w:rPr>
          <w:rFonts w:ascii="Times New Roman" w:hAnsi="Times New Roman" w:cs="Times New Roman"/>
          <w:sz w:val="26"/>
          <w:szCs w:val="26"/>
        </w:rPr>
        <w:t xml:space="preserve"> IZM piedāvā vairākus soļus, kā pakāpeniski </w:t>
      </w:r>
      <w:r w:rsidR="0060776B" w:rsidRPr="0060776B">
        <w:rPr>
          <w:rFonts w:ascii="Times New Roman" w:hAnsi="Times New Roman" w:cs="Times New Roman"/>
          <w:sz w:val="26"/>
          <w:szCs w:val="26"/>
        </w:rPr>
        <w:t>nodrošināt vienādu koeficientu piemērošanu augstākās izglītības iestādēm</w:t>
      </w:r>
      <w:r w:rsidR="0060776B">
        <w:rPr>
          <w:rFonts w:ascii="Times New Roman" w:hAnsi="Times New Roman" w:cs="Times New Roman"/>
          <w:sz w:val="26"/>
          <w:szCs w:val="26"/>
        </w:rPr>
        <w:t xml:space="preserve">. </w:t>
      </w:r>
    </w:p>
    <w:p w:rsidR="00494AB0" w:rsidRPr="0060776B" w:rsidRDefault="0060776B" w:rsidP="007C6842">
      <w:pPr>
        <w:spacing w:after="0" w:line="240" w:lineRule="auto"/>
        <w:ind w:firstLine="720"/>
        <w:jc w:val="both"/>
        <w:rPr>
          <w:rFonts w:ascii="Times New Roman" w:hAnsi="Times New Roman" w:cs="Times New Roman"/>
          <w:sz w:val="26"/>
          <w:szCs w:val="26"/>
        </w:rPr>
      </w:pPr>
      <w:r w:rsidRPr="0060776B">
        <w:rPr>
          <w:rFonts w:ascii="Times New Roman" w:hAnsi="Times New Roman" w:cs="Times New Roman"/>
          <w:sz w:val="26"/>
          <w:szCs w:val="26"/>
        </w:rPr>
        <w:t>Papildus, ņ</w:t>
      </w:r>
      <w:r w:rsidR="00A77DE6" w:rsidRPr="0060776B">
        <w:rPr>
          <w:rFonts w:ascii="Times New Roman" w:hAnsi="Times New Roman" w:cs="Times New Roman"/>
          <w:sz w:val="26"/>
          <w:szCs w:val="26"/>
        </w:rPr>
        <w:t xml:space="preserve">emot vērā, ka vislielākā </w:t>
      </w:r>
      <w:r w:rsidR="00D316FA">
        <w:rPr>
          <w:rFonts w:ascii="Times New Roman" w:hAnsi="Times New Roman" w:cs="Times New Roman"/>
          <w:sz w:val="26"/>
          <w:szCs w:val="26"/>
        </w:rPr>
        <w:t>starpība</w:t>
      </w:r>
      <w:r w:rsidR="00A77DE6" w:rsidRPr="0060776B">
        <w:rPr>
          <w:rFonts w:ascii="Times New Roman" w:hAnsi="Times New Roman" w:cs="Times New Roman"/>
          <w:sz w:val="26"/>
          <w:szCs w:val="26"/>
        </w:rPr>
        <w:t xml:space="preserve"> starp studiju izmaksu koeficientu optimālajām vērtībām un minimālajām vērtībām - vairāk kā 40% - ir valstij prioritār</w:t>
      </w:r>
      <w:r w:rsidR="00A15571">
        <w:rPr>
          <w:rFonts w:ascii="Times New Roman" w:hAnsi="Times New Roman" w:cs="Times New Roman"/>
          <w:sz w:val="26"/>
          <w:szCs w:val="26"/>
        </w:rPr>
        <w:t>ām</w:t>
      </w:r>
      <w:r w:rsidR="00A77DE6" w:rsidRPr="0060776B">
        <w:rPr>
          <w:rFonts w:ascii="Times New Roman" w:hAnsi="Times New Roman" w:cs="Times New Roman"/>
          <w:sz w:val="26"/>
          <w:szCs w:val="26"/>
        </w:rPr>
        <w:t xml:space="preserve"> </w:t>
      </w:r>
      <w:r w:rsidR="007828BE" w:rsidRPr="007828BE">
        <w:rPr>
          <w:rFonts w:ascii="Times New Roman" w:hAnsi="Times New Roman" w:cs="Times New Roman"/>
          <w:i/>
          <w:sz w:val="26"/>
          <w:szCs w:val="26"/>
        </w:rPr>
        <w:t>D</w:t>
      </w:r>
      <w:r w:rsidR="00A77DE6" w:rsidRPr="007828BE">
        <w:rPr>
          <w:rFonts w:ascii="Times New Roman" w:hAnsi="Times New Roman" w:cs="Times New Roman"/>
          <w:i/>
          <w:sz w:val="26"/>
          <w:szCs w:val="26"/>
        </w:rPr>
        <w:t>abaszinātņu, matemātikas un informācijas tehnoloģiju</w:t>
      </w:r>
      <w:r w:rsidR="00A77DE6" w:rsidRPr="0060776B">
        <w:rPr>
          <w:rFonts w:ascii="Times New Roman" w:hAnsi="Times New Roman" w:cs="Times New Roman"/>
          <w:sz w:val="26"/>
          <w:szCs w:val="26"/>
        </w:rPr>
        <w:t xml:space="preserve">, kā arī </w:t>
      </w:r>
      <w:r w:rsidR="007828BE" w:rsidRPr="007828BE">
        <w:rPr>
          <w:rFonts w:ascii="Times New Roman" w:hAnsi="Times New Roman" w:cs="Times New Roman"/>
          <w:i/>
          <w:sz w:val="26"/>
          <w:szCs w:val="26"/>
        </w:rPr>
        <w:t>I</w:t>
      </w:r>
      <w:r w:rsidR="00A77DE6" w:rsidRPr="007828BE">
        <w:rPr>
          <w:rFonts w:ascii="Times New Roman" w:hAnsi="Times New Roman" w:cs="Times New Roman"/>
          <w:i/>
          <w:sz w:val="26"/>
          <w:szCs w:val="26"/>
        </w:rPr>
        <w:t xml:space="preserve">nženierzinātņu, </w:t>
      </w:r>
      <w:r w:rsidR="00A77DE6" w:rsidRPr="007828BE">
        <w:rPr>
          <w:rFonts w:ascii="Times New Roman" w:hAnsi="Times New Roman" w:cs="Times New Roman"/>
          <w:bCs/>
          <w:i/>
          <w:iCs/>
          <w:sz w:val="26"/>
          <w:szCs w:val="26"/>
        </w:rPr>
        <w:t>ražošanas un būvniecības</w:t>
      </w:r>
      <w:r w:rsidR="00A77DE6" w:rsidRPr="0060776B">
        <w:rPr>
          <w:rFonts w:ascii="Times New Roman" w:hAnsi="Times New Roman" w:cs="Times New Roman"/>
          <w:sz w:val="26"/>
          <w:szCs w:val="26"/>
        </w:rPr>
        <w:t xml:space="preserve"> izglītības tematisk</w:t>
      </w:r>
      <w:r w:rsidR="00A15571">
        <w:rPr>
          <w:rFonts w:ascii="Times New Roman" w:hAnsi="Times New Roman" w:cs="Times New Roman"/>
          <w:sz w:val="26"/>
          <w:szCs w:val="26"/>
        </w:rPr>
        <w:t>ajām</w:t>
      </w:r>
      <w:r w:rsidR="00A77DE6" w:rsidRPr="0060776B">
        <w:rPr>
          <w:rFonts w:ascii="Times New Roman" w:hAnsi="Times New Roman" w:cs="Times New Roman"/>
          <w:sz w:val="26"/>
          <w:szCs w:val="26"/>
        </w:rPr>
        <w:t xml:space="preserve"> </w:t>
      </w:r>
      <w:r w:rsidR="00A15571">
        <w:rPr>
          <w:rFonts w:ascii="Times New Roman" w:hAnsi="Times New Roman" w:cs="Times New Roman"/>
          <w:sz w:val="26"/>
          <w:szCs w:val="26"/>
        </w:rPr>
        <w:t>jomām</w:t>
      </w:r>
      <w:r w:rsidR="00A77DE6" w:rsidRPr="0060776B">
        <w:rPr>
          <w:rFonts w:ascii="Times New Roman" w:hAnsi="Times New Roman" w:cs="Times New Roman"/>
          <w:sz w:val="26"/>
          <w:szCs w:val="26"/>
        </w:rPr>
        <w:t xml:space="preserve">, </w:t>
      </w:r>
      <w:r w:rsidR="00360540">
        <w:rPr>
          <w:rFonts w:ascii="Times New Roman" w:hAnsi="Times New Roman" w:cs="Times New Roman"/>
          <w:sz w:val="26"/>
          <w:szCs w:val="26"/>
        </w:rPr>
        <w:t xml:space="preserve">IZM piedāvā šo jomu studiju izmaksu koeficientu vērtības palielināt straujāk, nekā pārējām jomām. </w:t>
      </w:r>
      <w:r w:rsidR="00386878">
        <w:rPr>
          <w:rFonts w:ascii="Times New Roman" w:hAnsi="Times New Roman" w:cs="Times New Roman"/>
          <w:sz w:val="26"/>
          <w:szCs w:val="26"/>
        </w:rPr>
        <w:t>Tādējādi tiktu panākts straujāks finansējuma pieaugums valstij prioritāro nozaru studiju vietām, tajā skaitā koledžām, kas piedāvā augstākās profesionālās kvalifikācijas iegūšanas iespējas</w:t>
      </w:r>
      <w:r w:rsidR="00570F4F">
        <w:rPr>
          <w:rFonts w:ascii="Times New Roman" w:hAnsi="Times New Roman" w:cs="Times New Roman"/>
          <w:sz w:val="26"/>
          <w:szCs w:val="26"/>
        </w:rPr>
        <w:t xml:space="preserve"> īsākā laikā</w:t>
      </w:r>
      <w:r w:rsidR="00386878">
        <w:rPr>
          <w:rFonts w:ascii="Times New Roman" w:hAnsi="Times New Roman" w:cs="Times New Roman"/>
          <w:sz w:val="26"/>
          <w:szCs w:val="26"/>
        </w:rPr>
        <w:t xml:space="preserve">, ātrāk nodrošinot darba tirgus prasībām nepieciešamo prioritāro jomu speciālistu sagatavošanu. </w:t>
      </w:r>
    </w:p>
    <w:p w:rsidR="00360540" w:rsidRPr="00360540" w:rsidRDefault="00360540" w:rsidP="007C6842">
      <w:pPr>
        <w:spacing w:after="0" w:line="240" w:lineRule="auto"/>
        <w:ind w:firstLine="720"/>
        <w:jc w:val="both"/>
        <w:rPr>
          <w:rFonts w:ascii="Times New Roman" w:hAnsi="Times New Roman" w:cs="Times New Roman"/>
          <w:sz w:val="26"/>
          <w:szCs w:val="26"/>
        </w:rPr>
      </w:pPr>
      <w:r w:rsidRPr="00360540">
        <w:rPr>
          <w:rFonts w:ascii="Times New Roman" w:hAnsi="Times New Roman" w:cs="Times New Roman"/>
          <w:sz w:val="26"/>
          <w:szCs w:val="26"/>
        </w:rPr>
        <w:t xml:space="preserve">Priekšlikumi sagatavoti trīs gadu budžeta plānošanas periodam iekļaušanai </w:t>
      </w:r>
      <w:r>
        <w:rPr>
          <w:rFonts w:ascii="Times New Roman" w:hAnsi="Times New Roman" w:cs="Times New Roman"/>
          <w:sz w:val="26"/>
          <w:szCs w:val="26"/>
        </w:rPr>
        <w:t xml:space="preserve">likumprojektā „Par vidēja termiņa </w:t>
      </w:r>
      <w:r w:rsidRPr="00360540">
        <w:rPr>
          <w:rFonts w:ascii="Times New Roman" w:hAnsi="Times New Roman" w:cs="Times New Roman"/>
          <w:sz w:val="26"/>
          <w:szCs w:val="26"/>
        </w:rPr>
        <w:t xml:space="preserve">budžeta bāzes </w:t>
      </w:r>
      <w:r w:rsidR="005D0C5E">
        <w:rPr>
          <w:rFonts w:ascii="Times New Roman" w:hAnsi="Times New Roman" w:cs="Times New Roman"/>
          <w:sz w:val="26"/>
          <w:szCs w:val="26"/>
        </w:rPr>
        <w:t>ietvaru</w:t>
      </w:r>
      <w:r>
        <w:rPr>
          <w:rFonts w:ascii="Times New Roman" w:hAnsi="Times New Roman" w:cs="Times New Roman"/>
          <w:sz w:val="26"/>
          <w:szCs w:val="26"/>
        </w:rPr>
        <w:t xml:space="preserve"> 2014.gadā, 2015.gadā un </w:t>
      </w:r>
      <w:r w:rsidR="00730C54">
        <w:rPr>
          <w:rFonts w:ascii="Times New Roman" w:hAnsi="Times New Roman" w:cs="Times New Roman"/>
          <w:sz w:val="26"/>
          <w:szCs w:val="26"/>
        </w:rPr>
        <w:t>2</w:t>
      </w:r>
      <w:r>
        <w:rPr>
          <w:rFonts w:ascii="Times New Roman" w:hAnsi="Times New Roman" w:cs="Times New Roman"/>
          <w:sz w:val="26"/>
          <w:szCs w:val="26"/>
        </w:rPr>
        <w:t xml:space="preserve">016.gadā” un likumprojektā </w:t>
      </w:r>
      <w:r w:rsidR="00A0378A">
        <w:rPr>
          <w:rFonts w:ascii="Times New Roman" w:hAnsi="Times New Roman" w:cs="Times New Roman"/>
          <w:sz w:val="26"/>
          <w:szCs w:val="26"/>
        </w:rPr>
        <w:t>„Par valsts budžetu 2014.gadam”</w:t>
      </w:r>
      <w:r w:rsidRPr="00360540">
        <w:rPr>
          <w:rFonts w:ascii="Times New Roman" w:hAnsi="Times New Roman" w:cs="Times New Roman"/>
          <w:sz w:val="26"/>
          <w:szCs w:val="26"/>
        </w:rPr>
        <w:t>.</w:t>
      </w:r>
    </w:p>
    <w:p w:rsidR="00A15571" w:rsidRDefault="003B537E" w:rsidP="00A15571">
      <w:pPr>
        <w:spacing w:after="0" w:line="240" w:lineRule="auto"/>
        <w:ind w:firstLine="720"/>
        <w:jc w:val="both"/>
        <w:rPr>
          <w:rFonts w:ascii="Times New Roman" w:hAnsi="Times New Roman" w:cs="Times New Roman"/>
          <w:sz w:val="26"/>
          <w:szCs w:val="26"/>
        </w:rPr>
      </w:pPr>
      <w:r w:rsidRPr="00D91BF6">
        <w:rPr>
          <w:rFonts w:ascii="Times New Roman" w:hAnsi="Times New Roman" w:cs="Times New Roman"/>
          <w:sz w:val="26"/>
          <w:szCs w:val="26"/>
        </w:rPr>
        <w:t>IZM ierosina pakāpenisk</w:t>
      </w:r>
      <w:r w:rsidR="00D33F4D" w:rsidRPr="00D91BF6">
        <w:rPr>
          <w:rFonts w:ascii="Times New Roman" w:hAnsi="Times New Roman" w:cs="Times New Roman"/>
          <w:sz w:val="26"/>
          <w:szCs w:val="26"/>
        </w:rPr>
        <w:t>u</w:t>
      </w:r>
      <w:r w:rsidRPr="00D91BF6">
        <w:rPr>
          <w:rFonts w:ascii="Times New Roman" w:hAnsi="Times New Roman" w:cs="Times New Roman"/>
          <w:sz w:val="26"/>
          <w:szCs w:val="26"/>
        </w:rPr>
        <w:t xml:space="preserve"> valsts budžeta bāzes paaugstināšanu </w:t>
      </w:r>
      <w:r w:rsidR="00D33F4D" w:rsidRPr="00D91BF6">
        <w:rPr>
          <w:rFonts w:ascii="Times New Roman" w:hAnsi="Times New Roman" w:cs="Times New Roman"/>
          <w:sz w:val="26"/>
          <w:szCs w:val="26"/>
        </w:rPr>
        <w:t xml:space="preserve">2014.-2016.gadā ministrijām, kuru padotībā ir augstākās izglītības iestādes, </w:t>
      </w:r>
      <w:r w:rsidRPr="00D91BF6">
        <w:rPr>
          <w:rFonts w:ascii="Times New Roman" w:hAnsi="Times New Roman" w:cs="Times New Roman"/>
          <w:sz w:val="26"/>
          <w:szCs w:val="26"/>
        </w:rPr>
        <w:t>paaugstinot studiju izmaksu koeficientus līdz vienādam nodrošinājuma līmenim</w:t>
      </w:r>
      <w:r w:rsidR="00D91BF6">
        <w:rPr>
          <w:rFonts w:ascii="Times New Roman" w:hAnsi="Times New Roman" w:cs="Times New Roman"/>
          <w:sz w:val="26"/>
          <w:szCs w:val="26"/>
        </w:rPr>
        <w:t xml:space="preserve">. </w:t>
      </w:r>
      <w:r w:rsidR="00A15571">
        <w:rPr>
          <w:rFonts w:ascii="Times New Roman" w:hAnsi="Times New Roman" w:cs="Times New Roman"/>
          <w:sz w:val="26"/>
          <w:szCs w:val="26"/>
        </w:rPr>
        <w:t>Nepieciešam</w:t>
      </w:r>
      <w:r w:rsidR="00007EFB">
        <w:rPr>
          <w:rFonts w:ascii="Times New Roman" w:hAnsi="Times New Roman" w:cs="Times New Roman"/>
          <w:sz w:val="26"/>
          <w:szCs w:val="26"/>
        </w:rPr>
        <w:t>ā</w:t>
      </w:r>
      <w:r w:rsidR="00A15571">
        <w:rPr>
          <w:rFonts w:ascii="Times New Roman" w:hAnsi="Times New Roman" w:cs="Times New Roman"/>
          <w:sz w:val="26"/>
          <w:szCs w:val="26"/>
        </w:rPr>
        <w:t xml:space="preserve"> valsts budžeta dotācij</w:t>
      </w:r>
      <w:r w:rsidR="00007EFB">
        <w:rPr>
          <w:rFonts w:ascii="Times New Roman" w:hAnsi="Times New Roman" w:cs="Times New Roman"/>
          <w:sz w:val="26"/>
          <w:szCs w:val="26"/>
        </w:rPr>
        <w:t>a</w:t>
      </w:r>
      <w:r w:rsidR="00A15571">
        <w:rPr>
          <w:rFonts w:ascii="Times New Roman" w:hAnsi="Times New Roman" w:cs="Times New Roman"/>
          <w:sz w:val="26"/>
          <w:szCs w:val="26"/>
        </w:rPr>
        <w:t xml:space="preserve"> a</w:t>
      </w:r>
      <w:r w:rsidR="00D91BF6">
        <w:rPr>
          <w:rFonts w:ascii="Times New Roman" w:hAnsi="Times New Roman" w:cs="Times New Roman"/>
          <w:sz w:val="26"/>
          <w:szCs w:val="26"/>
        </w:rPr>
        <w:t>prēķin</w:t>
      </w:r>
      <w:r w:rsidR="00007EFB">
        <w:rPr>
          <w:rFonts w:ascii="Times New Roman" w:hAnsi="Times New Roman" w:cs="Times New Roman"/>
          <w:sz w:val="26"/>
          <w:szCs w:val="26"/>
        </w:rPr>
        <w:t xml:space="preserve">āta </w:t>
      </w:r>
      <w:r w:rsidR="00A15571">
        <w:rPr>
          <w:rFonts w:ascii="Times New Roman" w:hAnsi="Times New Roman" w:cs="Times New Roman"/>
          <w:sz w:val="26"/>
          <w:szCs w:val="26"/>
        </w:rPr>
        <w:t>saskaņā ar MK noteikumiem Nr.994</w:t>
      </w:r>
      <w:r w:rsidR="00007EFB">
        <w:rPr>
          <w:rFonts w:ascii="Times New Roman" w:hAnsi="Times New Roman" w:cs="Times New Roman"/>
          <w:sz w:val="26"/>
          <w:szCs w:val="26"/>
        </w:rPr>
        <w:t>,</w:t>
      </w:r>
      <w:r w:rsidR="00A15571">
        <w:rPr>
          <w:rFonts w:ascii="Times New Roman" w:hAnsi="Times New Roman" w:cs="Times New Roman"/>
          <w:sz w:val="26"/>
          <w:szCs w:val="26"/>
        </w:rPr>
        <w:t xml:space="preserve"> </w:t>
      </w:r>
      <w:r w:rsidR="00993EF1">
        <w:rPr>
          <w:rFonts w:ascii="Times New Roman" w:hAnsi="Times New Roman" w:cs="Times New Roman"/>
          <w:sz w:val="26"/>
          <w:szCs w:val="26"/>
        </w:rPr>
        <w:t>pielieto</w:t>
      </w:r>
      <w:r w:rsidR="00007EFB">
        <w:rPr>
          <w:rFonts w:ascii="Times New Roman" w:hAnsi="Times New Roman" w:cs="Times New Roman"/>
          <w:sz w:val="26"/>
          <w:szCs w:val="26"/>
        </w:rPr>
        <w:t>jot</w:t>
      </w:r>
      <w:r w:rsidR="00993EF1">
        <w:rPr>
          <w:rFonts w:ascii="Times New Roman" w:hAnsi="Times New Roman" w:cs="Times New Roman"/>
          <w:sz w:val="26"/>
          <w:szCs w:val="26"/>
        </w:rPr>
        <w:t xml:space="preserve"> </w:t>
      </w:r>
      <w:r w:rsidR="003048E5">
        <w:rPr>
          <w:rFonts w:ascii="Times New Roman" w:hAnsi="Times New Roman" w:cs="Times New Roman"/>
          <w:sz w:val="26"/>
          <w:szCs w:val="26"/>
        </w:rPr>
        <w:t xml:space="preserve">2013.gadam </w:t>
      </w:r>
      <w:r w:rsidR="00993EF1">
        <w:rPr>
          <w:rFonts w:ascii="Times New Roman" w:hAnsi="Times New Roman" w:cs="Times New Roman"/>
          <w:sz w:val="26"/>
          <w:szCs w:val="26"/>
        </w:rPr>
        <w:t xml:space="preserve">saskaņotās studiju vietas bāzes izmaksas 937,09 latu apmērā. </w:t>
      </w:r>
      <w:r w:rsidR="004811AA">
        <w:rPr>
          <w:rFonts w:ascii="Times New Roman" w:hAnsi="Times New Roman" w:cs="Times New Roman"/>
          <w:sz w:val="26"/>
          <w:szCs w:val="26"/>
        </w:rPr>
        <w:t>Katram gadam p</w:t>
      </w:r>
      <w:r w:rsidR="00A15571">
        <w:rPr>
          <w:rFonts w:ascii="Times New Roman" w:hAnsi="Times New Roman" w:cs="Times New Roman"/>
          <w:sz w:val="26"/>
          <w:szCs w:val="26"/>
        </w:rPr>
        <w:t>iemērotās</w:t>
      </w:r>
      <w:r w:rsidR="00993EF1">
        <w:rPr>
          <w:rFonts w:ascii="Times New Roman" w:hAnsi="Times New Roman" w:cs="Times New Roman"/>
          <w:sz w:val="26"/>
          <w:szCs w:val="26"/>
        </w:rPr>
        <w:t xml:space="preserve"> studiju izmaksu koeficientu vērtības iekļautas informatīvā ziņojuma 1.pielikumā.</w:t>
      </w:r>
    </w:p>
    <w:p w:rsidR="00DE394A" w:rsidRDefault="00DE394A" w:rsidP="00A15571">
      <w:pPr>
        <w:spacing w:after="0" w:line="240" w:lineRule="auto"/>
        <w:ind w:firstLine="720"/>
        <w:jc w:val="both"/>
        <w:rPr>
          <w:rFonts w:ascii="Times New Roman" w:hAnsi="Times New Roman" w:cs="Times New Roman"/>
          <w:sz w:val="26"/>
          <w:szCs w:val="26"/>
        </w:rPr>
      </w:pPr>
    </w:p>
    <w:p w:rsidR="00DE394A" w:rsidRPr="005C4E38" w:rsidRDefault="00DE394A" w:rsidP="00A15571">
      <w:pPr>
        <w:spacing w:after="0" w:line="240" w:lineRule="auto"/>
        <w:ind w:firstLine="720"/>
        <w:jc w:val="both"/>
        <w:rPr>
          <w:rFonts w:ascii="Times New Roman" w:hAnsi="Times New Roman" w:cs="Times New Roman"/>
          <w:b/>
          <w:sz w:val="26"/>
          <w:szCs w:val="26"/>
        </w:rPr>
      </w:pPr>
      <w:r w:rsidRPr="005C4E38">
        <w:rPr>
          <w:rFonts w:ascii="Times New Roman" w:hAnsi="Times New Roman" w:cs="Times New Roman"/>
          <w:b/>
          <w:sz w:val="26"/>
          <w:szCs w:val="26"/>
        </w:rPr>
        <w:t>Priekšlikumi par nepieciešamību nodrošināt vienādu koeficientu piemērošanu augstākās izglītības iestādēm 2014. – 2016.gadā</w:t>
      </w:r>
      <w:r w:rsidR="005C4E38">
        <w:rPr>
          <w:rFonts w:ascii="Times New Roman" w:hAnsi="Times New Roman" w:cs="Times New Roman"/>
          <w:b/>
          <w:sz w:val="26"/>
          <w:szCs w:val="26"/>
        </w:rPr>
        <w:t>.</w:t>
      </w:r>
    </w:p>
    <w:p w:rsidR="005C4E38" w:rsidRPr="00DE394A" w:rsidRDefault="005C4E38" w:rsidP="00A15571">
      <w:pPr>
        <w:spacing w:after="0" w:line="240" w:lineRule="auto"/>
        <w:ind w:firstLine="720"/>
        <w:jc w:val="both"/>
        <w:rPr>
          <w:rFonts w:ascii="Times New Roman" w:hAnsi="Times New Roman" w:cs="Times New Roman"/>
          <w:sz w:val="26"/>
          <w:szCs w:val="26"/>
        </w:rPr>
      </w:pPr>
    </w:p>
    <w:p w:rsidR="00BB10D7" w:rsidRPr="00BB10D7" w:rsidRDefault="003B537E" w:rsidP="00BB10D7">
      <w:pPr>
        <w:pStyle w:val="ListParagraph"/>
        <w:numPr>
          <w:ilvl w:val="0"/>
          <w:numId w:val="6"/>
        </w:numPr>
        <w:spacing w:after="0" w:line="240" w:lineRule="auto"/>
        <w:ind w:left="0" w:firstLine="709"/>
        <w:jc w:val="both"/>
        <w:rPr>
          <w:rFonts w:ascii="Times New Roman" w:hAnsi="Times New Roman" w:cs="Times New Roman"/>
          <w:sz w:val="26"/>
          <w:szCs w:val="26"/>
        </w:rPr>
      </w:pPr>
      <w:r w:rsidRPr="00DE0CFF">
        <w:rPr>
          <w:rFonts w:ascii="Times New Roman" w:hAnsi="Times New Roman" w:cs="Times New Roman"/>
          <w:b/>
          <w:sz w:val="26"/>
          <w:szCs w:val="26"/>
        </w:rPr>
        <w:t>2014.gadā</w:t>
      </w:r>
      <w:r w:rsidRPr="00DE0CFF">
        <w:rPr>
          <w:rFonts w:ascii="Times New Roman" w:hAnsi="Times New Roman" w:cs="Times New Roman"/>
          <w:sz w:val="26"/>
          <w:szCs w:val="26"/>
        </w:rPr>
        <w:t xml:space="preserve"> </w:t>
      </w:r>
      <w:r w:rsidR="00DE0CFF">
        <w:rPr>
          <w:rFonts w:ascii="Times New Roman" w:hAnsi="Times New Roman" w:cs="Times New Roman"/>
          <w:iCs/>
          <w:sz w:val="26"/>
          <w:szCs w:val="26"/>
        </w:rPr>
        <w:t>v</w:t>
      </w:r>
      <w:r w:rsidR="00496C24" w:rsidRPr="00DE0CFF">
        <w:rPr>
          <w:rFonts w:ascii="Times New Roman" w:hAnsi="Times New Roman" w:cs="Times New Roman"/>
          <w:iCs/>
          <w:sz w:val="26"/>
          <w:szCs w:val="26"/>
        </w:rPr>
        <w:t>is</w:t>
      </w:r>
      <w:r w:rsidR="000A034C" w:rsidRPr="00DE0CFF">
        <w:rPr>
          <w:rFonts w:ascii="Times New Roman" w:hAnsi="Times New Roman" w:cs="Times New Roman"/>
          <w:iCs/>
          <w:sz w:val="26"/>
          <w:szCs w:val="26"/>
        </w:rPr>
        <w:t>ām</w:t>
      </w:r>
      <w:r w:rsidR="00496C24" w:rsidRPr="00DE0CFF">
        <w:rPr>
          <w:rFonts w:ascii="Times New Roman" w:hAnsi="Times New Roman" w:cs="Times New Roman"/>
          <w:iCs/>
          <w:sz w:val="26"/>
          <w:szCs w:val="26"/>
        </w:rPr>
        <w:t xml:space="preserve"> jom</w:t>
      </w:r>
      <w:r w:rsidR="000A034C" w:rsidRPr="00DE0CFF">
        <w:rPr>
          <w:rFonts w:ascii="Times New Roman" w:hAnsi="Times New Roman" w:cs="Times New Roman"/>
          <w:iCs/>
          <w:sz w:val="26"/>
          <w:szCs w:val="26"/>
        </w:rPr>
        <w:t>ām</w:t>
      </w:r>
      <w:r w:rsidR="00496C24" w:rsidRPr="00DE0CFF">
        <w:rPr>
          <w:rFonts w:ascii="Times New Roman" w:hAnsi="Times New Roman" w:cs="Times New Roman"/>
          <w:iCs/>
          <w:sz w:val="26"/>
          <w:szCs w:val="26"/>
        </w:rPr>
        <w:t xml:space="preserve"> </w:t>
      </w:r>
      <w:r w:rsidR="000A034C" w:rsidRPr="00DE0CFF">
        <w:rPr>
          <w:rFonts w:ascii="Times New Roman" w:hAnsi="Times New Roman" w:cs="Times New Roman"/>
          <w:iCs/>
          <w:sz w:val="26"/>
          <w:szCs w:val="26"/>
        </w:rPr>
        <w:t xml:space="preserve">piemēro </w:t>
      </w:r>
      <w:r w:rsidR="00496C24" w:rsidRPr="00DE0CFF">
        <w:rPr>
          <w:rFonts w:ascii="Times New Roman" w:hAnsi="Times New Roman" w:cs="Times New Roman"/>
          <w:iCs/>
          <w:sz w:val="26"/>
          <w:szCs w:val="26"/>
        </w:rPr>
        <w:t>studiju izmaksu koeficient</w:t>
      </w:r>
      <w:r w:rsidR="000A034C" w:rsidRPr="00DE0CFF">
        <w:rPr>
          <w:rFonts w:ascii="Times New Roman" w:hAnsi="Times New Roman" w:cs="Times New Roman"/>
          <w:iCs/>
          <w:sz w:val="26"/>
          <w:szCs w:val="26"/>
        </w:rPr>
        <w:t>us</w:t>
      </w:r>
      <w:r w:rsidR="00496C24" w:rsidRPr="00DE0CFF">
        <w:rPr>
          <w:rFonts w:ascii="Times New Roman" w:hAnsi="Times New Roman" w:cs="Times New Roman"/>
          <w:iCs/>
          <w:sz w:val="26"/>
          <w:szCs w:val="26"/>
        </w:rPr>
        <w:t xml:space="preserve"> </w:t>
      </w:r>
      <w:r w:rsidR="00496C24" w:rsidRPr="00DE0CFF">
        <w:rPr>
          <w:rFonts w:ascii="Times New Roman" w:hAnsi="Times New Roman" w:cs="Times New Roman"/>
          <w:b/>
          <w:bCs/>
          <w:iCs/>
          <w:sz w:val="26"/>
          <w:szCs w:val="26"/>
        </w:rPr>
        <w:t>92%</w:t>
      </w:r>
      <w:r w:rsidR="00496C24" w:rsidRPr="00DE0CFF">
        <w:rPr>
          <w:rFonts w:ascii="Times New Roman" w:hAnsi="Times New Roman" w:cs="Times New Roman"/>
          <w:iCs/>
          <w:sz w:val="26"/>
          <w:szCs w:val="26"/>
        </w:rPr>
        <w:t xml:space="preserve"> apmērā no </w:t>
      </w:r>
      <w:r w:rsidR="000A034C" w:rsidRPr="00DE0CFF">
        <w:rPr>
          <w:rFonts w:ascii="Times New Roman" w:hAnsi="Times New Roman" w:cs="Times New Roman"/>
          <w:iCs/>
          <w:sz w:val="26"/>
          <w:szCs w:val="26"/>
        </w:rPr>
        <w:t xml:space="preserve">to </w:t>
      </w:r>
      <w:r w:rsidR="00496C24" w:rsidRPr="00DE0CFF">
        <w:rPr>
          <w:rFonts w:ascii="Times New Roman" w:hAnsi="Times New Roman" w:cs="Times New Roman"/>
          <w:iCs/>
          <w:sz w:val="26"/>
          <w:szCs w:val="26"/>
        </w:rPr>
        <w:t xml:space="preserve">minimālajām vērtībām, </w:t>
      </w:r>
      <w:r w:rsidR="00DE0CFF">
        <w:rPr>
          <w:rFonts w:ascii="Times New Roman" w:hAnsi="Times New Roman" w:cs="Times New Roman"/>
          <w:iCs/>
          <w:sz w:val="26"/>
          <w:szCs w:val="26"/>
        </w:rPr>
        <w:t xml:space="preserve">paaugstinot tos līdz pašreiz augstākajam </w:t>
      </w:r>
      <w:r w:rsidR="002361D1">
        <w:rPr>
          <w:rFonts w:ascii="Times New Roman" w:hAnsi="Times New Roman" w:cs="Times New Roman"/>
          <w:iCs/>
          <w:sz w:val="26"/>
          <w:szCs w:val="26"/>
        </w:rPr>
        <w:t>sasniegtajam līmenim Veselības ministrijas padotībā esošajā Rīgas Stradiņa universitāt</w:t>
      </w:r>
      <w:r w:rsidR="004427DB">
        <w:rPr>
          <w:rFonts w:ascii="Times New Roman" w:hAnsi="Times New Roman" w:cs="Times New Roman"/>
          <w:iCs/>
          <w:sz w:val="26"/>
          <w:szCs w:val="26"/>
        </w:rPr>
        <w:t>ē</w:t>
      </w:r>
      <w:r w:rsidR="002361D1">
        <w:rPr>
          <w:rFonts w:ascii="Times New Roman" w:hAnsi="Times New Roman" w:cs="Times New Roman"/>
          <w:iCs/>
          <w:sz w:val="26"/>
          <w:szCs w:val="26"/>
        </w:rPr>
        <w:t xml:space="preserve">, </w:t>
      </w:r>
      <w:r w:rsidR="00496C24" w:rsidRPr="00DE0CFF">
        <w:rPr>
          <w:rFonts w:ascii="Times New Roman" w:hAnsi="Times New Roman" w:cs="Times New Roman"/>
          <w:iCs/>
          <w:sz w:val="26"/>
          <w:szCs w:val="26"/>
        </w:rPr>
        <w:t xml:space="preserve">vienlaikus </w:t>
      </w:r>
      <w:r w:rsidR="003C4D1D" w:rsidRPr="003C4D1D">
        <w:rPr>
          <w:rFonts w:ascii="Times New Roman" w:hAnsi="Times New Roman" w:cs="Times New Roman"/>
          <w:iCs/>
          <w:sz w:val="26"/>
          <w:szCs w:val="26"/>
        </w:rPr>
        <w:t xml:space="preserve">Dabaszinātņu, matemātikas un informācijas tehnoloģiju, kā arī Inženierzinātņu, </w:t>
      </w:r>
      <w:r w:rsidR="003C4D1D" w:rsidRPr="003C4D1D">
        <w:rPr>
          <w:rFonts w:ascii="Times New Roman" w:hAnsi="Times New Roman" w:cs="Times New Roman"/>
          <w:bCs/>
          <w:iCs/>
          <w:sz w:val="26"/>
          <w:szCs w:val="26"/>
        </w:rPr>
        <w:t>ražošanas un būvniecības</w:t>
      </w:r>
      <w:r w:rsidR="003C4D1D" w:rsidRPr="003C4D1D">
        <w:rPr>
          <w:rFonts w:ascii="Times New Roman" w:hAnsi="Times New Roman" w:cs="Times New Roman"/>
          <w:iCs/>
          <w:sz w:val="26"/>
          <w:szCs w:val="26"/>
        </w:rPr>
        <w:t xml:space="preserve"> </w:t>
      </w:r>
      <w:r w:rsidR="00496C24" w:rsidRPr="00DE0CFF">
        <w:rPr>
          <w:rFonts w:ascii="Times New Roman" w:hAnsi="Times New Roman" w:cs="Times New Roman"/>
          <w:iCs/>
          <w:sz w:val="26"/>
          <w:szCs w:val="26"/>
        </w:rPr>
        <w:t>jom</w:t>
      </w:r>
      <w:r w:rsidR="000A034C" w:rsidRPr="00DE0CFF">
        <w:rPr>
          <w:rFonts w:ascii="Times New Roman" w:hAnsi="Times New Roman" w:cs="Times New Roman"/>
          <w:iCs/>
          <w:sz w:val="26"/>
          <w:szCs w:val="26"/>
        </w:rPr>
        <w:t>ām</w:t>
      </w:r>
      <w:r w:rsidR="009902AF">
        <w:rPr>
          <w:rFonts w:ascii="Times New Roman" w:hAnsi="Times New Roman" w:cs="Times New Roman"/>
          <w:iCs/>
          <w:sz w:val="26"/>
          <w:szCs w:val="26"/>
        </w:rPr>
        <w:t xml:space="preserve"> </w:t>
      </w:r>
      <w:r w:rsidR="000A034C" w:rsidRPr="00DE0CFF">
        <w:rPr>
          <w:rFonts w:ascii="Times New Roman" w:hAnsi="Times New Roman" w:cs="Times New Roman"/>
          <w:iCs/>
          <w:sz w:val="26"/>
          <w:szCs w:val="26"/>
        </w:rPr>
        <w:t xml:space="preserve">piemēro </w:t>
      </w:r>
      <w:r w:rsidR="00152B62" w:rsidRPr="00DE0CFF">
        <w:rPr>
          <w:rFonts w:ascii="Times New Roman" w:hAnsi="Times New Roman" w:cs="Times New Roman"/>
          <w:b/>
          <w:bCs/>
          <w:iCs/>
          <w:sz w:val="26"/>
          <w:szCs w:val="26"/>
        </w:rPr>
        <w:lastRenderedPageBreak/>
        <w:t>minimālos</w:t>
      </w:r>
      <w:r w:rsidR="00152B62" w:rsidRPr="00DE0CFF">
        <w:rPr>
          <w:rFonts w:ascii="Times New Roman" w:hAnsi="Times New Roman" w:cs="Times New Roman"/>
          <w:iCs/>
          <w:sz w:val="26"/>
          <w:szCs w:val="26"/>
        </w:rPr>
        <w:t xml:space="preserve"> studiju izmaksu koeficientus</w:t>
      </w:r>
      <w:r w:rsidR="00724432">
        <w:rPr>
          <w:rFonts w:ascii="Times New Roman" w:hAnsi="Times New Roman" w:cs="Times New Roman"/>
          <w:iCs/>
          <w:sz w:val="26"/>
          <w:szCs w:val="26"/>
        </w:rPr>
        <w:t xml:space="preserve">. 2014.gadam piemērotie koeficienti -  </w:t>
      </w:r>
      <w:r w:rsidR="008F72A5">
        <w:rPr>
          <w:rFonts w:ascii="Times New Roman" w:hAnsi="Times New Roman" w:cs="Times New Roman"/>
          <w:sz w:val="26"/>
          <w:szCs w:val="26"/>
        </w:rPr>
        <w:t xml:space="preserve">informatīvā ziņojuma </w:t>
      </w:r>
      <w:r w:rsidR="008F72A5" w:rsidRPr="00DE0CFF">
        <w:rPr>
          <w:rFonts w:ascii="Times New Roman" w:hAnsi="Times New Roman" w:cs="Times New Roman"/>
          <w:iCs/>
          <w:sz w:val="26"/>
          <w:szCs w:val="26"/>
        </w:rPr>
        <w:t>1.pielikum</w:t>
      </w:r>
      <w:r w:rsidR="008F72A5">
        <w:rPr>
          <w:rFonts w:ascii="Times New Roman" w:hAnsi="Times New Roman" w:cs="Times New Roman"/>
          <w:iCs/>
          <w:sz w:val="26"/>
          <w:szCs w:val="26"/>
        </w:rPr>
        <w:t>a 6.ail</w:t>
      </w:r>
      <w:r w:rsidR="00724432">
        <w:rPr>
          <w:rFonts w:ascii="Times New Roman" w:hAnsi="Times New Roman" w:cs="Times New Roman"/>
          <w:iCs/>
          <w:sz w:val="26"/>
          <w:szCs w:val="26"/>
        </w:rPr>
        <w:t>ē</w:t>
      </w:r>
      <w:r w:rsidR="00496C24" w:rsidRPr="00DE0CFF">
        <w:rPr>
          <w:rFonts w:ascii="Times New Roman" w:hAnsi="Times New Roman" w:cs="Times New Roman"/>
          <w:iCs/>
          <w:sz w:val="26"/>
          <w:szCs w:val="26"/>
        </w:rPr>
        <w:t>.</w:t>
      </w:r>
      <w:r w:rsidR="006036F5">
        <w:rPr>
          <w:rFonts w:ascii="Times New Roman" w:hAnsi="Times New Roman" w:cs="Times New Roman"/>
          <w:iCs/>
          <w:sz w:val="26"/>
          <w:szCs w:val="26"/>
        </w:rPr>
        <w:t xml:space="preserve"> Aprēķina kopsavilkums par valsts budžeta bāzes izdevumiem 2014.gadā atspoguļots 5.tabulā un 2.attēlā.</w:t>
      </w:r>
    </w:p>
    <w:p w:rsidR="00DF78AA" w:rsidRPr="00D91BF6" w:rsidRDefault="00DF78AA" w:rsidP="00417260">
      <w:pPr>
        <w:pStyle w:val="ListParagraph"/>
        <w:spacing w:after="0" w:line="240" w:lineRule="auto"/>
        <w:ind w:left="0" w:firstLine="709"/>
        <w:jc w:val="both"/>
        <w:rPr>
          <w:rFonts w:ascii="Times New Roman" w:hAnsi="Times New Roman" w:cs="Times New Roman"/>
          <w:sz w:val="26"/>
          <w:szCs w:val="26"/>
        </w:rPr>
      </w:pPr>
      <w:r w:rsidRPr="00D91BF6">
        <w:rPr>
          <w:rFonts w:ascii="Times New Roman" w:hAnsi="Times New Roman" w:cs="Times New Roman"/>
          <w:iCs/>
          <w:sz w:val="26"/>
          <w:szCs w:val="26"/>
        </w:rPr>
        <w:t xml:space="preserve">Valsts budžeta bāzes izdevumi augstākajā izglītībā </w:t>
      </w:r>
      <w:r w:rsidR="00E921A6">
        <w:rPr>
          <w:rFonts w:ascii="Times New Roman" w:hAnsi="Times New Roman" w:cs="Times New Roman"/>
          <w:iCs/>
          <w:sz w:val="26"/>
          <w:szCs w:val="26"/>
        </w:rPr>
        <w:t xml:space="preserve">2014.gadā </w:t>
      </w:r>
      <w:r w:rsidRPr="00D91BF6">
        <w:rPr>
          <w:rFonts w:ascii="Times New Roman" w:hAnsi="Times New Roman" w:cs="Times New Roman"/>
          <w:iCs/>
          <w:sz w:val="26"/>
          <w:szCs w:val="26"/>
        </w:rPr>
        <w:t>ir šādi</w:t>
      </w:r>
      <w:r>
        <w:rPr>
          <w:rFonts w:ascii="Times New Roman" w:hAnsi="Times New Roman" w:cs="Times New Roman"/>
          <w:iCs/>
          <w:sz w:val="26"/>
          <w:szCs w:val="26"/>
        </w:rPr>
        <w:t>:</w:t>
      </w:r>
    </w:p>
    <w:p w:rsidR="00496C24" w:rsidRDefault="00496C24" w:rsidP="00DE0CFF">
      <w:pPr>
        <w:pStyle w:val="ListParagraph"/>
        <w:numPr>
          <w:ilvl w:val="1"/>
          <w:numId w:val="6"/>
        </w:numPr>
        <w:spacing w:after="0" w:line="240" w:lineRule="auto"/>
        <w:ind w:hanging="83"/>
        <w:jc w:val="both"/>
        <w:rPr>
          <w:rFonts w:ascii="Times New Roman" w:hAnsi="Times New Roman" w:cs="Times New Roman"/>
          <w:iCs/>
          <w:sz w:val="26"/>
          <w:szCs w:val="26"/>
        </w:rPr>
      </w:pPr>
      <w:r w:rsidRPr="00D91BF6">
        <w:rPr>
          <w:rFonts w:ascii="Times New Roman" w:hAnsi="Times New Roman" w:cs="Times New Roman"/>
          <w:iCs/>
          <w:sz w:val="26"/>
          <w:szCs w:val="26"/>
        </w:rPr>
        <w:t xml:space="preserve">IZM augstskolām </w:t>
      </w:r>
      <w:r w:rsidR="00E360FF" w:rsidRPr="00E360FF">
        <w:rPr>
          <w:rFonts w:ascii="Times New Roman" w:hAnsi="Times New Roman" w:cs="Times New Roman"/>
          <w:b/>
          <w:iCs/>
          <w:sz w:val="26"/>
          <w:szCs w:val="26"/>
        </w:rPr>
        <w:t xml:space="preserve">35 </w:t>
      </w:r>
      <w:r w:rsidR="00716F0A">
        <w:rPr>
          <w:rFonts w:ascii="Times New Roman" w:hAnsi="Times New Roman" w:cs="Times New Roman"/>
          <w:b/>
          <w:iCs/>
          <w:sz w:val="26"/>
          <w:szCs w:val="26"/>
        </w:rPr>
        <w:t>899</w:t>
      </w:r>
      <w:r w:rsidR="00E360FF">
        <w:rPr>
          <w:rFonts w:ascii="Times New Roman" w:hAnsi="Times New Roman" w:cs="Times New Roman"/>
          <w:b/>
          <w:iCs/>
          <w:sz w:val="26"/>
          <w:szCs w:val="26"/>
        </w:rPr>
        <w:t> </w:t>
      </w:r>
      <w:r w:rsidR="00716F0A">
        <w:rPr>
          <w:rFonts w:ascii="Times New Roman" w:hAnsi="Times New Roman" w:cs="Times New Roman"/>
          <w:b/>
          <w:iCs/>
          <w:sz w:val="26"/>
          <w:szCs w:val="26"/>
        </w:rPr>
        <w:t>3</w:t>
      </w:r>
      <w:r w:rsidR="00E360FF" w:rsidRPr="00E360FF">
        <w:rPr>
          <w:rFonts w:ascii="Times New Roman" w:hAnsi="Times New Roman" w:cs="Times New Roman"/>
          <w:b/>
          <w:iCs/>
          <w:sz w:val="26"/>
          <w:szCs w:val="26"/>
        </w:rPr>
        <w:t>36</w:t>
      </w:r>
      <w:r w:rsidR="00E360FF">
        <w:rPr>
          <w:rFonts w:ascii="Times New Roman" w:hAnsi="Times New Roman" w:cs="Times New Roman"/>
          <w:b/>
          <w:iCs/>
          <w:sz w:val="26"/>
          <w:szCs w:val="26"/>
        </w:rPr>
        <w:t xml:space="preserve"> </w:t>
      </w:r>
      <w:r w:rsidRPr="00D91BF6">
        <w:rPr>
          <w:rFonts w:ascii="Times New Roman" w:hAnsi="Times New Roman" w:cs="Times New Roman"/>
          <w:b/>
          <w:iCs/>
          <w:sz w:val="26"/>
          <w:szCs w:val="26"/>
        </w:rPr>
        <w:t>lati</w:t>
      </w:r>
      <w:r w:rsidRPr="00D91BF6">
        <w:rPr>
          <w:rFonts w:ascii="Times New Roman" w:hAnsi="Times New Roman" w:cs="Times New Roman"/>
          <w:iCs/>
          <w:sz w:val="26"/>
          <w:szCs w:val="26"/>
        </w:rPr>
        <w:t>;</w:t>
      </w:r>
    </w:p>
    <w:p w:rsidR="00496C24" w:rsidRDefault="00496C24" w:rsidP="00DE0CFF">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IZM koledžām </w:t>
      </w:r>
      <w:r w:rsidR="00E360FF" w:rsidRPr="00E360FF">
        <w:rPr>
          <w:rFonts w:ascii="Times New Roman" w:hAnsi="Times New Roman" w:cs="Times New Roman"/>
          <w:b/>
          <w:iCs/>
          <w:sz w:val="26"/>
          <w:szCs w:val="26"/>
        </w:rPr>
        <w:t>6 561</w:t>
      </w:r>
      <w:r w:rsidR="00E360FF">
        <w:rPr>
          <w:rFonts w:ascii="Times New Roman" w:hAnsi="Times New Roman" w:cs="Times New Roman"/>
          <w:b/>
          <w:iCs/>
          <w:sz w:val="26"/>
          <w:szCs w:val="26"/>
        </w:rPr>
        <w:t> </w:t>
      </w:r>
      <w:r w:rsidR="00E360FF" w:rsidRPr="00E360FF">
        <w:rPr>
          <w:rFonts w:ascii="Times New Roman" w:hAnsi="Times New Roman" w:cs="Times New Roman"/>
          <w:b/>
          <w:iCs/>
          <w:sz w:val="26"/>
          <w:szCs w:val="26"/>
        </w:rPr>
        <w:t>802</w:t>
      </w:r>
      <w:r w:rsidR="00E360FF">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496C24" w:rsidRDefault="00496C24" w:rsidP="00DE0CFF">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Kultūras ministrijai </w:t>
      </w:r>
      <w:r w:rsidR="00E360FF" w:rsidRPr="00E360FF">
        <w:rPr>
          <w:rFonts w:ascii="Times New Roman" w:hAnsi="Times New Roman" w:cs="Times New Roman"/>
          <w:b/>
          <w:iCs/>
          <w:sz w:val="26"/>
          <w:szCs w:val="26"/>
        </w:rPr>
        <w:t>5 448</w:t>
      </w:r>
      <w:r w:rsidR="00E360FF">
        <w:rPr>
          <w:rFonts w:ascii="Times New Roman" w:hAnsi="Times New Roman" w:cs="Times New Roman"/>
          <w:b/>
          <w:iCs/>
          <w:sz w:val="26"/>
          <w:szCs w:val="26"/>
        </w:rPr>
        <w:t> </w:t>
      </w:r>
      <w:r w:rsidR="00E360FF" w:rsidRPr="00E360FF">
        <w:rPr>
          <w:rFonts w:ascii="Times New Roman" w:hAnsi="Times New Roman" w:cs="Times New Roman"/>
          <w:b/>
          <w:iCs/>
          <w:sz w:val="26"/>
          <w:szCs w:val="26"/>
        </w:rPr>
        <w:t>164</w:t>
      </w:r>
      <w:r w:rsidR="00E360FF">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496C24" w:rsidRDefault="00496C24" w:rsidP="00DE0CFF">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Veselības ministrijai </w:t>
      </w:r>
      <w:r w:rsidR="00E360FF" w:rsidRPr="00E360FF">
        <w:rPr>
          <w:rFonts w:ascii="Times New Roman" w:hAnsi="Times New Roman" w:cs="Times New Roman"/>
          <w:b/>
          <w:iCs/>
          <w:sz w:val="26"/>
          <w:szCs w:val="26"/>
        </w:rPr>
        <w:t>10 872</w:t>
      </w:r>
      <w:r w:rsidR="00E360FF">
        <w:rPr>
          <w:rFonts w:ascii="Times New Roman" w:hAnsi="Times New Roman" w:cs="Times New Roman"/>
          <w:b/>
          <w:iCs/>
          <w:sz w:val="26"/>
          <w:szCs w:val="26"/>
        </w:rPr>
        <w:t> </w:t>
      </w:r>
      <w:r w:rsidR="00E360FF" w:rsidRPr="00E360FF">
        <w:rPr>
          <w:rFonts w:ascii="Times New Roman" w:hAnsi="Times New Roman" w:cs="Times New Roman"/>
          <w:b/>
          <w:iCs/>
          <w:sz w:val="26"/>
          <w:szCs w:val="26"/>
        </w:rPr>
        <w:t>889</w:t>
      </w:r>
      <w:r w:rsidR="00E360FF">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427157" w:rsidRDefault="00496C24" w:rsidP="00ED7273">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Zemkopības ministrijai </w:t>
      </w:r>
      <w:r w:rsidR="00E360FF" w:rsidRPr="00DF78AA">
        <w:rPr>
          <w:rFonts w:ascii="Times New Roman" w:hAnsi="Times New Roman" w:cs="Times New Roman"/>
          <w:b/>
          <w:iCs/>
          <w:sz w:val="26"/>
          <w:szCs w:val="26"/>
        </w:rPr>
        <w:t>5 990</w:t>
      </w:r>
      <w:r w:rsidR="00DF78AA">
        <w:rPr>
          <w:rFonts w:ascii="Times New Roman" w:hAnsi="Times New Roman" w:cs="Times New Roman"/>
          <w:b/>
          <w:iCs/>
          <w:sz w:val="26"/>
          <w:szCs w:val="26"/>
        </w:rPr>
        <w:t> </w:t>
      </w:r>
      <w:r w:rsidR="00E360FF" w:rsidRPr="00DF78AA">
        <w:rPr>
          <w:rFonts w:ascii="Times New Roman" w:hAnsi="Times New Roman" w:cs="Times New Roman"/>
          <w:b/>
          <w:iCs/>
          <w:sz w:val="26"/>
          <w:szCs w:val="26"/>
        </w:rPr>
        <w:t>618</w:t>
      </w:r>
      <w:r w:rsidR="00DF78AA">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1E39CB" w:rsidRDefault="001E39CB" w:rsidP="001E39CB">
      <w:pPr>
        <w:pStyle w:val="ListParagraph"/>
        <w:spacing w:after="0" w:line="240" w:lineRule="auto"/>
        <w:ind w:left="792"/>
        <w:jc w:val="both"/>
        <w:rPr>
          <w:rFonts w:ascii="Times New Roman" w:hAnsi="Times New Roman" w:cs="Times New Roman"/>
          <w:iCs/>
          <w:sz w:val="26"/>
          <w:szCs w:val="26"/>
        </w:rPr>
      </w:pPr>
    </w:p>
    <w:p w:rsidR="001E39CB" w:rsidRDefault="001E39CB" w:rsidP="001E39CB">
      <w:pPr>
        <w:spacing w:after="0" w:line="240" w:lineRule="auto"/>
        <w:jc w:val="right"/>
        <w:rPr>
          <w:rFonts w:ascii="Times New Roman" w:hAnsi="Times New Roman" w:cs="Times New Roman"/>
          <w:i/>
          <w:sz w:val="26"/>
          <w:szCs w:val="26"/>
        </w:rPr>
      </w:pPr>
      <w:r w:rsidRPr="000F0922">
        <w:rPr>
          <w:rFonts w:ascii="Times New Roman" w:hAnsi="Times New Roman" w:cs="Times New Roman"/>
          <w:i/>
          <w:sz w:val="26"/>
          <w:szCs w:val="26"/>
        </w:rPr>
        <w:t>5.tabula</w:t>
      </w:r>
    </w:p>
    <w:p w:rsidR="001E39CB" w:rsidRPr="00ED7273" w:rsidRDefault="006036F5" w:rsidP="001E39CB">
      <w:pPr>
        <w:spacing w:after="0" w:line="240" w:lineRule="auto"/>
        <w:jc w:val="center"/>
        <w:rPr>
          <w:rFonts w:ascii="Times New Roman" w:hAnsi="Times New Roman" w:cs="Times New Roman"/>
          <w:b/>
          <w:sz w:val="26"/>
          <w:szCs w:val="26"/>
        </w:rPr>
      </w:pPr>
      <w:r>
        <w:rPr>
          <w:rFonts w:ascii="Times New Roman" w:hAnsi="Times New Roman" w:cs="Times New Roman"/>
          <w:b/>
          <w:iCs/>
          <w:sz w:val="26"/>
          <w:szCs w:val="26"/>
        </w:rPr>
        <w:t>Aprēķina kopsavilkums par v</w:t>
      </w:r>
      <w:r w:rsidR="00D958BF" w:rsidRPr="00D958BF">
        <w:rPr>
          <w:rFonts w:ascii="Times New Roman" w:hAnsi="Times New Roman" w:cs="Times New Roman"/>
          <w:b/>
          <w:iCs/>
          <w:sz w:val="26"/>
          <w:szCs w:val="26"/>
        </w:rPr>
        <w:t>alsts budžeta bāzes izdevumi</w:t>
      </w:r>
      <w:r>
        <w:rPr>
          <w:rFonts w:ascii="Times New Roman" w:hAnsi="Times New Roman" w:cs="Times New Roman"/>
          <w:b/>
          <w:iCs/>
          <w:sz w:val="26"/>
          <w:szCs w:val="26"/>
        </w:rPr>
        <w:t>em</w:t>
      </w:r>
      <w:r w:rsidR="00D958BF" w:rsidRPr="00D958BF">
        <w:rPr>
          <w:rFonts w:ascii="Times New Roman" w:hAnsi="Times New Roman" w:cs="Times New Roman"/>
          <w:b/>
          <w:iCs/>
          <w:sz w:val="26"/>
          <w:szCs w:val="26"/>
        </w:rPr>
        <w:t xml:space="preserve"> </w:t>
      </w:r>
      <w:r w:rsidR="00D958BF">
        <w:rPr>
          <w:rFonts w:ascii="Times New Roman" w:hAnsi="Times New Roman" w:cs="Times New Roman"/>
          <w:b/>
          <w:sz w:val="26"/>
          <w:szCs w:val="26"/>
        </w:rPr>
        <w:t>augstākajā izglītībā</w:t>
      </w:r>
      <w:r w:rsidR="005A10CF">
        <w:rPr>
          <w:rFonts w:ascii="Times New Roman" w:hAnsi="Times New Roman" w:cs="Times New Roman"/>
          <w:b/>
          <w:sz w:val="26"/>
          <w:szCs w:val="26"/>
        </w:rPr>
        <w:t xml:space="preserve"> </w:t>
      </w:r>
      <w:r w:rsidR="005A10CF" w:rsidRPr="00ED7273">
        <w:rPr>
          <w:rFonts w:ascii="Times New Roman" w:hAnsi="Times New Roman" w:cs="Times New Roman"/>
          <w:b/>
          <w:sz w:val="26"/>
          <w:szCs w:val="26"/>
        </w:rPr>
        <w:t>2014.gad</w:t>
      </w:r>
      <w:r w:rsidR="005A10CF">
        <w:rPr>
          <w:rFonts w:ascii="Times New Roman" w:hAnsi="Times New Roman" w:cs="Times New Roman"/>
          <w:b/>
          <w:sz w:val="26"/>
          <w:szCs w:val="26"/>
        </w:rPr>
        <w:t>ā</w:t>
      </w:r>
      <w:r w:rsidR="00D958BF">
        <w:rPr>
          <w:rFonts w:ascii="Times New Roman" w:hAnsi="Times New Roman" w:cs="Times New Roman"/>
          <w:b/>
          <w:sz w:val="26"/>
          <w:szCs w:val="26"/>
        </w:rPr>
        <w:t>, latos</w:t>
      </w:r>
    </w:p>
    <w:p w:rsidR="001E39CB" w:rsidRDefault="001E39CB" w:rsidP="001E39CB">
      <w:pPr>
        <w:spacing w:after="0" w:line="240" w:lineRule="auto"/>
        <w:jc w:val="right"/>
        <w:rPr>
          <w:rFonts w:ascii="Times New Roman" w:hAnsi="Times New Roman" w:cs="Times New Roman"/>
          <w:i/>
          <w:sz w:val="26"/>
          <w:szCs w:val="26"/>
        </w:rPr>
      </w:pPr>
    </w:p>
    <w:tbl>
      <w:tblPr>
        <w:tblW w:w="9545" w:type="dxa"/>
        <w:tblInd w:w="-318" w:type="dxa"/>
        <w:tblLayout w:type="fixed"/>
        <w:tblLook w:val="04A0"/>
      </w:tblPr>
      <w:tblGrid>
        <w:gridCol w:w="568"/>
        <w:gridCol w:w="2045"/>
        <w:gridCol w:w="1476"/>
        <w:gridCol w:w="1378"/>
        <w:gridCol w:w="1384"/>
        <w:gridCol w:w="1317"/>
        <w:gridCol w:w="1377"/>
      </w:tblGrid>
      <w:tr w:rsidR="001E39CB" w:rsidRPr="00427157" w:rsidTr="001E39CB">
        <w:trPr>
          <w:trHeight w:val="20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center"/>
              <w:rPr>
                <w:rFonts w:ascii="Times New Roman" w:eastAsia="Times New Roman" w:hAnsi="Times New Roman" w:cs="Times New Roman"/>
                <w:lang w:eastAsia="lv-LV"/>
              </w:rPr>
            </w:pPr>
            <w:proofErr w:type="spellStart"/>
            <w:r w:rsidRPr="00427157">
              <w:rPr>
                <w:rFonts w:ascii="Times New Roman" w:eastAsia="Times New Roman" w:hAnsi="Times New Roman" w:cs="Times New Roman"/>
                <w:lang w:eastAsia="lv-LV"/>
              </w:rPr>
              <w:t>N.p.k</w:t>
            </w:r>
            <w:proofErr w:type="spellEnd"/>
            <w:r w:rsidRPr="00427157">
              <w:rPr>
                <w:rFonts w:ascii="Times New Roman" w:eastAsia="Times New Roman" w:hAnsi="Times New Roman" w:cs="Times New Roman"/>
                <w:lang w:eastAsia="lv-LV"/>
              </w:rPr>
              <w:t>.</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Ministrija</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xml:space="preserve"> </w:t>
            </w:r>
            <w:r w:rsidRPr="00427157">
              <w:rPr>
                <w:rFonts w:ascii="Times New Roman" w:eastAsia="Times New Roman" w:hAnsi="Times New Roman" w:cs="Times New Roman"/>
                <w:b/>
                <w:bCs/>
                <w:lang w:eastAsia="lv-LV"/>
              </w:rPr>
              <w:t>Esošā</w:t>
            </w:r>
            <w:r w:rsidRPr="00427157">
              <w:rPr>
                <w:rFonts w:ascii="Times New Roman" w:eastAsia="Times New Roman" w:hAnsi="Times New Roman" w:cs="Times New Roman"/>
                <w:lang w:eastAsia="lv-LV"/>
              </w:rPr>
              <w:t xml:space="preserve"> valsts budžeta dotācija no vispārējiem ieņēmumiem 2013.gadā</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Valsts budžeta dotācija, pielietojot optimālos studiju izmaksu koeficientus</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xml:space="preserve">Budžeta </w:t>
            </w:r>
            <w:r w:rsidRPr="00427157">
              <w:rPr>
                <w:rFonts w:ascii="Times New Roman" w:eastAsia="Times New Roman" w:hAnsi="Times New Roman" w:cs="Times New Roman"/>
                <w:b/>
                <w:bCs/>
                <w:lang w:eastAsia="lv-LV"/>
              </w:rPr>
              <w:t>bāze 2014.gadā</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1E39CB" w:rsidRPr="00427157" w:rsidRDefault="001E39CB" w:rsidP="00A461CD">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Pieaugums pret esošo (</w:t>
            </w:r>
            <w:r>
              <w:rPr>
                <w:rFonts w:ascii="Times New Roman" w:eastAsia="Times New Roman" w:hAnsi="Times New Roman" w:cs="Times New Roman"/>
                <w:lang w:eastAsia="lv-LV"/>
              </w:rPr>
              <w:t>5</w:t>
            </w:r>
            <w:r w:rsidRPr="00427157">
              <w:rPr>
                <w:rFonts w:ascii="Times New Roman" w:eastAsia="Times New Roman" w:hAnsi="Times New Roman" w:cs="Times New Roman"/>
                <w:lang w:eastAsia="lv-LV"/>
              </w:rPr>
              <w:t>.aile-3.aile)</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xml:space="preserve">Nodrošinājuma līmenis 2014.gadā pret </w:t>
            </w:r>
            <w:r w:rsidRPr="00427157">
              <w:rPr>
                <w:rFonts w:ascii="Times New Roman" w:eastAsia="Times New Roman" w:hAnsi="Times New Roman" w:cs="Times New Roman"/>
                <w:b/>
                <w:bCs/>
                <w:lang w:eastAsia="lv-LV"/>
              </w:rPr>
              <w:t>optimālo</w:t>
            </w:r>
            <w:r w:rsidR="00D958BF">
              <w:rPr>
                <w:rFonts w:ascii="Times New Roman" w:eastAsia="Times New Roman" w:hAnsi="Times New Roman" w:cs="Times New Roman"/>
                <w:b/>
                <w:bCs/>
                <w:lang w:eastAsia="lv-LV"/>
              </w:rPr>
              <w:t>,</w:t>
            </w:r>
            <w:r w:rsidRPr="00427157">
              <w:rPr>
                <w:rFonts w:ascii="Times New Roman" w:eastAsia="Times New Roman" w:hAnsi="Times New Roman" w:cs="Times New Roman"/>
                <w:lang w:eastAsia="lv-LV"/>
              </w:rPr>
              <w:t xml:space="preserve"> % </w:t>
            </w:r>
          </w:p>
        </w:tc>
      </w:tr>
      <w:tr w:rsidR="001E39CB" w:rsidRPr="00427157" w:rsidTr="001E39CB">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E39CB" w:rsidRPr="00765CCF" w:rsidRDefault="001E39CB"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1</w:t>
            </w:r>
          </w:p>
        </w:tc>
        <w:tc>
          <w:tcPr>
            <w:tcW w:w="2045" w:type="dxa"/>
            <w:tcBorders>
              <w:top w:val="nil"/>
              <w:left w:val="nil"/>
              <w:bottom w:val="single" w:sz="4" w:space="0" w:color="auto"/>
              <w:right w:val="single" w:sz="4" w:space="0" w:color="auto"/>
            </w:tcBorders>
            <w:shd w:val="clear" w:color="auto" w:fill="auto"/>
            <w:noWrap/>
            <w:vAlign w:val="center"/>
            <w:hideMark/>
          </w:tcPr>
          <w:p w:rsidR="001E39CB" w:rsidRPr="00765CCF" w:rsidRDefault="001E39CB"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2</w:t>
            </w:r>
          </w:p>
        </w:tc>
        <w:tc>
          <w:tcPr>
            <w:tcW w:w="1476" w:type="dxa"/>
            <w:tcBorders>
              <w:top w:val="nil"/>
              <w:left w:val="nil"/>
              <w:bottom w:val="single" w:sz="4" w:space="0" w:color="auto"/>
              <w:right w:val="single" w:sz="4" w:space="0" w:color="auto"/>
            </w:tcBorders>
            <w:shd w:val="clear" w:color="auto" w:fill="auto"/>
            <w:noWrap/>
            <w:vAlign w:val="center"/>
            <w:hideMark/>
          </w:tcPr>
          <w:p w:rsidR="001E39CB" w:rsidRPr="00765CCF" w:rsidRDefault="001E39CB"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3</w:t>
            </w:r>
          </w:p>
        </w:tc>
        <w:tc>
          <w:tcPr>
            <w:tcW w:w="1378" w:type="dxa"/>
            <w:tcBorders>
              <w:top w:val="nil"/>
              <w:left w:val="nil"/>
              <w:bottom w:val="single" w:sz="4" w:space="0" w:color="auto"/>
              <w:right w:val="single" w:sz="4" w:space="0" w:color="auto"/>
            </w:tcBorders>
            <w:shd w:val="clear" w:color="auto" w:fill="auto"/>
            <w:noWrap/>
            <w:vAlign w:val="center"/>
            <w:hideMark/>
          </w:tcPr>
          <w:p w:rsidR="001E39CB" w:rsidRPr="00765CCF" w:rsidRDefault="001E39CB"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4</w:t>
            </w:r>
          </w:p>
        </w:tc>
        <w:tc>
          <w:tcPr>
            <w:tcW w:w="1384" w:type="dxa"/>
            <w:tcBorders>
              <w:top w:val="nil"/>
              <w:left w:val="nil"/>
              <w:bottom w:val="single" w:sz="4" w:space="0" w:color="auto"/>
              <w:right w:val="single" w:sz="4" w:space="0" w:color="auto"/>
            </w:tcBorders>
            <w:shd w:val="clear" w:color="auto" w:fill="auto"/>
            <w:noWrap/>
            <w:vAlign w:val="center"/>
            <w:hideMark/>
          </w:tcPr>
          <w:p w:rsidR="001E39CB" w:rsidRPr="00765CCF" w:rsidRDefault="001E39CB"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5</w:t>
            </w:r>
          </w:p>
        </w:tc>
        <w:tc>
          <w:tcPr>
            <w:tcW w:w="1317" w:type="dxa"/>
            <w:tcBorders>
              <w:top w:val="nil"/>
              <w:left w:val="nil"/>
              <w:bottom w:val="single" w:sz="4" w:space="0" w:color="auto"/>
              <w:right w:val="single" w:sz="4" w:space="0" w:color="auto"/>
            </w:tcBorders>
            <w:shd w:val="clear" w:color="auto" w:fill="auto"/>
            <w:noWrap/>
            <w:vAlign w:val="center"/>
            <w:hideMark/>
          </w:tcPr>
          <w:p w:rsidR="001E39CB" w:rsidRPr="00765CCF" w:rsidRDefault="001E39CB"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6</w:t>
            </w:r>
          </w:p>
        </w:tc>
        <w:tc>
          <w:tcPr>
            <w:tcW w:w="1377" w:type="dxa"/>
            <w:tcBorders>
              <w:top w:val="nil"/>
              <w:left w:val="nil"/>
              <w:bottom w:val="single" w:sz="4" w:space="0" w:color="auto"/>
              <w:right w:val="single" w:sz="4" w:space="0" w:color="auto"/>
            </w:tcBorders>
            <w:shd w:val="clear" w:color="auto" w:fill="auto"/>
            <w:noWrap/>
            <w:vAlign w:val="center"/>
            <w:hideMark/>
          </w:tcPr>
          <w:p w:rsidR="001E39CB" w:rsidRPr="00765CCF" w:rsidRDefault="001E39CB"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7</w:t>
            </w:r>
          </w:p>
        </w:tc>
      </w:tr>
      <w:tr w:rsidR="001E39CB" w:rsidRPr="00427157" w:rsidTr="001E39CB">
        <w:trPr>
          <w:trHeight w:val="576"/>
        </w:trPr>
        <w:tc>
          <w:tcPr>
            <w:tcW w:w="568" w:type="dxa"/>
            <w:tcBorders>
              <w:top w:val="nil"/>
              <w:left w:val="single" w:sz="4" w:space="0" w:color="auto"/>
              <w:bottom w:val="nil"/>
              <w:right w:val="single" w:sz="4" w:space="0" w:color="auto"/>
            </w:tcBorders>
            <w:shd w:val="clear" w:color="auto" w:fill="auto"/>
            <w:vAlign w:val="center"/>
            <w:hideMark/>
          </w:tcPr>
          <w:p w:rsidR="001E39CB" w:rsidRPr="00427157" w:rsidRDefault="001E39CB"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1.</w:t>
            </w:r>
          </w:p>
        </w:tc>
        <w:tc>
          <w:tcPr>
            <w:tcW w:w="8977" w:type="dxa"/>
            <w:gridSpan w:val="6"/>
            <w:tcBorders>
              <w:top w:val="nil"/>
              <w:left w:val="nil"/>
              <w:bottom w:val="single" w:sz="4" w:space="0" w:color="auto"/>
              <w:right w:val="single" w:sz="4" w:space="0" w:color="auto"/>
            </w:tcBorders>
            <w:shd w:val="clear" w:color="auto" w:fill="auto"/>
            <w:noWrap/>
            <w:vAlign w:val="bottom"/>
            <w:hideMark/>
          </w:tcPr>
          <w:p w:rsidR="001E39CB" w:rsidRPr="00427157" w:rsidRDefault="001E39CB" w:rsidP="00262882">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Izglītības un zinātnes ministrija</w:t>
            </w:r>
            <w:r w:rsidRPr="00427157">
              <w:rPr>
                <w:rFonts w:ascii="Times New Roman" w:eastAsia="Times New Roman" w:hAnsi="Times New Roman" w:cs="Times New Roman"/>
                <w:lang w:eastAsia="lv-LV"/>
              </w:rPr>
              <w:t xml:space="preserve">, </w:t>
            </w:r>
            <w:r w:rsidRPr="00427157">
              <w:rPr>
                <w:rFonts w:ascii="Times New Roman" w:eastAsia="Times New Roman" w:hAnsi="Times New Roman" w:cs="Times New Roman"/>
                <w:i/>
                <w:iCs/>
                <w:lang w:eastAsia="lv-LV"/>
              </w:rPr>
              <w:t>tajā skaitā:</w:t>
            </w:r>
          </w:p>
          <w:p w:rsidR="001E39CB" w:rsidRPr="00427157" w:rsidRDefault="001E39CB"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b/>
                <w:bCs/>
                <w:lang w:eastAsia="lv-LV"/>
              </w:rPr>
              <w:t> </w:t>
            </w:r>
          </w:p>
        </w:tc>
      </w:tr>
      <w:tr w:rsidR="001E39CB" w:rsidRPr="00427157" w:rsidTr="001E39CB">
        <w:trPr>
          <w:trHeight w:val="750"/>
        </w:trPr>
        <w:tc>
          <w:tcPr>
            <w:tcW w:w="568" w:type="dxa"/>
            <w:tcBorders>
              <w:top w:val="nil"/>
              <w:left w:val="single" w:sz="4" w:space="0" w:color="auto"/>
              <w:bottom w:val="nil"/>
              <w:right w:val="single" w:sz="4" w:space="0" w:color="auto"/>
            </w:tcBorders>
            <w:shd w:val="clear" w:color="auto" w:fill="auto"/>
            <w:noWrap/>
            <w:vAlign w:val="bottom"/>
            <w:hideMark/>
          </w:tcPr>
          <w:p w:rsidR="001E39CB" w:rsidRPr="00427157" w:rsidRDefault="001E39CB"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right"/>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augstskolas</w:t>
            </w:r>
          </w:p>
        </w:tc>
        <w:tc>
          <w:tcPr>
            <w:tcW w:w="1476" w:type="dxa"/>
            <w:tcBorders>
              <w:top w:val="nil"/>
              <w:left w:val="nil"/>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30 224 955</w:t>
            </w:r>
          </w:p>
        </w:tc>
        <w:tc>
          <w:tcPr>
            <w:tcW w:w="1378" w:type="dxa"/>
            <w:tcBorders>
              <w:top w:val="nil"/>
              <w:left w:val="single" w:sz="4" w:space="0" w:color="auto"/>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55 425 483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b/>
                <w:bCs/>
              </w:rPr>
            </w:pPr>
            <w:r w:rsidRPr="00D0195F">
              <w:rPr>
                <w:rFonts w:ascii="Times New Roman" w:hAnsi="Times New Roman" w:cs="Times New Roman"/>
                <w:b/>
                <w:bCs/>
              </w:rPr>
              <w:t>35 899 336</w:t>
            </w:r>
          </w:p>
        </w:tc>
        <w:tc>
          <w:tcPr>
            <w:tcW w:w="131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5 674 381</w:t>
            </w:r>
          </w:p>
        </w:tc>
        <w:tc>
          <w:tcPr>
            <w:tcW w:w="137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65%</w:t>
            </w:r>
          </w:p>
        </w:tc>
      </w:tr>
      <w:tr w:rsidR="001E39CB" w:rsidRPr="00427157" w:rsidTr="001E39CB">
        <w:trPr>
          <w:trHeight w:val="7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39CB" w:rsidRPr="00427157" w:rsidRDefault="001E39CB"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right"/>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koledžas</w:t>
            </w:r>
          </w:p>
        </w:tc>
        <w:tc>
          <w:tcPr>
            <w:tcW w:w="1476" w:type="dxa"/>
            <w:tcBorders>
              <w:top w:val="nil"/>
              <w:left w:val="nil"/>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4 357 639</w:t>
            </w:r>
          </w:p>
        </w:tc>
        <w:tc>
          <w:tcPr>
            <w:tcW w:w="1378" w:type="dxa"/>
            <w:tcBorders>
              <w:top w:val="nil"/>
              <w:left w:val="single" w:sz="4" w:space="0" w:color="auto"/>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8 819 372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b/>
                <w:bCs/>
              </w:rPr>
            </w:pPr>
            <w:r w:rsidRPr="00D0195F">
              <w:rPr>
                <w:rFonts w:ascii="Times New Roman" w:hAnsi="Times New Roman" w:cs="Times New Roman"/>
                <w:b/>
                <w:bCs/>
              </w:rPr>
              <w:t>6 561 802</w:t>
            </w:r>
          </w:p>
        </w:tc>
        <w:tc>
          <w:tcPr>
            <w:tcW w:w="131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2 204 163</w:t>
            </w:r>
          </w:p>
        </w:tc>
        <w:tc>
          <w:tcPr>
            <w:tcW w:w="137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74%</w:t>
            </w:r>
          </w:p>
        </w:tc>
      </w:tr>
      <w:tr w:rsidR="001E39CB" w:rsidRPr="00427157" w:rsidTr="001E39CB">
        <w:trPr>
          <w:trHeight w:val="750"/>
        </w:trPr>
        <w:tc>
          <w:tcPr>
            <w:tcW w:w="568" w:type="dxa"/>
            <w:tcBorders>
              <w:top w:val="nil"/>
              <w:left w:val="single" w:sz="4" w:space="0" w:color="auto"/>
              <w:bottom w:val="nil"/>
              <w:right w:val="single" w:sz="4" w:space="0" w:color="auto"/>
            </w:tcBorders>
            <w:shd w:val="clear" w:color="auto" w:fill="auto"/>
            <w:vAlign w:val="center"/>
            <w:hideMark/>
          </w:tcPr>
          <w:p w:rsidR="001E39CB" w:rsidRPr="00427157" w:rsidRDefault="001E39CB"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2.</w:t>
            </w:r>
          </w:p>
        </w:tc>
        <w:tc>
          <w:tcPr>
            <w:tcW w:w="2045" w:type="dxa"/>
            <w:tcBorders>
              <w:top w:val="nil"/>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Kultūras ministrija</w:t>
            </w:r>
          </w:p>
        </w:tc>
        <w:tc>
          <w:tcPr>
            <w:tcW w:w="1476" w:type="dxa"/>
            <w:tcBorders>
              <w:top w:val="nil"/>
              <w:left w:val="nil"/>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4 681 725</w:t>
            </w:r>
          </w:p>
        </w:tc>
        <w:tc>
          <w:tcPr>
            <w:tcW w:w="1378" w:type="dxa"/>
            <w:tcBorders>
              <w:top w:val="nil"/>
              <w:left w:val="single" w:sz="4" w:space="0" w:color="auto"/>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6 753 138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b/>
                <w:bCs/>
              </w:rPr>
            </w:pPr>
            <w:r w:rsidRPr="00D0195F">
              <w:rPr>
                <w:rFonts w:ascii="Times New Roman" w:hAnsi="Times New Roman" w:cs="Times New Roman"/>
                <w:b/>
                <w:bCs/>
              </w:rPr>
              <w:t>5 448 164</w:t>
            </w:r>
          </w:p>
        </w:tc>
        <w:tc>
          <w:tcPr>
            <w:tcW w:w="131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766 439</w:t>
            </w:r>
          </w:p>
        </w:tc>
        <w:tc>
          <w:tcPr>
            <w:tcW w:w="137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81%</w:t>
            </w:r>
          </w:p>
        </w:tc>
      </w:tr>
      <w:tr w:rsidR="001E39CB" w:rsidRPr="00427157" w:rsidTr="001E39CB">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3.</w:t>
            </w:r>
          </w:p>
        </w:tc>
        <w:tc>
          <w:tcPr>
            <w:tcW w:w="2045" w:type="dxa"/>
            <w:tcBorders>
              <w:top w:val="nil"/>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Veselības ministrija</w:t>
            </w:r>
          </w:p>
        </w:tc>
        <w:tc>
          <w:tcPr>
            <w:tcW w:w="1476" w:type="dxa"/>
            <w:tcBorders>
              <w:top w:val="nil"/>
              <w:left w:val="nil"/>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10 850 827</w:t>
            </w:r>
          </w:p>
        </w:tc>
        <w:tc>
          <w:tcPr>
            <w:tcW w:w="1378" w:type="dxa"/>
            <w:tcBorders>
              <w:top w:val="nil"/>
              <w:left w:val="single" w:sz="4" w:space="0" w:color="auto"/>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13 582 625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b/>
                <w:bCs/>
              </w:rPr>
            </w:pPr>
            <w:r w:rsidRPr="00D0195F">
              <w:rPr>
                <w:rFonts w:ascii="Times New Roman" w:hAnsi="Times New Roman" w:cs="Times New Roman"/>
                <w:b/>
                <w:bCs/>
              </w:rPr>
              <w:t>10 872 889</w:t>
            </w:r>
          </w:p>
        </w:tc>
        <w:tc>
          <w:tcPr>
            <w:tcW w:w="131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22 062</w:t>
            </w:r>
          </w:p>
        </w:tc>
        <w:tc>
          <w:tcPr>
            <w:tcW w:w="137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80%</w:t>
            </w:r>
          </w:p>
        </w:tc>
      </w:tr>
      <w:tr w:rsidR="001E39CB" w:rsidRPr="00427157" w:rsidTr="001E39CB">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4.</w:t>
            </w:r>
          </w:p>
        </w:tc>
        <w:tc>
          <w:tcPr>
            <w:tcW w:w="2045" w:type="dxa"/>
            <w:tcBorders>
              <w:top w:val="nil"/>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Zemkopības ministrija</w:t>
            </w:r>
          </w:p>
        </w:tc>
        <w:tc>
          <w:tcPr>
            <w:tcW w:w="1476" w:type="dxa"/>
            <w:tcBorders>
              <w:top w:val="nil"/>
              <w:left w:val="nil"/>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5 282 039</w:t>
            </w:r>
          </w:p>
        </w:tc>
        <w:tc>
          <w:tcPr>
            <w:tcW w:w="1378" w:type="dxa"/>
            <w:tcBorders>
              <w:top w:val="nil"/>
              <w:left w:val="single" w:sz="4" w:space="0" w:color="auto"/>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8 901 373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b/>
                <w:bCs/>
              </w:rPr>
            </w:pPr>
            <w:r w:rsidRPr="00D0195F">
              <w:rPr>
                <w:rFonts w:ascii="Times New Roman" w:hAnsi="Times New Roman" w:cs="Times New Roman"/>
                <w:b/>
                <w:bCs/>
              </w:rPr>
              <w:t>5 990 618</w:t>
            </w:r>
          </w:p>
        </w:tc>
        <w:tc>
          <w:tcPr>
            <w:tcW w:w="131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708 579</w:t>
            </w:r>
          </w:p>
        </w:tc>
        <w:tc>
          <w:tcPr>
            <w:tcW w:w="137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67%</w:t>
            </w:r>
          </w:p>
        </w:tc>
      </w:tr>
      <w:tr w:rsidR="001E39CB" w:rsidRPr="00427157" w:rsidTr="001E39CB">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1E39CB" w:rsidRPr="00427157" w:rsidRDefault="001E39CB" w:rsidP="00262882">
            <w:pPr>
              <w:spacing w:after="0" w:line="240" w:lineRule="auto"/>
              <w:jc w:val="right"/>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KOPĀ</w:t>
            </w:r>
          </w:p>
        </w:tc>
        <w:tc>
          <w:tcPr>
            <w:tcW w:w="1476" w:type="dxa"/>
            <w:tcBorders>
              <w:top w:val="nil"/>
              <w:left w:val="nil"/>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55 397 185</w:t>
            </w:r>
          </w:p>
        </w:tc>
        <w:tc>
          <w:tcPr>
            <w:tcW w:w="1378" w:type="dxa"/>
            <w:tcBorders>
              <w:top w:val="nil"/>
              <w:left w:val="single" w:sz="4" w:space="0" w:color="auto"/>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93 481 991</w:t>
            </w:r>
          </w:p>
        </w:tc>
        <w:tc>
          <w:tcPr>
            <w:tcW w:w="1384" w:type="dxa"/>
            <w:tcBorders>
              <w:top w:val="nil"/>
              <w:left w:val="single" w:sz="4" w:space="0" w:color="auto"/>
              <w:bottom w:val="single" w:sz="4" w:space="0" w:color="auto"/>
              <w:right w:val="nil"/>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64 772 809</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r w:rsidRPr="00D0195F">
              <w:rPr>
                <w:rFonts w:ascii="Times New Roman" w:hAnsi="Times New Roman" w:cs="Times New Roman"/>
              </w:rPr>
              <w:t>9 375 624</w:t>
            </w:r>
          </w:p>
        </w:tc>
        <w:tc>
          <w:tcPr>
            <w:tcW w:w="1377" w:type="dxa"/>
            <w:tcBorders>
              <w:top w:val="nil"/>
              <w:left w:val="nil"/>
              <w:bottom w:val="single" w:sz="4" w:space="0" w:color="auto"/>
              <w:right w:val="single" w:sz="4" w:space="0" w:color="auto"/>
            </w:tcBorders>
            <w:shd w:val="clear" w:color="auto" w:fill="auto"/>
            <w:noWrap/>
            <w:vAlign w:val="bottom"/>
            <w:hideMark/>
          </w:tcPr>
          <w:p w:rsidR="001E39CB" w:rsidRPr="00D0195F" w:rsidRDefault="001E39CB" w:rsidP="00262882">
            <w:pPr>
              <w:jc w:val="center"/>
              <w:rPr>
                <w:rFonts w:ascii="Times New Roman" w:hAnsi="Times New Roman" w:cs="Times New Roman"/>
              </w:rPr>
            </w:pPr>
          </w:p>
        </w:tc>
      </w:tr>
    </w:tbl>
    <w:p w:rsidR="00437032" w:rsidRDefault="00437032" w:rsidP="00437032">
      <w:pPr>
        <w:pStyle w:val="ListParagraph"/>
        <w:spacing w:after="0" w:line="240" w:lineRule="auto"/>
        <w:ind w:left="1224"/>
        <w:jc w:val="right"/>
        <w:rPr>
          <w:rFonts w:ascii="Times New Roman" w:hAnsi="Times New Roman" w:cs="Times New Roman"/>
          <w:i/>
          <w:iCs/>
          <w:sz w:val="26"/>
          <w:szCs w:val="26"/>
        </w:rPr>
      </w:pPr>
    </w:p>
    <w:p w:rsidR="00437032" w:rsidRDefault="00437032" w:rsidP="00437032">
      <w:pPr>
        <w:pStyle w:val="ListParagraph"/>
        <w:spacing w:after="0" w:line="240" w:lineRule="auto"/>
        <w:ind w:left="1224"/>
        <w:jc w:val="right"/>
        <w:rPr>
          <w:rFonts w:ascii="Times New Roman" w:hAnsi="Times New Roman" w:cs="Times New Roman"/>
          <w:i/>
          <w:iCs/>
          <w:sz w:val="26"/>
          <w:szCs w:val="26"/>
        </w:rPr>
      </w:pPr>
    </w:p>
    <w:p w:rsidR="00437032" w:rsidRDefault="00437032" w:rsidP="00437032">
      <w:pPr>
        <w:pStyle w:val="ListParagraph"/>
        <w:spacing w:after="0" w:line="240" w:lineRule="auto"/>
        <w:ind w:left="1224"/>
        <w:jc w:val="right"/>
        <w:rPr>
          <w:rFonts w:ascii="Times New Roman" w:hAnsi="Times New Roman" w:cs="Times New Roman"/>
          <w:i/>
          <w:iCs/>
          <w:sz w:val="26"/>
          <w:szCs w:val="26"/>
        </w:rPr>
      </w:pPr>
    </w:p>
    <w:p w:rsidR="00437032" w:rsidRDefault="00437032" w:rsidP="00437032">
      <w:pPr>
        <w:pStyle w:val="ListParagraph"/>
        <w:spacing w:after="0" w:line="240" w:lineRule="auto"/>
        <w:ind w:left="1224"/>
        <w:jc w:val="right"/>
        <w:rPr>
          <w:rFonts w:ascii="Times New Roman" w:hAnsi="Times New Roman" w:cs="Times New Roman"/>
          <w:i/>
          <w:iCs/>
          <w:sz w:val="26"/>
          <w:szCs w:val="26"/>
        </w:rPr>
      </w:pPr>
    </w:p>
    <w:p w:rsidR="00437032" w:rsidRDefault="00437032" w:rsidP="00437032">
      <w:pPr>
        <w:pStyle w:val="ListParagraph"/>
        <w:spacing w:after="0" w:line="240" w:lineRule="auto"/>
        <w:ind w:left="1224"/>
        <w:jc w:val="right"/>
        <w:rPr>
          <w:rFonts w:ascii="Times New Roman" w:hAnsi="Times New Roman" w:cs="Times New Roman"/>
          <w:i/>
          <w:iCs/>
          <w:sz w:val="26"/>
          <w:szCs w:val="26"/>
        </w:rPr>
      </w:pPr>
    </w:p>
    <w:p w:rsidR="00437032" w:rsidRDefault="00437032" w:rsidP="00437032">
      <w:pPr>
        <w:pStyle w:val="ListParagraph"/>
        <w:spacing w:after="0" w:line="240" w:lineRule="auto"/>
        <w:ind w:left="1224"/>
        <w:jc w:val="right"/>
        <w:rPr>
          <w:rFonts w:ascii="Times New Roman" w:hAnsi="Times New Roman" w:cs="Times New Roman"/>
          <w:i/>
          <w:iCs/>
          <w:sz w:val="26"/>
          <w:szCs w:val="26"/>
        </w:rPr>
      </w:pPr>
    </w:p>
    <w:p w:rsidR="00DB4205" w:rsidRPr="00437032" w:rsidRDefault="00DB4205" w:rsidP="00437032">
      <w:pPr>
        <w:spacing w:after="0" w:line="240" w:lineRule="auto"/>
        <w:rPr>
          <w:rFonts w:ascii="Times New Roman" w:hAnsi="Times New Roman" w:cs="Times New Roman"/>
          <w:i/>
          <w:iCs/>
          <w:sz w:val="26"/>
          <w:szCs w:val="26"/>
        </w:rPr>
      </w:pPr>
    </w:p>
    <w:tbl>
      <w:tblPr>
        <w:tblStyle w:val="TableGrid"/>
        <w:tblW w:w="987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92"/>
        <w:gridCol w:w="5579"/>
      </w:tblGrid>
      <w:tr w:rsidR="00DB4205" w:rsidTr="00CD229E">
        <w:trPr>
          <w:trHeight w:val="5415"/>
        </w:trPr>
        <w:tc>
          <w:tcPr>
            <w:tcW w:w="4292" w:type="dxa"/>
          </w:tcPr>
          <w:p w:rsidR="00DB4205" w:rsidRDefault="00DB4205" w:rsidP="00DB4205">
            <w:pPr>
              <w:pStyle w:val="ListParagraph"/>
              <w:ind w:left="2664" w:firstLine="216"/>
              <w:jc w:val="both"/>
              <w:rPr>
                <w:rFonts w:ascii="Times New Roman" w:hAnsi="Times New Roman" w:cs="Times New Roman"/>
                <w:i/>
                <w:iCs/>
                <w:sz w:val="26"/>
                <w:szCs w:val="26"/>
              </w:rPr>
            </w:pPr>
          </w:p>
          <w:p w:rsidR="00DB4205" w:rsidRDefault="00DB4205" w:rsidP="00DB4205">
            <w:pPr>
              <w:pStyle w:val="ListParagraph"/>
              <w:ind w:left="2664" w:firstLine="216"/>
              <w:jc w:val="both"/>
              <w:rPr>
                <w:rFonts w:ascii="Times New Roman" w:hAnsi="Times New Roman" w:cs="Times New Roman"/>
                <w:i/>
                <w:iCs/>
                <w:sz w:val="26"/>
                <w:szCs w:val="26"/>
              </w:rPr>
            </w:pPr>
          </w:p>
          <w:p w:rsidR="00DB4205" w:rsidRDefault="00DB4205" w:rsidP="00437032">
            <w:pPr>
              <w:rPr>
                <w:rFonts w:ascii="Times New Roman" w:hAnsi="Times New Roman" w:cs="Times New Roman"/>
                <w:i/>
                <w:iCs/>
                <w:sz w:val="26"/>
                <w:szCs w:val="26"/>
              </w:rPr>
            </w:pPr>
            <w:r w:rsidRPr="00DB4205">
              <w:rPr>
                <w:rFonts w:ascii="Times New Roman" w:hAnsi="Times New Roman" w:cs="Times New Roman"/>
                <w:i/>
                <w:iCs/>
                <w:noProof/>
                <w:sz w:val="26"/>
                <w:szCs w:val="26"/>
                <w:lang w:eastAsia="lv-LV"/>
              </w:rPr>
              <w:drawing>
                <wp:inline distT="0" distB="0" distL="0" distR="0">
                  <wp:extent cx="2819400" cy="31718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579" w:type="dxa"/>
          </w:tcPr>
          <w:p w:rsidR="00DB4205" w:rsidRDefault="00DB4205" w:rsidP="00DB4205">
            <w:pPr>
              <w:jc w:val="right"/>
              <w:rPr>
                <w:rFonts w:ascii="Times New Roman" w:hAnsi="Times New Roman" w:cs="Times New Roman"/>
                <w:i/>
                <w:iCs/>
                <w:sz w:val="26"/>
                <w:szCs w:val="26"/>
              </w:rPr>
            </w:pPr>
            <w:r w:rsidRPr="00437032">
              <w:rPr>
                <w:rFonts w:ascii="Times New Roman" w:hAnsi="Times New Roman" w:cs="Times New Roman"/>
                <w:i/>
                <w:iCs/>
                <w:sz w:val="26"/>
                <w:szCs w:val="26"/>
              </w:rPr>
              <w:t>2.attēls</w:t>
            </w:r>
          </w:p>
          <w:p w:rsidR="005645FA" w:rsidRDefault="005645FA" w:rsidP="00DB4205">
            <w:pPr>
              <w:jc w:val="right"/>
              <w:rPr>
                <w:rFonts w:ascii="Times New Roman" w:hAnsi="Times New Roman" w:cs="Times New Roman"/>
                <w:i/>
                <w:iCs/>
                <w:sz w:val="26"/>
                <w:szCs w:val="26"/>
              </w:rPr>
            </w:pPr>
          </w:p>
          <w:p w:rsidR="00D62611" w:rsidRDefault="005645FA" w:rsidP="00DB4205">
            <w:pPr>
              <w:jc w:val="right"/>
              <w:rPr>
                <w:rFonts w:ascii="Times New Roman" w:hAnsi="Times New Roman" w:cs="Times New Roman"/>
                <w:i/>
                <w:iCs/>
                <w:sz w:val="26"/>
                <w:szCs w:val="26"/>
              </w:rPr>
            </w:pPr>
            <w:r w:rsidRPr="005645FA">
              <w:rPr>
                <w:rFonts w:ascii="Times New Roman" w:hAnsi="Times New Roman" w:cs="Times New Roman"/>
                <w:i/>
                <w:iCs/>
                <w:noProof/>
                <w:sz w:val="26"/>
                <w:szCs w:val="26"/>
                <w:lang w:eastAsia="lv-LV"/>
              </w:rPr>
              <w:drawing>
                <wp:inline distT="0" distB="0" distL="0" distR="0">
                  <wp:extent cx="3505200" cy="3419475"/>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4205" w:rsidRDefault="00DB4205" w:rsidP="00DB4205">
            <w:pPr>
              <w:jc w:val="right"/>
              <w:rPr>
                <w:rFonts w:ascii="Times New Roman" w:hAnsi="Times New Roman" w:cs="Times New Roman"/>
                <w:i/>
                <w:iCs/>
                <w:sz w:val="26"/>
                <w:szCs w:val="26"/>
              </w:rPr>
            </w:pPr>
          </w:p>
        </w:tc>
      </w:tr>
    </w:tbl>
    <w:p w:rsidR="00437032" w:rsidRPr="003C4D1D" w:rsidRDefault="00437032" w:rsidP="003C4D1D">
      <w:pPr>
        <w:spacing w:after="0" w:line="240" w:lineRule="auto"/>
        <w:jc w:val="both"/>
        <w:rPr>
          <w:rFonts w:ascii="Times New Roman" w:hAnsi="Times New Roman" w:cs="Times New Roman"/>
          <w:iCs/>
          <w:sz w:val="26"/>
          <w:szCs w:val="26"/>
        </w:rPr>
      </w:pPr>
    </w:p>
    <w:p w:rsidR="006036F5" w:rsidRDefault="006036F5" w:rsidP="001E12CA">
      <w:pPr>
        <w:pStyle w:val="ListParagraph"/>
        <w:spacing w:after="0" w:line="240" w:lineRule="auto"/>
        <w:ind w:left="1224"/>
        <w:jc w:val="both"/>
        <w:rPr>
          <w:rFonts w:ascii="Times New Roman" w:hAnsi="Times New Roman" w:cs="Times New Roman"/>
          <w:iCs/>
          <w:sz w:val="26"/>
          <w:szCs w:val="26"/>
        </w:rPr>
      </w:pPr>
    </w:p>
    <w:p w:rsidR="00417260" w:rsidRPr="00B06121" w:rsidRDefault="001E12CA" w:rsidP="00F95DC7">
      <w:pPr>
        <w:pStyle w:val="ListParagraph"/>
        <w:numPr>
          <w:ilvl w:val="0"/>
          <w:numId w:val="6"/>
        </w:numPr>
        <w:spacing w:after="0" w:line="240" w:lineRule="auto"/>
        <w:ind w:left="0" w:firstLine="709"/>
        <w:jc w:val="both"/>
        <w:rPr>
          <w:rFonts w:ascii="Times New Roman" w:hAnsi="Times New Roman" w:cs="Times New Roman"/>
          <w:sz w:val="26"/>
          <w:szCs w:val="26"/>
        </w:rPr>
      </w:pPr>
      <w:r w:rsidRPr="001E12CA">
        <w:rPr>
          <w:rFonts w:ascii="Times New Roman" w:hAnsi="Times New Roman" w:cs="Times New Roman"/>
          <w:b/>
          <w:iCs/>
          <w:sz w:val="26"/>
          <w:szCs w:val="26"/>
        </w:rPr>
        <w:t>2015.gadā</w:t>
      </w:r>
      <w:r>
        <w:rPr>
          <w:rFonts w:ascii="Times New Roman" w:hAnsi="Times New Roman" w:cs="Times New Roman"/>
          <w:sz w:val="26"/>
          <w:szCs w:val="26"/>
        </w:rPr>
        <w:t xml:space="preserve"> </w:t>
      </w:r>
      <w:r w:rsidR="00417260" w:rsidRPr="00417260">
        <w:rPr>
          <w:rFonts w:ascii="Times New Roman" w:hAnsi="Times New Roman" w:cs="Times New Roman"/>
          <w:iCs/>
          <w:sz w:val="26"/>
          <w:szCs w:val="26"/>
        </w:rPr>
        <w:t>vis</w:t>
      </w:r>
      <w:r w:rsidR="00F06C5F">
        <w:rPr>
          <w:rFonts w:ascii="Times New Roman" w:hAnsi="Times New Roman" w:cs="Times New Roman"/>
          <w:iCs/>
          <w:sz w:val="26"/>
          <w:szCs w:val="26"/>
        </w:rPr>
        <w:t>ām</w:t>
      </w:r>
      <w:r w:rsidR="00417260" w:rsidRPr="00417260">
        <w:rPr>
          <w:rFonts w:ascii="Times New Roman" w:hAnsi="Times New Roman" w:cs="Times New Roman"/>
          <w:iCs/>
          <w:sz w:val="26"/>
          <w:szCs w:val="26"/>
        </w:rPr>
        <w:t xml:space="preserve"> jom</w:t>
      </w:r>
      <w:r w:rsidR="00F06C5F">
        <w:rPr>
          <w:rFonts w:ascii="Times New Roman" w:hAnsi="Times New Roman" w:cs="Times New Roman"/>
          <w:iCs/>
          <w:sz w:val="26"/>
          <w:szCs w:val="26"/>
        </w:rPr>
        <w:t>ām</w:t>
      </w:r>
      <w:r w:rsidR="00417260" w:rsidRPr="00417260">
        <w:rPr>
          <w:rFonts w:ascii="Times New Roman" w:hAnsi="Times New Roman" w:cs="Times New Roman"/>
          <w:iCs/>
          <w:sz w:val="26"/>
          <w:szCs w:val="26"/>
        </w:rPr>
        <w:t xml:space="preserve"> </w:t>
      </w:r>
      <w:r w:rsidR="00152B62" w:rsidRPr="00417260">
        <w:rPr>
          <w:rFonts w:ascii="Times New Roman" w:hAnsi="Times New Roman" w:cs="Times New Roman"/>
          <w:iCs/>
          <w:sz w:val="26"/>
          <w:szCs w:val="26"/>
        </w:rPr>
        <w:t>piemēro</w:t>
      </w:r>
      <w:r w:rsidR="00152B62">
        <w:rPr>
          <w:rFonts w:ascii="Times New Roman" w:hAnsi="Times New Roman" w:cs="Times New Roman"/>
          <w:iCs/>
          <w:sz w:val="26"/>
          <w:szCs w:val="26"/>
        </w:rPr>
        <w:t xml:space="preserve"> </w:t>
      </w:r>
      <w:r w:rsidR="00152B62" w:rsidRPr="00417260">
        <w:rPr>
          <w:rFonts w:ascii="Times New Roman" w:hAnsi="Times New Roman" w:cs="Times New Roman"/>
          <w:b/>
          <w:bCs/>
          <w:iCs/>
          <w:sz w:val="26"/>
          <w:szCs w:val="26"/>
        </w:rPr>
        <w:t>minimāl</w:t>
      </w:r>
      <w:r w:rsidR="00152B62">
        <w:rPr>
          <w:rFonts w:ascii="Times New Roman" w:hAnsi="Times New Roman" w:cs="Times New Roman"/>
          <w:b/>
          <w:bCs/>
          <w:iCs/>
          <w:sz w:val="26"/>
          <w:szCs w:val="26"/>
        </w:rPr>
        <w:t>os</w:t>
      </w:r>
      <w:r w:rsidR="00152B62" w:rsidRPr="00417260">
        <w:rPr>
          <w:rFonts w:ascii="Times New Roman" w:hAnsi="Times New Roman" w:cs="Times New Roman"/>
          <w:iCs/>
          <w:sz w:val="26"/>
          <w:szCs w:val="26"/>
        </w:rPr>
        <w:t xml:space="preserve"> </w:t>
      </w:r>
      <w:r w:rsidR="00417260" w:rsidRPr="00417260">
        <w:rPr>
          <w:rFonts w:ascii="Times New Roman" w:hAnsi="Times New Roman" w:cs="Times New Roman"/>
          <w:iCs/>
          <w:sz w:val="26"/>
          <w:szCs w:val="26"/>
        </w:rPr>
        <w:t>studiju izmaksu koeficient</w:t>
      </w:r>
      <w:r w:rsidR="00152B62">
        <w:rPr>
          <w:rFonts w:ascii="Times New Roman" w:hAnsi="Times New Roman" w:cs="Times New Roman"/>
          <w:iCs/>
          <w:sz w:val="26"/>
          <w:szCs w:val="26"/>
        </w:rPr>
        <w:t>us</w:t>
      </w:r>
      <w:r w:rsidR="00417260" w:rsidRPr="00417260">
        <w:rPr>
          <w:rFonts w:ascii="Times New Roman" w:hAnsi="Times New Roman" w:cs="Times New Roman"/>
          <w:iCs/>
          <w:sz w:val="26"/>
          <w:szCs w:val="26"/>
        </w:rPr>
        <w:t xml:space="preserve">, vienlaikus </w:t>
      </w:r>
      <w:r w:rsidR="00DB16DF">
        <w:rPr>
          <w:rFonts w:ascii="Times New Roman" w:hAnsi="Times New Roman" w:cs="Times New Roman"/>
          <w:bCs/>
          <w:iCs/>
          <w:sz w:val="26"/>
          <w:szCs w:val="26"/>
        </w:rPr>
        <w:t>D</w:t>
      </w:r>
      <w:r w:rsidR="00417260" w:rsidRPr="001E12CA">
        <w:rPr>
          <w:rFonts w:ascii="Times New Roman" w:hAnsi="Times New Roman" w:cs="Times New Roman"/>
          <w:bCs/>
          <w:iCs/>
          <w:sz w:val="26"/>
          <w:szCs w:val="26"/>
        </w:rPr>
        <w:t xml:space="preserve">abaszinātņu, matemātikas un informācijas tehnoloģiju un </w:t>
      </w:r>
      <w:r w:rsidR="00DB16DF">
        <w:rPr>
          <w:rFonts w:ascii="Times New Roman" w:hAnsi="Times New Roman" w:cs="Times New Roman"/>
          <w:bCs/>
          <w:iCs/>
          <w:sz w:val="26"/>
          <w:szCs w:val="26"/>
        </w:rPr>
        <w:t>I</w:t>
      </w:r>
      <w:r w:rsidR="00417260" w:rsidRPr="001E12CA">
        <w:rPr>
          <w:rFonts w:ascii="Times New Roman" w:hAnsi="Times New Roman" w:cs="Times New Roman"/>
          <w:bCs/>
          <w:iCs/>
          <w:sz w:val="26"/>
          <w:szCs w:val="26"/>
        </w:rPr>
        <w:t>nženierzinātņu, ražošanas un būvniecības</w:t>
      </w:r>
      <w:r w:rsidR="00417260" w:rsidRPr="00417260">
        <w:rPr>
          <w:rFonts w:ascii="Times New Roman" w:hAnsi="Times New Roman" w:cs="Times New Roman"/>
          <w:iCs/>
          <w:sz w:val="26"/>
          <w:szCs w:val="26"/>
        </w:rPr>
        <w:t xml:space="preserve"> jom</w:t>
      </w:r>
      <w:r w:rsidR="005A10CF">
        <w:rPr>
          <w:rFonts w:ascii="Times New Roman" w:hAnsi="Times New Roman" w:cs="Times New Roman"/>
          <w:iCs/>
          <w:sz w:val="26"/>
          <w:szCs w:val="26"/>
        </w:rPr>
        <w:t>u</w:t>
      </w:r>
      <w:r w:rsidR="004609E1">
        <w:rPr>
          <w:rFonts w:ascii="Times New Roman" w:hAnsi="Times New Roman" w:cs="Times New Roman"/>
          <w:iCs/>
          <w:sz w:val="26"/>
          <w:szCs w:val="26"/>
        </w:rPr>
        <w:t xml:space="preserve"> </w:t>
      </w:r>
      <w:r w:rsidR="0016689D" w:rsidRPr="00D33F4D">
        <w:rPr>
          <w:rFonts w:ascii="Times New Roman" w:hAnsi="Times New Roman" w:cs="Times New Roman"/>
          <w:iCs/>
          <w:sz w:val="26"/>
          <w:szCs w:val="26"/>
        </w:rPr>
        <w:t>koeficient</w:t>
      </w:r>
      <w:r w:rsidR="005A10CF">
        <w:rPr>
          <w:rFonts w:ascii="Times New Roman" w:hAnsi="Times New Roman" w:cs="Times New Roman"/>
          <w:iCs/>
          <w:sz w:val="26"/>
          <w:szCs w:val="26"/>
        </w:rPr>
        <w:t>iem piemēro pieauguma soli</w:t>
      </w:r>
      <w:r w:rsidR="0016689D">
        <w:rPr>
          <w:rFonts w:ascii="Times New Roman" w:hAnsi="Times New Roman" w:cs="Times New Roman"/>
          <w:iCs/>
          <w:sz w:val="26"/>
          <w:szCs w:val="26"/>
        </w:rPr>
        <w:t xml:space="preserve"> </w:t>
      </w:r>
      <w:r w:rsidR="004609E1">
        <w:rPr>
          <w:rFonts w:ascii="Times New Roman" w:hAnsi="Times New Roman" w:cs="Times New Roman"/>
          <w:iCs/>
          <w:sz w:val="26"/>
          <w:szCs w:val="26"/>
        </w:rPr>
        <w:t xml:space="preserve">virs minimālajiem koeficientiem </w:t>
      </w:r>
      <w:r w:rsidR="005A10CF" w:rsidRPr="005A10CF">
        <w:rPr>
          <w:rFonts w:ascii="Times New Roman" w:hAnsi="Times New Roman" w:cs="Times New Roman"/>
          <w:b/>
          <w:iCs/>
          <w:sz w:val="26"/>
          <w:szCs w:val="26"/>
        </w:rPr>
        <w:t>10%</w:t>
      </w:r>
      <w:r w:rsidR="005A10CF">
        <w:rPr>
          <w:rFonts w:ascii="Times New Roman" w:hAnsi="Times New Roman" w:cs="Times New Roman"/>
          <w:iCs/>
          <w:sz w:val="26"/>
          <w:szCs w:val="26"/>
        </w:rPr>
        <w:t xml:space="preserve"> apmērā</w:t>
      </w:r>
      <w:r w:rsidR="00152B62" w:rsidRPr="00417260">
        <w:rPr>
          <w:rFonts w:ascii="Times New Roman" w:hAnsi="Times New Roman" w:cs="Times New Roman"/>
          <w:b/>
          <w:bCs/>
          <w:iCs/>
          <w:sz w:val="26"/>
          <w:szCs w:val="26"/>
        </w:rPr>
        <w:t xml:space="preserve"> </w:t>
      </w:r>
      <w:r w:rsidR="0016689D" w:rsidRPr="0016689D">
        <w:rPr>
          <w:rFonts w:ascii="Times New Roman" w:hAnsi="Times New Roman" w:cs="Times New Roman"/>
          <w:bCs/>
          <w:iCs/>
          <w:sz w:val="26"/>
          <w:szCs w:val="26"/>
        </w:rPr>
        <w:t>no starpības starp optimālajiem un minimālajiem koeficientiem</w:t>
      </w:r>
      <w:r w:rsidR="00724432">
        <w:rPr>
          <w:rFonts w:ascii="Times New Roman" w:hAnsi="Times New Roman" w:cs="Times New Roman"/>
          <w:bCs/>
          <w:iCs/>
          <w:sz w:val="26"/>
          <w:szCs w:val="26"/>
        </w:rPr>
        <w:t xml:space="preserve">. 2015.gadam piemērotās vērtības - </w:t>
      </w:r>
      <w:r w:rsidR="000C2C34">
        <w:rPr>
          <w:rFonts w:ascii="Times New Roman" w:hAnsi="Times New Roman" w:cs="Times New Roman"/>
          <w:sz w:val="26"/>
          <w:szCs w:val="26"/>
        </w:rPr>
        <w:t xml:space="preserve">informatīvā ziņojuma </w:t>
      </w:r>
      <w:r w:rsidR="000C2C34" w:rsidRPr="00DE0CFF">
        <w:rPr>
          <w:rFonts w:ascii="Times New Roman" w:hAnsi="Times New Roman" w:cs="Times New Roman"/>
          <w:iCs/>
          <w:sz w:val="26"/>
          <w:szCs w:val="26"/>
        </w:rPr>
        <w:t>1.pielikum</w:t>
      </w:r>
      <w:r w:rsidR="00724432">
        <w:rPr>
          <w:rFonts w:ascii="Times New Roman" w:hAnsi="Times New Roman" w:cs="Times New Roman"/>
          <w:iCs/>
          <w:sz w:val="26"/>
          <w:szCs w:val="26"/>
        </w:rPr>
        <w:t>a 7.ailē</w:t>
      </w:r>
      <w:r w:rsidR="00417260" w:rsidRPr="00B06121">
        <w:rPr>
          <w:rFonts w:ascii="Times New Roman" w:hAnsi="Times New Roman" w:cs="Times New Roman"/>
          <w:bCs/>
          <w:iCs/>
          <w:sz w:val="26"/>
          <w:szCs w:val="26"/>
        </w:rPr>
        <w:t>.</w:t>
      </w:r>
    </w:p>
    <w:p w:rsidR="00417260" w:rsidRPr="00D91BF6" w:rsidRDefault="00417260" w:rsidP="00417260">
      <w:pPr>
        <w:pStyle w:val="ListParagraph"/>
        <w:spacing w:after="0" w:line="240" w:lineRule="auto"/>
        <w:ind w:left="0" w:firstLine="720"/>
        <w:jc w:val="both"/>
        <w:rPr>
          <w:rFonts w:ascii="Times New Roman" w:hAnsi="Times New Roman" w:cs="Times New Roman"/>
          <w:sz w:val="26"/>
          <w:szCs w:val="26"/>
        </w:rPr>
      </w:pPr>
      <w:r w:rsidRPr="00D91BF6">
        <w:rPr>
          <w:rFonts w:ascii="Times New Roman" w:hAnsi="Times New Roman" w:cs="Times New Roman"/>
          <w:iCs/>
          <w:sz w:val="26"/>
          <w:szCs w:val="26"/>
        </w:rPr>
        <w:t xml:space="preserve">Valsts budžeta bāzes izdevumi augstākajā izglītībā </w:t>
      </w:r>
      <w:r w:rsidR="00E921A6">
        <w:rPr>
          <w:rFonts w:ascii="Times New Roman" w:hAnsi="Times New Roman" w:cs="Times New Roman"/>
          <w:iCs/>
          <w:sz w:val="26"/>
          <w:szCs w:val="26"/>
        </w:rPr>
        <w:t xml:space="preserve">2015.gadā </w:t>
      </w:r>
      <w:r w:rsidRPr="00D91BF6">
        <w:rPr>
          <w:rFonts w:ascii="Times New Roman" w:hAnsi="Times New Roman" w:cs="Times New Roman"/>
          <w:iCs/>
          <w:sz w:val="26"/>
          <w:szCs w:val="26"/>
        </w:rPr>
        <w:t>ir šādi</w:t>
      </w:r>
      <w:r>
        <w:rPr>
          <w:rFonts w:ascii="Times New Roman" w:hAnsi="Times New Roman" w:cs="Times New Roman"/>
          <w:iCs/>
          <w:sz w:val="26"/>
          <w:szCs w:val="26"/>
        </w:rPr>
        <w:t>:</w:t>
      </w:r>
    </w:p>
    <w:p w:rsidR="00417260" w:rsidRDefault="00417260" w:rsidP="00417260">
      <w:pPr>
        <w:pStyle w:val="ListParagraph"/>
        <w:numPr>
          <w:ilvl w:val="1"/>
          <w:numId w:val="6"/>
        </w:numPr>
        <w:spacing w:after="0" w:line="240" w:lineRule="auto"/>
        <w:ind w:hanging="83"/>
        <w:jc w:val="both"/>
        <w:rPr>
          <w:rFonts w:ascii="Times New Roman" w:hAnsi="Times New Roman" w:cs="Times New Roman"/>
          <w:iCs/>
          <w:sz w:val="26"/>
          <w:szCs w:val="26"/>
        </w:rPr>
      </w:pPr>
      <w:r w:rsidRPr="00D91BF6">
        <w:rPr>
          <w:rFonts w:ascii="Times New Roman" w:hAnsi="Times New Roman" w:cs="Times New Roman"/>
          <w:iCs/>
          <w:sz w:val="26"/>
          <w:szCs w:val="26"/>
        </w:rPr>
        <w:t xml:space="preserve">IZM augstskolām </w:t>
      </w:r>
      <w:r>
        <w:rPr>
          <w:rFonts w:ascii="Times New Roman" w:hAnsi="Times New Roman" w:cs="Times New Roman"/>
          <w:b/>
          <w:iCs/>
          <w:sz w:val="26"/>
          <w:szCs w:val="26"/>
        </w:rPr>
        <w:t>3</w:t>
      </w:r>
      <w:r w:rsidR="00B634CD">
        <w:rPr>
          <w:rFonts w:ascii="Times New Roman" w:hAnsi="Times New Roman" w:cs="Times New Roman"/>
          <w:b/>
          <w:iCs/>
          <w:sz w:val="26"/>
          <w:szCs w:val="26"/>
        </w:rPr>
        <w:t>8</w:t>
      </w:r>
      <w:r>
        <w:rPr>
          <w:rFonts w:ascii="Times New Roman" w:hAnsi="Times New Roman" w:cs="Times New Roman"/>
          <w:b/>
          <w:iCs/>
          <w:sz w:val="26"/>
          <w:szCs w:val="26"/>
        </w:rPr>
        <w:t> </w:t>
      </w:r>
      <w:r w:rsidR="00B634CD">
        <w:rPr>
          <w:rFonts w:ascii="Times New Roman" w:hAnsi="Times New Roman" w:cs="Times New Roman"/>
          <w:b/>
          <w:iCs/>
          <w:sz w:val="26"/>
          <w:szCs w:val="26"/>
        </w:rPr>
        <w:t>310</w:t>
      </w:r>
      <w:r>
        <w:rPr>
          <w:rFonts w:ascii="Times New Roman" w:hAnsi="Times New Roman" w:cs="Times New Roman"/>
          <w:b/>
          <w:iCs/>
          <w:sz w:val="26"/>
          <w:szCs w:val="26"/>
        </w:rPr>
        <w:t xml:space="preserve"> </w:t>
      </w:r>
      <w:r w:rsidR="00B634CD">
        <w:rPr>
          <w:rFonts w:ascii="Times New Roman" w:hAnsi="Times New Roman" w:cs="Times New Roman"/>
          <w:b/>
          <w:iCs/>
          <w:sz w:val="26"/>
          <w:szCs w:val="26"/>
        </w:rPr>
        <w:t>1</w:t>
      </w:r>
      <w:r>
        <w:rPr>
          <w:rFonts w:ascii="Times New Roman" w:hAnsi="Times New Roman" w:cs="Times New Roman"/>
          <w:b/>
          <w:iCs/>
          <w:sz w:val="26"/>
          <w:szCs w:val="26"/>
        </w:rPr>
        <w:t xml:space="preserve">43 </w:t>
      </w:r>
      <w:r w:rsidRPr="00D91BF6">
        <w:rPr>
          <w:rFonts w:ascii="Times New Roman" w:hAnsi="Times New Roman" w:cs="Times New Roman"/>
          <w:b/>
          <w:iCs/>
          <w:sz w:val="26"/>
          <w:szCs w:val="26"/>
        </w:rPr>
        <w:t>lati</w:t>
      </w:r>
      <w:r w:rsidRPr="00D91BF6">
        <w:rPr>
          <w:rFonts w:ascii="Times New Roman" w:hAnsi="Times New Roman" w:cs="Times New Roman"/>
          <w:iCs/>
          <w:sz w:val="26"/>
          <w:szCs w:val="26"/>
        </w:rPr>
        <w:t>;</w:t>
      </w:r>
    </w:p>
    <w:p w:rsidR="00417260" w:rsidRDefault="00417260" w:rsidP="00417260">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IZM koledžām </w:t>
      </w:r>
      <w:r w:rsidRPr="00417260">
        <w:rPr>
          <w:rFonts w:ascii="Times New Roman" w:hAnsi="Times New Roman" w:cs="Times New Roman"/>
          <w:b/>
          <w:iCs/>
          <w:sz w:val="26"/>
          <w:szCs w:val="26"/>
        </w:rPr>
        <w:t>7 063</w:t>
      </w:r>
      <w:r>
        <w:rPr>
          <w:rFonts w:ascii="Times New Roman" w:hAnsi="Times New Roman" w:cs="Times New Roman"/>
          <w:b/>
          <w:iCs/>
          <w:sz w:val="26"/>
          <w:szCs w:val="26"/>
        </w:rPr>
        <w:t> </w:t>
      </w:r>
      <w:r w:rsidRPr="00417260">
        <w:rPr>
          <w:rFonts w:ascii="Times New Roman" w:hAnsi="Times New Roman" w:cs="Times New Roman"/>
          <w:b/>
          <w:iCs/>
          <w:sz w:val="26"/>
          <w:szCs w:val="26"/>
        </w:rPr>
        <w:t>265</w:t>
      </w:r>
      <w:r>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417260" w:rsidRDefault="00417260" w:rsidP="00417260">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Kultūras ministrijai </w:t>
      </w:r>
      <w:r w:rsidRPr="00417260">
        <w:rPr>
          <w:rFonts w:ascii="Times New Roman" w:hAnsi="Times New Roman" w:cs="Times New Roman"/>
          <w:b/>
          <w:iCs/>
          <w:sz w:val="26"/>
          <w:szCs w:val="26"/>
        </w:rPr>
        <w:t xml:space="preserve">5 </w:t>
      </w:r>
      <w:r w:rsidR="00396475">
        <w:rPr>
          <w:rFonts w:ascii="Times New Roman" w:hAnsi="Times New Roman" w:cs="Times New Roman"/>
          <w:b/>
          <w:iCs/>
          <w:sz w:val="26"/>
          <w:szCs w:val="26"/>
        </w:rPr>
        <w:t>984</w:t>
      </w:r>
      <w:r>
        <w:rPr>
          <w:rFonts w:ascii="Times New Roman" w:hAnsi="Times New Roman" w:cs="Times New Roman"/>
          <w:b/>
          <w:iCs/>
          <w:sz w:val="26"/>
          <w:szCs w:val="26"/>
        </w:rPr>
        <w:t> </w:t>
      </w:r>
      <w:r w:rsidR="00396475">
        <w:rPr>
          <w:rFonts w:ascii="Times New Roman" w:hAnsi="Times New Roman" w:cs="Times New Roman"/>
          <w:b/>
          <w:iCs/>
          <w:sz w:val="26"/>
          <w:szCs w:val="26"/>
        </w:rPr>
        <w:t>133</w:t>
      </w:r>
      <w:r>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417260" w:rsidRDefault="00417260" w:rsidP="00417260">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Veselības ministrijai </w:t>
      </w:r>
      <w:r w:rsidRPr="00417260">
        <w:rPr>
          <w:rFonts w:ascii="Times New Roman" w:hAnsi="Times New Roman" w:cs="Times New Roman"/>
          <w:b/>
          <w:iCs/>
          <w:sz w:val="26"/>
          <w:szCs w:val="26"/>
        </w:rPr>
        <w:t>11 769</w:t>
      </w:r>
      <w:r>
        <w:rPr>
          <w:rFonts w:ascii="Times New Roman" w:hAnsi="Times New Roman" w:cs="Times New Roman"/>
          <w:b/>
          <w:iCs/>
          <w:sz w:val="26"/>
          <w:szCs w:val="26"/>
        </w:rPr>
        <w:t> </w:t>
      </w:r>
      <w:r w:rsidRPr="00417260">
        <w:rPr>
          <w:rFonts w:ascii="Times New Roman" w:hAnsi="Times New Roman" w:cs="Times New Roman"/>
          <w:b/>
          <w:iCs/>
          <w:sz w:val="26"/>
          <w:szCs w:val="26"/>
        </w:rPr>
        <w:t>353</w:t>
      </w:r>
      <w:r>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417260" w:rsidRDefault="00417260" w:rsidP="00417260">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Zemkopības ministrijai </w:t>
      </w:r>
      <w:r w:rsidRPr="00417260">
        <w:rPr>
          <w:rFonts w:ascii="Times New Roman" w:hAnsi="Times New Roman" w:cs="Times New Roman"/>
          <w:b/>
          <w:iCs/>
          <w:sz w:val="26"/>
          <w:szCs w:val="26"/>
        </w:rPr>
        <w:t>6 361</w:t>
      </w:r>
      <w:r>
        <w:rPr>
          <w:rFonts w:ascii="Times New Roman" w:hAnsi="Times New Roman" w:cs="Times New Roman"/>
          <w:b/>
          <w:iCs/>
          <w:sz w:val="26"/>
          <w:szCs w:val="26"/>
        </w:rPr>
        <w:t> </w:t>
      </w:r>
      <w:r w:rsidRPr="00417260">
        <w:rPr>
          <w:rFonts w:ascii="Times New Roman" w:hAnsi="Times New Roman" w:cs="Times New Roman"/>
          <w:b/>
          <w:iCs/>
          <w:sz w:val="26"/>
          <w:szCs w:val="26"/>
        </w:rPr>
        <w:t>713</w:t>
      </w:r>
      <w:r>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D958BF" w:rsidRDefault="00D958BF" w:rsidP="00D958BF">
      <w:pPr>
        <w:pStyle w:val="ListParagraph"/>
        <w:spacing w:after="0" w:line="240" w:lineRule="auto"/>
        <w:ind w:left="792"/>
        <w:jc w:val="both"/>
        <w:rPr>
          <w:rFonts w:ascii="Times New Roman" w:hAnsi="Times New Roman" w:cs="Times New Roman"/>
          <w:iCs/>
          <w:sz w:val="26"/>
          <w:szCs w:val="26"/>
        </w:rPr>
      </w:pPr>
    </w:p>
    <w:p w:rsidR="00D958BF" w:rsidRDefault="00172B27" w:rsidP="00D958BF">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6</w:t>
      </w:r>
      <w:r w:rsidR="00D958BF">
        <w:rPr>
          <w:rFonts w:ascii="Times New Roman" w:hAnsi="Times New Roman" w:cs="Times New Roman"/>
          <w:i/>
          <w:sz w:val="26"/>
          <w:szCs w:val="26"/>
        </w:rPr>
        <w:t>.</w:t>
      </w:r>
      <w:r w:rsidR="00D958BF" w:rsidRPr="000F0922">
        <w:rPr>
          <w:rFonts w:ascii="Times New Roman" w:hAnsi="Times New Roman" w:cs="Times New Roman"/>
          <w:i/>
          <w:sz w:val="26"/>
          <w:szCs w:val="26"/>
        </w:rPr>
        <w:t>tabula</w:t>
      </w:r>
    </w:p>
    <w:p w:rsidR="00D958BF" w:rsidRDefault="00473F7B" w:rsidP="00D958BF">
      <w:pPr>
        <w:spacing w:after="0" w:line="240" w:lineRule="auto"/>
        <w:jc w:val="center"/>
        <w:rPr>
          <w:rFonts w:ascii="Times New Roman" w:hAnsi="Times New Roman" w:cs="Times New Roman"/>
          <w:b/>
          <w:sz w:val="26"/>
          <w:szCs w:val="26"/>
        </w:rPr>
      </w:pPr>
      <w:r>
        <w:rPr>
          <w:rFonts w:ascii="Times New Roman" w:hAnsi="Times New Roman" w:cs="Times New Roman"/>
          <w:b/>
          <w:iCs/>
          <w:sz w:val="26"/>
          <w:szCs w:val="26"/>
        </w:rPr>
        <w:t>Aprēķina kopsavilkums par v</w:t>
      </w:r>
      <w:r w:rsidRPr="00D958BF">
        <w:rPr>
          <w:rFonts w:ascii="Times New Roman" w:hAnsi="Times New Roman" w:cs="Times New Roman"/>
          <w:b/>
          <w:iCs/>
          <w:sz w:val="26"/>
          <w:szCs w:val="26"/>
        </w:rPr>
        <w:t>alsts budžeta bāzes izdevumi</w:t>
      </w:r>
      <w:r>
        <w:rPr>
          <w:rFonts w:ascii="Times New Roman" w:hAnsi="Times New Roman" w:cs="Times New Roman"/>
          <w:b/>
          <w:iCs/>
          <w:sz w:val="26"/>
          <w:szCs w:val="26"/>
        </w:rPr>
        <w:t>em</w:t>
      </w:r>
      <w:r w:rsidR="00D958BF" w:rsidRPr="00D958BF">
        <w:rPr>
          <w:rFonts w:ascii="Times New Roman" w:hAnsi="Times New Roman" w:cs="Times New Roman"/>
          <w:b/>
          <w:iCs/>
          <w:sz w:val="26"/>
          <w:szCs w:val="26"/>
        </w:rPr>
        <w:t xml:space="preserve"> </w:t>
      </w:r>
      <w:r w:rsidR="00D958BF">
        <w:rPr>
          <w:rFonts w:ascii="Times New Roman" w:hAnsi="Times New Roman" w:cs="Times New Roman"/>
          <w:b/>
          <w:sz w:val="26"/>
          <w:szCs w:val="26"/>
        </w:rPr>
        <w:t>augstākajā izglītībā</w:t>
      </w:r>
      <w:r w:rsidR="00D958BF" w:rsidRPr="00177582">
        <w:rPr>
          <w:rFonts w:ascii="Times New Roman" w:hAnsi="Times New Roman" w:cs="Times New Roman"/>
          <w:b/>
          <w:sz w:val="26"/>
          <w:szCs w:val="26"/>
        </w:rPr>
        <w:t xml:space="preserve"> 2015.gad</w:t>
      </w:r>
      <w:r w:rsidR="005A10CF">
        <w:rPr>
          <w:rFonts w:ascii="Times New Roman" w:hAnsi="Times New Roman" w:cs="Times New Roman"/>
          <w:b/>
          <w:sz w:val="26"/>
          <w:szCs w:val="26"/>
        </w:rPr>
        <w:t>ā, latos</w:t>
      </w:r>
    </w:p>
    <w:p w:rsidR="00D958BF" w:rsidRPr="00177582" w:rsidRDefault="00D958BF" w:rsidP="00D958BF">
      <w:pPr>
        <w:spacing w:after="0" w:line="240" w:lineRule="auto"/>
        <w:jc w:val="center"/>
        <w:rPr>
          <w:rFonts w:ascii="Times New Roman" w:hAnsi="Times New Roman" w:cs="Times New Roman"/>
          <w:b/>
          <w:sz w:val="26"/>
          <w:szCs w:val="26"/>
        </w:rPr>
      </w:pPr>
    </w:p>
    <w:tbl>
      <w:tblPr>
        <w:tblW w:w="9545" w:type="dxa"/>
        <w:tblInd w:w="-318" w:type="dxa"/>
        <w:tblLayout w:type="fixed"/>
        <w:tblLook w:val="04A0"/>
      </w:tblPr>
      <w:tblGrid>
        <w:gridCol w:w="568"/>
        <w:gridCol w:w="2045"/>
        <w:gridCol w:w="1476"/>
        <w:gridCol w:w="1378"/>
        <w:gridCol w:w="1384"/>
        <w:gridCol w:w="1317"/>
        <w:gridCol w:w="1377"/>
      </w:tblGrid>
      <w:tr w:rsidR="00D958BF" w:rsidRPr="00427157" w:rsidTr="005A10CF">
        <w:trPr>
          <w:trHeight w:val="20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jc w:val="center"/>
              <w:rPr>
                <w:rFonts w:ascii="Times New Roman" w:eastAsia="Times New Roman" w:hAnsi="Times New Roman" w:cs="Times New Roman"/>
                <w:lang w:eastAsia="lv-LV"/>
              </w:rPr>
            </w:pPr>
            <w:proofErr w:type="spellStart"/>
            <w:r w:rsidRPr="00427157">
              <w:rPr>
                <w:rFonts w:ascii="Times New Roman" w:eastAsia="Times New Roman" w:hAnsi="Times New Roman" w:cs="Times New Roman"/>
                <w:lang w:eastAsia="lv-LV"/>
              </w:rPr>
              <w:lastRenderedPageBreak/>
              <w:t>N.p.k</w:t>
            </w:r>
            <w:proofErr w:type="spellEnd"/>
            <w:r w:rsidRPr="00427157">
              <w:rPr>
                <w:rFonts w:ascii="Times New Roman" w:eastAsia="Times New Roman" w:hAnsi="Times New Roman" w:cs="Times New Roman"/>
                <w:lang w:eastAsia="lv-LV"/>
              </w:rPr>
              <w:t>.</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Ministrija</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xml:space="preserve"> </w:t>
            </w:r>
            <w:r w:rsidRPr="00427157">
              <w:rPr>
                <w:rFonts w:ascii="Times New Roman" w:eastAsia="Times New Roman" w:hAnsi="Times New Roman" w:cs="Times New Roman"/>
                <w:b/>
                <w:bCs/>
                <w:lang w:eastAsia="lv-LV"/>
              </w:rPr>
              <w:t>Esošā</w:t>
            </w:r>
            <w:r w:rsidRPr="00427157">
              <w:rPr>
                <w:rFonts w:ascii="Times New Roman" w:eastAsia="Times New Roman" w:hAnsi="Times New Roman" w:cs="Times New Roman"/>
                <w:lang w:eastAsia="lv-LV"/>
              </w:rPr>
              <w:t xml:space="preserve"> valsts budžeta dotācija no vispārējiem ieņēmumiem 2013.gadā</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Valsts budžeta dotācija, pielietojot optimālos studiju izmaksu koeficientus</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D958BF" w:rsidRPr="00716F0A" w:rsidRDefault="00D958BF" w:rsidP="00262882">
            <w:pPr>
              <w:jc w:val="center"/>
              <w:rPr>
                <w:rFonts w:ascii="Times New Roman" w:hAnsi="Times New Roman" w:cs="Times New Roman"/>
              </w:rPr>
            </w:pPr>
            <w:r w:rsidRPr="00716F0A">
              <w:rPr>
                <w:rFonts w:ascii="Times New Roman" w:hAnsi="Times New Roman" w:cs="Times New Roman"/>
              </w:rPr>
              <w:t xml:space="preserve">Budžeta </w:t>
            </w:r>
            <w:r w:rsidRPr="00716F0A">
              <w:rPr>
                <w:rFonts w:ascii="Times New Roman" w:hAnsi="Times New Roman" w:cs="Times New Roman"/>
                <w:b/>
                <w:bCs/>
              </w:rPr>
              <w:t>bāze 2015.gadā</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D958BF" w:rsidRPr="00716F0A" w:rsidRDefault="00D958BF" w:rsidP="00262882">
            <w:pPr>
              <w:jc w:val="center"/>
              <w:rPr>
                <w:rFonts w:ascii="Times New Roman" w:hAnsi="Times New Roman" w:cs="Times New Roman"/>
              </w:rPr>
            </w:pPr>
            <w:r w:rsidRPr="00716F0A">
              <w:rPr>
                <w:rFonts w:ascii="Times New Roman" w:hAnsi="Times New Roman" w:cs="Times New Roman"/>
              </w:rPr>
              <w:t>Pieaugums pret esošo 2013.gadā (5.aile-3.aile)</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D958BF" w:rsidRPr="00716F0A" w:rsidRDefault="00D958BF" w:rsidP="00262882">
            <w:pPr>
              <w:jc w:val="center"/>
              <w:rPr>
                <w:rFonts w:ascii="Times New Roman" w:hAnsi="Times New Roman" w:cs="Times New Roman"/>
              </w:rPr>
            </w:pPr>
            <w:r w:rsidRPr="00716F0A">
              <w:rPr>
                <w:rFonts w:ascii="Times New Roman" w:hAnsi="Times New Roman" w:cs="Times New Roman"/>
              </w:rPr>
              <w:t xml:space="preserve">Nodrošinājuma līmenis 2015.gadā pret </w:t>
            </w:r>
            <w:r w:rsidRPr="00716F0A">
              <w:rPr>
                <w:rFonts w:ascii="Times New Roman" w:hAnsi="Times New Roman" w:cs="Times New Roman"/>
                <w:b/>
                <w:bCs/>
              </w:rPr>
              <w:t>optimālo</w:t>
            </w:r>
            <w:r w:rsidRPr="00716F0A">
              <w:rPr>
                <w:rFonts w:ascii="Times New Roman" w:hAnsi="Times New Roman" w:cs="Times New Roman"/>
              </w:rPr>
              <w:t xml:space="preserve"> % </w:t>
            </w:r>
          </w:p>
        </w:tc>
      </w:tr>
      <w:tr w:rsidR="00D958BF" w:rsidRPr="00427157" w:rsidTr="005A10CF">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958BF" w:rsidRPr="00765CCF" w:rsidRDefault="00D958BF"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1</w:t>
            </w:r>
          </w:p>
        </w:tc>
        <w:tc>
          <w:tcPr>
            <w:tcW w:w="2045" w:type="dxa"/>
            <w:tcBorders>
              <w:top w:val="nil"/>
              <w:left w:val="nil"/>
              <w:bottom w:val="single" w:sz="4" w:space="0" w:color="auto"/>
              <w:right w:val="single" w:sz="4" w:space="0" w:color="auto"/>
            </w:tcBorders>
            <w:shd w:val="clear" w:color="auto" w:fill="auto"/>
            <w:noWrap/>
            <w:vAlign w:val="center"/>
            <w:hideMark/>
          </w:tcPr>
          <w:p w:rsidR="00D958BF" w:rsidRPr="00765CCF" w:rsidRDefault="00D958BF"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2</w:t>
            </w:r>
          </w:p>
        </w:tc>
        <w:tc>
          <w:tcPr>
            <w:tcW w:w="1476" w:type="dxa"/>
            <w:tcBorders>
              <w:top w:val="nil"/>
              <w:left w:val="nil"/>
              <w:bottom w:val="single" w:sz="4" w:space="0" w:color="auto"/>
              <w:right w:val="single" w:sz="4" w:space="0" w:color="auto"/>
            </w:tcBorders>
            <w:shd w:val="clear" w:color="auto" w:fill="auto"/>
            <w:noWrap/>
            <w:vAlign w:val="center"/>
            <w:hideMark/>
          </w:tcPr>
          <w:p w:rsidR="00D958BF" w:rsidRPr="00765CCF" w:rsidRDefault="00D958BF"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3</w:t>
            </w:r>
          </w:p>
        </w:tc>
        <w:tc>
          <w:tcPr>
            <w:tcW w:w="1378" w:type="dxa"/>
            <w:tcBorders>
              <w:top w:val="nil"/>
              <w:left w:val="nil"/>
              <w:bottom w:val="single" w:sz="4" w:space="0" w:color="auto"/>
              <w:right w:val="single" w:sz="4" w:space="0" w:color="auto"/>
            </w:tcBorders>
            <w:shd w:val="clear" w:color="auto" w:fill="auto"/>
            <w:noWrap/>
            <w:vAlign w:val="center"/>
            <w:hideMark/>
          </w:tcPr>
          <w:p w:rsidR="00D958BF" w:rsidRPr="00765CCF" w:rsidRDefault="00D958BF"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4</w:t>
            </w:r>
          </w:p>
        </w:tc>
        <w:tc>
          <w:tcPr>
            <w:tcW w:w="1384" w:type="dxa"/>
            <w:tcBorders>
              <w:top w:val="nil"/>
              <w:left w:val="nil"/>
              <w:bottom w:val="single" w:sz="4" w:space="0" w:color="auto"/>
              <w:right w:val="single" w:sz="4" w:space="0" w:color="auto"/>
            </w:tcBorders>
            <w:shd w:val="clear" w:color="auto" w:fill="auto"/>
            <w:noWrap/>
            <w:vAlign w:val="center"/>
            <w:hideMark/>
          </w:tcPr>
          <w:p w:rsidR="00D958BF" w:rsidRPr="00765CCF" w:rsidRDefault="00D958BF"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5</w:t>
            </w:r>
          </w:p>
        </w:tc>
        <w:tc>
          <w:tcPr>
            <w:tcW w:w="1317" w:type="dxa"/>
            <w:tcBorders>
              <w:top w:val="nil"/>
              <w:left w:val="nil"/>
              <w:bottom w:val="single" w:sz="4" w:space="0" w:color="auto"/>
              <w:right w:val="single" w:sz="4" w:space="0" w:color="auto"/>
            </w:tcBorders>
            <w:shd w:val="clear" w:color="auto" w:fill="auto"/>
            <w:noWrap/>
            <w:vAlign w:val="center"/>
            <w:hideMark/>
          </w:tcPr>
          <w:p w:rsidR="00D958BF" w:rsidRPr="00765CCF" w:rsidRDefault="00D958BF"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6</w:t>
            </w:r>
          </w:p>
        </w:tc>
        <w:tc>
          <w:tcPr>
            <w:tcW w:w="1377" w:type="dxa"/>
            <w:tcBorders>
              <w:top w:val="nil"/>
              <w:left w:val="nil"/>
              <w:bottom w:val="single" w:sz="4" w:space="0" w:color="auto"/>
              <w:right w:val="single" w:sz="4" w:space="0" w:color="auto"/>
            </w:tcBorders>
            <w:shd w:val="clear" w:color="auto" w:fill="auto"/>
            <w:noWrap/>
            <w:vAlign w:val="center"/>
            <w:hideMark/>
          </w:tcPr>
          <w:p w:rsidR="00D958BF" w:rsidRPr="00765CCF" w:rsidRDefault="00D958BF" w:rsidP="00262882">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7</w:t>
            </w:r>
          </w:p>
        </w:tc>
      </w:tr>
      <w:tr w:rsidR="00D958BF" w:rsidRPr="00427157" w:rsidTr="005A10CF">
        <w:trPr>
          <w:trHeight w:val="576"/>
        </w:trPr>
        <w:tc>
          <w:tcPr>
            <w:tcW w:w="568" w:type="dxa"/>
            <w:tcBorders>
              <w:top w:val="nil"/>
              <w:left w:val="single" w:sz="4" w:space="0" w:color="auto"/>
              <w:bottom w:val="nil"/>
              <w:right w:val="single" w:sz="4" w:space="0" w:color="auto"/>
            </w:tcBorders>
            <w:shd w:val="clear" w:color="auto" w:fill="auto"/>
            <w:vAlign w:val="center"/>
            <w:hideMark/>
          </w:tcPr>
          <w:p w:rsidR="00D958BF" w:rsidRPr="00427157" w:rsidRDefault="00D958BF"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1.</w:t>
            </w:r>
          </w:p>
        </w:tc>
        <w:tc>
          <w:tcPr>
            <w:tcW w:w="8977" w:type="dxa"/>
            <w:gridSpan w:val="6"/>
            <w:tcBorders>
              <w:top w:val="nil"/>
              <w:left w:val="nil"/>
              <w:bottom w:val="single" w:sz="4" w:space="0" w:color="auto"/>
              <w:right w:val="single" w:sz="4" w:space="0" w:color="auto"/>
            </w:tcBorders>
            <w:shd w:val="clear" w:color="auto" w:fill="auto"/>
            <w:noWrap/>
            <w:vAlign w:val="bottom"/>
            <w:hideMark/>
          </w:tcPr>
          <w:p w:rsidR="00D958BF" w:rsidRPr="00427157" w:rsidRDefault="00D958BF" w:rsidP="00262882">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Izglītības un zinātnes ministrija</w:t>
            </w:r>
            <w:r w:rsidRPr="00427157">
              <w:rPr>
                <w:rFonts w:ascii="Times New Roman" w:eastAsia="Times New Roman" w:hAnsi="Times New Roman" w:cs="Times New Roman"/>
                <w:lang w:eastAsia="lv-LV"/>
              </w:rPr>
              <w:t xml:space="preserve">, </w:t>
            </w:r>
            <w:r w:rsidRPr="00427157">
              <w:rPr>
                <w:rFonts w:ascii="Times New Roman" w:eastAsia="Times New Roman" w:hAnsi="Times New Roman" w:cs="Times New Roman"/>
                <w:i/>
                <w:iCs/>
                <w:lang w:eastAsia="lv-LV"/>
              </w:rPr>
              <w:t>tajā skaitā:</w:t>
            </w:r>
          </w:p>
          <w:p w:rsidR="00D958BF" w:rsidRPr="00427157" w:rsidRDefault="00D958BF"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b/>
                <w:bCs/>
                <w:lang w:eastAsia="lv-LV"/>
              </w:rPr>
              <w:t> </w:t>
            </w:r>
          </w:p>
        </w:tc>
      </w:tr>
      <w:tr w:rsidR="00D958BF" w:rsidRPr="00427157" w:rsidTr="005A10CF">
        <w:trPr>
          <w:trHeight w:val="750"/>
        </w:trPr>
        <w:tc>
          <w:tcPr>
            <w:tcW w:w="568" w:type="dxa"/>
            <w:tcBorders>
              <w:top w:val="nil"/>
              <w:left w:val="single" w:sz="4" w:space="0" w:color="auto"/>
              <w:bottom w:val="nil"/>
              <w:right w:val="single" w:sz="4" w:space="0" w:color="auto"/>
            </w:tcBorders>
            <w:shd w:val="clear" w:color="auto" w:fill="auto"/>
            <w:noWrap/>
            <w:vAlign w:val="bottom"/>
            <w:hideMark/>
          </w:tcPr>
          <w:p w:rsidR="00D958BF" w:rsidRPr="00427157" w:rsidRDefault="00D958BF"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jc w:val="right"/>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augstskolas</w:t>
            </w:r>
          </w:p>
        </w:tc>
        <w:tc>
          <w:tcPr>
            <w:tcW w:w="1476" w:type="dxa"/>
            <w:tcBorders>
              <w:top w:val="nil"/>
              <w:left w:val="nil"/>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30 224 955</w:t>
            </w:r>
          </w:p>
        </w:tc>
        <w:tc>
          <w:tcPr>
            <w:tcW w:w="1378" w:type="dxa"/>
            <w:tcBorders>
              <w:top w:val="nil"/>
              <w:left w:val="single" w:sz="4" w:space="0" w:color="auto"/>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55 425 483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b/>
                <w:bCs/>
              </w:rPr>
            </w:pPr>
            <w:r w:rsidRPr="00E30D38">
              <w:rPr>
                <w:rFonts w:ascii="Times New Roman" w:hAnsi="Times New Roman" w:cs="Times New Roman"/>
                <w:b/>
                <w:bCs/>
              </w:rPr>
              <w:t>38 310 143</w:t>
            </w:r>
          </w:p>
        </w:tc>
        <w:tc>
          <w:tcPr>
            <w:tcW w:w="131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8 085 188</w:t>
            </w:r>
          </w:p>
        </w:tc>
        <w:tc>
          <w:tcPr>
            <w:tcW w:w="137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69%</w:t>
            </w:r>
          </w:p>
        </w:tc>
      </w:tr>
      <w:tr w:rsidR="00D958BF" w:rsidRPr="00427157" w:rsidTr="005A10CF">
        <w:trPr>
          <w:trHeight w:val="7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958BF" w:rsidRPr="00427157" w:rsidRDefault="00D958BF"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jc w:val="right"/>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koledžas</w:t>
            </w:r>
          </w:p>
        </w:tc>
        <w:tc>
          <w:tcPr>
            <w:tcW w:w="1476" w:type="dxa"/>
            <w:tcBorders>
              <w:top w:val="nil"/>
              <w:left w:val="nil"/>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4 357 639</w:t>
            </w:r>
          </w:p>
        </w:tc>
        <w:tc>
          <w:tcPr>
            <w:tcW w:w="1378" w:type="dxa"/>
            <w:tcBorders>
              <w:top w:val="nil"/>
              <w:left w:val="single" w:sz="4" w:space="0" w:color="auto"/>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8 819 372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b/>
                <w:bCs/>
              </w:rPr>
            </w:pPr>
            <w:r w:rsidRPr="00E30D38">
              <w:rPr>
                <w:rFonts w:ascii="Times New Roman" w:hAnsi="Times New Roman" w:cs="Times New Roman"/>
                <w:b/>
                <w:bCs/>
              </w:rPr>
              <w:t>7 063 265</w:t>
            </w:r>
          </w:p>
        </w:tc>
        <w:tc>
          <w:tcPr>
            <w:tcW w:w="131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2 705 626</w:t>
            </w:r>
          </w:p>
        </w:tc>
        <w:tc>
          <w:tcPr>
            <w:tcW w:w="137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80%</w:t>
            </w:r>
          </w:p>
        </w:tc>
      </w:tr>
      <w:tr w:rsidR="00D958BF" w:rsidRPr="00427157" w:rsidTr="005A10CF">
        <w:trPr>
          <w:trHeight w:val="750"/>
        </w:trPr>
        <w:tc>
          <w:tcPr>
            <w:tcW w:w="568" w:type="dxa"/>
            <w:tcBorders>
              <w:top w:val="nil"/>
              <w:left w:val="single" w:sz="4" w:space="0" w:color="auto"/>
              <w:bottom w:val="nil"/>
              <w:right w:val="single" w:sz="4" w:space="0" w:color="auto"/>
            </w:tcBorders>
            <w:shd w:val="clear" w:color="auto" w:fill="auto"/>
            <w:vAlign w:val="center"/>
            <w:hideMark/>
          </w:tcPr>
          <w:p w:rsidR="00D958BF" w:rsidRPr="00427157" w:rsidRDefault="00D958BF"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2.</w:t>
            </w:r>
          </w:p>
        </w:tc>
        <w:tc>
          <w:tcPr>
            <w:tcW w:w="2045" w:type="dxa"/>
            <w:tcBorders>
              <w:top w:val="nil"/>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Kultūras ministrija</w:t>
            </w:r>
          </w:p>
        </w:tc>
        <w:tc>
          <w:tcPr>
            <w:tcW w:w="1476" w:type="dxa"/>
            <w:tcBorders>
              <w:top w:val="nil"/>
              <w:left w:val="nil"/>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4 681 725</w:t>
            </w:r>
          </w:p>
        </w:tc>
        <w:tc>
          <w:tcPr>
            <w:tcW w:w="1378" w:type="dxa"/>
            <w:tcBorders>
              <w:top w:val="nil"/>
              <w:left w:val="single" w:sz="4" w:space="0" w:color="auto"/>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6 753 138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b/>
                <w:bCs/>
              </w:rPr>
            </w:pPr>
            <w:r w:rsidRPr="00E30D38">
              <w:rPr>
                <w:rFonts w:ascii="Times New Roman" w:hAnsi="Times New Roman" w:cs="Times New Roman"/>
                <w:b/>
                <w:bCs/>
              </w:rPr>
              <w:t>5 984 133</w:t>
            </w:r>
          </w:p>
        </w:tc>
        <w:tc>
          <w:tcPr>
            <w:tcW w:w="131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1 302 408</w:t>
            </w:r>
          </w:p>
        </w:tc>
        <w:tc>
          <w:tcPr>
            <w:tcW w:w="137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89%</w:t>
            </w:r>
          </w:p>
        </w:tc>
      </w:tr>
      <w:tr w:rsidR="00D958BF" w:rsidRPr="00427157" w:rsidTr="005A10CF">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3.</w:t>
            </w:r>
          </w:p>
        </w:tc>
        <w:tc>
          <w:tcPr>
            <w:tcW w:w="2045" w:type="dxa"/>
            <w:tcBorders>
              <w:top w:val="nil"/>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Veselības ministrija</w:t>
            </w:r>
          </w:p>
        </w:tc>
        <w:tc>
          <w:tcPr>
            <w:tcW w:w="1476" w:type="dxa"/>
            <w:tcBorders>
              <w:top w:val="nil"/>
              <w:left w:val="nil"/>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10 850 827</w:t>
            </w:r>
          </w:p>
        </w:tc>
        <w:tc>
          <w:tcPr>
            <w:tcW w:w="1378" w:type="dxa"/>
            <w:tcBorders>
              <w:top w:val="nil"/>
              <w:left w:val="single" w:sz="4" w:space="0" w:color="auto"/>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13 582 625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b/>
                <w:bCs/>
              </w:rPr>
            </w:pPr>
            <w:r w:rsidRPr="00E30D38">
              <w:rPr>
                <w:rFonts w:ascii="Times New Roman" w:hAnsi="Times New Roman" w:cs="Times New Roman"/>
                <w:b/>
                <w:bCs/>
              </w:rPr>
              <w:t>11 769 353</w:t>
            </w:r>
          </w:p>
        </w:tc>
        <w:tc>
          <w:tcPr>
            <w:tcW w:w="131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918 526</w:t>
            </w:r>
          </w:p>
        </w:tc>
        <w:tc>
          <w:tcPr>
            <w:tcW w:w="137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87%</w:t>
            </w:r>
          </w:p>
        </w:tc>
      </w:tr>
      <w:tr w:rsidR="00D958BF" w:rsidRPr="00427157" w:rsidTr="005A10CF">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4.</w:t>
            </w:r>
          </w:p>
        </w:tc>
        <w:tc>
          <w:tcPr>
            <w:tcW w:w="2045" w:type="dxa"/>
            <w:tcBorders>
              <w:top w:val="nil"/>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Zemkopības ministrija</w:t>
            </w:r>
          </w:p>
        </w:tc>
        <w:tc>
          <w:tcPr>
            <w:tcW w:w="1476" w:type="dxa"/>
            <w:tcBorders>
              <w:top w:val="nil"/>
              <w:left w:val="nil"/>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5 282 039</w:t>
            </w:r>
          </w:p>
        </w:tc>
        <w:tc>
          <w:tcPr>
            <w:tcW w:w="1378" w:type="dxa"/>
            <w:tcBorders>
              <w:top w:val="nil"/>
              <w:left w:val="single" w:sz="4" w:space="0" w:color="auto"/>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8 901 373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b/>
                <w:bCs/>
              </w:rPr>
            </w:pPr>
            <w:r w:rsidRPr="00E30D38">
              <w:rPr>
                <w:rFonts w:ascii="Times New Roman" w:hAnsi="Times New Roman" w:cs="Times New Roman"/>
                <w:b/>
                <w:bCs/>
              </w:rPr>
              <w:t>6 361 713</w:t>
            </w:r>
          </w:p>
        </w:tc>
        <w:tc>
          <w:tcPr>
            <w:tcW w:w="131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1 079 674</w:t>
            </w:r>
          </w:p>
        </w:tc>
        <w:tc>
          <w:tcPr>
            <w:tcW w:w="137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71%</w:t>
            </w:r>
          </w:p>
        </w:tc>
      </w:tr>
      <w:tr w:rsidR="00D958BF" w:rsidRPr="00427157" w:rsidTr="005A10CF">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D958BF" w:rsidRPr="00427157" w:rsidRDefault="00D958BF" w:rsidP="00262882">
            <w:pPr>
              <w:spacing w:after="0" w:line="240" w:lineRule="auto"/>
              <w:jc w:val="right"/>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KOPĀ</w:t>
            </w:r>
          </w:p>
        </w:tc>
        <w:tc>
          <w:tcPr>
            <w:tcW w:w="1476" w:type="dxa"/>
            <w:tcBorders>
              <w:top w:val="nil"/>
              <w:left w:val="nil"/>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55 397 185</w:t>
            </w:r>
          </w:p>
        </w:tc>
        <w:tc>
          <w:tcPr>
            <w:tcW w:w="1378" w:type="dxa"/>
            <w:tcBorders>
              <w:top w:val="nil"/>
              <w:left w:val="single" w:sz="4" w:space="0" w:color="auto"/>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93 481 991</w:t>
            </w:r>
          </w:p>
        </w:tc>
        <w:tc>
          <w:tcPr>
            <w:tcW w:w="1384" w:type="dxa"/>
            <w:tcBorders>
              <w:top w:val="nil"/>
              <w:left w:val="single" w:sz="4" w:space="0" w:color="auto"/>
              <w:bottom w:val="single" w:sz="4" w:space="0" w:color="auto"/>
              <w:right w:val="nil"/>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69 488 607</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r w:rsidRPr="00E30D38">
              <w:rPr>
                <w:rFonts w:ascii="Times New Roman" w:hAnsi="Times New Roman" w:cs="Times New Roman"/>
              </w:rPr>
              <w:t>14 091 422</w:t>
            </w:r>
          </w:p>
        </w:tc>
        <w:tc>
          <w:tcPr>
            <w:tcW w:w="1377" w:type="dxa"/>
            <w:tcBorders>
              <w:top w:val="nil"/>
              <w:left w:val="nil"/>
              <w:bottom w:val="single" w:sz="4" w:space="0" w:color="auto"/>
              <w:right w:val="single" w:sz="4" w:space="0" w:color="auto"/>
            </w:tcBorders>
            <w:shd w:val="clear" w:color="auto" w:fill="auto"/>
            <w:noWrap/>
            <w:vAlign w:val="bottom"/>
            <w:hideMark/>
          </w:tcPr>
          <w:p w:rsidR="00D958BF" w:rsidRPr="00E30D38" w:rsidRDefault="00D958BF" w:rsidP="00262882">
            <w:pPr>
              <w:jc w:val="center"/>
              <w:rPr>
                <w:rFonts w:ascii="Times New Roman" w:hAnsi="Times New Roman" w:cs="Times New Roman"/>
              </w:rPr>
            </w:pPr>
          </w:p>
        </w:tc>
      </w:tr>
    </w:tbl>
    <w:p w:rsidR="00D958BF" w:rsidRDefault="00D958BF" w:rsidP="00D958BF">
      <w:pPr>
        <w:pStyle w:val="ListParagraph"/>
        <w:spacing w:after="0" w:line="240" w:lineRule="auto"/>
        <w:ind w:left="792"/>
        <w:jc w:val="both"/>
        <w:rPr>
          <w:rFonts w:ascii="Times New Roman" w:hAnsi="Times New Roman" w:cs="Times New Roman"/>
          <w:iCs/>
          <w:sz w:val="26"/>
          <w:szCs w:val="26"/>
        </w:rPr>
      </w:pPr>
    </w:p>
    <w:p w:rsidR="00351B21" w:rsidRDefault="00351B21" w:rsidP="00D958BF">
      <w:pPr>
        <w:pStyle w:val="ListParagraph"/>
        <w:spacing w:after="0" w:line="240" w:lineRule="auto"/>
        <w:ind w:left="792"/>
        <w:jc w:val="both"/>
        <w:rPr>
          <w:rFonts w:ascii="Times New Roman" w:hAnsi="Times New Roman" w:cs="Times New Roman"/>
          <w:iCs/>
          <w:sz w:val="26"/>
          <w:szCs w:val="26"/>
        </w:rPr>
      </w:pPr>
    </w:p>
    <w:p w:rsidR="00351B21" w:rsidRDefault="00351B21" w:rsidP="00D958BF">
      <w:pPr>
        <w:pStyle w:val="ListParagraph"/>
        <w:spacing w:after="0" w:line="240" w:lineRule="auto"/>
        <w:ind w:left="792"/>
        <w:jc w:val="both"/>
        <w:rPr>
          <w:rFonts w:ascii="Times New Roman" w:hAnsi="Times New Roman" w:cs="Times New Roman"/>
          <w:iCs/>
          <w:sz w:val="26"/>
          <w:szCs w:val="26"/>
        </w:rPr>
      </w:pPr>
    </w:p>
    <w:p w:rsidR="00351B21" w:rsidRDefault="00351B21" w:rsidP="00D958BF">
      <w:pPr>
        <w:pStyle w:val="ListParagraph"/>
        <w:spacing w:after="0" w:line="240" w:lineRule="auto"/>
        <w:ind w:left="792"/>
        <w:jc w:val="both"/>
        <w:rPr>
          <w:rFonts w:ascii="Times New Roman" w:hAnsi="Times New Roman" w:cs="Times New Roman"/>
          <w:iCs/>
          <w:sz w:val="26"/>
          <w:szCs w:val="26"/>
        </w:rPr>
      </w:pPr>
    </w:p>
    <w:p w:rsidR="00351B21" w:rsidRDefault="00351B21" w:rsidP="00D958BF">
      <w:pPr>
        <w:pStyle w:val="ListParagraph"/>
        <w:spacing w:after="0" w:line="240" w:lineRule="auto"/>
        <w:ind w:left="792"/>
        <w:jc w:val="both"/>
        <w:rPr>
          <w:rFonts w:ascii="Times New Roman" w:hAnsi="Times New Roman" w:cs="Times New Roman"/>
          <w:iCs/>
          <w:sz w:val="26"/>
          <w:szCs w:val="26"/>
        </w:rPr>
      </w:pPr>
    </w:p>
    <w:p w:rsidR="00351B21" w:rsidRDefault="00351B21" w:rsidP="00D958BF">
      <w:pPr>
        <w:pStyle w:val="ListParagraph"/>
        <w:spacing w:after="0" w:line="240" w:lineRule="auto"/>
        <w:ind w:left="792"/>
        <w:jc w:val="both"/>
        <w:rPr>
          <w:rFonts w:ascii="Times New Roman" w:hAnsi="Times New Roman" w:cs="Times New Roman"/>
          <w:iCs/>
          <w:sz w:val="26"/>
          <w:szCs w:val="26"/>
        </w:rPr>
      </w:pPr>
    </w:p>
    <w:tbl>
      <w:tblPr>
        <w:tblStyle w:val="TableGrid"/>
        <w:tblW w:w="987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92"/>
        <w:gridCol w:w="5579"/>
      </w:tblGrid>
      <w:tr w:rsidR="0074046C" w:rsidTr="00CD229E">
        <w:trPr>
          <w:trHeight w:val="5383"/>
        </w:trPr>
        <w:tc>
          <w:tcPr>
            <w:tcW w:w="4292" w:type="dxa"/>
          </w:tcPr>
          <w:p w:rsidR="0074046C" w:rsidRDefault="0074046C" w:rsidP="00262882">
            <w:pPr>
              <w:pStyle w:val="ListParagraph"/>
              <w:ind w:left="2664" w:firstLine="216"/>
              <w:jc w:val="both"/>
              <w:rPr>
                <w:rFonts w:ascii="Times New Roman" w:hAnsi="Times New Roman" w:cs="Times New Roman"/>
                <w:i/>
                <w:iCs/>
                <w:sz w:val="26"/>
                <w:szCs w:val="26"/>
              </w:rPr>
            </w:pPr>
          </w:p>
          <w:p w:rsidR="0074046C" w:rsidRDefault="0074046C" w:rsidP="00262882">
            <w:pPr>
              <w:pStyle w:val="ListParagraph"/>
              <w:ind w:left="2664" w:firstLine="216"/>
              <w:jc w:val="both"/>
              <w:rPr>
                <w:rFonts w:ascii="Times New Roman" w:hAnsi="Times New Roman" w:cs="Times New Roman"/>
                <w:i/>
                <w:iCs/>
                <w:sz w:val="26"/>
                <w:szCs w:val="26"/>
              </w:rPr>
            </w:pPr>
          </w:p>
          <w:p w:rsidR="0074046C" w:rsidRDefault="00172B27" w:rsidP="00262882">
            <w:pPr>
              <w:rPr>
                <w:rFonts w:ascii="Times New Roman" w:hAnsi="Times New Roman" w:cs="Times New Roman"/>
                <w:i/>
                <w:iCs/>
                <w:sz w:val="26"/>
                <w:szCs w:val="26"/>
              </w:rPr>
            </w:pPr>
            <w:r w:rsidRPr="00172B27">
              <w:rPr>
                <w:rFonts w:ascii="Times New Roman" w:hAnsi="Times New Roman" w:cs="Times New Roman"/>
                <w:i/>
                <w:iCs/>
                <w:noProof/>
                <w:sz w:val="26"/>
                <w:szCs w:val="26"/>
                <w:lang w:eastAsia="lv-LV"/>
              </w:rPr>
              <w:drawing>
                <wp:inline distT="0" distB="0" distL="0" distR="0">
                  <wp:extent cx="2771775" cy="3429000"/>
                  <wp:effectExtent l="0" t="0" r="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579" w:type="dxa"/>
          </w:tcPr>
          <w:p w:rsidR="0074046C" w:rsidRDefault="00172B27" w:rsidP="00262882">
            <w:pPr>
              <w:jc w:val="right"/>
              <w:rPr>
                <w:rFonts w:ascii="Times New Roman" w:hAnsi="Times New Roman" w:cs="Times New Roman"/>
                <w:i/>
                <w:iCs/>
                <w:sz w:val="26"/>
                <w:szCs w:val="26"/>
              </w:rPr>
            </w:pPr>
            <w:r>
              <w:rPr>
                <w:rFonts w:ascii="Times New Roman" w:hAnsi="Times New Roman" w:cs="Times New Roman"/>
                <w:i/>
                <w:iCs/>
                <w:sz w:val="26"/>
                <w:szCs w:val="26"/>
              </w:rPr>
              <w:t>3</w:t>
            </w:r>
            <w:r w:rsidR="0074046C" w:rsidRPr="00437032">
              <w:rPr>
                <w:rFonts w:ascii="Times New Roman" w:hAnsi="Times New Roman" w:cs="Times New Roman"/>
                <w:i/>
                <w:iCs/>
                <w:sz w:val="26"/>
                <w:szCs w:val="26"/>
              </w:rPr>
              <w:t>.attēls</w:t>
            </w:r>
          </w:p>
          <w:p w:rsidR="0074046C" w:rsidRDefault="0074046C" w:rsidP="00262882">
            <w:pPr>
              <w:jc w:val="right"/>
              <w:rPr>
                <w:rFonts w:ascii="Times New Roman" w:hAnsi="Times New Roman" w:cs="Times New Roman"/>
                <w:i/>
                <w:iCs/>
                <w:sz w:val="26"/>
                <w:szCs w:val="26"/>
              </w:rPr>
            </w:pPr>
          </w:p>
          <w:p w:rsidR="0074046C" w:rsidRDefault="0074046C" w:rsidP="00262882">
            <w:pPr>
              <w:jc w:val="right"/>
              <w:rPr>
                <w:rFonts w:ascii="Times New Roman" w:hAnsi="Times New Roman" w:cs="Times New Roman"/>
                <w:i/>
                <w:iCs/>
                <w:sz w:val="26"/>
                <w:szCs w:val="26"/>
              </w:rPr>
            </w:pPr>
            <w:r w:rsidRPr="0074046C">
              <w:rPr>
                <w:rFonts w:ascii="Times New Roman" w:hAnsi="Times New Roman" w:cs="Times New Roman"/>
                <w:i/>
                <w:iCs/>
                <w:noProof/>
                <w:sz w:val="26"/>
                <w:szCs w:val="26"/>
                <w:lang w:eastAsia="lv-LV"/>
              </w:rPr>
              <w:drawing>
                <wp:inline distT="0" distB="0" distL="0" distR="0">
                  <wp:extent cx="3581400" cy="3429000"/>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046C" w:rsidRDefault="0074046C" w:rsidP="00262882">
            <w:pPr>
              <w:jc w:val="right"/>
              <w:rPr>
                <w:rFonts w:ascii="Times New Roman" w:hAnsi="Times New Roman" w:cs="Times New Roman"/>
                <w:i/>
                <w:iCs/>
                <w:sz w:val="26"/>
                <w:szCs w:val="26"/>
              </w:rPr>
            </w:pPr>
          </w:p>
        </w:tc>
      </w:tr>
    </w:tbl>
    <w:p w:rsidR="0046168A" w:rsidRPr="00F06C5F" w:rsidRDefault="004829A5" w:rsidP="00F95DC7">
      <w:pPr>
        <w:pStyle w:val="ListParagraph"/>
        <w:numPr>
          <w:ilvl w:val="0"/>
          <w:numId w:val="6"/>
        </w:numPr>
        <w:spacing w:after="0" w:line="240" w:lineRule="auto"/>
        <w:ind w:left="0" w:firstLine="709"/>
        <w:jc w:val="both"/>
        <w:rPr>
          <w:rFonts w:ascii="Times New Roman" w:hAnsi="Times New Roman" w:cs="Times New Roman"/>
          <w:sz w:val="26"/>
          <w:szCs w:val="26"/>
        </w:rPr>
      </w:pPr>
      <w:r>
        <w:rPr>
          <w:rFonts w:ascii="Times New Roman" w:hAnsi="Times New Roman" w:cs="Times New Roman"/>
          <w:b/>
          <w:iCs/>
          <w:sz w:val="26"/>
          <w:szCs w:val="26"/>
        </w:rPr>
        <w:t>2</w:t>
      </w:r>
      <w:r w:rsidR="0046168A" w:rsidRPr="001E12CA">
        <w:rPr>
          <w:rFonts w:ascii="Times New Roman" w:hAnsi="Times New Roman" w:cs="Times New Roman"/>
          <w:b/>
          <w:iCs/>
          <w:sz w:val="26"/>
          <w:szCs w:val="26"/>
        </w:rPr>
        <w:t>01</w:t>
      </w:r>
      <w:r w:rsidR="0046168A">
        <w:rPr>
          <w:rFonts w:ascii="Times New Roman" w:hAnsi="Times New Roman" w:cs="Times New Roman"/>
          <w:b/>
          <w:iCs/>
          <w:sz w:val="26"/>
          <w:szCs w:val="26"/>
        </w:rPr>
        <w:t>6</w:t>
      </w:r>
      <w:r w:rsidR="0046168A" w:rsidRPr="001E12CA">
        <w:rPr>
          <w:rFonts w:ascii="Times New Roman" w:hAnsi="Times New Roman" w:cs="Times New Roman"/>
          <w:b/>
          <w:iCs/>
          <w:sz w:val="26"/>
          <w:szCs w:val="26"/>
        </w:rPr>
        <w:t>.gadā</w:t>
      </w:r>
      <w:r w:rsidR="0046168A">
        <w:rPr>
          <w:rFonts w:ascii="Times New Roman" w:hAnsi="Times New Roman" w:cs="Times New Roman"/>
          <w:sz w:val="26"/>
          <w:szCs w:val="26"/>
        </w:rPr>
        <w:t xml:space="preserve"> </w:t>
      </w:r>
      <w:r w:rsidR="0046168A" w:rsidRPr="001E12CA">
        <w:rPr>
          <w:rFonts w:ascii="Times New Roman" w:hAnsi="Times New Roman" w:cs="Times New Roman"/>
          <w:sz w:val="26"/>
          <w:szCs w:val="26"/>
        </w:rPr>
        <w:t xml:space="preserve"> </w:t>
      </w:r>
      <w:r w:rsidR="0046168A" w:rsidRPr="00417260">
        <w:rPr>
          <w:rFonts w:ascii="Times New Roman" w:hAnsi="Times New Roman" w:cs="Times New Roman"/>
          <w:iCs/>
          <w:sz w:val="26"/>
          <w:szCs w:val="26"/>
        </w:rPr>
        <w:t>vis</w:t>
      </w:r>
      <w:r w:rsidR="004609E1">
        <w:rPr>
          <w:rFonts w:ascii="Times New Roman" w:hAnsi="Times New Roman" w:cs="Times New Roman"/>
          <w:iCs/>
          <w:sz w:val="26"/>
          <w:szCs w:val="26"/>
        </w:rPr>
        <w:t>u</w:t>
      </w:r>
      <w:r w:rsidR="0046168A" w:rsidRPr="00417260">
        <w:rPr>
          <w:rFonts w:ascii="Times New Roman" w:hAnsi="Times New Roman" w:cs="Times New Roman"/>
          <w:iCs/>
          <w:sz w:val="26"/>
          <w:szCs w:val="26"/>
        </w:rPr>
        <w:t xml:space="preserve"> jom</w:t>
      </w:r>
      <w:r w:rsidR="004609E1">
        <w:rPr>
          <w:rFonts w:ascii="Times New Roman" w:hAnsi="Times New Roman" w:cs="Times New Roman"/>
          <w:iCs/>
          <w:sz w:val="26"/>
          <w:szCs w:val="26"/>
        </w:rPr>
        <w:t>u</w:t>
      </w:r>
      <w:r w:rsidR="0046168A" w:rsidRPr="00417260">
        <w:rPr>
          <w:rFonts w:ascii="Times New Roman" w:hAnsi="Times New Roman" w:cs="Times New Roman"/>
          <w:iCs/>
          <w:sz w:val="26"/>
          <w:szCs w:val="26"/>
        </w:rPr>
        <w:t xml:space="preserve"> </w:t>
      </w:r>
      <w:r w:rsidR="004609E1" w:rsidRPr="00D33F4D">
        <w:rPr>
          <w:rFonts w:ascii="Times New Roman" w:hAnsi="Times New Roman" w:cs="Times New Roman"/>
          <w:iCs/>
          <w:sz w:val="26"/>
          <w:szCs w:val="26"/>
        </w:rPr>
        <w:t>koeficient</w:t>
      </w:r>
      <w:r w:rsidR="004609E1">
        <w:rPr>
          <w:rFonts w:ascii="Times New Roman" w:hAnsi="Times New Roman" w:cs="Times New Roman"/>
          <w:iCs/>
          <w:sz w:val="26"/>
          <w:szCs w:val="26"/>
        </w:rPr>
        <w:t xml:space="preserve">iem </w:t>
      </w:r>
      <w:r w:rsidR="003444D6" w:rsidRPr="00417260">
        <w:rPr>
          <w:rFonts w:ascii="Times New Roman" w:hAnsi="Times New Roman" w:cs="Times New Roman"/>
          <w:iCs/>
          <w:sz w:val="26"/>
          <w:szCs w:val="26"/>
        </w:rPr>
        <w:t xml:space="preserve">piemēro </w:t>
      </w:r>
      <w:r w:rsidR="004609E1">
        <w:rPr>
          <w:rFonts w:ascii="Times New Roman" w:hAnsi="Times New Roman" w:cs="Times New Roman"/>
          <w:iCs/>
          <w:sz w:val="26"/>
          <w:szCs w:val="26"/>
        </w:rPr>
        <w:t xml:space="preserve">pieauguma soli virs minimālajiem koeficientiem </w:t>
      </w:r>
      <w:r w:rsidR="004609E1" w:rsidRPr="005A10CF">
        <w:rPr>
          <w:rFonts w:ascii="Times New Roman" w:hAnsi="Times New Roman" w:cs="Times New Roman"/>
          <w:b/>
          <w:iCs/>
          <w:sz w:val="26"/>
          <w:szCs w:val="26"/>
        </w:rPr>
        <w:t>10%</w:t>
      </w:r>
      <w:r w:rsidR="004609E1">
        <w:rPr>
          <w:rFonts w:ascii="Times New Roman" w:hAnsi="Times New Roman" w:cs="Times New Roman"/>
          <w:iCs/>
          <w:sz w:val="26"/>
          <w:szCs w:val="26"/>
        </w:rPr>
        <w:t xml:space="preserve"> apmērā</w:t>
      </w:r>
      <w:r w:rsidR="004609E1" w:rsidRPr="00417260">
        <w:rPr>
          <w:rFonts w:ascii="Times New Roman" w:hAnsi="Times New Roman" w:cs="Times New Roman"/>
          <w:b/>
          <w:bCs/>
          <w:iCs/>
          <w:sz w:val="26"/>
          <w:szCs w:val="26"/>
        </w:rPr>
        <w:t xml:space="preserve"> </w:t>
      </w:r>
      <w:r w:rsidR="004609E1" w:rsidRPr="0016689D">
        <w:rPr>
          <w:rFonts w:ascii="Times New Roman" w:hAnsi="Times New Roman" w:cs="Times New Roman"/>
          <w:bCs/>
          <w:iCs/>
          <w:sz w:val="26"/>
          <w:szCs w:val="26"/>
        </w:rPr>
        <w:t>no starpības starp optimālajiem un minimālajiem koeficientiem</w:t>
      </w:r>
      <w:r w:rsidR="0046168A" w:rsidRPr="00417260">
        <w:rPr>
          <w:rFonts w:ascii="Times New Roman" w:hAnsi="Times New Roman" w:cs="Times New Roman"/>
          <w:iCs/>
          <w:sz w:val="26"/>
          <w:szCs w:val="26"/>
        </w:rPr>
        <w:t xml:space="preserve">, vienlaikus </w:t>
      </w:r>
      <w:r w:rsidR="00DB16DF">
        <w:rPr>
          <w:rFonts w:ascii="Times New Roman" w:hAnsi="Times New Roman" w:cs="Times New Roman"/>
          <w:bCs/>
          <w:iCs/>
          <w:sz w:val="26"/>
          <w:szCs w:val="26"/>
        </w:rPr>
        <w:t>D</w:t>
      </w:r>
      <w:r w:rsidR="0046168A" w:rsidRPr="001E12CA">
        <w:rPr>
          <w:rFonts w:ascii="Times New Roman" w:hAnsi="Times New Roman" w:cs="Times New Roman"/>
          <w:bCs/>
          <w:iCs/>
          <w:sz w:val="26"/>
          <w:szCs w:val="26"/>
        </w:rPr>
        <w:t xml:space="preserve">abaszinātņu, matemātikas un informācijas tehnoloģiju un </w:t>
      </w:r>
      <w:r w:rsidR="00DB16DF">
        <w:rPr>
          <w:rFonts w:ascii="Times New Roman" w:hAnsi="Times New Roman" w:cs="Times New Roman"/>
          <w:bCs/>
          <w:iCs/>
          <w:sz w:val="26"/>
          <w:szCs w:val="26"/>
        </w:rPr>
        <w:t>I</w:t>
      </w:r>
      <w:r w:rsidR="0046168A" w:rsidRPr="001E12CA">
        <w:rPr>
          <w:rFonts w:ascii="Times New Roman" w:hAnsi="Times New Roman" w:cs="Times New Roman"/>
          <w:bCs/>
          <w:iCs/>
          <w:sz w:val="26"/>
          <w:szCs w:val="26"/>
        </w:rPr>
        <w:t>nženierzinātņu, ražošanas un būvniecības</w:t>
      </w:r>
      <w:r w:rsidR="0046168A" w:rsidRPr="00417260">
        <w:rPr>
          <w:rFonts w:ascii="Times New Roman" w:hAnsi="Times New Roman" w:cs="Times New Roman"/>
          <w:iCs/>
          <w:sz w:val="26"/>
          <w:szCs w:val="26"/>
        </w:rPr>
        <w:t xml:space="preserve"> jom</w:t>
      </w:r>
      <w:r w:rsidR="005C4733">
        <w:rPr>
          <w:rFonts w:ascii="Times New Roman" w:hAnsi="Times New Roman" w:cs="Times New Roman"/>
          <w:iCs/>
          <w:sz w:val="26"/>
          <w:szCs w:val="26"/>
        </w:rPr>
        <w:t>ām</w:t>
      </w:r>
      <w:r w:rsidR="0046168A" w:rsidRPr="00417260">
        <w:rPr>
          <w:rFonts w:ascii="Times New Roman" w:hAnsi="Times New Roman" w:cs="Times New Roman"/>
          <w:iCs/>
          <w:sz w:val="26"/>
          <w:szCs w:val="26"/>
        </w:rPr>
        <w:t xml:space="preserve"> </w:t>
      </w:r>
      <w:r w:rsidR="003444D6">
        <w:rPr>
          <w:rFonts w:ascii="Times New Roman" w:hAnsi="Times New Roman" w:cs="Times New Roman"/>
          <w:iCs/>
          <w:sz w:val="26"/>
          <w:szCs w:val="26"/>
        </w:rPr>
        <w:t xml:space="preserve">piemēro </w:t>
      </w:r>
      <w:r w:rsidR="004609E1">
        <w:rPr>
          <w:rFonts w:ascii="Times New Roman" w:hAnsi="Times New Roman" w:cs="Times New Roman"/>
          <w:iCs/>
          <w:sz w:val="26"/>
          <w:szCs w:val="26"/>
        </w:rPr>
        <w:t xml:space="preserve">pieauguma soli virs minimālajiem koeficientiem </w:t>
      </w:r>
      <w:r w:rsidR="004609E1">
        <w:rPr>
          <w:rFonts w:ascii="Times New Roman" w:hAnsi="Times New Roman" w:cs="Times New Roman"/>
          <w:b/>
          <w:iCs/>
          <w:sz w:val="26"/>
          <w:szCs w:val="26"/>
        </w:rPr>
        <w:t>2</w:t>
      </w:r>
      <w:r w:rsidR="004609E1" w:rsidRPr="005A10CF">
        <w:rPr>
          <w:rFonts w:ascii="Times New Roman" w:hAnsi="Times New Roman" w:cs="Times New Roman"/>
          <w:b/>
          <w:iCs/>
          <w:sz w:val="26"/>
          <w:szCs w:val="26"/>
        </w:rPr>
        <w:t>0%</w:t>
      </w:r>
      <w:r w:rsidR="004609E1">
        <w:rPr>
          <w:rFonts w:ascii="Times New Roman" w:hAnsi="Times New Roman" w:cs="Times New Roman"/>
          <w:iCs/>
          <w:sz w:val="26"/>
          <w:szCs w:val="26"/>
        </w:rPr>
        <w:t xml:space="preserve"> apmērā</w:t>
      </w:r>
      <w:r w:rsidR="004609E1" w:rsidRPr="00417260">
        <w:rPr>
          <w:rFonts w:ascii="Times New Roman" w:hAnsi="Times New Roman" w:cs="Times New Roman"/>
          <w:b/>
          <w:bCs/>
          <w:iCs/>
          <w:sz w:val="26"/>
          <w:szCs w:val="26"/>
        </w:rPr>
        <w:t xml:space="preserve"> </w:t>
      </w:r>
      <w:r w:rsidR="004609E1" w:rsidRPr="0016689D">
        <w:rPr>
          <w:rFonts w:ascii="Times New Roman" w:hAnsi="Times New Roman" w:cs="Times New Roman"/>
          <w:bCs/>
          <w:iCs/>
          <w:sz w:val="26"/>
          <w:szCs w:val="26"/>
        </w:rPr>
        <w:t>no starpības starp optimālajiem un minimālajiem koeficientiem</w:t>
      </w:r>
      <w:r w:rsidR="00724432">
        <w:rPr>
          <w:rFonts w:ascii="Times New Roman" w:hAnsi="Times New Roman" w:cs="Times New Roman"/>
          <w:bCs/>
          <w:iCs/>
          <w:sz w:val="26"/>
          <w:szCs w:val="26"/>
        </w:rPr>
        <w:t xml:space="preserve">. </w:t>
      </w:r>
      <w:r w:rsidR="00724432">
        <w:rPr>
          <w:rFonts w:ascii="Times New Roman" w:hAnsi="Times New Roman" w:cs="Times New Roman"/>
          <w:iCs/>
          <w:sz w:val="26"/>
          <w:szCs w:val="26"/>
        </w:rPr>
        <w:t xml:space="preserve">2016.gadam piemērotie koeficienti - </w:t>
      </w:r>
      <w:r w:rsidR="005A5B74">
        <w:rPr>
          <w:rFonts w:ascii="Times New Roman" w:hAnsi="Times New Roman" w:cs="Times New Roman"/>
          <w:sz w:val="26"/>
          <w:szCs w:val="26"/>
        </w:rPr>
        <w:t xml:space="preserve">informatīvā ziņojuma </w:t>
      </w:r>
      <w:r w:rsidR="005A5B74" w:rsidRPr="00DE0CFF">
        <w:rPr>
          <w:rFonts w:ascii="Times New Roman" w:hAnsi="Times New Roman" w:cs="Times New Roman"/>
          <w:iCs/>
          <w:sz w:val="26"/>
          <w:szCs w:val="26"/>
        </w:rPr>
        <w:t>1.pielikum</w:t>
      </w:r>
      <w:r w:rsidR="005A5B74">
        <w:rPr>
          <w:rFonts w:ascii="Times New Roman" w:hAnsi="Times New Roman" w:cs="Times New Roman"/>
          <w:iCs/>
          <w:sz w:val="26"/>
          <w:szCs w:val="26"/>
        </w:rPr>
        <w:t>a 8.ail</w:t>
      </w:r>
      <w:r w:rsidR="00724432">
        <w:rPr>
          <w:rFonts w:ascii="Times New Roman" w:hAnsi="Times New Roman" w:cs="Times New Roman"/>
          <w:iCs/>
          <w:sz w:val="26"/>
          <w:szCs w:val="26"/>
        </w:rPr>
        <w:t>ē</w:t>
      </w:r>
      <w:r w:rsidR="0046168A" w:rsidRPr="00B06121">
        <w:rPr>
          <w:rFonts w:ascii="Times New Roman" w:hAnsi="Times New Roman" w:cs="Times New Roman"/>
          <w:bCs/>
          <w:iCs/>
          <w:sz w:val="26"/>
          <w:szCs w:val="26"/>
        </w:rPr>
        <w:t>.</w:t>
      </w:r>
    </w:p>
    <w:p w:rsidR="00F06C5F" w:rsidRPr="00D91BF6" w:rsidRDefault="00F06C5F" w:rsidP="00F06C5F">
      <w:pPr>
        <w:pStyle w:val="ListParagraph"/>
        <w:spacing w:after="0" w:line="240" w:lineRule="auto"/>
        <w:ind w:left="0" w:firstLine="720"/>
        <w:jc w:val="both"/>
        <w:rPr>
          <w:rFonts w:ascii="Times New Roman" w:hAnsi="Times New Roman" w:cs="Times New Roman"/>
          <w:sz w:val="26"/>
          <w:szCs w:val="26"/>
        </w:rPr>
      </w:pPr>
      <w:r w:rsidRPr="00D91BF6">
        <w:rPr>
          <w:rFonts w:ascii="Times New Roman" w:hAnsi="Times New Roman" w:cs="Times New Roman"/>
          <w:iCs/>
          <w:sz w:val="26"/>
          <w:szCs w:val="26"/>
        </w:rPr>
        <w:t xml:space="preserve">Valsts budžeta bāzes izdevumi </w:t>
      </w:r>
      <w:r>
        <w:rPr>
          <w:rFonts w:ascii="Times New Roman" w:hAnsi="Times New Roman" w:cs="Times New Roman"/>
          <w:iCs/>
          <w:sz w:val="26"/>
          <w:szCs w:val="26"/>
        </w:rPr>
        <w:t xml:space="preserve">2016.gadā </w:t>
      </w:r>
      <w:r w:rsidRPr="00D91BF6">
        <w:rPr>
          <w:rFonts w:ascii="Times New Roman" w:hAnsi="Times New Roman" w:cs="Times New Roman"/>
          <w:iCs/>
          <w:sz w:val="26"/>
          <w:szCs w:val="26"/>
        </w:rPr>
        <w:t>augstākajā izglītībā ir šādi</w:t>
      </w:r>
      <w:r>
        <w:rPr>
          <w:rFonts w:ascii="Times New Roman" w:hAnsi="Times New Roman" w:cs="Times New Roman"/>
          <w:iCs/>
          <w:sz w:val="26"/>
          <w:szCs w:val="26"/>
        </w:rPr>
        <w:t>:</w:t>
      </w:r>
    </w:p>
    <w:p w:rsidR="00F06C5F" w:rsidRDefault="00F06C5F" w:rsidP="00F06C5F">
      <w:pPr>
        <w:pStyle w:val="ListParagraph"/>
        <w:numPr>
          <w:ilvl w:val="1"/>
          <w:numId w:val="6"/>
        </w:numPr>
        <w:spacing w:after="0" w:line="240" w:lineRule="auto"/>
        <w:ind w:hanging="83"/>
        <w:jc w:val="both"/>
        <w:rPr>
          <w:rFonts w:ascii="Times New Roman" w:hAnsi="Times New Roman" w:cs="Times New Roman"/>
          <w:iCs/>
          <w:sz w:val="26"/>
          <w:szCs w:val="26"/>
        </w:rPr>
      </w:pPr>
      <w:r w:rsidRPr="00D91BF6">
        <w:rPr>
          <w:rFonts w:ascii="Times New Roman" w:hAnsi="Times New Roman" w:cs="Times New Roman"/>
          <w:iCs/>
          <w:sz w:val="26"/>
          <w:szCs w:val="26"/>
        </w:rPr>
        <w:t xml:space="preserve">IZM augstskolām </w:t>
      </w:r>
      <w:r w:rsidR="004C42E4">
        <w:rPr>
          <w:rFonts w:ascii="Times New Roman" w:hAnsi="Times New Roman" w:cs="Times New Roman"/>
          <w:b/>
          <w:iCs/>
          <w:sz w:val="26"/>
          <w:szCs w:val="26"/>
        </w:rPr>
        <w:t>40</w:t>
      </w:r>
      <w:r w:rsidR="00056575" w:rsidRPr="00056575">
        <w:rPr>
          <w:rFonts w:ascii="Times New Roman" w:hAnsi="Times New Roman" w:cs="Times New Roman"/>
          <w:b/>
          <w:iCs/>
          <w:sz w:val="26"/>
          <w:szCs w:val="26"/>
        </w:rPr>
        <w:t> </w:t>
      </w:r>
      <w:r w:rsidR="004C42E4">
        <w:rPr>
          <w:rFonts w:ascii="Times New Roman" w:hAnsi="Times New Roman" w:cs="Times New Roman"/>
          <w:b/>
          <w:iCs/>
          <w:sz w:val="26"/>
          <w:szCs w:val="26"/>
        </w:rPr>
        <w:t>141</w:t>
      </w:r>
      <w:r w:rsidR="00056575" w:rsidRPr="00056575">
        <w:rPr>
          <w:rFonts w:ascii="Times New Roman" w:hAnsi="Times New Roman" w:cs="Times New Roman"/>
          <w:b/>
          <w:iCs/>
          <w:sz w:val="26"/>
          <w:szCs w:val="26"/>
        </w:rPr>
        <w:t xml:space="preserve"> </w:t>
      </w:r>
      <w:r w:rsidR="004C42E4">
        <w:rPr>
          <w:rFonts w:ascii="Times New Roman" w:hAnsi="Times New Roman" w:cs="Times New Roman"/>
          <w:b/>
          <w:iCs/>
          <w:sz w:val="26"/>
          <w:szCs w:val="26"/>
        </w:rPr>
        <w:t>2</w:t>
      </w:r>
      <w:r w:rsidR="00056575" w:rsidRPr="00056575">
        <w:rPr>
          <w:rFonts w:ascii="Times New Roman" w:hAnsi="Times New Roman" w:cs="Times New Roman"/>
          <w:b/>
          <w:iCs/>
          <w:sz w:val="26"/>
          <w:szCs w:val="26"/>
        </w:rPr>
        <w:t>83</w:t>
      </w:r>
      <w:r>
        <w:rPr>
          <w:rFonts w:ascii="Times New Roman" w:hAnsi="Times New Roman" w:cs="Times New Roman"/>
          <w:iCs/>
          <w:sz w:val="26"/>
          <w:szCs w:val="26"/>
        </w:rPr>
        <w:t xml:space="preserve"> </w:t>
      </w:r>
      <w:r w:rsidRPr="00D91BF6">
        <w:rPr>
          <w:rFonts w:ascii="Times New Roman" w:hAnsi="Times New Roman" w:cs="Times New Roman"/>
          <w:b/>
          <w:iCs/>
          <w:sz w:val="26"/>
          <w:szCs w:val="26"/>
        </w:rPr>
        <w:t>lati</w:t>
      </w:r>
      <w:r w:rsidRPr="00D91BF6">
        <w:rPr>
          <w:rFonts w:ascii="Times New Roman" w:hAnsi="Times New Roman" w:cs="Times New Roman"/>
          <w:iCs/>
          <w:sz w:val="26"/>
          <w:szCs w:val="26"/>
        </w:rPr>
        <w:t>;</w:t>
      </w:r>
    </w:p>
    <w:p w:rsidR="00F06C5F" w:rsidRDefault="00F06C5F" w:rsidP="00F06C5F">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IZM koledžām </w:t>
      </w:r>
      <w:r w:rsidR="00B06121" w:rsidRPr="00B06121">
        <w:rPr>
          <w:rFonts w:ascii="Times New Roman" w:hAnsi="Times New Roman" w:cs="Times New Roman"/>
          <w:b/>
          <w:iCs/>
          <w:sz w:val="26"/>
          <w:szCs w:val="26"/>
        </w:rPr>
        <w:t>7 247 291</w:t>
      </w:r>
      <w:r>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F06C5F" w:rsidRDefault="00F06C5F" w:rsidP="00F06C5F">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Kultūras ministrijai </w:t>
      </w:r>
      <w:r>
        <w:rPr>
          <w:rFonts w:ascii="Times New Roman" w:hAnsi="Times New Roman" w:cs="Times New Roman"/>
          <w:b/>
          <w:iCs/>
          <w:sz w:val="26"/>
          <w:szCs w:val="26"/>
        </w:rPr>
        <w:t xml:space="preserve"> </w:t>
      </w:r>
      <w:r w:rsidR="00056575">
        <w:rPr>
          <w:rFonts w:ascii="Times New Roman" w:hAnsi="Times New Roman" w:cs="Times New Roman"/>
          <w:b/>
          <w:iCs/>
          <w:sz w:val="26"/>
          <w:szCs w:val="26"/>
        </w:rPr>
        <w:t>6 </w:t>
      </w:r>
      <w:r w:rsidR="00396475">
        <w:rPr>
          <w:rFonts w:ascii="Times New Roman" w:hAnsi="Times New Roman" w:cs="Times New Roman"/>
          <w:b/>
          <w:iCs/>
          <w:sz w:val="26"/>
          <w:szCs w:val="26"/>
        </w:rPr>
        <w:t>069</w:t>
      </w:r>
      <w:r w:rsidR="00056575">
        <w:rPr>
          <w:rFonts w:ascii="Times New Roman" w:hAnsi="Times New Roman" w:cs="Times New Roman"/>
          <w:b/>
          <w:iCs/>
          <w:sz w:val="26"/>
          <w:szCs w:val="26"/>
        </w:rPr>
        <w:t xml:space="preserve"> </w:t>
      </w:r>
      <w:r w:rsidR="00396475">
        <w:rPr>
          <w:rFonts w:ascii="Times New Roman" w:hAnsi="Times New Roman" w:cs="Times New Roman"/>
          <w:b/>
          <w:iCs/>
          <w:sz w:val="26"/>
          <w:szCs w:val="26"/>
        </w:rPr>
        <w:t>586</w:t>
      </w:r>
      <w:r>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F06C5F" w:rsidRDefault="00F06C5F" w:rsidP="00F06C5F">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Veselības ministrijai </w:t>
      </w:r>
      <w:r>
        <w:rPr>
          <w:rFonts w:ascii="Times New Roman" w:hAnsi="Times New Roman" w:cs="Times New Roman"/>
          <w:b/>
          <w:iCs/>
          <w:sz w:val="26"/>
          <w:szCs w:val="26"/>
        </w:rPr>
        <w:t xml:space="preserve"> </w:t>
      </w:r>
      <w:r w:rsidR="00056575">
        <w:rPr>
          <w:rFonts w:ascii="Times New Roman" w:hAnsi="Times New Roman" w:cs="Times New Roman"/>
          <w:b/>
          <w:iCs/>
          <w:sz w:val="26"/>
          <w:szCs w:val="26"/>
        </w:rPr>
        <w:t>11 945 530</w:t>
      </w:r>
      <w:r>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A0378A" w:rsidRDefault="00F06C5F" w:rsidP="00A0378A">
      <w:pPr>
        <w:pStyle w:val="ListParagraph"/>
        <w:numPr>
          <w:ilvl w:val="1"/>
          <w:numId w:val="6"/>
        </w:numPr>
        <w:spacing w:after="0" w:line="240" w:lineRule="auto"/>
        <w:ind w:hanging="83"/>
        <w:jc w:val="both"/>
        <w:rPr>
          <w:rFonts w:ascii="Times New Roman" w:hAnsi="Times New Roman" w:cs="Times New Roman"/>
          <w:iCs/>
          <w:sz w:val="26"/>
          <w:szCs w:val="26"/>
        </w:rPr>
      </w:pPr>
      <w:r>
        <w:rPr>
          <w:rFonts w:ascii="Times New Roman" w:hAnsi="Times New Roman" w:cs="Times New Roman"/>
          <w:iCs/>
          <w:sz w:val="26"/>
          <w:szCs w:val="26"/>
        </w:rPr>
        <w:t xml:space="preserve">Zemkopības ministrijai </w:t>
      </w:r>
      <w:r w:rsidR="00056575" w:rsidRPr="00056575">
        <w:rPr>
          <w:rFonts w:ascii="Times New Roman" w:hAnsi="Times New Roman" w:cs="Times New Roman"/>
          <w:b/>
          <w:iCs/>
          <w:sz w:val="26"/>
          <w:szCs w:val="26"/>
        </w:rPr>
        <w:t>6 630 951</w:t>
      </w:r>
      <w:r>
        <w:rPr>
          <w:rFonts w:ascii="Times New Roman" w:hAnsi="Times New Roman" w:cs="Times New Roman"/>
          <w:b/>
          <w:iCs/>
          <w:sz w:val="26"/>
          <w:szCs w:val="26"/>
        </w:rPr>
        <w:t xml:space="preserve"> </w:t>
      </w:r>
      <w:r w:rsidRPr="00993EF1">
        <w:rPr>
          <w:rFonts w:ascii="Times New Roman" w:hAnsi="Times New Roman" w:cs="Times New Roman"/>
          <w:b/>
          <w:iCs/>
          <w:sz w:val="26"/>
          <w:szCs w:val="26"/>
        </w:rPr>
        <w:t>lati</w:t>
      </w:r>
      <w:r>
        <w:rPr>
          <w:rFonts w:ascii="Times New Roman" w:hAnsi="Times New Roman" w:cs="Times New Roman"/>
          <w:iCs/>
          <w:sz w:val="26"/>
          <w:szCs w:val="26"/>
        </w:rPr>
        <w:t>.</w:t>
      </w:r>
    </w:p>
    <w:p w:rsidR="00E63470" w:rsidRDefault="00E63470" w:rsidP="00E63470">
      <w:pPr>
        <w:pStyle w:val="ListParagraph"/>
        <w:spacing w:after="0" w:line="240" w:lineRule="auto"/>
        <w:ind w:left="792"/>
        <w:jc w:val="both"/>
        <w:rPr>
          <w:rFonts w:ascii="Times New Roman" w:hAnsi="Times New Roman" w:cs="Times New Roman"/>
          <w:iCs/>
          <w:sz w:val="26"/>
          <w:szCs w:val="26"/>
        </w:rPr>
      </w:pPr>
    </w:p>
    <w:p w:rsidR="0053777D" w:rsidRPr="00172B27" w:rsidRDefault="00A0378A" w:rsidP="00172B27">
      <w:pPr>
        <w:spacing w:after="0" w:line="240" w:lineRule="auto"/>
        <w:ind w:firstLine="709"/>
        <w:jc w:val="both"/>
        <w:rPr>
          <w:rFonts w:ascii="Times New Roman" w:hAnsi="Times New Roman" w:cs="Times New Roman"/>
          <w:iCs/>
          <w:sz w:val="26"/>
          <w:szCs w:val="26"/>
        </w:rPr>
      </w:pPr>
      <w:r>
        <w:rPr>
          <w:rFonts w:ascii="Times New Roman" w:hAnsi="Times New Roman" w:cs="Times New Roman"/>
          <w:bCs/>
          <w:iCs/>
          <w:sz w:val="26"/>
          <w:szCs w:val="26"/>
        </w:rPr>
        <w:t>Visi p</w:t>
      </w:r>
      <w:r w:rsidRPr="00A0378A">
        <w:rPr>
          <w:rFonts w:ascii="Times New Roman" w:hAnsi="Times New Roman" w:cs="Times New Roman"/>
          <w:bCs/>
          <w:iCs/>
          <w:sz w:val="26"/>
          <w:szCs w:val="26"/>
        </w:rPr>
        <w:t xml:space="preserve">riekšlikumi </w:t>
      </w:r>
      <w:r w:rsidRPr="00360540">
        <w:rPr>
          <w:rFonts w:ascii="Times New Roman" w:hAnsi="Times New Roman" w:cs="Times New Roman"/>
          <w:sz w:val="26"/>
          <w:szCs w:val="26"/>
        </w:rPr>
        <w:t xml:space="preserve">iekļaušanai </w:t>
      </w:r>
      <w:r>
        <w:rPr>
          <w:rFonts w:ascii="Times New Roman" w:hAnsi="Times New Roman" w:cs="Times New Roman"/>
          <w:sz w:val="26"/>
          <w:szCs w:val="26"/>
        </w:rPr>
        <w:t xml:space="preserve">likumprojektā „Par vidēja termiņa </w:t>
      </w:r>
      <w:r w:rsidRPr="00360540">
        <w:rPr>
          <w:rFonts w:ascii="Times New Roman" w:hAnsi="Times New Roman" w:cs="Times New Roman"/>
          <w:sz w:val="26"/>
          <w:szCs w:val="26"/>
        </w:rPr>
        <w:t xml:space="preserve">budžeta bāzes </w:t>
      </w:r>
      <w:r w:rsidR="00D75DFA">
        <w:rPr>
          <w:rFonts w:ascii="Times New Roman" w:hAnsi="Times New Roman" w:cs="Times New Roman"/>
          <w:sz w:val="26"/>
          <w:szCs w:val="26"/>
        </w:rPr>
        <w:t>ietvaru</w:t>
      </w:r>
      <w:r>
        <w:rPr>
          <w:rFonts w:ascii="Times New Roman" w:hAnsi="Times New Roman" w:cs="Times New Roman"/>
          <w:sz w:val="26"/>
          <w:szCs w:val="26"/>
        </w:rPr>
        <w:t xml:space="preserve"> 2014.gadā, 2015.gadā un 2016.gadā” un likumprojektā „Par valsts budžetu 2014.gadam” </w:t>
      </w:r>
      <w:r w:rsidRPr="00A0378A">
        <w:rPr>
          <w:rFonts w:ascii="Times New Roman" w:hAnsi="Times New Roman" w:cs="Times New Roman"/>
          <w:sz w:val="26"/>
          <w:szCs w:val="26"/>
        </w:rPr>
        <w:t>par studiju izmaksu koeficientu nodrošinājuma līmeņa palielinājum</w:t>
      </w:r>
      <w:r>
        <w:rPr>
          <w:rFonts w:ascii="Times New Roman" w:hAnsi="Times New Roman" w:cs="Times New Roman"/>
          <w:sz w:val="26"/>
          <w:szCs w:val="26"/>
        </w:rPr>
        <w:t xml:space="preserve">u apkopoti </w:t>
      </w:r>
      <w:r w:rsidR="005D53B0">
        <w:rPr>
          <w:rFonts w:ascii="Times New Roman" w:hAnsi="Times New Roman" w:cs="Times New Roman"/>
          <w:sz w:val="26"/>
          <w:szCs w:val="26"/>
        </w:rPr>
        <w:t>5</w:t>
      </w:r>
      <w:r>
        <w:rPr>
          <w:rFonts w:ascii="Times New Roman" w:hAnsi="Times New Roman" w:cs="Times New Roman"/>
          <w:sz w:val="26"/>
          <w:szCs w:val="26"/>
        </w:rPr>
        <w:t>.</w:t>
      </w:r>
      <w:r w:rsidR="005F4BAB">
        <w:rPr>
          <w:rFonts w:ascii="Times New Roman" w:hAnsi="Times New Roman" w:cs="Times New Roman"/>
          <w:sz w:val="26"/>
          <w:szCs w:val="26"/>
        </w:rPr>
        <w:t>1., 5.2. un 5.3.tabulās</w:t>
      </w:r>
      <w:r>
        <w:rPr>
          <w:rFonts w:ascii="Times New Roman" w:hAnsi="Times New Roman" w:cs="Times New Roman"/>
          <w:sz w:val="26"/>
          <w:szCs w:val="26"/>
        </w:rPr>
        <w:t>.</w:t>
      </w:r>
      <w:r w:rsidRPr="00A0378A">
        <w:rPr>
          <w:rFonts w:ascii="Times New Roman" w:hAnsi="Times New Roman" w:cs="Times New Roman"/>
          <w:sz w:val="26"/>
          <w:szCs w:val="26"/>
        </w:rPr>
        <w:t xml:space="preserve"> </w:t>
      </w:r>
      <w:r w:rsidR="00417260" w:rsidRPr="00A0378A">
        <w:rPr>
          <w:rFonts w:ascii="Times New Roman" w:hAnsi="Times New Roman" w:cs="Times New Roman"/>
          <w:iCs/>
          <w:sz w:val="26"/>
          <w:szCs w:val="26"/>
        </w:rPr>
        <w:t xml:space="preserve">                                                                                 </w:t>
      </w:r>
      <w:r w:rsidRPr="00A0378A">
        <w:rPr>
          <w:rFonts w:ascii="Times New Roman" w:hAnsi="Times New Roman" w:cs="Times New Roman"/>
          <w:iCs/>
          <w:sz w:val="26"/>
          <w:szCs w:val="26"/>
        </w:rPr>
        <w:t xml:space="preserve">                              </w:t>
      </w:r>
    </w:p>
    <w:p w:rsidR="0053777D" w:rsidRDefault="0053777D" w:rsidP="0053777D">
      <w:pPr>
        <w:spacing w:after="0" w:line="240" w:lineRule="auto"/>
        <w:jc w:val="right"/>
        <w:rPr>
          <w:rFonts w:ascii="Times New Roman" w:hAnsi="Times New Roman" w:cs="Times New Roman"/>
          <w:i/>
          <w:sz w:val="26"/>
          <w:szCs w:val="26"/>
        </w:rPr>
      </w:pPr>
    </w:p>
    <w:p w:rsidR="00E96CA6" w:rsidRDefault="00172B27" w:rsidP="00E96CA6">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7</w:t>
      </w:r>
      <w:r w:rsidR="00E96CA6">
        <w:rPr>
          <w:rFonts w:ascii="Times New Roman" w:hAnsi="Times New Roman" w:cs="Times New Roman"/>
          <w:i/>
          <w:sz w:val="26"/>
          <w:szCs w:val="26"/>
        </w:rPr>
        <w:t>.</w:t>
      </w:r>
      <w:r w:rsidR="00E96CA6" w:rsidRPr="000F0922">
        <w:rPr>
          <w:rFonts w:ascii="Times New Roman" w:hAnsi="Times New Roman" w:cs="Times New Roman"/>
          <w:i/>
          <w:sz w:val="26"/>
          <w:szCs w:val="26"/>
        </w:rPr>
        <w:t>tabula</w:t>
      </w:r>
    </w:p>
    <w:p w:rsidR="00172B27" w:rsidRDefault="00B42240" w:rsidP="00172B27">
      <w:pPr>
        <w:spacing w:after="0" w:line="240" w:lineRule="auto"/>
        <w:jc w:val="center"/>
        <w:rPr>
          <w:rFonts w:ascii="Times New Roman" w:hAnsi="Times New Roman" w:cs="Times New Roman"/>
          <w:b/>
          <w:sz w:val="26"/>
          <w:szCs w:val="26"/>
        </w:rPr>
      </w:pPr>
      <w:r>
        <w:rPr>
          <w:rFonts w:ascii="Times New Roman" w:hAnsi="Times New Roman" w:cs="Times New Roman"/>
          <w:b/>
          <w:iCs/>
          <w:sz w:val="26"/>
          <w:szCs w:val="26"/>
        </w:rPr>
        <w:t>Aprēķina kopsavilkums par v</w:t>
      </w:r>
      <w:r w:rsidRPr="00D958BF">
        <w:rPr>
          <w:rFonts w:ascii="Times New Roman" w:hAnsi="Times New Roman" w:cs="Times New Roman"/>
          <w:b/>
          <w:iCs/>
          <w:sz w:val="26"/>
          <w:szCs w:val="26"/>
        </w:rPr>
        <w:t>alsts budžeta bāzes izdevumi</w:t>
      </w:r>
      <w:r>
        <w:rPr>
          <w:rFonts w:ascii="Times New Roman" w:hAnsi="Times New Roman" w:cs="Times New Roman"/>
          <w:b/>
          <w:iCs/>
          <w:sz w:val="26"/>
          <w:szCs w:val="26"/>
        </w:rPr>
        <w:t>em</w:t>
      </w:r>
      <w:r w:rsidR="00172B27" w:rsidRPr="00D958BF">
        <w:rPr>
          <w:rFonts w:ascii="Times New Roman" w:hAnsi="Times New Roman" w:cs="Times New Roman"/>
          <w:b/>
          <w:iCs/>
          <w:sz w:val="26"/>
          <w:szCs w:val="26"/>
        </w:rPr>
        <w:t xml:space="preserve"> </w:t>
      </w:r>
      <w:r w:rsidR="00172B27">
        <w:rPr>
          <w:rFonts w:ascii="Times New Roman" w:hAnsi="Times New Roman" w:cs="Times New Roman"/>
          <w:b/>
          <w:sz w:val="26"/>
          <w:szCs w:val="26"/>
        </w:rPr>
        <w:t>augstākajā izglītībā</w:t>
      </w:r>
      <w:r w:rsidR="00172B27" w:rsidRPr="00177582">
        <w:rPr>
          <w:rFonts w:ascii="Times New Roman" w:hAnsi="Times New Roman" w:cs="Times New Roman"/>
          <w:b/>
          <w:sz w:val="26"/>
          <w:szCs w:val="26"/>
        </w:rPr>
        <w:t xml:space="preserve"> 201</w:t>
      </w:r>
      <w:r w:rsidR="00172B27">
        <w:rPr>
          <w:rFonts w:ascii="Times New Roman" w:hAnsi="Times New Roman" w:cs="Times New Roman"/>
          <w:b/>
          <w:sz w:val="26"/>
          <w:szCs w:val="26"/>
        </w:rPr>
        <w:t>6</w:t>
      </w:r>
      <w:r w:rsidR="00172B27" w:rsidRPr="00177582">
        <w:rPr>
          <w:rFonts w:ascii="Times New Roman" w:hAnsi="Times New Roman" w:cs="Times New Roman"/>
          <w:b/>
          <w:sz w:val="26"/>
          <w:szCs w:val="26"/>
        </w:rPr>
        <w:t>.gad</w:t>
      </w:r>
      <w:r w:rsidR="00172B27">
        <w:rPr>
          <w:rFonts w:ascii="Times New Roman" w:hAnsi="Times New Roman" w:cs="Times New Roman"/>
          <w:b/>
          <w:sz w:val="26"/>
          <w:szCs w:val="26"/>
        </w:rPr>
        <w:t>ā, latos</w:t>
      </w:r>
    </w:p>
    <w:p w:rsidR="00E96CA6" w:rsidRDefault="00E96CA6" w:rsidP="00E96CA6">
      <w:pPr>
        <w:spacing w:after="0" w:line="240" w:lineRule="auto"/>
        <w:jc w:val="right"/>
        <w:rPr>
          <w:rFonts w:ascii="Times New Roman" w:hAnsi="Times New Roman" w:cs="Times New Roman"/>
          <w:i/>
          <w:sz w:val="26"/>
          <w:szCs w:val="26"/>
        </w:rPr>
      </w:pPr>
    </w:p>
    <w:tbl>
      <w:tblPr>
        <w:tblW w:w="9768" w:type="dxa"/>
        <w:tblInd w:w="-318" w:type="dxa"/>
        <w:tblLayout w:type="fixed"/>
        <w:tblLook w:val="04A0"/>
      </w:tblPr>
      <w:tblGrid>
        <w:gridCol w:w="791"/>
        <w:gridCol w:w="2045"/>
        <w:gridCol w:w="1476"/>
        <w:gridCol w:w="1378"/>
        <w:gridCol w:w="1384"/>
        <w:gridCol w:w="1317"/>
        <w:gridCol w:w="1377"/>
      </w:tblGrid>
      <w:tr w:rsidR="00E96CA6" w:rsidRPr="00427157" w:rsidTr="00671AFC">
        <w:trPr>
          <w:trHeight w:val="201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CA6" w:rsidRPr="00427157" w:rsidRDefault="00E96CA6" w:rsidP="00671AFC">
            <w:pPr>
              <w:spacing w:after="0" w:line="240" w:lineRule="auto"/>
              <w:jc w:val="center"/>
              <w:rPr>
                <w:rFonts w:ascii="Times New Roman" w:eastAsia="Times New Roman" w:hAnsi="Times New Roman" w:cs="Times New Roman"/>
                <w:lang w:eastAsia="lv-LV"/>
              </w:rPr>
            </w:pPr>
            <w:proofErr w:type="spellStart"/>
            <w:r w:rsidRPr="00427157">
              <w:rPr>
                <w:rFonts w:ascii="Times New Roman" w:eastAsia="Times New Roman" w:hAnsi="Times New Roman" w:cs="Times New Roman"/>
                <w:lang w:eastAsia="lv-LV"/>
              </w:rPr>
              <w:lastRenderedPageBreak/>
              <w:t>N.p.k</w:t>
            </w:r>
            <w:proofErr w:type="spellEnd"/>
            <w:r w:rsidRPr="00427157">
              <w:rPr>
                <w:rFonts w:ascii="Times New Roman" w:eastAsia="Times New Roman" w:hAnsi="Times New Roman" w:cs="Times New Roman"/>
                <w:lang w:eastAsia="lv-LV"/>
              </w:rPr>
              <w:t>.</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E96CA6" w:rsidRPr="00427157" w:rsidRDefault="00E96CA6" w:rsidP="00671AFC">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Ministrija</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E96CA6" w:rsidRPr="00427157" w:rsidRDefault="00E96CA6" w:rsidP="00671AFC">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xml:space="preserve"> </w:t>
            </w:r>
            <w:r w:rsidRPr="00427157">
              <w:rPr>
                <w:rFonts w:ascii="Times New Roman" w:eastAsia="Times New Roman" w:hAnsi="Times New Roman" w:cs="Times New Roman"/>
                <w:b/>
                <w:bCs/>
                <w:lang w:eastAsia="lv-LV"/>
              </w:rPr>
              <w:t>Esošā</w:t>
            </w:r>
            <w:r w:rsidRPr="00427157">
              <w:rPr>
                <w:rFonts w:ascii="Times New Roman" w:eastAsia="Times New Roman" w:hAnsi="Times New Roman" w:cs="Times New Roman"/>
                <w:lang w:eastAsia="lv-LV"/>
              </w:rPr>
              <w:t xml:space="preserve"> valsts budžeta dotācija no vispārējiem ieņēmumiem 2013.gadā</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E96CA6" w:rsidRPr="00427157" w:rsidRDefault="00E96CA6" w:rsidP="00671AFC">
            <w:pPr>
              <w:spacing w:after="0" w:line="240" w:lineRule="auto"/>
              <w:jc w:val="center"/>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Valsts budžeta dotācija, pielietojot optimālos studiju izmaksu koeficientus</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E96CA6" w:rsidRPr="00716F0A" w:rsidRDefault="00E96CA6" w:rsidP="00E30D38">
            <w:pPr>
              <w:jc w:val="center"/>
              <w:rPr>
                <w:rFonts w:ascii="Times New Roman" w:hAnsi="Times New Roman" w:cs="Times New Roman"/>
              </w:rPr>
            </w:pPr>
            <w:r w:rsidRPr="00716F0A">
              <w:rPr>
                <w:rFonts w:ascii="Times New Roman" w:hAnsi="Times New Roman" w:cs="Times New Roman"/>
              </w:rPr>
              <w:t xml:space="preserve">Budžeta </w:t>
            </w:r>
            <w:r w:rsidRPr="00716F0A">
              <w:rPr>
                <w:rFonts w:ascii="Times New Roman" w:hAnsi="Times New Roman" w:cs="Times New Roman"/>
                <w:b/>
                <w:bCs/>
              </w:rPr>
              <w:t>bāze 201</w:t>
            </w:r>
            <w:r w:rsidR="00E30D38">
              <w:rPr>
                <w:rFonts w:ascii="Times New Roman" w:hAnsi="Times New Roman" w:cs="Times New Roman"/>
                <w:b/>
                <w:bCs/>
              </w:rPr>
              <w:t>6</w:t>
            </w:r>
            <w:r w:rsidRPr="00716F0A">
              <w:rPr>
                <w:rFonts w:ascii="Times New Roman" w:hAnsi="Times New Roman" w:cs="Times New Roman"/>
                <w:b/>
                <w:bCs/>
              </w:rPr>
              <w:t>.gadā</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E96CA6" w:rsidRPr="00716F0A" w:rsidRDefault="00E96CA6" w:rsidP="00671AFC">
            <w:pPr>
              <w:jc w:val="center"/>
              <w:rPr>
                <w:rFonts w:ascii="Times New Roman" w:hAnsi="Times New Roman" w:cs="Times New Roman"/>
              </w:rPr>
            </w:pPr>
            <w:r w:rsidRPr="00716F0A">
              <w:rPr>
                <w:rFonts w:ascii="Times New Roman" w:hAnsi="Times New Roman" w:cs="Times New Roman"/>
              </w:rPr>
              <w:t>Pieaugums pret esošo 2013.gadā (5.aile-3.aile)</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E96CA6" w:rsidRPr="00716F0A" w:rsidRDefault="00E96CA6" w:rsidP="00E30D38">
            <w:pPr>
              <w:jc w:val="center"/>
              <w:rPr>
                <w:rFonts w:ascii="Times New Roman" w:hAnsi="Times New Roman" w:cs="Times New Roman"/>
              </w:rPr>
            </w:pPr>
            <w:r w:rsidRPr="00716F0A">
              <w:rPr>
                <w:rFonts w:ascii="Times New Roman" w:hAnsi="Times New Roman" w:cs="Times New Roman"/>
              </w:rPr>
              <w:t>Nodrošinājuma līmenis 201</w:t>
            </w:r>
            <w:r w:rsidR="00E30D38">
              <w:rPr>
                <w:rFonts w:ascii="Times New Roman" w:hAnsi="Times New Roman" w:cs="Times New Roman"/>
              </w:rPr>
              <w:t>6</w:t>
            </w:r>
            <w:r w:rsidRPr="00716F0A">
              <w:rPr>
                <w:rFonts w:ascii="Times New Roman" w:hAnsi="Times New Roman" w:cs="Times New Roman"/>
              </w:rPr>
              <w:t xml:space="preserve">.gadā pret </w:t>
            </w:r>
            <w:r w:rsidRPr="00716F0A">
              <w:rPr>
                <w:rFonts w:ascii="Times New Roman" w:hAnsi="Times New Roman" w:cs="Times New Roman"/>
                <w:b/>
                <w:bCs/>
              </w:rPr>
              <w:t>optimālo</w:t>
            </w:r>
            <w:r w:rsidRPr="00716F0A">
              <w:rPr>
                <w:rFonts w:ascii="Times New Roman" w:hAnsi="Times New Roman" w:cs="Times New Roman"/>
              </w:rPr>
              <w:t xml:space="preserve"> % </w:t>
            </w:r>
          </w:p>
        </w:tc>
      </w:tr>
      <w:tr w:rsidR="00E96CA6" w:rsidRPr="00427157" w:rsidTr="00671AFC">
        <w:trPr>
          <w:trHeight w:val="3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E96CA6" w:rsidRPr="00765CCF" w:rsidRDefault="00E96CA6" w:rsidP="00671AFC">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1</w:t>
            </w:r>
          </w:p>
        </w:tc>
        <w:tc>
          <w:tcPr>
            <w:tcW w:w="2045" w:type="dxa"/>
            <w:tcBorders>
              <w:top w:val="nil"/>
              <w:left w:val="nil"/>
              <w:bottom w:val="single" w:sz="4" w:space="0" w:color="auto"/>
              <w:right w:val="single" w:sz="4" w:space="0" w:color="auto"/>
            </w:tcBorders>
            <w:shd w:val="clear" w:color="auto" w:fill="auto"/>
            <w:noWrap/>
            <w:vAlign w:val="center"/>
            <w:hideMark/>
          </w:tcPr>
          <w:p w:rsidR="00E96CA6" w:rsidRPr="00765CCF" w:rsidRDefault="00E96CA6" w:rsidP="00671AFC">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2</w:t>
            </w:r>
          </w:p>
        </w:tc>
        <w:tc>
          <w:tcPr>
            <w:tcW w:w="1476" w:type="dxa"/>
            <w:tcBorders>
              <w:top w:val="nil"/>
              <w:left w:val="nil"/>
              <w:bottom w:val="single" w:sz="4" w:space="0" w:color="auto"/>
              <w:right w:val="single" w:sz="4" w:space="0" w:color="auto"/>
            </w:tcBorders>
            <w:shd w:val="clear" w:color="auto" w:fill="auto"/>
            <w:noWrap/>
            <w:vAlign w:val="center"/>
            <w:hideMark/>
          </w:tcPr>
          <w:p w:rsidR="00E96CA6" w:rsidRPr="00765CCF" w:rsidRDefault="00E96CA6" w:rsidP="00671AFC">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3</w:t>
            </w:r>
          </w:p>
        </w:tc>
        <w:tc>
          <w:tcPr>
            <w:tcW w:w="1378" w:type="dxa"/>
            <w:tcBorders>
              <w:top w:val="nil"/>
              <w:left w:val="nil"/>
              <w:bottom w:val="single" w:sz="4" w:space="0" w:color="auto"/>
              <w:right w:val="single" w:sz="4" w:space="0" w:color="auto"/>
            </w:tcBorders>
            <w:shd w:val="clear" w:color="auto" w:fill="auto"/>
            <w:noWrap/>
            <w:vAlign w:val="center"/>
            <w:hideMark/>
          </w:tcPr>
          <w:p w:rsidR="00E96CA6" w:rsidRPr="00765CCF" w:rsidRDefault="00E96CA6" w:rsidP="00671AFC">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4</w:t>
            </w:r>
          </w:p>
        </w:tc>
        <w:tc>
          <w:tcPr>
            <w:tcW w:w="1384" w:type="dxa"/>
            <w:tcBorders>
              <w:top w:val="nil"/>
              <w:left w:val="nil"/>
              <w:bottom w:val="single" w:sz="4" w:space="0" w:color="auto"/>
              <w:right w:val="single" w:sz="4" w:space="0" w:color="auto"/>
            </w:tcBorders>
            <w:shd w:val="clear" w:color="auto" w:fill="auto"/>
            <w:noWrap/>
            <w:vAlign w:val="center"/>
            <w:hideMark/>
          </w:tcPr>
          <w:p w:rsidR="00E96CA6" w:rsidRPr="00765CCF" w:rsidRDefault="00E96CA6" w:rsidP="00671AFC">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5</w:t>
            </w:r>
          </w:p>
        </w:tc>
        <w:tc>
          <w:tcPr>
            <w:tcW w:w="1317" w:type="dxa"/>
            <w:tcBorders>
              <w:top w:val="nil"/>
              <w:left w:val="nil"/>
              <w:bottom w:val="single" w:sz="4" w:space="0" w:color="auto"/>
              <w:right w:val="single" w:sz="4" w:space="0" w:color="auto"/>
            </w:tcBorders>
            <w:shd w:val="clear" w:color="auto" w:fill="auto"/>
            <w:noWrap/>
            <w:vAlign w:val="center"/>
            <w:hideMark/>
          </w:tcPr>
          <w:p w:rsidR="00E96CA6" w:rsidRPr="00765CCF" w:rsidRDefault="00E96CA6" w:rsidP="00671AFC">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6</w:t>
            </w:r>
          </w:p>
        </w:tc>
        <w:tc>
          <w:tcPr>
            <w:tcW w:w="1377" w:type="dxa"/>
            <w:tcBorders>
              <w:top w:val="nil"/>
              <w:left w:val="nil"/>
              <w:bottom w:val="single" w:sz="4" w:space="0" w:color="auto"/>
              <w:right w:val="single" w:sz="4" w:space="0" w:color="auto"/>
            </w:tcBorders>
            <w:shd w:val="clear" w:color="auto" w:fill="auto"/>
            <w:noWrap/>
            <w:vAlign w:val="center"/>
            <w:hideMark/>
          </w:tcPr>
          <w:p w:rsidR="00E96CA6" w:rsidRPr="00765CCF" w:rsidRDefault="00E96CA6" w:rsidP="00671AFC">
            <w:pPr>
              <w:spacing w:after="0" w:line="240" w:lineRule="auto"/>
              <w:jc w:val="center"/>
              <w:rPr>
                <w:rFonts w:ascii="Times New Roman" w:eastAsia="Times New Roman" w:hAnsi="Times New Roman" w:cs="Times New Roman"/>
                <w:i/>
                <w:iCs/>
                <w:sz w:val="18"/>
                <w:szCs w:val="18"/>
                <w:lang w:eastAsia="lv-LV"/>
              </w:rPr>
            </w:pPr>
            <w:r w:rsidRPr="00765CCF">
              <w:rPr>
                <w:rFonts w:ascii="Times New Roman" w:eastAsia="Times New Roman" w:hAnsi="Times New Roman" w:cs="Times New Roman"/>
                <w:i/>
                <w:iCs/>
                <w:sz w:val="18"/>
                <w:szCs w:val="18"/>
                <w:lang w:eastAsia="lv-LV"/>
              </w:rPr>
              <w:t>7</w:t>
            </w:r>
          </w:p>
        </w:tc>
      </w:tr>
      <w:tr w:rsidR="00E96CA6" w:rsidRPr="00427157" w:rsidTr="00671AFC">
        <w:trPr>
          <w:trHeight w:val="576"/>
        </w:trPr>
        <w:tc>
          <w:tcPr>
            <w:tcW w:w="791" w:type="dxa"/>
            <w:tcBorders>
              <w:top w:val="nil"/>
              <w:left w:val="single" w:sz="4" w:space="0" w:color="auto"/>
              <w:bottom w:val="nil"/>
              <w:right w:val="single" w:sz="4" w:space="0" w:color="auto"/>
            </w:tcBorders>
            <w:shd w:val="clear" w:color="auto" w:fill="auto"/>
            <w:vAlign w:val="center"/>
            <w:hideMark/>
          </w:tcPr>
          <w:p w:rsidR="00E96CA6" w:rsidRPr="00427157" w:rsidRDefault="00E96CA6" w:rsidP="00671AFC">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1.</w:t>
            </w:r>
          </w:p>
        </w:tc>
        <w:tc>
          <w:tcPr>
            <w:tcW w:w="8977" w:type="dxa"/>
            <w:gridSpan w:val="6"/>
            <w:tcBorders>
              <w:top w:val="nil"/>
              <w:left w:val="nil"/>
              <w:bottom w:val="single" w:sz="4" w:space="0" w:color="auto"/>
              <w:right w:val="single" w:sz="4" w:space="0" w:color="auto"/>
            </w:tcBorders>
            <w:shd w:val="clear" w:color="auto" w:fill="auto"/>
            <w:noWrap/>
            <w:vAlign w:val="bottom"/>
            <w:hideMark/>
          </w:tcPr>
          <w:p w:rsidR="00E96CA6" w:rsidRPr="00427157" w:rsidRDefault="00E96CA6" w:rsidP="00671AFC">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Izglītības un zinātnes ministrija</w:t>
            </w:r>
            <w:r w:rsidRPr="00427157">
              <w:rPr>
                <w:rFonts w:ascii="Times New Roman" w:eastAsia="Times New Roman" w:hAnsi="Times New Roman" w:cs="Times New Roman"/>
                <w:lang w:eastAsia="lv-LV"/>
              </w:rPr>
              <w:t xml:space="preserve">, </w:t>
            </w:r>
            <w:r w:rsidRPr="00427157">
              <w:rPr>
                <w:rFonts w:ascii="Times New Roman" w:eastAsia="Times New Roman" w:hAnsi="Times New Roman" w:cs="Times New Roman"/>
                <w:i/>
                <w:iCs/>
                <w:lang w:eastAsia="lv-LV"/>
              </w:rPr>
              <w:t>tajā skaitā:</w:t>
            </w:r>
          </w:p>
          <w:p w:rsidR="00E96CA6" w:rsidRPr="00427157" w:rsidRDefault="00E96CA6" w:rsidP="00671AFC">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b/>
                <w:bCs/>
                <w:lang w:eastAsia="lv-LV"/>
              </w:rPr>
              <w:t> </w:t>
            </w:r>
          </w:p>
        </w:tc>
      </w:tr>
      <w:tr w:rsidR="00E30D38" w:rsidRPr="00427157" w:rsidTr="00E30D38">
        <w:trPr>
          <w:trHeight w:val="750"/>
        </w:trPr>
        <w:tc>
          <w:tcPr>
            <w:tcW w:w="791" w:type="dxa"/>
            <w:tcBorders>
              <w:top w:val="nil"/>
              <w:left w:val="single" w:sz="4" w:space="0" w:color="auto"/>
              <w:bottom w:val="nil"/>
              <w:right w:val="single" w:sz="4" w:space="0" w:color="auto"/>
            </w:tcBorders>
            <w:shd w:val="clear" w:color="auto" w:fill="auto"/>
            <w:noWrap/>
            <w:vAlign w:val="bottom"/>
            <w:hideMark/>
          </w:tcPr>
          <w:p w:rsidR="00E30D38" w:rsidRPr="00427157" w:rsidRDefault="00E30D38" w:rsidP="00671AFC">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jc w:val="right"/>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augstskolas</w:t>
            </w:r>
          </w:p>
        </w:tc>
        <w:tc>
          <w:tcPr>
            <w:tcW w:w="1476" w:type="dxa"/>
            <w:tcBorders>
              <w:top w:val="nil"/>
              <w:left w:val="nil"/>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30 224 955</w:t>
            </w:r>
          </w:p>
        </w:tc>
        <w:tc>
          <w:tcPr>
            <w:tcW w:w="1378" w:type="dxa"/>
            <w:tcBorders>
              <w:top w:val="nil"/>
              <w:left w:val="single" w:sz="4" w:space="0" w:color="auto"/>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55 425 483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b/>
                <w:bCs/>
              </w:rPr>
            </w:pPr>
            <w:r w:rsidRPr="00E30D38">
              <w:rPr>
                <w:rFonts w:ascii="Times New Roman" w:hAnsi="Times New Roman" w:cs="Times New Roman"/>
                <w:b/>
                <w:bCs/>
              </w:rPr>
              <w:t>40 141 283</w:t>
            </w:r>
          </w:p>
        </w:tc>
        <w:tc>
          <w:tcPr>
            <w:tcW w:w="131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9 916 328</w:t>
            </w:r>
          </w:p>
        </w:tc>
        <w:tc>
          <w:tcPr>
            <w:tcW w:w="137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72%</w:t>
            </w:r>
          </w:p>
        </w:tc>
      </w:tr>
      <w:tr w:rsidR="00E30D38" w:rsidRPr="00427157" w:rsidTr="00E30D38">
        <w:trPr>
          <w:trHeight w:val="75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E30D38" w:rsidRPr="00427157" w:rsidRDefault="00E30D38" w:rsidP="00671AFC">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jc w:val="right"/>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koledžas</w:t>
            </w:r>
          </w:p>
        </w:tc>
        <w:tc>
          <w:tcPr>
            <w:tcW w:w="1476" w:type="dxa"/>
            <w:tcBorders>
              <w:top w:val="nil"/>
              <w:left w:val="nil"/>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4 357 639</w:t>
            </w:r>
          </w:p>
        </w:tc>
        <w:tc>
          <w:tcPr>
            <w:tcW w:w="1378" w:type="dxa"/>
            <w:tcBorders>
              <w:top w:val="nil"/>
              <w:left w:val="single" w:sz="4" w:space="0" w:color="auto"/>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8 819 372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b/>
                <w:bCs/>
              </w:rPr>
            </w:pPr>
            <w:r w:rsidRPr="00E30D38">
              <w:rPr>
                <w:rFonts w:ascii="Times New Roman" w:hAnsi="Times New Roman" w:cs="Times New Roman"/>
                <w:b/>
                <w:bCs/>
              </w:rPr>
              <w:t>7 247 291</w:t>
            </w:r>
          </w:p>
        </w:tc>
        <w:tc>
          <w:tcPr>
            <w:tcW w:w="131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2 889 652</w:t>
            </w:r>
          </w:p>
        </w:tc>
        <w:tc>
          <w:tcPr>
            <w:tcW w:w="137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82%</w:t>
            </w:r>
          </w:p>
        </w:tc>
      </w:tr>
      <w:tr w:rsidR="00E30D38" w:rsidRPr="00427157" w:rsidTr="00E30D38">
        <w:trPr>
          <w:trHeight w:val="750"/>
        </w:trPr>
        <w:tc>
          <w:tcPr>
            <w:tcW w:w="791" w:type="dxa"/>
            <w:tcBorders>
              <w:top w:val="nil"/>
              <w:left w:val="single" w:sz="4" w:space="0" w:color="auto"/>
              <w:bottom w:val="nil"/>
              <w:right w:val="single" w:sz="4" w:space="0" w:color="auto"/>
            </w:tcBorders>
            <w:shd w:val="clear" w:color="auto" w:fill="auto"/>
            <w:vAlign w:val="center"/>
            <w:hideMark/>
          </w:tcPr>
          <w:p w:rsidR="00E30D38" w:rsidRPr="00427157" w:rsidRDefault="00E30D38" w:rsidP="00671AFC">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2.</w:t>
            </w:r>
          </w:p>
        </w:tc>
        <w:tc>
          <w:tcPr>
            <w:tcW w:w="2045" w:type="dxa"/>
            <w:tcBorders>
              <w:top w:val="nil"/>
              <w:left w:val="nil"/>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Kultūras ministrija</w:t>
            </w:r>
          </w:p>
        </w:tc>
        <w:tc>
          <w:tcPr>
            <w:tcW w:w="1476" w:type="dxa"/>
            <w:tcBorders>
              <w:top w:val="nil"/>
              <w:left w:val="nil"/>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4 681 725</w:t>
            </w:r>
          </w:p>
        </w:tc>
        <w:tc>
          <w:tcPr>
            <w:tcW w:w="1378" w:type="dxa"/>
            <w:tcBorders>
              <w:top w:val="nil"/>
              <w:left w:val="single" w:sz="4" w:space="0" w:color="auto"/>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6 753 138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b/>
                <w:bCs/>
              </w:rPr>
            </w:pPr>
            <w:r w:rsidRPr="00E30D38">
              <w:rPr>
                <w:rFonts w:ascii="Times New Roman" w:hAnsi="Times New Roman" w:cs="Times New Roman"/>
                <w:b/>
                <w:bCs/>
              </w:rPr>
              <w:t>6 069 586</w:t>
            </w:r>
          </w:p>
        </w:tc>
        <w:tc>
          <w:tcPr>
            <w:tcW w:w="131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1 387 861</w:t>
            </w:r>
          </w:p>
        </w:tc>
        <w:tc>
          <w:tcPr>
            <w:tcW w:w="137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90%</w:t>
            </w:r>
          </w:p>
        </w:tc>
      </w:tr>
      <w:tr w:rsidR="00E30D38" w:rsidRPr="00427157" w:rsidTr="00E30D38">
        <w:trPr>
          <w:trHeight w:val="750"/>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3.</w:t>
            </w:r>
          </w:p>
        </w:tc>
        <w:tc>
          <w:tcPr>
            <w:tcW w:w="2045" w:type="dxa"/>
            <w:tcBorders>
              <w:top w:val="nil"/>
              <w:left w:val="nil"/>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Veselības ministrija</w:t>
            </w:r>
          </w:p>
        </w:tc>
        <w:tc>
          <w:tcPr>
            <w:tcW w:w="1476" w:type="dxa"/>
            <w:tcBorders>
              <w:top w:val="nil"/>
              <w:left w:val="nil"/>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10 850 827</w:t>
            </w:r>
          </w:p>
        </w:tc>
        <w:tc>
          <w:tcPr>
            <w:tcW w:w="1378" w:type="dxa"/>
            <w:tcBorders>
              <w:top w:val="nil"/>
              <w:left w:val="single" w:sz="4" w:space="0" w:color="auto"/>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13 582 625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b/>
                <w:bCs/>
              </w:rPr>
            </w:pPr>
            <w:r w:rsidRPr="00E30D38">
              <w:rPr>
                <w:rFonts w:ascii="Times New Roman" w:hAnsi="Times New Roman" w:cs="Times New Roman"/>
                <w:b/>
                <w:bCs/>
              </w:rPr>
              <w:t>11 945 530</w:t>
            </w:r>
          </w:p>
        </w:tc>
        <w:tc>
          <w:tcPr>
            <w:tcW w:w="131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1 094 703</w:t>
            </w:r>
          </w:p>
        </w:tc>
        <w:tc>
          <w:tcPr>
            <w:tcW w:w="137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88%</w:t>
            </w:r>
          </w:p>
        </w:tc>
      </w:tr>
      <w:tr w:rsidR="00E30D38" w:rsidRPr="00427157" w:rsidTr="00E30D38">
        <w:trPr>
          <w:trHeight w:val="750"/>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4.</w:t>
            </w:r>
          </w:p>
        </w:tc>
        <w:tc>
          <w:tcPr>
            <w:tcW w:w="2045" w:type="dxa"/>
            <w:tcBorders>
              <w:top w:val="nil"/>
              <w:left w:val="nil"/>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Zemkopības ministrija</w:t>
            </w:r>
          </w:p>
        </w:tc>
        <w:tc>
          <w:tcPr>
            <w:tcW w:w="1476" w:type="dxa"/>
            <w:tcBorders>
              <w:top w:val="nil"/>
              <w:left w:val="nil"/>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5 282 039</w:t>
            </w:r>
          </w:p>
        </w:tc>
        <w:tc>
          <w:tcPr>
            <w:tcW w:w="1378" w:type="dxa"/>
            <w:tcBorders>
              <w:top w:val="nil"/>
              <w:left w:val="single" w:sz="4" w:space="0" w:color="auto"/>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8 901 373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b/>
                <w:bCs/>
              </w:rPr>
            </w:pPr>
            <w:r w:rsidRPr="00E30D38">
              <w:rPr>
                <w:rFonts w:ascii="Times New Roman" w:hAnsi="Times New Roman" w:cs="Times New Roman"/>
                <w:b/>
                <w:bCs/>
              </w:rPr>
              <w:t>6 630 951</w:t>
            </w:r>
          </w:p>
        </w:tc>
        <w:tc>
          <w:tcPr>
            <w:tcW w:w="131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1 348 912</w:t>
            </w:r>
          </w:p>
        </w:tc>
        <w:tc>
          <w:tcPr>
            <w:tcW w:w="137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74%</w:t>
            </w:r>
          </w:p>
        </w:tc>
      </w:tr>
      <w:tr w:rsidR="00E30D38" w:rsidRPr="00427157" w:rsidTr="00E30D38">
        <w:trPr>
          <w:trHeight w:val="750"/>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rPr>
                <w:rFonts w:ascii="Times New Roman" w:eastAsia="Times New Roman" w:hAnsi="Times New Roman" w:cs="Times New Roman"/>
                <w:lang w:eastAsia="lv-LV"/>
              </w:rPr>
            </w:pPr>
            <w:r w:rsidRPr="00427157">
              <w:rPr>
                <w:rFonts w:ascii="Times New Roman" w:eastAsia="Times New Roman" w:hAnsi="Times New Roman" w:cs="Times New Roman"/>
                <w:lang w:eastAsia="lv-LV"/>
              </w:rPr>
              <w:t> </w:t>
            </w:r>
          </w:p>
        </w:tc>
        <w:tc>
          <w:tcPr>
            <w:tcW w:w="2045" w:type="dxa"/>
            <w:tcBorders>
              <w:top w:val="nil"/>
              <w:left w:val="nil"/>
              <w:bottom w:val="single" w:sz="4" w:space="0" w:color="auto"/>
              <w:right w:val="single" w:sz="4" w:space="0" w:color="auto"/>
            </w:tcBorders>
            <w:shd w:val="clear" w:color="auto" w:fill="auto"/>
            <w:vAlign w:val="center"/>
            <w:hideMark/>
          </w:tcPr>
          <w:p w:rsidR="00E30D38" w:rsidRPr="00427157" w:rsidRDefault="00E30D38" w:rsidP="00671AFC">
            <w:pPr>
              <w:spacing w:after="0" w:line="240" w:lineRule="auto"/>
              <w:jc w:val="right"/>
              <w:rPr>
                <w:rFonts w:ascii="Times New Roman" w:eastAsia="Times New Roman" w:hAnsi="Times New Roman" w:cs="Times New Roman"/>
                <w:b/>
                <w:bCs/>
                <w:lang w:eastAsia="lv-LV"/>
              </w:rPr>
            </w:pPr>
            <w:r w:rsidRPr="00427157">
              <w:rPr>
                <w:rFonts w:ascii="Times New Roman" w:eastAsia="Times New Roman" w:hAnsi="Times New Roman" w:cs="Times New Roman"/>
                <w:b/>
                <w:bCs/>
                <w:lang w:eastAsia="lv-LV"/>
              </w:rPr>
              <w:t>KOPĀ</w:t>
            </w:r>
          </w:p>
        </w:tc>
        <w:tc>
          <w:tcPr>
            <w:tcW w:w="1476" w:type="dxa"/>
            <w:tcBorders>
              <w:top w:val="nil"/>
              <w:left w:val="nil"/>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55 397 185</w:t>
            </w:r>
          </w:p>
        </w:tc>
        <w:tc>
          <w:tcPr>
            <w:tcW w:w="1378" w:type="dxa"/>
            <w:tcBorders>
              <w:top w:val="nil"/>
              <w:left w:val="single" w:sz="4" w:space="0" w:color="auto"/>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93 481 991</w:t>
            </w:r>
          </w:p>
        </w:tc>
        <w:tc>
          <w:tcPr>
            <w:tcW w:w="1384" w:type="dxa"/>
            <w:tcBorders>
              <w:top w:val="nil"/>
              <w:left w:val="single" w:sz="4" w:space="0" w:color="auto"/>
              <w:bottom w:val="single" w:sz="4" w:space="0" w:color="auto"/>
              <w:right w:val="nil"/>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72 034 641</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r w:rsidRPr="00E30D38">
              <w:rPr>
                <w:rFonts w:ascii="Times New Roman" w:hAnsi="Times New Roman" w:cs="Times New Roman"/>
              </w:rPr>
              <w:t>16 637 456</w:t>
            </w:r>
          </w:p>
        </w:tc>
        <w:tc>
          <w:tcPr>
            <w:tcW w:w="1377" w:type="dxa"/>
            <w:tcBorders>
              <w:top w:val="nil"/>
              <w:left w:val="nil"/>
              <w:bottom w:val="single" w:sz="4" w:space="0" w:color="auto"/>
              <w:right w:val="single" w:sz="4" w:space="0" w:color="auto"/>
            </w:tcBorders>
            <w:shd w:val="clear" w:color="auto" w:fill="auto"/>
            <w:noWrap/>
            <w:vAlign w:val="bottom"/>
            <w:hideMark/>
          </w:tcPr>
          <w:p w:rsidR="00E30D38" w:rsidRPr="00E30D38" w:rsidRDefault="00E30D38" w:rsidP="00E30D38">
            <w:pPr>
              <w:jc w:val="center"/>
              <w:rPr>
                <w:rFonts w:ascii="Times New Roman" w:hAnsi="Times New Roman" w:cs="Times New Roman"/>
              </w:rPr>
            </w:pPr>
          </w:p>
        </w:tc>
      </w:tr>
    </w:tbl>
    <w:p w:rsidR="0053777D" w:rsidRDefault="0053777D" w:rsidP="0053777D">
      <w:pPr>
        <w:spacing w:after="0" w:line="240" w:lineRule="auto"/>
        <w:jc w:val="right"/>
        <w:rPr>
          <w:rFonts w:ascii="Times New Roman" w:hAnsi="Times New Roman" w:cs="Times New Roman"/>
          <w:i/>
          <w:sz w:val="26"/>
          <w:szCs w:val="26"/>
        </w:rPr>
      </w:pPr>
    </w:p>
    <w:p w:rsidR="008E3207" w:rsidRDefault="008E3207" w:rsidP="0053777D">
      <w:pPr>
        <w:spacing w:after="0" w:line="240" w:lineRule="auto"/>
        <w:jc w:val="right"/>
        <w:rPr>
          <w:rFonts w:ascii="Times New Roman" w:hAnsi="Times New Roman" w:cs="Times New Roman"/>
          <w:i/>
          <w:sz w:val="26"/>
          <w:szCs w:val="26"/>
        </w:rPr>
      </w:pPr>
    </w:p>
    <w:p w:rsidR="008E3207" w:rsidRDefault="008E3207" w:rsidP="0053777D">
      <w:pPr>
        <w:spacing w:after="0" w:line="240" w:lineRule="auto"/>
        <w:jc w:val="right"/>
        <w:rPr>
          <w:rFonts w:ascii="Times New Roman" w:hAnsi="Times New Roman" w:cs="Times New Roman"/>
          <w:i/>
          <w:sz w:val="26"/>
          <w:szCs w:val="26"/>
        </w:rPr>
      </w:pPr>
    </w:p>
    <w:p w:rsidR="008E3207" w:rsidRDefault="008E3207" w:rsidP="0053777D">
      <w:pPr>
        <w:spacing w:after="0" w:line="240" w:lineRule="auto"/>
        <w:jc w:val="right"/>
        <w:rPr>
          <w:rFonts w:ascii="Times New Roman" w:hAnsi="Times New Roman" w:cs="Times New Roman"/>
          <w:i/>
          <w:sz w:val="26"/>
          <w:szCs w:val="26"/>
        </w:rPr>
      </w:pPr>
    </w:p>
    <w:tbl>
      <w:tblPr>
        <w:tblStyle w:val="TableGrid"/>
        <w:tblW w:w="987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5193"/>
      </w:tblGrid>
      <w:tr w:rsidR="008E3207" w:rsidTr="008E3207">
        <w:trPr>
          <w:trHeight w:val="6224"/>
        </w:trPr>
        <w:tc>
          <w:tcPr>
            <w:tcW w:w="4678" w:type="dxa"/>
          </w:tcPr>
          <w:p w:rsidR="008E3207" w:rsidRDefault="008E3207" w:rsidP="00262882">
            <w:pPr>
              <w:pStyle w:val="ListParagraph"/>
              <w:ind w:left="2664" w:firstLine="216"/>
              <w:jc w:val="both"/>
              <w:rPr>
                <w:rFonts w:ascii="Times New Roman" w:hAnsi="Times New Roman" w:cs="Times New Roman"/>
                <w:i/>
                <w:iCs/>
                <w:sz w:val="26"/>
                <w:szCs w:val="26"/>
              </w:rPr>
            </w:pPr>
          </w:p>
          <w:p w:rsidR="008E3207" w:rsidRDefault="008E3207" w:rsidP="00262882">
            <w:pPr>
              <w:pStyle w:val="ListParagraph"/>
              <w:ind w:left="2664" w:firstLine="216"/>
              <w:jc w:val="both"/>
              <w:rPr>
                <w:rFonts w:ascii="Times New Roman" w:hAnsi="Times New Roman" w:cs="Times New Roman"/>
                <w:i/>
                <w:iCs/>
                <w:sz w:val="26"/>
                <w:szCs w:val="26"/>
              </w:rPr>
            </w:pPr>
          </w:p>
          <w:p w:rsidR="008E3207" w:rsidRDefault="008E3207" w:rsidP="00262882">
            <w:pPr>
              <w:rPr>
                <w:rFonts w:ascii="Times New Roman" w:hAnsi="Times New Roman" w:cs="Times New Roman"/>
                <w:i/>
                <w:iCs/>
                <w:sz w:val="26"/>
                <w:szCs w:val="26"/>
              </w:rPr>
            </w:pPr>
            <w:r w:rsidRPr="008E3207">
              <w:rPr>
                <w:rFonts w:ascii="Times New Roman" w:hAnsi="Times New Roman" w:cs="Times New Roman"/>
                <w:i/>
                <w:iCs/>
                <w:noProof/>
                <w:sz w:val="26"/>
                <w:szCs w:val="26"/>
                <w:lang w:eastAsia="lv-LV"/>
              </w:rPr>
              <w:drawing>
                <wp:inline distT="0" distB="0" distL="0" distR="0">
                  <wp:extent cx="3000375" cy="3676650"/>
                  <wp:effectExtent l="0" t="0" r="0" b="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193" w:type="dxa"/>
          </w:tcPr>
          <w:p w:rsidR="008E3207" w:rsidRDefault="008E3207" w:rsidP="00262882">
            <w:pPr>
              <w:jc w:val="right"/>
              <w:rPr>
                <w:rFonts w:ascii="Times New Roman" w:hAnsi="Times New Roman" w:cs="Times New Roman"/>
                <w:i/>
                <w:iCs/>
                <w:sz w:val="26"/>
                <w:szCs w:val="26"/>
              </w:rPr>
            </w:pPr>
            <w:r>
              <w:rPr>
                <w:rFonts w:ascii="Times New Roman" w:hAnsi="Times New Roman" w:cs="Times New Roman"/>
                <w:i/>
                <w:iCs/>
                <w:sz w:val="26"/>
                <w:szCs w:val="26"/>
              </w:rPr>
              <w:t>4</w:t>
            </w:r>
            <w:r w:rsidRPr="00437032">
              <w:rPr>
                <w:rFonts w:ascii="Times New Roman" w:hAnsi="Times New Roman" w:cs="Times New Roman"/>
                <w:i/>
                <w:iCs/>
                <w:sz w:val="26"/>
                <w:szCs w:val="26"/>
              </w:rPr>
              <w:t>.attēls</w:t>
            </w:r>
          </w:p>
          <w:p w:rsidR="008E3207" w:rsidRDefault="008E3207" w:rsidP="00262882">
            <w:pPr>
              <w:jc w:val="right"/>
              <w:rPr>
                <w:rFonts w:ascii="Times New Roman" w:hAnsi="Times New Roman" w:cs="Times New Roman"/>
                <w:i/>
                <w:iCs/>
                <w:sz w:val="26"/>
                <w:szCs w:val="26"/>
              </w:rPr>
            </w:pPr>
          </w:p>
          <w:p w:rsidR="008E3207" w:rsidRDefault="008E3207" w:rsidP="00262882">
            <w:pPr>
              <w:jc w:val="right"/>
              <w:rPr>
                <w:rFonts w:ascii="Times New Roman" w:hAnsi="Times New Roman" w:cs="Times New Roman"/>
                <w:i/>
                <w:iCs/>
                <w:sz w:val="26"/>
                <w:szCs w:val="26"/>
              </w:rPr>
            </w:pPr>
            <w:r w:rsidRPr="008E3207">
              <w:rPr>
                <w:rFonts w:ascii="Times New Roman" w:hAnsi="Times New Roman" w:cs="Times New Roman"/>
                <w:i/>
                <w:iCs/>
                <w:noProof/>
                <w:sz w:val="26"/>
                <w:szCs w:val="26"/>
                <w:lang w:eastAsia="lv-LV"/>
              </w:rPr>
              <w:drawing>
                <wp:inline distT="0" distB="0" distL="0" distR="0">
                  <wp:extent cx="3609975" cy="3810000"/>
                  <wp:effectExtent l="0" t="0" r="0" b="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1B21" w:rsidRDefault="00351B21" w:rsidP="00262882">
            <w:pPr>
              <w:jc w:val="right"/>
              <w:rPr>
                <w:rFonts w:ascii="Times New Roman" w:hAnsi="Times New Roman" w:cs="Times New Roman"/>
                <w:i/>
                <w:iCs/>
                <w:sz w:val="26"/>
                <w:szCs w:val="26"/>
              </w:rPr>
            </w:pPr>
          </w:p>
        </w:tc>
      </w:tr>
    </w:tbl>
    <w:p w:rsidR="00BB5168" w:rsidRDefault="00093228" w:rsidP="0009322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Piedāvātie priekšlikumi par nepieciešamību nodrošināt vienādu koeficientu piemērošanu visām augstākās izglītības iestādēm ļauj</w:t>
      </w:r>
      <w:r w:rsidR="00BB5168">
        <w:rPr>
          <w:rFonts w:ascii="Times New Roman" w:hAnsi="Times New Roman" w:cs="Times New Roman"/>
          <w:sz w:val="26"/>
          <w:szCs w:val="26"/>
        </w:rPr>
        <w:t>:</w:t>
      </w:r>
    </w:p>
    <w:p w:rsidR="00BB5168" w:rsidRDefault="00093228" w:rsidP="00BB5168">
      <w:pPr>
        <w:pStyle w:val="ListParagraph"/>
        <w:numPr>
          <w:ilvl w:val="0"/>
          <w:numId w:val="7"/>
        </w:numPr>
        <w:spacing w:after="0" w:line="240" w:lineRule="auto"/>
        <w:ind w:left="0" w:firstLine="709"/>
        <w:jc w:val="both"/>
        <w:rPr>
          <w:rFonts w:ascii="Times New Roman" w:hAnsi="Times New Roman" w:cs="Times New Roman"/>
          <w:sz w:val="26"/>
          <w:szCs w:val="26"/>
        </w:rPr>
      </w:pPr>
      <w:r w:rsidRPr="00BB5168">
        <w:rPr>
          <w:rFonts w:ascii="Times New Roman" w:hAnsi="Times New Roman" w:cs="Times New Roman"/>
          <w:sz w:val="26"/>
          <w:szCs w:val="26"/>
        </w:rPr>
        <w:t>pakāpeniski izlīdzināt vēsturiski izveidojušās ievērojamās studiju izmaksu nodrošinājuma atšķirības starp dažād</w:t>
      </w:r>
      <w:r w:rsidR="00BB5168" w:rsidRPr="00BB5168">
        <w:rPr>
          <w:rFonts w:ascii="Times New Roman" w:hAnsi="Times New Roman" w:cs="Times New Roman"/>
          <w:sz w:val="26"/>
          <w:szCs w:val="26"/>
        </w:rPr>
        <w:t>u</w:t>
      </w:r>
      <w:r w:rsidRPr="00BB5168">
        <w:rPr>
          <w:rFonts w:ascii="Times New Roman" w:hAnsi="Times New Roman" w:cs="Times New Roman"/>
          <w:sz w:val="26"/>
          <w:szCs w:val="26"/>
        </w:rPr>
        <w:t xml:space="preserve"> ministrij</w:t>
      </w:r>
      <w:r w:rsidR="00BB5168" w:rsidRPr="00BB5168">
        <w:rPr>
          <w:rFonts w:ascii="Times New Roman" w:hAnsi="Times New Roman" w:cs="Times New Roman"/>
          <w:sz w:val="26"/>
          <w:szCs w:val="26"/>
        </w:rPr>
        <w:t>u padotībā esošajām augstākās izglītības iestādēm</w:t>
      </w:r>
      <w:r w:rsidR="00BB5168">
        <w:rPr>
          <w:rFonts w:ascii="Times New Roman" w:hAnsi="Times New Roman" w:cs="Times New Roman"/>
          <w:sz w:val="26"/>
          <w:szCs w:val="26"/>
        </w:rPr>
        <w:t>;</w:t>
      </w:r>
    </w:p>
    <w:p w:rsidR="00BB5168" w:rsidRDefault="00BB5168" w:rsidP="00BB5168">
      <w:pPr>
        <w:pStyle w:val="ListParagraph"/>
        <w:numPr>
          <w:ilvl w:val="0"/>
          <w:numId w:val="7"/>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vienmērīgi palielināt studiju izmaksu koeficientu vērtības, samazinot starpību starp to optimālajām un minimālajām vērtībām;</w:t>
      </w:r>
    </w:p>
    <w:p w:rsidR="00671AFC" w:rsidRDefault="00BB5168" w:rsidP="00791ECE">
      <w:pPr>
        <w:pStyle w:val="ListParagraph"/>
        <w:numPr>
          <w:ilvl w:val="0"/>
          <w:numId w:val="7"/>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nodrošināt straujāku studiju izmaksu koeficientu pieaugumu </w:t>
      </w:r>
      <w:r w:rsidR="00DB16DF" w:rsidRPr="00B50CFE">
        <w:rPr>
          <w:rFonts w:ascii="Times New Roman" w:hAnsi="Times New Roman" w:cs="Times New Roman"/>
          <w:bCs/>
          <w:i/>
          <w:iCs/>
          <w:sz w:val="26"/>
          <w:szCs w:val="26"/>
        </w:rPr>
        <w:t>D</w:t>
      </w:r>
      <w:r w:rsidRPr="00B50CFE">
        <w:rPr>
          <w:rFonts w:ascii="Times New Roman" w:hAnsi="Times New Roman" w:cs="Times New Roman"/>
          <w:bCs/>
          <w:i/>
          <w:iCs/>
          <w:sz w:val="26"/>
          <w:szCs w:val="26"/>
        </w:rPr>
        <w:t>abaszinātņu, matemātikas un informācijas tehnoloģiju</w:t>
      </w:r>
      <w:r w:rsidRPr="001E12CA">
        <w:rPr>
          <w:rFonts w:ascii="Times New Roman" w:hAnsi="Times New Roman" w:cs="Times New Roman"/>
          <w:bCs/>
          <w:iCs/>
          <w:sz w:val="26"/>
          <w:szCs w:val="26"/>
        </w:rPr>
        <w:t xml:space="preserve"> un </w:t>
      </w:r>
      <w:r w:rsidR="00DB16DF" w:rsidRPr="00B50CFE">
        <w:rPr>
          <w:rFonts w:ascii="Times New Roman" w:hAnsi="Times New Roman" w:cs="Times New Roman"/>
          <w:bCs/>
          <w:i/>
          <w:iCs/>
          <w:sz w:val="26"/>
          <w:szCs w:val="26"/>
        </w:rPr>
        <w:t>I</w:t>
      </w:r>
      <w:r w:rsidRPr="00B50CFE">
        <w:rPr>
          <w:rFonts w:ascii="Times New Roman" w:hAnsi="Times New Roman" w:cs="Times New Roman"/>
          <w:bCs/>
          <w:i/>
          <w:iCs/>
          <w:sz w:val="26"/>
          <w:szCs w:val="26"/>
        </w:rPr>
        <w:t>nženierzinātņu, ražošanas un būvniecības</w:t>
      </w:r>
      <w:r w:rsidRPr="00417260">
        <w:rPr>
          <w:rFonts w:ascii="Times New Roman" w:hAnsi="Times New Roman" w:cs="Times New Roman"/>
          <w:iCs/>
          <w:sz w:val="26"/>
          <w:szCs w:val="26"/>
        </w:rPr>
        <w:t xml:space="preserve"> jom</w:t>
      </w:r>
      <w:r>
        <w:rPr>
          <w:rFonts w:ascii="Times New Roman" w:hAnsi="Times New Roman" w:cs="Times New Roman"/>
          <w:iCs/>
          <w:sz w:val="26"/>
          <w:szCs w:val="26"/>
        </w:rPr>
        <w:t>ām</w:t>
      </w:r>
      <w:r w:rsidR="00791ECE">
        <w:rPr>
          <w:rFonts w:ascii="Times New Roman" w:hAnsi="Times New Roman" w:cs="Times New Roman"/>
          <w:iCs/>
          <w:sz w:val="26"/>
          <w:szCs w:val="26"/>
        </w:rPr>
        <w:t xml:space="preserve">, tādējādi nodrošinot studiju kvalitātes pieaugumu jomās, kas sagatavo </w:t>
      </w:r>
      <w:r w:rsidR="00791ECE" w:rsidRPr="00791ECE">
        <w:rPr>
          <w:rFonts w:ascii="Times New Roman" w:hAnsi="Times New Roman" w:cs="Times New Roman"/>
          <w:sz w:val="26"/>
          <w:szCs w:val="26"/>
        </w:rPr>
        <w:t xml:space="preserve">valstij </w:t>
      </w:r>
      <w:r w:rsidR="00791ECE">
        <w:rPr>
          <w:rFonts w:ascii="Times New Roman" w:hAnsi="Times New Roman" w:cs="Times New Roman"/>
          <w:sz w:val="26"/>
          <w:szCs w:val="26"/>
        </w:rPr>
        <w:t>prioritāri nepieciešamos speciālistus, kuru iztrūkumu gan vidējā, gan ilgtermiņā prognozē Ekonomikas ministrija.</w:t>
      </w:r>
    </w:p>
    <w:p w:rsidR="00351B21" w:rsidRDefault="00DF0527" w:rsidP="006D7098">
      <w:pPr>
        <w:pStyle w:val="ListParagraph"/>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Aprēķinu kopsavilkums </w:t>
      </w:r>
      <w:r w:rsidRPr="00DF0527">
        <w:rPr>
          <w:rFonts w:ascii="Times New Roman" w:hAnsi="Times New Roman" w:cs="Times New Roman"/>
          <w:sz w:val="26"/>
          <w:szCs w:val="26"/>
        </w:rPr>
        <w:t xml:space="preserve">par </w:t>
      </w:r>
      <w:r w:rsidRPr="00DF0527">
        <w:rPr>
          <w:rFonts w:ascii="Times New Roman" w:hAnsi="Times New Roman" w:cs="Times New Roman"/>
          <w:iCs/>
          <w:sz w:val="26"/>
          <w:szCs w:val="26"/>
        </w:rPr>
        <w:t xml:space="preserve">valsts budžeta bāzes izdevumiem </w:t>
      </w:r>
      <w:r w:rsidRPr="00DF0527">
        <w:rPr>
          <w:rFonts w:ascii="Times New Roman" w:hAnsi="Times New Roman" w:cs="Times New Roman"/>
          <w:sz w:val="26"/>
          <w:szCs w:val="26"/>
        </w:rPr>
        <w:t>augstākajā izglītībā 2014. - 2016.gadā</w:t>
      </w:r>
      <w:r w:rsidR="007A31CD">
        <w:rPr>
          <w:rFonts w:ascii="Times New Roman" w:hAnsi="Times New Roman" w:cs="Times New Roman"/>
          <w:sz w:val="26"/>
          <w:szCs w:val="26"/>
        </w:rPr>
        <w:t xml:space="preserve">, ņemot vērā </w:t>
      </w:r>
      <w:r w:rsidR="007A31CD" w:rsidRPr="007A31CD">
        <w:rPr>
          <w:rFonts w:ascii="Times New Roman" w:hAnsi="Times New Roman" w:cs="Times New Roman"/>
          <w:sz w:val="26"/>
          <w:szCs w:val="26"/>
        </w:rPr>
        <w:t>priekšlikumus par nepieciešamību nodrošināt vienādu koeficientu piemērošanu augstākās izglītības iestādēm 2014. – 2016.gadā</w:t>
      </w:r>
      <w:r w:rsidR="007A31CD">
        <w:rPr>
          <w:rFonts w:ascii="Times New Roman" w:hAnsi="Times New Roman" w:cs="Times New Roman"/>
          <w:sz w:val="26"/>
          <w:szCs w:val="26"/>
        </w:rPr>
        <w:t>,</w:t>
      </w:r>
      <w:r w:rsidR="007A31CD" w:rsidRPr="007A31CD">
        <w:rPr>
          <w:rFonts w:ascii="Times New Roman" w:hAnsi="Times New Roman" w:cs="Times New Roman"/>
          <w:sz w:val="26"/>
          <w:szCs w:val="26"/>
        </w:rPr>
        <w:t xml:space="preserve"> </w:t>
      </w:r>
      <w:r w:rsidR="008E0A9F">
        <w:rPr>
          <w:rFonts w:ascii="Times New Roman" w:hAnsi="Times New Roman" w:cs="Times New Roman"/>
          <w:sz w:val="26"/>
          <w:szCs w:val="26"/>
        </w:rPr>
        <w:t>iekļauts</w:t>
      </w:r>
      <w:r>
        <w:rPr>
          <w:rFonts w:ascii="Times New Roman" w:hAnsi="Times New Roman" w:cs="Times New Roman"/>
          <w:sz w:val="26"/>
          <w:szCs w:val="26"/>
        </w:rPr>
        <w:t xml:space="preserve"> 8.tabulā. </w:t>
      </w:r>
      <w:r w:rsidR="006D7098">
        <w:rPr>
          <w:rFonts w:ascii="Times New Roman" w:hAnsi="Times New Roman" w:cs="Times New Roman"/>
          <w:sz w:val="26"/>
          <w:szCs w:val="26"/>
        </w:rPr>
        <w:t>8.tabulas 5.ail</w:t>
      </w:r>
      <w:r w:rsidR="007A31CD">
        <w:rPr>
          <w:rFonts w:ascii="Times New Roman" w:hAnsi="Times New Roman" w:cs="Times New Roman"/>
          <w:sz w:val="26"/>
          <w:szCs w:val="26"/>
        </w:rPr>
        <w:t>e</w:t>
      </w:r>
      <w:r w:rsidR="006D7098">
        <w:rPr>
          <w:rFonts w:ascii="Times New Roman" w:hAnsi="Times New Roman" w:cs="Times New Roman"/>
          <w:sz w:val="26"/>
          <w:szCs w:val="26"/>
        </w:rPr>
        <w:t xml:space="preserve"> </w:t>
      </w:r>
      <w:r w:rsidR="007A31CD">
        <w:rPr>
          <w:rFonts w:ascii="Times New Roman" w:hAnsi="Times New Roman" w:cs="Times New Roman"/>
          <w:sz w:val="26"/>
          <w:szCs w:val="26"/>
        </w:rPr>
        <w:t>parāda</w:t>
      </w:r>
      <w:r w:rsidR="006D7098">
        <w:rPr>
          <w:rFonts w:ascii="Times New Roman" w:hAnsi="Times New Roman" w:cs="Times New Roman"/>
          <w:sz w:val="26"/>
          <w:szCs w:val="26"/>
        </w:rPr>
        <w:t xml:space="preserve"> 2014.gadā nepieciešam</w:t>
      </w:r>
      <w:r w:rsidR="007A31CD">
        <w:rPr>
          <w:rFonts w:ascii="Times New Roman" w:hAnsi="Times New Roman" w:cs="Times New Roman"/>
          <w:sz w:val="26"/>
          <w:szCs w:val="26"/>
        </w:rPr>
        <w:t>ā</w:t>
      </w:r>
      <w:r w:rsidR="006D7098">
        <w:rPr>
          <w:rFonts w:ascii="Times New Roman" w:hAnsi="Times New Roman" w:cs="Times New Roman"/>
          <w:sz w:val="26"/>
          <w:szCs w:val="26"/>
        </w:rPr>
        <w:t xml:space="preserve"> papildu finansējum</w:t>
      </w:r>
      <w:r w:rsidR="007A31CD">
        <w:rPr>
          <w:rFonts w:ascii="Times New Roman" w:hAnsi="Times New Roman" w:cs="Times New Roman"/>
          <w:sz w:val="26"/>
          <w:szCs w:val="26"/>
        </w:rPr>
        <w:t>a apmēru</w:t>
      </w:r>
      <w:r w:rsidR="006D7098">
        <w:rPr>
          <w:rFonts w:ascii="Times New Roman" w:hAnsi="Times New Roman" w:cs="Times New Roman"/>
          <w:sz w:val="26"/>
          <w:szCs w:val="26"/>
        </w:rPr>
        <w:t>, 7.ail</w:t>
      </w:r>
      <w:r w:rsidR="00B1577F">
        <w:rPr>
          <w:rFonts w:ascii="Times New Roman" w:hAnsi="Times New Roman" w:cs="Times New Roman"/>
          <w:sz w:val="26"/>
          <w:szCs w:val="26"/>
        </w:rPr>
        <w:t>e</w:t>
      </w:r>
      <w:r w:rsidR="006D7098">
        <w:rPr>
          <w:rFonts w:ascii="Times New Roman" w:hAnsi="Times New Roman" w:cs="Times New Roman"/>
          <w:sz w:val="26"/>
          <w:szCs w:val="26"/>
        </w:rPr>
        <w:t xml:space="preserve"> – 2015.gadā </w:t>
      </w:r>
      <w:r w:rsidR="00B1577F">
        <w:rPr>
          <w:rFonts w:ascii="Times New Roman" w:hAnsi="Times New Roman" w:cs="Times New Roman"/>
          <w:sz w:val="26"/>
          <w:szCs w:val="26"/>
        </w:rPr>
        <w:t>nepieciešamā papildu finansējuma apmēru</w:t>
      </w:r>
      <w:r w:rsidR="006D7098">
        <w:rPr>
          <w:rFonts w:ascii="Times New Roman" w:hAnsi="Times New Roman" w:cs="Times New Roman"/>
          <w:sz w:val="26"/>
          <w:szCs w:val="26"/>
        </w:rPr>
        <w:t xml:space="preserve"> un 9.ail</w:t>
      </w:r>
      <w:r w:rsidR="00B1577F">
        <w:rPr>
          <w:rFonts w:ascii="Times New Roman" w:hAnsi="Times New Roman" w:cs="Times New Roman"/>
          <w:sz w:val="26"/>
          <w:szCs w:val="26"/>
        </w:rPr>
        <w:t>e</w:t>
      </w:r>
      <w:r w:rsidR="006D7098">
        <w:rPr>
          <w:rFonts w:ascii="Times New Roman" w:hAnsi="Times New Roman" w:cs="Times New Roman"/>
          <w:sz w:val="26"/>
          <w:szCs w:val="26"/>
        </w:rPr>
        <w:t xml:space="preserve"> – 2016.gadā </w:t>
      </w:r>
      <w:r w:rsidR="00B1577F">
        <w:rPr>
          <w:rFonts w:ascii="Times New Roman" w:hAnsi="Times New Roman" w:cs="Times New Roman"/>
          <w:sz w:val="26"/>
          <w:szCs w:val="26"/>
        </w:rPr>
        <w:t>nepieciešamā papildu finansējuma apmēru</w:t>
      </w:r>
      <w:r w:rsidR="006D7098">
        <w:rPr>
          <w:rFonts w:ascii="Times New Roman" w:hAnsi="Times New Roman" w:cs="Times New Roman"/>
          <w:sz w:val="26"/>
          <w:szCs w:val="26"/>
        </w:rPr>
        <w:t xml:space="preserve"> ministrijām, kuru padotībā ir augstākās izglītības iestādes</w:t>
      </w:r>
      <w:r w:rsidR="007A31CD">
        <w:rPr>
          <w:rFonts w:ascii="Times New Roman" w:hAnsi="Times New Roman" w:cs="Times New Roman"/>
          <w:sz w:val="26"/>
          <w:szCs w:val="26"/>
        </w:rPr>
        <w:t>, salīdzinājumā ar esošo finansējumu 2013.gadā.</w:t>
      </w:r>
    </w:p>
    <w:p w:rsidR="005F5008" w:rsidRDefault="005F5008" w:rsidP="006D7098">
      <w:pPr>
        <w:pStyle w:val="ListParagraph"/>
        <w:spacing w:after="0" w:line="240" w:lineRule="auto"/>
        <w:ind w:left="0" w:firstLine="709"/>
        <w:jc w:val="both"/>
        <w:rPr>
          <w:rFonts w:ascii="Times New Roman" w:hAnsi="Times New Roman" w:cs="Times New Roman"/>
          <w:sz w:val="26"/>
          <w:szCs w:val="26"/>
        </w:rPr>
      </w:pPr>
    </w:p>
    <w:p w:rsidR="005F5008" w:rsidRDefault="005F5008" w:rsidP="006D7098">
      <w:pPr>
        <w:pStyle w:val="ListParagraph"/>
        <w:spacing w:after="0" w:line="240" w:lineRule="auto"/>
        <w:ind w:left="0" w:firstLine="709"/>
        <w:jc w:val="both"/>
        <w:rPr>
          <w:rFonts w:ascii="Times New Roman" w:hAnsi="Times New Roman" w:cs="Times New Roman"/>
          <w:sz w:val="26"/>
          <w:szCs w:val="26"/>
        </w:rPr>
      </w:pPr>
    </w:p>
    <w:p w:rsidR="006D7098" w:rsidRDefault="006D7098" w:rsidP="006D7098">
      <w:pPr>
        <w:pStyle w:val="ListParagraph"/>
        <w:spacing w:after="0" w:line="240" w:lineRule="auto"/>
        <w:ind w:left="0" w:firstLine="709"/>
        <w:jc w:val="both"/>
        <w:rPr>
          <w:rFonts w:ascii="Times New Roman" w:hAnsi="Times New Roman" w:cs="Times New Roman"/>
          <w:sz w:val="26"/>
          <w:szCs w:val="26"/>
        </w:rPr>
      </w:pPr>
    </w:p>
    <w:p w:rsidR="00351B21" w:rsidRPr="00351B21" w:rsidRDefault="00351B21" w:rsidP="00351B21">
      <w:pPr>
        <w:pStyle w:val="ListParagraph"/>
        <w:spacing w:after="0" w:line="240" w:lineRule="auto"/>
        <w:ind w:left="709"/>
        <w:jc w:val="right"/>
        <w:rPr>
          <w:rFonts w:ascii="Times New Roman" w:hAnsi="Times New Roman" w:cs="Times New Roman"/>
          <w:i/>
          <w:sz w:val="26"/>
          <w:szCs w:val="26"/>
        </w:rPr>
      </w:pPr>
      <w:r w:rsidRPr="00351B21">
        <w:rPr>
          <w:rFonts w:ascii="Times New Roman" w:hAnsi="Times New Roman" w:cs="Times New Roman"/>
          <w:i/>
          <w:sz w:val="26"/>
          <w:szCs w:val="26"/>
        </w:rPr>
        <w:lastRenderedPageBreak/>
        <w:t xml:space="preserve">8.tabula </w:t>
      </w:r>
    </w:p>
    <w:p w:rsidR="00351B21" w:rsidRDefault="00351B21" w:rsidP="00351B2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Aprēķinu k</w:t>
      </w:r>
      <w:r w:rsidRPr="00351B21">
        <w:rPr>
          <w:rFonts w:ascii="Times New Roman" w:hAnsi="Times New Roman" w:cs="Times New Roman"/>
          <w:b/>
          <w:sz w:val="26"/>
          <w:szCs w:val="26"/>
        </w:rPr>
        <w:t xml:space="preserve">opsavilkums par </w:t>
      </w:r>
      <w:r w:rsidRPr="00351B21">
        <w:rPr>
          <w:rFonts w:ascii="Times New Roman" w:hAnsi="Times New Roman" w:cs="Times New Roman"/>
          <w:b/>
          <w:iCs/>
          <w:sz w:val="26"/>
          <w:szCs w:val="26"/>
        </w:rPr>
        <w:t xml:space="preserve">valsts budžeta bāzes izdevumiem </w:t>
      </w:r>
      <w:r w:rsidRPr="00351B21">
        <w:rPr>
          <w:rFonts w:ascii="Times New Roman" w:hAnsi="Times New Roman" w:cs="Times New Roman"/>
          <w:b/>
          <w:sz w:val="26"/>
          <w:szCs w:val="26"/>
        </w:rPr>
        <w:t xml:space="preserve">augstākajā izglītībā </w:t>
      </w:r>
      <w:r>
        <w:rPr>
          <w:rFonts w:ascii="Times New Roman" w:hAnsi="Times New Roman" w:cs="Times New Roman"/>
          <w:b/>
          <w:sz w:val="26"/>
          <w:szCs w:val="26"/>
        </w:rPr>
        <w:t xml:space="preserve">2014. - </w:t>
      </w:r>
      <w:r w:rsidRPr="00351B21">
        <w:rPr>
          <w:rFonts w:ascii="Times New Roman" w:hAnsi="Times New Roman" w:cs="Times New Roman"/>
          <w:b/>
          <w:sz w:val="26"/>
          <w:szCs w:val="26"/>
        </w:rPr>
        <w:t>2016.gadā, latos</w:t>
      </w:r>
    </w:p>
    <w:p w:rsidR="00351B21" w:rsidRDefault="00351B21" w:rsidP="00351B21">
      <w:pPr>
        <w:spacing w:after="0" w:line="240" w:lineRule="auto"/>
        <w:jc w:val="center"/>
        <w:rPr>
          <w:rFonts w:ascii="Times New Roman" w:hAnsi="Times New Roman" w:cs="Times New Roman"/>
          <w:b/>
          <w:sz w:val="26"/>
          <w:szCs w:val="26"/>
        </w:rPr>
      </w:pPr>
    </w:p>
    <w:tbl>
      <w:tblPr>
        <w:tblW w:w="9734" w:type="dxa"/>
        <w:tblInd w:w="-601" w:type="dxa"/>
        <w:tblLayout w:type="fixed"/>
        <w:tblLook w:val="04A0"/>
      </w:tblPr>
      <w:tblGrid>
        <w:gridCol w:w="425"/>
        <w:gridCol w:w="1135"/>
        <w:gridCol w:w="1156"/>
        <w:gridCol w:w="1206"/>
        <w:gridCol w:w="1006"/>
        <w:gridCol w:w="1262"/>
        <w:gridCol w:w="1134"/>
        <w:gridCol w:w="1262"/>
        <w:gridCol w:w="1148"/>
      </w:tblGrid>
      <w:tr w:rsidR="00351B21" w:rsidRPr="00351B21" w:rsidTr="00262882">
        <w:trPr>
          <w:trHeight w:val="43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proofErr w:type="spellStart"/>
            <w:r w:rsidRPr="00351B21">
              <w:rPr>
                <w:rFonts w:ascii="Times New Roman" w:eastAsia="Times New Roman" w:hAnsi="Times New Roman" w:cs="Times New Roman"/>
                <w:sz w:val="18"/>
                <w:szCs w:val="18"/>
                <w:lang w:eastAsia="lv-LV"/>
              </w:rPr>
              <w:t>N.p.k</w:t>
            </w:r>
            <w:proofErr w:type="spellEnd"/>
            <w:r w:rsidRPr="00351B21">
              <w:rPr>
                <w:rFonts w:ascii="Times New Roman" w:eastAsia="Times New Roman" w:hAnsi="Times New Roman" w:cs="Times New Roman"/>
                <w:sz w:val="18"/>
                <w:szCs w:val="18"/>
                <w:lang w:eastAsia="lv-LV"/>
              </w:rPr>
              <w:t>.</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Ministrija</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xml:space="preserve"> </w:t>
            </w:r>
            <w:r w:rsidRPr="00351B21">
              <w:rPr>
                <w:rFonts w:ascii="Times New Roman" w:eastAsia="Times New Roman" w:hAnsi="Times New Roman" w:cs="Times New Roman"/>
                <w:b/>
                <w:bCs/>
                <w:sz w:val="18"/>
                <w:szCs w:val="18"/>
                <w:lang w:eastAsia="lv-LV"/>
              </w:rPr>
              <w:t>Esošā</w:t>
            </w:r>
            <w:r w:rsidRPr="00351B21">
              <w:rPr>
                <w:rFonts w:ascii="Times New Roman" w:eastAsia="Times New Roman" w:hAnsi="Times New Roman" w:cs="Times New Roman"/>
                <w:sz w:val="18"/>
                <w:szCs w:val="18"/>
                <w:lang w:eastAsia="lv-LV"/>
              </w:rPr>
              <w:t xml:space="preserve"> valsts budžeta dotācija no vispārējiem ieņēmumiem 2013.gadā, latos</w:t>
            </w:r>
          </w:p>
        </w:tc>
        <w:tc>
          <w:tcPr>
            <w:tcW w:w="7018" w:type="dxa"/>
            <w:gridSpan w:val="6"/>
            <w:tcBorders>
              <w:top w:val="single" w:sz="4" w:space="0" w:color="auto"/>
              <w:left w:val="nil"/>
              <w:bottom w:val="single" w:sz="4" w:space="0" w:color="auto"/>
              <w:right w:val="single" w:sz="4" w:space="0" w:color="000000"/>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b/>
                <w:bCs/>
                <w:sz w:val="18"/>
                <w:szCs w:val="18"/>
                <w:lang w:eastAsia="lv-LV"/>
              </w:rPr>
            </w:pPr>
            <w:r w:rsidRPr="00351B21">
              <w:rPr>
                <w:rFonts w:ascii="Times New Roman" w:eastAsia="Times New Roman" w:hAnsi="Times New Roman" w:cs="Times New Roman"/>
                <w:b/>
                <w:bCs/>
                <w:sz w:val="18"/>
                <w:szCs w:val="18"/>
                <w:lang w:eastAsia="lv-LV"/>
              </w:rPr>
              <w:t>Budžeta bāze 2014. - 2016.gadā, latos</w:t>
            </w:r>
          </w:p>
        </w:tc>
      </w:tr>
      <w:tr w:rsidR="00351B21" w:rsidRPr="00351B21" w:rsidTr="00262882">
        <w:trPr>
          <w:trHeight w:val="36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p>
        </w:tc>
        <w:tc>
          <w:tcPr>
            <w:tcW w:w="2212" w:type="dxa"/>
            <w:gridSpan w:val="2"/>
            <w:tcBorders>
              <w:top w:val="single" w:sz="4" w:space="0" w:color="auto"/>
              <w:left w:val="nil"/>
              <w:bottom w:val="single" w:sz="4" w:space="0" w:color="auto"/>
              <w:right w:val="single" w:sz="4" w:space="0" w:color="000000"/>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b/>
                <w:bCs/>
                <w:sz w:val="18"/>
                <w:szCs w:val="18"/>
                <w:lang w:eastAsia="lv-LV"/>
              </w:rPr>
            </w:pPr>
            <w:r w:rsidRPr="00351B21">
              <w:rPr>
                <w:rFonts w:ascii="Times New Roman" w:eastAsia="Times New Roman" w:hAnsi="Times New Roman" w:cs="Times New Roman"/>
                <w:b/>
                <w:bCs/>
                <w:sz w:val="18"/>
                <w:szCs w:val="18"/>
                <w:lang w:eastAsia="lv-LV"/>
              </w:rPr>
              <w:t>2014.</w:t>
            </w:r>
          </w:p>
        </w:tc>
        <w:tc>
          <w:tcPr>
            <w:tcW w:w="2396" w:type="dxa"/>
            <w:gridSpan w:val="2"/>
            <w:tcBorders>
              <w:top w:val="single" w:sz="4" w:space="0" w:color="auto"/>
              <w:left w:val="nil"/>
              <w:bottom w:val="single" w:sz="4" w:space="0" w:color="auto"/>
              <w:right w:val="single" w:sz="4" w:space="0" w:color="000000"/>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b/>
                <w:bCs/>
                <w:sz w:val="18"/>
                <w:szCs w:val="18"/>
                <w:lang w:eastAsia="lv-LV"/>
              </w:rPr>
            </w:pPr>
            <w:r w:rsidRPr="00351B21">
              <w:rPr>
                <w:rFonts w:ascii="Times New Roman" w:eastAsia="Times New Roman" w:hAnsi="Times New Roman" w:cs="Times New Roman"/>
                <w:b/>
                <w:bCs/>
                <w:sz w:val="18"/>
                <w:szCs w:val="18"/>
                <w:lang w:eastAsia="lv-LV"/>
              </w:rPr>
              <w:t>2015.</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b/>
                <w:bCs/>
                <w:sz w:val="18"/>
                <w:szCs w:val="18"/>
                <w:lang w:eastAsia="lv-LV"/>
              </w:rPr>
            </w:pPr>
            <w:r w:rsidRPr="00351B21">
              <w:rPr>
                <w:rFonts w:ascii="Times New Roman" w:eastAsia="Times New Roman" w:hAnsi="Times New Roman" w:cs="Times New Roman"/>
                <w:b/>
                <w:bCs/>
                <w:sz w:val="18"/>
                <w:szCs w:val="18"/>
                <w:lang w:eastAsia="lv-LV"/>
              </w:rPr>
              <w:t>2016.</w:t>
            </w:r>
          </w:p>
        </w:tc>
      </w:tr>
      <w:tr w:rsidR="00262882" w:rsidRPr="00351B21" w:rsidTr="00262882">
        <w:trPr>
          <w:trHeight w:val="99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p>
        </w:tc>
        <w:tc>
          <w:tcPr>
            <w:tcW w:w="1206"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xml:space="preserve">Budžeta </w:t>
            </w:r>
            <w:r w:rsidRPr="00351B21">
              <w:rPr>
                <w:rFonts w:ascii="Times New Roman" w:eastAsia="Times New Roman" w:hAnsi="Times New Roman" w:cs="Times New Roman"/>
                <w:b/>
                <w:bCs/>
                <w:sz w:val="18"/>
                <w:szCs w:val="18"/>
                <w:lang w:eastAsia="lv-LV"/>
              </w:rPr>
              <w:t>bāze 2014.gadā</w:t>
            </w:r>
          </w:p>
        </w:tc>
        <w:tc>
          <w:tcPr>
            <w:tcW w:w="1006"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Pieaugums pret esošo 2013.gadā (4.aile-3.aile)</w:t>
            </w:r>
          </w:p>
        </w:tc>
        <w:tc>
          <w:tcPr>
            <w:tcW w:w="1262"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xml:space="preserve">Budžeta </w:t>
            </w:r>
            <w:r w:rsidRPr="00351B21">
              <w:rPr>
                <w:rFonts w:ascii="Times New Roman" w:eastAsia="Times New Roman" w:hAnsi="Times New Roman" w:cs="Times New Roman"/>
                <w:b/>
                <w:bCs/>
                <w:sz w:val="18"/>
                <w:szCs w:val="18"/>
                <w:lang w:eastAsia="lv-LV"/>
              </w:rPr>
              <w:t>bāze 2015.gadā</w:t>
            </w:r>
          </w:p>
        </w:tc>
        <w:tc>
          <w:tcPr>
            <w:tcW w:w="1134"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Pieaugums pret esošo 2013.gadā (6.aile-3.aile)</w:t>
            </w:r>
          </w:p>
        </w:tc>
        <w:tc>
          <w:tcPr>
            <w:tcW w:w="1262"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xml:space="preserve">Budžeta </w:t>
            </w:r>
            <w:r w:rsidRPr="00351B21">
              <w:rPr>
                <w:rFonts w:ascii="Times New Roman" w:eastAsia="Times New Roman" w:hAnsi="Times New Roman" w:cs="Times New Roman"/>
                <w:b/>
                <w:bCs/>
                <w:sz w:val="18"/>
                <w:szCs w:val="18"/>
                <w:lang w:eastAsia="lv-LV"/>
              </w:rPr>
              <w:t>bāze 2016.gadā</w:t>
            </w:r>
          </w:p>
        </w:tc>
        <w:tc>
          <w:tcPr>
            <w:tcW w:w="1148"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Pieaugums pret esošo 2013.gadā  (8.aile-3.aile)</w:t>
            </w:r>
          </w:p>
        </w:tc>
      </w:tr>
      <w:tr w:rsidR="00351B21" w:rsidRPr="00351B21" w:rsidTr="00262882">
        <w:trPr>
          <w:trHeight w:val="2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1</w:t>
            </w:r>
          </w:p>
        </w:tc>
        <w:tc>
          <w:tcPr>
            <w:tcW w:w="1135"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2</w:t>
            </w:r>
          </w:p>
        </w:tc>
        <w:tc>
          <w:tcPr>
            <w:tcW w:w="1156"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3</w:t>
            </w:r>
          </w:p>
        </w:tc>
        <w:tc>
          <w:tcPr>
            <w:tcW w:w="1206"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4</w:t>
            </w:r>
          </w:p>
        </w:tc>
        <w:tc>
          <w:tcPr>
            <w:tcW w:w="1006"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5</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6</w:t>
            </w:r>
          </w:p>
        </w:tc>
        <w:tc>
          <w:tcPr>
            <w:tcW w:w="1134"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7</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8</w:t>
            </w:r>
          </w:p>
        </w:tc>
        <w:tc>
          <w:tcPr>
            <w:tcW w:w="1148"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i/>
                <w:iCs/>
                <w:sz w:val="16"/>
                <w:szCs w:val="16"/>
                <w:lang w:eastAsia="lv-LV"/>
              </w:rPr>
            </w:pPr>
            <w:r w:rsidRPr="00351B21">
              <w:rPr>
                <w:rFonts w:ascii="Times New Roman" w:eastAsia="Times New Roman" w:hAnsi="Times New Roman" w:cs="Times New Roman"/>
                <w:i/>
                <w:iCs/>
                <w:sz w:val="16"/>
                <w:szCs w:val="16"/>
                <w:lang w:eastAsia="lv-LV"/>
              </w:rPr>
              <w:t>9</w:t>
            </w:r>
          </w:p>
        </w:tc>
      </w:tr>
      <w:tr w:rsidR="00351B21" w:rsidRPr="00351B21" w:rsidTr="00262882">
        <w:trPr>
          <w:trHeight w:val="390"/>
        </w:trPr>
        <w:tc>
          <w:tcPr>
            <w:tcW w:w="425" w:type="dxa"/>
            <w:tcBorders>
              <w:top w:val="nil"/>
              <w:left w:val="single" w:sz="4" w:space="0" w:color="auto"/>
              <w:bottom w:val="nil"/>
              <w:right w:val="nil"/>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w:t>
            </w:r>
            <w:r>
              <w:rPr>
                <w:rFonts w:ascii="Times New Roman" w:eastAsia="Times New Roman" w:hAnsi="Times New Roman" w:cs="Times New Roman"/>
                <w:sz w:val="18"/>
                <w:szCs w:val="18"/>
                <w:lang w:eastAsia="lv-LV"/>
              </w:rPr>
              <w:t>1.</w:t>
            </w:r>
          </w:p>
        </w:tc>
        <w:tc>
          <w:tcPr>
            <w:tcW w:w="9309" w:type="dxa"/>
            <w:gridSpan w:val="8"/>
            <w:tcBorders>
              <w:top w:val="nil"/>
              <w:left w:val="single" w:sz="4" w:space="0" w:color="auto"/>
              <w:bottom w:val="single" w:sz="4" w:space="0" w:color="auto"/>
              <w:right w:val="single" w:sz="4" w:space="0" w:color="auto"/>
            </w:tcBorders>
            <w:shd w:val="clear" w:color="auto" w:fill="auto"/>
            <w:noWrap/>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r w:rsidRPr="00351B21">
              <w:rPr>
                <w:rFonts w:ascii="Times New Roman" w:eastAsia="Times New Roman" w:hAnsi="Times New Roman" w:cs="Times New Roman"/>
                <w:b/>
                <w:bCs/>
                <w:sz w:val="18"/>
                <w:szCs w:val="18"/>
                <w:lang w:eastAsia="lv-LV"/>
              </w:rPr>
              <w:t>Izglītības un zinātnes ministrija</w:t>
            </w:r>
            <w:r w:rsidRPr="00351B21">
              <w:rPr>
                <w:rFonts w:ascii="Times New Roman" w:eastAsia="Times New Roman" w:hAnsi="Times New Roman" w:cs="Times New Roman"/>
                <w:sz w:val="18"/>
                <w:szCs w:val="18"/>
                <w:lang w:eastAsia="lv-LV"/>
              </w:rPr>
              <w:t xml:space="preserve">, </w:t>
            </w:r>
            <w:r w:rsidRPr="00351B21">
              <w:rPr>
                <w:rFonts w:ascii="Times New Roman" w:eastAsia="Times New Roman" w:hAnsi="Times New Roman" w:cs="Times New Roman"/>
                <w:i/>
                <w:iCs/>
                <w:sz w:val="18"/>
                <w:szCs w:val="18"/>
                <w:lang w:eastAsia="lv-LV"/>
              </w:rPr>
              <w:t>tajā skaitā:</w:t>
            </w:r>
          </w:p>
        </w:tc>
      </w:tr>
      <w:tr w:rsidR="00351B21" w:rsidRPr="00351B21" w:rsidTr="00262882">
        <w:trPr>
          <w:trHeight w:val="495"/>
        </w:trPr>
        <w:tc>
          <w:tcPr>
            <w:tcW w:w="425" w:type="dxa"/>
            <w:tcBorders>
              <w:top w:val="nil"/>
              <w:left w:val="single" w:sz="4" w:space="0" w:color="auto"/>
              <w:bottom w:val="nil"/>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w:t>
            </w:r>
          </w:p>
        </w:tc>
        <w:tc>
          <w:tcPr>
            <w:tcW w:w="1135"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right"/>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augstskolas</w:t>
            </w:r>
          </w:p>
        </w:tc>
        <w:tc>
          <w:tcPr>
            <w:tcW w:w="1156" w:type="dxa"/>
            <w:tcBorders>
              <w:top w:val="nil"/>
              <w:left w:val="nil"/>
              <w:bottom w:val="single" w:sz="4" w:space="0" w:color="auto"/>
              <w:right w:val="nil"/>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30 224 955</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35 899 336</w:t>
            </w:r>
          </w:p>
        </w:tc>
        <w:tc>
          <w:tcPr>
            <w:tcW w:w="1006"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5 674 381</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38 310 143</w:t>
            </w:r>
          </w:p>
        </w:tc>
        <w:tc>
          <w:tcPr>
            <w:tcW w:w="1134"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8 085 188</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40 141 283</w:t>
            </w:r>
          </w:p>
        </w:tc>
        <w:tc>
          <w:tcPr>
            <w:tcW w:w="1148"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9 916 328</w:t>
            </w:r>
          </w:p>
        </w:tc>
      </w:tr>
      <w:tr w:rsidR="00351B21" w:rsidRPr="00351B21" w:rsidTr="00262882">
        <w:trPr>
          <w:trHeight w:val="450"/>
        </w:trPr>
        <w:tc>
          <w:tcPr>
            <w:tcW w:w="425" w:type="dxa"/>
            <w:tcBorders>
              <w:top w:val="nil"/>
              <w:left w:val="single" w:sz="4" w:space="0" w:color="auto"/>
              <w:bottom w:val="nil"/>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w:t>
            </w:r>
          </w:p>
        </w:tc>
        <w:tc>
          <w:tcPr>
            <w:tcW w:w="1135"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right"/>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koledžas</w:t>
            </w:r>
          </w:p>
        </w:tc>
        <w:tc>
          <w:tcPr>
            <w:tcW w:w="1156" w:type="dxa"/>
            <w:tcBorders>
              <w:top w:val="nil"/>
              <w:left w:val="nil"/>
              <w:bottom w:val="single" w:sz="4" w:space="0" w:color="auto"/>
              <w:right w:val="nil"/>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4 357 639</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6 561 802</w:t>
            </w:r>
          </w:p>
        </w:tc>
        <w:tc>
          <w:tcPr>
            <w:tcW w:w="1006"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2 204 163</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7 063 265</w:t>
            </w:r>
          </w:p>
        </w:tc>
        <w:tc>
          <w:tcPr>
            <w:tcW w:w="1134"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2 705 626</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7 247 291</w:t>
            </w:r>
          </w:p>
        </w:tc>
        <w:tc>
          <w:tcPr>
            <w:tcW w:w="1148"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2 889 652</w:t>
            </w:r>
          </w:p>
        </w:tc>
      </w:tr>
      <w:tr w:rsidR="00351B21" w:rsidRPr="00351B21" w:rsidTr="00262882">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w:t>
            </w:r>
            <w:r>
              <w:rPr>
                <w:rFonts w:ascii="Times New Roman" w:eastAsia="Times New Roman" w:hAnsi="Times New Roman" w:cs="Times New Roman"/>
                <w:sz w:val="18"/>
                <w:szCs w:val="18"/>
                <w:lang w:eastAsia="lv-LV"/>
              </w:rPr>
              <w:t>2.</w:t>
            </w:r>
          </w:p>
        </w:tc>
        <w:tc>
          <w:tcPr>
            <w:tcW w:w="1135"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b/>
                <w:bCs/>
                <w:sz w:val="18"/>
                <w:szCs w:val="18"/>
                <w:lang w:eastAsia="lv-LV"/>
              </w:rPr>
            </w:pPr>
            <w:r w:rsidRPr="00351B21">
              <w:rPr>
                <w:rFonts w:ascii="Times New Roman" w:eastAsia="Times New Roman" w:hAnsi="Times New Roman" w:cs="Times New Roman"/>
                <w:b/>
                <w:bCs/>
                <w:sz w:val="18"/>
                <w:szCs w:val="18"/>
                <w:lang w:eastAsia="lv-LV"/>
              </w:rPr>
              <w:t>Kultūras ministrija</w:t>
            </w:r>
          </w:p>
        </w:tc>
        <w:tc>
          <w:tcPr>
            <w:tcW w:w="1156" w:type="dxa"/>
            <w:tcBorders>
              <w:top w:val="nil"/>
              <w:left w:val="nil"/>
              <w:bottom w:val="single" w:sz="4" w:space="0" w:color="auto"/>
              <w:right w:val="nil"/>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4 681 725</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5 448 164</w:t>
            </w:r>
          </w:p>
        </w:tc>
        <w:tc>
          <w:tcPr>
            <w:tcW w:w="1006"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766 439</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5 898 606</w:t>
            </w:r>
          </w:p>
        </w:tc>
        <w:tc>
          <w:tcPr>
            <w:tcW w:w="1134"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1 216 881</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6 461 824</w:t>
            </w:r>
          </w:p>
        </w:tc>
        <w:tc>
          <w:tcPr>
            <w:tcW w:w="1148"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1 780 099</w:t>
            </w:r>
          </w:p>
        </w:tc>
      </w:tr>
      <w:tr w:rsidR="00351B21" w:rsidRPr="00351B21" w:rsidTr="00262882">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w:t>
            </w:r>
            <w:r>
              <w:rPr>
                <w:rFonts w:ascii="Times New Roman" w:eastAsia="Times New Roman" w:hAnsi="Times New Roman" w:cs="Times New Roman"/>
                <w:sz w:val="18"/>
                <w:szCs w:val="18"/>
                <w:lang w:eastAsia="lv-LV"/>
              </w:rPr>
              <w:t>3.</w:t>
            </w:r>
          </w:p>
        </w:tc>
        <w:tc>
          <w:tcPr>
            <w:tcW w:w="1135"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b/>
                <w:bCs/>
                <w:sz w:val="18"/>
                <w:szCs w:val="18"/>
                <w:lang w:eastAsia="lv-LV"/>
              </w:rPr>
            </w:pPr>
            <w:r w:rsidRPr="00351B21">
              <w:rPr>
                <w:rFonts w:ascii="Times New Roman" w:eastAsia="Times New Roman" w:hAnsi="Times New Roman" w:cs="Times New Roman"/>
                <w:b/>
                <w:bCs/>
                <w:sz w:val="18"/>
                <w:szCs w:val="18"/>
                <w:lang w:eastAsia="lv-LV"/>
              </w:rPr>
              <w:t>Veselības ministrija</w:t>
            </w:r>
          </w:p>
        </w:tc>
        <w:tc>
          <w:tcPr>
            <w:tcW w:w="1156" w:type="dxa"/>
            <w:tcBorders>
              <w:top w:val="nil"/>
              <w:left w:val="nil"/>
              <w:bottom w:val="single" w:sz="4" w:space="0" w:color="auto"/>
              <w:right w:val="nil"/>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10 850 827</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10 872 889</w:t>
            </w:r>
          </w:p>
        </w:tc>
        <w:tc>
          <w:tcPr>
            <w:tcW w:w="1006"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22 062</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11 769 353</w:t>
            </w:r>
          </w:p>
        </w:tc>
        <w:tc>
          <w:tcPr>
            <w:tcW w:w="1134"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918 526</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11 945 530</w:t>
            </w:r>
          </w:p>
        </w:tc>
        <w:tc>
          <w:tcPr>
            <w:tcW w:w="1148"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1 094 703</w:t>
            </w:r>
          </w:p>
        </w:tc>
      </w:tr>
      <w:tr w:rsidR="00351B21" w:rsidRPr="00351B21" w:rsidTr="00262882">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w:t>
            </w:r>
            <w:r>
              <w:rPr>
                <w:rFonts w:ascii="Times New Roman" w:eastAsia="Times New Roman" w:hAnsi="Times New Roman" w:cs="Times New Roman"/>
                <w:sz w:val="18"/>
                <w:szCs w:val="18"/>
                <w:lang w:eastAsia="lv-LV"/>
              </w:rPr>
              <w:t>4.</w:t>
            </w:r>
          </w:p>
        </w:tc>
        <w:tc>
          <w:tcPr>
            <w:tcW w:w="1135"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b/>
                <w:bCs/>
                <w:sz w:val="18"/>
                <w:szCs w:val="18"/>
                <w:lang w:eastAsia="lv-LV"/>
              </w:rPr>
            </w:pPr>
            <w:r w:rsidRPr="00351B21">
              <w:rPr>
                <w:rFonts w:ascii="Times New Roman" w:eastAsia="Times New Roman" w:hAnsi="Times New Roman" w:cs="Times New Roman"/>
                <w:b/>
                <w:bCs/>
                <w:sz w:val="18"/>
                <w:szCs w:val="18"/>
                <w:lang w:eastAsia="lv-LV"/>
              </w:rPr>
              <w:t>Zemkopības ministrija</w:t>
            </w:r>
          </w:p>
        </w:tc>
        <w:tc>
          <w:tcPr>
            <w:tcW w:w="1156" w:type="dxa"/>
            <w:tcBorders>
              <w:top w:val="nil"/>
              <w:left w:val="nil"/>
              <w:bottom w:val="single" w:sz="4" w:space="0" w:color="auto"/>
              <w:right w:val="nil"/>
            </w:tcBorders>
            <w:shd w:val="clear" w:color="auto" w:fill="auto"/>
            <w:noWrap/>
            <w:vAlign w:val="center"/>
            <w:hideMark/>
          </w:tcPr>
          <w:p w:rsidR="00351B21" w:rsidRPr="00351B21" w:rsidRDefault="00351B21" w:rsidP="00351B21">
            <w:pPr>
              <w:spacing w:after="0" w:line="240" w:lineRule="auto"/>
              <w:jc w:val="center"/>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5 282 039</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5 990 618</w:t>
            </w:r>
          </w:p>
        </w:tc>
        <w:tc>
          <w:tcPr>
            <w:tcW w:w="1006"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708 579</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6 361 713</w:t>
            </w:r>
          </w:p>
        </w:tc>
        <w:tc>
          <w:tcPr>
            <w:tcW w:w="1134"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1 079 674</w:t>
            </w:r>
          </w:p>
        </w:tc>
        <w:tc>
          <w:tcPr>
            <w:tcW w:w="1262"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Cs/>
                <w:sz w:val="18"/>
                <w:szCs w:val="18"/>
                <w:lang w:eastAsia="lv-LV"/>
              </w:rPr>
            </w:pPr>
            <w:r w:rsidRPr="006D7098">
              <w:rPr>
                <w:rFonts w:ascii="Times New Roman" w:eastAsia="Times New Roman" w:hAnsi="Times New Roman" w:cs="Times New Roman"/>
                <w:bCs/>
                <w:sz w:val="18"/>
                <w:szCs w:val="18"/>
                <w:lang w:eastAsia="lv-LV"/>
              </w:rPr>
              <w:t>6 630 951</w:t>
            </w:r>
          </w:p>
        </w:tc>
        <w:tc>
          <w:tcPr>
            <w:tcW w:w="1148"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1 348 912</w:t>
            </w:r>
          </w:p>
        </w:tc>
      </w:tr>
      <w:tr w:rsidR="00351B21" w:rsidRPr="00351B21" w:rsidTr="00262882">
        <w:trPr>
          <w:trHeight w:val="4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 </w:t>
            </w:r>
          </w:p>
        </w:tc>
        <w:tc>
          <w:tcPr>
            <w:tcW w:w="1135" w:type="dxa"/>
            <w:tcBorders>
              <w:top w:val="nil"/>
              <w:left w:val="nil"/>
              <w:bottom w:val="single" w:sz="4" w:space="0" w:color="auto"/>
              <w:right w:val="single" w:sz="4" w:space="0" w:color="auto"/>
            </w:tcBorders>
            <w:shd w:val="clear" w:color="auto" w:fill="auto"/>
            <w:vAlign w:val="center"/>
            <w:hideMark/>
          </w:tcPr>
          <w:p w:rsidR="00351B21" w:rsidRPr="00351B21" w:rsidRDefault="00351B21" w:rsidP="00351B21">
            <w:pPr>
              <w:spacing w:after="0" w:line="240" w:lineRule="auto"/>
              <w:jc w:val="right"/>
              <w:rPr>
                <w:rFonts w:ascii="Times New Roman" w:eastAsia="Times New Roman" w:hAnsi="Times New Roman" w:cs="Times New Roman"/>
                <w:b/>
                <w:bCs/>
                <w:sz w:val="18"/>
                <w:szCs w:val="18"/>
                <w:lang w:eastAsia="lv-LV"/>
              </w:rPr>
            </w:pPr>
            <w:r w:rsidRPr="00351B21">
              <w:rPr>
                <w:rFonts w:ascii="Times New Roman" w:eastAsia="Times New Roman" w:hAnsi="Times New Roman" w:cs="Times New Roman"/>
                <w:b/>
                <w:bCs/>
                <w:sz w:val="18"/>
                <w:szCs w:val="18"/>
                <w:lang w:eastAsia="lv-LV"/>
              </w:rPr>
              <w:t>KOPĀ</w:t>
            </w:r>
          </w:p>
        </w:tc>
        <w:tc>
          <w:tcPr>
            <w:tcW w:w="1156"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right"/>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55 397 185</w:t>
            </w:r>
          </w:p>
        </w:tc>
        <w:tc>
          <w:tcPr>
            <w:tcW w:w="1206" w:type="dxa"/>
            <w:tcBorders>
              <w:top w:val="nil"/>
              <w:left w:val="nil"/>
              <w:bottom w:val="single" w:sz="4" w:space="0" w:color="auto"/>
              <w:right w:val="single" w:sz="4" w:space="0" w:color="auto"/>
            </w:tcBorders>
            <w:shd w:val="clear" w:color="auto" w:fill="auto"/>
            <w:noWrap/>
            <w:vAlign w:val="center"/>
            <w:hideMark/>
          </w:tcPr>
          <w:p w:rsidR="00351B21" w:rsidRPr="00351B21" w:rsidRDefault="00351B21" w:rsidP="00351B21">
            <w:pPr>
              <w:spacing w:after="0" w:line="240" w:lineRule="auto"/>
              <w:jc w:val="right"/>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64 772 809</w:t>
            </w:r>
          </w:p>
        </w:tc>
        <w:tc>
          <w:tcPr>
            <w:tcW w:w="1006" w:type="dxa"/>
            <w:tcBorders>
              <w:top w:val="nil"/>
              <w:left w:val="nil"/>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9 375 624</w:t>
            </w:r>
          </w:p>
        </w:tc>
        <w:tc>
          <w:tcPr>
            <w:tcW w:w="1262" w:type="dxa"/>
            <w:tcBorders>
              <w:top w:val="nil"/>
              <w:left w:val="nil"/>
              <w:bottom w:val="single" w:sz="4" w:space="0" w:color="auto"/>
              <w:right w:val="nil"/>
            </w:tcBorders>
            <w:shd w:val="clear" w:color="auto" w:fill="auto"/>
            <w:noWrap/>
            <w:vAlign w:val="center"/>
            <w:hideMark/>
          </w:tcPr>
          <w:p w:rsidR="00351B21" w:rsidRPr="00351B21" w:rsidRDefault="00351B21" w:rsidP="00351B21">
            <w:pPr>
              <w:spacing w:after="0" w:line="240" w:lineRule="auto"/>
              <w:jc w:val="right"/>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69 403 080</w:t>
            </w:r>
          </w:p>
        </w:tc>
        <w:tc>
          <w:tcPr>
            <w:tcW w:w="1134" w:type="dxa"/>
            <w:tcBorders>
              <w:top w:val="nil"/>
              <w:left w:val="single" w:sz="4" w:space="0" w:color="auto"/>
              <w:bottom w:val="single" w:sz="4" w:space="0" w:color="auto"/>
              <w:right w:val="nil"/>
            </w:tcBorders>
            <w:shd w:val="clear" w:color="auto" w:fill="auto"/>
            <w:noWrap/>
            <w:vAlign w:val="center"/>
            <w:hideMark/>
          </w:tcPr>
          <w:p w:rsidR="00351B21" w:rsidRPr="006D7098" w:rsidRDefault="00351B21" w:rsidP="00351B21">
            <w:pPr>
              <w:spacing w:after="0" w:line="240" w:lineRule="auto"/>
              <w:jc w:val="right"/>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14 005 895</w:t>
            </w:r>
          </w:p>
        </w:tc>
        <w:tc>
          <w:tcPr>
            <w:tcW w:w="1262" w:type="dxa"/>
            <w:tcBorders>
              <w:top w:val="nil"/>
              <w:left w:val="single" w:sz="4" w:space="0" w:color="auto"/>
              <w:bottom w:val="single" w:sz="4" w:space="0" w:color="auto"/>
              <w:right w:val="nil"/>
            </w:tcBorders>
            <w:shd w:val="clear" w:color="auto" w:fill="auto"/>
            <w:noWrap/>
            <w:vAlign w:val="center"/>
            <w:hideMark/>
          </w:tcPr>
          <w:p w:rsidR="00351B21" w:rsidRPr="00351B21" w:rsidRDefault="00351B21" w:rsidP="00351B21">
            <w:pPr>
              <w:spacing w:after="0" w:line="240" w:lineRule="auto"/>
              <w:jc w:val="right"/>
              <w:rPr>
                <w:rFonts w:ascii="Times New Roman" w:eastAsia="Times New Roman" w:hAnsi="Times New Roman" w:cs="Times New Roman"/>
                <w:sz w:val="18"/>
                <w:szCs w:val="18"/>
                <w:lang w:eastAsia="lv-LV"/>
              </w:rPr>
            </w:pPr>
            <w:r w:rsidRPr="00351B21">
              <w:rPr>
                <w:rFonts w:ascii="Times New Roman" w:eastAsia="Times New Roman" w:hAnsi="Times New Roman" w:cs="Times New Roman"/>
                <w:sz w:val="18"/>
                <w:szCs w:val="18"/>
                <w:lang w:eastAsia="lv-LV"/>
              </w:rPr>
              <w:t>72 426 879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351B21" w:rsidRPr="006D7098" w:rsidRDefault="00351B21" w:rsidP="00351B21">
            <w:pPr>
              <w:spacing w:after="0" w:line="240" w:lineRule="auto"/>
              <w:jc w:val="center"/>
              <w:rPr>
                <w:rFonts w:ascii="Times New Roman" w:eastAsia="Times New Roman" w:hAnsi="Times New Roman" w:cs="Times New Roman"/>
                <w:b/>
                <w:sz w:val="18"/>
                <w:szCs w:val="18"/>
                <w:lang w:eastAsia="lv-LV"/>
              </w:rPr>
            </w:pPr>
            <w:r w:rsidRPr="006D7098">
              <w:rPr>
                <w:rFonts w:ascii="Times New Roman" w:eastAsia="Times New Roman" w:hAnsi="Times New Roman" w:cs="Times New Roman"/>
                <w:b/>
                <w:sz w:val="18"/>
                <w:szCs w:val="18"/>
                <w:lang w:eastAsia="lv-LV"/>
              </w:rPr>
              <w:t>17 029 694</w:t>
            </w:r>
          </w:p>
        </w:tc>
      </w:tr>
    </w:tbl>
    <w:p w:rsidR="00FA732B" w:rsidRPr="00262882" w:rsidRDefault="00FA732B" w:rsidP="00262882">
      <w:pPr>
        <w:spacing w:after="0" w:line="240" w:lineRule="auto"/>
        <w:jc w:val="both"/>
        <w:rPr>
          <w:rFonts w:ascii="Times New Roman" w:hAnsi="Times New Roman" w:cs="Times New Roman"/>
          <w:sz w:val="26"/>
          <w:szCs w:val="26"/>
        </w:rPr>
      </w:pPr>
    </w:p>
    <w:p w:rsidR="00093228" w:rsidRDefault="00093228" w:rsidP="000F0922">
      <w:pPr>
        <w:spacing w:after="0" w:line="240" w:lineRule="auto"/>
        <w:jc w:val="both"/>
        <w:rPr>
          <w:rFonts w:ascii="Times New Roman" w:hAnsi="Times New Roman" w:cs="Times New Roman"/>
          <w:b/>
          <w:sz w:val="26"/>
          <w:szCs w:val="26"/>
        </w:rPr>
      </w:pPr>
    </w:p>
    <w:p w:rsidR="000F0922" w:rsidRDefault="000F0922" w:rsidP="000F092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Priekšlikumi turpmākai rīcībai pēc 2016.gada.</w:t>
      </w:r>
    </w:p>
    <w:p w:rsidR="000F0922" w:rsidRPr="00F15886" w:rsidRDefault="000F0922" w:rsidP="000F0922">
      <w:pPr>
        <w:spacing w:after="0" w:line="240" w:lineRule="auto"/>
        <w:jc w:val="both"/>
        <w:rPr>
          <w:rFonts w:ascii="Times New Roman" w:hAnsi="Times New Roman" w:cs="Times New Roman"/>
          <w:b/>
          <w:sz w:val="26"/>
          <w:szCs w:val="26"/>
        </w:rPr>
      </w:pPr>
    </w:p>
    <w:p w:rsidR="000F0922" w:rsidRPr="00F15886" w:rsidRDefault="000F0922" w:rsidP="000F0922">
      <w:pPr>
        <w:spacing w:after="0" w:line="240" w:lineRule="auto"/>
        <w:jc w:val="both"/>
        <w:rPr>
          <w:rFonts w:ascii="Times New Roman" w:hAnsi="Times New Roman" w:cs="Times New Roman"/>
          <w:sz w:val="26"/>
          <w:szCs w:val="26"/>
        </w:rPr>
      </w:pPr>
      <w:r w:rsidRPr="00F15886">
        <w:rPr>
          <w:rFonts w:ascii="Times New Roman" w:hAnsi="Times New Roman" w:cs="Times New Roman"/>
          <w:sz w:val="26"/>
          <w:szCs w:val="26"/>
        </w:rPr>
        <w:tab/>
      </w:r>
      <w:r>
        <w:rPr>
          <w:rFonts w:ascii="Times New Roman" w:hAnsi="Times New Roman" w:cs="Times New Roman"/>
          <w:sz w:val="26"/>
          <w:szCs w:val="26"/>
        </w:rPr>
        <w:t xml:space="preserve">Lai nodrošinātu vienādu koeficientu piemērošanu visām augstākās izglītības iestādēm pēc 2016.gada un ņemot vērā Augstskolu likuma 78.panta septītajā daļā noteikto, IZM sadarbībā ar ministrijām, kuru padotībā ir augstākās izglītības iestādes, sagatavo priekšlikumus par nepieciešamā papildu finansējuma iekļaušanu valsts pamatbudžeta bāzē likumprojektā „Par vidēja termiņa </w:t>
      </w:r>
      <w:r w:rsidRPr="00360540">
        <w:rPr>
          <w:rFonts w:ascii="Times New Roman" w:hAnsi="Times New Roman" w:cs="Times New Roman"/>
          <w:sz w:val="26"/>
          <w:szCs w:val="26"/>
        </w:rPr>
        <w:t xml:space="preserve">budžeta bāzes </w:t>
      </w:r>
      <w:r>
        <w:rPr>
          <w:rFonts w:ascii="Times New Roman" w:hAnsi="Times New Roman" w:cs="Times New Roman"/>
          <w:sz w:val="26"/>
          <w:szCs w:val="26"/>
        </w:rPr>
        <w:t>ietvaru” katriem nākamajiem trīs gadiem un likumprojektā „Par valsts budžetu” katram nākamajam gadam un iesniedz tos Finanšu ministrijā.</w:t>
      </w:r>
      <w:r w:rsidRPr="00245C64">
        <w:rPr>
          <w:rFonts w:ascii="Times New Roman" w:hAnsi="Times New Roman" w:cs="Times New Roman"/>
          <w:sz w:val="26"/>
          <w:szCs w:val="26"/>
        </w:rPr>
        <w:t xml:space="preserve"> </w:t>
      </w:r>
    </w:p>
    <w:p w:rsidR="00F15886" w:rsidRDefault="00F15886" w:rsidP="000F0922">
      <w:pPr>
        <w:spacing w:after="0" w:line="240" w:lineRule="auto"/>
        <w:jc w:val="both"/>
        <w:rPr>
          <w:rFonts w:ascii="Times New Roman" w:hAnsi="Times New Roman" w:cs="Times New Roman"/>
          <w:sz w:val="28"/>
          <w:szCs w:val="28"/>
        </w:rPr>
      </w:pPr>
    </w:p>
    <w:p w:rsidR="00F15886" w:rsidRDefault="00F15886" w:rsidP="00F15886">
      <w:pPr>
        <w:spacing w:after="0" w:line="240" w:lineRule="auto"/>
        <w:jc w:val="both"/>
        <w:rPr>
          <w:rFonts w:ascii="Times New Roman" w:hAnsi="Times New Roman" w:cs="Times New Roman"/>
          <w:sz w:val="28"/>
          <w:szCs w:val="28"/>
        </w:rPr>
      </w:pPr>
    </w:p>
    <w:p w:rsidR="00F011AF" w:rsidRDefault="00F011AF" w:rsidP="00F158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Ekonomikas ministrs,</w:t>
      </w:r>
    </w:p>
    <w:p w:rsidR="00F011AF" w:rsidRDefault="00F011AF" w:rsidP="0011659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i</w:t>
      </w:r>
      <w:r w:rsidR="0011659E" w:rsidRPr="00DE394A">
        <w:rPr>
          <w:rFonts w:ascii="Times New Roman" w:eastAsia="Calibri" w:hAnsi="Times New Roman" w:cs="Times New Roman"/>
          <w:sz w:val="26"/>
          <w:szCs w:val="26"/>
        </w:rPr>
        <w:t>zglītības un zinātnes ministr</w:t>
      </w:r>
      <w:r>
        <w:rPr>
          <w:rFonts w:ascii="Times New Roman" w:eastAsia="Calibri" w:hAnsi="Times New Roman" w:cs="Times New Roman"/>
          <w:sz w:val="26"/>
          <w:szCs w:val="26"/>
        </w:rPr>
        <w:t>a</w:t>
      </w:r>
    </w:p>
    <w:p w:rsidR="0011659E" w:rsidRPr="00DE394A" w:rsidRDefault="00F011AF" w:rsidP="0011659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pienākumu izpildītājs</w:t>
      </w:r>
      <w:r>
        <w:rPr>
          <w:rFonts w:ascii="Times New Roman" w:eastAsia="Calibri" w:hAnsi="Times New Roman" w:cs="Times New Roman"/>
          <w:sz w:val="26"/>
          <w:szCs w:val="26"/>
        </w:rPr>
        <w:tab/>
      </w:r>
      <w:r w:rsidR="0011659E" w:rsidRPr="00DE394A">
        <w:rPr>
          <w:rFonts w:ascii="Times New Roman" w:eastAsia="Calibri" w:hAnsi="Times New Roman" w:cs="Times New Roman"/>
          <w:sz w:val="26"/>
          <w:szCs w:val="26"/>
        </w:rPr>
        <w:tab/>
      </w:r>
      <w:r w:rsidR="0011659E" w:rsidRPr="00DE394A">
        <w:rPr>
          <w:rFonts w:ascii="Times New Roman" w:eastAsia="Calibri" w:hAnsi="Times New Roman" w:cs="Times New Roman"/>
          <w:sz w:val="26"/>
          <w:szCs w:val="26"/>
        </w:rPr>
        <w:tab/>
      </w:r>
      <w:r w:rsidR="0011659E" w:rsidRPr="00DE394A">
        <w:rPr>
          <w:rFonts w:ascii="Times New Roman" w:eastAsia="Calibri" w:hAnsi="Times New Roman" w:cs="Times New Roman"/>
          <w:sz w:val="26"/>
          <w:szCs w:val="26"/>
        </w:rPr>
        <w:tab/>
      </w:r>
      <w:r w:rsidR="0011659E" w:rsidRPr="00DE394A">
        <w:rPr>
          <w:rFonts w:ascii="Times New Roman" w:eastAsia="Calibri" w:hAnsi="Times New Roman" w:cs="Times New Roman"/>
          <w:sz w:val="26"/>
          <w:szCs w:val="26"/>
        </w:rPr>
        <w:tab/>
      </w:r>
      <w:r w:rsidR="0011659E" w:rsidRPr="00DE394A">
        <w:rPr>
          <w:rFonts w:ascii="Times New Roman" w:eastAsia="Calibri" w:hAnsi="Times New Roman" w:cs="Times New Roman"/>
          <w:sz w:val="26"/>
          <w:szCs w:val="26"/>
        </w:rPr>
        <w:tab/>
      </w:r>
      <w:r w:rsidR="0011659E" w:rsidRPr="00DE394A">
        <w:rPr>
          <w:rFonts w:ascii="Times New Roman" w:eastAsia="Calibri" w:hAnsi="Times New Roman" w:cs="Times New Roman"/>
          <w:sz w:val="26"/>
          <w:szCs w:val="26"/>
        </w:rPr>
        <w:tab/>
      </w:r>
      <w:proofErr w:type="spellStart"/>
      <w:r>
        <w:rPr>
          <w:rFonts w:ascii="Times New Roman" w:eastAsia="Calibri" w:hAnsi="Times New Roman" w:cs="Times New Roman"/>
          <w:sz w:val="26"/>
          <w:szCs w:val="26"/>
        </w:rPr>
        <w:t>D.Pavļuts</w:t>
      </w:r>
      <w:proofErr w:type="spellEnd"/>
    </w:p>
    <w:p w:rsidR="0011659E" w:rsidRPr="00DE394A" w:rsidRDefault="0011659E" w:rsidP="0011659E">
      <w:pPr>
        <w:spacing w:after="0" w:line="240" w:lineRule="auto"/>
        <w:jc w:val="center"/>
        <w:rPr>
          <w:rFonts w:ascii="Times New Roman" w:eastAsia="Calibri" w:hAnsi="Times New Roman" w:cs="Times New Roman"/>
          <w:sz w:val="26"/>
          <w:szCs w:val="26"/>
        </w:rPr>
      </w:pPr>
    </w:p>
    <w:p w:rsidR="0011659E" w:rsidRPr="00DE394A" w:rsidRDefault="0011659E" w:rsidP="0011659E">
      <w:pPr>
        <w:spacing w:after="0" w:line="240" w:lineRule="auto"/>
        <w:jc w:val="center"/>
        <w:rPr>
          <w:rFonts w:ascii="Times New Roman" w:eastAsia="Calibri" w:hAnsi="Times New Roman" w:cs="Times New Roman"/>
          <w:sz w:val="26"/>
          <w:szCs w:val="26"/>
        </w:rPr>
      </w:pPr>
    </w:p>
    <w:p w:rsidR="0011659E" w:rsidRPr="00DE394A" w:rsidRDefault="0011659E" w:rsidP="00250B67">
      <w:pPr>
        <w:spacing w:after="0" w:line="240" w:lineRule="auto"/>
        <w:rPr>
          <w:rFonts w:ascii="Times New Roman" w:eastAsia="Calibri" w:hAnsi="Times New Roman" w:cs="Times New Roman"/>
          <w:sz w:val="26"/>
          <w:szCs w:val="26"/>
        </w:rPr>
      </w:pPr>
      <w:r w:rsidRPr="00DE394A">
        <w:rPr>
          <w:rFonts w:ascii="Times New Roman" w:eastAsia="Calibri" w:hAnsi="Times New Roman" w:cs="Times New Roman"/>
          <w:sz w:val="26"/>
          <w:szCs w:val="26"/>
        </w:rPr>
        <w:t xml:space="preserve">Vizē: </w:t>
      </w:r>
      <w:r w:rsidR="00250B67">
        <w:rPr>
          <w:rFonts w:ascii="Times New Roman" w:eastAsia="Calibri" w:hAnsi="Times New Roman" w:cs="Times New Roman"/>
          <w:bCs/>
          <w:sz w:val="26"/>
          <w:szCs w:val="26"/>
        </w:rPr>
        <w:t xml:space="preserve">Valsts sekretārs </w:t>
      </w:r>
      <w:r w:rsidR="00250B67">
        <w:rPr>
          <w:rFonts w:ascii="Times New Roman" w:eastAsia="Calibri" w:hAnsi="Times New Roman" w:cs="Times New Roman"/>
          <w:bCs/>
          <w:sz w:val="26"/>
          <w:szCs w:val="26"/>
        </w:rPr>
        <w:tab/>
      </w:r>
      <w:r w:rsidR="00250B67">
        <w:rPr>
          <w:rFonts w:ascii="Times New Roman" w:eastAsia="Calibri" w:hAnsi="Times New Roman" w:cs="Times New Roman"/>
          <w:bCs/>
          <w:sz w:val="26"/>
          <w:szCs w:val="26"/>
        </w:rPr>
        <w:tab/>
      </w:r>
      <w:r w:rsidR="00250B67">
        <w:rPr>
          <w:rFonts w:ascii="Times New Roman" w:eastAsia="Calibri" w:hAnsi="Times New Roman" w:cs="Times New Roman"/>
          <w:bCs/>
          <w:sz w:val="26"/>
          <w:szCs w:val="26"/>
        </w:rPr>
        <w:tab/>
      </w:r>
      <w:r w:rsidR="00250B67">
        <w:rPr>
          <w:rFonts w:ascii="Times New Roman" w:eastAsia="Calibri" w:hAnsi="Times New Roman" w:cs="Times New Roman"/>
          <w:bCs/>
          <w:sz w:val="26"/>
          <w:szCs w:val="26"/>
        </w:rPr>
        <w:tab/>
      </w:r>
      <w:r w:rsidR="00250B67">
        <w:rPr>
          <w:rFonts w:ascii="Times New Roman" w:eastAsia="Calibri" w:hAnsi="Times New Roman" w:cs="Times New Roman"/>
          <w:bCs/>
          <w:sz w:val="26"/>
          <w:szCs w:val="26"/>
        </w:rPr>
        <w:tab/>
      </w:r>
      <w:r w:rsidR="00250B67">
        <w:rPr>
          <w:rFonts w:ascii="Times New Roman" w:eastAsia="Calibri" w:hAnsi="Times New Roman" w:cs="Times New Roman"/>
          <w:bCs/>
          <w:sz w:val="26"/>
          <w:szCs w:val="26"/>
        </w:rPr>
        <w:tab/>
      </w:r>
      <w:r w:rsidR="00250B67">
        <w:rPr>
          <w:rFonts w:ascii="Times New Roman" w:eastAsia="Calibri" w:hAnsi="Times New Roman" w:cs="Times New Roman"/>
          <w:bCs/>
          <w:sz w:val="26"/>
          <w:szCs w:val="26"/>
        </w:rPr>
        <w:tab/>
      </w:r>
      <w:r w:rsidRPr="00DE394A">
        <w:rPr>
          <w:rFonts w:ascii="Times New Roman" w:eastAsia="Calibri" w:hAnsi="Times New Roman" w:cs="Times New Roman"/>
          <w:bCs/>
          <w:sz w:val="26"/>
          <w:szCs w:val="26"/>
        </w:rPr>
        <w:t>S.Liepiņa</w:t>
      </w:r>
    </w:p>
    <w:p w:rsidR="00A0378A" w:rsidRDefault="00A0378A" w:rsidP="0011659E">
      <w:pPr>
        <w:spacing w:after="0" w:line="240" w:lineRule="auto"/>
        <w:jc w:val="both"/>
        <w:rPr>
          <w:rFonts w:ascii="Times New Roman" w:hAnsi="Times New Roman" w:cs="Times New Roman"/>
          <w:sz w:val="28"/>
          <w:szCs w:val="28"/>
        </w:rPr>
      </w:pPr>
    </w:p>
    <w:p w:rsidR="0011659E" w:rsidRPr="00DE394A" w:rsidRDefault="00AC36DA" w:rsidP="0011659E">
      <w:pPr>
        <w:spacing w:after="0" w:line="240" w:lineRule="auto"/>
        <w:jc w:val="both"/>
        <w:rPr>
          <w:rFonts w:ascii="Times New Roman" w:hAnsi="Times New Roman"/>
          <w:sz w:val="24"/>
          <w:szCs w:val="24"/>
        </w:rPr>
      </w:pPr>
      <w:r w:rsidRPr="00DE394A">
        <w:rPr>
          <w:rFonts w:ascii="Times New Roman" w:hAnsi="Times New Roman"/>
          <w:sz w:val="24"/>
          <w:szCs w:val="24"/>
        </w:rPr>
        <w:fldChar w:fldCharType="begin"/>
      </w:r>
      <w:r w:rsidR="0011659E" w:rsidRPr="00DE394A">
        <w:rPr>
          <w:rFonts w:ascii="Times New Roman" w:hAnsi="Times New Roman"/>
          <w:sz w:val="24"/>
          <w:szCs w:val="24"/>
        </w:rPr>
        <w:instrText xml:space="preserve"> DATE  \@ "dd.MM.yyyy H:mm"  \* MERGEFORMAT </w:instrText>
      </w:r>
      <w:r w:rsidRPr="00DE394A">
        <w:rPr>
          <w:rFonts w:ascii="Times New Roman" w:hAnsi="Times New Roman"/>
          <w:sz w:val="24"/>
          <w:szCs w:val="24"/>
        </w:rPr>
        <w:fldChar w:fldCharType="separate"/>
      </w:r>
      <w:r w:rsidR="00263754">
        <w:rPr>
          <w:rFonts w:ascii="Times New Roman" w:hAnsi="Times New Roman"/>
          <w:noProof/>
          <w:sz w:val="24"/>
          <w:szCs w:val="24"/>
        </w:rPr>
        <w:t>18.03.2013 17:56</w:t>
      </w:r>
      <w:r w:rsidRPr="00DE394A">
        <w:rPr>
          <w:rFonts w:ascii="Times New Roman" w:hAnsi="Times New Roman"/>
          <w:sz w:val="24"/>
          <w:szCs w:val="24"/>
        </w:rPr>
        <w:fldChar w:fldCharType="end"/>
      </w:r>
    </w:p>
    <w:p w:rsidR="0011659E" w:rsidRPr="00DE394A" w:rsidRDefault="00AC36DA" w:rsidP="0011659E">
      <w:pPr>
        <w:spacing w:after="0" w:line="240" w:lineRule="auto"/>
        <w:jc w:val="both"/>
        <w:rPr>
          <w:rFonts w:ascii="Times New Roman" w:hAnsi="Times New Roman" w:cs="Times New Roman"/>
          <w:sz w:val="24"/>
          <w:szCs w:val="24"/>
        </w:rPr>
      </w:pPr>
      <w:fldSimple w:instr=" NUMWORDS   \* MERGEFORMAT ">
        <w:r w:rsidR="00263754" w:rsidRPr="00263754">
          <w:rPr>
            <w:rFonts w:ascii="Times New Roman" w:hAnsi="Times New Roman" w:cs="Times New Roman"/>
            <w:noProof/>
            <w:sz w:val="24"/>
            <w:szCs w:val="24"/>
          </w:rPr>
          <w:t>3195</w:t>
        </w:r>
      </w:fldSimple>
      <w:r w:rsidR="0011659E" w:rsidRPr="00DE394A">
        <w:rPr>
          <w:rFonts w:ascii="Times New Roman" w:hAnsi="Times New Roman" w:cs="Times New Roman"/>
          <w:sz w:val="24"/>
          <w:szCs w:val="24"/>
        </w:rPr>
        <w:tab/>
      </w:r>
      <w:bookmarkStart w:id="2" w:name="OLE_LINK3"/>
      <w:bookmarkStart w:id="3" w:name="OLE_LINK4"/>
    </w:p>
    <w:bookmarkEnd w:id="2"/>
    <w:bookmarkEnd w:id="3"/>
    <w:p w:rsidR="0011659E" w:rsidRPr="00DE394A" w:rsidRDefault="0011659E" w:rsidP="0011659E">
      <w:pPr>
        <w:spacing w:after="0" w:line="240" w:lineRule="auto"/>
        <w:jc w:val="both"/>
        <w:rPr>
          <w:rFonts w:ascii="Times New Roman" w:hAnsi="Times New Roman"/>
          <w:sz w:val="24"/>
          <w:szCs w:val="24"/>
        </w:rPr>
      </w:pPr>
      <w:proofErr w:type="spellStart"/>
      <w:r w:rsidRPr="00DE394A">
        <w:rPr>
          <w:rFonts w:ascii="Times New Roman" w:hAnsi="Times New Roman"/>
          <w:sz w:val="24"/>
          <w:szCs w:val="24"/>
        </w:rPr>
        <w:t>M.Mekša</w:t>
      </w:r>
      <w:proofErr w:type="spellEnd"/>
      <w:r w:rsidRPr="00DE394A">
        <w:rPr>
          <w:rFonts w:ascii="Times New Roman" w:hAnsi="Times New Roman"/>
          <w:sz w:val="24"/>
          <w:szCs w:val="24"/>
        </w:rPr>
        <w:t>, 67047886</w:t>
      </w:r>
    </w:p>
    <w:p w:rsidR="0011659E" w:rsidRDefault="0011659E" w:rsidP="00DE394A">
      <w:pPr>
        <w:spacing w:after="0" w:line="240" w:lineRule="auto"/>
        <w:jc w:val="both"/>
        <w:rPr>
          <w:rFonts w:ascii="Times New Roman" w:hAnsi="Times New Roman" w:cs="Times New Roman"/>
          <w:sz w:val="28"/>
          <w:szCs w:val="28"/>
        </w:rPr>
      </w:pPr>
      <w:r w:rsidRPr="00DE394A">
        <w:rPr>
          <w:rFonts w:ascii="Times New Roman" w:hAnsi="Times New Roman"/>
          <w:sz w:val="24"/>
          <w:szCs w:val="24"/>
        </w:rPr>
        <w:t>marina.meksa@izm.gov.lv</w:t>
      </w:r>
    </w:p>
    <w:sectPr w:rsidR="0011659E" w:rsidSect="00CD229E">
      <w:headerReference w:type="default" r:id="rId15"/>
      <w:footerReference w:type="default" r:id="rId16"/>
      <w:headerReference w:type="first" r:id="rId17"/>
      <w:footerReference w:type="first" r:id="rId18"/>
      <w:pgSz w:w="11906" w:h="16838"/>
      <w:pgMar w:top="1276" w:right="1558" w:bottom="141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55" w:rsidRDefault="00824D55" w:rsidP="00B11EDF">
      <w:pPr>
        <w:spacing w:after="0" w:line="240" w:lineRule="auto"/>
      </w:pPr>
      <w:r>
        <w:separator/>
      </w:r>
    </w:p>
  </w:endnote>
  <w:endnote w:type="continuationSeparator" w:id="0">
    <w:p w:rsidR="00824D55" w:rsidRDefault="00824D55" w:rsidP="00B11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54" w:rsidRPr="005861EB" w:rsidRDefault="00263754" w:rsidP="00201AD8">
    <w:pPr>
      <w:pStyle w:val="Footer"/>
      <w:jc w:val="both"/>
      <w:rPr>
        <w:rFonts w:ascii="Times New Roman" w:hAnsi="Times New Roman" w:cs="Times New Roman"/>
      </w:rPr>
    </w:pPr>
    <w:fldSimple w:instr=" FILENAME   \* MERGEFORMAT ">
      <w:r w:rsidRPr="00263754">
        <w:rPr>
          <w:rFonts w:ascii="Times New Roman" w:hAnsi="Times New Roman" w:cs="Times New Roman"/>
          <w:noProof/>
        </w:rPr>
        <w:t>IZMZino_180313_koeficienti AI</w:t>
      </w:r>
    </w:fldSimple>
    <w:r w:rsidRPr="005861EB">
      <w:rPr>
        <w:rFonts w:ascii="Times New Roman" w:hAnsi="Times New Roman" w:cs="Times New Roman"/>
      </w:rPr>
      <w:t xml:space="preserve">; Informatīvais ziņojums </w:t>
    </w:r>
    <w:r>
      <w:rPr>
        <w:rFonts w:ascii="Times New Roman" w:hAnsi="Times New Roman" w:cs="Times New Roman"/>
      </w:rPr>
      <w:t>„P</w:t>
    </w:r>
    <w:r w:rsidRPr="005861EB">
      <w:rPr>
        <w:rFonts w:ascii="Times New Roman" w:hAnsi="Times New Roman" w:cs="Times New Roman"/>
      </w:rPr>
      <w:t>ar valsts budžeta finansējuma normatīviem augstākās izglītības iestādēs un priekšlikumiem par nepieciešamību nodrošināt vienādu koeficientu piemērošanu augstākās izglītības iestādēm</w:t>
    </w:r>
    <w:r>
      <w:rPr>
        <w:rFonts w:ascii="Times New Roman" w:hAnsi="Times New Roman" w:cs="Times New Roman"/>
      </w:rPr>
      <w:t>”</w:t>
    </w:r>
  </w:p>
  <w:p w:rsidR="00263754" w:rsidRPr="005861EB" w:rsidRDefault="00263754" w:rsidP="00B11EDF">
    <w:pPr>
      <w:pStyle w:val="Footer"/>
      <w:jc w:val="both"/>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54" w:rsidRPr="005861EB" w:rsidRDefault="00263754" w:rsidP="005861EB">
    <w:pPr>
      <w:pStyle w:val="Footer"/>
      <w:jc w:val="both"/>
      <w:rPr>
        <w:rFonts w:ascii="Times New Roman" w:hAnsi="Times New Roman" w:cs="Times New Roman"/>
      </w:rPr>
    </w:pPr>
    <w:fldSimple w:instr=" FILENAME   \* MERGEFORMAT ">
      <w:r w:rsidRPr="00263754">
        <w:rPr>
          <w:rFonts w:ascii="Times New Roman" w:hAnsi="Times New Roman" w:cs="Times New Roman"/>
          <w:noProof/>
        </w:rPr>
        <w:t>IZMZino_180313_koeficienti AI</w:t>
      </w:r>
    </w:fldSimple>
    <w:r w:rsidRPr="005861EB">
      <w:rPr>
        <w:rFonts w:ascii="Times New Roman" w:hAnsi="Times New Roman" w:cs="Times New Roman"/>
      </w:rPr>
      <w:t xml:space="preserve">; Informatīvais ziņojums </w:t>
    </w:r>
    <w:r>
      <w:rPr>
        <w:rFonts w:ascii="Times New Roman" w:hAnsi="Times New Roman" w:cs="Times New Roman"/>
      </w:rPr>
      <w:t>„P</w:t>
    </w:r>
    <w:r w:rsidRPr="005861EB">
      <w:rPr>
        <w:rFonts w:ascii="Times New Roman" w:hAnsi="Times New Roman" w:cs="Times New Roman"/>
      </w:rPr>
      <w:t>ar valsts budžeta finansējuma normatīviem augstākās izglītības iestādēs un priekšlikumiem par nepieciešamību nodrošināt vienādu koeficientu piemērošanu augstākās izglītības iestādēm</w:t>
    </w:r>
    <w:r>
      <w:rPr>
        <w:rFonts w:ascii="Times New Roman" w:hAnsi="Times New Roman" w:cs="Times New Roman"/>
      </w:rPr>
      <w:t>”</w:t>
    </w:r>
  </w:p>
  <w:p w:rsidR="00263754" w:rsidRDefault="00263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55" w:rsidRDefault="00824D55" w:rsidP="00B11EDF">
      <w:pPr>
        <w:spacing w:after="0" w:line="240" w:lineRule="auto"/>
      </w:pPr>
      <w:r>
        <w:separator/>
      </w:r>
    </w:p>
  </w:footnote>
  <w:footnote w:type="continuationSeparator" w:id="0">
    <w:p w:rsidR="00824D55" w:rsidRDefault="00824D55" w:rsidP="00B11EDF">
      <w:pPr>
        <w:spacing w:after="0" w:line="240" w:lineRule="auto"/>
      </w:pPr>
      <w:r>
        <w:continuationSeparator/>
      </w:r>
    </w:p>
  </w:footnote>
  <w:footnote w:id="1">
    <w:p w:rsidR="00263754" w:rsidRDefault="00263754" w:rsidP="00A13C56">
      <w:pPr>
        <w:pStyle w:val="FootnoteText"/>
      </w:pPr>
      <w:r>
        <w:rPr>
          <w:rStyle w:val="FootnoteReference"/>
        </w:rPr>
        <w:footnoteRef/>
      </w:r>
      <w:r>
        <w:t xml:space="preserve"> </w:t>
      </w:r>
      <w:r w:rsidRPr="009941FF">
        <w:rPr>
          <w:rFonts w:ascii="Times New Roman" w:hAnsi="Times New Roman" w:cs="Times New Roman"/>
        </w:rPr>
        <w:t>Ekonomikas ministrijas Informatīvais ziņojums par darba tirgus vidēja un ilgtermiņa prognozēm</w:t>
      </w:r>
      <w:r>
        <w:rPr>
          <w:rFonts w:ascii="Times New Roman" w:hAnsi="Times New Roman" w:cs="Times New Roman"/>
        </w:rPr>
        <w:t>, 2012</w:t>
      </w:r>
      <w:r w:rsidRPr="009941FF">
        <w:t xml:space="preserve"> </w:t>
      </w:r>
      <w:r w:rsidRPr="009941FF">
        <w:rPr>
          <w:i/>
          <w:iCs/>
        </w:rPr>
        <w:t>(</w:t>
      </w:r>
      <w:hyperlink r:id="rId1" w:history="1">
        <w:r w:rsidRPr="009941FF">
          <w:rPr>
            <w:rStyle w:val="Hyperlink"/>
            <w:i/>
            <w:iCs/>
          </w:rPr>
          <w:t>http://www.em.gov.lv/images/modules/items/tsdep/darba_tirgus/EMZino_260612_full.pdf</w:t>
        </w:r>
      </w:hyperlink>
      <w:r w:rsidRPr="009941FF">
        <w:rPr>
          <w:i/>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5259"/>
      <w:docPartObj>
        <w:docPartGallery w:val="Page Numbers (Top of Page)"/>
        <w:docPartUnique/>
      </w:docPartObj>
    </w:sdtPr>
    <w:sdtContent>
      <w:p w:rsidR="00263754" w:rsidRDefault="00263754">
        <w:pPr>
          <w:pStyle w:val="Header"/>
          <w:jc w:val="center"/>
        </w:pPr>
        <w:fldSimple w:instr=" PAGE   \* MERGEFORMAT ">
          <w:r w:rsidR="00BF631E">
            <w:rPr>
              <w:noProof/>
            </w:rPr>
            <w:t>5</w:t>
          </w:r>
        </w:fldSimple>
      </w:p>
    </w:sdtContent>
  </w:sdt>
  <w:p w:rsidR="00263754" w:rsidRDefault="00263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54" w:rsidRDefault="00263754">
    <w:pPr>
      <w:pStyle w:val="Header"/>
      <w:jc w:val="center"/>
    </w:pPr>
  </w:p>
  <w:p w:rsidR="00263754" w:rsidRDefault="00263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F7B"/>
    <w:multiLevelType w:val="multilevel"/>
    <w:tmpl w:val="283E543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B913A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FAC10DC"/>
    <w:multiLevelType w:val="hybridMultilevel"/>
    <w:tmpl w:val="880CCE72"/>
    <w:lvl w:ilvl="0" w:tplc="EB884C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29F0B64"/>
    <w:multiLevelType w:val="hybridMultilevel"/>
    <w:tmpl w:val="5D3E6CD2"/>
    <w:lvl w:ilvl="0" w:tplc="0426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nsid w:val="73CA56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79F6D40"/>
    <w:multiLevelType w:val="multilevel"/>
    <w:tmpl w:val="283E543E"/>
    <w:lvl w:ilvl="0">
      <w:start w:val="1"/>
      <w:numFmt w:val="decimal"/>
      <w:lvlText w:val="%1."/>
      <w:lvlJc w:val="left"/>
      <w:pPr>
        <w:ind w:left="1174"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6">
    <w:nsid w:val="7C5C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E60AEA"/>
    <w:rsid w:val="00007EFB"/>
    <w:rsid w:val="00014DFE"/>
    <w:rsid w:val="000220D5"/>
    <w:rsid w:val="00022740"/>
    <w:rsid w:val="0004072C"/>
    <w:rsid w:val="00047B03"/>
    <w:rsid w:val="00056575"/>
    <w:rsid w:val="000705A2"/>
    <w:rsid w:val="00086393"/>
    <w:rsid w:val="00093228"/>
    <w:rsid w:val="000A034C"/>
    <w:rsid w:val="000C2C34"/>
    <w:rsid w:val="000F071A"/>
    <w:rsid w:val="000F0922"/>
    <w:rsid w:val="000F4126"/>
    <w:rsid w:val="000F6719"/>
    <w:rsid w:val="0010571B"/>
    <w:rsid w:val="0011659E"/>
    <w:rsid w:val="0011692A"/>
    <w:rsid w:val="00116AB8"/>
    <w:rsid w:val="00152B62"/>
    <w:rsid w:val="00160AC5"/>
    <w:rsid w:val="001628B1"/>
    <w:rsid w:val="0016689D"/>
    <w:rsid w:val="00167CD2"/>
    <w:rsid w:val="001721D7"/>
    <w:rsid w:val="00172B27"/>
    <w:rsid w:val="00177582"/>
    <w:rsid w:val="001A548A"/>
    <w:rsid w:val="001B5B2D"/>
    <w:rsid w:val="001B6760"/>
    <w:rsid w:val="001C4325"/>
    <w:rsid w:val="001D6E80"/>
    <w:rsid w:val="001E12CA"/>
    <w:rsid w:val="001E39CB"/>
    <w:rsid w:val="001F087E"/>
    <w:rsid w:val="001F0F24"/>
    <w:rsid w:val="00201AD8"/>
    <w:rsid w:val="00203D00"/>
    <w:rsid w:val="002276D1"/>
    <w:rsid w:val="00227F6D"/>
    <w:rsid w:val="002361D1"/>
    <w:rsid w:val="00250B67"/>
    <w:rsid w:val="00262882"/>
    <w:rsid w:val="00262CCC"/>
    <w:rsid w:val="00263754"/>
    <w:rsid w:val="002751F9"/>
    <w:rsid w:val="002A7189"/>
    <w:rsid w:val="002C1002"/>
    <w:rsid w:val="002E04F1"/>
    <w:rsid w:val="003012D2"/>
    <w:rsid w:val="003048E5"/>
    <w:rsid w:val="003244C9"/>
    <w:rsid w:val="0033506E"/>
    <w:rsid w:val="003444D6"/>
    <w:rsid w:val="00346372"/>
    <w:rsid w:val="0034753A"/>
    <w:rsid w:val="00351B21"/>
    <w:rsid w:val="00360540"/>
    <w:rsid w:val="00386878"/>
    <w:rsid w:val="003941DD"/>
    <w:rsid w:val="00396475"/>
    <w:rsid w:val="003A1E5C"/>
    <w:rsid w:val="003B537E"/>
    <w:rsid w:val="003C2B50"/>
    <w:rsid w:val="003C4D1D"/>
    <w:rsid w:val="003C75B0"/>
    <w:rsid w:val="003F3ADA"/>
    <w:rsid w:val="003F3EB3"/>
    <w:rsid w:val="003F4DBB"/>
    <w:rsid w:val="003F57DD"/>
    <w:rsid w:val="00404E72"/>
    <w:rsid w:val="00417260"/>
    <w:rsid w:val="004252CF"/>
    <w:rsid w:val="00427157"/>
    <w:rsid w:val="00437032"/>
    <w:rsid w:val="004427DB"/>
    <w:rsid w:val="00452266"/>
    <w:rsid w:val="00457116"/>
    <w:rsid w:val="00457E94"/>
    <w:rsid w:val="004609E1"/>
    <w:rsid w:val="0046168A"/>
    <w:rsid w:val="00462710"/>
    <w:rsid w:val="00465315"/>
    <w:rsid w:val="00472F59"/>
    <w:rsid w:val="00473F7B"/>
    <w:rsid w:val="004811AA"/>
    <w:rsid w:val="004829A5"/>
    <w:rsid w:val="00494AB0"/>
    <w:rsid w:val="00496C24"/>
    <w:rsid w:val="004B04C1"/>
    <w:rsid w:val="004C42E4"/>
    <w:rsid w:val="004F274B"/>
    <w:rsid w:val="00523FA5"/>
    <w:rsid w:val="0053777D"/>
    <w:rsid w:val="00545131"/>
    <w:rsid w:val="00554688"/>
    <w:rsid w:val="005645FA"/>
    <w:rsid w:val="005659B6"/>
    <w:rsid w:val="00570F4F"/>
    <w:rsid w:val="005861EB"/>
    <w:rsid w:val="00592229"/>
    <w:rsid w:val="00594AB5"/>
    <w:rsid w:val="005A0F8B"/>
    <w:rsid w:val="005A10CF"/>
    <w:rsid w:val="005A5B74"/>
    <w:rsid w:val="005B07B9"/>
    <w:rsid w:val="005B0AF5"/>
    <w:rsid w:val="005B3E2C"/>
    <w:rsid w:val="005B41EB"/>
    <w:rsid w:val="005B6A32"/>
    <w:rsid w:val="005C1714"/>
    <w:rsid w:val="005C4733"/>
    <w:rsid w:val="005C4E38"/>
    <w:rsid w:val="005D04B1"/>
    <w:rsid w:val="005D0C5E"/>
    <w:rsid w:val="005D53B0"/>
    <w:rsid w:val="005E1344"/>
    <w:rsid w:val="005F3845"/>
    <w:rsid w:val="005F4BAB"/>
    <w:rsid w:val="005F5008"/>
    <w:rsid w:val="006036F5"/>
    <w:rsid w:val="00606CCE"/>
    <w:rsid w:val="0060776B"/>
    <w:rsid w:val="0061247A"/>
    <w:rsid w:val="0061638A"/>
    <w:rsid w:val="00633EF3"/>
    <w:rsid w:val="0065141C"/>
    <w:rsid w:val="00671AFC"/>
    <w:rsid w:val="0068165A"/>
    <w:rsid w:val="00690CEC"/>
    <w:rsid w:val="006A0E20"/>
    <w:rsid w:val="006A287C"/>
    <w:rsid w:val="006A28D0"/>
    <w:rsid w:val="006D0292"/>
    <w:rsid w:val="006D07EF"/>
    <w:rsid w:val="006D4852"/>
    <w:rsid w:val="006D7098"/>
    <w:rsid w:val="006F0A70"/>
    <w:rsid w:val="00705508"/>
    <w:rsid w:val="00716F0A"/>
    <w:rsid w:val="00724432"/>
    <w:rsid w:val="00730C54"/>
    <w:rsid w:val="0074046C"/>
    <w:rsid w:val="00765CCF"/>
    <w:rsid w:val="007812AA"/>
    <w:rsid w:val="007828BE"/>
    <w:rsid w:val="00791ECE"/>
    <w:rsid w:val="007A31CD"/>
    <w:rsid w:val="007A7F1E"/>
    <w:rsid w:val="007B3939"/>
    <w:rsid w:val="007C66F0"/>
    <w:rsid w:val="007C6842"/>
    <w:rsid w:val="007E00A3"/>
    <w:rsid w:val="007E03D5"/>
    <w:rsid w:val="007F006C"/>
    <w:rsid w:val="007F10CA"/>
    <w:rsid w:val="008216B0"/>
    <w:rsid w:val="00824D55"/>
    <w:rsid w:val="008270C8"/>
    <w:rsid w:val="008315D4"/>
    <w:rsid w:val="00833FC7"/>
    <w:rsid w:val="00834EE9"/>
    <w:rsid w:val="008419BC"/>
    <w:rsid w:val="00882580"/>
    <w:rsid w:val="00882741"/>
    <w:rsid w:val="00882AA9"/>
    <w:rsid w:val="0088493D"/>
    <w:rsid w:val="008E0A9F"/>
    <w:rsid w:val="008E3207"/>
    <w:rsid w:val="008F72A5"/>
    <w:rsid w:val="00917D9D"/>
    <w:rsid w:val="00924421"/>
    <w:rsid w:val="0093315C"/>
    <w:rsid w:val="00962192"/>
    <w:rsid w:val="009902AF"/>
    <w:rsid w:val="00993EF1"/>
    <w:rsid w:val="009941FF"/>
    <w:rsid w:val="009A1F86"/>
    <w:rsid w:val="009A5028"/>
    <w:rsid w:val="009B05E3"/>
    <w:rsid w:val="009B32B4"/>
    <w:rsid w:val="009B5857"/>
    <w:rsid w:val="009C6275"/>
    <w:rsid w:val="009E01E0"/>
    <w:rsid w:val="009E7A2A"/>
    <w:rsid w:val="00A03031"/>
    <w:rsid w:val="00A0378A"/>
    <w:rsid w:val="00A13C56"/>
    <w:rsid w:val="00A15571"/>
    <w:rsid w:val="00A21F47"/>
    <w:rsid w:val="00A413DF"/>
    <w:rsid w:val="00A461CD"/>
    <w:rsid w:val="00A6158E"/>
    <w:rsid w:val="00A62111"/>
    <w:rsid w:val="00A77DE6"/>
    <w:rsid w:val="00A875D7"/>
    <w:rsid w:val="00AB5B9F"/>
    <w:rsid w:val="00AC1056"/>
    <w:rsid w:val="00AC36DA"/>
    <w:rsid w:val="00AF2AC9"/>
    <w:rsid w:val="00AF5DE2"/>
    <w:rsid w:val="00B03D2F"/>
    <w:rsid w:val="00B06121"/>
    <w:rsid w:val="00B0784C"/>
    <w:rsid w:val="00B11EDF"/>
    <w:rsid w:val="00B1577F"/>
    <w:rsid w:val="00B20304"/>
    <w:rsid w:val="00B35A81"/>
    <w:rsid w:val="00B42240"/>
    <w:rsid w:val="00B44B1F"/>
    <w:rsid w:val="00B50649"/>
    <w:rsid w:val="00B50CFE"/>
    <w:rsid w:val="00B634CD"/>
    <w:rsid w:val="00B8575F"/>
    <w:rsid w:val="00BB10D7"/>
    <w:rsid w:val="00BB5168"/>
    <w:rsid w:val="00BF631E"/>
    <w:rsid w:val="00C140E5"/>
    <w:rsid w:val="00C16F3E"/>
    <w:rsid w:val="00C25473"/>
    <w:rsid w:val="00C36743"/>
    <w:rsid w:val="00C45E6A"/>
    <w:rsid w:val="00C50D2C"/>
    <w:rsid w:val="00C61E7C"/>
    <w:rsid w:val="00C77CA6"/>
    <w:rsid w:val="00C963E3"/>
    <w:rsid w:val="00CA2F81"/>
    <w:rsid w:val="00CC2485"/>
    <w:rsid w:val="00CD0358"/>
    <w:rsid w:val="00CD229E"/>
    <w:rsid w:val="00CF3F3F"/>
    <w:rsid w:val="00CF5F2F"/>
    <w:rsid w:val="00D0195F"/>
    <w:rsid w:val="00D17DA1"/>
    <w:rsid w:val="00D316FA"/>
    <w:rsid w:val="00D33F4D"/>
    <w:rsid w:val="00D62611"/>
    <w:rsid w:val="00D6667F"/>
    <w:rsid w:val="00D7261E"/>
    <w:rsid w:val="00D75DFA"/>
    <w:rsid w:val="00D8362F"/>
    <w:rsid w:val="00D91A24"/>
    <w:rsid w:val="00D91BF6"/>
    <w:rsid w:val="00D958BF"/>
    <w:rsid w:val="00D97FBC"/>
    <w:rsid w:val="00DB16DF"/>
    <w:rsid w:val="00DB4205"/>
    <w:rsid w:val="00DB6DB4"/>
    <w:rsid w:val="00DD0342"/>
    <w:rsid w:val="00DE0CFF"/>
    <w:rsid w:val="00DE394A"/>
    <w:rsid w:val="00DF0527"/>
    <w:rsid w:val="00DF0F68"/>
    <w:rsid w:val="00DF78AA"/>
    <w:rsid w:val="00E25AC4"/>
    <w:rsid w:val="00E30D38"/>
    <w:rsid w:val="00E30D8A"/>
    <w:rsid w:val="00E30E7D"/>
    <w:rsid w:val="00E360FF"/>
    <w:rsid w:val="00E40A48"/>
    <w:rsid w:val="00E41860"/>
    <w:rsid w:val="00E54605"/>
    <w:rsid w:val="00E568B0"/>
    <w:rsid w:val="00E60AEA"/>
    <w:rsid w:val="00E63470"/>
    <w:rsid w:val="00E67041"/>
    <w:rsid w:val="00E722F6"/>
    <w:rsid w:val="00E73500"/>
    <w:rsid w:val="00E82C9A"/>
    <w:rsid w:val="00E921A6"/>
    <w:rsid w:val="00E96CA6"/>
    <w:rsid w:val="00E97B8A"/>
    <w:rsid w:val="00EA31D6"/>
    <w:rsid w:val="00EC3F7E"/>
    <w:rsid w:val="00ED2CD0"/>
    <w:rsid w:val="00ED7273"/>
    <w:rsid w:val="00EF4DA0"/>
    <w:rsid w:val="00F011AF"/>
    <w:rsid w:val="00F01C30"/>
    <w:rsid w:val="00F06C5F"/>
    <w:rsid w:val="00F15886"/>
    <w:rsid w:val="00F4735E"/>
    <w:rsid w:val="00F520DF"/>
    <w:rsid w:val="00F73BF5"/>
    <w:rsid w:val="00F8201F"/>
    <w:rsid w:val="00F92B73"/>
    <w:rsid w:val="00F93338"/>
    <w:rsid w:val="00F95DC7"/>
    <w:rsid w:val="00FA6ACD"/>
    <w:rsid w:val="00FA732B"/>
    <w:rsid w:val="00FB1B62"/>
    <w:rsid w:val="00FB453F"/>
    <w:rsid w:val="00FB4817"/>
    <w:rsid w:val="00FB6DD6"/>
    <w:rsid w:val="00FB6E7A"/>
    <w:rsid w:val="00FE31E1"/>
    <w:rsid w:val="00FE67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EDF"/>
  </w:style>
  <w:style w:type="paragraph" w:styleId="Footer">
    <w:name w:val="footer"/>
    <w:basedOn w:val="Normal"/>
    <w:link w:val="FooterChar"/>
    <w:uiPriority w:val="99"/>
    <w:semiHidden/>
    <w:unhideWhenUsed/>
    <w:rsid w:val="00B11ED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11EDF"/>
  </w:style>
  <w:style w:type="paragraph" w:styleId="BalloonText">
    <w:name w:val="Balloon Text"/>
    <w:basedOn w:val="Normal"/>
    <w:link w:val="BalloonTextChar"/>
    <w:uiPriority w:val="99"/>
    <w:semiHidden/>
    <w:unhideWhenUsed/>
    <w:rsid w:val="0011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59E"/>
    <w:rPr>
      <w:rFonts w:ascii="Tahoma" w:hAnsi="Tahoma" w:cs="Tahoma"/>
      <w:sz w:val="16"/>
      <w:szCs w:val="16"/>
    </w:rPr>
  </w:style>
  <w:style w:type="paragraph" w:styleId="ListParagraph">
    <w:name w:val="List Paragraph"/>
    <w:basedOn w:val="Normal"/>
    <w:uiPriority w:val="34"/>
    <w:qFormat/>
    <w:rsid w:val="00D33F4D"/>
    <w:pPr>
      <w:ind w:left="720"/>
      <w:contextualSpacing/>
    </w:pPr>
  </w:style>
  <w:style w:type="paragraph" w:styleId="FootnoteText">
    <w:name w:val="footnote text"/>
    <w:basedOn w:val="Normal"/>
    <w:link w:val="FootnoteTextChar"/>
    <w:uiPriority w:val="99"/>
    <w:semiHidden/>
    <w:unhideWhenUsed/>
    <w:rsid w:val="00A77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DE6"/>
    <w:rPr>
      <w:sz w:val="20"/>
      <w:szCs w:val="20"/>
    </w:rPr>
  </w:style>
  <w:style w:type="character" w:styleId="FootnoteReference">
    <w:name w:val="footnote reference"/>
    <w:basedOn w:val="DefaultParagraphFont"/>
    <w:uiPriority w:val="99"/>
    <w:semiHidden/>
    <w:unhideWhenUsed/>
    <w:rsid w:val="00A77DE6"/>
    <w:rPr>
      <w:vertAlign w:val="superscript"/>
    </w:rPr>
  </w:style>
  <w:style w:type="paragraph" w:styleId="NormalWeb">
    <w:name w:val="Normal (Web)"/>
    <w:basedOn w:val="Normal"/>
    <w:uiPriority w:val="99"/>
    <w:semiHidden/>
    <w:unhideWhenUsed/>
    <w:rsid w:val="00A77D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77DE6"/>
    <w:rPr>
      <w:color w:val="0000FF" w:themeColor="hyperlink"/>
      <w:u w:val="single"/>
    </w:rPr>
  </w:style>
  <w:style w:type="character" w:styleId="CommentReference">
    <w:name w:val="annotation reference"/>
    <w:basedOn w:val="DefaultParagraphFont"/>
    <w:uiPriority w:val="99"/>
    <w:semiHidden/>
    <w:unhideWhenUsed/>
    <w:rsid w:val="00592229"/>
    <w:rPr>
      <w:sz w:val="16"/>
      <w:szCs w:val="16"/>
    </w:rPr>
  </w:style>
  <w:style w:type="paragraph" w:styleId="CommentText">
    <w:name w:val="annotation text"/>
    <w:basedOn w:val="Normal"/>
    <w:link w:val="CommentTextChar"/>
    <w:uiPriority w:val="99"/>
    <w:semiHidden/>
    <w:unhideWhenUsed/>
    <w:rsid w:val="00592229"/>
    <w:pPr>
      <w:spacing w:line="240" w:lineRule="auto"/>
    </w:pPr>
    <w:rPr>
      <w:sz w:val="20"/>
      <w:szCs w:val="20"/>
    </w:rPr>
  </w:style>
  <w:style w:type="character" w:customStyle="1" w:styleId="CommentTextChar">
    <w:name w:val="Comment Text Char"/>
    <w:basedOn w:val="DefaultParagraphFont"/>
    <w:link w:val="CommentText"/>
    <w:uiPriority w:val="99"/>
    <w:semiHidden/>
    <w:rsid w:val="00592229"/>
    <w:rPr>
      <w:sz w:val="20"/>
      <w:szCs w:val="20"/>
    </w:rPr>
  </w:style>
  <w:style w:type="paragraph" w:styleId="CommentSubject">
    <w:name w:val="annotation subject"/>
    <w:basedOn w:val="CommentText"/>
    <w:next w:val="CommentText"/>
    <w:link w:val="CommentSubjectChar"/>
    <w:uiPriority w:val="99"/>
    <w:semiHidden/>
    <w:unhideWhenUsed/>
    <w:rsid w:val="00592229"/>
    <w:rPr>
      <w:b/>
      <w:bCs/>
    </w:rPr>
  </w:style>
  <w:style w:type="character" w:customStyle="1" w:styleId="CommentSubjectChar">
    <w:name w:val="Comment Subject Char"/>
    <w:basedOn w:val="CommentTextChar"/>
    <w:link w:val="CommentSubject"/>
    <w:uiPriority w:val="99"/>
    <w:semiHidden/>
    <w:rsid w:val="00592229"/>
    <w:rPr>
      <w:b/>
      <w:bCs/>
    </w:rPr>
  </w:style>
  <w:style w:type="table" w:styleId="TableGrid">
    <w:name w:val="Table Grid"/>
    <w:basedOn w:val="TableNormal"/>
    <w:uiPriority w:val="59"/>
    <w:rsid w:val="00DB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11251">
      <w:bodyDiv w:val="1"/>
      <w:marLeft w:val="0"/>
      <w:marRight w:val="0"/>
      <w:marTop w:val="0"/>
      <w:marBottom w:val="0"/>
      <w:divBdr>
        <w:top w:val="none" w:sz="0" w:space="0" w:color="auto"/>
        <w:left w:val="none" w:sz="0" w:space="0" w:color="auto"/>
        <w:bottom w:val="none" w:sz="0" w:space="0" w:color="auto"/>
        <w:right w:val="none" w:sz="0" w:space="0" w:color="auto"/>
      </w:divBdr>
    </w:div>
    <w:div w:id="326444489">
      <w:bodyDiv w:val="1"/>
      <w:marLeft w:val="0"/>
      <w:marRight w:val="0"/>
      <w:marTop w:val="0"/>
      <w:marBottom w:val="0"/>
      <w:divBdr>
        <w:top w:val="none" w:sz="0" w:space="0" w:color="auto"/>
        <w:left w:val="none" w:sz="0" w:space="0" w:color="auto"/>
        <w:bottom w:val="none" w:sz="0" w:space="0" w:color="auto"/>
        <w:right w:val="none" w:sz="0" w:space="0" w:color="auto"/>
      </w:divBdr>
    </w:div>
    <w:div w:id="331101932">
      <w:bodyDiv w:val="1"/>
      <w:marLeft w:val="0"/>
      <w:marRight w:val="0"/>
      <w:marTop w:val="0"/>
      <w:marBottom w:val="0"/>
      <w:divBdr>
        <w:top w:val="none" w:sz="0" w:space="0" w:color="auto"/>
        <w:left w:val="none" w:sz="0" w:space="0" w:color="auto"/>
        <w:bottom w:val="none" w:sz="0" w:space="0" w:color="auto"/>
        <w:right w:val="none" w:sz="0" w:space="0" w:color="auto"/>
      </w:divBdr>
    </w:div>
    <w:div w:id="1015882646">
      <w:bodyDiv w:val="1"/>
      <w:marLeft w:val="0"/>
      <w:marRight w:val="0"/>
      <w:marTop w:val="0"/>
      <w:marBottom w:val="0"/>
      <w:divBdr>
        <w:top w:val="none" w:sz="0" w:space="0" w:color="auto"/>
        <w:left w:val="none" w:sz="0" w:space="0" w:color="auto"/>
        <w:bottom w:val="none" w:sz="0" w:space="0" w:color="auto"/>
        <w:right w:val="none" w:sz="0" w:space="0" w:color="auto"/>
      </w:divBdr>
    </w:div>
    <w:div w:id="1093354148">
      <w:bodyDiv w:val="1"/>
      <w:marLeft w:val="0"/>
      <w:marRight w:val="0"/>
      <w:marTop w:val="0"/>
      <w:marBottom w:val="0"/>
      <w:divBdr>
        <w:top w:val="none" w:sz="0" w:space="0" w:color="auto"/>
        <w:left w:val="none" w:sz="0" w:space="0" w:color="auto"/>
        <w:bottom w:val="none" w:sz="0" w:space="0" w:color="auto"/>
        <w:right w:val="none" w:sz="0" w:space="0" w:color="auto"/>
      </w:divBdr>
    </w:div>
    <w:div w:id="1115632759">
      <w:bodyDiv w:val="1"/>
      <w:marLeft w:val="0"/>
      <w:marRight w:val="0"/>
      <w:marTop w:val="0"/>
      <w:marBottom w:val="0"/>
      <w:divBdr>
        <w:top w:val="none" w:sz="0" w:space="0" w:color="auto"/>
        <w:left w:val="none" w:sz="0" w:space="0" w:color="auto"/>
        <w:bottom w:val="none" w:sz="0" w:space="0" w:color="auto"/>
        <w:right w:val="none" w:sz="0" w:space="0" w:color="auto"/>
      </w:divBdr>
    </w:div>
    <w:div w:id="1600717623">
      <w:bodyDiv w:val="1"/>
      <w:marLeft w:val="0"/>
      <w:marRight w:val="0"/>
      <w:marTop w:val="0"/>
      <w:marBottom w:val="0"/>
      <w:divBdr>
        <w:top w:val="none" w:sz="0" w:space="0" w:color="auto"/>
        <w:left w:val="none" w:sz="0" w:space="0" w:color="auto"/>
        <w:bottom w:val="none" w:sz="0" w:space="0" w:color="auto"/>
        <w:right w:val="none" w:sz="0" w:space="0" w:color="auto"/>
      </w:divBdr>
    </w:div>
    <w:div w:id="20316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www.em.gov.lv/images/modules/items/tsdep/darba_tirgus/EMZino_260612_ful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meksa\My%20Documents\Mani%20dokumenti\My%20Documents\BUD&#381;ETS%202014\BUD&#381;ETA%20B&#256;ZE%202014-2016\VISAS%20MINISTRIJAS_B&#256;ZEI_PRIEK&#352;LIKUMI%20MART&#256;\INFO_KOPSAV_uz%20FM_0803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meksa\My%20Documents\Mani%20dokumenti\My%20Documents\BUD&#381;ETS%202014\BUD&#381;ETA%20B&#256;ZE%202014-2016\VISAS%20MINISTRIJAS_B&#256;ZEI_PRIEK&#352;LIKUMI%20MART&#256;\INFO_KOPSAV_uz%20FM_0803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meksa\My%20Documents\Mani%20dokumenti\My%20Documents\BUD&#381;ETS%202014\BUD&#381;ETA%20B&#256;ZE%202014-2016\VISAS%20MINISTRIJAS_B&#256;ZEI_PRIEK&#352;LIKUMI%20MART&#256;\INFO_KOPSAV_uz%20FM_0803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meksa\My%20Documents\Mani%20dokumenti\My%20Documents\BUD&#381;ETS%202014\BUD&#381;ETA%20B&#256;ZE%202014-2016\VISAS%20MINISTRIJAS_B&#256;ZEI_PRIEK&#352;LIKUMI%20MART&#256;\INFO_KOPSAV_uz%20FM_0803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meksa\My%20Documents\Mani%20dokumenti\My%20Documents\BUD&#381;ETS%202014\BUD&#381;ETA%20B&#256;ZE%202014-2016\VISAS%20MINISTRIJAS_B&#256;ZEI_PRIEK&#352;LIKUMI%20MART&#256;\INFO_KOPSAV_uz%20FM_0803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meksa\My%20Documents\Mani%20dokumenti\My%20Documents\BUD&#381;ETS%202014\BUD&#381;ETA%20B&#256;ZE%202014-2016\VISAS%20MINISTRIJAS_B&#256;ZEI_PRIEK&#352;LIKUMI%20MART&#256;\INFO_KOPSAV_uz%20FM_0803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meksa\My%20Documents\Mani%20dokumenti\My%20Documents\BUD&#381;ETS%202014\BUD&#381;ETA%20B&#256;ZE%202014-2016\VISAS%20MINISTRIJAS_B&#256;ZEI_PRIEK&#352;LIKUMI%20MART&#256;\INFO_KOPSAV_uz%20FM_0803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400"/>
            </a:pPr>
            <a:r>
              <a:rPr lang="lv-LV" sz="1300" b="1">
                <a:latin typeface="Times New Roman" pitchFamily="18" charset="0"/>
                <a:cs typeface="Times New Roman" pitchFamily="18" charset="0"/>
              </a:rPr>
              <a:t>Studiju izmaksu koeficientu nodrošinājuma līmenis 2013.gadā salīdzinājumā ar optimālajām vērtībām, % </a:t>
            </a:r>
          </a:p>
        </c:rich>
      </c:tx>
      <c:layout>
        <c:manualLayout>
          <c:xMode val="edge"/>
          <c:yMode val="edge"/>
          <c:x val="0.13369671891202636"/>
          <c:y val="2.5853565179352615E-2"/>
        </c:manualLayout>
      </c:layout>
    </c:title>
    <c:plotArea>
      <c:layout/>
      <c:radarChart>
        <c:radarStyle val="marker"/>
        <c:ser>
          <c:idx val="0"/>
          <c:order val="0"/>
          <c:dLbls>
            <c:dLbl>
              <c:idx val="0"/>
              <c:layout>
                <c:manualLayout>
                  <c:x val="1.6666716282392878E-2"/>
                  <c:y val="1.3888888888889008E-2"/>
                </c:manualLayout>
              </c:layout>
              <c:showVal val="1"/>
            </c:dLbl>
            <c:dLbl>
              <c:idx val="1"/>
              <c:layout>
                <c:manualLayout>
                  <c:x val="3.5497075152940635E-3"/>
                  <c:y val="1.0416666666666668E-2"/>
                </c:manualLayout>
              </c:layout>
              <c:showVal val="1"/>
            </c:dLbl>
            <c:dLbl>
              <c:idx val="2"/>
              <c:layout>
                <c:manualLayout>
                  <c:x val="1.3888888888888975E-2"/>
                  <c:y val="-4.1666666666666671E-2"/>
                </c:manualLayout>
              </c:layout>
              <c:showVal val="1"/>
            </c:dLbl>
            <c:dLbl>
              <c:idx val="3"/>
              <c:layout>
                <c:manualLayout>
                  <c:x val="1.6666666666666708E-2"/>
                  <c:y val="-3.703703703703707E-2"/>
                </c:manualLayout>
              </c:layout>
              <c:showVal val="1"/>
            </c:dLbl>
            <c:dLbl>
              <c:idx val="4"/>
              <c:layout>
                <c:manualLayout>
                  <c:x val="8.8478732218964136E-3"/>
                  <c:y val="1.2731572615923076E-2"/>
                </c:manualLayout>
              </c:layout>
              <c:showVal val="1"/>
            </c:dLbl>
            <c:txPr>
              <a:bodyPr/>
              <a:lstStyle/>
              <a:p>
                <a:pPr>
                  <a:defRPr sz="1400" b="1">
                    <a:latin typeface="Times New Roman" pitchFamily="18" charset="0"/>
                    <a:cs typeface="Times New Roman" pitchFamily="18" charset="0"/>
                  </a:defRPr>
                </a:pPr>
                <a:endParaRPr lang="lv-LV"/>
              </a:p>
            </c:txPr>
            <c:showVal val="1"/>
          </c:dLbls>
          <c:cat>
            <c:strRef>
              <c:f>'2014-2016_grafiki'!$A$5:$A$9</c:f>
              <c:strCache>
                <c:ptCount val="5"/>
                <c:pt idx="0">
                  <c:v>IZM augstskolas</c:v>
                </c:pt>
                <c:pt idx="1">
                  <c:v>IZM koledžas</c:v>
                </c:pt>
                <c:pt idx="2">
                  <c:v>KM</c:v>
                </c:pt>
                <c:pt idx="3">
                  <c:v>VM</c:v>
                </c:pt>
                <c:pt idx="4">
                  <c:v>ZM</c:v>
                </c:pt>
              </c:strCache>
            </c:strRef>
          </c:cat>
          <c:val>
            <c:numRef>
              <c:f>'2014-2016_grafiki'!$B$5:$B$9</c:f>
              <c:numCache>
                <c:formatCode>0%</c:formatCode>
                <c:ptCount val="5"/>
                <c:pt idx="0">
                  <c:v>0.54532596495370189</c:v>
                </c:pt>
                <c:pt idx="1">
                  <c:v>0.49409855939856123</c:v>
                </c:pt>
                <c:pt idx="2">
                  <c:v>0.69326659695092652</c:v>
                </c:pt>
                <c:pt idx="3">
                  <c:v>0.79887554872493349</c:v>
                </c:pt>
                <c:pt idx="4">
                  <c:v>0.59339598509128721</c:v>
                </c:pt>
              </c:numCache>
            </c:numRef>
          </c:val>
        </c:ser>
        <c:axId val="77457664"/>
        <c:axId val="78433664"/>
      </c:radarChart>
      <c:catAx>
        <c:axId val="77457664"/>
        <c:scaling>
          <c:orientation val="minMax"/>
        </c:scaling>
        <c:axPos val="b"/>
        <c:majorGridlines/>
        <c:majorTickMark val="none"/>
        <c:tickLblPos val="nextTo"/>
        <c:txPr>
          <a:bodyPr/>
          <a:lstStyle/>
          <a:p>
            <a:pPr>
              <a:defRPr sz="1100">
                <a:latin typeface="Times New Roman" pitchFamily="18" charset="0"/>
                <a:cs typeface="Times New Roman" pitchFamily="18" charset="0"/>
              </a:defRPr>
            </a:pPr>
            <a:endParaRPr lang="lv-LV"/>
          </a:p>
        </c:txPr>
        <c:crossAx val="78433664"/>
        <c:crosses val="autoZero"/>
        <c:auto val="1"/>
        <c:lblAlgn val="ctr"/>
        <c:lblOffset val="100"/>
      </c:catAx>
      <c:valAx>
        <c:axId val="78433664"/>
        <c:scaling>
          <c:orientation val="minMax"/>
          <c:max val="1"/>
        </c:scaling>
        <c:axPos val="l"/>
        <c:majorGridlines/>
        <c:numFmt formatCode="0%" sourceLinked="1"/>
        <c:majorTickMark val="none"/>
        <c:tickLblPos val="nextTo"/>
        <c:crossAx val="77457664"/>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sz="1000">
                <a:latin typeface="Times New Roman" pitchFamily="18" charset="0"/>
                <a:cs typeface="Times New Roman" pitchFamily="18" charset="0"/>
              </a:rPr>
              <a:t>Studiju izmaksu koeficientu nodrošinājuma līmenis </a:t>
            </a:r>
            <a:r>
              <a:rPr lang="en-US" sz="1000">
                <a:latin typeface="Times New Roman" pitchFamily="18" charset="0"/>
                <a:cs typeface="Times New Roman" pitchFamily="18" charset="0"/>
              </a:rPr>
              <a:t>2014.gad</a:t>
            </a:r>
            <a:r>
              <a:rPr lang="lv-LV" sz="1000">
                <a:latin typeface="Times New Roman" pitchFamily="18" charset="0"/>
                <a:cs typeface="Times New Roman" pitchFamily="18" charset="0"/>
              </a:rPr>
              <a:t>ā salīdzinājumā ar minimālajām vērtībām, %</a:t>
            </a:r>
            <a:endParaRPr lang="en-US" sz="1000">
              <a:latin typeface="Times New Roman" pitchFamily="18" charset="0"/>
              <a:cs typeface="Times New Roman" pitchFamily="18" charset="0"/>
            </a:endParaRPr>
          </a:p>
        </c:rich>
      </c:tx>
    </c:title>
    <c:plotArea>
      <c:layout/>
      <c:radarChart>
        <c:radarStyle val="marker"/>
        <c:ser>
          <c:idx val="0"/>
          <c:order val="0"/>
          <c:tx>
            <c:v>2014.gads</c:v>
          </c:tx>
          <c:dLbls>
            <c:dLbl>
              <c:idx val="0"/>
              <c:layout>
                <c:manualLayout>
                  <c:x val="0.13260831526493969"/>
                  <c:y val="5.5555555555555518E-2"/>
                </c:manualLayout>
              </c:layout>
              <c:showVal val="1"/>
            </c:dLbl>
            <c:dLbl>
              <c:idx val="1"/>
              <c:layout>
                <c:manualLayout>
                  <c:x val="7.2221841834988018E-2"/>
                  <c:y val="9.7222222222222224E-2"/>
                </c:manualLayout>
              </c:layout>
              <c:showVal val="1"/>
            </c:dLbl>
            <c:dLbl>
              <c:idx val="2"/>
              <c:layout>
                <c:manualLayout>
                  <c:x val="3.6111111111111163E-2"/>
                  <c:y val="3.7037037037037056E-2"/>
                </c:manualLayout>
              </c:layout>
              <c:showVal val="1"/>
            </c:dLbl>
            <c:dLbl>
              <c:idx val="3"/>
              <c:layout>
                <c:manualLayout>
                  <c:x val="-2.7777777777777863E-2"/>
                  <c:y val="4.6296296296296391E-2"/>
                </c:manualLayout>
              </c:layout>
              <c:showVal val="1"/>
            </c:dLbl>
            <c:dLbl>
              <c:idx val="4"/>
              <c:layout>
                <c:manualLayout>
                  <c:x val="-6.3888698695271792E-2"/>
                  <c:y val="4.6296296296296328E-2"/>
                </c:manualLayout>
              </c:layout>
              <c:showVal val="1"/>
            </c:dLbl>
            <c:txPr>
              <a:bodyPr/>
              <a:lstStyle/>
              <a:p>
                <a:pPr>
                  <a:defRPr sz="1200" b="1">
                    <a:latin typeface="Times New Roman" pitchFamily="18" charset="0"/>
                    <a:cs typeface="Times New Roman" pitchFamily="18" charset="0"/>
                  </a:defRPr>
                </a:pPr>
                <a:endParaRPr lang="lv-LV"/>
              </a:p>
            </c:txPr>
            <c:showVal val="1"/>
          </c:dLbls>
          <c:cat>
            <c:strRef>
              <c:f>'Bāzes palielin 2014_grafiks'!$B$4:$B$8</c:f>
              <c:strCache>
                <c:ptCount val="5"/>
                <c:pt idx="0">
                  <c:v>IZM augstskolas</c:v>
                </c:pt>
                <c:pt idx="1">
                  <c:v>IZM koledžas</c:v>
                </c:pt>
                <c:pt idx="2">
                  <c:v>KM</c:v>
                </c:pt>
                <c:pt idx="3">
                  <c:v>VM</c:v>
                </c:pt>
                <c:pt idx="4">
                  <c:v>ZM</c:v>
                </c:pt>
              </c:strCache>
            </c:strRef>
          </c:cat>
          <c:val>
            <c:numRef>
              <c:f>'Bāzes palielin 2014_grafiks'!$C$4:$C$8</c:f>
              <c:numCache>
                <c:formatCode>0%</c:formatCode>
                <c:ptCount val="5"/>
                <c:pt idx="0">
                  <c:v>0.92</c:v>
                </c:pt>
                <c:pt idx="1">
                  <c:v>0.92</c:v>
                </c:pt>
                <c:pt idx="2">
                  <c:v>0.92</c:v>
                </c:pt>
                <c:pt idx="3">
                  <c:v>0.92</c:v>
                </c:pt>
                <c:pt idx="4">
                  <c:v>0.92</c:v>
                </c:pt>
              </c:numCache>
            </c:numRef>
          </c:val>
        </c:ser>
        <c:axId val="80856960"/>
        <c:axId val="111293184"/>
      </c:radarChart>
      <c:catAx>
        <c:axId val="80856960"/>
        <c:scaling>
          <c:orientation val="minMax"/>
        </c:scaling>
        <c:axPos val="b"/>
        <c:majorGridlines/>
        <c:majorTickMark val="none"/>
        <c:tickLblPos val="nextTo"/>
        <c:spPr>
          <a:ln w="9525">
            <a:noFill/>
          </a:ln>
        </c:spPr>
        <c:txPr>
          <a:bodyPr/>
          <a:lstStyle/>
          <a:p>
            <a:pPr>
              <a:defRPr sz="900">
                <a:latin typeface="Times New Roman" pitchFamily="18" charset="0"/>
                <a:cs typeface="Times New Roman" pitchFamily="18" charset="0"/>
              </a:defRPr>
            </a:pPr>
            <a:endParaRPr lang="lv-LV"/>
          </a:p>
        </c:txPr>
        <c:crossAx val="111293184"/>
        <c:crosses val="autoZero"/>
        <c:auto val="1"/>
        <c:lblAlgn val="ctr"/>
        <c:lblOffset val="100"/>
      </c:catAx>
      <c:valAx>
        <c:axId val="111293184"/>
        <c:scaling>
          <c:orientation val="minMax"/>
        </c:scaling>
        <c:axPos val="l"/>
        <c:majorGridlines/>
        <c:numFmt formatCode="0%" sourceLinked="1"/>
        <c:majorTickMark val="none"/>
        <c:tickLblPos val="nextTo"/>
        <c:crossAx val="80856960"/>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00"/>
            </a:pPr>
            <a:r>
              <a:rPr lang="lv-LV" sz="1000">
                <a:latin typeface="Times New Roman" pitchFamily="18" charset="0"/>
                <a:cs typeface="Times New Roman" pitchFamily="18" charset="0"/>
              </a:rPr>
              <a:t>Studiju izmaksu koeficientu nodrošinājuma līmenis 2014.gadā salīdzinājumā</a:t>
            </a:r>
            <a:r>
              <a:rPr lang="lv-LV" sz="1000" baseline="0">
                <a:latin typeface="Times New Roman" pitchFamily="18" charset="0"/>
                <a:cs typeface="Times New Roman" pitchFamily="18" charset="0"/>
              </a:rPr>
              <a:t> ar optimālajām vērtībām, %</a:t>
            </a:r>
            <a:endParaRPr lang="lv-LV" sz="1000">
              <a:latin typeface="Times New Roman" pitchFamily="18" charset="0"/>
              <a:cs typeface="Times New Roman" pitchFamily="18" charset="0"/>
            </a:endParaRPr>
          </a:p>
        </c:rich>
      </c:tx>
    </c:title>
    <c:plotArea>
      <c:layout>
        <c:manualLayout>
          <c:layoutTarget val="inner"/>
          <c:xMode val="edge"/>
          <c:yMode val="edge"/>
          <c:x val="0.18789299044041557"/>
          <c:y val="0.23902850853320753"/>
          <c:w val="0.49141891208553118"/>
          <c:h val="0.61710439420878982"/>
        </c:manualLayout>
      </c:layout>
      <c:radarChart>
        <c:radarStyle val="marker"/>
        <c:ser>
          <c:idx val="0"/>
          <c:order val="0"/>
          <c:spPr>
            <a:ln>
              <a:solidFill>
                <a:srgbClr val="990033"/>
              </a:solidFill>
            </a:ln>
          </c:spPr>
          <c:marker>
            <c:spPr>
              <a:solidFill>
                <a:srgbClr val="990033"/>
              </a:solidFill>
              <a:ln>
                <a:solidFill>
                  <a:srgbClr val="990033"/>
                </a:solidFill>
              </a:ln>
            </c:spPr>
          </c:marker>
          <c:dLbls>
            <c:dLbl>
              <c:idx val="0"/>
              <c:layout>
                <c:manualLayout>
                  <c:x val="0.10745920346913161"/>
                  <c:y val="-5.4245169214572411E-2"/>
                </c:manualLayout>
              </c:layout>
              <c:showVal val="1"/>
            </c:dLbl>
            <c:dLbl>
              <c:idx val="1"/>
              <c:layout>
                <c:manualLayout>
                  <c:x val="0.10591007645783412"/>
                  <c:y val="8.0975588357862116E-2"/>
                </c:manualLayout>
              </c:layout>
              <c:showVal val="1"/>
            </c:dLbl>
            <c:dLbl>
              <c:idx val="2"/>
              <c:layout>
                <c:manualLayout>
                  <c:x val="4.0878979801437933E-2"/>
                  <c:y val="7.0383319076758863E-2"/>
                </c:manualLayout>
              </c:layout>
              <c:showVal val="1"/>
            </c:dLbl>
            <c:dLbl>
              <c:idx val="3"/>
              <c:layout>
                <c:manualLayout>
                  <c:x val="-6.8501529051987781E-2"/>
                  <c:y val="5.1141552511415403E-2"/>
                </c:manualLayout>
              </c:layout>
              <c:showVal val="1"/>
            </c:dLbl>
            <c:dLbl>
              <c:idx val="4"/>
              <c:layout>
                <c:manualLayout>
                  <c:x val="-7.8287461773700301E-2"/>
                  <c:y val="4.7488584474885784E-2"/>
                </c:manualLayout>
              </c:layout>
              <c:showVal val="1"/>
            </c:dLbl>
            <c:txPr>
              <a:bodyPr/>
              <a:lstStyle/>
              <a:p>
                <a:pPr>
                  <a:defRPr sz="1200" b="1">
                    <a:latin typeface="Times New Roman" pitchFamily="18" charset="0"/>
                    <a:cs typeface="Times New Roman" pitchFamily="18" charset="0"/>
                  </a:defRPr>
                </a:pPr>
                <a:endParaRPr lang="lv-LV"/>
              </a:p>
            </c:txPr>
            <c:showVal val="1"/>
          </c:dLbls>
          <c:cat>
            <c:strRef>
              <c:f>'Grafiks bāzei 2013-2016'!$A$14:$A$18</c:f>
              <c:strCache>
                <c:ptCount val="5"/>
                <c:pt idx="0">
                  <c:v>IZM augstskolas</c:v>
                </c:pt>
                <c:pt idx="1">
                  <c:v>IZM koledžas</c:v>
                </c:pt>
                <c:pt idx="2">
                  <c:v>KM</c:v>
                </c:pt>
                <c:pt idx="3">
                  <c:v>VM</c:v>
                </c:pt>
                <c:pt idx="4">
                  <c:v>ZM</c:v>
                </c:pt>
              </c:strCache>
            </c:strRef>
          </c:cat>
          <c:val>
            <c:numRef>
              <c:f>'Grafiks bāzei 2013-2016'!$B$14:$B$18</c:f>
              <c:numCache>
                <c:formatCode>0%</c:formatCode>
                <c:ptCount val="5"/>
                <c:pt idx="0">
                  <c:v>0.65000000000000036</c:v>
                </c:pt>
                <c:pt idx="1">
                  <c:v>0.74000000000000032</c:v>
                </c:pt>
                <c:pt idx="2">
                  <c:v>0.81</c:v>
                </c:pt>
                <c:pt idx="3">
                  <c:v>0.8</c:v>
                </c:pt>
                <c:pt idx="4">
                  <c:v>0.67000000000000048</c:v>
                </c:pt>
              </c:numCache>
            </c:numRef>
          </c:val>
        </c:ser>
        <c:axId val="125201408"/>
        <c:axId val="126831232"/>
      </c:radarChart>
      <c:catAx>
        <c:axId val="125201408"/>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lv-LV"/>
          </a:p>
        </c:txPr>
        <c:crossAx val="126831232"/>
        <c:crosses val="autoZero"/>
        <c:lblAlgn val="ctr"/>
        <c:lblOffset val="100"/>
      </c:catAx>
      <c:valAx>
        <c:axId val="126831232"/>
        <c:scaling>
          <c:orientation val="minMax"/>
          <c:max val="1"/>
        </c:scaling>
        <c:axPos val="l"/>
        <c:majorGridlines/>
        <c:numFmt formatCode="0%" sourceLinked="1"/>
        <c:majorTickMark val="none"/>
        <c:tickLblPos val="nextTo"/>
        <c:crossAx val="125201408"/>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a:pPr>
            <a:r>
              <a:rPr lang="lv-LV" sz="1000">
                <a:latin typeface="Times New Roman" pitchFamily="18" charset="0"/>
                <a:cs typeface="Times New Roman" pitchFamily="18" charset="0"/>
              </a:rPr>
              <a:t>Studiju izmaksu koeficientu nodrošinājuma līmenis </a:t>
            </a:r>
            <a:r>
              <a:rPr lang="en-US" sz="1000">
                <a:latin typeface="Times New Roman" pitchFamily="18" charset="0"/>
                <a:cs typeface="Times New Roman" pitchFamily="18" charset="0"/>
              </a:rPr>
              <a:t>201</a:t>
            </a:r>
            <a:r>
              <a:rPr lang="lv-LV" sz="1000">
                <a:latin typeface="Times New Roman" pitchFamily="18" charset="0"/>
                <a:cs typeface="Times New Roman" pitchFamily="18" charset="0"/>
              </a:rPr>
              <a:t>5.</a:t>
            </a:r>
            <a:r>
              <a:rPr lang="en-US" sz="1000">
                <a:latin typeface="Times New Roman" pitchFamily="18" charset="0"/>
                <a:cs typeface="Times New Roman" pitchFamily="18" charset="0"/>
              </a:rPr>
              <a:t>gad</a:t>
            </a:r>
            <a:r>
              <a:rPr lang="lv-LV" sz="1000">
                <a:latin typeface="Times New Roman" pitchFamily="18" charset="0"/>
                <a:cs typeface="Times New Roman" pitchFamily="18" charset="0"/>
              </a:rPr>
              <a:t>ā salīdzinājumā ar  minimālajām vērtībām, %</a:t>
            </a:r>
            <a:endParaRPr lang="en-US" sz="1000">
              <a:latin typeface="Times New Roman" pitchFamily="18" charset="0"/>
              <a:cs typeface="Times New Roman" pitchFamily="18" charset="0"/>
            </a:endParaRPr>
          </a:p>
        </c:rich>
      </c:tx>
    </c:title>
    <c:plotArea>
      <c:layout/>
      <c:radarChart>
        <c:radarStyle val="marker"/>
        <c:ser>
          <c:idx val="0"/>
          <c:order val="0"/>
          <c:tx>
            <c:v>2015.gads</c:v>
          </c:tx>
          <c:dLbls>
            <c:dLbl>
              <c:idx val="0"/>
              <c:layout>
                <c:manualLayout>
                  <c:x val="0.17359634169440177"/>
                  <c:y val="-1.0185476815398081E-2"/>
                </c:manualLayout>
              </c:layout>
              <c:showVal val="1"/>
            </c:dLbl>
            <c:dLbl>
              <c:idx val="1"/>
              <c:layout>
                <c:manualLayout>
                  <c:x val="7.2222222222222326E-2"/>
                  <c:y val="6.9444444444444503E-2"/>
                </c:manualLayout>
              </c:layout>
              <c:showVal val="1"/>
            </c:dLbl>
            <c:dLbl>
              <c:idx val="2"/>
              <c:layout>
                <c:manualLayout>
                  <c:x val="3.6111111111111163E-2"/>
                  <c:y val="3.7037037037037056E-2"/>
                </c:manualLayout>
              </c:layout>
              <c:showVal val="1"/>
            </c:dLbl>
            <c:dLbl>
              <c:idx val="3"/>
              <c:layout>
                <c:manualLayout>
                  <c:x val="-2.7777777777777863E-2"/>
                  <c:y val="4.6296296296296391E-2"/>
                </c:manualLayout>
              </c:layout>
              <c:showVal val="1"/>
            </c:dLbl>
            <c:dLbl>
              <c:idx val="4"/>
              <c:layout>
                <c:manualLayout>
                  <c:x val="-8.2216630137727634E-2"/>
                  <c:y val="7.685185185185188E-2"/>
                </c:manualLayout>
              </c:layout>
              <c:showVal val="1"/>
            </c:dLbl>
            <c:txPr>
              <a:bodyPr/>
              <a:lstStyle/>
              <a:p>
                <a:pPr>
                  <a:defRPr sz="1200" b="1">
                    <a:latin typeface="Times New Roman" pitchFamily="18" charset="0"/>
                    <a:cs typeface="Times New Roman" pitchFamily="18" charset="0"/>
                  </a:defRPr>
                </a:pPr>
                <a:endParaRPr lang="lv-LV"/>
              </a:p>
            </c:txPr>
            <c:showVal val="1"/>
          </c:dLbls>
          <c:cat>
            <c:strRef>
              <c:f>'Bāzes palielin 2015_grafiks'!$B$4:$B$8</c:f>
              <c:strCache>
                <c:ptCount val="5"/>
                <c:pt idx="0">
                  <c:v>IZM augstskolas</c:v>
                </c:pt>
                <c:pt idx="1">
                  <c:v>IZM koledžas</c:v>
                </c:pt>
                <c:pt idx="2">
                  <c:v>KM</c:v>
                </c:pt>
                <c:pt idx="3">
                  <c:v>VM</c:v>
                </c:pt>
                <c:pt idx="4">
                  <c:v>ZM</c:v>
                </c:pt>
              </c:strCache>
            </c:strRef>
          </c:cat>
          <c:val>
            <c:numRef>
              <c:f>'Bāzes palielin 2015_grafiks'!$C$4:$C$8</c:f>
              <c:numCache>
                <c:formatCode>0%</c:formatCode>
                <c:ptCount val="5"/>
                <c:pt idx="0">
                  <c:v>1</c:v>
                </c:pt>
                <c:pt idx="1">
                  <c:v>1</c:v>
                </c:pt>
                <c:pt idx="2">
                  <c:v>1</c:v>
                </c:pt>
                <c:pt idx="3">
                  <c:v>1</c:v>
                </c:pt>
                <c:pt idx="4">
                  <c:v>1</c:v>
                </c:pt>
              </c:numCache>
            </c:numRef>
          </c:val>
        </c:ser>
        <c:axId val="127855232"/>
        <c:axId val="127943424"/>
      </c:radarChart>
      <c:catAx>
        <c:axId val="127855232"/>
        <c:scaling>
          <c:orientation val="minMax"/>
        </c:scaling>
        <c:axPos val="b"/>
        <c:majorGridlines/>
        <c:majorTickMark val="none"/>
        <c:tickLblPos val="nextTo"/>
        <c:spPr>
          <a:ln w="9525">
            <a:noFill/>
          </a:ln>
        </c:spPr>
        <c:txPr>
          <a:bodyPr/>
          <a:lstStyle/>
          <a:p>
            <a:pPr>
              <a:defRPr sz="900">
                <a:latin typeface="Times New Roman" pitchFamily="18" charset="0"/>
                <a:cs typeface="Times New Roman" pitchFamily="18" charset="0"/>
              </a:defRPr>
            </a:pPr>
            <a:endParaRPr lang="lv-LV"/>
          </a:p>
        </c:txPr>
        <c:crossAx val="127943424"/>
        <c:crosses val="autoZero"/>
        <c:auto val="1"/>
        <c:lblAlgn val="ctr"/>
        <c:lblOffset val="100"/>
      </c:catAx>
      <c:valAx>
        <c:axId val="127943424"/>
        <c:scaling>
          <c:orientation val="minMax"/>
        </c:scaling>
        <c:axPos val="l"/>
        <c:majorGridlines/>
        <c:numFmt formatCode="0%" sourceLinked="1"/>
        <c:majorTickMark val="none"/>
        <c:tickLblPos val="nextTo"/>
        <c:crossAx val="127855232"/>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a:pPr>
            <a:r>
              <a:rPr lang="lv-LV" sz="1000">
                <a:latin typeface="Times New Roman" pitchFamily="18" charset="0"/>
                <a:cs typeface="Times New Roman" pitchFamily="18" charset="0"/>
              </a:rPr>
              <a:t>Studiju izmaksu koeficientu nodrošinājuma līmenis 2015.gadā salīdzinājumā</a:t>
            </a:r>
            <a:r>
              <a:rPr lang="lv-LV" sz="1000" baseline="0">
                <a:latin typeface="Times New Roman" pitchFamily="18" charset="0"/>
                <a:cs typeface="Times New Roman" pitchFamily="18" charset="0"/>
              </a:rPr>
              <a:t> ar optimālajām vērtībām, %</a:t>
            </a:r>
            <a:endParaRPr lang="lv-LV" sz="1000">
              <a:latin typeface="Times New Roman" pitchFamily="18" charset="0"/>
              <a:cs typeface="Times New Roman" pitchFamily="18" charset="0"/>
            </a:endParaRPr>
          </a:p>
        </c:rich>
      </c:tx>
    </c:title>
    <c:plotArea>
      <c:layout>
        <c:manualLayout>
          <c:layoutTarget val="inner"/>
          <c:xMode val="edge"/>
          <c:yMode val="edge"/>
          <c:x val="0.18789299044041557"/>
          <c:y val="0.23902850853320753"/>
          <c:w val="0.49141891208553118"/>
          <c:h val="0.61710439420878982"/>
        </c:manualLayout>
      </c:layout>
      <c:radarChart>
        <c:radarStyle val="marker"/>
        <c:ser>
          <c:idx val="0"/>
          <c:order val="0"/>
          <c:spPr>
            <a:ln>
              <a:solidFill>
                <a:srgbClr val="990033"/>
              </a:solidFill>
            </a:ln>
          </c:spPr>
          <c:marker>
            <c:spPr>
              <a:solidFill>
                <a:srgbClr val="990033"/>
              </a:solidFill>
            </c:spPr>
          </c:marker>
          <c:dLbls>
            <c:dLbl>
              <c:idx val="0"/>
              <c:layout>
                <c:manualLayout>
                  <c:x val="0.13794633383593033"/>
                  <c:y val="-5.5585779050345979E-2"/>
                </c:manualLayout>
              </c:layout>
              <c:showVal val="1"/>
            </c:dLbl>
            <c:dLbl>
              <c:idx val="1"/>
              <c:layout>
                <c:manualLayout>
                  <c:x val="0.1142477599842546"/>
                  <c:y val="6.2992446674645194E-2"/>
                </c:manualLayout>
              </c:layout>
              <c:showVal val="1"/>
            </c:dLbl>
            <c:dLbl>
              <c:idx val="2"/>
              <c:layout>
                <c:manualLayout>
                  <c:x val="0.11286243882299299"/>
                  <c:y val="4.1610113014786558E-2"/>
                </c:manualLayout>
              </c:layout>
              <c:showVal val="1"/>
            </c:dLbl>
            <c:dLbl>
              <c:idx val="3"/>
              <c:layout>
                <c:manualLayout>
                  <c:x val="-6.8501529051987781E-2"/>
                  <c:y val="5.1141552511415403E-2"/>
                </c:manualLayout>
              </c:layout>
              <c:showVal val="1"/>
            </c:dLbl>
            <c:dLbl>
              <c:idx val="4"/>
              <c:layout>
                <c:manualLayout>
                  <c:x val="-7.8287461773700301E-2"/>
                  <c:y val="4.7488584474885784E-2"/>
                </c:manualLayout>
              </c:layout>
              <c:showVal val="1"/>
            </c:dLbl>
            <c:txPr>
              <a:bodyPr/>
              <a:lstStyle/>
              <a:p>
                <a:pPr>
                  <a:defRPr sz="1200" b="1">
                    <a:latin typeface="Times New Roman" pitchFamily="18" charset="0"/>
                    <a:cs typeface="Times New Roman" pitchFamily="18" charset="0"/>
                  </a:defRPr>
                </a:pPr>
                <a:endParaRPr lang="lv-LV"/>
              </a:p>
            </c:txPr>
            <c:showVal val="1"/>
          </c:dLbls>
          <c:cat>
            <c:strRef>
              <c:f>'Grafiks bāzei 2013-2016'!$A$23:$A$27</c:f>
              <c:strCache>
                <c:ptCount val="5"/>
                <c:pt idx="0">
                  <c:v>IZM augstskolas</c:v>
                </c:pt>
                <c:pt idx="1">
                  <c:v>IZM koledžas</c:v>
                </c:pt>
                <c:pt idx="2">
                  <c:v>KM</c:v>
                </c:pt>
                <c:pt idx="3">
                  <c:v>VM</c:v>
                </c:pt>
                <c:pt idx="4">
                  <c:v>ZM</c:v>
                </c:pt>
              </c:strCache>
            </c:strRef>
          </c:cat>
          <c:val>
            <c:numRef>
              <c:f>'Grafiks bāzei 2013-2016'!$B$23:$B$27</c:f>
              <c:numCache>
                <c:formatCode>0%</c:formatCode>
                <c:ptCount val="5"/>
                <c:pt idx="0">
                  <c:v>0.69000000000000028</c:v>
                </c:pt>
                <c:pt idx="1">
                  <c:v>0.8</c:v>
                </c:pt>
                <c:pt idx="2">
                  <c:v>0.89</c:v>
                </c:pt>
                <c:pt idx="3">
                  <c:v>0.87000000000000033</c:v>
                </c:pt>
                <c:pt idx="4">
                  <c:v>0.7100000000000003</c:v>
                </c:pt>
              </c:numCache>
            </c:numRef>
          </c:val>
        </c:ser>
        <c:axId val="128064896"/>
        <c:axId val="128083072"/>
      </c:radarChart>
      <c:catAx>
        <c:axId val="128064896"/>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lv-LV"/>
          </a:p>
        </c:txPr>
        <c:crossAx val="128083072"/>
        <c:crosses val="autoZero"/>
        <c:lblAlgn val="ctr"/>
        <c:lblOffset val="100"/>
      </c:catAx>
      <c:valAx>
        <c:axId val="128083072"/>
        <c:scaling>
          <c:orientation val="minMax"/>
          <c:max val="1"/>
        </c:scaling>
        <c:axPos val="l"/>
        <c:majorGridlines/>
        <c:numFmt formatCode="0%" sourceLinked="1"/>
        <c:majorTickMark val="none"/>
        <c:tickLblPos val="nextTo"/>
        <c:crossAx val="128064896"/>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sz="1000">
                <a:latin typeface="Times New Roman" pitchFamily="18" charset="0"/>
                <a:cs typeface="Times New Roman" pitchFamily="18" charset="0"/>
              </a:rPr>
              <a:t>Nodrošinājuma līmeņa</a:t>
            </a:r>
            <a:r>
              <a:rPr lang="lv-LV" sz="1000" baseline="0">
                <a:latin typeface="Times New Roman" pitchFamily="18" charset="0"/>
                <a:cs typeface="Times New Roman" pitchFamily="18" charset="0"/>
              </a:rPr>
              <a:t> pieauguma solis </a:t>
            </a:r>
            <a:r>
              <a:rPr lang="en-US" sz="1000">
                <a:latin typeface="Times New Roman" pitchFamily="18" charset="0"/>
                <a:cs typeface="Times New Roman" pitchFamily="18" charset="0"/>
              </a:rPr>
              <a:t>201</a:t>
            </a:r>
            <a:r>
              <a:rPr lang="lv-LV" sz="1000">
                <a:latin typeface="Times New Roman" pitchFamily="18" charset="0"/>
                <a:cs typeface="Times New Roman" pitchFamily="18" charset="0"/>
              </a:rPr>
              <a:t>6.</a:t>
            </a:r>
            <a:r>
              <a:rPr lang="en-US" sz="1000">
                <a:latin typeface="Times New Roman" pitchFamily="18" charset="0"/>
                <a:cs typeface="Times New Roman" pitchFamily="18" charset="0"/>
              </a:rPr>
              <a:t>gad</a:t>
            </a:r>
            <a:r>
              <a:rPr lang="lv-LV" sz="1000">
                <a:latin typeface="Times New Roman" pitchFamily="18" charset="0"/>
                <a:cs typeface="Times New Roman" pitchFamily="18" charset="0"/>
              </a:rPr>
              <a:t>ā - 10% no starpības starp minimālajiem un optimālajiem koeficientiem</a:t>
            </a:r>
            <a:endParaRPr lang="en-US" sz="1000">
              <a:latin typeface="Times New Roman" pitchFamily="18" charset="0"/>
              <a:cs typeface="Times New Roman" pitchFamily="18" charset="0"/>
            </a:endParaRPr>
          </a:p>
        </c:rich>
      </c:tx>
    </c:title>
    <c:plotArea>
      <c:layout/>
      <c:radarChart>
        <c:radarStyle val="marker"/>
        <c:ser>
          <c:idx val="0"/>
          <c:order val="0"/>
          <c:tx>
            <c:v>2016.gads</c:v>
          </c:tx>
          <c:dLbls>
            <c:dLbl>
              <c:idx val="0"/>
              <c:layout>
                <c:manualLayout>
                  <c:x val="0.15584767693511992"/>
                  <c:y val="-5.0772060694629258E-2"/>
                </c:manualLayout>
              </c:layout>
              <c:showVal val="1"/>
            </c:dLbl>
            <c:dLbl>
              <c:idx val="1"/>
              <c:layout>
                <c:manualLayout>
                  <c:x val="8.6257217847769033E-2"/>
                  <c:y val="0.1026850175584007"/>
                </c:manualLayout>
              </c:layout>
              <c:showVal val="1"/>
            </c:dLbl>
            <c:dLbl>
              <c:idx val="2"/>
              <c:layout>
                <c:manualLayout>
                  <c:x val="3.6111111111111177E-2"/>
                  <c:y val="3.7037037037037056E-2"/>
                </c:manualLayout>
              </c:layout>
              <c:showVal val="1"/>
            </c:dLbl>
            <c:dLbl>
              <c:idx val="3"/>
              <c:layout>
                <c:manualLayout>
                  <c:x val="-2.7777777777777891E-2"/>
                  <c:y val="4.6296296296296412E-2"/>
                </c:manualLayout>
              </c:layout>
              <c:showVal val="1"/>
            </c:dLbl>
            <c:dLbl>
              <c:idx val="4"/>
              <c:layout>
                <c:manualLayout>
                  <c:x val="-0.10599401390615654"/>
                  <c:y val="3.9691437462283929E-2"/>
                </c:manualLayout>
              </c:layout>
              <c:showVal val="1"/>
            </c:dLbl>
            <c:txPr>
              <a:bodyPr/>
              <a:lstStyle/>
              <a:p>
                <a:pPr>
                  <a:defRPr sz="1200" b="1">
                    <a:latin typeface="Times New Roman" pitchFamily="18" charset="0"/>
                    <a:cs typeface="Times New Roman" pitchFamily="18" charset="0"/>
                  </a:defRPr>
                </a:pPr>
                <a:endParaRPr lang="lv-LV"/>
              </a:p>
            </c:txPr>
            <c:showVal val="1"/>
          </c:dLbls>
          <c:cat>
            <c:strRef>
              <c:f>'Bāzes palielin 2016_grafiks'!$B$4:$B$8</c:f>
              <c:strCache>
                <c:ptCount val="5"/>
                <c:pt idx="0">
                  <c:v>IZM augstskolas</c:v>
                </c:pt>
                <c:pt idx="1">
                  <c:v>IZM koledžas</c:v>
                </c:pt>
                <c:pt idx="2">
                  <c:v>KM</c:v>
                </c:pt>
                <c:pt idx="3">
                  <c:v>VM</c:v>
                </c:pt>
                <c:pt idx="4">
                  <c:v>ZM</c:v>
                </c:pt>
              </c:strCache>
            </c:strRef>
          </c:cat>
          <c:val>
            <c:numRef>
              <c:f>'Bāzes palielin 2016_grafiks'!$C$4:$C$8</c:f>
              <c:numCache>
                <c:formatCode>0%</c:formatCode>
                <c:ptCount val="5"/>
                <c:pt idx="0">
                  <c:v>0.1</c:v>
                </c:pt>
                <c:pt idx="1">
                  <c:v>0.1</c:v>
                </c:pt>
                <c:pt idx="2">
                  <c:v>0.1</c:v>
                </c:pt>
                <c:pt idx="3">
                  <c:v>0.1</c:v>
                </c:pt>
                <c:pt idx="4">
                  <c:v>0.1</c:v>
                </c:pt>
              </c:numCache>
            </c:numRef>
          </c:val>
        </c:ser>
        <c:axId val="77402496"/>
        <c:axId val="77404032"/>
      </c:radarChart>
      <c:catAx>
        <c:axId val="77402496"/>
        <c:scaling>
          <c:orientation val="minMax"/>
        </c:scaling>
        <c:axPos val="b"/>
        <c:majorGridlines/>
        <c:majorTickMark val="none"/>
        <c:tickLblPos val="nextTo"/>
        <c:spPr>
          <a:ln w="9525">
            <a:noFill/>
          </a:ln>
        </c:spPr>
        <c:txPr>
          <a:bodyPr/>
          <a:lstStyle/>
          <a:p>
            <a:pPr>
              <a:defRPr sz="900">
                <a:latin typeface="Times New Roman" pitchFamily="18" charset="0"/>
                <a:cs typeface="Times New Roman" pitchFamily="18" charset="0"/>
              </a:defRPr>
            </a:pPr>
            <a:endParaRPr lang="lv-LV"/>
          </a:p>
        </c:txPr>
        <c:crossAx val="77404032"/>
        <c:crosses val="autoZero"/>
        <c:auto val="1"/>
        <c:lblAlgn val="ctr"/>
        <c:lblOffset val="100"/>
      </c:catAx>
      <c:valAx>
        <c:axId val="77404032"/>
        <c:scaling>
          <c:orientation val="minMax"/>
        </c:scaling>
        <c:axPos val="l"/>
        <c:majorGridlines/>
        <c:numFmt formatCode="0%" sourceLinked="1"/>
        <c:majorTickMark val="none"/>
        <c:tickLblPos val="nextTo"/>
        <c:crossAx val="77402496"/>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a:pPr>
            <a:r>
              <a:rPr lang="lv-LV" sz="1000">
                <a:latin typeface="Times New Roman" pitchFamily="18" charset="0"/>
                <a:cs typeface="Times New Roman" pitchFamily="18" charset="0"/>
              </a:rPr>
              <a:t>Studiju izmaksu koeficientu nodrošinājuma līmenis 2016.gadā salīdzinājumā</a:t>
            </a:r>
            <a:r>
              <a:rPr lang="lv-LV" sz="1000" baseline="0">
                <a:latin typeface="Times New Roman" pitchFamily="18" charset="0"/>
                <a:cs typeface="Times New Roman" pitchFamily="18" charset="0"/>
              </a:rPr>
              <a:t> ar optimālajām vērtībām, %</a:t>
            </a:r>
            <a:endParaRPr lang="lv-LV" sz="1000">
              <a:latin typeface="Times New Roman" pitchFamily="18" charset="0"/>
              <a:cs typeface="Times New Roman" pitchFamily="18" charset="0"/>
            </a:endParaRPr>
          </a:p>
        </c:rich>
      </c:tx>
      <c:layout>
        <c:manualLayout>
          <c:xMode val="edge"/>
          <c:yMode val="edge"/>
          <c:x val="4.6121372031662257E-2"/>
          <c:y val="2.0000000000000011E-2"/>
        </c:manualLayout>
      </c:layout>
    </c:title>
    <c:plotArea>
      <c:layout>
        <c:manualLayout>
          <c:layoutTarget val="inner"/>
          <c:xMode val="edge"/>
          <c:yMode val="edge"/>
          <c:x val="0.18789299044041569"/>
          <c:y val="0.23902850853320753"/>
          <c:w val="0.49141891208553135"/>
          <c:h val="0.61710439420879004"/>
        </c:manualLayout>
      </c:layout>
      <c:radarChart>
        <c:radarStyle val="marker"/>
        <c:ser>
          <c:idx val="0"/>
          <c:order val="0"/>
          <c:spPr>
            <a:ln>
              <a:solidFill>
                <a:srgbClr val="990033"/>
              </a:solidFill>
            </a:ln>
          </c:spPr>
          <c:marker>
            <c:spPr>
              <a:solidFill>
                <a:srgbClr val="990033"/>
              </a:solidFill>
            </c:spPr>
          </c:marker>
          <c:dLbls>
            <c:dLbl>
              <c:idx val="0"/>
              <c:layout>
                <c:manualLayout>
                  <c:x val="0.13794621331213744"/>
                  <c:y val="-8.7671308918245705E-2"/>
                </c:manualLayout>
              </c:layout>
              <c:showVal val="1"/>
            </c:dLbl>
            <c:dLbl>
              <c:idx val="1"/>
              <c:layout>
                <c:manualLayout>
                  <c:x val="0.11424775998425463"/>
                  <c:y val="6.2992446674645194E-2"/>
                </c:manualLayout>
              </c:layout>
              <c:showVal val="1"/>
            </c:dLbl>
            <c:dLbl>
              <c:idx val="2"/>
              <c:layout>
                <c:manualLayout>
                  <c:x val="0.11286243882299296"/>
                  <c:y val="4.1610113014786558E-2"/>
                </c:manualLayout>
              </c:layout>
              <c:showVal val="1"/>
            </c:dLbl>
            <c:dLbl>
              <c:idx val="3"/>
              <c:layout>
                <c:manualLayout>
                  <c:x val="-6.8501529051987781E-2"/>
                  <c:y val="5.1141552511415375E-2"/>
                </c:manualLayout>
              </c:layout>
              <c:showVal val="1"/>
            </c:dLbl>
            <c:dLbl>
              <c:idx val="4"/>
              <c:layout>
                <c:manualLayout>
                  <c:x val="-7.8287461773700301E-2"/>
                  <c:y val="4.7488584474885784E-2"/>
                </c:manualLayout>
              </c:layout>
              <c:showVal val="1"/>
            </c:dLbl>
            <c:txPr>
              <a:bodyPr/>
              <a:lstStyle/>
              <a:p>
                <a:pPr>
                  <a:defRPr sz="1200" b="1">
                    <a:latin typeface="Times New Roman" pitchFamily="18" charset="0"/>
                    <a:cs typeface="Times New Roman" pitchFamily="18" charset="0"/>
                  </a:defRPr>
                </a:pPr>
                <a:endParaRPr lang="lv-LV"/>
              </a:p>
            </c:txPr>
            <c:showVal val="1"/>
          </c:dLbls>
          <c:cat>
            <c:strRef>
              <c:f>'Grafiks bāzei 2013-2016'!$A$32:$A$36</c:f>
              <c:strCache>
                <c:ptCount val="5"/>
                <c:pt idx="0">
                  <c:v>IZM augstskolas</c:v>
                </c:pt>
                <c:pt idx="1">
                  <c:v>IZM koledžas</c:v>
                </c:pt>
                <c:pt idx="2">
                  <c:v>KM</c:v>
                </c:pt>
                <c:pt idx="3">
                  <c:v>VM</c:v>
                </c:pt>
                <c:pt idx="4">
                  <c:v>ZM</c:v>
                </c:pt>
              </c:strCache>
            </c:strRef>
          </c:cat>
          <c:val>
            <c:numRef>
              <c:f>'Grafiks bāzei 2013-2016'!$B$32:$B$36</c:f>
              <c:numCache>
                <c:formatCode>0%</c:formatCode>
                <c:ptCount val="5"/>
                <c:pt idx="0">
                  <c:v>0.72000000000000031</c:v>
                </c:pt>
                <c:pt idx="1">
                  <c:v>0.82000000000000028</c:v>
                </c:pt>
                <c:pt idx="2">
                  <c:v>0.9</c:v>
                </c:pt>
                <c:pt idx="3">
                  <c:v>0.88</c:v>
                </c:pt>
                <c:pt idx="4">
                  <c:v>0.74000000000000032</c:v>
                </c:pt>
              </c:numCache>
            </c:numRef>
          </c:val>
        </c:ser>
        <c:axId val="77436800"/>
        <c:axId val="77438336"/>
      </c:radarChart>
      <c:catAx>
        <c:axId val="77436800"/>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lv-LV"/>
          </a:p>
        </c:txPr>
        <c:crossAx val="77438336"/>
        <c:crosses val="autoZero"/>
        <c:lblAlgn val="ctr"/>
        <c:lblOffset val="100"/>
      </c:catAx>
      <c:valAx>
        <c:axId val="77438336"/>
        <c:scaling>
          <c:orientation val="minMax"/>
          <c:max val="1"/>
        </c:scaling>
        <c:axPos val="l"/>
        <c:majorGridlines/>
        <c:numFmt formatCode="0%" sourceLinked="1"/>
        <c:majorTickMark val="none"/>
        <c:tickLblPos val="nextTo"/>
        <c:crossAx val="7743680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29F12-F855-4C87-9221-F0BDECE8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3267</Words>
  <Characters>20882</Characters>
  <Application>Microsoft Office Word</Application>
  <DocSecurity>0</DocSecurity>
  <Lines>1099</Lines>
  <Paragraphs>635</Paragraphs>
  <ScaleCrop>false</ScaleCrop>
  <HeadingPairs>
    <vt:vector size="2" baseType="variant">
      <vt:variant>
        <vt:lpstr>Title</vt:lpstr>
      </vt:variant>
      <vt:variant>
        <vt:i4>1</vt:i4>
      </vt:variant>
    </vt:vector>
  </HeadingPairs>
  <TitlesOfParts>
    <vt:vector size="1" baseType="lpstr">
      <vt:lpstr>Informatīvais ziņojums par valsts budžeta finansējuma normatīviem augstākās izglītības iestādēs un priekšlikumiem par nepieciešamību nodrošināt vienādu koeficientu piemērošanu augstākās izglītības iestādēm</vt:lpstr>
    </vt:vector>
  </TitlesOfParts>
  <Manager>L.Sīka</Manager>
  <Company>IZM</Company>
  <LinksUpToDate>false</LinksUpToDate>
  <CharactersWithSpaces>23514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finansējuma normatīviem augstākās izglītības iestādēs un priekšlikumiem par nepieciešamību nodrošināt vienādu koeficientu piemērošanu augstākās izglītības iestādēm</dc:title>
  <dc:subject>informatīvais ziņojums</dc:subject>
  <dc:creator>Marina Mekša</dc:creator>
  <cp:keywords>marina.meksa@izm.gov.lv; 67047886</cp:keywords>
  <dc:description/>
  <cp:lastModifiedBy>mmeksa</cp:lastModifiedBy>
  <cp:revision>47</cp:revision>
  <cp:lastPrinted>2013-03-18T15:56:00Z</cp:lastPrinted>
  <dcterms:created xsi:type="dcterms:W3CDTF">2013-03-18T10:50:00Z</dcterms:created>
  <dcterms:modified xsi:type="dcterms:W3CDTF">2013-03-18T16:26:00Z</dcterms:modified>
</cp:coreProperties>
</file>