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9D" w:rsidRDefault="00E03F0E" w:rsidP="00E03F0E">
      <w:pPr>
        <w:spacing w:after="0"/>
        <w:ind w:firstLine="0"/>
        <w:jc w:val="center"/>
        <w:rPr>
          <w:b/>
          <w:color w:val="000000"/>
        </w:rPr>
      </w:pPr>
      <w:bookmarkStart w:id="0" w:name="OLE_LINK1"/>
      <w:bookmarkStart w:id="1" w:name="OLE_LINK2"/>
      <w:r w:rsidRPr="00630A97">
        <w:rPr>
          <w:b/>
          <w:color w:val="000000"/>
        </w:rPr>
        <w:t xml:space="preserve">Informatīvais ziņojums </w:t>
      </w:r>
    </w:p>
    <w:p w:rsidR="00E03F0E" w:rsidRDefault="00E03F0E" w:rsidP="00E03F0E">
      <w:pPr>
        <w:spacing w:after="0"/>
        <w:ind w:firstLine="0"/>
        <w:jc w:val="center"/>
        <w:rPr>
          <w:b/>
          <w:color w:val="000000"/>
        </w:rPr>
      </w:pPr>
      <w:r w:rsidRPr="00630A97">
        <w:rPr>
          <w:b/>
          <w:color w:val="000000"/>
        </w:rPr>
        <w:t xml:space="preserve">par </w:t>
      </w:r>
      <w:r>
        <w:rPr>
          <w:b/>
          <w:color w:val="000000"/>
        </w:rPr>
        <w:t>izglītības efektivitātes un kvalitātes paaugstināšanu vispārējā, profesionālajā un augstākajā izglītībā</w:t>
      </w:r>
      <w:r w:rsidR="0063079D" w:rsidRPr="0063079D">
        <w:rPr>
          <w:b/>
          <w:color w:val="000000"/>
        </w:rPr>
        <w:t xml:space="preserve">, </w:t>
      </w:r>
      <w:r w:rsidR="0063079D" w:rsidRPr="0063079D">
        <w:rPr>
          <w:b/>
        </w:rPr>
        <w:t>par izglītojamo teorētisko zināšanu praktiskā pielietojuma n</w:t>
      </w:r>
      <w:r w:rsidR="0063079D">
        <w:rPr>
          <w:b/>
        </w:rPr>
        <w:t>odrošināšanu un</w:t>
      </w:r>
      <w:r w:rsidR="0063079D" w:rsidRPr="0063079D">
        <w:rPr>
          <w:b/>
        </w:rPr>
        <w:t xml:space="preserve"> par Eiropas Savienības fondu līdzekļiem</w:t>
      </w:r>
      <w:r w:rsidR="0063079D">
        <w:rPr>
          <w:b/>
        </w:rPr>
        <w:t xml:space="preserve"> izglītībā</w:t>
      </w:r>
    </w:p>
    <w:bookmarkEnd w:id="0"/>
    <w:bookmarkEnd w:id="1"/>
    <w:p w:rsidR="00E03F0E" w:rsidRPr="00E03F0E" w:rsidRDefault="00E03F0E" w:rsidP="00E03F0E">
      <w:pPr>
        <w:spacing w:after="0"/>
        <w:jc w:val="center"/>
        <w:rPr>
          <w:b/>
          <w:color w:val="000000"/>
        </w:rPr>
      </w:pPr>
    </w:p>
    <w:p w:rsidR="00DF6E79" w:rsidRDefault="00E03F0E" w:rsidP="00061BD1">
      <w:pPr>
        <w:spacing w:after="0"/>
      </w:pPr>
      <w:r>
        <w:t>Saskaņā ar Ministru prezidenta</w:t>
      </w:r>
      <w:r w:rsidR="00F80333">
        <w:t xml:space="preserve"> 2011.gada 18.janvāra</w:t>
      </w:r>
      <w:r w:rsidR="00C0668B">
        <w:t xml:space="preserve"> uzdevumu Nr.90/SAN-89 </w:t>
      </w:r>
      <w:r w:rsidR="00F80333">
        <w:t xml:space="preserve">Izglītības un zinātnes ministrijai uzdots </w:t>
      </w:r>
      <w:r w:rsidR="00C0668B">
        <w:t>iesniegt Valsts kancelejā izskatīšanai Ministru kabineta sēdē Saeimas Publisko izdevumu un revīzijas komisijas 2011.gada I puses darba plāna 14.punktā minēto informāciju</w:t>
      </w:r>
      <w:r w:rsidR="00F80333">
        <w:t xml:space="preserve"> par izglītības efektivitātes un kvalitātes paaugstināšanu vispārējā, profesionālajā un</w:t>
      </w:r>
      <w:r w:rsidR="00DE0479">
        <w:t xml:space="preserve"> augstākajā izglītībā; par izglītojamo teorētisko zināšanu praktiskā pielietojuma nodrošināšanu, kā arī par Eiropas Savienības fondu līdzekļiem, tai skaitā faktisko apguvi un plānoto apguvi līdz 2011.gada 31.decembrim.</w:t>
      </w:r>
    </w:p>
    <w:p w:rsidR="006D3939" w:rsidRPr="0088693E" w:rsidRDefault="006D3939" w:rsidP="006D3939">
      <w:pPr>
        <w:spacing w:after="0"/>
        <w:rPr>
          <w:color w:val="000000"/>
          <w:lang w:eastAsia="lv-LV"/>
        </w:rPr>
      </w:pPr>
      <w:r w:rsidRPr="0088693E">
        <w:rPr>
          <w:color w:val="000000"/>
          <w:lang w:eastAsia="lv-LV"/>
        </w:rPr>
        <w:t>2010.gadam Izglītības un zinātnes ministrija (</w:t>
      </w:r>
      <w:r>
        <w:rPr>
          <w:color w:val="000000"/>
          <w:lang w:eastAsia="lv-LV"/>
        </w:rPr>
        <w:t xml:space="preserve">turpmāk – </w:t>
      </w:r>
      <w:r w:rsidRPr="0088693E">
        <w:rPr>
          <w:color w:val="000000"/>
          <w:lang w:eastAsia="lv-LV"/>
        </w:rPr>
        <w:t>IZM</w:t>
      </w:r>
      <w:r>
        <w:rPr>
          <w:color w:val="000000"/>
          <w:lang w:eastAsia="lv-LV"/>
        </w:rPr>
        <w:t>) izvirzīja trīs</w:t>
      </w:r>
      <w:r w:rsidRPr="0088693E">
        <w:rPr>
          <w:color w:val="000000"/>
          <w:lang w:eastAsia="lv-LV"/>
        </w:rPr>
        <w:t xml:space="preserve"> mērķus, kas bija pamatā 2010.gada darbam: izmaksu efektivitātes paaugstināšana vispārējā un profesionālā izglītībā, vienlaikus ar kvalitātes un pieejamības nodrošināšanu; </w:t>
      </w:r>
      <w:proofErr w:type="spellStart"/>
      <w:r w:rsidRPr="0088693E">
        <w:rPr>
          <w:color w:val="000000"/>
          <w:lang w:eastAsia="lv-LV"/>
        </w:rPr>
        <w:t>eksportspējas</w:t>
      </w:r>
      <w:proofErr w:type="spellEnd"/>
      <w:r w:rsidRPr="0088693E">
        <w:rPr>
          <w:color w:val="000000"/>
          <w:lang w:eastAsia="lv-LV"/>
        </w:rPr>
        <w:t xml:space="preserve"> paaugstināšana augstākajā izglītībā un zinātnē; nacionālo vērtību stiprināšana un popularizēšana. </w:t>
      </w:r>
    </w:p>
    <w:p w:rsidR="006D3939" w:rsidRPr="0088693E" w:rsidRDefault="006D3939" w:rsidP="006D3939">
      <w:pPr>
        <w:spacing w:after="0"/>
        <w:rPr>
          <w:color w:val="000000"/>
          <w:lang w:eastAsia="lv-LV"/>
        </w:rPr>
      </w:pPr>
      <w:r w:rsidRPr="0088693E">
        <w:rPr>
          <w:color w:val="000000"/>
          <w:lang w:eastAsia="lv-LV"/>
        </w:rPr>
        <w:t xml:space="preserve">Izvirzītie mērķi 2010.gadā ir sasniegti un nodrošināta IZM funkciju īstenošana, neraugoties uz nozīmīgo finansējuma samazinājumu (kopš 2008.gada IZM pārziņā esošajām jomām finansējums ir samazināts par vairāk nekā 260 miljoniem latu jeb par gandrīz 50 %). Sasniegtais apliecina, ka IZM pārziņā esošajās jomās veiktas nozīmīgas strukturālas reformas, kas nākotnē ir turpināmas. </w:t>
      </w:r>
    </w:p>
    <w:p w:rsidR="006D3939" w:rsidRPr="0088693E" w:rsidRDefault="006D3939" w:rsidP="00BA56BE">
      <w:pPr>
        <w:spacing w:after="0"/>
        <w:rPr>
          <w:color w:val="000000"/>
          <w:lang w:eastAsia="lv-LV"/>
        </w:rPr>
      </w:pPr>
      <w:r w:rsidRPr="0088693E">
        <w:rPr>
          <w:color w:val="000000"/>
          <w:lang w:eastAsia="lv-LV"/>
        </w:rPr>
        <w:t>Būtiska loma IZM pārziņā esošo jomu darbības nodrošināšanai vienmēr ir bijusi ciešai sadarbībai ar sociālajam un sadarbības partneriem, kas īstenota arī 2010.gadā. Tāpat panākti konkrēti rezultāti un sniegti argumenti starptautiskajiem aizdevējiem, īpaši – Pasaules Bankai, lai nepieļautu turpmāku būtisku finansējuma samazinājumu IZM pārziņā esošajās jomās.  </w:t>
      </w:r>
    </w:p>
    <w:p w:rsidR="006D3939" w:rsidRDefault="006D3939" w:rsidP="00BA56BE">
      <w:pPr>
        <w:spacing w:after="0"/>
      </w:pPr>
    </w:p>
    <w:p w:rsidR="00BA56BE" w:rsidRDefault="00BA56BE" w:rsidP="00BA56BE">
      <w:pPr>
        <w:spacing w:after="0"/>
      </w:pPr>
    </w:p>
    <w:p w:rsidR="00DE0479" w:rsidRPr="00BE1D20" w:rsidRDefault="00DE0479" w:rsidP="00BA56BE">
      <w:pPr>
        <w:pStyle w:val="Heading1"/>
        <w:spacing w:before="0"/>
        <w:jc w:val="center"/>
        <w:rPr>
          <w:rFonts w:ascii="Times New Roman" w:hAnsi="Times New Roman" w:cs="Times New Roman"/>
          <w:color w:val="auto"/>
        </w:rPr>
      </w:pPr>
      <w:r w:rsidRPr="00BE1D20">
        <w:rPr>
          <w:rFonts w:ascii="Times New Roman" w:hAnsi="Times New Roman" w:cs="Times New Roman"/>
          <w:color w:val="auto"/>
        </w:rPr>
        <w:t>1. Izglītības efektivitātes un kvalitātes paaugstināšana vispārējā, profesionālajā un augstākajā izglītībā</w:t>
      </w:r>
    </w:p>
    <w:p w:rsidR="00DE0479" w:rsidRDefault="00DE0479" w:rsidP="00BA56BE">
      <w:pPr>
        <w:spacing w:after="0"/>
        <w:ind w:firstLine="0"/>
        <w:jc w:val="center"/>
        <w:rPr>
          <w:b/>
        </w:rPr>
      </w:pPr>
    </w:p>
    <w:p w:rsidR="00F80333" w:rsidRPr="00BE1D20" w:rsidRDefault="00DE0479" w:rsidP="00BA56BE">
      <w:pPr>
        <w:pStyle w:val="Heading2"/>
        <w:spacing w:before="0"/>
        <w:jc w:val="center"/>
        <w:rPr>
          <w:rFonts w:ascii="Times New Roman" w:hAnsi="Times New Roman" w:cs="Times New Roman"/>
          <w:color w:val="auto"/>
          <w:sz w:val="28"/>
          <w:szCs w:val="28"/>
        </w:rPr>
      </w:pPr>
      <w:r w:rsidRPr="00BE1D20">
        <w:rPr>
          <w:rFonts w:ascii="Times New Roman" w:hAnsi="Times New Roman" w:cs="Times New Roman"/>
          <w:color w:val="auto"/>
          <w:sz w:val="28"/>
          <w:szCs w:val="28"/>
        </w:rPr>
        <w:t xml:space="preserve">1.1. </w:t>
      </w:r>
      <w:r w:rsidR="00F80333" w:rsidRPr="00BE1D20">
        <w:rPr>
          <w:rFonts w:ascii="Times New Roman" w:hAnsi="Times New Roman" w:cs="Times New Roman"/>
          <w:color w:val="auto"/>
          <w:sz w:val="28"/>
          <w:szCs w:val="28"/>
        </w:rPr>
        <w:t>Vispārējā izglītība</w:t>
      </w:r>
    </w:p>
    <w:p w:rsidR="00F80333" w:rsidRPr="006D3939" w:rsidRDefault="00F80333" w:rsidP="00BA56BE">
      <w:pPr>
        <w:spacing w:after="0"/>
      </w:pPr>
    </w:p>
    <w:p w:rsidR="004160B5" w:rsidRDefault="006D3939" w:rsidP="00BA56BE">
      <w:pPr>
        <w:pStyle w:val="NormalWeb"/>
        <w:spacing w:before="0" w:beforeAutospacing="0" w:after="0" w:afterAutospacing="0"/>
        <w:jc w:val="both"/>
        <w:rPr>
          <w:sz w:val="28"/>
          <w:szCs w:val="28"/>
        </w:rPr>
      </w:pPr>
      <w:r>
        <w:rPr>
          <w:color w:val="000000"/>
          <w:sz w:val="28"/>
          <w:szCs w:val="28"/>
        </w:rPr>
        <w:tab/>
      </w:r>
      <w:r w:rsidRPr="006D3939">
        <w:rPr>
          <w:color w:val="000000"/>
          <w:sz w:val="28"/>
          <w:szCs w:val="28"/>
        </w:rPr>
        <w:t xml:space="preserve">Lai sekmētu kvalitatīvu, pieejamu un </w:t>
      </w:r>
      <w:proofErr w:type="spellStart"/>
      <w:r w:rsidRPr="006D3939">
        <w:rPr>
          <w:color w:val="000000"/>
          <w:sz w:val="28"/>
          <w:szCs w:val="28"/>
        </w:rPr>
        <w:t>resursefektīvu</w:t>
      </w:r>
      <w:proofErr w:type="spellEnd"/>
      <w:r w:rsidRPr="006D3939">
        <w:rPr>
          <w:color w:val="000000"/>
          <w:sz w:val="28"/>
          <w:szCs w:val="28"/>
        </w:rPr>
        <w:t xml:space="preserve"> izglītīb</w:t>
      </w:r>
      <w:r>
        <w:rPr>
          <w:color w:val="000000"/>
          <w:sz w:val="28"/>
          <w:szCs w:val="28"/>
        </w:rPr>
        <w:t>u</w:t>
      </w:r>
      <w:r w:rsidRPr="006D3939">
        <w:rPr>
          <w:color w:val="000000"/>
          <w:sz w:val="28"/>
          <w:szCs w:val="28"/>
        </w:rPr>
        <w:t xml:space="preserve"> </w:t>
      </w:r>
      <w:r>
        <w:rPr>
          <w:color w:val="000000"/>
          <w:sz w:val="28"/>
          <w:szCs w:val="28"/>
        </w:rPr>
        <w:t xml:space="preserve">ar </w:t>
      </w:r>
      <w:r w:rsidRPr="006D3939">
        <w:rPr>
          <w:color w:val="000000"/>
          <w:sz w:val="28"/>
          <w:szCs w:val="28"/>
        </w:rPr>
        <w:t>2009.</w:t>
      </w:r>
      <w:r>
        <w:rPr>
          <w:color w:val="000000"/>
          <w:sz w:val="28"/>
          <w:szCs w:val="28"/>
        </w:rPr>
        <w:t>/2010.mācību gadu</w:t>
      </w:r>
      <w:r w:rsidRPr="006D3939">
        <w:rPr>
          <w:color w:val="000000"/>
          <w:sz w:val="28"/>
          <w:szCs w:val="28"/>
        </w:rPr>
        <w:t xml:space="preserve"> vispārējā izglītībā </w:t>
      </w:r>
      <w:r>
        <w:rPr>
          <w:color w:val="000000"/>
          <w:sz w:val="28"/>
          <w:szCs w:val="28"/>
        </w:rPr>
        <w:t xml:space="preserve">tika </w:t>
      </w:r>
      <w:r w:rsidRPr="006D3939">
        <w:rPr>
          <w:color w:val="000000"/>
          <w:sz w:val="28"/>
          <w:szCs w:val="28"/>
        </w:rPr>
        <w:t>uzsākta finansēšanas principa „nauda s</w:t>
      </w:r>
      <w:r>
        <w:rPr>
          <w:color w:val="000000"/>
          <w:sz w:val="28"/>
          <w:szCs w:val="28"/>
        </w:rPr>
        <w:t>eko skolēnam” īstenošana, kas bija</w:t>
      </w:r>
      <w:r w:rsidRPr="006D3939">
        <w:rPr>
          <w:color w:val="000000"/>
          <w:sz w:val="28"/>
          <w:szCs w:val="28"/>
        </w:rPr>
        <w:t xml:space="preserve"> strukturāli jauna pieeja un kas dažādu iemeslu dēļ netika ievies</w:t>
      </w:r>
      <w:r>
        <w:rPr>
          <w:color w:val="000000"/>
          <w:sz w:val="28"/>
          <w:szCs w:val="28"/>
        </w:rPr>
        <w:t>ta iepriekš. P</w:t>
      </w:r>
      <w:r w:rsidRPr="006D3939">
        <w:rPr>
          <w:color w:val="000000"/>
          <w:sz w:val="28"/>
          <w:szCs w:val="28"/>
        </w:rPr>
        <w:t>ašvaldības ar IZM atbalstu veica nozīmīgu darbu, uzsākot skolu tīkla sakārt</w:t>
      </w:r>
      <w:r>
        <w:rPr>
          <w:color w:val="000000"/>
          <w:sz w:val="28"/>
          <w:szCs w:val="28"/>
        </w:rPr>
        <w:t>ošanu. Tā rezultātā paaugstinājās</w:t>
      </w:r>
      <w:r w:rsidRPr="006D3939">
        <w:rPr>
          <w:color w:val="000000"/>
          <w:sz w:val="28"/>
          <w:szCs w:val="28"/>
        </w:rPr>
        <w:t xml:space="preserve"> </w:t>
      </w:r>
      <w:r w:rsidRPr="006D3939">
        <w:rPr>
          <w:color w:val="000000"/>
          <w:sz w:val="28"/>
          <w:szCs w:val="28"/>
        </w:rPr>
        <w:lastRenderedPageBreak/>
        <w:t xml:space="preserve">izglītības procesa </w:t>
      </w:r>
      <w:proofErr w:type="spellStart"/>
      <w:r>
        <w:rPr>
          <w:color w:val="000000"/>
          <w:sz w:val="28"/>
          <w:szCs w:val="28"/>
        </w:rPr>
        <w:t>resursefektivitāte</w:t>
      </w:r>
      <w:proofErr w:type="spellEnd"/>
      <w:r>
        <w:rPr>
          <w:color w:val="000000"/>
          <w:sz w:val="28"/>
          <w:szCs w:val="28"/>
        </w:rPr>
        <w:t>, kā arī noti</w:t>
      </w:r>
      <w:r w:rsidRPr="006D3939">
        <w:rPr>
          <w:color w:val="000000"/>
          <w:sz w:val="28"/>
          <w:szCs w:val="28"/>
        </w:rPr>
        <w:t>k</w:t>
      </w:r>
      <w:r>
        <w:rPr>
          <w:color w:val="000000"/>
          <w:sz w:val="28"/>
          <w:szCs w:val="28"/>
        </w:rPr>
        <w:t>a</w:t>
      </w:r>
      <w:r w:rsidRPr="006D3939">
        <w:rPr>
          <w:color w:val="000000"/>
          <w:sz w:val="28"/>
          <w:szCs w:val="28"/>
        </w:rPr>
        <w:t xml:space="preserve"> citas poz</w:t>
      </w:r>
      <w:r>
        <w:rPr>
          <w:color w:val="000000"/>
          <w:sz w:val="28"/>
          <w:szCs w:val="28"/>
        </w:rPr>
        <w:t>itīvas pārmaiņas, piemēram, dažādojās</w:t>
      </w:r>
      <w:r w:rsidRPr="006D3939">
        <w:rPr>
          <w:color w:val="000000"/>
          <w:sz w:val="28"/>
          <w:szCs w:val="28"/>
        </w:rPr>
        <w:t xml:space="preserve"> izglītības programmu piedāvājums, bet izglītībā iesaistītie atzīst, ka vērojama konkurence starp skolām, kas veicina izglītības kvalitāti, no kā ieguvēji ir skolēni. </w:t>
      </w:r>
      <w:r w:rsidR="00F80333" w:rsidRPr="006D3939">
        <w:rPr>
          <w:sz w:val="28"/>
          <w:szCs w:val="28"/>
        </w:rPr>
        <w:t>Izmaiņas</w:t>
      </w:r>
      <w:r w:rsidR="00F80333" w:rsidRPr="00F80333">
        <w:rPr>
          <w:sz w:val="28"/>
          <w:szCs w:val="28"/>
        </w:rPr>
        <w:t xml:space="preserve"> vispārējās izglītības iestāžu tīklā:</w:t>
      </w:r>
    </w:p>
    <w:p w:rsidR="00F80333" w:rsidRPr="004160B5" w:rsidRDefault="004160B5" w:rsidP="004160B5">
      <w:pPr>
        <w:pStyle w:val="NormalWeb"/>
        <w:spacing w:before="120" w:beforeAutospacing="0" w:after="0" w:afterAutospacing="0"/>
        <w:jc w:val="both"/>
        <w:rPr>
          <w:color w:val="000000"/>
          <w:sz w:val="28"/>
          <w:szCs w:val="28"/>
        </w:rPr>
      </w:pPr>
      <w:r>
        <w:rPr>
          <w:sz w:val="28"/>
          <w:szCs w:val="28"/>
        </w:rPr>
        <w:tab/>
      </w:r>
      <w:r w:rsidR="00F80333" w:rsidRPr="006D3939">
        <w:rPr>
          <w:sz w:val="28"/>
          <w:szCs w:val="28"/>
        </w:rPr>
        <w:t>2009.gadā</w:t>
      </w:r>
      <w:r w:rsidR="00F80333" w:rsidRPr="00F80333">
        <w:rPr>
          <w:sz w:val="28"/>
          <w:szCs w:val="28"/>
        </w:rPr>
        <w:t xml:space="preserve"> IZM saskaņoja pašvaldību lēmumus par:</w:t>
      </w:r>
    </w:p>
    <w:p w:rsidR="00F80333" w:rsidRPr="004160B5" w:rsidRDefault="004160B5" w:rsidP="004160B5">
      <w:pPr>
        <w:tabs>
          <w:tab w:val="left" w:pos="993"/>
        </w:tabs>
        <w:spacing w:after="0"/>
        <w:ind w:firstLine="0"/>
        <w:contextualSpacing/>
        <w:jc w:val="left"/>
      </w:pPr>
      <w:r>
        <w:tab/>
      </w:r>
      <w:r>
        <w:tab/>
        <w:t xml:space="preserve">- </w:t>
      </w:r>
      <w:r w:rsidR="00F80333" w:rsidRPr="004160B5">
        <w:t>84 izglītības iestāžu reorganizāciju;</w:t>
      </w:r>
    </w:p>
    <w:p w:rsidR="00F80333" w:rsidRPr="004160B5" w:rsidRDefault="004160B5" w:rsidP="004160B5">
      <w:pPr>
        <w:tabs>
          <w:tab w:val="left" w:pos="993"/>
        </w:tabs>
        <w:spacing w:after="0"/>
        <w:ind w:firstLine="0"/>
        <w:contextualSpacing/>
        <w:jc w:val="left"/>
      </w:pPr>
      <w:r>
        <w:tab/>
      </w:r>
      <w:r>
        <w:tab/>
        <w:t xml:space="preserve">- </w:t>
      </w:r>
      <w:r w:rsidR="00F80333" w:rsidRPr="004160B5">
        <w:t>57 izglītības iestāžu slēgšanu;</w:t>
      </w:r>
    </w:p>
    <w:p w:rsidR="004160B5" w:rsidRDefault="004160B5" w:rsidP="004160B5">
      <w:pPr>
        <w:tabs>
          <w:tab w:val="left" w:pos="993"/>
        </w:tabs>
        <w:spacing w:after="0"/>
        <w:ind w:firstLine="0"/>
        <w:contextualSpacing/>
        <w:jc w:val="left"/>
      </w:pPr>
      <w:r>
        <w:tab/>
      </w:r>
      <w:r>
        <w:tab/>
        <w:t xml:space="preserve">- </w:t>
      </w:r>
      <w:r w:rsidR="00F80333" w:rsidRPr="004160B5">
        <w:t>2 pirmsskolas izglītības iestāžu dibināšanu.</w:t>
      </w:r>
    </w:p>
    <w:p w:rsidR="00F80333" w:rsidRPr="00F80333" w:rsidRDefault="004160B5" w:rsidP="004160B5">
      <w:pPr>
        <w:spacing w:before="120" w:after="0"/>
        <w:ind w:firstLine="0"/>
        <w:contextualSpacing/>
        <w:jc w:val="left"/>
      </w:pPr>
      <w:r>
        <w:tab/>
      </w:r>
      <w:r w:rsidR="00F80333" w:rsidRPr="006D3939">
        <w:t>2010.gadā</w:t>
      </w:r>
      <w:r w:rsidR="00F80333" w:rsidRPr="00F80333">
        <w:t xml:space="preserve"> IZM saskaņoja pašvaldību lēmumus par:</w:t>
      </w:r>
    </w:p>
    <w:p w:rsidR="00F80333" w:rsidRPr="004160B5" w:rsidRDefault="004160B5" w:rsidP="004160B5">
      <w:pPr>
        <w:tabs>
          <w:tab w:val="left" w:pos="993"/>
        </w:tabs>
        <w:spacing w:after="0"/>
        <w:ind w:firstLine="0"/>
        <w:contextualSpacing/>
        <w:jc w:val="left"/>
      </w:pPr>
      <w:r>
        <w:tab/>
      </w:r>
      <w:r>
        <w:tab/>
        <w:t xml:space="preserve">- </w:t>
      </w:r>
      <w:r w:rsidR="00F80333" w:rsidRPr="004160B5">
        <w:t>28 izglītības iestāžu reorganizāciju;</w:t>
      </w:r>
    </w:p>
    <w:p w:rsidR="00F80333" w:rsidRPr="004160B5" w:rsidRDefault="004160B5" w:rsidP="004160B5">
      <w:pPr>
        <w:tabs>
          <w:tab w:val="left" w:pos="993"/>
        </w:tabs>
        <w:spacing w:after="0"/>
        <w:ind w:firstLine="0"/>
        <w:contextualSpacing/>
        <w:jc w:val="left"/>
      </w:pPr>
      <w:r>
        <w:tab/>
      </w:r>
      <w:r>
        <w:tab/>
        <w:t xml:space="preserve">- </w:t>
      </w:r>
      <w:r w:rsidR="00F80333" w:rsidRPr="004160B5">
        <w:t>10 izglītības iestāžu slēgšanu;</w:t>
      </w:r>
    </w:p>
    <w:p w:rsidR="00F80333" w:rsidRPr="00F80333" w:rsidRDefault="004160B5" w:rsidP="004160B5">
      <w:pPr>
        <w:spacing w:after="0"/>
        <w:ind w:firstLine="0"/>
      </w:pPr>
      <w:r>
        <w:tab/>
      </w:r>
      <w:r>
        <w:tab/>
        <w:t xml:space="preserve">- </w:t>
      </w:r>
      <w:r w:rsidR="00F80333" w:rsidRPr="00F80333">
        <w:t>5 pirmsskolas izglītības iestāžu dibināšanu.</w:t>
      </w:r>
    </w:p>
    <w:p w:rsidR="00F80333" w:rsidRPr="00F80333" w:rsidRDefault="006D3939" w:rsidP="006D3939">
      <w:pPr>
        <w:spacing w:before="120" w:after="0"/>
      </w:pPr>
      <w:r>
        <w:t>2011.gadā</w:t>
      </w:r>
      <w:r w:rsidR="00F80333" w:rsidRPr="00F80333">
        <w:t xml:space="preserve"> IZM ir saskaņojusi pašvaldību lēmumus par:</w:t>
      </w:r>
    </w:p>
    <w:p w:rsidR="00F80333" w:rsidRPr="00F80333" w:rsidRDefault="00F80333" w:rsidP="00061BD1">
      <w:pPr>
        <w:spacing w:after="0"/>
      </w:pPr>
      <w:r w:rsidRPr="00F80333">
        <w:tab/>
        <w:t>- 13 izglītības iestāžu reorganizāciju;</w:t>
      </w:r>
    </w:p>
    <w:p w:rsidR="00F80333" w:rsidRPr="00F80333" w:rsidRDefault="00F80333" w:rsidP="00061BD1">
      <w:pPr>
        <w:spacing w:after="0"/>
      </w:pPr>
      <w:r w:rsidRPr="00F80333">
        <w:tab/>
        <w:t>- 4 izglītības iestāžu slēgšanu;</w:t>
      </w:r>
    </w:p>
    <w:p w:rsidR="00F80333" w:rsidRPr="00F80333" w:rsidRDefault="00F80333" w:rsidP="00061BD1">
      <w:pPr>
        <w:spacing w:after="0"/>
      </w:pPr>
      <w:r w:rsidRPr="00F80333">
        <w:tab/>
        <w:t>- 2 pirmsskolas izglītības iestāžu un 2 sākumskolu dibināšanu.</w:t>
      </w:r>
    </w:p>
    <w:p w:rsidR="00F80333" w:rsidRPr="00F80333" w:rsidRDefault="00F80333" w:rsidP="006D3939">
      <w:pPr>
        <w:tabs>
          <w:tab w:val="left" w:pos="709"/>
        </w:tabs>
        <w:spacing w:before="120" w:after="0"/>
      </w:pPr>
      <w:r w:rsidRPr="00F80333">
        <w:t>Izglītības iestāžu slēgšanas pamatojumi galvenokārt ir saistīti ar racionālu izglītības iestāžu telpu noslodzi un finanšu līdzekļu izlietojumu, kā arī saistībā ar nelielo izglītojamo skaitu.</w:t>
      </w:r>
    </w:p>
    <w:p w:rsidR="00F80333" w:rsidRDefault="00F80333" w:rsidP="00061BD1">
      <w:pPr>
        <w:spacing w:after="0"/>
      </w:pPr>
      <w:r w:rsidRPr="00F80333">
        <w:t>Izglītības un zinātnes ministrija, izskatot jautājumu par saskaņojumu pašvaldības lēmuma projektam par pašvaldības vispārējās izglītības iestādes reorganizēšanu vai likvidāciju, rūpīgi seko šādiem kritērijiem: izglītības iestādes darba kvalitāte – skolēnu mācību rezultāti un sekmības dinamika, izglītības programmu piedāvājums, sasniegumi interešu izglītības jomā, pedagogu un direktora darba kvalitāte u.c., lai nodrošinātu skolu labās prakses un pieredzes pārmantojamību; izglītības pieejamība – sākumskolas (1.–6.klases), it īpaši 1.–3.klases pieejamība iespējami tuvāk bērna dzīvesvietai; transporta nodrošinājums; izglītības iestāžu attīstības potenciāls nākotnē – iespēja kļūt par daudzfunkcionālu izglītības, kultūras un sociālā atbalsta centru; skolu tīkla attīstības koncepcija novadā – pieejamie finanšu resursi, skolu ēku piepildījums un noslogojums, teritorijas demogrāfiskās tendences, pašvaldības ekonomiskās attīstības potenciāls, kā arī iesaistīto pušu (skolēnu, pedagogu un vecāku) informētība un viedokļi.</w:t>
      </w:r>
    </w:p>
    <w:p w:rsidR="006D3939" w:rsidRPr="0088693E" w:rsidRDefault="006D3939" w:rsidP="006D3939">
      <w:pPr>
        <w:spacing w:after="0"/>
        <w:rPr>
          <w:color w:val="000000"/>
          <w:lang w:eastAsia="lv-LV"/>
        </w:rPr>
      </w:pPr>
      <w:r w:rsidRPr="0088693E">
        <w:rPr>
          <w:color w:val="000000"/>
          <w:lang w:eastAsia="lv-LV"/>
        </w:rPr>
        <w:t xml:space="preserve">Turpinot darbu pie finansēšanas principa </w:t>
      </w:r>
      <w:r w:rsidRPr="0088693E">
        <w:rPr>
          <w:bCs/>
          <w:color w:val="000000"/>
          <w:lang w:eastAsia="lv-LV"/>
        </w:rPr>
        <w:t>„nauda seko skolēnam”</w:t>
      </w:r>
      <w:r w:rsidRPr="0088693E">
        <w:rPr>
          <w:b/>
          <w:bCs/>
          <w:color w:val="000000"/>
          <w:lang w:eastAsia="lv-LV"/>
        </w:rPr>
        <w:t xml:space="preserve"> </w:t>
      </w:r>
      <w:r w:rsidRPr="0088693E">
        <w:rPr>
          <w:color w:val="000000"/>
          <w:lang w:eastAsia="lv-LV"/>
        </w:rPr>
        <w:t>izvērtēšanas un pilnveides, veikti grozījumi normatīvajos aktos, kas stājās spēkā no 2010.gada 1.septembra:</w:t>
      </w:r>
    </w:p>
    <w:p w:rsidR="006D3939" w:rsidRPr="0088693E" w:rsidRDefault="006D3939" w:rsidP="006D3939">
      <w:pPr>
        <w:spacing w:after="0"/>
        <w:ind w:firstLine="0"/>
        <w:rPr>
          <w:color w:val="000000"/>
          <w:lang w:eastAsia="lv-LV"/>
        </w:rPr>
      </w:pPr>
      <w:r>
        <w:rPr>
          <w:color w:val="000000"/>
          <w:lang w:eastAsia="lv-LV"/>
        </w:rPr>
        <w:tab/>
        <w:t xml:space="preserve">- </w:t>
      </w:r>
      <w:r w:rsidRPr="0088693E">
        <w:rPr>
          <w:color w:val="000000"/>
          <w:lang w:eastAsia="lv-LV"/>
        </w:rPr>
        <w:t xml:space="preserve">palielināts finansējums, kas „seko” skolēnam pedagogu darba samaksai; </w:t>
      </w:r>
    </w:p>
    <w:p w:rsidR="006D3939" w:rsidRPr="0088693E" w:rsidRDefault="00AF6907" w:rsidP="006D3939">
      <w:pPr>
        <w:spacing w:after="0"/>
        <w:ind w:firstLine="0"/>
        <w:rPr>
          <w:color w:val="000000"/>
          <w:lang w:eastAsia="lv-LV"/>
        </w:rPr>
      </w:pPr>
      <w:r>
        <w:rPr>
          <w:color w:val="000000"/>
          <w:lang w:eastAsia="lv-LV"/>
        </w:rPr>
        <w:tab/>
        <w:t xml:space="preserve">- </w:t>
      </w:r>
      <w:r w:rsidR="006D3939" w:rsidRPr="0088693E">
        <w:rPr>
          <w:color w:val="000000"/>
          <w:lang w:eastAsia="lv-LV"/>
        </w:rPr>
        <w:t xml:space="preserve">tajās administratīvajās teritorijās, kurās skolēnu skaits vispārizglītojošās dienas skolās ir vienāds vai mazāks par 0,5 skolēniem uz 1 kvadrātkilometru, finansējuma aprēķināšanai tiek piemērots skolēnu blīvuma koeficients 1,3; </w:t>
      </w:r>
    </w:p>
    <w:p w:rsidR="006D3939" w:rsidRPr="0088693E" w:rsidRDefault="006D3939" w:rsidP="006D3939">
      <w:pPr>
        <w:spacing w:after="0"/>
        <w:ind w:firstLine="0"/>
        <w:rPr>
          <w:color w:val="000000"/>
          <w:lang w:eastAsia="lv-LV"/>
        </w:rPr>
      </w:pPr>
      <w:r>
        <w:rPr>
          <w:color w:val="000000"/>
          <w:lang w:eastAsia="lv-LV"/>
        </w:rPr>
        <w:lastRenderedPageBreak/>
        <w:tab/>
        <w:t xml:space="preserve">- </w:t>
      </w:r>
      <w:r w:rsidRPr="0088693E">
        <w:rPr>
          <w:color w:val="000000"/>
          <w:lang w:eastAsia="lv-LV"/>
        </w:rPr>
        <w:t xml:space="preserve">no 1,47 līdz 1,6 palielināts koeficients finansējuma aprēķināšanai speciālajās skolās, vispārējās izglītības iestādēs integrētiem bērniem ar speciālajām vajadzībām un bērniem ar speciālām vajadzībām vispārējās izglītības iestāžu speciālajās klasēs vai grupās; </w:t>
      </w:r>
    </w:p>
    <w:p w:rsidR="006D3939" w:rsidRPr="006D3939" w:rsidRDefault="006D3939" w:rsidP="006D3939">
      <w:pPr>
        <w:spacing w:after="0"/>
        <w:ind w:firstLine="0"/>
        <w:rPr>
          <w:color w:val="000000"/>
          <w:lang w:eastAsia="lv-LV"/>
        </w:rPr>
      </w:pPr>
      <w:r>
        <w:rPr>
          <w:color w:val="000000"/>
          <w:lang w:eastAsia="lv-LV"/>
        </w:rPr>
        <w:tab/>
        <w:t xml:space="preserve">- </w:t>
      </w:r>
      <w:r w:rsidRPr="0088693E">
        <w:rPr>
          <w:color w:val="000000"/>
          <w:lang w:eastAsia="lv-LV"/>
        </w:rPr>
        <w:t>precizēti noteikumi par papildu finansējuma piešķiršanu programmām padziļinātai mācību priekšmeta mācīšanai.</w:t>
      </w:r>
    </w:p>
    <w:p w:rsidR="00F80333" w:rsidRPr="00F80333" w:rsidRDefault="00F80333" w:rsidP="006D3939">
      <w:pPr>
        <w:spacing w:before="120" w:after="0"/>
      </w:pPr>
      <w:r w:rsidRPr="00F80333">
        <w:t>1.tabulā apkopotas izmaiņas izglītības iestāžu skaitā, skolēnu un skolotāju skaitā, kā arī atbilstošais finansējums pēdējos gados. Vispārējā izglītībā finansēšanas principa „nauda seko skolēnam” ieviešanas un kopējā finansējuma strauja samazinājuma rezultātā 2009./2010.mācību gadā ievērojami samazinājās to skolu skaits, kurās mācījās no 30 līdz 70 skolēniem, kā rezultātā pieauga vidējais klašu piepildījums. Skolu skaits 2010./2011.m.g. veido 87% no skolu skaita 2007./2008.m.g. Skolu skaita samazinājums atbilst skolēnu skaita samazinājumam (86% pret 2007./2008.m.g.). Skolotāju skaits atbilstoši ir samazinājies par 10%.</w:t>
      </w:r>
    </w:p>
    <w:p w:rsidR="00F80333" w:rsidRDefault="00F80333" w:rsidP="00061BD1">
      <w:pPr>
        <w:spacing w:after="0"/>
        <w:jc w:val="right"/>
      </w:pPr>
      <w:r w:rsidRPr="00F80333">
        <w:t>1.tabula</w:t>
      </w:r>
    </w:p>
    <w:tbl>
      <w:tblPr>
        <w:tblStyle w:val="TableGrid"/>
        <w:tblW w:w="5000" w:type="pct"/>
        <w:tblLook w:val="04A0"/>
      </w:tblPr>
      <w:tblGrid>
        <w:gridCol w:w="2871"/>
        <w:gridCol w:w="1605"/>
        <w:gridCol w:w="1605"/>
        <w:gridCol w:w="1605"/>
        <w:gridCol w:w="1601"/>
      </w:tblGrid>
      <w:tr w:rsidR="000E5117" w:rsidTr="000E5117">
        <w:tc>
          <w:tcPr>
            <w:tcW w:w="1546" w:type="pct"/>
          </w:tcPr>
          <w:p w:rsidR="000E5117" w:rsidRDefault="000E5117" w:rsidP="000E5117">
            <w:pPr>
              <w:spacing w:after="0"/>
              <w:ind w:firstLine="0"/>
              <w:jc w:val="left"/>
            </w:pPr>
          </w:p>
        </w:tc>
        <w:tc>
          <w:tcPr>
            <w:tcW w:w="864" w:type="pct"/>
          </w:tcPr>
          <w:p w:rsidR="000E5117" w:rsidRDefault="000E5117" w:rsidP="000E5117">
            <w:pPr>
              <w:spacing w:after="0"/>
              <w:ind w:firstLine="0"/>
              <w:jc w:val="center"/>
            </w:pPr>
            <w:r>
              <w:t>2007./2008.</w:t>
            </w:r>
          </w:p>
        </w:tc>
        <w:tc>
          <w:tcPr>
            <w:tcW w:w="864" w:type="pct"/>
          </w:tcPr>
          <w:p w:rsidR="000E5117" w:rsidRDefault="000E5117" w:rsidP="000E5117">
            <w:pPr>
              <w:spacing w:after="0"/>
              <w:ind w:firstLine="0"/>
              <w:jc w:val="center"/>
            </w:pPr>
            <w:r>
              <w:t>2008./2009.</w:t>
            </w:r>
          </w:p>
        </w:tc>
        <w:tc>
          <w:tcPr>
            <w:tcW w:w="864" w:type="pct"/>
          </w:tcPr>
          <w:p w:rsidR="000E5117" w:rsidRDefault="000E5117" w:rsidP="000E5117">
            <w:pPr>
              <w:spacing w:after="0"/>
              <w:ind w:firstLine="0"/>
              <w:jc w:val="center"/>
            </w:pPr>
            <w:r>
              <w:t>2009./2010.</w:t>
            </w:r>
          </w:p>
        </w:tc>
        <w:tc>
          <w:tcPr>
            <w:tcW w:w="864" w:type="pct"/>
          </w:tcPr>
          <w:p w:rsidR="000E5117" w:rsidRDefault="000E5117" w:rsidP="000E5117">
            <w:pPr>
              <w:spacing w:after="0"/>
              <w:ind w:firstLine="0"/>
              <w:jc w:val="center"/>
            </w:pPr>
            <w:r>
              <w:t>2010./2011.</w:t>
            </w:r>
          </w:p>
        </w:tc>
      </w:tr>
      <w:tr w:rsidR="000E5117" w:rsidTr="000E5117">
        <w:tc>
          <w:tcPr>
            <w:tcW w:w="1546" w:type="pct"/>
          </w:tcPr>
          <w:p w:rsidR="000E5117" w:rsidRDefault="000E5117" w:rsidP="000E5117">
            <w:pPr>
              <w:spacing w:after="0"/>
              <w:ind w:firstLine="0"/>
              <w:jc w:val="left"/>
            </w:pPr>
            <w:r>
              <w:t>Skolu skaits</w:t>
            </w:r>
          </w:p>
        </w:tc>
        <w:tc>
          <w:tcPr>
            <w:tcW w:w="864" w:type="pct"/>
          </w:tcPr>
          <w:p w:rsidR="000E5117" w:rsidRDefault="000E5117" w:rsidP="000E5117">
            <w:pPr>
              <w:spacing w:after="0"/>
              <w:ind w:firstLine="0"/>
              <w:jc w:val="center"/>
            </w:pPr>
            <w:r>
              <w:t>958</w:t>
            </w:r>
          </w:p>
        </w:tc>
        <w:tc>
          <w:tcPr>
            <w:tcW w:w="864" w:type="pct"/>
          </w:tcPr>
          <w:p w:rsidR="000E5117" w:rsidRDefault="000E5117" w:rsidP="000E5117">
            <w:pPr>
              <w:spacing w:after="0"/>
              <w:ind w:firstLine="0"/>
              <w:jc w:val="center"/>
            </w:pPr>
            <w:r>
              <w:t>948</w:t>
            </w:r>
          </w:p>
        </w:tc>
        <w:tc>
          <w:tcPr>
            <w:tcW w:w="864" w:type="pct"/>
          </w:tcPr>
          <w:p w:rsidR="000E5117" w:rsidRDefault="000E5117" w:rsidP="000E5117">
            <w:pPr>
              <w:spacing w:after="0"/>
              <w:ind w:firstLine="0"/>
              <w:jc w:val="center"/>
            </w:pPr>
            <w:r>
              <w:t>846</w:t>
            </w:r>
          </w:p>
        </w:tc>
        <w:tc>
          <w:tcPr>
            <w:tcW w:w="864" w:type="pct"/>
          </w:tcPr>
          <w:p w:rsidR="000E5117" w:rsidRDefault="000E5117" w:rsidP="000E5117">
            <w:pPr>
              <w:spacing w:after="0"/>
              <w:ind w:firstLine="0"/>
              <w:jc w:val="center"/>
            </w:pPr>
            <w:r>
              <w:t>830</w:t>
            </w:r>
          </w:p>
        </w:tc>
      </w:tr>
      <w:tr w:rsidR="000E5117" w:rsidTr="000E5117">
        <w:tc>
          <w:tcPr>
            <w:tcW w:w="1546" w:type="pct"/>
          </w:tcPr>
          <w:p w:rsidR="000E5117" w:rsidRDefault="000E5117" w:rsidP="000E5117">
            <w:pPr>
              <w:spacing w:after="0"/>
              <w:ind w:firstLine="0"/>
              <w:jc w:val="left"/>
            </w:pPr>
            <w:r>
              <w:t>Skolēnu skaits</w:t>
            </w:r>
          </w:p>
        </w:tc>
        <w:tc>
          <w:tcPr>
            <w:tcW w:w="864" w:type="pct"/>
          </w:tcPr>
          <w:p w:rsidR="000E5117" w:rsidRDefault="000E5117" w:rsidP="000E5117">
            <w:pPr>
              <w:spacing w:after="0"/>
              <w:ind w:firstLine="0"/>
              <w:jc w:val="center"/>
            </w:pPr>
            <w:r>
              <w:t>250941</w:t>
            </w:r>
          </w:p>
        </w:tc>
        <w:tc>
          <w:tcPr>
            <w:tcW w:w="864" w:type="pct"/>
          </w:tcPr>
          <w:p w:rsidR="000E5117" w:rsidRDefault="000E5117" w:rsidP="000E5117">
            <w:pPr>
              <w:spacing w:after="0"/>
              <w:ind w:firstLine="0"/>
              <w:jc w:val="center"/>
            </w:pPr>
            <w:r>
              <w:t>236223</w:t>
            </w:r>
          </w:p>
        </w:tc>
        <w:tc>
          <w:tcPr>
            <w:tcW w:w="864" w:type="pct"/>
          </w:tcPr>
          <w:p w:rsidR="000E5117" w:rsidRDefault="000E5117" w:rsidP="000E5117">
            <w:pPr>
              <w:spacing w:after="0"/>
              <w:ind w:firstLine="0"/>
              <w:jc w:val="center"/>
            </w:pPr>
            <w:r>
              <w:t>226034</w:t>
            </w:r>
          </w:p>
        </w:tc>
        <w:tc>
          <w:tcPr>
            <w:tcW w:w="864" w:type="pct"/>
          </w:tcPr>
          <w:p w:rsidR="000E5117" w:rsidRDefault="000E5117" w:rsidP="000E5117">
            <w:pPr>
              <w:spacing w:after="0"/>
              <w:ind w:firstLine="0"/>
              <w:jc w:val="center"/>
            </w:pPr>
            <w:r>
              <w:t>216307</w:t>
            </w:r>
          </w:p>
        </w:tc>
      </w:tr>
      <w:tr w:rsidR="000E5117" w:rsidTr="000E5117">
        <w:tc>
          <w:tcPr>
            <w:tcW w:w="1546" w:type="pct"/>
          </w:tcPr>
          <w:p w:rsidR="000E5117" w:rsidRDefault="000E5117" w:rsidP="000E5117">
            <w:pPr>
              <w:spacing w:after="0"/>
              <w:ind w:firstLine="0"/>
              <w:jc w:val="left"/>
            </w:pPr>
            <w:r>
              <w:t>Skolotāju skaits</w:t>
            </w:r>
          </w:p>
        </w:tc>
        <w:tc>
          <w:tcPr>
            <w:tcW w:w="864" w:type="pct"/>
          </w:tcPr>
          <w:p w:rsidR="000E5117" w:rsidRDefault="000E5117" w:rsidP="000E5117">
            <w:pPr>
              <w:spacing w:after="0"/>
              <w:ind w:firstLine="0"/>
              <w:jc w:val="center"/>
            </w:pPr>
            <w:r>
              <w:t>25567</w:t>
            </w:r>
          </w:p>
        </w:tc>
        <w:tc>
          <w:tcPr>
            <w:tcW w:w="864" w:type="pct"/>
          </w:tcPr>
          <w:p w:rsidR="000E5117" w:rsidRDefault="000E5117" w:rsidP="000E5117">
            <w:pPr>
              <w:spacing w:after="0"/>
              <w:ind w:firstLine="0"/>
              <w:jc w:val="center"/>
            </w:pPr>
            <w:r>
              <w:t>25751</w:t>
            </w:r>
          </w:p>
        </w:tc>
        <w:tc>
          <w:tcPr>
            <w:tcW w:w="864" w:type="pct"/>
          </w:tcPr>
          <w:p w:rsidR="000E5117" w:rsidRDefault="000E5117" w:rsidP="000E5117">
            <w:pPr>
              <w:spacing w:after="0"/>
              <w:ind w:firstLine="0"/>
              <w:jc w:val="center"/>
            </w:pPr>
            <w:r>
              <w:t>22629</w:t>
            </w:r>
          </w:p>
        </w:tc>
        <w:tc>
          <w:tcPr>
            <w:tcW w:w="864" w:type="pct"/>
          </w:tcPr>
          <w:p w:rsidR="000E5117" w:rsidRDefault="000E5117" w:rsidP="000E5117">
            <w:pPr>
              <w:spacing w:after="0"/>
              <w:ind w:firstLine="0"/>
              <w:jc w:val="center"/>
            </w:pPr>
            <w:r>
              <w:t>23108</w:t>
            </w:r>
          </w:p>
        </w:tc>
      </w:tr>
      <w:tr w:rsidR="000E5117" w:rsidTr="000E5117">
        <w:tc>
          <w:tcPr>
            <w:tcW w:w="5000" w:type="pct"/>
            <w:gridSpan w:val="5"/>
          </w:tcPr>
          <w:p w:rsidR="000E5117" w:rsidRPr="000E5117" w:rsidRDefault="000E5117" w:rsidP="000E5117">
            <w:pPr>
              <w:spacing w:after="0"/>
              <w:ind w:firstLine="0"/>
              <w:jc w:val="left"/>
            </w:pPr>
            <w:r w:rsidRPr="000E5117">
              <w:rPr>
                <w:bCs/>
                <w:color w:val="000000"/>
              </w:rPr>
              <w:t xml:space="preserve">Finansējums valsts un pašvaldību dienas skolās, </w:t>
            </w:r>
            <w:proofErr w:type="spellStart"/>
            <w:r w:rsidRPr="000E5117">
              <w:rPr>
                <w:bCs/>
                <w:color w:val="000000"/>
              </w:rPr>
              <w:t>milj.Ls</w:t>
            </w:r>
            <w:proofErr w:type="spellEnd"/>
          </w:p>
        </w:tc>
      </w:tr>
      <w:tr w:rsidR="000E5117" w:rsidTr="000E5117">
        <w:tc>
          <w:tcPr>
            <w:tcW w:w="1546" w:type="pct"/>
          </w:tcPr>
          <w:p w:rsidR="000E5117" w:rsidRDefault="000E5117" w:rsidP="000E5117">
            <w:pPr>
              <w:spacing w:after="0"/>
              <w:ind w:firstLine="0"/>
              <w:jc w:val="left"/>
            </w:pPr>
          </w:p>
        </w:tc>
        <w:tc>
          <w:tcPr>
            <w:tcW w:w="864" w:type="pct"/>
          </w:tcPr>
          <w:p w:rsidR="000E5117" w:rsidRDefault="000E5117" w:rsidP="000E5117">
            <w:pPr>
              <w:spacing w:after="0"/>
              <w:ind w:firstLine="0"/>
              <w:jc w:val="center"/>
            </w:pPr>
            <w:r>
              <w:t>2007.</w:t>
            </w:r>
          </w:p>
        </w:tc>
        <w:tc>
          <w:tcPr>
            <w:tcW w:w="864" w:type="pct"/>
          </w:tcPr>
          <w:p w:rsidR="000E5117" w:rsidRDefault="000E5117" w:rsidP="000E5117">
            <w:pPr>
              <w:spacing w:after="0"/>
              <w:ind w:firstLine="0"/>
              <w:jc w:val="center"/>
            </w:pPr>
            <w:r>
              <w:t>2008.</w:t>
            </w:r>
          </w:p>
        </w:tc>
        <w:tc>
          <w:tcPr>
            <w:tcW w:w="864" w:type="pct"/>
          </w:tcPr>
          <w:p w:rsidR="000E5117" w:rsidRDefault="000E5117" w:rsidP="000E5117">
            <w:pPr>
              <w:spacing w:after="0"/>
              <w:ind w:firstLine="0"/>
              <w:jc w:val="center"/>
            </w:pPr>
            <w:r>
              <w:t>2009.</w:t>
            </w:r>
          </w:p>
        </w:tc>
        <w:tc>
          <w:tcPr>
            <w:tcW w:w="864" w:type="pct"/>
          </w:tcPr>
          <w:p w:rsidR="000E5117" w:rsidRDefault="000E5117" w:rsidP="000E5117">
            <w:pPr>
              <w:spacing w:after="0"/>
              <w:ind w:firstLine="0"/>
              <w:jc w:val="center"/>
            </w:pPr>
            <w:r>
              <w:t>2010.</w:t>
            </w:r>
          </w:p>
        </w:tc>
      </w:tr>
      <w:tr w:rsidR="000E5117" w:rsidTr="000E5117">
        <w:tc>
          <w:tcPr>
            <w:tcW w:w="1546" w:type="pct"/>
          </w:tcPr>
          <w:p w:rsidR="000E5117" w:rsidRDefault="000E5117" w:rsidP="000E5117">
            <w:pPr>
              <w:spacing w:after="0"/>
              <w:ind w:firstLine="0"/>
              <w:jc w:val="left"/>
            </w:pPr>
            <w:r>
              <w:t>No valsts budžeta</w:t>
            </w:r>
          </w:p>
        </w:tc>
        <w:tc>
          <w:tcPr>
            <w:tcW w:w="864" w:type="pct"/>
          </w:tcPr>
          <w:p w:rsidR="000E5117" w:rsidRDefault="000E5117" w:rsidP="000E5117">
            <w:pPr>
              <w:spacing w:after="0"/>
              <w:ind w:firstLine="0"/>
              <w:jc w:val="center"/>
            </w:pPr>
            <w:r>
              <w:t>218,4</w:t>
            </w:r>
          </w:p>
        </w:tc>
        <w:tc>
          <w:tcPr>
            <w:tcW w:w="864" w:type="pct"/>
          </w:tcPr>
          <w:p w:rsidR="000E5117" w:rsidRDefault="000E5117" w:rsidP="000E5117">
            <w:pPr>
              <w:spacing w:after="0"/>
              <w:ind w:firstLine="0"/>
              <w:jc w:val="center"/>
            </w:pPr>
            <w:r>
              <w:t>260,9</w:t>
            </w:r>
          </w:p>
        </w:tc>
        <w:tc>
          <w:tcPr>
            <w:tcW w:w="864" w:type="pct"/>
          </w:tcPr>
          <w:p w:rsidR="000E5117" w:rsidRDefault="000E5117" w:rsidP="000E5117">
            <w:pPr>
              <w:spacing w:after="0"/>
              <w:ind w:firstLine="0"/>
              <w:jc w:val="center"/>
            </w:pPr>
            <w:r>
              <w:t>227,3</w:t>
            </w:r>
          </w:p>
        </w:tc>
        <w:tc>
          <w:tcPr>
            <w:tcW w:w="864" w:type="pct"/>
          </w:tcPr>
          <w:p w:rsidR="000E5117" w:rsidRDefault="000E5117" w:rsidP="000E5117">
            <w:pPr>
              <w:spacing w:after="0"/>
              <w:ind w:firstLine="0"/>
              <w:jc w:val="center"/>
            </w:pPr>
            <w:r>
              <w:t>145,9</w:t>
            </w:r>
          </w:p>
        </w:tc>
      </w:tr>
      <w:tr w:rsidR="000E5117" w:rsidTr="000E5117">
        <w:tc>
          <w:tcPr>
            <w:tcW w:w="1546" w:type="pct"/>
          </w:tcPr>
          <w:p w:rsidR="000E5117" w:rsidRDefault="000E5117" w:rsidP="000E5117">
            <w:pPr>
              <w:spacing w:after="0"/>
              <w:ind w:firstLine="0"/>
              <w:jc w:val="left"/>
            </w:pPr>
            <w:r>
              <w:t>No pašvaldību budžeta</w:t>
            </w:r>
          </w:p>
        </w:tc>
        <w:tc>
          <w:tcPr>
            <w:tcW w:w="864" w:type="pct"/>
          </w:tcPr>
          <w:p w:rsidR="000E5117" w:rsidRDefault="000E5117" w:rsidP="000E5117">
            <w:pPr>
              <w:spacing w:after="0"/>
              <w:ind w:firstLine="0"/>
              <w:jc w:val="center"/>
            </w:pPr>
            <w:r>
              <w:t>121,8</w:t>
            </w:r>
          </w:p>
        </w:tc>
        <w:tc>
          <w:tcPr>
            <w:tcW w:w="864" w:type="pct"/>
          </w:tcPr>
          <w:p w:rsidR="000E5117" w:rsidRDefault="000E5117" w:rsidP="000E5117">
            <w:pPr>
              <w:spacing w:after="0"/>
              <w:ind w:firstLine="0"/>
              <w:jc w:val="center"/>
            </w:pPr>
            <w:r>
              <w:t>146,6</w:t>
            </w:r>
          </w:p>
        </w:tc>
        <w:tc>
          <w:tcPr>
            <w:tcW w:w="864" w:type="pct"/>
          </w:tcPr>
          <w:p w:rsidR="000E5117" w:rsidRDefault="000E5117" w:rsidP="000E5117">
            <w:pPr>
              <w:spacing w:after="0"/>
              <w:ind w:firstLine="0"/>
              <w:jc w:val="center"/>
            </w:pPr>
            <w:r>
              <w:t>113,5</w:t>
            </w:r>
          </w:p>
        </w:tc>
        <w:tc>
          <w:tcPr>
            <w:tcW w:w="864" w:type="pct"/>
          </w:tcPr>
          <w:p w:rsidR="000E5117" w:rsidRDefault="000E5117" w:rsidP="000E5117">
            <w:pPr>
              <w:spacing w:after="0"/>
              <w:ind w:firstLine="0"/>
              <w:jc w:val="center"/>
            </w:pPr>
          </w:p>
        </w:tc>
      </w:tr>
    </w:tbl>
    <w:p w:rsidR="00F80333" w:rsidRPr="00F80333" w:rsidRDefault="00F80333" w:rsidP="000E5117">
      <w:pPr>
        <w:spacing w:before="120"/>
        <w:rPr>
          <w:rFonts w:eastAsia="Calibri"/>
          <w:bCs/>
        </w:rPr>
      </w:pPr>
      <w:r w:rsidRPr="00F80333">
        <w:rPr>
          <w:rFonts w:eastAsia="Calibri"/>
          <w:bCs/>
        </w:rPr>
        <w:t>Statistikas dati rāda, ka pamatizglītības ieguves rezultāti pēdējos gados ir lēnām, bet nemitīgi uzlabojušies. Ja 2005./2006.mācību gadā pamatizglītību sekmīgi ieguva 88,9% no 9.klases skolēniem, tad iepriekšējo, 2009./2010.mācību gadu jau 94,9% 9.klases skolēnu sekmīgi ieguva apliecību par pamatizglītību. Nelielais kritums salīdzinājumā ar 2008./2009.mācību gadu varētu būt skaidrojams ar ļoti saspringto situāciju valstī un arī izglītības sistēmā 2009./2010.mācību gada pirmajā semestrī.</w:t>
      </w:r>
    </w:p>
    <w:p w:rsidR="00F80333" w:rsidRPr="00F80333" w:rsidRDefault="00F80333" w:rsidP="00061BD1">
      <w:pPr>
        <w:spacing w:after="0"/>
        <w:jc w:val="center"/>
        <w:rPr>
          <w:rFonts w:eastAsia="Calibri"/>
          <w:bCs/>
        </w:rPr>
      </w:pPr>
      <w:r w:rsidRPr="00F80333">
        <w:rPr>
          <w:rFonts w:eastAsia="Calibri"/>
          <w:noProof/>
          <w:lang w:eastAsia="lv-LV"/>
        </w:rPr>
        <w:lastRenderedPageBreak/>
        <w:drawing>
          <wp:inline distT="0" distB="0" distL="0" distR="0">
            <wp:extent cx="4545634" cy="2834707"/>
            <wp:effectExtent l="19050" t="0" r="7316"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46000" cy="2834935"/>
                    </a:xfrm>
                    <a:prstGeom prst="rect">
                      <a:avLst/>
                    </a:prstGeom>
                    <a:noFill/>
                    <a:ln w="9525">
                      <a:noFill/>
                      <a:miter lim="800000"/>
                      <a:headEnd/>
                      <a:tailEnd/>
                    </a:ln>
                  </pic:spPr>
                </pic:pic>
              </a:graphicData>
            </a:graphic>
          </wp:inline>
        </w:drawing>
      </w:r>
    </w:p>
    <w:p w:rsidR="00F80333" w:rsidRPr="00F80333" w:rsidRDefault="00F80333" w:rsidP="00061BD1">
      <w:pPr>
        <w:spacing w:after="0"/>
        <w:rPr>
          <w:rFonts w:eastAsia="Calibri"/>
          <w:bCs/>
        </w:rPr>
      </w:pPr>
    </w:p>
    <w:p w:rsidR="00F80333" w:rsidRPr="00F80333" w:rsidRDefault="00F80333" w:rsidP="00061BD1">
      <w:pPr>
        <w:spacing w:after="0"/>
        <w:rPr>
          <w:rFonts w:eastAsia="Calibri"/>
          <w:bCs/>
        </w:rPr>
      </w:pPr>
      <w:r w:rsidRPr="00F80333">
        <w:rPr>
          <w:rFonts w:eastAsia="Calibri"/>
          <w:bCs/>
        </w:rPr>
        <w:t>Arī vispārējās vidējās izglītības ieguves rezultāti uzlabojas. Atestātu par sekmīgi iegūtu vispārējo vidējo izglītību vispārizglītojošās dienas skolās iegūst 97,1% no 12.klašu skolēniem, bet 90,6% ir jaunieši, kuri iestājas 10.klasē, turpina mācīties trīs gadus un iegūst atestātu par vidējo izglītību. Šo rādītāju noteikti vēl jāuzlabo atbilstoši ES kopējam mērķim par iedzīvotāju īpatsvaru 18 – 24 gadu vecumā, kuri ir ieguvuši vidējo izglītību vai turpina mācīties.</w:t>
      </w:r>
    </w:p>
    <w:p w:rsidR="00F80333" w:rsidRPr="00F80333" w:rsidRDefault="00F80333" w:rsidP="00061BD1">
      <w:pPr>
        <w:spacing w:after="0"/>
        <w:jc w:val="center"/>
        <w:rPr>
          <w:rFonts w:eastAsia="Calibri"/>
          <w:bCs/>
        </w:rPr>
      </w:pPr>
    </w:p>
    <w:p w:rsidR="00F80333" w:rsidRPr="00F80333" w:rsidRDefault="00F80333" w:rsidP="00061BD1">
      <w:pPr>
        <w:spacing w:after="0"/>
        <w:jc w:val="center"/>
        <w:rPr>
          <w:rFonts w:eastAsia="Calibri"/>
          <w:bCs/>
        </w:rPr>
      </w:pPr>
      <w:r w:rsidRPr="00F80333">
        <w:rPr>
          <w:rFonts w:eastAsia="Calibri"/>
          <w:noProof/>
          <w:lang w:eastAsia="lv-LV"/>
        </w:rPr>
        <w:drawing>
          <wp:inline distT="0" distB="0" distL="0" distR="0">
            <wp:extent cx="4337685" cy="3160395"/>
            <wp:effectExtent l="19050" t="0" r="571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337685" cy="3160395"/>
                    </a:xfrm>
                    <a:prstGeom prst="rect">
                      <a:avLst/>
                    </a:prstGeom>
                    <a:noFill/>
                    <a:ln w="9525">
                      <a:noFill/>
                      <a:miter lim="800000"/>
                      <a:headEnd/>
                      <a:tailEnd/>
                    </a:ln>
                  </pic:spPr>
                </pic:pic>
              </a:graphicData>
            </a:graphic>
          </wp:inline>
        </w:drawing>
      </w:r>
    </w:p>
    <w:p w:rsidR="00F80333" w:rsidRPr="00F80333" w:rsidRDefault="00F80333" w:rsidP="000E5117">
      <w:pPr>
        <w:spacing w:before="120" w:after="0"/>
        <w:rPr>
          <w:rFonts w:eastAsia="Calibri"/>
          <w:bCs/>
        </w:rPr>
      </w:pPr>
      <w:r w:rsidRPr="00F80333">
        <w:rPr>
          <w:rFonts w:eastAsia="Calibri"/>
          <w:bCs/>
        </w:rPr>
        <w:t xml:space="preserve">Vakara (maiņu) skolās, kurās mācās galvenokārt pieauguši izglītojamie, kuriem bieži jau ir izveidotas ģimenes, ir bērni un kuri ir iesaistījušies darba tirgū, bet viņi tomēr paralēli mācās, izglītības ieguves rezultāti nav tik labi. Tomēr katru gadu vairāk nekā 2700 izglītojamo iegūst atestātu par vispārējo </w:t>
      </w:r>
      <w:r w:rsidRPr="00F80333">
        <w:rPr>
          <w:rFonts w:eastAsia="Calibri"/>
          <w:bCs/>
        </w:rPr>
        <w:lastRenderedPageBreak/>
        <w:t>vidējo izglītību, kas atbilst ES kopējam mērķim paaugstināt 18 līdz 24 gadīgo iedzīvotāju īpatsvaru, kuri ir ieguvuši vidējo izglītību vai turpina mācīties.</w:t>
      </w:r>
    </w:p>
    <w:p w:rsidR="00F80333" w:rsidRPr="00F80333" w:rsidRDefault="00F80333" w:rsidP="00061BD1">
      <w:pPr>
        <w:spacing w:after="0"/>
        <w:rPr>
          <w:color w:val="000000"/>
          <w:lang w:eastAsia="lv-LV"/>
        </w:rPr>
      </w:pPr>
      <w:r w:rsidRPr="00F80333">
        <w:rPr>
          <w:rFonts w:eastAsia="Calibri"/>
          <w:bCs/>
        </w:rPr>
        <w:t>Otrgadnieku skaits mācību gada beigās no 2,6% skolēnu 2006./2007.mācību gadā samazinājās līdz 2,1% 2008./2009.mācību gadā, bet atkal nedaudz pieauga 2009./2010.m.g. beigās (līdz 2,5% skolēnu). Tomēr j</w:t>
      </w:r>
      <w:r w:rsidRPr="00F80333">
        <w:rPr>
          <w:color w:val="000000"/>
          <w:lang w:eastAsia="lv-LV"/>
        </w:rPr>
        <w:t>āatzīmē, ka ceturtajā daļā (25%) skolu vispār nav otrgadnieku un vēl 15% skolu ir bijis tikai viens skolēns, kurš atstāts uz otru gadu tajā pašā klasē. 2010./2011.mācību gada sākumā 97,5% skolēnu bija pārcelti uz nākamo klasi.</w:t>
      </w:r>
    </w:p>
    <w:p w:rsidR="00F80333" w:rsidRPr="00F80333" w:rsidRDefault="00F80333" w:rsidP="00061BD1">
      <w:pPr>
        <w:spacing w:after="0"/>
      </w:pPr>
      <w:r w:rsidRPr="00F80333">
        <w:t>Saskaņā ar 2008.gada 15.decembrī noslēgto vienošanos starp Valsts izglītības attīstības aģentūru un Valsts izglītības satura centru no līdz 2011.gada 31.augustam, turpinot iesākto darbu, tiek īstenots Eiropas Sociālā fonda projekts "Dabaszinātnes un matemātika". Projekta ietvaros 2009.gadā tika pabeigta 7.-9. klases fizikas, ķīmijas, bioloģijas un matemātikas programmu paraugu projektu sagatavošana. Notiek darbs pie skolotāju mācību metodisko atbalsta materiālu izstrādes. Ikvienam 7.–9.klašu skolēnam jābūt iespējai apgūt dabaszinātnes un matemātiku ieinteresēti, saistībā ar reālo dzīvi, ar mūsdienīgām mācību metodēm, izmantojot elektroniskos mācību līdzekļus un e-vides sniegtās iespējas, pie tam organizējot daudzpusīgu sadarbību ar augstskolām, zinātnes iestādēm un uzņēmējiem. Tāpat arī ikvienam skolotājam jākļūst par atbalstu un konsultantu, lai skolēni ar interesi un laikmetam atbilstoši mācītos ķīmiju, bioloģiju, fiziku un matemātiku.</w:t>
      </w:r>
    </w:p>
    <w:p w:rsidR="000E5117" w:rsidRDefault="000E5117" w:rsidP="00061BD1">
      <w:pPr>
        <w:autoSpaceDE w:val="0"/>
        <w:autoSpaceDN w:val="0"/>
        <w:adjustRightInd w:val="0"/>
        <w:spacing w:after="0"/>
        <w:jc w:val="center"/>
        <w:rPr>
          <w:b/>
          <w:color w:val="000000"/>
          <w:lang w:eastAsia="lv-LV"/>
        </w:rPr>
      </w:pPr>
    </w:p>
    <w:p w:rsidR="00F80333" w:rsidRPr="00BA56BE" w:rsidRDefault="00A1042B" w:rsidP="00BA56BE">
      <w:pPr>
        <w:pStyle w:val="Heading2"/>
        <w:spacing w:before="0"/>
        <w:jc w:val="center"/>
        <w:rPr>
          <w:rFonts w:ascii="Times New Roman" w:hAnsi="Times New Roman" w:cs="Times New Roman"/>
          <w:color w:val="auto"/>
          <w:sz w:val="28"/>
          <w:szCs w:val="28"/>
          <w:lang w:eastAsia="lv-LV"/>
        </w:rPr>
      </w:pPr>
      <w:r w:rsidRPr="00BA56BE">
        <w:rPr>
          <w:rFonts w:ascii="Times New Roman" w:hAnsi="Times New Roman" w:cs="Times New Roman"/>
          <w:color w:val="auto"/>
          <w:sz w:val="28"/>
          <w:szCs w:val="28"/>
          <w:lang w:eastAsia="lv-LV"/>
        </w:rPr>
        <w:t xml:space="preserve">1.2. </w:t>
      </w:r>
      <w:r w:rsidR="00F80333" w:rsidRPr="00BA56BE">
        <w:rPr>
          <w:rFonts w:ascii="Times New Roman" w:hAnsi="Times New Roman" w:cs="Times New Roman"/>
          <w:color w:val="auto"/>
          <w:sz w:val="28"/>
          <w:szCs w:val="28"/>
          <w:lang w:eastAsia="lv-LV"/>
        </w:rPr>
        <w:t>Profesionālā izglītība</w:t>
      </w:r>
    </w:p>
    <w:p w:rsidR="00F80333" w:rsidRPr="00F80333" w:rsidRDefault="00F80333" w:rsidP="00061BD1">
      <w:pPr>
        <w:autoSpaceDE w:val="0"/>
        <w:autoSpaceDN w:val="0"/>
        <w:adjustRightInd w:val="0"/>
        <w:spacing w:after="0"/>
        <w:jc w:val="center"/>
        <w:rPr>
          <w:b/>
          <w:color w:val="000000"/>
          <w:lang w:eastAsia="lv-LV"/>
        </w:rPr>
      </w:pPr>
    </w:p>
    <w:p w:rsidR="00F80333" w:rsidRPr="00F80333" w:rsidRDefault="00F80333" w:rsidP="00061BD1">
      <w:pPr>
        <w:autoSpaceDE w:val="0"/>
        <w:autoSpaceDN w:val="0"/>
        <w:adjustRightInd w:val="0"/>
        <w:spacing w:after="0"/>
        <w:rPr>
          <w:bCs/>
          <w:color w:val="000000"/>
          <w:lang w:eastAsia="lv-LV"/>
        </w:rPr>
      </w:pPr>
      <w:r w:rsidRPr="00F80333">
        <w:rPr>
          <w:bCs/>
          <w:color w:val="000000"/>
          <w:lang w:eastAsia="lv-LV"/>
        </w:rPr>
        <w:t xml:space="preserve">Lai veiktu profesionālās izglītības satura pārstrukturēšanu atbilstoši Eiropas kvalifikāciju </w:t>
      </w:r>
      <w:proofErr w:type="spellStart"/>
      <w:r w:rsidRPr="00F80333">
        <w:rPr>
          <w:bCs/>
          <w:color w:val="000000"/>
          <w:lang w:eastAsia="lv-LV"/>
        </w:rPr>
        <w:t>ietvarstruktūrai</w:t>
      </w:r>
      <w:proofErr w:type="spellEnd"/>
      <w:r w:rsidRPr="00F80333">
        <w:rPr>
          <w:bCs/>
          <w:color w:val="000000"/>
          <w:lang w:eastAsia="lv-LV"/>
        </w:rPr>
        <w:t xml:space="preserve"> un ieviešanai </w:t>
      </w:r>
      <w:proofErr w:type="spellStart"/>
      <w:r w:rsidRPr="00F80333">
        <w:rPr>
          <w:bCs/>
          <w:color w:val="000000"/>
          <w:lang w:eastAsia="lv-LV"/>
        </w:rPr>
        <w:t>mūžizglītības</w:t>
      </w:r>
      <w:proofErr w:type="spellEnd"/>
      <w:r w:rsidRPr="00F80333">
        <w:rPr>
          <w:bCs/>
          <w:color w:val="000000"/>
          <w:lang w:eastAsia="lv-LV"/>
        </w:rPr>
        <w:t xml:space="preserve"> kontekstā kā arī nodarbinātības veicināšanai, nodrošinot elastīgu izglītības pieejamību 2010./2011.mācību gadā ir </w:t>
      </w:r>
      <w:r w:rsidRPr="00F80333">
        <w:rPr>
          <w:color w:val="000000"/>
          <w:lang w:eastAsia="lv-LV"/>
        </w:rPr>
        <w:t xml:space="preserve">veikti grozījumi Ministru kabineta 2000.gada 27.jūnija noteikumos Nr.211 „Noteikumi par valsts profesionālās vidējās izglītības standartu un valsts arodizglītības standartu” (07.09.2010.noteikumi Nr.826), tiek plānots turpināt jaunu profesiju standartu izstrādi un aktualizāciju atbilstoši Ministru kabineta 2007.gada 27.februāra noteikumiem Nr.149 „Profesiju standartu izstrādes kārtība”, kā arī tiek plānota jaunu profesionālās izglītības programmu izstrāde un esošo izglītības programmu aktualizācija atbilstoši izmaiņām profesiju standartos, ņemot vērā profesionālās izglītības satura reformu. </w:t>
      </w:r>
    </w:p>
    <w:p w:rsidR="00F80333" w:rsidRPr="00F80333" w:rsidRDefault="00F80333" w:rsidP="00061BD1">
      <w:pPr>
        <w:autoSpaceDE w:val="0"/>
        <w:autoSpaceDN w:val="0"/>
        <w:adjustRightInd w:val="0"/>
        <w:spacing w:after="0"/>
        <w:rPr>
          <w:color w:val="000000"/>
          <w:lang w:eastAsia="lv-LV"/>
        </w:rPr>
      </w:pPr>
      <w:r w:rsidRPr="00F80333">
        <w:rPr>
          <w:color w:val="000000"/>
          <w:lang w:eastAsia="lv-LV"/>
        </w:rPr>
        <w:t xml:space="preserve">Lai noteiktu risinājumus pamata </w:t>
      </w:r>
      <w:proofErr w:type="spellStart"/>
      <w:r w:rsidRPr="00F80333">
        <w:rPr>
          <w:color w:val="000000"/>
          <w:lang w:eastAsia="lv-LV"/>
        </w:rPr>
        <w:t>problēmjautājumiem</w:t>
      </w:r>
      <w:proofErr w:type="spellEnd"/>
      <w:r w:rsidRPr="00F80333">
        <w:rPr>
          <w:color w:val="000000"/>
          <w:lang w:eastAsia="lv-LV"/>
        </w:rPr>
        <w:t xml:space="preserve"> profesionālās izglītības politikas īstenošanā un panāktu valsts un sociālo partneru vienošanos par attiecīgā </w:t>
      </w:r>
      <w:proofErr w:type="spellStart"/>
      <w:r w:rsidRPr="00F80333">
        <w:rPr>
          <w:color w:val="000000"/>
          <w:lang w:eastAsia="lv-LV"/>
        </w:rPr>
        <w:t>problēmjautājuma</w:t>
      </w:r>
      <w:proofErr w:type="spellEnd"/>
      <w:r w:rsidRPr="00F80333">
        <w:rPr>
          <w:color w:val="000000"/>
          <w:lang w:eastAsia="lv-LV"/>
        </w:rPr>
        <w:t xml:space="preserve"> risinājuma variantu pirms jauna Profesionālās izglītības likumprojekta izstrādes, 2009.gadā tika apstiprināta </w:t>
      </w:r>
      <w:r w:rsidRPr="00F80333">
        <w:rPr>
          <w:b/>
          <w:bCs/>
          <w:color w:val="000000"/>
          <w:lang w:eastAsia="lv-LV"/>
        </w:rPr>
        <w:t>koncepcija „Profesionālās izglītības pievilcības paaugstināšana un sociālo partneru līdzdalība profesionālās izglītības kvalitātes nodrošināšanā”</w:t>
      </w:r>
      <w:r w:rsidRPr="00F80333">
        <w:rPr>
          <w:color w:val="000000"/>
          <w:lang w:eastAsia="lv-LV"/>
        </w:rPr>
        <w:t xml:space="preserve">. Tajā ir iezīmēti </w:t>
      </w:r>
      <w:r w:rsidRPr="00F80333">
        <w:rPr>
          <w:color w:val="000000"/>
          <w:lang w:eastAsia="lv-LV"/>
        </w:rPr>
        <w:lastRenderedPageBreak/>
        <w:t>divi galvenie</w:t>
      </w:r>
      <w:r w:rsidRPr="00F80333">
        <w:rPr>
          <w:b/>
          <w:bCs/>
          <w:color w:val="000000"/>
          <w:lang w:eastAsia="lv-LV"/>
        </w:rPr>
        <w:t xml:space="preserve"> </w:t>
      </w:r>
      <w:proofErr w:type="spellStart"/>
      <w:r w:rsidRPr="00F80333">
        <w:rPr>
          <w:color w:val="000000"/>
          <w:lang w:eastAsia="lv-LV"/>
        </w:rPr>
        <w:t>problēmjautājumi</w:t>
      </w:r>
      <w:proofErr w:type="spellEnd"/>
      <w:r w:rsidRPr="00F80333">
        <w:rPr>
          <w:color w:val="000000"/>
          <w:lang w:eastAsia="lv-LV"/>
        </w:rPr>
        <w:t xml:space="preserve"> profesionālās izglītības sistēmā: profesionālās izglītības prestižs un atbilstība darba tirgus prasībām. Koncepcijā ir ietverti risinājumi </w:t>
      </w:r>
      <w:proofErr w:type="spellStart"/>
      <w:r w:rsidRPr="00F80333">
        <w:rPr>
          <w:color w:val="000000"/>
          <w:lang w:eastAsia="lv-LV"/>
        </w:rPr>
        <w:t>problēmjautājumiem</w:t>
      </w:r>
      <w:proofErr w:type="spellEnd"/>
      <w:r w:rsidRPr="00F80333">
        <w:rPr>
          <w:color w:val="000000"/>
          <w:lang w:eastAsia="lv-LV"/>
        </w:rPr>
        <w:t>, kas attiecas uz principiāli jauniem profesionālās izglītības attīstības virzieniem un kas rada būtiskas izmaiņas pastāvošajā profesionālās izglītības sistēmā – profesionālās kvalifikācijas moduļu ieviešanu, neformālā ceļā iegūtas izglītības atzīšanu, kredītpunktu sistēmas ieviešanu, profesionālo izglītības iestāžu diferenciāciju. Šī koncepcija paredz arī pilnveidot nacionālo kvalifikāciju sistēmu un noteikt jaunu profesijas standartu izstrādes sistēmu. Tā paredz jaunu</w:t>
      </w:r>
      <w:r w:rsidRPr="00F80333">
        <w:rPr>
          <w:b/>
          <w:bCs/>
          <w:color w:val="000000"/>
          <w:lang w:eastAsia="lv-LV"/>
        </w:rPr>
        <w:t xml:space="preserve"> </w:t>
      </w:r>
      <w:r w:rsidRPr="00F80333">
        <w:rPr>
          <w:color w:val="000000"/>
          <w:lang w:eastAsia="lv-LV"/>
        </w:rPr>
        <w:t>skatījumu uz profesionālo vidējo izglītību, iedalot to divās pakāpēs: pirmās pakāpes profesionālā vidējā izglītība (mācību ilgums 3 gadi) un otrās pakāpes profesionālā vidējā izglītība (mācību ilgums 1 līdz 2 gadi pēc pirmās pakāpes profesionālās vidējās izglītības ieguves).</w:t>
      </w:r>
    </w:p>
    <w:p w:rsidR="00F80333" w:rsidRPr="00F80333" w:rsidRDefault="00F80333" w:rsidP="00061BD1">
      <w:pPr>
        <w:autoSpaceDE w:val="0"/>
        <w:autoSpaceDN w:val="0"/>
        <w:adjustRightInd w:val="0"/>
        <w:spacing w:after="0"/>
        <w:rPr>
          <w:color w:val="000000"/>
          <w:lang w:eastAsia="lv-LV"/>
        </w:rPr>
      </w:pPr>
      <w:r w:rsidRPr="00F80333">
        <w:rPr>
          <w:color w:val="000000"/>
          <w:lang w:eastAsia="lv-LV"/>
        </w:rPr>
        <w:t xml:space="preserve">2010.gada 6.janvārī tika apstiprinātas </w:t>
      </w:r>
      <w:r w:rsidRPr="00F80333">
        <w:rPr>
          <w:b/>
          <w:bCs/>
          <w:color w:val="000000"/>
          <w:lang w:eastAsia="lv-LV"/>
        </w:rPr>
        <w:t>„Profesionālās izglītības iestāžu tīkla optimizācijas pamatnostādnes 2010.-2015.gadam”</w:t>
      </w:r>
      <w:r w:rsidRPr="00F80333">
        <w:rPr>
          <w:color w:val="000000"/>
          <w:lang w:eastAsia="lv-LV"/>
        </w:rPr>
        <w:t xml:space="preserve">, kuru mērķis ir nodrošināt turpmāku profesionālās izglītības sistēmas strukturālo reformu īstenošanu, optimizējot profesionālās izglītības iestāžu skaitu un izvietojumu reģionos, kā arī veicot to diferenciāciju, izveidot modernu, mūsdienu prasībām atbilstošu profesionālās izglītības materiāli tehnisko nodrošinājumu, sekmēt visu veidu resursu efektīvāku izmantošanu, paaugstinot profesionālās izglītības kvalitāti un pieejamību. </w:t>
      </w:r>
    </w:p>
    <w:p w:rsidR="00F80333" w:rsidRPr="00F80333" w:rsidRDefault="00F80333" w:rsidP="00061BD1">
      <w:pPr>
        <w:autoSpaceDE w:val="0"/>
        <w:autoSpaceDN w:val="0"/>
        <w:adjustRightInd w:val="0"/>
        <w:spacing w:after="0"/>
        <w:rPr>
          <w:color w:val="000000"/>
          <w:lang w:eastAsia="lv-LV"/>
        </w:rPr>
      </w:pPr>
      <w:r w:rsidRPr="00F80333">
        <w:rPr>
          <w:color w:val="000000"/>
          <w:lang w:eastAsia="lv-LV"/>
        </w:rPr>
        <w:t xml:space="preserve">Sakārtojot profesionālās izglītības iestāžu tīklu, ir paredzēts vienlaicīgi profesionālās izglītības iestādes optimizēt un diferencēt, veidojot: profesionālās izglītības kompetences centrus, profesionālās izglītības iestādes ar specializāciju, profesionālās izglītības iestāde bāzes pamatiemaņu apgūšanai. Profesionālās izglītības iestādes ar nelielu audzēkņu skaitu tiek piedāvāts pārņemt pašvaldībām, lai izveidotu integrētas izglītības iestādes, kurās tiek īstenotas dažādas vispārizglītojošās un profesionālās izglītības programmas, kā arī pieaugušo apmācība un </w:t>
      </w:r>
      <w:proofErr w:type="spellStart"/>
      <w:r w:rsidRPr="00F80333">
        <w:rPr>
          <w:color w:val="000000"/>
          <w:lang w:eastAsia="lv-LV"/>
        </w:rPr>
        <w:t>tālākizglītība</w:t>
      </w:r>
      <w:proofErr w:type="spellEnd"/>
      <w:r w:rsidRPr="00F80333">
        <w:rPr>
          <w:color w:val="000000"/>
          <w:lang w:eastAsia="lv-LV"/>
        </w:rPr>
        <w:t xml:space="preserve">. Tādējādi pašvaldībai ir iespēja ekonomiski izmantot finanšu resursus un veidot integrētu izglītības iestādi. Šādas izglītības iestādes izveidei tiek nodrošināts Eiropas Reģionālās attīstības fonda finansējums aktivitātes „Atbalsts vispārējās izglītības iestāžu tīkla optimizācijai” ietvaros. </w:t>
      </w:r>
    </w:p>
    <w:p w:rsidR="00F80333" w:rsidRPr="00F80333" w:rsidRDefault="00F80333" w:rsidP="00061BD1">
      <w:pPr>
        <w:autoSpaceDE w:val="0"/>
        <w:autoSpaceDN w:val="0"/>
        <w:adjustRightInd w:val="0"/>
        <w:spacing w:after="0"/>
        <w:rPr>
          <w:color w:val="000000"/>
          <w:lang w:eastAsia="lv-LV"/>
        </w:rPr>
      </w:pPr>
      <w:r w:rsidRPr="00F80333">
        <w:rPr>
          <w:color w:val="000000"/>
          <w:lang w:eastAsia="lv-LV"/>
        </w:rPr>
        <w:t>Lai nodrošinātu speciālistus tautsaimniecībai, līdz 2015.gadam plānots palielināt proporciju starp vispārizglītojošo skolu skolēniem un profesionālās izglītības iestāžu audzēkņiem 50/50.</w:t>
      </w:r>
    </w:p>
    <w:p w:rsidR="00F80333" w:rsidRPr="00F80333" w:rsidRDefault="00F80333" w:rsidP="00061BD1">
      <w:pPr>
        <w:autoSpaceDE w:val="0"/>
        <w:autoSpaceDN w:val="0"/>
        <w:adjustRightInd w:val="0"/>
        <w:spacing w:after="0"/>
        <w:rPr>
          <w:color w:val="000000"/>
          <w:lang w:eastAsia="lv-LV"/>
        </w:rPr>
      </w:pPr>
      <w:r w:rsidRPr="00F80333">
        <w:rPr>
          <w:color w:val="000000"/>
          <w:lang w:eastAsia="lv-LV"/>
        </w:rPr>
        <w:t>Lai nodrošinātu</w:t>
      </w:r>
      <w:r w:rsidRPr="00F80333">
        <w:rPr>
          <w:b/>
          <w:bCs/>
          <w:color w:val="000000"/>
          <w:lang w:eastAsia="lv-LV"/>
        </w:rPr>
        <w:t xml:space="preserve"> profesionālās izglītības un apmācības atbilstību darba tirgus prasībām</w:t>
      </w:r>
      <w:r w:rsidRPr="00F80333">
        <w:rPr>
          <w:color w:val="000000"/>
          <w:lang w:eastAsia="lv-LV"/>
        </w:rPr>
        <w:t xml:space="preserve">, sociālais dialogs ir neatņemama profesionālās izglītības procesa sastāvdaļa. Profesionālās izglītības process tiek veidots ciešā sadarbībā ar Latvijas Darba devēju konfederāciju un nozaru asociācijām, Latvijas Brīvo arodbiedrību savienību un nozaru arodbiedrībām, profesionālajām organizācijām un darba devējiem, kuri piedalās profesionālās izglītības satura izstrādē, veidojot profesiju standartus, iesaistoties profesionālās izglītības programmu izstrādē; </w:t>
      </w:r>
      <w:r w:rsidRPr="00F80333">
        <w:rPr>
          <w:color w:val="000000"/>
          <w:lang w:eastAsia="lv-LV"/>
        </w:rPr>
        <w:lastRenderedPageBreak/>
        <w:t xml:space="preserve">kvalitātes vērtēšanā, akreditējot profesionālās izglītības iestādes un profesionālās izglītības programmas, piešķirot profesionālo kvalifikāciju profesionālās kvalifikācijas eksāmenos; profesionālās izglītības audzēkņus nodrošināšanā ar kvalifikācijas prakses vietām; skolotāju un audzēkņu profesionālās meistarības attīstībā, organizējot profesionālās izglītības skolotāju </w:t>
      </w:r>
      <w:proofErr w:type="spellStart"/>
      <w:r w:rsidRPr="00F80333">
        <w:rPr>
          <w:color w:val="000000"/>
          <w:lang w:eastAsia="lv-LV"/>
        </w:rPr>
        <w:t>tālākizglītību</w:t>
      </w:r>
      <w:proofErr w:type="spellEnd"/>
      <w:r w:rsidRPr="00F80333">
        <w:rPr>
          <w:color w:val="000000"/>
          <w:lang w:eastAsia="lv-LV"/>
        </w:rPr>
        <w:t xml:space="preserve"> un profesionālo pilnveidi, atbalstot audzēkņu un profesionālās izglītības skolotāju profesionālās meistarības konkursus. </w:t>
      </w:r>
    </w:p>
    <w:p w:rsidR="00F80333" w:rsidRPr="00F80333" w:rsidRDefault="00F80333" w:rsidP="00061BD1">
      <w:pPr>
        <w:autoSpaceDE w:val="0"/>
        <w:autoSpaceDN w:val="0"/>
        <w:adjustRightInd w:val="0"/>
        <w:spacing w:after="0"/>
        <w:rPr>
          <w:color w:val="000000"/>
          <w:lang w:eastAsia="lv-LV"/>
        </w:rPr>
      </w:pPr>
      <w:r w:rsidRPr="00F80333">
        <w:rPr>
          <w:color w:val="000000"/>
          <w:lang w:eastAsia="lv-LV"/>
        </w:rPr>
        <w:t xml:space="preserve">Kamēr tiek izstrādāts jaunais Profesionālās izglītības likumprojekts, koncepcijā iestrādātās izmaiņas tiek īstenotas darbībā. Pamatojoties uz aktīvu uzņēmēju un nozaru asociāciju ierosinājumu, tiek izstrādātas uzņēmējiem nepieciešamas programmas un sagatavoti profesionāli darbinieki darba tirgum. </w:t>
      </w:r>
      <w:r w:rsidRPr="00F80333">
        <w:rPr>
          <w:b/>
          <w:bCs/>
          <w:color w:val="000000"/>
          <w:lang w:eastAsia="lv-LV"/>
        </w:rPr>
        <w:t xml:space="preserve">Izšķirošs faktors perspektīvām darba tirgū ir uzņēmēju pieprasījums un sadarbība. </w:t>
      </w:r>
      <w:r w:rsidRPr="00F80333">
        <w:rPr>
          <w:color w:val="000000"/>
          <w:lang w:eastAsia="lv-LV"/>
        </w:rPr>
        <w:t>Piemēram, pamatojoties uz A/S „</w:t>
      </w:r>
      <w:proofErr w:type="spellStart"/>
      <w:r w:rsidRPr="00F80333">
        <w:rPr>
          <w:color w:val="000000"/>
          <w:lang w:eastAsia="lv-LV"/>
        </w:rPr>
        <w:t>Grindeks</w:t>
      </w:r>
      <w:proofErr w:type="spellEnd"/>
      <w:r w:rsidRPr="00F80333">
        <w:rPr>
          <w:color w:val="000000"/>
          <w:lang w:eastAsia="lv-LV"/>
        </w:rPr>
        <w:t xml:space="preserve">” pieprasījumu, piedaloties Latvijas Ķīmijas un farmācijas uzņēmēju asociācijai un nozares uzņēmējiem tika izstrādāta un 2009./2010.mācību gadā Olaines Mehānikas un tehnoloģijas koledžā īstenota profesionālās </w:t>
      </w:r>
      <w:proofErr w:type="spellStart"/>
      <w:r w:rsidRPr="00F80333">
        <w:rPr>
          <w:color w:val="000000"/>
          <w:lang w:eastAsia="lv-LV"/>
        </w:rPr>
        <w:t>tālākizglītības</w:t>
      </w:r>
      <w:proofErr w:type="spellEnd"/>
      <w:r w:rsidRPr="00F80333">
        <w:rPr>
          <w:color w:val="000000"/>
          <w:lang w:eastAsia="lv-LV"/>
        </w:rPr>
        <w:t xml:space="preserve"> programma „Ķīmisko procesu tehniķis”. Sešu mēnešu laikā tika sagatavoti kvalificēti speciālisti darbam A/S “</w:t>
      </w:r>
      <w:proofErr w:type="spellStart"/>
      <w:r w:rsidRPr="00F80333">
        <w:rPr>
          <w:color w:val="000000"/>
          <w:lang w:eastAsia="lv-LV"/>
        </w:rPr>
        <w:t>Grindeks</w:t>
      </w:r>
      <w:proofErr w:type="spellEnd"/>
      <w:r w:rsidRPr="00F80333">
        <w:rPr>
          <w:color w:val="000000"/>
          <w:lang w:eastAsia="lv-LV"/>
        </w:rPr>
        <w:t xml:space="preserve">”. Turpinās darbs, izstrādājot profesionālās </w:t>
      </w:r>
      <w:proofErr w:type="spellStart"/>
      <w:r w:rsidRPr="00F80333">
        <w:rPr>
          <w:color w:val="000000"/>
          <w:lang w:eastAsia="lv-LV"/>
        </w:rPr>
        <w:t>tālākizglītības</w:t>
      </w:r>
      <w:proofErr w:type="spellEnd"/>
      <w:r w:rsidRPr="00F80333">
        <w:rPr>
          <w:color w:val="000000"/>
          <w:lang w:eastAsia="lv-LV"/>
        </w:rPr>
        <w:t xml:space="preserve"> programmas ar iegūstamajām profesionālajām </w:t>
      </w:r>
      <w:proofErr w:type="spellStart"/>
      <w:r w:rsidRPr="00F80333">
        <w:rPr>
          <w:color w:val="000000"/>
          <w:lang w:eastAsia="lv-LV"/>
        </w:rPr>
        <w:t>kvalifikācijām</w:t>
      </w:r>
      <w:proofErr w:type="spellEnd"/>
      <w:r w:rsidRPr="00F80333">
        <w:rPr>
          <w:color w:val="000000"/>
          <w:lang w:eastAsia="lv-LV"/>
        </w:rPr>
        <w:t>, lai sagatavotu Ķīmijas un farmācijas un Latvijas Biotehnoloģijas asociāciju uzņēmumiem nepieciešamos speciālistus.</w:t>
      </w:r>
    </w:p>
    <w:p w:rsidR="00F80333" w:rsidRPr="00F80333" w:rsidRDefault="00F80333" w:rsidP="00061BD1">
      <w:pPr>
        <w:autoSpaceDE w:val="0"/>
        <w:autoSpaceDN w:val="0"/>
        <w:adjustRightInd w:val="0"/>
        <w:spacing w:after="0"/>
        <w:rPr>
          <w:bCs/>
          <w:color w:val="000000"/>
          <w:lang w:eastAsia="lv-LV"/>
        </w:rPr>
      </w:pPr>
      <w:r w:rsidRPr="00F80333">
        <w:rPr>
          <w:bCs/>
          <w:color w:val="000000"/>
          <w:lang w:eastAsia="lv-LV"/>
        </w:rPr>
        <w:t xml:space="preserve">Izmantojot Eiropas Sociālā fonda un Eiropas Reģionālā attīstības fonda līdzekļus, tiek modernizētas </w:t>
      </w:r>
      <w:r w:rsidRPr="00F80333">
        <w:rPr>
          <w:color w:val="000000"/>
          <w:lang w:eastAsia="lv-LV"/>
        </w:rPr>
        <w:t>izglītības</w:t>
      </w:r>
      <w:r w:rsidRPr="00F80333">
        <w:rPr>
          <w:bCs/>
          <w:color w:val="000000"/>
          <w:lang w:eastAsia="lv-LV"/>
        </w:rPr>
        <w:t xml:space="preserve"> programmas, ieviešot moduļu sistēmu, pilnveidojot </w:t>
      </w:r>
      <w:r w:rsidRPr="00F80333">
        <w:rPr>
          <w:color w:val="000000"/>
          <w:lang w:eastAsia="lv-LV"/>
        </w:rPr>
        <w:t>mācību</w:t>
      </w:r>
      <w:r w:rsidRPr="00F80333">
        <w:rPr>
          <w:bCs/>
          <w:color w:val="000000"/>
          <w:lang w:eastAsia="lv-LV"/>
        </w:rPr>
        <w:t xml:space="preserve"> kursu saturu, formulējot mācību rezultātus, kā arī ieguldot līdzekļus infrastruktūras uzlabošanā: </w:t>
      </w:r>
    </w:p>
    <w:p w:rsidR="00F80333" w:rsidRPr="00F80333" w:rsidRDefault="00F80333" w:rsidP="00061BD1">
      <w:pPr>
        <w:pStyle w:val="ListParagraph"/>
        <w:numPr>
          <w:ilvl w:val="0"/>
          <w:numId w:val="1"/>
        </w:numPr>
        <w:autoSpaceDE w:val="0"/>
        <w:autoSpaceDN w:val="0"/>
        <w:adjustRightInd w:val="0"/>
        <w:spacing w:after="0"/>
        <w:rPr>
          <w:color w:val="000000"/>
          <w:szCs w:val="28"/>
        </w:rPr>
      </w:pPr>
      <w:proofErr w:type="spellStart"/>
      <w:r w:rsidRPr="00F80333">
        <w:rPr>
          <w:color w:val="000000"/>
          <w:szCs w:val="28"/>
        </w:rPr>
        <w:t>apakšaktivitāte</w:t>
      </w:r>
      <w:proofErr w:type="spellEnd"/>
      <w:r w:rsidRPr="00F80333">
        <w:rPr>
          <w:color w:val="000000"/>
          <w:szCs w:val="28"/>
        </w:rPr>
        <w:t xml:space="preserve"> „Atbalsts sākotnējās profesionālās izglītības programmu īstenošanas kvalitātes uzlabošanai un īstenošanai”, kuras ietvaros atbalsts paredzēts mācību metožu un intelektuālo resursu, mācību organizāciju un mācību norises uzlabošanai, sekmējot ātrāku integrāciju darba tirgū un nodrošinot sabalansētu kompetenču un prasmju apguvi profesionālajai darbībai un izglītības turpināšanai;</w:t>
      </w:r>
    </w:p>
    <w:p w:rsidR="00F80333" w:rsidRPr="00F80333" w:rsidRDefault="00F80333" w:rsidP="00061BD1">
      <w:pPr>
        <w:pStyle w:val="ListParagraph"/>
        <w:numPr>
          <w:ilvl w:val="0"/>
          <w:numId w:val="1"/>
        </w:numPr>
        <w:autoSpaceDE w:val="0"/>
        <w:autoSpaceDN w:val="0"/>
        <w:adjustRightInd w:val="0"/>
        <w:spacing w:after="0"/>
        <w:rPr>
          <w:color w:val="000000"/>
          <w:szCs w:val="28"/>
        </w:rPr>
      </w:pPr>
      <w:proofErr w:type="spellStart"/>
      <w:r w:rsidRPr="00F80333">
        <w:rPr>
          <w:color w:val="000000"/>
          <w:szCs w:val="28"/>
        </w:rPr>
        <w:t>apakšaktivitāte</w:t>
      </w:r>
      <w:proofErr w:type="spellEnd"/>
      <w:r w:rsidRPr="00F80333">
        <w:rPr>
          <w:color w:val="000000"/>
          <w:szCs w:val="28"/>
        </w:rPr>
        <w:t xml:space="preserve"> „Mācību aprīkojuma modernizācija un infrastruktūras uzlabošana profesionālās izglītības programmu īstenošanai”, kuras ietvaros atbalsts paredzēts profesionālās izglītības iestāžu ēku, tai skaitā dienesta viesnīcu, un infrastruktūras uzlabošanai, mācību iekārtu, aprīkojuma un tehnoloģiju modernizācijai, kā arī bibliotēkas un vismaz divu dabaszinātņu kabinetu modernizācijai;</w:t>
      </w:r>
    </w:p>
    <w:p w:rsidR="00F80333" w:rsidRPr="00F80333" w:rsidRDefault="00F80333" w:rsidP="00061BD1">
      <w:pPr>
        <w:pStyle w:val="ListParagraph"/>
        <w:numPr>
          <w:ilvl w:val="0"/>
          <w:numId w:val="1"/>
        </w:numPr>
        <w:autoSpaceDE w:val="0"/>
        <w:autoSpaceDN w:val="0"/>
        <w:adjustRightInd w:val="0"/>
        <w:spacing w:after="0"/>
        <w:rPr>
          <w:color w:val="000000"/>
          <w:szCs w:val="28"/>
        </w:rPr>
      </w:pPr>
      <w:proofErr w:type="spellStart"/>
      <w:r w:rsidRPr="00F80333">
        <w:rPr>
          <w:color w:val="000000"/>
          <w:szCs w:val="28"/>
        </w:rPr>
        <w:t>apakšaktivitāte</w:t>
      </w:r>
      <w:proofErr w:type="spellEnd"/>
      <w:r w:rsidRPr="00F80333">
        <w:rPr>
          <w:color w:val="000000"/>
          <w:szCs w:val="28"/>
        </w:rPr>
        <w:t xml:space="preserve"> „Nozaru  kvalifikāciju sistēmas izveide un profesionālās izglītības pārstrukturizācija”;</w:t>
      </w:r>
    </w:p>
    <w:p w:rsidR="00F80333" w:rsidRPr="00F80333" w:rsidRDefault="00F80333" w:rsidP="00061BD1">
      <w:pPr>
        <w:pStyle w:val="ListParagraph"/>
        <w:numPr>
          <w:ilvl w:val="0"/>
          <w:numId w:val="1"/>
        </w:numPr>
        <w:autoSpaceDE w:val="0"/>
        <w:autoSpaceDN w:val="0"/>
        <w:adjustRightInd w:val="0"/>
        <w:spacing w:after="0"/>
        <w:rPr>
          <w:color w:val="000000"/>
          <w:szCs w:val="28"/>
        </w:rPr>
      </w:pPr>
      <w:proofErr w:type="spellStart"/>
      <w:r w:rsidRPr="00F80333">
        <w:rPr>
          <w:color w:val="000000"/>
          <w:szCs w:val="28"/>
        </w:rPr>
        <w:t>apakšaktivitāte</w:t>
      </w:r>
      <w:proofErr w:type="spellEnd"/>
      <w:r w:rsidRPr="00F80333">
        <w:rPr>
          <w:color w:val="000000"/>
          <w:szCs w:val="28"/>
        </w:rPr>
        <w:t xml:space="preserve"> „</w:t>
      </w:r>
      <w:hyperlink r:id="rId9" w:history="1">
        <w:r w:rsidRPr="00F80333">
          <w:rPr>
            <w:color w:val="000000"/>
            <w:szCs w:val="28"/>
          </w:rPr>
          <w:t>Profesionālajā izglītībā iesaistīto pedagogu kompetences paaugstināšana</w:t>
        </w:r>
      </w:hyperlink>
      <w:r w:rsidRPr="00F80333">
        <w:rPr>
          <w:color w:val="000000"/>
          <w:szCs w:val="28"/>
        </w:rPr>
        <w:t>”.</w:t>
      </w:r>
    </w:p>
    <w:p w:rsidR="00F80333" w:rsidRPr="00F80333" w:rsidRDefault="00F80333" w:rsidP="00061BD1">
      <w:pPr>
        <w:pStyle w:val="ListParagraph"/>
        <w:numPr>
          <w:ilvl w:val="0"/>
          <w:numId w:val="1"/>
        </w:numPr>
        <w:autoSpaceDE w:val="0"/>
        <w:autoSpaceDN w:val="0"/>
        <w:adjustRightInd w:val="0"/>
        <w:spacing w:after="0"/>
        <w:rPr>
          <w:color w:val="000000"/>
          <w:szCs w:val="28"/>
        </w:rPr>
      </w:pPr>
      <w:r w:rsidRPr="00F80333">
        <w:rPr>
          <w:color w:val="000000"/>
          <w:szCs w:val="28"/>
        </w:rPr>
        <w:lastRenderedPageBreak/>
        <w:t xml:space="preserve">Piesaistot Klimata pārmaiņu finanšu instrumentu – projekti „Kompleksi risinājumi </w:t>
      </w:r>
      <w:proofErr w:type="spellStart"/>
      <w:r w:rsidRPr="00F80333">
        <w:rPr>
          <w:color w:val="000000"/>
          <w:szCs w:val="28"/>
        </w:rPr>
        <w:t>siltumnīcefekta</w:t>
      </w:r>
      <w:proofErr w:type="spellEnd"/>
      <w:r w:rsidRPr="00F80333">
        <w:rPr>
          <w:color w:val="000000"/>
          <w:szCs w:val="28"/>
        </w:rPr>
        <w:t xml:space="preserve"> gāzu emisijas samazināšanai valsts un pašvaldību profesionālās izglītības iestāžu ēkās”. </w:t>
      </w:r>
    </w:p>
    <w:p w:rsidR="00F80333" w:rsidRPr="00F80333" w:rsidRDefault="00F80333" w:rsidP="00061BD1">
      <w:pPr>
        <w:autoSpaceDE w:val="0"/>
        <w:autoSpaceDN w:val="0"/>
        <w:adjustRightInd w:val="0"/>
        <w:spacing w:after="0"/>
        <w:rPr>
          <w:color w:val="000000"/>
          <w:lang w:eastAsia="lv-LV"/>
        </w:rPr>
      </w:pPr>
      <w:r w:rsidRPr="00F80333">
        <w:rPr>
          <w:color w:val="000000"/>
          <w:lang w:eastAsia="lv-LV"/>
        </w:rPr>
        <w:t xml:space="preserve">Lai uzsāktu </w:t>
      </w:r>
      <w:r w:rsidRPr="00F80333">
        <w:rPr>
          <w:b/>
          <w:bCs/>
          <w:color w:val="000000"/>
          <w:lang w:eastAsia="lv-LV"/>
        </w:rPr>
        <w:t>ārpus formālās izglītības sistēmas apgūtās profesionālo kompetenču novērtēšanu</w:t>
      </w:r>
      <w:r w:rsidRPr="00F80333">
        <w:rPr>
          <w:color w:val="000000"/>
          <w:lang w:eastAsia="lv-LV"/>
        </w:rPr>
        <w:t xml:space="preserve">, Izglītības un zinātnes ministrija sadarbībā ar līdzatbildīgajām ministrijām, sociālajiem partneriem un nevalstiskajām organizācijām ir izstrādājusi Ministru kabineta noteikumu projektu ”Kārtība, kādā novērtē ārpus formālās izglītības sistēmas apgūto profesionālo kompetenci”. Noteikumu projekta mērķis ir </w:t>
      </w:r>
      <w:r w:rsidRPr="00F80333">
        <w:rPr>
          <w:bCs/>
          <w:color w:val="000000"/>
          <w:lang w:eastAsia="lv-LV"/>
        </w:rPr>
        <w:t>izveidot tiesisko regulējumu profesionālās kompetences novērtēšanai</w:t>
      </w:r>
      <w:r w:rsidRPr="00F80333">
        <w:rPr>
          <w:color w:val="000000"/>
          <w:lang w:eastAsia="lv-LV"/>
        </w:rPr>
        <w:t xml:space="preserve">. </w:t>
      </w:r>
      <w:r w:rsidRPr="00F80333">
        <w:rPr>
          <w:bCs/>
          <w:color w:val="000000"/>
          <w:lang w:eastAsia="lv-LV"/>
        </w:rPr>
        <w:t>Noteikumu projekts nosaka profesionālās kompetences novērtēšanu profesionālās kvalifikācijas eksāmenā. Noteikumu projektā noteiktas prasības profesionālās kompetences novērtēšanai un ar to saistītajiem iesniedzamajiem un izsniedzamajiem dokumentiem.</w:t>
      </w:r>
      <w:r w:rsidRPr="00F80333">
        <w:rPr>
          <w:color w:val="000000"/>
          <w:lang w:eastAsia="lv-LV"/>
        </w:rPr>
        <w:t xml:space="preserve"> </w:t>
      </w:r>
    </w:p>
    <w:p w:rsidR="00F80333" w:rsidRPr="00F80333" w:rsidRDefault="00F80333" w:rsidP="00061BD1">
      <w:pPr>
        <w:autoSpaceDE w:val="0"/>
        <w:autoSpaceDN w:val="0"/>
        <w:adjustRightInd w:val="0"/>
        <w:spacing w:after="0"/>
        <w:rPr>
          <w:color w:val="000000"/>
          <w:lang w:eastAsia="lv-LV"/>
        </w:rPr>
      </w:pPr>
      <w:r w:rsidRPr="00F80333">
        <w:rPr>
          <w:color w:val="000000"/>
          <w:lang w:eastAsia="lv-LV"/>
        </w:rPr>
        <w:t xml:space="preserve">Izstrādājot jauno Profesionālās izglītības likumprojektu, tiks izmantotas Eiropas Sociālā fonda </w:t>
      </w:r>
      <w:proofErr w:type="spellStart"/>
      <w:r w:rsidRPr="00F80333">
        <w:rPr>
          <w:color w:val="000000"/>
          <w:lang w:eastAsia="lv-LV"/>
        </w:rPr>
        <w:t>apakšaktivitātes</w:t>
      </w:r>
      <w:proofErr w:type="spellEnd"/>
      <w:r w:rsidRPr="00F80333">
        <w:rPr>
          <w:color w:val="000000"/>
          <w:lang w:eastAsia="lv-LV"/>
        </w:rPr>
        <w:t xml:space="preserve"> „Nozaru kvalifikāciju sistēmas izveide un profesionālās izglītības pārstrukturizācija” projektā gūtie rezultāti. Projektu ir pieteikusi Valsts izglītības attīstības aģentūra sadarbībā ar Valsts izglītības satura centru, Izglītības kvalitātes valsts dienestu, Latvijas Darba devēju konfederāciju un Latvijas Brīvo arodbiedrību savienību. Projekta ietvaros ir paredzēts veikt 12 nozaru izpēti, atbilstoši nozares izpētei izstrādāt 80 profesiju standartus, izveidot 55 profesionālās izglītības programmas, izmantojot moduļu pieeju, kā arī izveidot 12 Nozaru ekspertu padomes un aprobēt </w:t>
      </w:r>
      <w:r w:rsidRPr="00F80333">
        <w:rPr>
          <w:b/>
          <w:bCs/>
          <w:color w:val="000000"/>
          <w:lang w:eastAsia="lv-LV"/>
        </w:rPr>
        <w:t>ECVET un EQAVET</w:t>
      </w:r>
      <w:r w:rsidRPr="00F80333">
        <w:rPr>
          <w:color w:val="000000"/>
          <w:lang w:eastAsia="lv-LV"/>
        </w:rPr>
        <w:t xml:space="preserve"> ieviešanu profesionālajā izglītībā. Izglītības un zinātnes ministrija koordinē kredītpunktu izveides mehānismu, izmantojot EK ECVET darba grupās iegūto informāciju. IZM koordinē kredītpunktu izveides mehānismu, izmantojot ECVET darba grupās iegūto informāciju.</w:t>
      </w:r>
    </w:p>
    <w:p w:rsidR="00F80333" w:rsidRPr="00F80333" w:rsidRDefault="00F80333" w:rsidP="00061BD1">
      <w:pPr>
        <w:autoSpaceDE w:val="0"/>
        <w:autoSpaceDN w:val="0"/>
        <w:adjustRightInd w:val="0"/>
        <w:spacing w:after="0"/>
        <w:ind w:left="41"/>
        <w:rPr>
          <w:color w:val="000000"/>
          <w:lang w:eastAsia="lv-LV"/>
        </w:rPr>
      </w:pPr>
      <w:r w:rsidRPr="00F80333">
        <w:rPr>
          <w:color w:val="000000"/>
          <w:lang w:eastAsia="lv-LV"/>
        </w:rPr>
        <w:t xml:space="preserve">Latvijā, izmantojot ESF </w:t>
      </w:r>
      <w:proofErr w:type="spellStart"/>
      <w:r w:rsidRPr="00F80333">
        <w:rPr>
          <w:color w:val="000000"/>
          <w:lang w:eastAsia="lv-LV"/>
        </w:rPr>
        <w:t>līdzfinansētu</w:t>
      </w:r>
      <w:proofErr w:type="spellEnd"/>
      <w:r w:rsidRPr="00F80333">
        <w:rPr>
          <w:color w:val="000000"/>
          <w:lang w:eastAsia="lv-LV"/>
        </w:rPr>
        <w:t xml:space="preserve"> 1.2.1.1.1.apakšaktivitāti „Nozaru kvalifikāciju sistēmas izveide un profesionālās izglītības pārstrukturizācija”, kurā ir iesaistītas visas kredītpunktu izstrādē ieinteresētās institūcijas (VIAA, VISC, IKVD, LDDK, LBAS), nepieciešams:</w:t>
      </w:r>
    </w:p>
    <w:p w:rsidR="00F80333" w:rsidRPr="00F80333" w:rsidRDefault="00F80333" w:rsidP="00061BD1">
      <w:pPr>
        <w:autoSpaceDE w:val="0"/>
        <w:autoSpaceDN w:val="0"/>
        <w:adjustRightInd w:val="0"/>
        <w:spacing w:after="0"/>
        <w:ind w:left="41"/>
        <w:rPr>
          <w:color w:val="000000"/>
          <w:lang w:eastAsia="lv-LV"/>
        </w:rPr>
      </w:pPr>
      <w:r w:rsidRPr="00F80333">
        <w:rPr>
          <w:color w:val="000000"/>
          <w:lang w:eastAsia="lv-LV"/>
        </w:rPr>
        <w:t>1. veicot nozares izpēti, noteikt nozares profesijas un profesionālās kvalifikācijas atbilstoši astoņiem EKI līmeņiem;</w:t>
      </w:r>
    </w:p>
    <w:p w:rsidR="00F80333" w:rsidRPr="00F80333" w:rsidRDefault="00F80333" w:rsidP="00061BD1">
      <w:pPr>
        <w:autoSpaceDE w:val="0"/>
        <w:autoSpaceDN w:val="0"/>
        <w:adjustRightInd w:val="0"/>
        <w:spacing w:after="0"/>
        <w:ind w:left="41"/>
        <w:rPr>
          <w:color w:val="000000"/>
          <w:lang w:eastAsia="lv-LV"/>
        </w:rPr>
      </w:pPr>
      <w:r w:rsidRPr="00F80333">
        <w:rPr>
          <w:color w:val="000000"/>
          <w:lang w:eastAsia="lv-LV"/>
        </w:rPr>
        <w:t>2. veidojot profesiju standartus un atbilstošas profesionālās izglītības programmas, nosakot zināšanas, prasmes un profesionālās kompetences, izteikt tās kredītpunktos, vienlaicīgi veidojot vienotu kredītpunktu uzskaites sistēmu Latvijas valstī.</w:t>
      </w:r>
    </w:p>
    <w:p w:rsidR="00F80333" w:rsidRPr="00F80333" w:rsidRDefault="00F80333" w:rsidP="00061BD1">
      <w:pPr>
        <w:autoSpaceDE w:val="0"/>
        <w:autoSpaceDN w:val="0"/>
        <w:adjustRightInd w:val="0"/>
        <w:spacing w:after="0"/>
        <w:ind w:left="40"/>
        <w:rPr>
          <w:color w:val="000000"/>
          <w:lang w:eastAsia="lv-LV"/>
        </w:rPr>
      </w:pPr>
      <w:r w:rsidRPr="00F80333">
        <w:rPr>
          <w:color w:val="000000"/>
          <w:lang w:eastAsia="lv-LV"/>
        </w:rPr>
        <w:t xml:space="preserve">EK un EP 18.06.2009. izstrādāja rekomendācijas Eiropas kredītu sistēmas ieviešanai profesionālajā izglītībā un apmācībā (ECVET)2009/C 155/02, paredzot, ka: </w:t>
      </w:r>
    </w:p>
    <w:p w:rsidR="00F80333" w:rsidRPr="00F80333" w:rsidRDefault="00F80333" w:rsidP="00061BD1">
      <w:pPr>
        <w:autoSpaceDE w:val="0"/>
        <w:autoSpaceDN w:val="0"/>
        <w:adjustRightInd w:val="0"/>
        <w:spacing w:after="0"/>
        <w:ind w:left="40"/>
        <w:rPr>
          <w:color w:val="000000"/>
          <w:lang w:eastAsia="lv-LV"/>
        </w:rPr>
      </w:pPr>
      <w:r w:rsidRPr="00F80333">
        <w:rPr>
          <w:color w:val="000000"/>
          <w:lang w:eastAsia="lv-LV"/>
        </w:rPr>
        <w:t xml:space="preserve">1. kredītpunktu pārnese tiek attiecināta uz visiem Eiropas kvalifikāciju </w:t>
      </w:r>
      <w:proofErr w:type="spellStart"/>
      <w:r w:rsidRPr="00F80333">
        <w:rPr>
          <w:color w:val="000000"/>
          <w:lang w:eastAsia="lv-LV"/>
        </w:rPr>
        <w:t>ietvarstruktūras</w:t>
      </w:r>
      <w:proofErr w:type="spellEnd"/>
      <w:r w:rsidRPr="00F80333">
        <w:rPr>
          <w:color w:val="000000"/>
          <w:lang w:eastAsia="lv-LV"/>
        </w:rPr>
        <w:t xml:space="preserve"> (EKI) līmeņiem, lai sekmētu transnacionālo mobilitāti, atzītu </w:t>
      </w:r>
      <w:r w:rsidRPr="00F80333">
        <w:rPr>
          <w:color w:val="000000"/>
          <w:lang w:eastAsia="lv-LV"/>
        </w:rPr>
        <w:lastRenderedPageBreak/>
        <w:t xml:space="preserve">profesionālās izglītības mācību rezultātus (profesionālo kvalifikāciju) un veicinātu </w:t>
      </w:r>
      <w:proofErr w:type="spellStart"/>
      <w:r w:rsidRPr="00F80333">
        <w:rPr>
          <w:color w:val="000000"/>
          <w:lang w:eastAsia="lv-LV"/>
        </w:rPr>
        <w:t>mūžizglītību</w:t>
      </w:r>
      <w:proofErr w:type="spellEnd"/>
      <w:r w:rsidRPr="00F80333">
        <w:rPr>
          <w:color w:val="000000"/>
          <w:lang w:eastAsia="lv-LV"/>
        </w:rPr>
        <w:t>;</w:t>
      </w:r>
    </w:p>
    <w:p w:rsidR="00F80333" w:rsidRPr="00F80333" w:rsidRDefault="00F80333" w:rsidP="00061BD1">
      <w:pPr>
        <w:autoSpaceDE w:val="0"/>
        <w:autoSpaceDN w:val="0"/>
        <w:adjustRightInd w:val="0"/>
        <w:spacing w:after="0"/>
        <w:ind w:left="40"/>
        <w:rPr>
          <w:color w:val="000000"/>
          <w:lang w:eastAsia="lv-LV"/>
        </w:rPr>
      </w:pPr>
      <w:r w:rsidRPr="00F80333">
        <w:rPr>
          <w:color w:val="000000"/>
          <w:lang w:eastAsia="lv-LV"/>
        </w:rPr>
        <w:t>2. katrā dalībvalstī tiek izveidoti nosacījumi un veikti pasākumi, lai no 2012.gada ar ECVET sistēmu tiek radīta iespēja atzīt EKI noteiktās visu līmeņu profesionālās kvalifikācijas;</w:t>
      </w:r>
    </w:p>
    <w:p w:rsidR="00F80333" w:rsidRPr="00F80333" w:rsidRDefault="00F80333" w:rsidP="00061BD1">
      <w:pPr>
        <w:autoSpaceDE w:val="0"/>
        <w:autoSpaceDN w:val="0"/>
        <w:adjustRightInd w:val="0"/>
        <w:spacing w:after="0"/>
        <w:ind w:left="40"/>
        <w:rPr>
          <w:color w:val="000000"/>
          <w:lang w:eastAsia="lv-LV"/>
        </w:rPr>
      </w:pPr>
      <w:r w:rsidRPr="00F80333">
        <w:rPr>
          <w:color w:val="000000"/>
          <w:lang w:eastAsia="lv-LV"/>
        </w:rPr>
        <w:t>3. tiek nodrošināta nacionāla un Eiropas mēroga visu ECVET sistēmā ieinteresēto pušu (ministriju, aģentūru, sociālo partneru un darba devēju) sadarbība, izveidots partneru tīklojums;</w:t>
      </w:r>
    </w:p>
    <w:p w:rsidR="00F80333" w:rsidRPr="00F80333" w:rsidRDefault="00F80333" w:rsidP="00061BD1">
      <w:pPr>
        <w:autoSpaceDE w:val="0"/>
        <w:autoSpaceDN w:val="0"/>
        <w:adjustRightInd w:val="0"/>
        <w:spacing w:after="0"/>
        <w:ind w:left="40"/>
        <w:rPr>
          <w:color w:val="000000"/>
          <w:lang w:eastAsia="lv-LV"/>
        </w:rPr>
      </w:pPr>
      <w:r w:rsidRPr="00F80333">
        <w:rPr>
          <w:color w:val="000000"/>
          <w:lang w:eastAsia="lv-LV"/>
        </w:rPr>
        <w:t>4. tiek nodrošināts, ka ikviens (valsts, pašvaldību vai privātā institūcija vai indivīds) saņem informāciju par kredītpunktu pārneses iespējām, notiek informācijas apmaiņa starp dalībvalstīm;</w:t>
      </w:r>
    </w:p>
    <w:p w:rsidR="00F80333" w:rsidRPr="00F80333" w:rsidRDefault="00F80333" w:rsidP="00061BD1">
      <w:pPr>
        <w:autoSpaceDE w:val="0"/>
        <w:autoSpaceDN w:val="0"/>
        <w:adjustRightInd w:val="0"/>
        <w:spacing w:after="0"/>
        <w:ind w:left="40"/>
        <w:rPr>
          <w:color w:val="000000"/>
          <w:lang w:eastAsia="lv-LV"/>
        </w:rPr>
      </w:pPr>
      <w:r w:rsidRPr="00F80333">
        <w:rPr>
          <w:color w:val="000000"/>
          <w:lang w:eastAsia="lv-LV"/>
        </w:rPr>
        <w:t>5. katrā dalībvalstī tiek izveidota normatīvo aktu bāze un uzsākta praktiska mācīšanās rezultātu novērtēšana,  izteikšana kredītpunktos un atzīšana;</w:t>
      </w:r>
    </w:p>
    <w:p w:rsidR="00F80333" w:rsidRPr="00F80333" w:rsidRDefault="00F80333" w:rsidP="00061BD1">
      <w:pPr>
        <w:autoSpaceDE w:val="0"/>
        <w:autoSpaceDN w:val="0"/>
        <w:adjustRightInd w:val="0"/>
        <w:spacing w:after="0"/>
        <w:rPr>
          <w:color w:val="000000"/>
          <w:lang w:eastAsia="lv-LV"/>
        </w:rPr>
      </w:pPr>
      <w:r w:rsidRPr="00F80333">
        <w:rPr>
          <w:color w:val="000000"/>
          <w:lang w:eastAsia="lv-LV"/>
        </w:rPr>
        <w:t>6. ir izveidots mehānisms, lai katrā dalībvalstī iegūtos mācību rezultātus, kas izteikti kredītpunktos, varētu samērot un salīdzināt Eiropas valstu starpā.</w:t>
      </w:r>
    </w:p>
    <w:p w:rsidR="00F80333" w:rsidRPr="00F80333" w:rsidRDefault="00F80333" w:rsidP="00061BD1">
      <w:pPr>
        <w:autoSpaceDE w:val="0"/>
        <w:autoSpaceDN w:val="0"/>
        <w:adjustRightInd w:val="0"/>
        <w:spacing w:after="0"/>
        <w:rPr>
          <w:color w:val="000000"/>
          <w:lang w:eastAsia="lv-LV"/>
        </w:rPr>
      </w:pPr>
      <w:r w:rsidRPr="00F80333">
        <w:rPr>
          <w:color w:val="000000"/>
          <w:lang w:eastAsia="lv-LV"/>
        </w:rPr>
        <w:tab/>
      </w:r>
    </w:p>
    <w:p w:rsidR="00F80333" w:rsidRPr="00BA56BE" w:rsidRDefault="00A1042B" w:rsidP="00BA56BE">
      <w:pPr>
        <w:pStyle w:val="Heading2"/>
        <w:spacing w:before="0"/>
        <w:jc w:val="center"/>
        <w:rPr>
          <w:rFonts w:ascii="Times New Roman" w:hAnsi="Times New Roman" w:cs="Times New Roman"/>
          <w:color w:val="auto"/>
          <w:sz w:val="28"/>
          <w:szCs w:val="28"/>
          <w:lang w:eastAsia="lv-LV"/>
        </w:rPr>
      </w:pPr>
      <w:r w:rsidRPr="00BA56BE">
        <w:rPr>
          <w:rFonts w:ascii="Times New Roman" w:hAnsi="Times New Roman" w:cs="Times New Roman"/>
          <w:color w:val="auto"/>
          <w:sz w:val="28"/>
          <w:szCs w:val="28"/>
          <w:lang w:eastAsia="lv-LV"/>
        </w:rPr>
        <w:t xml:space="preserve">1.3. </w:t>
      </w:r>
      <w:r w:rsidR="00F80333" w:rsidRPr="00BA56BE">
        <w:rPr>
          <w:rFonts w:ascii="Times New Roman" w:hAnsi="Times New Roman" w:cs="Times New Roman"/>
          <w:color w:val="auto"/>
          <w:sz w:val="28"/>
          <w:szCs w:val="28"/>
          <w:lang w:eastAsia="lv-LV"/>
        </w:rPr>
        <w:t>Augstākā izglītība</w:t>
      </w:r>
    </w:p>
    <w:p w:rsidR="00F80333" w:rsidRPr="00F80333" w:rsidRDefault="00F80333" w:rsidP="00061BD1">
      <w:pPr>
        <w:spacing w:after="0"/>
        <w:rPr>
          <w:rFonts w:eastAsia="Calibri"/>
          <w:bCs/>
        </w:rPr>
      </w:pPr>
    </w:p>
    <w:p w:rsidR="00F80333" w:rsidRPr="00F80333" w:rsidRDefault="00F80333" w:rsidP="00061BD1">
      <w:pPr>
        <w:autoSpaceDE w:val="0"/>
        <w:autoSpaceDN w:val="0"/>
        <w:adjustRightInd w:val="0"/>
        <w:spacing w:after="0"/>
        <w:ind w:firstLine="426"/>
      </w:pPr>
      <w:r w:rsidRPr="00F80333">
        <w:tab/>
        <w:t>Latvijas a</w:t>
      </w:r>
      <w:r w:rsidRPr="00F80333">
        <w:rPr>
          <w:bCs/>
        </w:rPr>
        <w:t xml:space="preserve">ugstākās izglītības </w:t>
      </w:r>
      <w:r w:rsidRPr="00F80333">
        <w:t>efektivitātes un kvalitātes paaugstināšanas</w:t>
      </w:r>
      <w:r w:rsidRPr="00F80333">
        <w:rPr>
          <w:bCs/>
        </w:rPr>
        <w:t xml:space="preserve"> pasākumi ir </w:t>
      </w:r>
      <w:r w:rsidRPr="00F80333">
        <w:t>atspoguļoti ar Ministru kabineta 2010.gada 5.augusta rīkojumu Nr.458 apstiprinātajā „Pasākumu plānā nepieciešamajām reformām augstākajā izglītībā un zinātnē 2010.–2012.gadam” (turpmāk – Pasākumu plāns). Veicamie pasākumi paredz sagatavot jaunus normatīvos aktus, kā arī veikt grozījumus esošajos normatīvajos aktos, pilnveidot augstākās izglītības un zinātnes finansēšanas sistēmu, radīt nosacījumus efektīvākai augstākās izglītības institūciju (turpmāk – AII) materiālo, finanšu un personāla resursu izmantošanai.</w:t>
      </w:r>
    </w:p>
    <w:p w:rsidR="00F80333" w:rsidRPr="00F80333" w:rsidRDefault="00F80333" w:rsidP="00061BD1">
      <w:pPr>
        <w:autoSpaceDE w:val="0"/>
        <w:autoSpaceDN w:val="0"/>
        <w:adjustRightInd w:val="0"/>
        <w:spacing w:after="0"/>
        <w:ind w:firstLine="426"/>
      </w:pPr>
      <w:r w:rsidRPr="00F80333">
        <w:tab/>
        <w:t xml:space="preserve">Saskaņā ar Pasākumu plānu viens no četriem rīcības virzieniem augstākās izglītības starptautiskās konkurētspējas paaugstināšanā paredz </w:t>
      </w:r>
      <w:r w:rsidRPr="00F80333">
        <w:rPr>
          <w:b/>
        </w:rPr>
        <w:t>sekmēt studiju un zinātniskās darbības kvalitātes uzlabošanos</w:t>
      </w:r>
      <w:r w:rsidRPr="00F80333">
        <w:t xml:space="preserve">. Šī rīcības virziena īstenošanai pasākumu plānā tika iekļauti 14 pasākumi, kas pamatā ir vērsti uz studiju programmu kvalitātes prasību paaugstināšanu, kā arī akadēmiskā personāla kompetences pilnveidi. </w:t>
      </w:r>
    </w:p>
    <w:p w:rsidR="00F80333" w:rsidRPr="00F80333" w:rsidRDefault="00F80333" w:rsidP="00061BD1">
      <w:pPr>
        <w:spacing w:after="0"/>
        <w:ind w:firstLine="360"/>
      </w:pPr>
      <w:r w:rsidRPr="00F80333">
        <w:tab/>
        <w:t xml:space="preserve">Viens no Pasākumu plānā noteiktajiem uzdevumiem studiju un zinātniskās darbības kvalitātes uzlabošanā ir </w:t>
      </w:r>
      <w:r w:rsidRPr="00F80333">
        <w:rPr>
          <w:b/>
        </w:rPr>
        <w:t xml:space="preserve">studiju programmu kvalitātes, resursu pietiekamības un </w:t>
      </w:r>
      <w:proofErr w:type="spellStart"/>
      <w:r w:rsidRPr="00F80333">
        <w:rPr>
          <w:b/>
        </w:rPr>
        <w:t>ilgtspējas</w:t>
      </w:r>
      <w:proofErr w:type="spellEnd"/>
      <w:r w:rsidRPr="00F80333">
        <w:rPr>
          <w:b/>
        </w:rPr>
        <w:t xml:space="preserve"> starptautiska izvērtēšana</w:t>
      </w:r>
      <w:r w:rsidRPr="00F80333">
        <w:t xml:space="preserve">. Šāda izvērtēšana nepieciešama, lai sniegtu ieteikumus studiju programmu dublēšanās novēršanai </w:t>
      </w:r>
      <w:r w:rsidRPr="00F80333">
        <w:rPr>
          <w:bCs/>
        </w:rPr>
        <w:t xml:space="preserve">reģionu ietvaros, kā arī veicinātu AII resursu konsolidāciju. </w:t>
      </w:r>
      <w:r w:rsidRPr="00F80333">
        <w:t>Studiju programmu izvērtēšana dos iespēju:</w:t>
      </w:r>
    </w:p>
    <w:p w:rsidR="00F80333" w:rsidRPr="00F80333" w:rsidRDefault="000E5117" w:rsidP="000E5117">
      <w:pPr>
        <w:spacing w:after="0"/>
        <w:ind w:firstLine="0"/>
      </w:pPr>
      <w:r>
        <w:rPr>
          <w:bCs/>
        </w:rPr>
        <w:tab/>
        <w:t xml:space="preserve">- </w:t>
      </w:r>
      <w:r w:rsidR="00F80333" w:rsidRPr="00F80333">
        <w:rPr>
          <w:bCs/>
        </w:rPr>
        <w:t>veikt pāreju uz jauna tipa akreditāciju – studiju virzienu akreditāciju;</w:t>
      </w:r>
    </w:p>
    <w:p w:rsidR="00F80333" w:rsidRPr="00F80333" w:rsidRDefault="000E5117" w:rsidP="000E5117">
      <w:pPr>
        <w:spacing w:after="0"/>
        <w:ind w:firstLine="0"/>
      </w:pPr>
      <w:r>
        <w:tab/>
        <w:t xml:space="preserve">- </w:t>
      </w:r>
      <w:r w:rsidR="00F80333" w:rsidRPr="00F80333">
        <w:t xml:space="preserve">sniegt ieteikumus programmu dublēšanās novēršanai </w:t>
      </w:r>
      <w:r w:rsidR="00F80333" w:rsidRPr="00F80333">
        <w:rPr>
          <w:bCs/>
        </w:rPr>
        <w:t xml:space="preserve">reģionu ietvaros, resursu konsolidācijai un efektīvai finansēšanai;  </w:t>
      </w:r>
    </w:p>
    <w:p w:rsidR="00F80333" w:rsidRPr="00F80333" w:rsidRDefault="000E5117" w:rsidP="000E5117">
      <w:pPr>
        <w:spacing w:after="0"/>
        <w:ind w:firstLine="0"/>
        <w:rPr>
          <w:lang w:val="de-DE"/>
        </w:rPr>
      </w:pPr>
      <w:r>
        <w:lastRenderedPageBreak/>
        <w:tab/>
        <w:t xml:space="preserve">- </w:t>
      </w:r>
      <w:r w:rsidR="00F80333" w:rsidRPr="00F80333">
        <w:t>veicināt kopīgu studiju programmu izveidi;</w:t>
      </w:r>
    </w:p>
    <w:p w:rsidR="00F80333" w:rsidRPr="00AF6907" w:rsidRDefault="000E5117" w:rsidP="000E5117">
      <w:pPr>
        <w:spacing w:after="0"/>
        <w:ind w:firstLine="0"/>
        <w:rPr>
          <w:lang w:val="de-DE"/>
        </w:rPr>
      </w:pPr>
      <w:r>
        <w:rPr>
          <w:lang w:val="de-DE"/>
        </w:rPr>
        <w:tab/>
        <w:t xml:space="preserve">- </w:t>
      </w:r>
      <w:r w:rsidR="00F80333" w:rsidRPr="00F80333">
        <w:t xml:space="preserve">ieviest finansēšanas modeli </w:t>
      </w:r>
      <w:r w:rsidR="00F80333" w:rsidRPr="00F80333">
        <w:rPr>
          <w:bCs/>
        </w:rPr>
        <w:t>“nauda seko kvalitātei”.</w:t>
      </w:r>
    </w:p>
    <w:p w:rsidR="00F80333" w:rsidRPr="000E5117" w:rsidRDefault="00F80333" w:rsidP="000E5117">
      <w:pPr>
        <w:autoSpaceDE w:val="0"/>
        <w:autoSpaceDN w:val="0"/>
        <w:adjustRightInd w:val="0"/>
        <w:spacing w:after="0"/>
        <w:ind w:firstLine="0"/>
        <w:rPr>
          <w:color w:val="000000"/>
        </w:rPr>
      </w:pPr>
      <w:r w:rsidRPr="00F80333">
        <w:t xml:space="preserve">2010.gadā ir veikti vairāki būtiski pasākumi šī rīcības virziena īstenošanā. </w:t>
      </w:r>
      <w:r w:rsidRPr="000E5117">
        <w:rPr>
          <w:b/>
          <w:color w:val="000000"/>
        </w:rPr>
        <w:t xml:space="preserve">2010.gada 16.novembrī ir apstiprināti Ministru kabineta noteikumi Nr.1058 </w:t>
      </w:r>
      <w:r w:rsidRPr="000E5117">
        <w:rPr>
          <w:color w:val="000000"/>
        </w:rPr>
        <w:t xml:space="preserve">„Noteikumi par darbības programmas „Cilvēkresursi un nodarbinātība” papildinājuma 1.1.2.2.1.apakšaktivitātes „Studiju programmu satura un īstenošanas uzlabošana un akadēmiskā personāla kompetences pilnveidošana” pirmo projektu iesniegumu atlases kārtu”, kas paredz veikt šādu izvērtējumu Eiropas Sociālā fonda (turpmāk - ESF) projekta ietvaros. Atbilstoši šiem noteikumiem tika izsludināts ESF ierobežotas atlases projektu konkurss, kurā tika uzaicināta piedalīties Augstākās izglītības padome (turpmāk- AIP), kas jau ir iesniegusi savu studiju programmu izvērtēšanas projektu. Līdz ar to reāla studiju programmu izvērtēšana, piesaistot ārvalstu ekspertus, varētu sākties 2011.gada 2.pusgadā. </w:t>
      </w:r>
    </w:p>
    <w:p w:rsidR="00F80333" w:rsidRPr="00F80333" w:rsidRDefault="00F80333" w:rsidP="00061BD1">
      <w:pPr>
        <w:spacing w:after="0"/>
        <w:ind w:firstLine="360"/>
      </w:pPr>
      <w:r w:rsidRPr="00F80333">
        <w:rPr>
          <w:color w:val="000000"/>
        </w:rPr>
        <w:tab/>
        <w:t xml:space="preserve">Saskaņā ar Pasākumu plānu, 2010.gadā ir veikti nozīmīgi pasākumi, kas nodrošina Latvijas izglītības sistēmas piesaisti Eiropas kvalifikāciju </w:t>
      </w:r>
      <w:proofErr w:type="spellStart"/>
      <w:r w:rsidRPr="00F80333">
        <w:rPr>
          <w:color w:val="000000"/>
        </w:rPr>
        <w:t>ietvarstruktūrai</w:t>
      </w:r>
      <w:proofErr w:type="spellEnd"/>
      <w:r w:rsidRPr="00F80333">
        <w:rPr>
          <w:color w:val="000000"/>
        </w:rPr>
        <w:t xml:space="preserve">, kā rezultātā </w:t>
      </w:r>
      <w:r w:rsidRPr="00F80333">
        <w:t xml:space="preserve">uzlabosies studiju kvalitāte un tiks veicināta studiju procesa orientācija uz noteiktu zināšanu un prasmju ieguvi, atbilstoši Eiropas augstākās izglītības telpas veidošanas vadlīnijām. </w:t>
      </w:r>
      <w:r w:rsidRPr="00F80333">
        <w:rPr>
          <w:color w:val="000000"/>
        </w:rPr>
        <w:t xml:space="preserve">2010.gada 5.oktobrī ir apstiprināti Ministru kabineta noteikumi Nr.931 „Grozījumi Ministru kabineta 2008.gada 2.decembra noteikumos Nr.990 „Noteikumi par Latvijas izglītības klasifikāciju”, </w:t>
      </w:r>
      <w:r w:rsidRPr="00F80333">
        <w:t xml:space="preserve">līdz ar to tiks nodrošināta </w:t>
      </w:r>
      <w:r w:rsidRPr="00F80333">
        <w:rPr>
          <w:b/>
        </w:rPr>
        <w:t xml:space="preserve">Latvijas izglītības sistēmas piesaiste Eiropas kvalifikāciju </w:t>
      </w:r>
      <w:proofErr w:type="spellStart"/>
      <w:r w:rsidRPr="00F80333">
        <w:rPr>
          <w:b/>
        </w:rPr>
        <w:t>ietvarstruktūrai</w:t>
      </w:r>
      <w:proofErr w:type="spellEnd"/>
      <w:r w:rsidRPr="00F80333">
        <w:t xml:space="preserve"> atbilstoši Eiropas Parlamenta un Padomes ieteikumam par Eiropas kvalifikāciju </w:t>
      </w:r>
      <w:proofErr w:type="spellStart"/>
      <w:r w:rsidRPr="00F80333">
        <w:t>ietvarstruktūras</w:t>
      </w:r>
      <w:proofErr w:type="spellEnd"/>
      <w:r w:rsidRPr="00F80333">
        <w:t xml:space="preserve"> izveidošanu </w:t>
      </w:r>
      <w:proofErr w:type="spellStart"/>
      <w:r w:rsidRPr="00F80333">
        <w:t>mūžizglītībai</w:t>
      </w:r>
      <w:proofErr w:type="spellEnd"/>
      <w:r w:rsidRPr="00F80333">
        <w:t xml:space="preserve">. Augstskolās ir uzsākts darbs pie studiju rezultātu definēšanas. Plānots, ka šogad visām augstākās izglītības studiju programmām tiks  definēti noteikti studiju rezultāti zināšanu, prasmju un iemaņu izteiksmē katrai studiju programmai un studiju kursam. </w:t>
      </w:r>
    </w:p>
    <w:p w:rsidR="00F80333" w:rsidRPr="00F80333" w:rsidRDefault="00F80333" w:rsidP="00061BD1">
      <w:pPr>
        <w:autoSpaceDE w:val="0"/>
        <w:autoSpaceDN w:val="0"/>
        <w:adjustRightInd w:val="0"/>
        <w:spacing w:after="0"/>
        <w:rPr>
          <w:color w:val="000000"/>
          <w:lang w:eastAsia="lv-LV"/>
        </w:rPr>
      </w:pPr>
      <w:r w:rsidRPr="00F80333">
        <w:t>Pasākumu plāns paredz sagatavot nosacījumus pārejai uz jaunu akreditācijas sistēmu, tas ir – pāriet no atsevišķu studiju programmu akreditācijas uz studiju virzienu akreditāciju, vienlaicīgi ar tajās ietilpstošajām programmām. Jaunās akreditācijas sistēmas ieviešana veicinās studiju programmu konsolidāciju, novērsīs tās informācijas dublēšanos, ko augstskolas iesniedz katras studiju programmas akreditācijai, savukārt akreditācijas komisijai būs iespēja iegūt pilnīgāku informāciju par visiem augstskolas attiecīgās struktūrvienības (piemēram, fakultātes) esošajiem</w:t>
      </w:r>
      <w:r w:rsidRPr="00F80333">
        <w:rPr>
          <w:b/>
          <w:caps/>
        </w:rPr>
        <w:t xml:space="preserve"> </w:t>
      </w:r>
      <w:r w:rsidRPr="00F80333">
        <w:t xml:space="preserve">resursiem. Lai īstenotu šo pasākumu, </w:t>
      </w:r>
      <w:r w:rsidRPr="00F80333">
        <w:rPr>
          <w:b/>
        </w:rPr>
        <w:t xml:space="preserve">2010.gadā </w:t>
      </w:r>
      <w:r w:rsidRPr="00F80333">
        <w:rPr>
          <w:rFonts w:eastAsia="SimSun"/>
          <w:b/>
          <w:color w:val="000000"/>
          <w:lang w:eastAsia="zh-CN"/>
        </w:rPr>
        <w:t>ir sagatavoti attiecīgi priekšlikumi likumprojektam „</w:t>
      </w:r>
      <w:r w:rsidRPr="00F80333">
        <w:rPr>
          <w:color w:val="000000"/>
          <w:lang w:eastAsia="lv-LV"/>
        </w:rPr>
        <w:t>Grozījumi Augstākās izglītības likumprojektā”, kurus plānots iesniegt Saeimā līdz 2011.gada 31.martam.</w:t>
      </w:r>
    </w:p>
    <w:p w:rsidR="00F80333" w:rsidRPr="00F80333" w:rsidRDefault="00F80333" w:rsidP="00061BD1">
      <w:pPr>
        <w:spacing w:after="0"/>
        <w:ind w:firstLine="360"/>
      </w:pPr>
      <w:r w:rsidRPr="00F80333">
        <w:tab/>
        <w:t xml:space="preserve">Pasākumu plānā ir iekļauti pasākumi, kas saistīti ar prasību paaugstināšanu studiju programmu izstrādē un īstenošanā. Viens no veidiem, kā administratīvā ceļā veicināt studiju kvalitātes paaugstināšanos, ir attiecīgu  </w:t>
      </w:r>
      <w:r w:rsidRPr="00F80333">
        <w:lastRenderedPageBreak/>
        <w:t>grozījumu veikšana normatīvajos aktos, kas regulē studiju procesa organizāciju. Lai veicinātu studiju kvalitātes paaugstināšanos, ir sagatavoti un 2011.gada martā iesniegti Seimā priekšlikumi grozījumiem Augstskolu likumā, kas regulē:</w:t>
      </w:r>
    </w:p>
    <w:p w:rsidR="00F80333" w:rsidRPr="00F80333" w:rsidRDefault="000E5117" w:rsidP="000E5117">
      <w:pPr>
        <w:spacing w:after="0"/>
        <w:ind w:firstLine="0"/>
      </w:pPr>
      <w:r>
        <w:tab/>
        <w:t xml:space="preserve">- </w:t>
      </w:r>
      <w:proofErr w:type="spellStart"/>
      <w:r w:rsidR="00F80333" w:rsidRPr="00F80333">
        <w:t>kontaktstundu</w:t>
      </w:r>
      <w:proofErr w:type="spellEnd"/>
      <w:r w:rsidR="00F80333" w:rsidRPr="00F80333">
        <w:t xml:space="preserve"> īpatsvaru (tas dos iespēju augstskolām palielināt </w:t>
      </w:r>
      <w:proofErr w:type="spellStart"/>
      <w:r w:rsidR="00F80333" w:rsidRPr="00F80333">
        <w:t>kontakstundu</w:t>
      </w:r>
      <w:proofErr w:type="spellEnd"/>
      <w:r w:rsidR="00F80333" w:rsidRPr="00F80333">
        <w:t xml:space="preserve"> skaitu uz vienu kredītpunktu);</w:t>
      </w:r>
    </w:p>
    <w:p w:rsidR="00F80333" w:rsidRPr="00F80333" w:rsidRDefault="000E5117" w:rsidP="000E5117">
      <w:pPr>
        <w:spacing w:after="0"/>
        <w:ind w:firstLine="0"/>
      </w:pPr>
      <w:r>
        <w:tab/>
        <w:t xml:space="preserve">- </w:t>
      </w:r>
      <w:r w:rsidR="00F80333" w:rsidRPr="00F80333">
        <w:t>AII iekšējās kvalitātes nodrošināšanas sistēmu (grozījumi nosaka stingrākas prasības studiju rezultātu pārbaudē, iekšējo kārtību un mehānismus akadēmiskā personāla kvalifikācijas un darba kvalitātes nodrošināšanai, nosaka prasības informācijas ievākšanā, lai izvērtētu studiju procesa kvalitāti un akadēmiskā personāla darba efektivitāti);</w:t>
      </w:r>
    </w:p>
    <w:p w:rsidR="00F80333" w:rsidRPr="00F80333" w:rsidRDefault="000E5117" w:rsidP="000E5117">
      <w:pPr>
        <w:spacing w:after="0"/>
        <w:ind w:firstLine="0"/>
      </w:pPr>
      <w:r>
        <w:tab/>
        <w:t xml:space="preserve">- </w:t>
      </w:r>
      <w:r w:rsidR="00F80333" w:rsidRPr="00F80333">
        <w:t>akadēmiskā personāla ievēlēšanu (grozījumi nosaka stingrākas prasības akadēmiskā personāla kvalifikācijai un kompetencei);</w:t>
      </w:r>
    </w:p>
    <w:p w:rsidR="00F80333" w:rsidRPr="00F80333" w:rsidRDefault="000E5117" w:rsidP="000E5117">
      <w:pPr>
        <w:spacing w:after="0"/>
        <w:ind w:firstLine="0"/>
      </w:pPr>
      <w:r>
        <w:tab/>
        <w:t xml:space="preserve">- </w:t>
      </w:r>
      <w:r w:rsidR="00F80333" w:rsidRPr="00F80333">
        <w:t>prasības akadēmiskajam personālam doktora studiju programmu īstenošanā;</w:t>
      </w:r>
    </w:p>
    <w:p w:rsidR="00F80333" w:rsidRPr="00F80333" w:rsidRDefault="000E5117" w:rsidP="000E5117">
      <w:pPr>
        <w:spacing w:after="0"/>
        <w:ind w:firstLine="0"/>
      </w:pPr>
      <w:r>
        <w:tab/>
        <w:t xml:space="preserve">- </w:t>
      </w:r>
      <w:r w:rsidR="00F80333" w:rsidRPr="00F80333">
        <w:t>AII iespējas īstenot kopīgas studiju programmas ar citām akreditētām AII Latvijā vai attiecīgās valsts atzītām augstskolām un koledžām ārvalstīs;</w:t>
      </w:r>
    </w:p>
    <w:p w:rsidR="00F80333" w:rsidRPr="00F80333" w:rsidRDefault="000E5117" w:rsidP="000E5117">
      <w:pPr>
        <w:spacing w:after="0"/>
        <w:ind w:firstLine="0"/>
      </w:pPr>
      <w:r>
        <w:tab/>
        <w:t xml:space="preserve">- </w:t>
      </w:r>
      <w:r w:rsidR="00F80333" w:rsidRPr="00F80333">
        <w:t>studiju programmu struktūru, kas dod iespēju veidot studiju moduļus;</w:t>
      </w:r>
    </w:p>
    <w:p w:rsidR="00F80333" w:rsidRPr="00F80333" w:rsidRDefault="000E5117" w:rsidP="000E5117">
      <w:pPr>
        <w:spacing w:after="0"/>
        <w:ind w:firstLine="0"/>
      </w:pPr>
      <w:r>
        <w:tab/>
        <w:t xml:space="preserve">- </w:t>
      </w:r>
      <w:r w:rsidR="00F80333" w:rsidRPr="00F80333">
        <w:t>prasības studiju rezultātu definēšanā un studiju kursu aprakstu veidošanā.</w:t>
      </w:r>
    </w:p>
    <w:p w:rsidR="00F80333" w:rsidRPr="00F80333" w:rsidRDefault="00F80333" w:rsidP="00061BD1">
      <w:pPr>
        <w:spacing w:after="0"/>
      </w:pPr>
      <w:r w:rsidRPr="00F80333">
        <w:rPr>
          <w:b/>
        </w:rPr>
        <w:t xml:space="preserve">2010.gadā augstskolas veikušas pasākumus, lai ieviestu iekšējās kvalitātes sistēmu un stiprinātu augstskolas </w:t>
      </w:r>
      <w:proofErr w:type="spellStart"/>
      <w:r w:rsidRPr="00F80333">
        <w:rPr>
          <w:b/>
        </w:rPr>
        <w:t>zīmola</w:t>
      </w:r>
      <w:proofErr w:type="spellEnd"/>
      <w:r w:rsidRPr="00F80333">
        <w:rPr>
          <w:b/>
        </w:rPr>
        <w:t xml:space="preserve"> atpazīstamību.</w:t>
      </w:r>
      <w:r w:rsidRPr="00F80333">
        <w:t xml:space="preserve"> Piemēram, Banku augstskola (turpmāk – BA) ir ieguvusi </w:t>
      </w:r>
      <w:r w:rsidRPr="00F80333">
        <w:rPr>
          <w:i/>
          <w:iCs/>
        </w:rPr>
        <w:t xml:space="preserve">Investors </w:t>
      </w:r>
      <w:proofErr w:type="spellStart"/>
      <w:r w:rsidRPr="00F80333">
        <w:rPr>
          <w:i/>
          <w:iCs/>
        </w:rPr>
        <w:t>in</w:t>
      </w:r>
      <w:proofErr w:type="spellEnd"/>
      <w:r w:rsidRPr="00F80333">
        <w:rPr>
          <w:i/>
          <w:iCs/>
        </w:rPr>
        <w:t xml:space="preserve"> </w:t>
      </w:r>
      <w:proofErr w:type="spellStart"/>
      <w:r w:rsidRPr="00F80333">
        <w:rPr>
          <w:i/>
          <w:iCs/>
        </w:rPr>
        <w:t>Excellence</w:t>
      </w:r>
      <w:proofErr w:type="spellEnd"/>
      <w:r w:rsidRPr="00F80333">
        <w:rPr>
          <w:i/>
          <w:iCs/>
        </w:rPr>
        <w:t xml:space="preserve"> </w:t>
      </w:r>
      <w:r w:rsidRPr="00F80333">
        <w:t>kvalitātes sertifikātu, Rīgas Tehniskajā universitātē (turpmāk – RTU) ieviesta jauna studiju programmu pašnovērtējuma ziņojumu vērtēšanas sistēma, veikta iekšējās kvalitātes nodrošināšanas atbilstības analīze atbilstoši ENQA (</w:t>
      </w:r>
      <w:proofErr w:type="spellStart"/>
      <w:r w:rsidRPr="00F80333">
        <w:rPr>
          <w:i/>
        </w:rPr>
        <w:t>the</w:t>
      </w:r>
      <w:proofErr w:type="spellEnd"/>
      <w:r w:rsidRPr="00F80333">
        <w:rPr>
          <w:i/>
        </w:rPr>
        <w:t xml:space="preserve"> </w:t>
      </w:r>
      <w:proofErr w:type="spellStart"/>
      <w:r w:rsidRPr="00F80333">
        <w:rPr>
          <w:i/>
        </w:rPr>
        <w:t>European</w:t>
      </w:r>
      <w:proofErr w:type="spellEnd"/>
      <w:r w:rsidRPr="00F80333">
        <w:rPr>
          <w:i/>
        </w:rPr>
        <w:t xml:space="preserve"> </w:t>
      </w:r>
      <w:proofErr w:type="spellStart"/>
      <w:r w:rsidRPr="00F80333">
        <w:rPr>
          <w:i/>
        </w:rPr>
        <w:t>Association</w:t>
      </w:r>
      <w:proofErr w:type="spellEnd"/>
      <w:r w:rsidRPr="00F80333">
        <w:rPr>
          <w:i/>
        </w:rPr>
        <w:t xml:space="preserve"> </w:t>
      </w:r>
      <w:proofErr w:type="spellStart"/>
      <w:r w:rsidRPr="00F80333">
        <w:rPr>
          <w:i/>
        </w:rPr>
        <w:t>for</w:t>
      </w:r>
      <w:proofErr w:type="spellEnd"/>
      <w:r w:rsidRPr="00F80333">
        <w:rPr>
          <w:i/>
        </w:rPr>
        <w:t xml:space="preserve"> </w:t>
      </w:r>
      <w:proofErr w:type="spellStart"/>
      <w:r w:rsidRPr="00F80333">
        <w:rPr>
          <w:i/>
        </w:rPr>
        <w:t>Quality</w:t>
      </w:r>
      <w:proofErr w:type="spellEnd"/>
      <w:r w:rsidRPr="00F80333">
        <w:rPr>
          <w:i/>
        </w:rPr>
        <w:t xml:space="preserve"> </w:t>
      </w:r>
      <w:proofErr w:type="spellStart"/>
      <w:r w:rsidRPr="00F80333">
        <w:rPr>
          <w:i/>
        </w:rPr>
        <w:t>Assurance</w:t>
      </w:r>
      <w:proofErr w:type="spellEnd"/>
      <w:r w:rsidRPr="00F80333">
        <w:rPr>
          <w:i/>
        </w:rPr>
        <w:t xml:space="preserve"> </w:t>
      </w:r>
      <w:proofErr w:type="spellStart"/>
      <w:r w:rsidRPr="00F80333">
        <w:rPr>
          <w:i/>
        </w:rPr>
        <w:t>in</w:t>
      </w:r>
      <w:proofErr w:type="spellEnd"/>
      <w:r w:rsidRPr="00F80333">
        <w:rPr>
          <w:i/>
        </w:rPr>
        <w:t xml:space="preserve"> </w:t>
      </w:r>
      <w:proofErr w:type="spellStart"/>
      <w:r w:rsidRPr="00F80333">
        <w:rPr>
          <w:i/>
        </w:rPr>
        <w:t>Higher</w:t>
      </w:r>
      <w:proofErr w:type="spellEnd"/>
      <w:r w:rsidRPr="00F80333">
        <w:rPr>
          <w:i/>
        </w:rPr>
        <w:t xml:space="preserve"> </w:t>
      </w:r>
      <w:proofErr w:type="spellStart"/>
      <w:r w:rsidRPr="00F80333">
        <w:rPr>
          <w:i/>
        </w:rPr>
        <w:t>Education</w:t>
      </w:r>
      <w:proofErr w:type="spellEnd"/>
      <w:r w:rsidRPr="00F80333">
        <w:t xml:space="preserve">) vadlīnijām, Liepājas Universitātē (turpmāk – </w:t>
      </w:r>
      <w:proofErr w:type="spellStart"/>
      <w:r w:rsidRPr="00F80333">
        <w:t>LiepU</w:t>
      </w:r>
      <w:proofErr w:type="spellEnd"/>
      <w:r w:rsidRPr="00F80333">
        <w:t xml:space="preserve">) ieviesta kvalitātes vadības sistēma atbilstoši ISO 9001:2008 standarta prasībām, Rīgas Pedagoģijas un izglītības vadības augstskolā (turpmāk – RPIVA) ir veikta darbības iekšējās kvalitātes analīze, izmantojot starptautiskā standarta </w:t>
      </w:r>
      <w:r w:rsidRPr="00F80333">
        <w:rPr>
          <w:i/>
          <w:iCs/>
        </w:rPr>
        <w:t xml:space="preserve">Investors </w:t>
      </w:r>
      <w:proofErr w:type="spellStart"/>
      <w:r w:rsidRPr="00F80333">
        <w:rPr>
          <w:i/>
          <w:iCs/>
        </w:rPr>
        <w:t>in</w:t>
      </w:r>
      <w:proofErr w:type="spellEnd"/>
      <w:r w:rsidRPr="00F80333">
        <w:rPr>
          <w:i/>
          <w:iCs/>
        </w:rPr>
        <w:t xml:space="preserve"> </w:t>
      </w:r>
      <w:proofErr w:type="spellStart"/>
      <w:r w:rsidRPr="00F80333">
        <w:rPr>
          <w:i/>
          <w:iCs/>
        </w:rPr>
        <w:t>Excellence</w:t>
      </w:r>
      <w:proofErr w:type="spellEnd"/>
      <w:r w:rsidRPr="00F80333">
        <w:t xml:space="preserve"> prasības. </w:t>
      </w:r>
    </w:p>
    <w:p w:rsidR="00F80333" w:rsidRPr="00F80333" w:rsidRDefault="00F80333" w:rsidP="00061BD1">
      <w:pPr>
        <w:spacing w:after="0"/>
        <w:ind w:firstLine="320"/>
        <w:rPr>
          <w:b/>
        </w:rPr>
      </w:pPr>
      <w:r w:rsidRPr="00F80333">
        <w:tab/>
        <w:t xml:space="preserve">Saskaņā ar Pasākumu plānā iekļautajām aktivitātēm, kas paredz </w:t>
      </w:r>
      <w:r w:rsidRPr="00F80333">
        <w:rPr>
          <w:b/>
        </w:rPr>
        <w:t xml:space="preserve">akadēmiskā personāla kompetences pilnveidi, augstas kvalitātes maģistru un doktorantu sagatavošanu, kā arī  </w:t>
      </w:r>
      <w:proofErr w:type="spellStart"/>
      <w:r w:rsidRPr="00F80333">
        <w:rPr>
          <w:b/>
        </w:rPr>
        <w:t>inovatīvu</w:t>
      </w:r>
      <w:proofErr w:type="spellEnd"/>
      <w:r w:rsidRPr="00F80333">
        <w:rPr>
          <w:b/>
        </w:rPr>
        <w:t xml:space="preserve"> un </w:t>
      </w:r>
      <w:proofErr w:type="spellStart"/>
      <w:r w:rsidRPr="00F80333">
        <w:rPr>
          <w:b/>
        </w:rPr>
        <w:t>starpdisciplināru</w:t>
      </w:r>
      <w:proofErr w:type="spellEnd"/>
      <w:r w:rsidRPr="00F80333">
        <w:rPr>
          <w:b/>
        </w:rPr>
        <w:t xml:space="preserve"> studiju programmu izstrādi, </w:t>
      </w:r>
      <w:r w:rsidRPr="00F80333">
        <w:t xml:space="preserve">2010.gada 16.novembrī tika pieņemti </w:t>
      </w:r>
      <w:r w:rsidRPr="00F80333">
        <w:rPr>
          <w:color w:val="000000"/>
        </w:rPr>
        <w:t>Ministru kabineta</w:t>
      </w:r>
      <w:r w:rsidRPr="00F80333">
        <w:t xml:space="preserve"> noteikumi Nr.1058 „Noteikumi par darbības programmas „Cilvēkresursi un nodarbinātība” papildinājuma 1.1.2.2.1.apakšaktivitātes „Studiju programmu satura un īstenošanas uzlabošana un akadēmiskā personāla kompetences pilnveidošana” pirmo projektu iesniegumu atlases kārtu”. Atbilstoši iepriekš minētās </w:t>
      </w:r>
      <w:proofErr w:type="spellStart"/>
      <w:r w:rsidRPr="00F80333">
        <w:t>apakšaktivitātes</w:t>
      </w:r>
      <w:proofErr w:type="spellEnd"/>
      <w:r w:rsidRPr="00F80333">
        <w:t xml:space="preserve"> otrajai projektu iesniegumu atlases kārtai, ir plānots sekojošs atbalsts – studiju programmu pilnveide atbilstoši tautsaimniecības vajadzībām sadarbībā ar darba devējiem, jaunu studiju programmu un kursu, īpaši </w:t>
      </w:r>
      <w:proofErr w:type="spellStart"/>
      <w:r w:rsidRPr="00F80333">
        <w:t>starpaugstskolu</w:t>
      </w:r>
      <w:proofErr w:type="spellEnd"/>
      <w:r w:rsidRPr="00F80333">
        <w:t xml:space="preserve"> un </w:t>
      </w:r>
      <w:proofErr w:type="spellStart"/>
      <w:r w:rsidRPr="00F80333">
        <w:t>starpdisciplināru</w:t>
      </w:r>
      <w:proofErr w:type="spellEnd"/>
      <w:r w:rsidRPr="00F80333">
        <w:t xml:space="preserve"> studiju programmu un kursu, izstrāde, </w:t>
      </w:r>
      <w:r w:rsidRPr="00F80333">
        <w:lastRenderedPageBreak/>
        <w:t xml:space="preserve">kā arī studiju programmu vai kursu izstrāde kādā no Eiropas Savienības valodām augstākās izglītības konkurētspējas un </w:t>
      </w:r>
      <w:proofErr w:type="spellStart"/>
      <w:r w:rsidRPr="00F80333">
        <w:t>eksportspējas</w:t>
      </w:r>
      <w:proofErr w:type="spellEnd"/>
      <w:r w:rsidRPr="00F80333">
        <w:t xml:space="preserve"> veicināšanai, tajā skaitā attīstot un ieviešot </w:t>
      </w:r>
      <w:proofErr w:type="spellStart"/>
      <w:r w:rsidRPr="00F80333">
        <w:t>inovatīvu</w:t>
      </w:r>
      <w:proofErr w:type="spellEnd"/>
      <w:r w:rsidRPr="00F80333">
        <w:t xml:space="preserve"> pieredzi attīstot e-studiju risinājumus modernizējot un palielinot studiju intelektuālos resursus, vienlaikus sekmējot augstākās izglītības resursu konsolidāciju un studiju programmu vai kursu skaitu optimizēšanu, novēršot to pārklāšanos. </w:t>
      </w:r>
    </w:p>
    <w:p w:rsidR="00F80333" w:rsidRPr="00F80333" w:rsidRDefault="00F80333" w:rsidP="00061BD1">
      <w:pPr>
        <w:pStyle w:val="NormalWeb"/>
        <w:spacing w:before="0" w:beforeAutospacing="0" w:after="0" w:afterAutospacing="0"/>
        <w:ind w:firstLine="320"/>
        <w:jc w:val="both"/>
        <w:rPr>
          <w:rStyle w:val="longtext"/>
          <w:sz w:val="28"/>
          <w:szCs w:val="28"/>
          <w:highlight w:val="yellow"/>
          <w:shd w:val="clear" w:color="auto" w:fill="FFFFFF"/>
        </w:rPr>
      </w:pPr>
      <w:r w:rsidRPr="00F80333">
        <w:rPr>
          <w:rStyle w:val="longtext"/>
          <w:sz w:val="28"/>
          <w:szCs w:val="28"/>
          <w:shd w:val="clear" w:color="auto" w:fill="FFFFFF"/>
        </w:rPr>
        <w:tab/>
        <w:t>Lai p</w:t>
      </w:r>
      <w:r w:rsidRPr="00F80333">
        <w:rPr>
          <w:color w:val="000000"/>
          <w:sz w:val="28"/>
          <w:szCs w:val="28"/>
        </w:rPr>
        <w:t xml:space="preserve">astiprinātu </w:t>
      </w:r>
      <w:r w:rsidRPr="00F80333">
        <w:rPr>
          <w:b/>
          <w:color w:val="000000"/>
          <w:sz w:val="28"/>
          <w:szCs w:val="28"/>
        </w:rPr>
        <w:t>atbildību par doktora grāda iegūšanu</w:t>
      </w:r>
      <w:r w:rsidRPr="00F80333">
        <w:rPr>
          <w:color w:val="000000"/>
          <w:sz w:val="28"/>
          <w:szCs w:val="28"/>
        </w:rPr>
        <w:t xml:space="preserve">, </w:t>
      </w:r>
      <w:r w:rsidRPr="00F80333">
        <w:rPr>
          <w:b/>
          <w:color w:val="000000"/>
          <w:sz w:val="28"/>
          <w:szCs w:val="28"/>
        </w:rPr>
        <w:t xml:space="preserve">ja studijām doktorantūrā izmantoti valsts budžeta līdzekļi, </w:t>
      </w:r>
      <w:r w:rsidRPr="00F80333">
        <w:rPr>
          <w:b/>
          <w:sz w:val="28"/>
          <w:szCs w:val="28"/>
        </w:rPr>
        <w:t xml:space="preserve">ir izstrādāti grozījumi </w:t>
      </w:r>
      <w:r w:rsidRPr="00F80333">
        <w:rPr>
          <w:b/>
          <w:color w:val="000000"/>
          <w:sz w:val="28"/>
          <w:szCs w:val="28"/>
        </w:rPr>
        <w:t>Ministru kabineta</w:t>
      </w:r>
      <w:r w:rsidRPr="00F80333">
        <w:rPr>
          <w:b/>
          <w:sz w:val="28"/>
          <w:szCs w:val="28"/>
        </w:rPr>
        <w:t xml:space="preserve"> 2008.gada 21.oktobra noteikumos Nr.882</w:t>
      </w:r>
      <w:r w:rsidRPr="00F80333">
        <w:rPr>
          <w:sz w:val="28"/>
          <w:szCs w:val="28"/>
        </w:rPr>
        <w:t xml:space="preserve"> „Noteikumi par darbības programmas „Cilvēkresursi un nodarbinātība” papildinājuma 1.1.2.1.2.apakšaktivitāti „Atbalsts doktora studiju programmu īstenošanai””. Šobrīd tuvojas noslēgumam minēto grozījumu </w:t>
      </w:r>
      <w:proofErr w:type="spellStart"/>
      <w:r w:rsidRPr="00F80333">
        <w:rPr>
          <w:sz w:val="28"/>
          <w:szCs w:val="28"/>
        </w:rPr>
        <w:t>starpinstitūciju</w:t>
      </w:r>
      <w:proofErr w:type="spellEnd"/>
      <w:r w:rsidRPr="00F80333">
        <w:rPr>
          <w:sz w:val="28"/>
          <w:szCs w:val="28"/>
        </w:rPr>
        <w:t xml:space="preserve"> saskaņošanas process. Grozījumu iesniegšana </w:t>
      </w:r>
      <w:r w:rsidRPr="00F80333">
        <w:rPr>
          <w:color w:val="000000"/>
          <w:sz w:val="28"/>
          <w:szCs w:val="28"/>
        </w:rPr>
        <w:t>Ministru kabinetā</w:t>
      </w:r>
      <w:r w:rsidRPr="00F80333">
        <w:rPr>
          <w:sz w:val="28"/>
          <w:szCs w:val="28"/>
        </w:rPr>
        <w:t xml:space="preserve"> plānota līdz šī gada 1.aprīlim.</w:t>
      </w:r>
    </w:p>
    <w:p w:rsidR="00F80333" w:rsidRPr="00F80333" w:rsidRDefault="00F80333" w:rsidP="00061BD1">
      <w:pPr>
        <w:pStyle w:val="NormalWeb"/>
        <w:spacing w:before="0" w:beforeAutospacing="0" w:after="0" w:afterAutospacing="0"/>
        <w:ind w:firstLine="320"/>
        <w:jc w:val="both"/>
        <w:rPr>
          <w:sz w:val="28"/>
          <w:szCs w:val="28"/>
        </w:rPr>
      </w:pPr>
      <w:r w:rsidRPr="00F80333">
        <w:rPr>
          <w:rStyle w:val="longtext"/>
          <w:sz w:val="28"/>
          <w:szCs w:val="28"/>
          <w:shd w:val="clear" w:color="auto" w:fill="FFFFFF"/>
        </w:rPr>
        <w:tab/>
        <w:t xml:space="preserve">Pasākumu plāna ietvaros līdz 2012.gada 3.ceturksnim ir paredzēts uzsākt </w:t>
      </w:r>
      <w:r w:rsidRPr="00F80333">
        <w:rPr>
          <w:sz w:val="28"/>
          <w:szCs w:val="28"/>
        </w:rPr>
        <w:t xml:space="preserve">zinātnes sistēmas starptautiska novērtējuma rezultātā sniegto rekomendāciju ieviešanu. </w:t>
      </w:r>
      <w:r w:rsidRPr="00F80333">
        <w:rPr>
          <w:rStyle w:val="longtext"/>
          <w:sz w:val="28"/>
          <w:szCs w:val="28"/>
          <w:shd w:val="clear" w:color="auto" w:fill="FFFFFF"/>
        </w:rPr>
        <w:t xml:space="preserve">Pamatojoties uz starptautiskā izvērtējuma ieteikumu, ir izstrādāts informatīvā ziņojuma projekts </w:t>
      </w:r>
      <w:r w:rsidRPr="00F80333">
        <w:rPr>
          <w:sz w:val="28"/>
          <w:szCs w:val="28"/>
        </w:rPr>
        <w:t xml:space="preserve">Par darbības programmas „Cilvēkresursi un nodarbinātība” 1.1.1.1.aktivitāti „Zinātnes un inovāciju politikas veidošanas un administratīvās kapacitātes stiprināšana”, lai veiktu zinātnisko institūciju starptautisku izvērtēšanu </w:t>
      </w:r>
      <w:proofErr w:type="spellStart"/>
      <w:r w:rsidRPr="00F80333">
        <w:rPr>
          <w:sz w:val="28"/>
          <w:szCs w:val="28"/>
        </w:rPr>
        <w:t>ilgtspējīgu</w:t>
      </w:r>
      <w:proofErr w:type="spellEnd"/>
      <w:r w:rsidRPr="00F80333">
        <w:rPr>
          <w:sz w:val="28"/>
          <w:szCs w:val="28"/>
        </w:rPr>
        <w:t xml:space="preserve"> strukturālo reformu īstenošanai.</w:t>
      </w:r>
    </w:p>
    <w:p w:rsidR="00F80333" w:rsidRPr="00F80333" w:rsidRDefault="00F80333" w:rsidP="00061BD1">
      <w:pPr>
        <w:spacing w:after="0"/>
        <w:ind w:firstLine="320"/>
      </w:pPr>
      <w:r w:rsidRPr="00F80333">
        <w:rPr>
          <w:rStyle w:val="spelle"/>
        </w:rPr>
        <w:tab/>
        <w:t xml:space="preserve">Lai veicinātu zinātnes resursu un ieguldījumu koncentrāciju, tai skaitā Valsts nozīmes pētniecības centru (turpmāk - VNPC) vajadzībām paredzētās kopējas infrastruktūras izveidi un zinātnisko institūciju </w:t>
      </w:r>
      <w:r w:rsidRPr="00F80333">
        <w:t>konsolidāciju,</w:t>
      </w:r>
      <w:r w:rsidRPr="00F80333">
        <w:rPr>
          <w:rStyle w:val="spelle"/>
        </w:rPr>
        <w:t xml:space="preserve"> </w:t>
      </w:r>
      <w:r w:rsidRPr="00F80333">
        <w:rPr>
          <w:rStyle w:val="spelle"/>
          <w:b/>
        </w:rPr>
        <w:t xml:space="preserve">ir </w:t>
      </w:r>
      <w:r w:rsidRPr="00F80333">
        <w:rPr>
          <w:b/>
        </w:rPr>
        <w:t xml:space="preserve">pieņemti 2010.gada 19.oktobra </w:t>
      </w:r>
      <w:r w:rsidRPr="00F80333">
        <w:rPr>
          <w:b/>
          <w:color w:val="000000"/>
        </w:rPr>
        <w:t>Ministru kabineta</w:t>
      </w:r>
      <w:r w:rsidRPr="00F80333">
        <w:rPr>
          <w:b/>
        </w:rPr>
        <w:t xml:space="preserve"> noteikumi Nr.987 </w:t>
      </w:r>
      <w:r w:rsidRPr="00F80333">
        <w:t>„Noteikumi par darbības programmas "Uzņēmējdarbība un inovācijas" papildinājuma 2.1.1.3.1.apakšaktivitātes "Zinātnes infrastruktūras attīstība" pirmo projektu iesniegumu atlases kārtu”, kā arī atbalstīta 9 VNPC izveide.</w:t>
      </w:r>
    </w:p>
    <w:p w:rsidR="00F80333" w:rsidRPr="00F80333" w:rsidRDefault="00F80333" w:rsidP="00061BD1">
      <w:pPr>
        <w:pStyle w:val="NoSpacing"/>
        <w:ind w:firstLine="360"/>
        <w:jc w:val="both"/>
        <w:rPr>
          <w:bCs/>
          <w:sz w:val="28"/>
          <w:szCs w:val="28"/>
          <w:lang w:val="lv-LV" w:eastAsia="lv-LV"/>
        </w:rPr>
      </w:pPr>
      <w:r w:rsidRPr="00F80333">
        <w:rPr>
          <w:sz w:val="28"/>
          <w:szCs w:val="28"/>
          <w:lang w:val="lv-LV"/>
        </w:rPr>
        <w:tab/>
        <w:t xml:space="preserve">Lai veicinātu AII materiāli tehniskās bāzes modernizāciju un resursu izmantošanas efektivitātes paaugstināšanu, Pasākumu plānā ir iekļauti 6 pasākumi, kas pamatā ir vērsti uz augstākajai izglītībai un zinātnei piešķirtā valsts budžeta finansējuma efektīvu izmantošanu, AII infrastruktūras modernizēšanu un AII sadarbības veicināšanu gan studiju programmu izstrādē un īstenošanā, gan kopīgas infrastruktūras izveidē. </w:t>
      </w:r>
    </w:p>
    <w:p w:rsidR="00F80333" w:rsidRPr="00F80333" w:rsidRDefault="00F80333" w:rsidP="00061BD1">
      <w:pPr>
        <w:pStyle w:val="NoSpacing"/>
        <w:ind w:firstLine="360"/>
        <w:jc w:val="both"/>
        <w:rPr>
          <w:sz w:val="28"/>
          <w:szCs w:val="28"/>
          <w:lang w:val="lv-LV"/>
        </w:rPr>
      </w:pPr>
      <w:r w:rsidRPr="00F80333">
        <w:rPr>
          <w:bCs/>
          <w:sz w:val="28"/>
          <w:szCs w:val="28"/>
          <w:lang w:val="lv-LV" w:eastAsia="lv-LV"/>
        </w:rPr>
        <w:tab/>
        <w:t>I</w:t>
      </w:r>
      <w:r w:rsidRPr="00F80333">
        <w:rPr>
          <w:sz w:val="28"/>
          <w:szCs w:val="28"/>
          <w:lang w:val="lv-LV"/>
        </w:rPr>
        <w:t xml:space="preserve">zpildot </w:t>
      </w:r>
      <w:r w:rsidRPr="00F80333">
        <w:rPr>
          <w:color w:val="000000"/>
          <w:sz w:val="28"/>
          <w:szCs w:val="28"/>
          <w:lang w:val="lv-LV"/>
        </w:rPr>
        <w:t>Ministru kabineta</w:t>
      </w:r>
      <w:r w:rsidRPr="00F80333">
        <w:rPr>
          <w:sz w:val="28"/>
          <w:szCs w:val="28"/>
          <w:lang w:val="lv-LV"/>
        </w:rPr>
        <w:t xml:space="preserve"> 2010.gada 5.augusta rīkojumu Nr.458, kas paredz izstrādāt uz rezultatīvajiem rādītājiem orientētu augstākās izglītības finansēšanas modeli, IZM ir sagatavojusi un iesniegusi Valsts kancelejā informatīvā ziņojuma projektu </w:t>
      </w:r>
      <w:r w:rsidRPr="00F80333">
        <w:rPr>
          <w:b/>
          <w:sz w:val="28"/>
          <w:szCs w:val="28"/>
          <w:lang w:val="lv-LV"/>
        </w:rPr>
        <w:t>„Par uz rezultatīvajiem rādītājiem orientētu augstākās izglītības un zinātnes finansēšanas modeli</w:t>
      </w:r>
      <w:r w:rsidRPr="00F80333">
        <w:rPr>
          <w:b/>
          <w:i/>
          <w:sz w:val="28"/>
          <w:szCs w:val="28"/>
          <w:lang w:val="lv-LV"/>
        </w:rPr>
        <w:t xml:space="preserve"> </w:t>
      </w:r>
      <w:r w:rsidRPr="00F80333">
        <w:rPr>
          <w:b/>
          <w:sz w:val="28"/>
          <w:szCs w:val="28"/>
          <w:lang w:val="lv-LV"/>
        </w:rPr>
        <w:t>un priekšlikumiem plāna ietvaros paredzētās valsts augstākās izglītības institucionālās reformas un augstākās izglītības un zinātnes pārvaldības modeļa reformas sekmīgai īstenošana</w:t>
      </w:r>
      <w:r w:rsidRPr="00F80333">
        <w:rPr>
          <w:sz w:val="28"/>
          <w:szCs w:val="28"/>
          <w:lang w:val="lv-LV"/>
        </w:rPr>
        <w:t>i</w:t>
      </w:r>
      <w:r w:rsidRPr="00F80333">
        <w:rPr>
          <w:b/>
          <w:sz w:val="28"/>
          <w:szCs w:val="28"/>
          <w:lang w:val="lv-LV"/>
        </w:rPr>
        <w:t>”</w:t>
      </w:r>
      <w:r w:rsidRPr="00F80333">
        <w:rPr>
          <w:sz w:val="28"/>
          <w:szCs w:val="28"/>
          <w:lang w:val="lv-LV"/>
        </w:rPr>
        <w:t xml:space="preserve">. Uz darbības uzlabošanu jeb uz rezultatīvajiem rādītājiem vērsts </w:t>
      </w:r>
      <w:r w:rsidRPr="00F80333">
        <w:rPr>
          <w:i/>
          <w:sz w:val="28"/>
          <w:szCs w:val="28"/>
          <w:lang w:val="lv-LV"/>
        </w:rPr>
        <w:t>(</w:t>
      </w:r>
      <w:proofErr w:type="spellStart"/>
      <w:r w:rsidRPr="00F80333">
        <w:rPr>
          <w:i/>
          <w:sz w:val="28"/>
          <w:szCs w:val="28"/>
          <w:lang w:val="lv-LV"/>
        </w:rPr>
        <w:t>performance</w:t>
      </w:r>
      <w:proofErr w:type="spellEnd"/>
      <w:r w:rsidRPr="00F80333">
        <w:rPr>
          <w:i/>
          <w:sz w:val="28"/>
          <w:szCs w:val="28"/>
          <w:lang w:val="lv-LV"/>
        </w:rPr>
        <w:t xml:space="preserve"> </w:t>
      </w:r>
      <w:proofErr w:type="spellStart"/>
      <w:r w:rsidRPr="00F80333">
        <w:rPr>
          <w:i/>
          <w:sz w:val="28"/>
          <w:szCs w:val="28"/>
          <w:lang w:val="lv-LV"/>
        </w:rPr>
        <w:t>based</w:t>
      </w:r>
      <w:proofErr w:type="spellEnd"/>
      <w:r w:rsidRPr="00F80333">
        <w:rPr>
          <w:i/>
          <w:sz w:val="28"/>
          <w:szCs w:val="28"/>
          <w:lang w:val="lv-LV"/>
        </w:rPr>
        <w:t xml:space="preserve"> </w:t>
      </w:r>
      <w:proofErr w:type="spellStart"/>
      <w:r w:rsidRPr="00F80333">
        <w:rPr>
          <w:i/>
          <w:sz w:val="28"/>
          <w:szCs w:val="28"/>
          <w:lang w:val="lv-LV"/>
        </w:rPr>
        <w:t>funding</w:t>
      </w:r>
      <w:proofErr w:type="spellEnd"/>
      <w:r w:rsidRPr="00F80333">
        <w:rPr>
          <w:i/>
          <w:sz w:val="28"/>
          <w:szCs w:val="28"/>
          <w:lang w:val="lv-LV"/>
        </w:rPr>
        <w:t>)</w:t>
      </w:r>
      <w:r w:rsidRPr="00F80333">
        <w:rPr>
          <w:sz w:val="28"/>
          <w:szCs w:val="28"/>
          <w:lang w:val="lv-LV"/>
        </w:rPr>
        <w:t xml:space="preserve"> augstākās izglītības finansēšanas </w:t>
      </w:r>
      <w:r w:rsidRPr="00F80333">
        <w:rPr>
          <w:sz w:val="28"/>
          <w:szCs w:val="28"/>
          <w:lang w:val="lv-LV"/>
        </w:rPr>
        <w:lastRenderedPageBreak/>
        <w:t xml:space="preserve">princips paredz to, ka, nosakot valsts budžeta finansējuma apjomu augstākās izglītības iestādei, studiju un zinātnes finansējuma aprēķina metodikā tiek iekļauti augstākās izglītības iestādes darbības rezultatīvie rādītāji. Šāda pieeja valsts budžeta finansējuma piešķiršanā stimulēs AII paaugstināt studiju un pētniecības </w:t>
      </w:r>
      <w:r w:rsidRPr="00F80333">
        <w:rPr>
          <w:i/>
          <w:sz w:val="28"/>
          <w:szCs w:val="28"/>
          <w:lang w:val="lv-LV"/>
        </w:rPr>
        <w:t>kvalitāti un efektivitāti</w:t>
      </w:r>
      <w:r w:rsidRPr="00F80333">
        <w:rPr>
          <w:sz w:val="28"/>
          <w:szCs w:val="28"/>
          <w:lang w:val="lv-LV"/>
        </w:rPr>
        <w:t xml:space="preserve">, nodrošinās </w:t>
      </w:r>
      <w:r w:rsidRPr="00F80333">
        <w:rPr>
          <w:i/>
          <w:sz w:val="28"/>
          <w:szCs w:val="28"/>
          <w:lang w:val="lv-LV"/>
        </w:rPr>
        <w:t>racionālāku publiskā finansējuma izmantošanu,</w:t>
      </w:r>
      <w:r w:rsidRPr="00F80333">
        <w:rPr>
          <w:sz w:val="28"/>
          <w:szCs w:val="28"/>
          <w:lang w:val="lv-LV"/>
        </w:rPr>
        <w:t xml:space="preserve"> īstenojot principu - „nauda seko kvalitātei”, kā arī veicinās AI un zinātnes resursu konsolidāciju un valsts finansējuma koncentrēšanos tajās institūcijās vai to apvienībās, kam ir pietiekama kapacitāte attiecīgā līmeņa studiju nodrošināšanai un atbilstoši kvalitatīvie un kvantitatīvie darbības rezultāti šajos izglītības līmeņos.</w:t>
      </w:r>
    </w:p>
    <w:p w:rsidR="00F80333" w:rsidRPr="00F80333" w:rsidRDefault="00F80333" w:rsidP="00061BD1">
      <w:pPr>
        <w:tabs>
          <w:tab w:val="left" w:pos="426"/>
        </w:tabs>
        <w:spacing w:after="0"/>
      </w:pPr>
      <w:r w:rsidRPr="00F80333">
        <w:t>2010.gadā ir</w:t>
      </w:r>
      <w:r w:rsidRPr="00F80333">
        <w:rPr>
          <w:color w:val="C00000"/>
        </w:rPr>
        <w:t xml:space="preserve"> </w:t>
      </w:r>
      <w:r w:rsidRPr="00F80333">
        <w:t xml:space="preserve">uzsākts AII strukturālo reformu process, kurš šobrīd gan vairāk ir skāris koledžas. </w:t>
      </w:r>
      <w:r w:rsidRPr="00F80333">
        <w:rPr>
          <w:b/>
        </w:rPr>
        <w:t xml:space="preserve">2010.gadā veikti pasākumi </w:t>
      </w:r>
      <w:r w:rsidRPr="00F80333">
        <w:rPr>
          <w:b/>
          <w:i/>
        </w:rPr>
        <w:t>koledžu tīkla optimizācijai</w:t>
      </w:r>
      <w:r w:rsidRPr="00F80333">
        <w:t xml:space="preserve"> – jau ir veikta trīs medicīnas koledžu reorganizācija (Rīgas Medicīnas koledža un P.Stradiņa veselības un sociālās aprūpes koledža kopš 2010.gada janvāra ir kļuvušas par Latvijas Universitātes (turpmāk – LU) aģentūrām, bet Sarkanā Krusta medicīnas koledža - par Rīgas Stradiņa universitātes (turpmāk – RSU) aģentūru. Liepājas medicīnas koledža no 2010.gada 1.septembra ir likvidēta. 2010.gadā pēc savas iniciatīvas ir likvidējusies Karjeras izaugsmes koledža. Līdz ar to 2011.gadā Latvijā darbojas 14 valsts un 7 privātās koledžas, to skaits salīdzinājumā ar 2009.gadu, kad sākās strukturālās reformas, ir samazinājies par vienu piekto daļu (2009.gadā Latvijā darbojās 18 valsts un 8 privātās koledžas). Šo reformu rezultātā ir nodrošināta konsolidēto resursu efektīvāka izmantošana, kas saistīta ar iespējām optimizēt akadēmiskā personāla slodzes, ar iespējām izmantot apvienotos bibliotēku resursus un citu materiāli tehnisko bāzi, ar saskaņotu studiju programmu izstrādi, kā arī efektīvākas pārvaldes sistēmas izveidi. </w:t>
      </w:r>
    </w:p>
    <w:p w:rsidR="00F80333" w:rsidRPr="00F80333" w:rsidRDefault="00F80333" w:rsidP="00061BD1">
      <w:pPr>
        <w:tabs>
          <w:tab w:val="left" w:pos="426"/>
        </w:tabs>
        <w:spacing w:after="0"/>
      </w:pPr>
      <w:r w:rsidRPr="00F80333">
        <w:t xml:space="preserve">Pasākumu plāna ietvaros ir paredzēts izstrādāt un ieviest sistēmu, kas dos iespēju </w:t>
      </w:r>
      <w:r w:rsidRPr="00F80333">
        <w:rPr>
          <w:b/>
        </w:rPr>
        <w:t>ievākt informāciju par augstskolu absolventu, kas studējuši par budžeta līdzekļiem, tālākām darba gaitām vismaz 3 gadus pēc augstskolas absolvēšanas</w:t>
      </w:r>
      <w:r w:rsidRPr="00F80333">
        <w:t>. Šāda informācija dos iespēju izvērtēt, cik efektīvi tiek izmantoti valsts budžeta līdzekļi studiju vietu finansēšanai un novirzīt valsts budžeta finansējumu tām studiju programmām, kuras absolventi ir nodarbināti atbilstoši savai iegūtai specialitātei.</w:t>
      </w:r>
    </w:p>
    <w:p w:rsidR="00F80333" w:rsidRPr="00F80333" w:rsidRDefault="00F80333" w:rsidP="00061BD1">
      <w:pPr>
        <w:tabs>
          <w:tab w:val="left" w:pos="426"/>
        </w:tabs>
        <w:spacing w:after="0"/>
      </w:pPr>
      <w:r w:rsidRPr="00F80333">
        <w:t xml:space="preserve">2010.gadā savu iespēju robežās augstskolas ir uzsākušas darbu pie šādas informācijas sistēmas izstrādes un ieviešanas. Piemēram, LU 2010.gadā ir ieviesusi sistēmu, kas dod iespēju absolventu aptauju veikt elektroniski, izmantojot LU Informatīvo sistēmu. RTU ir izveidota absolventu anketēšanas sadaļa RTU portālā ORTUS, kuras funkcionalitāte 2011. gadā tiks pilnveidota. RSU šobrīd izstrādā sistēmu, kas dos iespēju ievākt informāciju par absolventu tālākajām darba un mācību gaitām. Divu pēdējo gadu laikā ir veiktas absolventu aptaujas, kas turpināsies arī 2011.gadā. </w:t>
      </w:r>
      <w:proofErr w:type="spellStart"/>
      <w:r w:rsidRPr="00F80333">
        <w:t>LiepU</w:t>
      </w:r>
      <w:proofErr w:type="spellEnd"/>
      <w:r w:rsidRPr="00F80333">
        <w:t xml:space="preserve"> absolventu aptauja tiek veikta katru gadu, telefoniski aptaujājot pēdējo divu gadu absolventus. </w:t>
      </w:r>
      <w:proofErr w:type="spellStart"/>
      <w:r w:rsidRPr="00F80333">
        <w:t>LiepU</w:t>
      </w:r>
      <w:proofErr w:type="spellEnd"/>
      <w:r w:rsidRPr="00F80333">
        <w:t xml:space="preserve"> </w:t>
      </w:r>
      <w:r w:rsidRPr="00F80333">
        <w:lastRenderedPageBreak/>
        <w:t xml:space="preserve">Socioloģisko pētījumu centrs šobrīd izstrādā jaunu metodiku absolventu aptaujai. RPIVA līgumā par studijām iekļauts punkts par studenta sadarbību ar RPIVA pēc akadēmijas absolvēšanas, paredzot savstarpēju informācijas apmaiņu. RPIVA mājas lapā izveidota sadaļa </w:t>
      </w:r>
      <w:r w:rsidRPr="00F80333">
        <w:rPr>
          <w:i/>
        </w:rPr>
        <w:t>Absolventi</w:t>
      </w:r>
      <w:r w:rsidRPr="00F80333">
        <w:t xml:space="preserve">, kurā  ievietota absolventu aptaujas anketa. Pēdējā absolventu aptauja tika veikta 2010. gada oktobrī. BA tiek uzturēta visu tās absolventu datu bāze, kurā norādītas absolventu darba vietas un kontaktinformācija. 2011.g. plānots pilnveidot informācijas ieguves sistēmu, kas nodrošinās efektīvu veidu, kā aktualizēt informāciju par visiem augstskolas absolventiem. Rēzeknes augstskolā 2010.gadā tika pieņemts Senāta lēmums, kurš paredz izstrādāt pamatprincipus, lai 2011.gadā ieviestu attiecīgu informācijas sistēmu. Arī citas Latvijas augstskolas veido informācijas sistēmas, kas dod iespēju ievākt, apkopot un analizēt informāciju par to absolventu tālākām gaitām, kas studējuši par valsts budžeta līdzekļiem. </w:t>
      </w:r>
    </w:p>
    <w:p w:rsidR="00F80333" w:rsidRPr="00F80333" w:rsidRDefault="00F80333" w:rsidP="00061BD1">
      <w:pPr>
        <w:spacing w:after="0"/>
        <w:ind w:firstLine="426"/>
        <w:rPr>
          <w:bCs/>
        </w:rPr>
      </w:pPr>
      <w:r w:rsidRPr="00F80333">
        <w:rPr>
          <w:rFonts w:eastAsia="SimSun"/>
          <w:color w:val="000000"/>
          <w:lang w:eastAsia="zh-CN"/>
        </w:rPr>
        <w:tab/>
        <w:t xml:space="preserve">Atbilstoši Pasākumu plānā iekļautajām aktivitātēm, kas paredz modernizēt </w:t>
      </w:r>
      <w:r w:rsidRPr="00F80333">
        <w:t xml:space="preserve">AII infrastruktūru un uzlabot nodrošinājumu ar mūsdienīgām iekārtām, aprīkojumu un tehnoloģijām, </w:t>
      </w:r>
      <w:r w:rsidRPr="00F80333">
        <w:rPr>
          <w:b/>
        </w:rPr>
        <w:t>2010.gadā</w:t>
      </w:r>
      <w:r w:rsidRPr="00F80333">
        <w:t xml:space="preserve"> </w:t>
      </w:r>
      <w:r w:rsidRPr="00F80333">
        <w:rPr>
          <w:b/>
          <w:bCs/>
        </w:rPr>
        <w:t xml:space="preserve">ir uzsākta 30 projektu īstenošana </w:t>
      </w:r>
      <w:r w:rsidRPr="00F80333">
        <w:rPr>
          <w:bCs/>
        </w:rPr>
        <w:t>(</w:t>
      </w:r>
      <w:r w:rsidRPr="00F80333">
        <w:t xml:space="preserve">atbilstoši </w:t>
      </w:r>
      <w:r w:rsidRPr="00F80333">
        <w:rPr>
          <w:color w:val="000000"/>
        </w:rPr>
        <w:t>Ministru kabineta</w:t>
      </w:r>
      <w:r w:rsidRPr="00F80333">
        <w:t xml:space="preserve"> 2009.gada 24.marta noteikumu Nr.265 „</w:t>
      </w:r>
      <w:r w:rsidRPr="00F80333">
        <w:rPr>
          <w:bCs/>
        </w:rPr>
        <w:t>Noteikumi par darbības programmas „Infrastruktūra un pakalpojumi” papildinājuma 3.1.2.1.1.apakšaktivitātei „Augstākās izglītības iestāžu telpu un iekārtu modernizēšana studiju programmu kvalitātes uzlabošanai, tajā skaitā nodrošinot izglītības programmu apgūšanas iespējas arī personām ar funkcionāliem traucējumiem</w:t>
      </w:r>
      <w:r w:rsidRPr="000E5117">
        <w:rPr>
          <w:bCs/>
        </w:rPr>
        <w:t>””</w:t>
      </w:r>
      <w:r w:rsidRPr="00F80333">
        <w:rPr>
          <w:bCs/>
        </w:rPr>
        <w:t>)</w:t>
      </w:r>
      <w:r w:rsidRPr="00F80333">
        <w:t xml:space="preserve">. Uz doto brīdi visas AII ir uzsākušas projektos paredzēto aktivitāšu īstenošanu. Tiek veikta iepirkumu dokumentācijas sagatavošana, iepirkumu procedūru izsludināšana, tiek izstrādāti tehniskie projekti, slēgti līgumi par būvniecības procesa nodrošināšanu, veikti iepirkumi un slēgti līgumi par aprīkojuma iegādi un piegādi. </w:t>
      </w:r>
      <w:r w:rsidRPr="00F80333">
        <w:rPr>
          <w:bCs/>
        </w:rPr>
        <w:t xml:space="preserve">Atbilstoši iepriekš minēto </w:t>
      </w:r>
      <w:r w:rsidRPr="00F80333">
        <w:rPr>
          <w:color w:val="000000"/>
        </w:rPr>
        <w:t>Ministru kabineta</w:t>
      </w:r>
      <w:r w:rsidRPr="00F80333">
        <w:rPr>
          <w:bCs/>
        </w:rPr>
        <w:t xml:space="preserve"> noteikumu 5.punktam, Izglītības un zinātnes ministrija kā atbildīgā iestāde izsludināja 3.1.2.1.1.apakšaktivitātes otro projektu iesniegumu atlases kārtu. 2011.gada 14.janvārī</w:t>
      </w:r>
      <w:r w:rsidRPr="00F80333">
        <w:rPr>
          <w:b/>
          <w:bCs/>
        </w:rPr>
        <w:t xml:space="preserve">  </w:t>
      </w:r>
      <w:r w:rsidRPr="00F80333">
        <w:rPr>
          <w:bCs/>
        </w:rPr>
        <w:t xml:space="preserve">projekta iesniegums tika apstiprināts ar nosacījumu. </w:t>
      </w:r>
    </w:p>
    <w:p w:rsidR="00F80333" w:rsidRDefault="00F80333" w:rsidP="005A077F">
      <w:pPr>
        <w:spacing w:after="0"/>
        <w:ind w:firstLine="426"/>
        <w:rPr>
          <w:b/>
        </w:rPr>
      </w:pPr>
      <w:r w:rsidRPr="00F80333">
        <w:rPr>
          <w:bCs/>
        </w:rPr>
        <w:tab/>
        <w:t xml:space="preserve">Lai veicinātu efektīvu ES līdzekļu izmantošanu, 2010.gadā ir </w:t>
      </w:r>
      <w:r w:rsidRPr="00F80333">
        <w:t xml:space="preserve">izstrādāti un </w:t>
      </w:r>
      <w:r w:rsidRPr="000E5117">
        <w:t xml:space="preserve">2010.gada 30.novembrī apstiprināti </w:t>
      </w:r>
      <w:r w:rsidRPr="000E5117">
        <w:rPr>
          <w:color w:val="000000"/>
        </w:rPr>
        <w:t>Ministru kabineta</w:t>
      </w:r>
      <w:r w:rsidRPr="000E5117">
        <w:t xml:space="preserve"> noteikumi Nr.1058 „</w:t>
      </w:r>
      <w:r w:rsidRPr="000E5117">
        <w:rPr>
          <w:bCs/>
        </w:rPr>
        <w:t>Noteikumi par izmantotā laika un paveiktā darba uzskaites sistēmu no valsts budžeta, Eiropas Savienības un ārvalstu finanšu atbalsta līdzekļiem finansētu pētījumu projektu īstenošanai</w:t>
      </w:r>
      <w:r w:rsidRPr="00F80333">
        <w:rPr>
          <w:bCs/>
        </w:rPr>
        <w:t xml:space="preserve">”, </w:t>
      </w:r>
      <w:r w:rsidRPr="00F80333">
        <w:t xml:space="preserve">kas paredz vienotu izmantotā laika un paveiktā darba uzskaites sistēmas izveidošanu pētījumu projektu īstenošanai, kas tiek finansēti no valsts budžeta, ES un ārvalstu finanšu līdzekļiem. </w:t>
      </w:r>
    </w:p>
    <w:p w:rsidR="005A077F" w:rsidRDefault="005A077F" w:rsidP="005A077F">
      <w:pPr>
        <w:spacing w:after="0"/>
        <w:ind w:firstLine="0"/>
        <w:rPr>
          <w:b/>
        </w:rPr>
      </w:pPr>
    </w:p>
    <w:p w:rsidR="005A077F" w:rsidRDefault="005A077F" w:rsidP="005A077F">
      <w:pPr>
        <w:spacing w:after="0"/>
        <w:ind w:firstLine="0"/>
        <w:rPr>
          <w:b/>
        </w:rPr>
      </w:pPr>
    </w:p>
    <w:p w:rsidR="00E22841" w:rsidRDefault="00E22841">
      <w:pPr>
        <w:spacing w:after="0"/>
        <w:ind w:firstLine="0"/>
        <w:rPr>
          <w:rFonts w:eastAsiaTheme="majorEastAsia"/>
          <w:b/>
          <w:bCs/>
        </w:rPr>
      </w:pPr>
      <w:r>
        <w:br w:type="page"/>
      </w:r>
    </w:p>
    <w:p w:rsidR="005A077F" w:rsidRPr="00BA56BE" w:rsidRDefault="005A077F" w:rsidP="00BA56BE">
      <w:pPr>
        <w:pStyle w:val="Heading1"/>
        <w:spacing w:before="0"/>
        <w:jc w:val="center"/>
        <w:rPr>
          <w:rFonts w:ascii="Times New Roman" w:hAnsi="Times New Roman" w:cs="Times New Roman"/>
          <w:color w:val="auto"/>
        </w:rPr>
      </w:pPr>
      <w:r w:rsidRPr="00BA56BE">
        <w:rPr>
          <w:rFonts w:ascii="Times New Roman" w:hAnsi="Times New Roman" w:cs="Times New Roman"/>
          <w:color w:val="auto"/>
        </w:rPr>
        <w:lastRenderedPageBreak/>
        <w:t>2. Izglītojamo teorētisko zināšanu praktiskā pielietojuma nodrošināšana</w:t>
      </w:r>
    </w:p>
    <w:p w:rsidR="005A077F" w:rsidRPr="005A077F" w:rsidRDefault="005A077F" w:rsidP="005A077F">
      <w:pPr>
        <w:spacing w:after="0"/>
        <w:ind w:firstLine="0"/>
        <w:jc w:val="center"/>
        <w:rPr>
          <w:b/>
        </w:rPr>
      </w:pPr>
    </w:p>
    <w:p w:rsidR="005A077F" w:rsidRPr="005A077F" w:rsidRDefault="005A077F" w:rsidP="005A077F">
      <w:pPr>
        <w:pStyle w:val="Style6"/>
        <w:widowControl/>
        <w:spacing w:line="302" w:lineRule="exact"/>
        <w:ind w:firstLine="686"/>
        <w:rPr>
          <w:rStyle w:val="FontStyle34"/>
          <w:sz w:val="28"/>
          <w:szCs w:val="28"/>
        </w:rPr>
      </w:pPr>
      <w:r w:rsidRPr="005A077F">
        <w:rPr>
          <w:rStyle w:val="FontStyle34"/>
          <w:sz w:val="28"/>
          <w:szCs w:val="28"/>
        </w:rPr>
        <w:t>Ministru kabineta 2006.gada 19.decembra noteikumos Nr.1027</w:t>
      </w:r>
      <w:r>
        <w:rPr>
          <w:rStyle w:val="FontStyle34"/>
          <w:sz w:val="28"/>
          <w:szCs w:val="28"/>
        </w:rPr>
        <w:t xml:space="preserve"> „</w:t>
      </w:r>
      <w:r w:rsidRPr="005A077F">
        <w:rPr>
          <w:rStyle w:val="FontStyle34"/>
          <w:sz w:val="28"/>
          <w:szCs w:val="28"/>
        </w:rPr>
        <w:t>Noteikumi par valsts standartu pamatizglītībā un pamatizglītības mācību</w:t>
      </w:r>
      <w:r>
        <w:rPr>
          <w:rStyle w:val="FontStyle34"/>
          <w:sz w:val="28"/>
          <w:szCs w:val="28"/>
        </w:rPr>
        <w:t xml:space="preserve"> priekšmetu standartiem”</w:t>
      </w:r>
      <w:r w:rsidRPr="005A077F">
        <w:rPr>
          <w:rStyle w:val="FontStyle34"/>
          <w:sz w:val="28"/>
          <w:szCs w:val="28"/>
        </w:rPr>
        <w:t xml:space="preserve"> un Ministru kabineta 2008.gada 2.septembra</w:t>
      </w:r>
      <w:r>
        <w:rPr>
          <w:rStyle w:val="FontStyle34"/>
          <w:sz w:val="28"/>
          <w:szCs w:val="28"/>
        </w:rPr>
        <w:t xml:space="preserve"> noteikumos Nr.715 „</w:t>
      </w:r>
      <w:r w:rsidRPr="005A077F">
        <w:rPr>
          <w:rStyle w:val="FontStyle34"/>
          <w:sz w:val="28"/>
          <w:szCs w:val="28"/>
        </w:rPr>
        <w:t>Noteikumi par valsts vispārēj</w:t>
      </w:r>
      <w:r>
        <w:rPr>
          <w:rStyle w:val="FontStyle34"/>
          <w:sz w:val="28"/>
          <w:szCs w:val="28"/>
        </w:rPr>
        <w:t xml:space="preserve">ās vidējās izglītības standartu </w:t>
      </w:r>
      <w:r w:rsidRPr="005A077F">
        <w:rPr>
          <w:rStyle w:val="FontStyle34"/>
          <w:sz w:val="28"/>
          <w:szCs w:val="28"/>
        </w:rPr>
        <w:t>un vispārējās vidējās izglītība</w:t>
      </w:r>
      <w:r>
        <w:rPr>
          <w:rStyle w:val="FontStyle34"/>
          <w:sz w:val="28"/>
          <w:szCs w:val="28"/>
        </w:rPr>
        <w:t>s mācību priekšmetu standartiem”</w:t>
      </w:r>
      <w:r w:rsidRPr="005A077F">
        <w:rPr>
          <w:rStyle w:val="FontStyle34"/>
          <w:sz w:val="28"/>
          <w:szCs w:val="28"/>
        </w:rPr>
        <w:t xml:space="preserve"> noteiktās</w:t>
      </w:r>
      <w:r>
        <w:rPr>
          <w:rStyle w:val="FontStyle34"/>
          <w:sz w:val="28"/>
          <w:szCs w:val="28"/>
        </w:rPr>
        <w:t xml:space="preserve"> </w:t>
      </w:r>
      <w:r w:rsidRPr="005A077F">
        <w:rPr>
          <w:rStyle w:val="FontStyle34"/>
          <w:sz w:val="28"/>
          <w:szCs w:val="28"/>
        </w:rPr>
        <w:t>pamatprasības mācību priekšmetu apguvei ir orientētas uz to, lai nodrošinātu</w:t>
      </w:r>
      <w:r>
        <w:rPr>
          <w:rStyle w:val="FontStyle34"/>
          <w:sz w:val="28"/>
          <w:szCs w:val="28"/>
        </w:rPr>
        <w:t xml:space="preserve"> </w:t>
      </w:r>
      <w:r w:rsidRPr="005A077F">
        <w:rPr>
          <w:rStyle w:val="FontStyle34"/>
          <w:sz w:val="28"/>
          <w:szCs w:val="28"/>
        </w:rPr>
        <w:t>izglītojamo teorētisko zināšanu praktisko pielietojumu.</w:t>
      </w:r>
    </w:p>
    <w:p w:rsidR="005A077F" w:rsidRPr="005A077F" w:rsidRDefault="005A077F" w:rsidP="005A077F">
      <w:pPr>
        <w:pStyle w:val="Style6"/>
        <w:widowControl/>
        <w:spacing w:line="302" w:lineRule="exact"/>
        <w:rPr>
          <w:rStyle w:val="FontStyle34"/>
          <w:sz w:val="28"/>
          <w:szCs w:val="28"/>
        </w:rPr>
      </w:pPr>
      <w:r w:rsidRPr="005A077F">
        <w:rPr>
          <w:rStyle w:val="FontStyle34"/>
          <w:sz w:val="28"/>
          <w:szCs w:val="28"/>
        </w:rPr>
        <w:t>Profesionālās izglītības uzdevums ir sagatavot tautsaimniecības prasībām</w:t>
      </w:r>
      <w:r>
        <w:rPr>
          <w:rStyle w:val="FontStyle34"/>
          <w:sz w:val="28"/>
          <w:szCs w:val="28"/>
        </w:rPr>
        <w:t xml:space="preserve"> </w:t>
      </w:r>
      <w:r w:rsidRPr="005A077F">
        <w:rPr>
          <w:rStyle w:val="FontStyle34"/>
          <w:sz w:val="28"/>
          <w:szCs w:val="28"/>
        </w:rPr>
        <w:t>atbilstošus augsti kvalificētus un konkurētspējīgus speciālistus, kas sekmē valsts</w:t>
      </w:r>
      <w:r>
        <w:rPr>
          <w:rStyle w:val="FontStyle34"/>
          <w:sz w:val="28"/>
          <w:szCs w:val="28"/>
        </w:rPr>
        <w:t xml:space="preserve"> </w:t>
      </w:r>
      <w:r w:rsidRPr="005A077F">
        <w:rPr>
          <w:rStyle w:val="FontStyle34"/>
          <w:sz w:val="28"/>
          <w:szCs w:val="28"/>
        </w:rPr>
        <w:t>ekonomisko attīstību, nodrošina tautsaimniecības izaugsmi un palielina valsts</w:t>
      </w:r>
      <w:r>
        <w:rPr>
          <w:rStyle w:val="FontStyle34"/>
          <w:sz w:val="28"/>
          <w:szCs w:val="28"/>
        </w:rPr>
        <w:t xml:space="preserve"> </w:t>
      </w:r>
      <w:r w:rsidRPr="005A077F">
        <w:rPr>
          <w:rStyle w:val="FontStyle34"/>
          <w:sz w:val="28"/>
          <w:szCs w:val="28"/>
        </w:rPr>
        <w:t>konkurētspēju citu valstu vidū.</w:t>
      </w:r>
    </w:p>
    <w:p w:rsidR="005A077F" w:rsidRPr="005A077F" w:rsidRDefault="005A077F" w:rsidP="005A077F">
      <w:pPr>
        <w:pStyle w:val="Style6"/>
        <w:widowControl/>
        <w:spacing w:before="5" w:line="302" w:lineRule="exact"/>
        <w:ind w:firstLine="691"/>
        <w:rPr>
          <w:rStyle w:val="FontStyle34"/>
          <w:sz w:val="28"/>
          <w:szCs w:val="28"/>
        </w:rPr>
      </w:pPr>
      <w:r w:rsidRPr="005A077F">
        <w:rPr>
          <w:rStyle w:val="FontStyle34"/>
          <w:sz w:val="28"/>
          <w:szCs w:val="28"/>
        </w:rPr>
        <w:t>Profesionālai izglītībai jāpieņem Latvijas Nacionālajā attīstības plānā</w:t>
      </w:r>
      <w:r>
        <w:rPr>
          <w:rStyle w:val="FontStyle34"/>
          <w:sz w:val="28"/>
          <w:szCs w:val="28"/>
        </w:rPr>
        <w:t xml:space="preserve"> izvirzītais izaicinājums „</w:t>
      </w:r>
      <w:r w:rsidRPr="005A077F">
        <w:rPr>
          <w:rStyle w:val="FontStyle34"/>
          <w:sz w:val="28"/>
          <w:szCs w:val="28"/>
        </w:rPr>
        <w:t>pārejai no šodien ekonomikā valdošā modeļa, kuru</w:t>
      </w:r>
      <w:r>
        <w:rPr>
          <w:rStyle w:val="FontStyle34"/>
          <w:sz w:val="28"/>
          <w:szCs w:val="28"/>
        </w:rPr>
        <w:t xml:space="preserve"> </w:t>
      </w:r>
      <w:r w:rsidRPr="005A077F">
        <w:rPr>
          <w:rStyle w:val="FontStyle34"/>
          <w:sz w:val="28"/>
          <w:szCs w:val="28"/>
        </w:rPr>
        <w:t>raksturo mazkvalificēta darbaspēka izmantošana un produkcijas ar zemu</w:t>
      </w:r>
      <w:r>
        <w:rPr>
          <w:rStyle w:val="FontStyle34"/>
          <w:sz w:val="28"/>
          <w:szCs w:val="28"/>
        </w:rPr>
        <w:t xml:space="preserve"> </w:t>
      </w:r>
      <w:r w:rsidRPr="005A077F">
        <w:rPr>
          <w:rStyle w:val="FontStyle34"/>
          <w:sz w:val="28"/>
          <w:szCs w:val="28"/>
        </w:rPr>
        <w:t xml:space="preserve">pievienoto vērtību ražošana, uz </w:t>
      </w:r>
      <w:proofErr w:type="spellStart"/>
      <w:r w:rsidRPr="005A077F">
        <w:rPr>
          <w:rStyle w:val="FontStyle34"/>
          <w:sz w:val="28"/>
          <w:szCs w:val="28"/>
        </w:rPr>
        <w:t>inovatīv</w:t>
      </w:r>
      <w:r>
        <w:rPr>
          <w:rStyle w:val="FontStyle34"/>
          <w:sz w:val="28"/>
          <w:szCs w:val="28"/>
        </w:rPr>
        <w:t>o</w:t>
      </w:r>
      <w:proofErr w:type="spellEnd"/>
      <w:r>
        <w:rPr>
          <w:rStyle w:val="FontStyle34"/>
          <w:sz w:val="28"/>
          <w:szCs w:val="28"/>
        </w:rPr>
        <w:t xml:space="preserve"> (zināšanu) attīstības modeli.”</w:t>
      </w:r>
      <w:r w:rsidRPr="005A077F">
        <w:rPr>
          <w:rStyle w:val="FontStyle34"/>
          <w:sz w:val="28"/>
          <w:szCs w:val="28"/>
        </w:rPr>
        <w:t xml:space="preserve"> (Latvijas</w:t>
      </w:r>
      <w:r>
        <w:rPr>
          <w:rStyle w:val="FontStyle34"/>
          <w:sz w:val="28"/>
          <w:szCs w:val="28"/>
        </w:rPr>
        <w:t xml:space="preserve"> </w:t>
      </w:r>
      <w:r w:rsidRPr="005A077F">
        <w:rPr>
          <w:rStyle w:val="FontStyle34"/>
          <w:sz w:val="28"/>
          <w:szCs w:val="28"/>
        </w:rPr>
        <w:t>Nacionālais attīstības plāns, 2006., 12. lpp.).</w:t>
      </w:r>
    </w:p>
    <w:p w:rsidR="005A077F" w:rsidRPr="005A077F" w:rsidRDefault="005A077F" w:rsidP="005A077F">
      <w:pPr>
        <w:pStyle w:val="Style6"/>
        <w:widowControl/>
        <w:spacing w:before="5" w:line="302" w:lineRule="exact"/>
        <w:ind w:firstLine="701"/>
        <w:rPr>
          <w:rStyle w:val="FontStyle34"/>
          <w:sz w:val="28"/>
          <w:szCs w:val="28"/>
        </w:rPr>
      </w:pPr>
      <w:r w:rsidRPr="005A077F">
        <w:rPr>
          <w:rStyle w:val="FontStyle34"/>
          <w:sz w:val="28"/>
          <w:szCs w:val="28"/>
        </w:rPr>
        <w:t>Mūsdienu, uz zināšanās balstīta sabiedrība izvirza profesionālajai</w:t>
      </w:r>
      <w:r>
        <w:rPr>
          <w:rStyle w:val="FontStyle34"/>
          <w:sz w:val="28"/>
          <w:szCs w:val="28"/>
        </w:rPr>
        <w:t xml:space="preserve"> izglītībai augstas prasības – „</w:t>
      </w:r>
      <w:r w:rsidRPr="005A077F">
        <w:rPr>
          <w:rStyle w:val="FontStyle34"/>
          <w:sz w:val="28"/>
          <w:szCs w:val="28"/>
        </w:rPr>
        <w:t>modernizēt profesionālās izglītības sistēmu, lai</w:t>
      </w:r>
      <w:r>
        <w:rPr>
          <w:rStyle w:val="FontStyle34"/>
          <w:sz w:val="28"/>
          <w:szCs w:val="28"/>
        </w:rPr>
        <w:t xml:space="preserve"> </w:t>
      </w:r>
      <w:r w:rsidRPr="005A077F">
        <w:rPr>
          <w:rStyle w:val="FontStyle34"/>
          <w:sz w:val="28"/>
          <w:szCs w:val="28"/>
        </w:rPr>
        <w:t>nodrošinātu izglītības programmu kvalitāti un a</w:t>
      </w:r>
      <w:r>
        <w:rPr>
          <w:rStyle w:val="FontStyle34"/>
          <w:sz w:val="28"/>
          <w:szCs w:val="28"/>
        </w:rPr>
        <w:t xml:space="preserve">tbilstību darba tirgus prasībām” </w:t>
      </w:r>
      <w:r w:rsidRPr="005A077F">
        <w:rPr>
          <w:rStyle w:val="FontStyle34"/>
          <w:sz w:val="28"/>
          <w:szCs w:val="28"/>
        </w:rPr>
        <w:t xml:space="preserve">(Latvijas Nacionālais attīstības </w:t>
      </w:r>
      <w:r>
        <w:rPr>
          <w:rStyle w:val="FontStyle34"/>
          <w:sz w:val="28"/>
          <w:szCs w:val="28"/>
        </w:rPr>
        <w:t>plāns, 2006., 16.1pp.), kā arī „</w:t>
      </w:r>
      <w:r w:rsidRPr="005A077F">
        <w:rPr>
          <w:rStyle w:val="FontStyle34"/>
          <w:sz w:val="28"/>
          <w:szCs w:val="28"/>
        </w:rPr>
        <w:t>profesionālās</w:t>
      </w:r>
      <w:r>
        <w:rPr>
          <w:rStyle w:val="FontStyle34"/>
          <w:sz w:val="28"/>
          <w:szCs w:val="28"/>
        </w:rPr>
        <w:t xml:space="preserve"> </w:t>
      </w:r>
      <w:r w:rsidRPr="005A077F">
        <w:rPr>
          <w:rStyle w:val="FontStyle34"/>
          <w:sz w:val="28"/>
          <w:szCs w:val="28"/>
        </w:rPr>
        <w:t>izglītības kvalitātes un pievilcības uzlabošanu, pilnveidojot profesionālās</w:t>
      </w:r>
      <w:r>
        <w:rPr>
          <w:rStyle w:val="FontStyle34"/>
          <w:sz w:val="28"/>
          <w:szCs w:val="28"/>
        </w:rPr>
        <w:t xml:space="preserve"> </w:t>
      </w:r>
      <w:r w:rsidRPr="005A077F">
        <w:rPr>
          <w:rStyle w:val="FontStyle34"/>
          <w:sz w:val="28"/>
          <w:szCs w:val="28"/>
        </w:rPr>
        <w:t>izglītības programmu saturu, profesiju standartu, audzēkņu un absolventu</w:t>
      </w:r>
      <w:r>
        <w:rPr>
          <w:rStyle w:val="FontStyle34"/>
          <w:sz w:val="28"/>
          <w:szCs w:val="28"/>
        </w:rPr>
        <w:t xml:space="preserve"> </w:t>
      </w:r>
      <w:r w:rsidRPr="005A077F">
        <w:rPr>
          <w:rStyle w:val="FontStyle34"/>
          <w:sz w:val="28"/>
          <w:szCs w:val="28"/>
        </w:rPr>
        <w:t>kvalifikācijas sistēmu, nodrošinot kvalifikācijas un mūsdienu tautsaimniecības</w:t>
      </w:r>
      <w:r>
        <w:rPr>
          <w:rStyle w:val="FontStyle34"/>
          <w:sz w:val="28"/>
          <w:szCs w:val="28"/>
        </w:rPr>
        <w:t xml:space="preserve"> </w:t>
      </w:r>
      <w:r w:rsidRPr="005A077F">
        <w:rPr>
          <w:rStyle w:val="FontStyle34"/>
          <w:sz w:val="28"/>
          <w:szCs w:val="28"/>
        </w:rPr>
        <w:t>prasībām atbilstošas praktis</w:t>
      </w:r>
      <w:r>
        <w:rPr>
          <w:rStyle w:val="FontStyle34"/>
          <w:sz w:val="28"/>
          <w:szCs w:val="28"/>
        </w:rPr>
        <w:t>kās mācības un prakses iespējas”</w:t>
      </w:r>
      <w:r w:rsidRPr="005A077F">
        <w:rPr>
          <w:rStyle w:val="FontStyle34"/>
          <w:sz w:val="28"/>
          <w:szCs w:val="28"/>
        </w:rPr>
        <w:t xml:space="preserve"> (Latvijas</w:t>
      </w:r>
      <w:r w:rsidRPr="005A077F">
        <w:rPr>
          <w:rStyle w:val="FontStyle34"/>
          <w:sz w:val="28"/>
          <w:szCs w:val="28"/>
        </w:rPr>
        <w:br/>
        <w:t>Nacionālais attīstības plāns, 2006., 15.lpp.).</w:t>
      </w:r>
    </w:p>
    <w:p w:rsidR="005A077F" w:rsidRDefault="005A077F" w:rsidP="00E22841">
      <w:pPr>
        <w:spacing w:after="0"/>
        <w:ind w:firstLine="0"/>
      </w:pPr>
    </w:p>
    <w:p w:rsidR="0063079D" w:rsidRPr="00FB3102" w:rsidRDefault="00E22841" w:rsidP="00E22841">
      <w:pPr>
        <w:spacing w:after="0"/>
        <w:jc w:val="center"/>
        <w:rPr>
          <w:b/>
        </w:rPr>
      </w:pPr>
      <w:r>
        <w:rPr>
          <w:b/>
        </w:rPr>
        <w:t>2.</w:t>
      </w:r>
      <w:r w:rsidR="0063079D" w:rsidRPr="00FB3102">
        <w:rPr>
          <w:b/>
        </w:rPr>
        <w:t>1.Vispārējā izglītība (gan pamatizglītība, gan vidējā izglītība)</w:t>
      </w:r>
    </w:p>
    <w:p w:rsidR="00E22841" w:rsidRDefault="00E22841" w:rsidP="00E22841">
      <w:pPr>
        <w:spacing w:after="0"/>
        <w:ind w:firstLine="0"/>
        <w:jc w:val="center"/>
        <w:rPr>
          <w:b/>
        </w:rPr>
      </w:pPr>
    </w:p>
    <w:p w:rsidR="0063079D" w:rsidRPr="00FB3102" w:rsidRDefault="00E22841" w:rsidP="00E22841">
      <w:pPr>
        <w:spacing w:after="0"/>
        <w:ind w:firstLine="0"/>
        <w:jc w:val="center"/>
        <w:rPr>
          <w:b/>
        </w:rPr>
      </w:pPr>
      <w:r>
        <w:rPr>
          <w:b/>
        </w:rPr>
        <w:t xml:space="preserve">2.1.1. </w:t>
      </w:r>
      <w:r w:rsidR="0063079D" w:rsidRPr="00FB3102">
        <w:rPr>
          <w:b/>
        </w:rPr>
        <w:t>Satura izmaiņas</w:t>
      </w:r>
    </w:p>
    <w:p w:rsidR="0063079D" w:rsidRPr="00FB3102" w:rsidRDefault="0063079D" w:rsidP="00E22841">
      <w:pPr>
        <w:spacing w:after="0"/>
        <w:rPr>
          <w:b/>
        </w:rPr>
      </w:pPr>
    </w:p>
    <w:p w:rsidR="0063079D" w:rsidRPr="00FB3102" w:rsidRDefault="0063079D" w:rsidP="00E22841">
      <w:pPr>
        <w:spacing w:after="0"/>
        <w:ind w:firstLine="709"/>
      </w:pPr>
      <w:r>
        <w:t xml:space="preserve">Ministru kabineta </w:t>
      </w:r>
      <w:r w:rsidRPr="00FB3102">
        <w:t xml:space="preserve">2006.gada 19.decembra noteikumos Nr.1027 </w:t>
      </w:r>
      <w:r>
        <w:t>"</w:t>
      </w:r>
      <w:r w:rsidRPr="00FB3102">
        <w:t>Noteikumi par valsts standartu pamatizglītībā un pamatizglītības mācību priekšmetu standartiem" un Minis</w:t>
      </w:r>
      <w:r>
        <w:t xml:space="preserve">tru kabineta </w:t>
      </w:r>
      <w:r w:rsidRPr="00FB3102">
        <w:t xml:space="preserve">2008.gada 2.septembra </w:t>
      </w:r>
      <w:r>
        <w:t>noteikumos Nr.715 "</w:t>
      </w:r>
      <w:r w:rsidRPr="00FB3102">
        <w:t xml:space="preserve">Noteikumi par valsts vispārējās vidējās izglītības standartu un vispārējās vidējās izglītības mācību priekšmetu standartiem" noteiktās pamatprasības mācību priekšmetu apguvei ir orientētas uz to, lai nodrošinātu izglītojamo teorētisko zināšanu praktisko pielietojumu. Lai mācību process to veicinātu, Izglītības un zinātnes ministrija (turpmāk – IZM) ir veikusi vairākus pasākumus satura izmaiņu nodrošināšanā, īpaši dabaszinātņu mācību priekšmetos (ķīmija, fizika un bioloģija) un matemātikā. Laikā no 2005. līdz </w:t>
      </w:r>
      <w:r w:rsidRPr="00FB3102">
        <w:lastRenderedPageBreak/>
        <w:t>2011.gadam, Valsts izglītības satura centra (turpmāk – VISC) īstenotajos ESF projektos</w:t>
      </w:r>
      <w:r>
        <w:t xml:space="preserve"> "</w:t>
      </w:r>
      <w:r w:rsidRPr="00FB3102">
        <w:t xml:space="preserve">Mācību satura izstrāde un skolotāju </w:t>
      </w:r>
      <w:proofErr w:type="spellStart"/>
      <w:r w:rsidRPr="00FB3102">
        <w:t>tālākizglītība</w:t>
      </w:r>
      <w:proofErr w:type="spellEnd"/>
      <w:r w:rsidRPr="00FB3102">
        <w:t xml:space="preserve"> dabaszinātņu, matemātikas un tehnoloģiju priekšmetos vidējā izglītībā</w:t>
      </w:r>
      <w:r>
        <w:t>" un "</w:t>
      </w:r>
      <w:r w:rsidRPr="00FB3102">
        <w:t>Dabaszinātnes un matemātika</w:t>
      </w:r>
      <w:r>
        <w:t>"</w:t>
      </w:r>
      <w:r w:rsidRPr="00FB3102">
        <w:t xml:space="preserve"> reforma ir sagatavota, izmēģināta un uzsākta ieviest vispārējās izglītības programmu 10. – 12.klasē, 2011.gadā tiks pabeigts izmēģi</w:t>
      </w:r>
      <w:r>
        <w:t xml:space="preserve">nājuma pētījums posmā 7. </w:t>
      </w:r>
      <w:r w:rsidRPr="00FB3102">
        <w:t>–</w:t>
      </w:r>
      <w:r>
        <w:t xml:space="preserve"> </w:t>
      </w:r>
      <w:r w:rsidRPr="00FB3102">
        <w:t xml:space="preserve">9.klase. Ir radīta vienota, zinātniski pamatota metodiskā sistēma visos dabaszinātņu mācību priekšmetos un matemātikā, kas virzīta uz šo nozaru sadarbību, konkrētu skolēnu mācību rezultātu sasniegšanu mūsdienīgā mācību procesā; radītas daudzas </w:t>
      </w:r>
      <w:proofErr w:type="spellStart"/>
      <w:r w:rsidRPr="00FB3102">
        <w:t>inovatīvas</w:t>
      </w:r>
      <w:proofErr w:type="spellEnd"/>
      <w:r w:rsidRPr="00FB3102">
        <w:t xml:space="preserve"> praksē aprobētas izstrādnes, kas sekmē šo rezultātu sasniegšanu, modernizēta dabaszinātņu apguves infrastruktūra vispārējā izglītībā. Ievērojami paaugstināta dabaszinātņu un matemātikas izglītības ekspertu profesionālā kapacitāte, iesaistoties profesionālā starptautiskā pieredzes apmaiņā.</w:t>
      </w:r>
    </w:p>
    <w:p w:rsidR="0063079D" w:rsidRPr="0063079D" w:rsidRDefault="0063079D" w:rsidP="00E22841">
      <w:pPr>
        <w:pStyle w:val="NoSpacing"/>
        <w:ind w:firstLine="720"/>
        <w:jc w:val="both"/>
        <w:rPr>
          <w:sz w:val="28"/>
          <w:szCs w:val="28"/>
          <w:lang w:val="lv-LV"/>
        </w:rPr>
      </w:pPr>
      <w:r w:rsidRPr="0063079D">
        <w:rPr>
          <w:sz w:val="28"/>
          <w:szCs w:val="28"/>
          <w:lang w:val="lv-LV"/>
        </w:rPr>
        <w:t>Taču vienlaikus jāatzīst, ka kavējoties ERAF projekta īstenošanai, pilnvērtīga reformas ieviešana katrā Latvijas vidusskolā varēs tikt uzsākta tikai ar 2011./2012.m.g., vienlaikus ar reformu uzsākšanas ieviešanu 7. – 9.klašu posmā. Līdz ar to veikto reformu tieša ietekme uz rezultātu nav iespējama ātrāk kā 2014. gadā.</w:t>
      </w:r>
    </w:p>
    <w:p w:rsidR="0063079D" w:rsidRPr="0063079D" w:rsidRDefault="0063079D" w:rsidP="00E22841">
      <w:pPr>
        <w:pStyle w:val="NoSpacing"/>
        <w:ind w:firstLine="709"/>
        <w:jc w:val="both"/>
        <w:rPr>
          <w:sz w:val="28"/>
          <w:szCs w:val="28"/>
          <w:lang w:val="lv-LV"/>
        </w:rPr>
      </w:pPr>
      <w:r w:rsidRPr="0063079D">
        <w:rPr>
          <w:sz w:val="28"/>
          <w:szCs w:val="28"/>
          <w:lang w:val="lv-LV"/>
        </w:rPr>
        <w:t>Saskaņā ar Ministru kabineta 2009.gada 8.septembra</w:t>
      </w:r>
      <w:r w:rsidRPr="0063079D">
        <w:rPr>
          <w:bCs/>
          <w:sz w:val="28"/>
          <w:szCs w:val="28"/>
          <w:lang w:val="lv-LV"/>
        </w:rPr>
        <w:t xml:space="preserve"> </w:t>
      </w:r>
      <w:r w:rsidRPr="0063079D">
        <w:rPr>
          <w:sz w:val="28"/>
          <w:szCs w:val="28"/>
          <w:lang w:val="lv-LV"/>
        </w:rPr>
        <w:t>sēdes protokola Nr.56, §78</w:t>
      </w:r>
      <w:r w:rsidRPr="0063079D">
        <w:rPr>
          <w:bCs/>
          <w:sz w:val="28"/>
          <w:szCs w:val="28"/>
          <w:lang w:val="lv-LV"/>
        </w:rPr>
        <w:t xml:space="preserve"> </w:t>
      </w:r>
      <w:r w:rsidRPr="0063079D">
        <w:rPr>
          <w:sz w:val="28"/>
          <w:szCs w:val="28"/>
          <w:lang w:val="lv-LV"/>
        </w:rPr>
        <w:t>"</w:t>
      </w:r>
      <w:r w:rsidRPr="0063079D">
        <w:rPr>
          <w:bCs/>
          <w:sz w:val="28"/>
          <w:szCs w:val="28"/>
          <w:lang w:val="lv-LV"/>
        </w:rPr>
        <w:t>Par Sociālās drošības tīkla stratēģiju</w:t>
      </w:r>
      <w:r w:rsidRPr="0063079D">
        <w:rPr>
          <w:sz w:val="28"/>
          <w:szCs w:val="28"/>
          <w:lang w:val="lv-LV"/>
        </w:rPr>
        <w:t>"</w:t>
      </w:r>
      <w:r w:rsidRPr="0063079D">
        <w:rPr>
          <w:bCs/>
          <w:sz w:val="28"/>
          <w:szCs w:val="28"/>
          <w:lang w:val="lv-LV"/>
        </w:rPr>
        <w:t xml:space="preserve"> VISC ir uzsācis p</w:t>
      </w:r>
      <w:r w:rsidRPr="0063079D">
        <w:rPr>
          <w:sz w:val="28"/>
          <w:szCs w:val="28"/>
          <w:lang w:val="lv-LV"/>
        </w:rPr>
        <w:t>rogrammu pilnveidi, izstrādājot jaunas izglītības programmas bērniem vecumā no pieciem līdz vienpadsmit gadiem, ar mērķi nodrošināt bērnu vecumposmam atbilstošu izglītības saturu un veikt sagatavošanas darbus pamatizglītības apguvei sešu gadu vecumā. Viens no mācību procesa būtiskākajiem aspektiem programmu pilnveidē ir kritiskās un radošās domāšanas aktualizācija mācību metodēs.</w:t>
      </w:r>
    </w:p>
    <w:p w:rsidR="0063079D" w:rsidRPr="0063079D" w:rsidRDefault="0063079D" w:rsidP="00E22841">
      <w:pPr>
        <w:pStyle w:val="NoSpacing"/>
        <w:ind w:firstLine="720"/>
        <w:jc w:val="both"/>
        <w:rPr>
          <w:sz w:val="28"/>
          <w:szCs w:val="28"/>
          <w:lang w:val="lv-LV"/>
        </w:rPr>
      </w:pPr>
    </w:p>
    <w:p w:rsidR="0063079D" w:rsidRPr="0063079D" w:rsidRDefault="00E22841" w:rsidP="00E22841">
      <w:pPr>
        <w:pStyle w:val="NoSpacing"/>
        <w:jc w:val="center"/>
        <w:rPr>
          <w:b/>
          <w:sz w:val="28"/>
          <w:szCs w:val="28"/>
          <w:lang w:val="lv-LV"/>
        </w:rPr>
      </w:pPr>
      <w:r>
        <w:rPr>
          <w:b/>
          <w:sz w:val="28"/>
          <w:szCs w:val="28"/>
          <w:lang w:val="lv-LV"/>
        </w:rPr>
        <w:t>2.</w:t>
      </w:r>
      <w:r w:rsidR="0063079D" w:rsidRPr="0063079D">
        <w:rPr>
          <w:b/>
          <w:sz w:val="28"/>
          <w:szCs w:val="28"/>
          <w:lang w:val="lv-LV"/>
        </w:rPr>
        <w:t>1.2. Pārbaudījumu izmaiņas</w:t>
      </w:r>
    </w:p>
    <w:p w:rsidR="0063079D" w:rsidRPr="00FB3102" w:rsidRDefault="0063079D" w:rsidP="00E22841">
      <w:pPr>
        <w:spacing w:after="0"/>
        <w:jc w:val="center"/>
        <w:rPr>
          <w:b/>
        </w:rPr>
      </w:pPr>
    </w:p>
    <w:p w:rsidR="0063079D" w:rsidRPr="00FB3102" w:rsidRDefault="0063079D" w:rsidP="00E22841">
      <w:pPr>
        <w:spacing w:after="0"/>
        <w:ind w:firstLine="709"/>
      </w:pPr>
      <w:r w:rsidRPr="00FB3102">
        <w:t xml:space="preserve">Lai tuvinātu izglītojamā </w:t>
      </w:r>
      <w:proofErr w:type="spellStart"/>
      <w:r w:rsidRPr="00FB3102">
        <w:t>runātprasmes</w:t>
      </w:r>
      <w:proofErr w:type="spellEnd"/>
      <w:r w:rsidRPr="00FB3102">
        <w:t xml:space="preserve"> pārbaudi reālajām dzīves situācijām, sākot ar 2010./2011.mācību gadu 6.klases mācību valodas ieskaites mutvārdu daļas norise tiek organizēta mācību valodas stundās mācību gada otrā semestra laikā.</w:t>
      </w:r>
    </w:p>
    <w:p w:rsidR="0063079D" w:rsidRPr="00FB3102" w:rsidRDefault="0063079D" w:rsidP="00E22841">
      <w:pPr>
        <w:spacing w:after="0"/>
        <w:ind w:firstLine="709"/>
      </w:pPr>
      <w:r w:rsidRPr="00FB3102">
        <w:t xml:space="preserve">Sākot ar 2010./2011.m.g. vispārējā vidējā izglītībā izglītojamajiem ir iespēja kārtot informātikas eksāmenu, kas izstrādāts atbilstoši Eiropas </w:t>
      </w:r>
      <w:proofErr w:type="spellStart"/>
      <w:r w:rsidRPr="00FB3102">
        <w:t>datorprasmju</w:t>
      </w:r>
      <w:proofErr w:type="spellEnd"/>
      <w:r w:rsidRPr="00FB3102">
        <w:t xml:space="preserve"> eksāmena (ECDL) prasībām. Līdz ar to izglītojamiem ir dota iespēja iegūt ECDL </w:t>
      </w:r>
      <w:proofErr w:type="spellStart"/>
      <w:r w:rsidRPr="00FB3102">
        <w:t>Basic</w:t>
      </w:r>
      <w:proofErr w:type="spellEnd"/>
      <w:r w:rsidRPr="00FB3102">
        <w:t xml:space="preserve"> sertifikātu, kas paplašina un atvieglo tā turpmāko konkurētspēju darba tirgū.</w:t>
      </w:r>
    </w:p>
    <w:p w:rsidR="0063079D" w:rsidRPr="00FB3102" w:rsidRDefault="0063079D" w:rsidP="00E22841">
      <w:pPr>
        <w:spacing w:after="0"/>
        <w:ind w:firstLine="709"/>
      </w:pPr>
      <w:r w:rsidRPr="00FB3102">
        <w:t>Sākot ar 2010./2011.m.g. ir mainīta centralizēto eksāmenu struktūra fizikā, ķīmijā un bioloģijā atbilstoši dabaszinātņu mācību priekšmetu jaunajiem standartiem (Mini</w:t>
      </w:r>
      <w:r>
        <w:t xml:space="preserve">stru kabineta </w:t>
      </w:r>
      <w:r w:rsidRPr="00FB3102">
        <w:t xml:space="preserve">2008.gada 2.septembra </w:t>
      </w:r>
      <w:r>
        <w:t>noteikumi Nr.715 "</w:t>
      </w:r>
      <w:r w:rsidRPr="00FB3102">
        <w:t xml:space="preserve">Noteikumi par valsts vispārējās vidējās izglītības standartu un vispārējās </w:t>
      </w:r>
      <w:r w:rsidRPr="00FB3102">
        <w:lastRenderedPageBreak/>
        <w:t>vidējās izglītības mācību priekšmetu standartiem</w:t>
      </w:r>
      <w:r>
        <w:t>"</w:t>
      </w:r>
      <w:r w:rsidRPr="00FB3102">
        <w:t>). Eksāmenos ietverta izglītojamo pētnieciskās darbības prasmju novērtēšana.</w:t>
      </w:r>
    </w:p>
    <w:p w:rsidR="0063079D" w:rsidRPr="00FB3102" w:rsidRDefault="0063079D" w:rsidP="00E22841">
      <w:pPr>
        <w:spacing w:after="0"/>
        <w:ind w:firstLine="709"/>
      </w:pPr>
      <w:r w:rsidRPr="00FB3102">
        <w:t>Jaunais mācību priekšmeta standarts svešvalodās vidusskolas posmā paredz sasniegt svešvalodas kompetenci atbilstoši Eiropas valodu apguves līmeņu aprakstiem B1 līdz C1. 2010.gada rudenī sadarbībā ar Latvijas Universitātes Humanitāro zinātņu fakultāti tika veikta 2009./2010.mācību gada centralizēto eksāmenu svešvalodās analīze, lai izstrādātu ieteikumus metodikai, pēc kuras skolēnu iegūtie rezultāti būs pielīdzināmi minētajiem līmeņiem. Izstrādātā metodika tiks aprobēta, veicot 2010./2011.mācību gada izglītojamo sasniegumu analīzi svešvalodu centralizētajos eksāmenos. Sertifikātā par vispārējās vidējās izglītības ieguvi sākot ar 2011./2012.mācību gadu plānots norādīt arī atbilstību Eiropas valodu apguves līmeņiem B1 līdz C1.</w:t>
      </w:r>
    </w:p>
    <w:p w:rsidR="0063079D" w:rsidRPr="008852DC" w:rsidRDefault="0063079D" w:rsidP="00E22841">
      <w:pPr>
        <w:spacing w:after="0"/>
        <w:jc w:val="center"/>
        <w:rPr>
          <w:b/>
        </w:rPr>
      </w:pPr>
    </w:p>
    <w:p w:rsidR="0063079D" w:rsidRPr="00FB3102" w:rsidRDefault="00E22841" w:rsidP="00E22841">
      <w:pPr>
        <w:spacing w:after="0"/>
        <w:jc w:val="center"/>
        <w:rPr>
          <w:b/>
        </w:rPr>
      </w:pPr>
      <w:r>
        <w:rPr>
          <w:b/>
        </w:rPr>
        <w:t>2.</w:t>
      </w:r>
      <w:r w:rsidR="0063079D" w:rsidRPr="00FB3102">
        <w:rPr>
          <w:b/>
        </w:rPr>
        <w:t>1.3. Nodrošinājums</w:t>
      </w:r>
    </w:p>
    <w:p w:rsidR="0063079D" w:rsidRPr="00FB3102" w:rsidRDefault="0063079D" w:rsidP="00E22841">
      <w:pPr>
        <w:spacing w:after="0"/>
        <w:ind w:firstLine="709"/>
        <w:rPr>
          <w:b/>
        </w:rPr>
      </w:pPr>
    </w:p>
    <w:p w:rsidR="0063079D" w:rsidRPr="008852DC" w:rsidRDefault="00E22841" w:rsidP="00E22841">
      <w:pPr>
        <w:pStyle w:val="BodyText"/>
        <w:spacing w:after="0"/>
        <w:ind w:firstLine="709"/>
        <w:jc w:val="both"/>
        <w:rPr>
          <w:sz w:val="28"/>
          <w:szCs w:val="28"/>
        </w:rPr>
      </w:pPr>
      <w:r>
        <w:rPr>
          <w:sz w:val="28"/>
          <w:szCs w:val="28"/>
        </w:rPr>
        <w:t>ESF projektos „</w:t>
      </w:r>
      <w:r w:rsidR="0063079D" w:rsidRPr="00FB3102">
        <w:rPr>
          <w:sz w:val="28"/>
          <w:szCs w:val="28"/>
        </w:rPr>
        <w:t xml:space="preserve">Mācību satura izstrāde un skolotāju </w:t>
      </w:r>
      <w:proofErr w:type="spellStart"/>
      <w:r w:rsidR="0063079D" w:rsidRPr="00FB3102">
        <w:rPr>
          <w:sz w:val="28"/>
          <w:szCs w:val="28"/>
        </w:rPr>
        <w:t>tālākizglītība</w:t>
      </w:r>
      <w:proofErr w:type="spellEnd"/>
      <w:r w:rsidR="0063079D" w:rsidRPr="00FB3102">
        <w:rPr>
          <w:sz w:val="28"/>
          <w:szCs w:val="28"/>
        </w:rPr>
        <w:t xml:space="preserve"> dabaszinātņu, matemātikas un tehnoloģiju pr</w:t>
      </w:r>
      <w:r>
        <w:rPr>
          <w:sz w:val="28"/>
          <w:szCs w:val="28"/>
        </w:rPr>
        <w:t>iekšmetos vidējā izglītībā” un „</w:t>
      </w:r>
      <w:r w:rsidR="0063079D" w:rsidRPr="00FB3102">
        <w:rPr>
          <w:sz w:val="28"/>
          <w:szCs w:val="28"/>
        </w:rPr>
        <w:t>Dabaszinātnes un matemātika</w:t>
      </w:r>
      <w:r>
        <w:rPr>
          <w:sz w:val="28"/>
          <w:szCs w:val="28"/>
        </w:rPr>
        <w:t>”</w:t>
      </w:r>
      <w:r w:rsidR="0063079D" w:rsidRPr="00FB3102">
        <w:rPr>
          <w:sz w:val="28"/>
          <w:szCs w:val="28"/>
        </w:rPr>
        <w:t xml:space="preserve"> modernizēta dabaszinātņu apguves infrastruktūra vispārējā izglītībā – skolēniem pieejami mūsdienīgi aprīkoti un renovēti mācību kabineti 275 vidusskolās un 12 pamatskolās, vienlaikus jāatzīmē, ka nav renovēti un aprīkoti kabineti apmēram 100 vidusskolās un 350 pamatskolās. Skolēniem pieejami mūsdienīgi mācību materiāli matemātikas un dabaszinātņu priekšmetu apguvei, t.sk. interaktīvi mācību materiāli e</w:t>
      </w:r>
      <w:r w:rsidR="0063079D">
        <w:rPr>
          <w:sz w:val="28"/>
          <w:szCs w:val="28"/>
        </w:rPr>
        <w:t>–</w:t>
      </w:r>
      <w:r w:rsidR="0063079D" w:rsidRPr="00FB3102">
        <w:rPr>
          <w:sz w:val="28"/>
          <w:szCs w:val="28"/>
        </w:rPr>
        <w:t>vidē, kas dod iespēju izmantot informāciju tehnoloģijas dabaszinātņu un matemātikas apguvē 7.</w:t>
      </w:r>
      <w:r w:rsidR="0063079D">
        <w:rPr>
          <w:sz w:val="28"/>
          <w:szCs w:val="28"/>
        </w:rPr>
        <w:t xml:space="preserve"> – </w:t>
      </w:r>
      <w:r w:rsidR="0063079D" w:rsidRPr="00FB3102">
        <w:rPr>
          <w:sz w:val="28"/>
          <w:szCs w:val="28"/>
        </w:rPr>
        <w:t xml:space="preserve">12.klasē. Izstrādāti, praksē pārbaudīti un katram skolotājam pieejami mūsdienīgam mācību procesam atbilstoši </w:t>
      </w:r>
      <w:proofErr w:type="spellStart"/>
      <w:r w:rsidR="0063079D" w:rsidRPr="00FB3102">
        <w:rPr>
          <w:sz w:val="28"/>
          <w:szCs w:val="28"/>
        </w:rPr>
        <w:t>inovatīvi</w:t>
      </w:r>
      <w:proofErr w:type="spellEnd"/>
      <w:r w:rsidR="0063079D" w:rsidRPr="00FB3102">
        <w:rPr>
          <w:sz w:val="28"/>
          <w:szCs w:val="28"/>
        </w:rPr>
        <w:t xml:space="preserve"> atbalsta materiāli dabaszinātnēs un matemātikā 10.</w:t>
      </w:r>
      <w:r w:rsidR="0063079D" w:rsidRPr="00C405B0">
        <w:rPr>
          <w:sz w:val="28"/>
          <w:szCs w:val="28"/>
        </w:rPr>
        <w:t xml:space="preserve"> </w:t>
      </w:r>
      <w:r w:rsidR="0063079D">
        <w:rPr>
          <w:sz w:val="28"/>
          <w:szCs w:val="28"/>
        </w:rPr>
        <w:t xml:space="preserve">– </w:t>
      </w:r>
      <w:r w:rsidR="0063079D" w:rsidRPr="00FB3102">
        <w:rPr>
          <w:sz w:val="28"/>
          <w:szCs w:val="28"/>
        </w:rPr>
        <w:t>12.klasei, tiek sagatavoti izdošanai materiāli 7.</w:t>
      </w:r>
      <w:r w:rsidR="0063079D">
        <w:rPr>
          <w:sz w:val="28"/>
          <w:szCs w:val="28"/>
        </w:rPr>
        <w:t xml:space="preserve"> – </w:t>
      </w:r>
      <w:r w:rsidR="0063079D" w:rsidRPr="00FB3102">
        <w:rPr>
          <w:sz w:val="28"/>
          <w:szCs w:val="28"/>
        </w:rPr>
        <w:t>9.klasei.</w:t>
      </w:r>
    </w:p>
    <w:p w:rsidR="0063079D" w:rsidRPr="008852DC" w:rsidRDefault="0063079D" w:rsidP="00E22841">
      <w:pPr>
        <w:spacing w:after="0"/>
        <w:jc w:val="center"/>
        <w:rPr>
          <w:b/>
        </w:rPr>
      </w:pPr>
    </w:p>
    <w:p w:rsidR="0063079D" w:rsidRPr="00FB3102" w:rsidRDefault="00E22841" w:rsidP="00E22841">
      <w:pPr>
        <w:spacing w:after="0"/>
        <w:jc w:val="center"/>
        <w:rPr>
          <w:b/>
        </w:rPr>
      </w:pPr>
      <w:r>
        <w:rPr>
          <w:b/>
        </w:rPr>
        <w:t>2.</w:t>
      </w:r>
      <w:r w:rsidR="0063079D" w:rsidRPr="00FB3102">
        <w:rPr>
          <w:b/>
        </w:rPr>
        <w:t>1.4. Pedagogu profesionālā pilnveide</w:t>
      </w:r>
    </w:p>
    <w:p w:rsidR="0063079D" w:rsidRPr="008852DC" w:rsidRDefault="0063079D" w:rsidP="00E22841">
      <w:pPr>
        <w:tabs>
          <w:tab w:val="left" w:pos="426"/>
        </w:tabs>
        <w:spacing w:after="0"/>
      </w:pPr>
    </w:p>
    <w:p w:rsidR="0063079D" w:rsidRPr="00FB3102" w:rsidRDefault="0063079D" w:rsidP="00E22841">
      <w:pPr>
        <w:spacing w:after="0"/>
        <w:ind w:firstLine="709"/>
        <w:rPr>
          <w:bCs/>
        </w:rPr>
      </w:pPr>
      <w:r w:rsidRPr="00FB3102">
        <w:t xml:space="preserve">2008.gadā valsts finansētus pedagogu </w:t>
      </w:r>
      <w:proofErr w:type="spellStart"/>
      <w:r w:rsidRPr="00FB3102">
        <w:t>tālākizglītības</w:t>
      </w:r>
      <w:proofErr w:type="spellEnd"/>
      <w:r w:rsidRPr="00FB3102">
        <w:t xml:space="preserve"> kursus 36 stundu apjomā apmeklēja 8120 pedagogi, 2009.gadā – 4312 pedagogi, bet 2010.gadā – 221 pedagogs. Pedagogiem tika piedāvātas 45 </w:t>
      </w:r>
      <w:proofErr w:type="spellStart"/>
      <w:r w:rsidRPr="00FB3102">
        <w:t>tālākizglītības</w:t>
      </w:r>
      <w:proofErr w:type="spellEnd"/>
      <w:r w:rsidRPr="00FB3102">
        <w:t xml:space="preserve"> kursu programmas.</w:t>
      </w:r>
      <w:r w:rsidRPr="00FB3102">
        <w:rPr>
          <w:bCs/>
        </w:rPr>
        <w:t xml:space="preserve"> Uzsākot jaunā satura ieviešanu vispārējā vidējā izglītībā, tika īstenotas 20 profesionālās pilnveides programmas, kurās piedalījās un novitātes saturā apguva vairāk nekā 3500 vispārējās vidējās izglītības pedagogi.</w:t>
      </w:r>
    </w:p>
    <w:p w:rsidR="0063079D" w:rsidRPr="00FB3102" w:rsidRDefault="0063079D" w:rsidP="00E22841">
      <w:pPr>
        <w:spacing w:after="0"/>
        <w:ind w:firstLine="709"/>
        <w:rPr>
          <w:bCs/>
        </w:rPr>
      </w:pPr>
      <w:r w:rsidRPr="00FB3102">
        <w:rPr>
          <w:bCs/>
        </w:rPr>
        <w:t>Profesionālās pilnveides kursu tematika:</w:t>
      </w:r>
    </w:p>
    <w:p w:rsidR="0063079D" w:rsidRPr="00FB3102" w:rsidRDefault="0063079D" w:rsidP="00E22841">
      <w:pPr>
        <w:numPr>
          <w:ilvl w:val="0"/>
          <w:numId w:val="10"/>
        </w:numPr>
        <w:spacing w:after="0"/>
      </w:pPr>
      <w:r w:rsidRPr="00FB3102">
        <w:t>pedagogu vispārējo kompetenču pilnveide;</w:t>
      </w:r>
    </w:p>
    <w:p w:rsidR="0063079D" w:rsidRPr="00FB3102" w:rsidRDefault="0063079D" w:rsidP="00E22841">
      <w:pPr>
        <w:numPr>
          <w:ilvl w:val="0"/>
          <w:numId w:val="10"/>
        </w:numPr>
        <w:spacing w:after="0"/>
      </w:pPr>
      <w:r w:rsidRPr="00FB3102">
        <w:rPr>
          <w:bCs/>
        </w:rPr>
        <w:t>personības kompetenču pilnveide</w:t>
      </w:r>
      <w:r w:rsidRPr="00FB3102">
        <w:t>;</w:t>
      </w:r>
    </w:p>
    <w:p w:rsidR="0063079D" w:rsidRPr="00FB3102" w:rsidRDefault="0063079D" w:rsidP="00E22841">
      <w:pPr>
        <w:numPr>
          <w:ilvl w:val="0"/>
          <w:numId w:val="10"/>
        </w:numPr>
        <w:spacing w:after="0"/>
      </w:pPr>
      <w:r w:rsidRPr="00FB3102">
        <w:t>izglītības vadības kompetenču pilnveide.</w:t>
      </w:r>
    </w:p>
    <w:p w:rsidR="0063079D" w:rsidRPr="00FB3102" w:rsidRDefault="0063079D" w:rsidP="00E22841">
      <w:pPr>
        <w:spacing w:after="0"/>
      </w:pPr>
      <w:r w:rsidRPr="00FB3102">
        <w:lastRenderedPageBreak/>
        <w:t xml:space="preserve">Tehniski nodrošinot IZM pedagogu </w:t>
      </w:r>
      <w:proofErr w:type="spellStart"/>
      <w:r w:rsidRPr="00FB3102">
        <w:t>tālākizglītības</w:t>
      </w:r>
      <w:proofErr w:type="spellEnd"/>
      <w:r w:rsidRPr="00FB3102">
        <w:t xml:space="preserve"> programmu saskaņošanas komisijas darbību, 2008.gadā veikta 302 iesniegto </w:t>
      </w:r>
      <w:proofErr w:type="spellStart"/>
      <w:r w:rsidRPr="00FB3102">
        <w:t>tālākizglītības</w:t>
      </w:r>
      <w:proofErr w:type="spellEnd"/>
      <w:r w:rsidRPr="00FB3102">
        <w:t xml:space="preserve"> programmu izvērtēšana un profesionālās pilnveides programmu kataloga aktualizēšana, 2009.gadā – 350, 2010.gadā – 241 </w:t>
      </w:r>
      <w:proofErr w:type="spellStart"/>
      <w:r w:rsidRPr="00FB3102">
        <w:t>tālākizglītības</w:t>
      </w:r>
      <w:proofErr w:type="spellEnd"/>
      <w:r w:rsidRPr="00FB3102">
        <w:t xml:space="preserve"> programmas izvērtēšana. </w:t>
      </w:r>
    </w:p>
    <w:p w:rsidR="0063079D" w:rsidRPr="00FB3102" w:rsidRDefault="0063079D" w:rsidP="00E22841">
      <w:pPr>
        <w:pStyle w:val="NormalTableBullet"/>
        <w:numPr>
          <w:ilvl w:val="0"/>
          <w:numId w:val="0"/>
        </w:numPr>
        <w:jc w:val="both"/>
        <w:rPr>
          <w:sz w:val="28"/>
          <w:szCs w:val="28"/>
          <w:lang w:val="lv-LV"/>
        </w:rPr>
      </w:pPr>
      <w:r w:rsidRPr="00FB3102">
        <w:rPr>
          <w:sz w:val="28"/>
          <w:szCs w:val="28"/>
          <w:lang w:val="lv-LV"/>
        </w:rPr>
        <w:tab/>
        <w:t xml:space="preserve">2010.gada 20.aprīlī Valsts izglītības attīstības aģentūra un Valsts izglītības satura centrs parakstīja vienošanos par Eiropas sociālā fonda </w:t>
      </w:r>
      <w:r>
        <w:rPr>
          <w:sz w:val="28"/>
          <w:szCs w:val="28"/>
          <w:lang w:val="lv-LV"/>
        </w:rPr>
        <w:t>projekta "</w:t>
      </w:r>
      <w:r w:rsidRPr="00FB3102">
        <w:rPr>
          <w:sz w:val="28"/>
          <w:szCs w:val="28"/>
          <w:lang w:val="lv-LV"/>
        </w:rPr>
        <w:t xml:space="preserve">Vispārējās izglītības pedagogu </w:t>
      </w:r>
      <w:proofErr w:type="spellStart"/>
      <w:r w:rsidRPr="00FB3102">
        <w:rPr>
          <w:sz w:val="28"/>
          <w:szCs w:val="28"/>
          <w:lang w:val="lv-LV"/>
        </w:rPr>
        <w:t>tālākizglītība</w:t>
      </w:r>
      <w:proofErr w:type="spellEnd"/>
      <w:r>
        <w:rPr>
          <w:sz w:val="28"/>
          <w:szCs w:val="28"/>
          <w:lang w:val="lv-LV"/>
        </w:rPr>
        <w:t>"</w:t>
      </w:r>
      <w:r w:rsidRPr="00FB3102">
        <w:rPr>
          <w:sz w:val="28"/>
          <w:szCs w:val="28"/>
          <w:lang w:val="lv-LV"/>
        </w:rPr>
        <w:t xml:space="preserve"> (identifikācijas Nr. 2010/0062/1DP/1.2.1.2.3/09/IPIA/VIAA /003) īstenošanu. Projekta finansējums – 85% no projekta finansē Eiropas Savienība ar Eiropas Sociālā fonda starpniecību </w:t>
      </w:r>
      <w:r w:rsidR="001C657F">
        <w:rPr>
          <w:sz w:val="28"/>
          <w:szCs w:val="28"/>
          <w:lang w:val="lv-LV"/>
        </w:rPr>
        <w:t>un 15% finansē Latvijas valsts.</w:t>
      </w:r>
    </w:p>
    <w:p w:rsidR="0063079D" w:rsidRPr="00FB3102" w:rsidRDefault="0063079D" w:rsidP="00E22841">
      <w:pPr>
        <w:pStyle w:val="NormalTableBullet"/>
        <w:numPr>
          <w:ilvl w:val="0"/>
          <w:numId w:val="0"/>
        </w:numPr>
        <w:jc w:val="both"/>
        <w:rPr>
          <w:sz w:val="28"/>
          <w:szCs w:val="28"/>
          <w:lang w:val="lv-LV"/>
        </w:rPr>
      </w:pPr>
      <w:r w:rsidRPr="00FB3102">
        <w:rPr>
          <w:sz w:val="28"/>
          <w:szCs w:val="28"/>
          <w:lang w:val="lv-LV"/>
        </w:rPr>
        <w:tab/>
        <w:t xml:space="preserve">Projekta mērķis ir Vispārējās izglītības pedagogu kompetences paaugstināšana un prasmju atjaunošana mūsdienīga mācību procesa nodrošināšanai, uz zināšanām un inovācijām balstītas sabiedrības veidošanai, izstrādājot mūsdienīgas </w:t>
      </w:r>
      <w:proofErr w:type="spellStart"/>
      <w:r w:rsidRPr="00FB3102">
        <w:rPr>
          <w:sz w:val="28"/>
          <w:szCs w:val="28"/>
          <w:lang w:val="lv-LV"/>
        </w:rPr>
        <w:t>tālākizglītības</w:t>
      </w:r>
      <w:proofErr w:type="spellEnd"/>
      <w:r w:rsidRPr="00FB3102">
        <w:rPr>
          <w:sz w:val="28"/>
          <w:szCs w:val="28"/>
          <w:lang w:val="lv-LV"/>
        </w:rPr>
        <w:t xml:space="preserve"> programmas, izdales materiālus, sagatavojot </w:t>
      </w:r>
      <w:proofErr w:type="spellStart"/>
      <w:r w:rsidRPr="00FB3102">
        <w:rPr>
          <w:sz w:val="28"/>
          <w:szCs w:val="28"/>
          <w:lang w:val="lv-LV"/>
        </w:rPr>
        <w:t>tālākizglītotājus</w:t>
      </w:r>
      <w:proofErr w:type="spellEnd"/>
      <w:r w:rsidRPr="00FB3102">
        <w:rPr>
          <w:sz w:val="28"/>
          <w:szCs w:val="28"/>
          <w:lang w:val="lv-LV"/>
        </w:rPr>
        <w:t xml:space="preserve"> un īstenojot kursus: vispārējo pedagoģisko kompetenču pilnveidei; izglītības jomas kompetenču pilnveidei; izglītības procesa vadības kompetenču pilnveidei; IKT prasmju atjaunošanai un paaugstināšanai; svešvalodu prasmju atjaunošanai un paaugstināšanai. Projekta īstenošanas rezultātā tiks izstrādātas un pilnveidotas 39 jaunas programmas un izdales materiālu komplekti un kopumā 2011.</w:t>
      </w:r>
      <w:r w:rsidRPr="00C405B0">
        <w:rPr>
          <w:sz w:val="28"/>
          <w:szCs w:val="28"/>
          <w:lang w:val="lv-LV"/>
        </w:rPr>
        <w:t xml:space="preserve"> </w:t>
      </w:r>
      <w:r w:rsidRPr="00FB3102">
        <w:rPr>
          <w:sz w:val="28"/>
          <w:szCs w:val="28"/>
          <w:lang w:val="lv-LV"/>
        </w:rPr>
        <w:t>–</w:t>
      </w:r>
      <w:r>
        <w:rPr>
          <w:sz w:val="28"/>
          <w:szCs w:val="28"/>
          <w:lang w:val="lv-LV"/>
        </w:rPr>
        <w:t xml:space="preserve"> </w:t>
      </w:r>
      <w:r w:rsidRPr="00FB3102">
        <w:rPr>
          <w:sz w:val="28"/>
          <w:szCs w:val="28"/>
          <w:lang w:val="lv-LV"/>
        </w:rPr>
        <w:t>2013.gadā tiks īstenotas 57 programmas, kursos profesionālo kompetenci paaugstinās 15975 pedagogi.</w:t>
      </w:r>
    </w:p>
    <w:p w:rsidR="0063079D" w:rsidRPr="00FB3102" w:rsidRDefault="0063079D" w:rsidP="00E22841">
      <w:pPr>
        <w:tabs>
          <w:tab w:val="left" w:pos="426"/>
        </w:tabs>
        <w:spacing w:after="0"/>
        <w:ind w:firstLine="709"/>
      </w:pPr>
      <w:r>
        <w:t>ESF projektos "</w:t>
      </w:r>
      <w:r w:rsidRPr="00FB3102">
        <w:t xml:space="preserve">Mācību satura izstrāde un skolotāju </w:t>
      </w:r>
      <w:proofErr w:type="spellStart"/>
      <w:r w:rsidRPr="00FB3102">
        <w:t>tālākizglītība</w:t>
      </w:r>
      <w:proofErr w:type="spellEnd"/>
      <w:r w:rsidRPr="00FB3102">
        <w:t xml:space="preserve"> dabaszinātņu, matemātikas un tehnoloģiju priekšmetos vidējā izglītībā</w:t>
      </w:r>
      <w:r>
        <w:t>" un "</w:t>
      </w:r>
      <w:r w:rsidRPr="00FB3102">
        <w:t>Dabaszinātnes un matemātika</w:t>
      </w:r>
      <w:r>
        <w:t>"</w:t>
      </w:r>
      <w:r w:rsidRPr="00FB3102">
        <w:t xml:space="preserve"> 2006.</w:t>
      </w:r>
      <w:r>
        <w:t xml:space="preserve"> </w:t>
      </w:r>
      <w:r w:rsidRPr="00FB3102">
        <w:t>–</w:t>
      </w:r>
      <w:r>
        <w:t xml:space="preserve"> </w:t>
      </w:r>
      <w:r w:rsidRPr="00FB3102">
        <w:t>2008.gadā visiem 10.</w:t>
      </w:r>
      <w:r>
        <w:t xml:space="preserve"> </w:t>
      </w:r>
      <w:r w:rsidRPr="00FB3102">
        <w:t>– 12.klašu dabaszinātņu un matemātikas skolotājiem ir bijusi iespēja apmeklēt 72</w:t>
      </w:r>
      <w:r>
        <w:t xml:space="preserve"> stundu</w:t>
      </w:r>
      <w:r w:rsidRPr="00FB3102">
        <w:t xml:space="preserve"> profesionālās pilnveides kursus, lai iepazītos ar reformas būtību, uzsākta 54 stundu programmas realizācija pamatskolu 7.</w:t>
      </w:r>
      <w:r>
        <w:t xml:space="preserve"> </w:t>
      </w:r>
      <w:r w:rsidRPr="00FB3102">
        <w:t>–</w:t>
      </w:r>
      <w:r>
        <w:t xml:space="preserve"> </w:t>
      </w:r>
      <w:r w:rsidRPr="00FB3102">
        <w:t>9.klases posmā un 36 stundu programma vidusskolu dabaszinātņu un matemātikas skolotājiem 7.</w:t>
      </w:r>
      <w:r>
        <w:t xml:space="preserve"> </w:t>
      </w:r>
      <w:r w:rsidRPr="00FB3102">
        <w:t>–</w:t>
      </w:r>
      <w:r>
        <w:t xml:space="preserve"> </w:t>
      </w:r>
      <w:r w:rsidRPr="00FB3102">
        <w:t xml:space="preserve">9.klases posmā, lai iepazītos ar reformas būtību, turklāt praksē tiek izmēģināti </w:t>
      </w:r>
      <w:proofErr w:type="spellStart"/>
      <w:r w:rsidRPr="00FB3102">
        <w:t>inovatīvi</w:t>
      </w:r>
      <w:proofErr w:type="spellEnd"/>
      <w:r w:rsidRPr="00FB3102">
        <w:t xml:space="preserve"> skolotāju profesionālās pilnveides modeļi, piemēram, savstarpēja stundu vērošana, savas</w:t>
      </w:r>
      <w:r>
        <w:t xml:space="preserve"> darbības analīze, refleksija, "</w:t>
      </w:r>
      <w:r w:rsidRPr="00FB3102">
        <w:t>skolotājs māca skolotāju</w:t>
      </w:r>
      <w:r>
        <w:t>"</w:t>
      </w:r>
      <w:r w:rsidRPr="00FB3102">
        <w:t xml:space="preserve"> sadarbībā ar atsevišķām pašvaldībām.</w:t>
      </w:r>
    </w:p>
    <w:p w:rsidR="0063079D" w:rsidRPr="008852DC" w:rsidRDefault="0063079D" w:rsidP="00E22841">
      <w:pPr>
        <w:spacing w:after="0"/>
      </w:pPr>
    </w:p>
    <w:p w:rsidR="0063079D" w:rsidRPr="00156E89" w:rsidRDefault="00E22841" w:rsidP="00E22841">
      <w:pPr>
        <w:spacing w:after="0"/>
        <w:jc w:val="center"/>
        <w:rPr>
          <w:b/>
        </w:rPr>
      </w:pPr>
      <w:r>
        <w:rPr>
          <w:b/>
        </w:rPr>
        <w:t>2.</w:t>
      </w:r>
      <w:r w:rsidR="0063079D" w:rsidRPr="00156E89">
        <w:rPr>
          <w:b/>
        </w:rPr>
        <w:t>2. Profesionālā izglītība</w:t>
      </w:r>
    </w:p>
    <w:p w:rsidR="0063079D" w:rsidRDefault="0063079D" w:rsidP="00E22841">
      <w:pPr>
        <w:spacing w:after="0"/>
        <w:jc w:val="center"/>
        <w:rPr>
          <w:b/>
        </w:rPr>
      </w:pPr>
    </w:p>
    <w:p w:rsidR="0063079D" w:rsidRPr="00FB3102" w:rsidRDefault="00E22841" w:rsidP="00E22841">
      <w:pPr>
        <w:spacing w:after="0"/>
        <w:jc w:val="center"/>
        <w:rPr>
          <w:b/>
        </w:rPr>
      </w:pPr>
      <w:r>
        <w:rPr>
          <w:b/>
        </w:rPr>
        <w:t>2.</w:t>
      </w:r>
      <w:r w:rsidR="0063079D" w:rsidRPr="00FB3102">
        <w:rPr>
          <w:b/>
        </w:rPr>
        <w:t>2.1. Profesionālās izglītības satura reforma</w:t>
      </w:r>
    </w:p>
    <w:p w:rsidR="0063079D" w:rsidRPr="00FB3102" w:rsidRDefault="0063079D" w:rsidP="00E22841">
      <w:pPr>
        <w:spacing w:after="0"/>
      </w:pPr>
    </w:p>
    <w:p w:rsidR="0063079D" w:rsidRPr="00FB3102" w:rsidRDefault="0063079D" w:rsidP="00E22841">
      <w:pPr>
        <w:spacing w:after="0"/>
      </w:pPr>
      <w:r w:rsidRPr="00FB3102">
        <w:t xml:space="preserve">Profesionālās izglītības satura reformas nodrošināšanai Profesionālās izglītības administrācija īstenoja Izglītības un zinātnes ministrijas </w:t>
      </w:r>
      <w:r>
        <w:t>Nacionālās programmas projektu "</w:t>
      </w:r>
      <w:r w:rsidRPr="00FB3102">
        <w:t xml:space="preserve">Vienotas metodikas izstrāde profesionālās izglītības kvalitātes paaugstināšanai un sociālo partneru </w:t>
      </w:r>
      <w:proofErr w:type="spellStart"/>
      <w:r w:rsidRPr="00FB3102">
        <w:t>iesaistei</w:t>
      </w:r>
      <w:proofErr w:type="spellEnd"/>
      <w:r w:rsidRPr="00FB3102">
        <w:t xml:space="preserve"> un izglītošanai</w:t>
      </w:r>
      <w:r>
        <w:t>"</w:t>
      </w:r>
      <w:r w:rsidRPr="00FB3102">
        <w:t xml:space="preserve">, (līguma </w:t>
      </w:r>
      <w:r w:rsidRPr="00FB3102">
        <w:lastRenderedPageBreak/>
        <w:t>Nr. 2005/0001/VPD1//ESF/PIAA/05/NP/3.2.6.1./0001/0001/0154) (turpmāk - projekts), kura ietvaros tika izstrādāta vienota un pēctecīga sešu metodiku sistēma profesionālās izglītības kvalitātes paaugstināšanai: nozares izpētes metodika, profesiju standartu izstrādes metodika, profesionālās izglītības programmu izveides metodika.</w:t>
      </w:r>
    </w:p>
    <w:p w:rsidR="0063079D" w:rsidRPr="00FB3102" w:rsidRDefault="0063079D" w:rsidP="00E22841">
      <w:pPr>
        <w:spacing w:after="0"/>
      </w:pPr>
      <w:r w:rsidRPr="00FB3102">
        <w:t>Saskaņā ar Ministru kabineta 2010.g</w:t>
      </w:r>
      <w:r>
        <w:t xml:space="preserve">ada 2.marta noteikumiem Nr.196 </w:t>
      </w:r>
      <w:r w:rsidRPr="00494068">
        <w:t>"</w:t>
      </w:r>
      <w:r w:rsidRPr="00FB3102">
        <w:t>Not</w:t>
      </w:r>
      <w:r>
        <w:t>eikumi par darbības programmas "</w:t>
      </w:r>
      <w:r w:rsidRPr="00FB3102">
        <w:t>Cilvēkresursi un nodarbinātība</w:t>
      </w:r>
      <w:r>
        <w:t>"</w:t>
      </w:r>
      <w:r w:rsidRPr="00FB3102">
        <w:t xml:space="preserve"> papildinā</w:t>
      </w:r>
      <w:r>
        <w:t>juma 1.2.1.1.1.apakšaktivitāti "</w:t>
      </w:r>
      <w:r w:rsidRPr="00FB3102">
        <w:t>Nozaru kvalifikāciju sistēmas izveide un profesionālās izglītības pārstrukturizācija</w:t>
      </w:r>
      <w:r>
        <w:t>"</w:t>
      </w:r>
      <w:r w:rsidRPr="00494068">
        <w:t>"</w:t>
      </w:r>
      <w:r w:rsidRPr="00FB3102">
        <w:t xml:space="preserve"> Valsts Izglītības attīstības aģentūra no 2010.gada 1.decembra uzsākusi īstenot Eiropas Soc</w:t>
      </w:r>
      <w:r>
        <w:t>iālā fonda darbības programmas "</w:t>
      </w:r>
      <w:r w:rsidRPr="00FB3102">
        <w:t>Cilvēkresursi un nodarbinātība</w:t>
      </w:r>
      <w:r>
        <w:t>"</w:t>
      </w:r>
      <w:r w:rsidRPr="00FB3102">
        <w:t xml:space="preserve"> papildinājuma 1.2.1.1.1.apakšaktivit</w:t>
      </w:r>
      <w:r>
        <w:t>ātes projekta "</w:t>
      </w:r>
      <w:r w:rsidRPr="00FB3102">
        <w:t>Nozaru kvalifikācijas sistēmas izveide un profesionālās izglītības efektivitātes un kvalitātes paaugstināšana</w:t>
      </w:r>
      <w:r>
        <w:t>"</w:t>
      </w:r>
      <w:r w:rsidRPr="00FB3102">
        <w:t xml:space="preserve"> (turpmāk – Projekts)</w:t>
      </w:r>
      <w:r>
        <w:t>,</w:t>
      </w:r>
      <w:r w:rsidRPr="00FB3102">
        <w:t xml:space="preserve"> vienošanās Nr. 2010/0274/1DP/1.2.1.1.1/10/IPIA/VIAA/001.</w:t>
      </w:r>
    </w:p>
    <w:p w:rsidR="0063079D" w:rsidRPr="00FB3102" w:rsidRDefault="0063079D" w:rsidP="00E22841">
      <w:pPr>
        <w:spacing w:after="0"/>
      </w:pPr>
      <w:r w:rsidRPr="00FB3102">
        <w:t xml:space="preserve">Projekta ietvaros ir paredzēts veikt izglītības satura reformu, veicot 12 tautsaimniecības nozaru izpēti, kuras tika izvēlētas atbilstoši aktuālajiem Ekonomikas ministrijas (turpmāk – EM) izstrādātajiem plānošanas politikas dokumentiem, piem., </w:t>
      </w:r>
      <w:r w:rsidRPr="00DC72A5">
        <w:rPr>
          <w:i/>
        </w:rPr>
        <w:t>"</w:t>
      </w:r>
      <w:r w:rsidRPr="00FB3102">
        <w:rPr>
          <w:i/>
        </w:rPr>
        <w:t>Informatīvais ziņojums par priekšlikumiem ekonomikas atveseļošanai vidēja termiņa periodā</w:t>
      </w:r>
      <w:r w:rsidRPr="00DC72A5">
        <w:rPr>
          <w:i/>
        </w:rPr>
        <w:t>"</w:t>
      </w:r>
      <w:r w:rsidRPr="00FB3102">
        <w:t xml:space="preserve"> (M</w:t>
      </w:r>
      <w:r>
        <w:t>inistru kabineta 2009.gada 10.novembra</w:t>
      </w:r>
      <w:r w:rsidRPr="00FB3102">
        <w:t xml:space="preserve"> sēdes protokols Nr.79 52§) un </w:t>
      </w:r>
      <w:r w:rsidRPr="00DC72A5">
        <w:rPr>
          <w:i/>
        </w:rPr>
        <w:t>"</w:t>
      </w:r>
      <w:r w:rsidRPr="00FB3102">
        <w:rPr>
          <w:i/>
          <w:iCs/>
        </w:rPr>
        <w:t>Informatīvais ziņojums par prognozēm darbaspēka pieprasījuma un piedāvājuma atbilstībai vidējā termiņā</w:t>
      </w:r>
      <w:r w:rsidRPr="00DC72A5">
        <w:rPr>
          <w:i/>
        </w:rPr>
        <w:t>"</w:t>
      </w:r>
      <w:r w:rsidRPr="00FB3102">
        <w:rPr>
          <w:i/>
          <w:iCs/>
        </w:rPr>
        <w:t xml:space="preserve"> (</w:t>
      </w:r>
      <w:r w:rsidRPr="00FB3102">
        <w:t>M</w:t>
      </w:r>
      <w:r>
        <w:t>inistru kabineta 2009.gada 14.jūlija</w:t>
      </w:r>
      <w:r w:rsidRPr="00FB3102">
        <w:t xml:space="preserve"> sēdes </w:t>
      </w:r>
      <w:proofErr w:type="spellStart"/>
      <w:r w:rsidRPr="00FB3102">
        <w:t>protokollēmums</w:t>
      </w:r>
      <w:proofErr w:type="spellEnd"/>
      <w:r w:rsidRPr="00FB3102">
        <w:t xml:space="preserve"> Nr.37 24§). </w:t>
      </w:r>
    </w:p>
    <w:p w:rsidR="0063079D" w:rsidRPr="00FB3102" w:rsidRDefault="0063079D" w:rsidP="00E22841">
      <w:pPr>
        <w:pStyle w:val="Footer"/>
        <w:tabs>
          <w:tab w:val="clear" w:pos="4153"/>
          <w:tab w:val="clear" w:pos="8306"/>
        </w:tabs>
      </w:pPr>
      <w:r w:rsidRPr="00FB3102">
        <w:t>Ņemot vērā Ekonomikas ministrijas veikto analīzi tautsaimniecības griezumā, ir noteikti prioritārie segmenti – konkurētspējīgi uzņēmumi ar augstu izaugsmes un eksporta potenciālu, apstrādes rūpniecības nozares ar nozīmīgu ieguldījumu pievienotās vērtības un eksporta pieaugumā, kā arī ar augstu izaugsmes un eksporta potenciālu nākotnē, uz eksportu orientētas pakalpojumu nozares, t.i., pārtikas rūpniecība (nozares izpēte veikta iepriekšējā projektā), kokrūpniecība, ķīmiskā rūpniecība un tās saskarnozares, elektronisko un optisko iekārtu ražošana, mašīnbūve un metālapstrāde, transports un loģistika, tūrisms, informācijas un komunikāciju tehnoloģijas.</w:t>
      </w:r>
    </w:p>
    <w:p w:rsidR="0063079D" w:rsidRPr="00FB3102" w:rsidRDefault="0063079D" w:rsidP="00E22841">
      <w:pPr>
        <w:spacing w:after="0"/>
      </w:pPr>
      <w:r w:rsidRPr="00FB3102">
        <w:t xml:space="preserve">Nozares izpēte un nozares profesionālo kvalifikāciju struktūra ir pamats prioritāri veidot Profesionālās izglītības </w:t>
      </w:r>
      <w:proofErr w:type="spellStart"/>
      <w:r w:rsidRPr="00FB3102">
        <w:t>pamatprogrammas</w:t>
      </w:r>
      <w:proofErr w:type="spellEnd"/>
      <w:r w:rsidRPr="00FB3102">
        <w:t xml:space="preserve"> </w:t>
      </w:r>
      <w:proofErr w:type="spellStart"/>
      <w:r w:rsidRPr="00FB3102">
        <w:t>ilgtermiņā</w:t>
      </w:r>
      <w:proofErr w:type="spellEnd"/>
      <w:r w:rsidRPr="00FB3102">
        <w:t xml:space="preserve">, profesionālās </w:t>
      </w:r>
      <w:proofErr w:type="spellStart"/>
      <w:r w:rsidRPr="00FB3102">
        <w:t>tālākizglītības</w:t>
      </w:r>
      <w:proofErr w:type="spellEnd"/>
      <w:r w:rsidRPr="00FB3102">
        <w:t xml:space="preserve"> programmas </w:t>
      </w:r>
      <w:proofErr w:type="spellStart"/>
      <w:r w:rsidRPr="00FB3102">
        <w:t>ilgtermiņā</w:t>
      </w:r>
      <w:proofErr w:type="spellEnd"/>
      <w:r w:rsidRPr="00FB3102">
        <w:t xml:space="preserve"> un vidējā termiņā, nosakot kvalifikācijas eksāmena saturu, atbilstoši E</w:t>
      </w:r>
      <w:r>
        <w:t>konomikas ministrijas</w:t>
      </w:r>
      <w:r w:rsidRPr="00FB3102">
        <w:t xml:space="preserve"> noteiktajām prioritārajām nozarēm un profesionālajām </w:t>
      </w:r>
      <w:proofErr w:type="spellStart"/>
      <w:r w:rsidRPr="00FB3102">
        <w:t>kvalifikācijām</w:t>
      </w:r>
      <w:proofErr w:type="spellEnd"/>
      <w:r w:rsidRPr="00FB3102">
        <w:t>.</w:t>
      </w:r>
    </w:p>
    <w:p w:rsidR="0063079D" w:rsidRPr="00FB3102" w:rsidRDefault="0063079D" w:rsidP="00E22841">
      <w:pPr>
        <w:spacing w:after="0"/>
      </w:pPr>
      <w:r w:rsidRPr="00FB3102">
        <w:t xml:space="preserve">Nozares tika izvēlētas ar sadarbības partneriem Latvijas Darba devēja konfederāciju un nozares organizācijām, ar Latvijas Brīvo arodbiedrību savienību un nozaru arodbiedrībām un saskaņotas 2011.gada 16.februārī Profesionālās izglītības un nodarbinātības trīspusējās sadarbības </w:t>
      </w:r>
      <w:proofErr w:type="spellStart"/>
      <w:r w:rsidRPr="00FB3102">
        <w:t>apakšpadomē</w:t>
      </w:r>
      <w:proofErr w:type="spellEnd"/>
      <w:r>
        <w:t>.</w:t>
      </w:r>
    </w:p>
    <w:p w:rsidR="0063079D" w:rsidRPr="00FB3102" w:rsidRDefault="0063079D" w:rsidP="00E22841">
      <w:pPr>
        <w:spacing w:after="0"/>
      </w:pPr>
      <w:r w:rsidRPr="00FB3102">
        <w:t xml:space="preserve">Nozares izpētes metodika dod ieteikumus nozares apraksta un nozares profesionālo kvalifikāciju struktūras izveidei. Izstrādātais nozares apraksts </w:t>
      </w:r>
      <w:r w:rsidRPr="00FB3102">
        <w:lastRenderedPageBreak/>
        <w:t xml:space="preserve">sniedz ieskatu par nozares situāciju tautsaimniecībā, tajā nodarbinātajiem un attīstības perspektīvām. </w:t>
      </w:r>
    </w:p>
    <w:p w:rsidR="0063079D" w:rsidRPr="00FB3102" w:rsidRDefault="0063079D" w:rsidP="00E22841">
      <w:pPr>
        <w:spacing w:after="0"/>
      </w:pPr>
      <w:r w:rsidRPr="00FB3102">
        <w:t xml:space="preserve">Nozares apraksts ar attīstības tendencēm, nākotnes redzējumu un nozares profesionālās kvalifikācijas struktūra ir pamats profesionālās izglītības plānošanai vidējā </w:t>
      </w:r>
      <w:r>
        <w:t xml:space="preserve">termiņā </w:t>
      </w:r>
      <w:r w:rsidRPr="00FB3102">
        <w:t xml:space="preserve">un </w:t>
      </w:r>
      <w:proofErr w:type="spellStart"/>
      <w:r w:rsidRPr="00FB3102">
        <w:t>ilgtermiņā</w:t>
      </w:r>
      <w:proofErr w:type="spellEnd"/>
      <w:r w:rsidRPr="00FB3102">
        <w:t>. Profesionālās izglītības politikas veidotāji un īstenotāji – profesionālās izglītības iestādes saņem vispusīgu un ticamu informāciju par nozarē nodarbināto darbinieku nepieciešamajām profesionālajām kompetencēm sekmīgas darbības nodrošināšanai.</w:t>
      </w:r>
    </w:p>
    <w:p w:rsidR="0063079D" w:rsidRPr="00FB3102" w:rsidRDefault="0063079D" w:rsidP="00E22841">
      <w:pPr>
        <w:spacing w:after="0"/>
      </w:pPr>
      <w:r w:rsidRPr="00FB3102">
        <w:t>Nozares aprakstu izstrādā izglītības vajadzībām, pamatojoties uz veikto nozares izpēti, apkopojot un analizējot iegūto informāciju par:</w:t>
      </w:r>
    </w:p>
    <w:p w:rsidR="0063079D" w:rsidRPr="00FB3102" w:rsidRDefault="0063079D" w:rsidP="00E22841">
      <w:pPr>
        <w:numPr>
          <w:ilvl w:val="0"/>
          <w:numId w:val="8"/>
        </w:numPr>
        <w:spacing w:after="0"/>
      </w:pPr>
      <w:r w:rsidRPr="00FB3102">
        <w:t>pētāmās nozares robežām (tautsaimniecības sektoru);</w:t>
      </w:r>
    </w:p>
    <w:p w:rsidR="0063079D" w:rsidRPr="00FB3102" w:rsidRDefault="0063079D" w:rsidP="00E22841">
      <w:pPr>
        <w:numPr>
          <w:ilvl w:val="0"/>
          <w:numId w:val="8"/>
        </w:numPr>
        <w:spacing w:after="0"/>
      </w:pPr>
      <w:r w:rsidRPr="00FB3102">
        <w:t>nozares attīstības tendencēm Latvijā un salīdzinājumu ar situāciju citās Eiropas valstīs;</w:t>
      </w:r>
    </w:p>
    <w:p w:rsidR="0063079D" w:rsidRPr="00FB3102" w:rsidRDefault="0063079D" w:rsidP="00E22841">
      <w:pPr>
        <w:numPr>
          <w:ilvl w:val="0"/>
          <w:numId w:val="8"/>
        </w:numPr>
        <w:spacing w:after="0"/>
      </w:pPr>
      <w:r w:rsidRPr="00FB3102">
        <w:t>nozares darbaspēka raksturojumu un prognozēm;</w:t>
      </w:r>
    </w:p>
    <w:p w:rsidR="0063079D" w:rsidRPr="00FB3102" w:rsidRDefault="0063079D" w:rsidP="00E22841">
      <w:pPr>
        <w:numPr>
          <w:ilvl w:val="0"/>
          <w:numId w:val="8"/>
        </w:numPr>
        <w:spacing w:after="0"/>
        <w:ind w:right="158"/>
      </w:pPr>
      <w:r w:rsidRPr="00FB3102">
        <w:t>profesionālo izglītību;</w:t>
      </w:r>
    </w:p>
    <w:p w:rsidR="0063079D" w:rsidRPr="00FB3102" w:rsidRDefault="0063079D" w:rsidP="00E22841">
      <w:pPr>
        <w:numPr>
          <w:ilvl w:val="0"/>
          <w:numId w:val="8"/>
        </w:numPr>
        <w:spacing w:after="0"/>
        <w:ind w:right="158"/>
      </w:pPr>
      <w:r w:rsidRPr="00FB3102">
        <w:t>ārējo faktoru ietekmi.</w:t>
      </w:r>
    </w:p>
    <w:p w:rsidR="0063079D" w:rsidRPr="00FB3102" w:rsidRDefault="0063079D" w:rsidP="00E22841">
      <w:pPr>
        <w:spacing w:after="0"/>
        <w:ind w:right="158"/>
      </w:pPr>
      <w:r w:rsidRPr="00FB3102">
        <w:t>Nozares profesionālo kvalifikāciju struktūru veido:</w:t>
      </w:r>
    </w:p>
    <w:p w:rsidR="0063079D" w:rsidRPr="00FB3102" w:rsidRDefault="0063079D" w:rsidP="00E22841">
      <w:pPr>
        <w:numPr>
          <w:ilvl w:val="0"/>
          <w:numId w:val="7"/>
        </w:numPr>
        <w:spacing w:after="0"/>
        <w:ind w:right="158"/>
      </w:pPr>
      <w:r w:rsidRPr="00FB3102">
        <w:t>nozares profesiju vispārējs raksturojums;</w:t>
      </w:r>
    </w:p>
    <w:p w:rsidR="0063079D" w:rsidRPr="00FB3102" w:rsidRDefault="0063079D" w:rsidP="00E22841">
      <w:pPr>
        <w:numPr>
          <w:ilvl w:val="0"/>
          <w:numId w:val="7"/>
        </w:numPr>
        <w:spacing w:after="0"/>
        <w:ind w:right="158"/>
      </w:pPr>
      <w:r w:rsidRPr="00FB3102">
        <w:t>saistīto profesiju karte;</w:t>
      </w:r>
    </w:p>
    <w:p w:rsidR="0063079D" w:rsidRPr="00FB3102" w:rsidRDefault="0063079D" w:rsidP="00E22841">
      <w:pPr>
        <w:numPr>
          <w:ilvl w:val="0"/>
          <w:numId w:val="7"/>
        </w:numPr>
        <w:spacing w:after="0"/>
        <w:ind w:right="158"/>
      </w:pPr>
      <w:r w:rsidRPr="00FB3102">
        <w:t>profesionālo kvalifikāciju līmeņu karte.</w:t>
      </w:r>
    </w:p>
    <w:p w:rsidR="0063079D" w:rsidRPr="00FB3102" w:rsidRDefault="0063079D" w:rsidP="00E22841">
      <w:pPr>
        <w:spacing w:after="0"/>
      </w:pPr>
      <w:r w:rsidRPr="00FB3102">
        <w:t>Izpētes rezultātā iespējams noteikt nozares pamatprofesijas, to specializācijas un saistītās profesijas. Saistītās profesijas ir kvalificēti nodarbošanās veidi ar kopīgu pamatzināšanu, prasmju un profesionālo kompetenču bāzi. Saistītajām profesijām daļa kompetenču ir kopīgas, kuras pilnveidojot izglītības un /vai pieredzes ceļā (neformālā izglītība) iespējams iegūt citu profesionālo kvalifikāciju. Veidojot moduļu programmas, kur atsevišķu profesionālo kompetenču apguvi nodrošina modulis vai moduļu kopa, ir iespējams turpināt izglītību jaunas profesionālās kvalifikācijas iegūšanai. Šāda elastīga jaunas profesijas apguve nodrošina darbaspēka konkurētspēju un mobilitāti atbilstoši mainīgajām darba tirgus prasībām un nepārtrauktu zināšanu un prasmju apguvi visa mūža garumā.</w:t>
      </w:r>
    </w:p>
    <w:p w:rsidR="0063079D" w:rsidRPr="00FB3102" w:rsidRDefault="0063079D" w:rsidP="00E22841">
      <w:pPr>
        <w:spacing w:after="0"/>
      </w:pPr>
      <w:r w:rsidRPr="00FB3102">
        <w:t>Profesionālās izglītības saturu nosaka Profesijas standarts, kurā atspoguļo tautsaimniecības speciālista (darbinieka) zināšanas, prasmes un profesionālās kompetences. Projekta ietvaros paredzēts izstrādāt un aktualizēt 80 profesijas standartu vai profesionālās kvalifikācijas prasības, nodrošinot profesionālās izglītības satura reformu.</w:t>
      </w:r>
    </w:p>
    <w:p w:rsidR="0063079D" w:rsidRPr="00FB3102" w:rsidRDefault="0063079D" w:rsidP="00E22841">
      <w:pPr>
        <w:pStyle w:val="BodyText2"/>
        <w:tabs>
          <w:tab w:val="left" w:pos="9000"/>
        </w:tabs>
        <w:spacing w:after="0" w:line="240" w:lineRule="auto"/>
        <w:ind w:firstLine="720"/>
        <w:jc w:val="both"/>
        <w:rPr>
          <w:b/>
          <w:sz w:val="28"/>
          <w:szCs w:val="28"/>
        </w:rPr>
      </w:pPr>
      <w:r w:rsidRPr="00FB3102">
        <w:rPr>
          <w:sz w:val="28"/>
          <w:szCs w:val="28"/>
        </w:rPr>
        <w:t xml:space="preserve">Profesiju standartu izstrādes metodikas pielietojums nodrošina vienotu pieeju profesiju standartu satura izstrādes procesam. Profesijas standarta izstrādē profesijas pārstāvji nosaka profesijā veicamos pienākumus un uzdevumus, nepieciešamās prasmes un zināšanas to veikšanai, kā arī profesionālās kompetences. Sociālie partneri, izmantojot nozares profesionālo kvalifikāciju struktūru nosaka pamatprofesijas, kurām nepieciešams izstrādāt profesiju </w:t>
      </w:r>
      <w:r w:rsidRPr="00FB3102">
        <w:rPr>
          <w:sz w:val="28"/>
          <w:szCs w:val="28"/>
        </w:rPr>
        <w:lastRenderedPageBreak/>
        <w:t xml:space="preserve">standartus, veidojot nozares profesiju standartu sistēmu. Profesiju standartus izmanto profesionālās izglītības programmu izveidē, definējot mācību priekšmetu saturu, izstrādājot profesionālās kvalifikācijas eksāmena saturu, neformālās izglītības atzīšanā un prasmju novērtēšanā. Tos izmantos gan izglītotāji, gan darba devēji, gan darba ņēmēji, īpaši personāla vadītāji, veicot darbinieku kvalifikācijas atbilstības novērtēšanu, veidojot amata aprakstus, izstrādājot atalgojuma un motivāciju sistēmu. </w:t>
      </w:r>
    </w:p>
    <w:p w:rsidR="0063079D" w:rsidRPr="00FB3102" w:rsidRDefault="0063079D" w:rsidP="00E22841">
      <w:pPr>
        <w:spacing w:after="0"/>
      </w:pPr>
      <w:r w:rsidRPr="00FB3102">
        <w:t xml:space="preserve">Profesionālās izglītības programmas saturiski tiek pārskatītas ar mērķi izveidot elastīgas profesionālās izglītības programmas, kuras nodrošinātu iespēju reaģēt uz darbaspēka pieprasījumu īstermiņa un atbilstu Eiropas Kvalifikāciju </w:t>
      </w:r>
      <w:proofErr w:type="spellStart"/>
      <w:r w:rsidRPr="00FB3102">
        <w:t>ietvarstruktūrai</w:t>
      </w:r>
      <w:proofErr w:type="spellEnd"/>
      <w:r w:rsidRPr="00FB3102">
        <w:t xml:space="preserve">. Projekta ietvaros paredzēts izstrādāt 20 profesionālās sākotnējās izglītības programmas un 35 profesionālās </w:t>
      </w:r>
      <w:proofErr w:type="spellStart"/>
      <w:r w:rsidRPr="00FB3102">
        <w:t>tālākizglītības</w:t>
      </w:r>
      <w:proofErr w:type="spellEnd"/>
      <w:r w:rsidRPr="00FB3102">
        <w:t xml:space="preserve"> programmas.</w:t>
      </w:r>
    </w:p>
    <w:p w:rsidR="0063079D" w:rsidRPr="00FB3102" w:rsidRDefault="0063079D" w:rsidP="00E22841">
      <w:pPr>
        <w:spacing w:after="0"/>
      </w:pPr>
      <w:r w:rsidRPr="00FB3102">
        <w:t xml:space="preserve">Šādi mērķi var tik sasniegti, ieviešot divu pakāpju profesionālās izglītības programmas un veidojot profesionālās izglītības programmas pēc moduļu principa. Profesionālās sākotnējās izglītības programmas izstrādā pamatprofesijām, kuras tiks noteiktas atbilstoši nozares izpētei un nozaru kvalifikācijas struktūras izveidei. Tiks izveidotas un aprobētas moduļu programmas, kuras nodrošinās profesionālajā </w:t>
      </w:r>
      <w:proofErr w:type="spellStart"/>
      <w:r w:rsidRPr="00FB3102">
        <w:t>tālākizglītībā</w:t>
      </w:r>
      <w:proofErr w:type="spellEnd"/>
      <w:r w:rsidRPr="00FB3102">
        <w:t xml:space="preserve"> speciālistu nepārtrauktu un dinamisku profesionālo pilnveidi vai jaunas profesionālās kvalifikācijas vai kādas profesionālās kvalifikācijas apguvi atbilstoši uzņēmuma vai darba tirgus prasībām. Īpaši efektīva moduļu izmantošana ir pieaugušo profesionālās apmācības īstenošanai, nodrošinot specializāciju un saistīto profesiju apguvi šāda veida programmas var veidot un īstenot, lai efektīgāk nodrošinātu īstermiņa darbaspēka pieprasījumu.</w:t>
      </w:r>
    </w:p>
    <w:p w:rsidR="0063079D" w:rsidRPr="00FB3102" w:rsidRDefault="0063079D" w:rsidP="00E22841">
      <w:pPr>
        <w:spacing w:after="0"/>
      </w:pPr>
      <w:r w:rsidRPr="00FB3102">
        <w:t>Profesionālās izglītības programmu izveides metodika ir izstrādāta, lai atvieglotu programmas izveides procesu, ievērojot soļu principu, kura balstās uz profesijas standartā vai profesionālās kvalifikācijas pamatprasībās profesijai noteikto zināšanu, prasmju un profesionālo kompetenču apguves iestrādi profesionālās izglītības programmas mācību priekšmetu saturā, iesaistot satura izstrādē arī sociālos partnerus, kuri ir vislabāk informēti par jaunākajām tehnoloģijām, iekārtām un materiāliem.</w:t>
      </w:r>
    </w:p>
    <w:p w:rsidR="00E22841" w:rsidRDefault="00E22841" w:rsidP="00E22841">
      <w:pPr>
        <w:spacing w:after="0"/>
        <w:jc w:val="center"/>
        <w:rPr>
          <w:b/>
        </w:rPr>
      </w:pPr>
    </w:p>
    <w:p w:rsidR="0063079D" w:rsidRDefault="00E22841" w:rsidP="00E22841">
      <w:pPr>
        <w:spacing w:after="0"/>
        <w:jc w:val="center"/>
        <w:rPr>
          <w:b/>
        </w:rPr>
      </w:pPr>
      <w:r>
        <w:rPr>
          <w:b/>
        </w:rPr>
        <w:t>2.</w:t>
      </w:r>
      <w:r w:rsidR="0063079D" w:rsidRPr="00FB3102">
        <w:rPr>
          <w:b/>
        </w:rPr>
        <w:t>2.2. Profesionālā kvalifikācijas eksāmena satura maiņa</w:t>
      </w:r>
    </w:p>
    <w:p w:rsidR="0063079D" w:rsidRPr="00FB3102" w:rsidRDefault="0063079D" w:rsidP="00E22841">
      <w:pPr>
        <w:spacing w:after="0"/>
        <w:jc w:val="center"/>
        <w:rPr>
          <w:b/>
        </w:rPr>
      </w:pPr>
    </w:p>
    <w:p w:rsidR="0063079D" w:rsidRDefault="0063079D" w:rsidP="00E22841">
      <w:pPr>
        <w:spacing w:after="0"/>
      </w:pPr>
      <w:r w:rsidRPr="00FB3102">
        <w:t xml:space="preserve">Profesionālās kvalifikācijas eksāmenu satura izstrādes metodika palīdz sagatavot profesionālās kvalifikācijas eksāmenu saturu, izmantojot profesijas standartā noteiktās zināšanas, prasmes un profesionālās kompetences. Metodikas izmantošana nodrošina, ka kvalifikācijas eksāmenā pārbauda profesijai būtiskās profesionālās kompetences. Metodikā iekļautas sadaļas par profesionālās kvalifikācijas eksāmenu satura datu bāzes veidošanu, rezultātu analīzi un vērtēšanas sistēmu. Profesionālās kvalifikācijas eksāmenu norisē kā vērtētāji piedalās sociālie partneri, kuriem nepieciešamas zināšanas par iespējamo norises </w:t>
      </w:r>
      <w:r w:rsidRPr="00FB3102">
        <w:lastRenderedPageBreak/>
        <w:t>un vērtēšanas metodiku dažādu profesionālās izglītības programmu noslēgumā, kā arī neformālās izglītības atzīšanā un prasmju novērtēšanā. Profesionālās kvalifikācijas eksāmenu uzdevumu veidošanas elementus izglītotāji var izmantot, izstrādājot pārbaudes darbus izglītības procesā, vērtējot izglītojamo apgūtās zināšanas un prasmes.</w:t>
      </w:r>
    </w:p>
    <w:p w:rsidR="0063079D" w:rsidRPr="00274B23" w:rsidRDefault="0063079D" w:rsidP="00E22841">
      <w:pPr>
        <w:spacing w:after="0"/>
        <w:ind w:left="3600" w:right="158"/>
        <w:jc w:val="right"/>
      </w:pPr>
      <w:r w:rsidRPr="00274B23">
        <w:t>2.2.1. attēls</w:t>
      </w:r>
    </w:p>
    <w:p w:rsidR="0063079D" w:rsidRDefault="0063079D" w:rsidP="00E22841">
      <w:pPr>
        <w:spacing w:after="0"/>
        <w:jc w:val="center"/>
      </w:pPr>
      <w:r>
        <w:rPr>
          <w:noProof/>
          <w:lang w:eastAsia="lv-LV"/>
        </w:rPr>
        <w:drawing>
          <wp:inline distT="0" distB="0" distL="0" distR="0">
            <wp:extent cx="3664585" cy="189674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664585" cy="1896745"/>
                    </a:xfrm>
                    <a:prstGeom prst="rect">
                      <a:avLst/>
                    </a:prstGeom>
                    <a:noFill/>
                    <a:ln w="9525">
                      <a:noFill/>
                      <a:miter lim="800000"/>
                      <a:headEnd/>
                      <a:tailEnd/>
                    </a:ln>
                  </pic:spPr>
                </pic:pic>
              </a:graphicData>
            </a:graphic>
          </wp:inline>
        </w:drawing>
      </w:r>
    </w:p>
    <w:p w:rsidR="0063079D" w:rsidRPr="00274B23" w:rsidRDefault="0063079D" w:rsidP="00E22841">
      <w:pPr>
        <w:spacing w:after="0"/>
        <w:jc w:val="center"/>
      </w:pPr>
      <w:r w:rsidRPr="00274B23">
        <w:t>Avots:</w:t>
      </w:r>
      <w:r>
        <w:t xml:space="preserve"> Valsts izglītības satura centra informācija</w:t>
      </w:r>
    </w:p>
    <w:p w:rsidR="0063079D" w:rsidRDefault="0063079D" w:rsidP="00E22841">
      <w:pPr>
        <w:spacing w:after="0"/>
        <w:jc w:val="center"/>
      </w:pPr>
    </w:p>
    <w:p w:rsidR="0063079D" w:rsidRPr="00274B23" w:rsidRDefault="0063079D" w:rsidP="00E22841">
      <w:pPr>
        <w:spacing w:after="0"/>
        <w:ind w:left="3600"/>
        <w:jc w:val="right"/>
      </w:pPr>
      <w:r w:rsidRPr="00274B23">
        <w:t>2.2.2. attēls</w:t>
      </w:r>
    </w:p>
    <w:p w:rsidR="0063079D" w:rsidRDefault="0063079D" w:rsidP="00E22841">
      <w:pPr>
        <w:spacing w:after="0"/>
        <w:jc w:val="center"/>
      </w:pPr>
      <w:r>
        <w:rPr>
          <w:noProof/>
          <w:lang w:eastAsia="lv-LV"/>
        </w:rPr>
        <w:drawing>
          <wp:inline distT="0" distB="0" distL="0" distR="0">
            <wp:extent cx="3657600" cy="1903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657600" cy="1903730"/>
                    </a:xfrm>
                    <a:prstGeom prst="rect">
                      <a:avLst/>
                    </a:prstGeom>
                    <a:noFill/>
                    <a:ln w="9525">
                      <a:noFill/>
                      <a:miter lim="800000"/>
                      <a:headEnd/>
                      <a:tailEnd/>
                    </a:ln>
                  </pic:spPr>
                </pic:pic>
              </a:graphicData>
            </a:graphic>
          </wp:inline>
        </w:drawing>
      </w:r>
    </w:p>
    <w:p w:rsidR="0063079D" w:rsidRDefault="0063079D" w:rsidP="00E22841">
      <w:pPr>
        <w:spacing w:after="0"/>
        <w:jc w:val="center"/>
      </w:pPr>
      <w:r>
        <w:t>Avots:</w:t>
      </w:r>
      <w:r w:rsidRPr="00A36550">
        <w:t xml:space="preserve"> </w:t>
      </w:r>
      <w:r>
        <w:t>Valsts izglītības satura centra informācija</w:t>
      </w:r>
    </w:p>
    <w:p w:rsidR="0063079D" w:rsidRPr="008852DC" w:rsidRDefault="0063079D" w:rsidP="00E22841">
      <w:pPr>
        <w:spacing w:after="0"/>
        <w:jc w:val="center"/>
      </w:pPr>
    </w:p>
    <w:p w:rsidR="0063079D" w:rsidRPr="00274B23" w:rsidRDefault="0063079D" w:rsidP="00E22841">
      <w:pPr>
        <w:spacing w:after="0"/>
      </w:pPr>
      <w:r w:rsidRPr="00274B23">
        <w:t xml:space="preserve">2010./2011.m.g. VISC gatavo eksāmenu saturu 64 profesionālajām </w:t>
      </w:r>
      <w:proofErr w:type="spellStart"/>
      <w:r w:rsidRPr="00274B23">
        <w:t>kvalifikācijām</w:t>
      </w:r>
      <w:proofErr w:type="spellEnd"/>
      <w:r w:rsidRPr="00274B23">
        <w:t xml:space="preserve"> atbilstoši profesionālās kvalifikācijas eksāmenu satura izstrādes metodikai.</w:t>
      </w:r>
    </w:p>
    <w:p w:rsidR="00E22841" w:rsidRDefault="00E22841">
      <w:pPr>
        <w:spacing w:after="0"/>
        <w:ind w:firstLine="0"/>
      </w:pPr>
      <w:r>
        <w:br w:type="page"/>
      </w:r>
    </w:p>
    <w:p w:rsidR="0063079D" w:rsidRPr="00274B23" w:rsidRDefault="0063079D" w:rsidP="00E22841">
      <w:pPr>
        <w:spacing w:after="0"/>
        <w:jc w:val="right"/>
      </w:pPr>
      <w:r w:rsidRPr="00274B23">
        <w:lastRenderedPageBreak/>
        <w:t>2.2.1. tabula</w:t>
      </w:r>
    </w:p>
    <w:tbl>
      <w:tblPr>
        <w:tblW w:w="0" w:type="auto"/>
        <w:jc w:val="center"/>
        <w:tblInd w:w="-792" w:type="dxa"/>
        <w:tblLook w:val="0000"/>
      </w:tblPr>
      <w:tblGrid>
        <w:gridCol w:w="1047"/>
        <w:gridCol w:w="1352"/>
        <w:gridCol w:w="1013"/>
        <w:gridCol w:w="1184"/>
        <w:gridCol w:w="1221"/>
        <w:gridCol w:w="491"/>
        <w:gridCol w:w="656"/>
        <w:gridCol w:w="656"/>
        <w:gridCol w:w="656"/>
        <w:gridCol w:w="656"/>
        <w:gridCol w:w="601"/>
        <w:gridCol w:w="546"/>
      </w:tblGrid>
      <w:tr w:rsidR="00E22841" w:rsidRPr="00E22841" w:rsidTr="00E22841">
        <w:trPr>
          <w:trHeight w:val="244"/>
          <w:jc w:val="center"/>
        </w:trPr>
        <w:tc>
          <w:tcPr>
            <w:tcW w:w="0" w:type="auto"/>
            <w:gridSpan w:val="5"/>
            <w:tcBorders>
              <w:top w:val="nil"/>
              <w:left w:val="nil"/>
              <w:bottom w:val="nil"/>
              <w:right w:val="nil"/>
            </w:tcBorders>
            <w:shd w:val="clear" w:color="auto" w:fill="auto"/>
            <w:vAlign w:val="center"/>
          </w:tcPr>
          <w:p w:rsidR="00E22841" w:rsidRPr="00E22841" w:rsidRDefault="00E22841" w:rsidP="00883285">
            <w:pPr>
              <w:jc w:val="center"/>
              <w:rPr>
                <w:sz w:val="22"/>
                <w:szCs w:val="22"/>
              </w:rPr>
            </w:pPr>
          </w:p>
        </w:tc>
        <w:tc>
          <w:tcPr>
            <w:tcW w:w="0" w:type="auto"/>
            <w:gridSpan w:val="7"/>
            <w:tcBorders>
              <w:top w:val="nil"/>
              <w:left w:val="nil"/>
              <w:bottom w:val="single" w:sz="8" w:space="0" w:color="auto"/>
              <w:right w:val="nil"/>
            </w:tcBorders>
            <w:shd w:val="clear" w:color="auto" w:fill="auto"/>
            <w:vAlign w:val="center"/>
          </w:tcPr>
          <w:p w:rsidR="00E22841" w:rsidRPr="00E22841" w:rsidRDefault="00E22841" w:rsidP="00E22841">
            <w:pPr>
              <w:pStyle w:val="NoSpacing"/>
              <w:rPr>
                <w:sz w:val="22"/>
                <w:szCs w:val="22"/>
              </w:rPr>
            </w:pPr>
            <w:r>
              <w:rPr>
                <w:sz w:val="22"/>
                <w:szCs w:val="22"/>
              </w:rPr>
              <w:t xml:space="preserve">                     </w:t>
            </w:r>
            <w:proofErr w:type="spellStart"/>
            <w:r w:rsidRPr="00E22841">
              <w:rPr>
                <w:sz w:val="22"/>
                <w:szCs w:val="22"/>
              </w:rPr>
              <w:t>Vērtējums</w:t>
            </w:r>
            <w:proofErr w:type="spellEnd"/>
            <w:r w:rsidRPr="00E22841">
              <w:rPr>
                <w:sz w:val="22"/>
                <w:szCs w:val="22"/>
              </w:rPr>
              <w:t xml:space="preserve"> </w:t>
            </w:r>
            <w:proofErr w:type="spellStart"/>
            <w:r w:rsidRPr="00E22841">
              <w:rPr>
                <w:sz w:val="22"/>
                <w:szCs w:val="22"/>
              </w:rPr>
              <w:t>ballēs</w:t>
            </w:r>
            <w:proofErr w:type="spellEnd"/>
          </w:p>
        </w:tc>
      </w:tr>
      <w:tr w:rsidR="00E22841" w:rsidRPr="00E22841" w:rsidTr="00E22841">
        <w:trPr>
          <w:trHeight w:val="663"/>
          <w:jc w:val="center"/>
        </w:trPr>
        <w:tc>
          <w:tcPr>
            <w:tcW w:w="0" w:type="auto"/>
            <w:vMerge w:val="restart"/>
            <w:tcBorders>
              <w:top w:val="single" w:sz="8" w:space="0" w:color="auto"/>
              <w:left w:val="single" w:sz="8" w:space="0" w:color="auto"/>
              <w:bottom w:val="single" w:sz="8" w:space="0" w:color="000000"/>
              <w:right w:val="nil"/>
            </w:tcBorders>
            <w:shd w:val="clear" w:color="auto" w:fill="auto"/>
            <w:vAlign w:val="center"/>
          </w:tcPr>
          <w:p w:rsidR="00E22841" w:rsidRPr="00E22841" w:rsidRDefault="00E22841" w:rsidP="00E22841">
            <w:pPr>
              <w:pStyle w:val="NoSpacing"/>
              <w:rPr>
                <w:sz w:val="22"/>
                <w:szCs w:val="22"/>
              </w:rPr>
            </w:pPr>
            <w:r w:rsidRPr="00E22841">
              <w:rPr>
                <w:sz w:val="22"/>
                <w:szCs w:val="22"/>
              </w:rPr>
              <w:t>VISC</w:t>
            </w:r>
          </w:p>
          <w:p w:rsidR="00E22841" w:rsidRPr="00E22841" w:rsidRDefault="00E22841" w:rsidP="00E22841">
            <w:pPr>
              <w:pStyle w:val="NoSpacing"/>
              <w:rPr>
                <w:sz w:val="22"/>
                <w:szCs w:val="22"/>
              </w:rPr>
            </w:pPr>
            <w:r w:rsidRPr="00E22841">
              <w:rPr>
                <w:sz w:val="22"/>
                <w:szCs w:val="22"/>
              </w:rPr>
              <w:t>eksāmeni</w:t>
            </w:r>
            <w:r w:rsidRPr="00E22841">
              <w:rPr>
                <w:color w:val="FF0000"/>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2841" w:rsidRPr="00E22841" w:rsidRDefault="00E22841" w:rsidP="00883285">
            <w:pPr>
              <w:jc w:val="center"/>
              <w:rPr>
                <w:sz w:val="22"/>
                <w:szCs w:val="22"/>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E22841" w:rsidRPr="00E22841" w:rsidRDefault="00E22841" w:rsidP="00E22841">
            <w:pPr>
              <w:pStyle w:val="NoSpacing"/>
              <w:rPr>
                <w:sz w:val="22"/>
                <w:szCs w:val="22"/>
              </w:rPr>
            </w:pPr>
            <w:r w:rsidRPr="00E22841">
              <w:rPr>
                <w:sz w:val="22"/>
                <w:szCs w:val="22"/>
              </w:rPr>
              <w:t>Pielaisti CPKE</w:t>
            </w:r>
          </w:p>
        </w:tc>
        <w:tc>
          <w:tcPr>
            <w:tcW w:w="0" w:type="auto"/>
            <w:tcBorders>
              <w:top w:val="single" w:sz="8" w:space="0" w:color="auto"/>
              <w:left w:val="nil"/>
              <w:bottom w:val="single" w:sz="4" w:space="0" w:color="auto"/>
              <w:right w:val="single" w:sz="4" w:space="0" w:color="auto"/>
            </w:tcBorders>
            <w:shd w:val="clear" w:color="auto" w:fill="auto"/>
            <w:vAlign w:val="center"/>
          </w:tcPr>
          <w:p w:rsidR="00E22841" w:rsidRPr="00E22841" w:rsidRDefault="00E22841" w:rsidP="00E22841">
            <w:pPr>
              <w:pStyle w:val="NoSpacing"/>
              <w:rPr>
                <w:sz w:val="22"/>
                <w:szCs w:val="22"/>
              </w:rPr>
            </w:pPr>
            <w:r w:rsidRPr="00E22841">
              <w:rPr>
                <w:sz w:val="22"/>
                <w:szCs w:val="22"/>
              </w:rPr>
              <w:t>Nokārtoja CPKE</w:t>
            </w:r>
          </w:p>
        </w:tc>
        <w:tc>
          <w:tcPr>
            <w:tcW w:w="0" w:type="auto"/>
            <w:tcBorders>
              <w:top w:val="single" w:sz="8" w:space="0" w:color="auto"/>
              <w:left w:val="nil"/>
              <w:bottom w:val="single" w:sz="4" w:space="0" w:color="auto"/>
              <w:right w:val="single" w:sz="4" w:space="0" w:color="auto"/>
            </w:tcBorders>
            <w:shd w:val="clear" w:color="auto" w:fill="auto"/>
            <w:vAlign w:val="center"/>
          </w:tcPr>
          <w:p w:rsidR="00E22841" w:rsidRPr="00E22841" w:rsidRDefault="00E22841" w:rsidP="00E22841">
            <w:pPr>
              <w:pStyle w:val="NoSpacing"/>
              <w:rPr>
                <w:sz w:val="22"/>
                <w:szCs w:val="22"/>
              </w:rPr>
            </w:pPr>
            <w:r w:rsidRPr="00E22841">
              <w:rPr>
                <w:sz w:val="22"/>
                <w:szCs w:val="22"/>
              </w:rPr>
              <w:t>Neieradās uz CPKE</w:t>
            </w:r>
          </w:p>
        </w:tc>
        <w:tc>
          <w:tcPr>
            <w:tcW w:w="0" w:type="auto"/>
            <w:tcBorders>
              <w:top w:val="nil"/>
              <w:left w:val="nil"/>
              <w:bottom w:val="single" w:sz="4" w:space="0" w:color="auto"/>
              <w:right w:val="single" w:sz="4" w:space="0" w:color="auto"/>
            </w:tcBorders>
            <w:shd w:val="clear" w:color="auto" w:fill="FFFF99"/>
            <w:vAlign w:val="center"/>
          </w:tcPr>
          <w:p w:rsidR="00E22841" w:rsidRPr="00E22841" w:rsidRDefault="00E22841" w:rsidP="00E22841">
            <w:pPr>
              <w:pStyle w:val="NoSpacing"/>
              <w:jc w:val="center"/>
              <w:rPr>
                <w:sz w:val="22"/>
                <w:szCs w:val="22"/>
              </w:rPr>
            </w:pPr>
            <w:r w:rsidRPr="00E22841">
              <w:rPr>
                <w:sz w:val="22"/>
                <w:szCs w:val="22"/>
              </w:rPr>
              <w:t>4</w:t>
            </w:r>
          </w:p>
        </w:tc>
        <w:tc>
          <w:tcPr>
            <w:tcW w:w="0" w:type="auto"/>
            <w:tcBorders>
              <w:top w:val="nil"/>
              <w:left w:val="nil"/>
              <w:bottom w:val="single" w:sz="4" w:space="0" w:color="auto"/>
              <w:right w:val="single" w:sz="4" w:space="0" w:color="auto"/>
            </w:tcBorders>
            <w:shd w:val="clear" w:color="auto" w:fill="auto"/>
            <w:vAlign w:val="center"/>
          </w:tcPr>
          <w:p w:rsidR="00E22841" w:rsidRPr="00E22841" w:rsidRDefault="00E22841" w:rsidP="00E22841">
            <w:pPr>
              <w:pStyle w:val="NoSpacing"/>
              <w:jc w:val="center"/>
              <w:rPr>
                <w:sz w:val="22"/>
                <w:szCs w:val="22"/>
              </w:rPr>
            </w:pPr>
            <w:r w:rsidRPr="00E22841">
              <w:rPr>
                <w:sz w:val="22"/>
                <w:szCs w:val="22"/>
              </w:rPr>
              <w:t>5</w:t>
            </w:r>
          </w:p>
        </w:tc>
        <w:tc>
          <w:tcPr>
            <w:tcW w:w="0" w:type="auto"/>
            <w:tcBorders>
              <w:top w:val="nil"/>
              <w:left w:val="nil"/>
              <w:bottom w:val="single" w:sz="4" w:space="0" w:color="auto"/>
              <w:right w:val="single" w:sz="4" w:space="0" w:color="auto"/>
            </w:tcBorders>
            <w:shd w:val="clear" w:color="auto" w:fill="auto"/>
            <w:vAlign w:val="center"/>
          </w:tcPr>
          <w:p w:rsidR="00E22841" w:rsidRPr="00E22841" w:rsidRDefault="00E22841" w:rsidP="00E22841">
            <w:pPr>
              <w:pStyle w:val="NoSpacing"/>
              <w:jc w:val="center"/>
              <w:rPr>
                <w:sz w:val="22"/>
                <w:szCs w:val="22"/>
              </w:rPr>
            </w:pPr>
            <w:r w:rsidRPr="00E22841">
              <w:rPr>
                <w:sz w:val="22"/>
                <w:szCs w:val="22"/>
              </w:rPr>
              <w:t>6</w:t>
            </w:r>
          </w:p>
        </w:tc>
        <w:tc>
          <w:tcPr>
            <w:tcW w:w="0" w:type="auto"/>
            <w:tcBorders>
              <w:top w:val="nil"/>
              <w:left w:val="nil"/>
              <w:bottom w:val="single" w:sz="4" w:space="0" w:color="auto"/>
              <w:right w:val="single" w:sz="4" w:space="0" w:color="auto"/>
            </w:tcBorders>
            <w:shd w:val="clear" w:color="auto" w:fill="auto"/>
            <w:vAlign w:val="center"/>
          </w:tcPr>
          <w:p w:rsidR="00E22841" w:rsidRPr="00E22841" w:rsidRDefault="00E22841" w:rsidP="00E22841">
            <w:pPr>
              <w:pStyle w:val="NoSpacing"/>
              <w:jc w:val="center"/>
              <w:rPr>
                <w:sz w:val="22"/>
                <w:szCs w:val="22"/>
              </w:rPr>
            </w:pPr>
            <w:r w:rsidRPr="00E22841">
              <w:rPr>
                <w:sz w:val="22"/>
                <w:szCs w:val="22"/>
              </w:rPr>
              <w:t>7</w:t>
            </w:r>
          </w:p>
        </w:tc>
        <w:tc>
          <w:tcPr>
            <w:tcW w:w="0" w:type="auto"/>
            <w:tcBorders>
              <w:top w:val="nil"/>
              <w:left w:val="nil"/>
              <w:bottom w:val="single" w:sz="4" w:space="0" w:color="auto"/>
              <w:right w:val="single" w:sz="4" w:space="0" w:color="auto"/>
            </w:tcBorders>
            <w:shd w:val="clear" w:color="auto" w:fill="auto"/>
            <w:vAlign w:val="center"/>
          </w:tcPr>
          <w:p w:rsidR="00E22841" w:rsidRPr="00E22841" w:rsidRDefault="00E22841" w:rsidP="00E22841">
            <w:pPr>
              <w:pStyle w:val="NoSpacing"/>
              <w:jc w:val="center"/>
              <w:rPr>
                <w:sz w:val="22"/>
                <w:szCs w:val="22"/>
              </w:rPr>
            </w:pPr>
            <w:r w:rsidRPr="00E22841">
              <w:rPr>
                <w:sz w:val="22"/>
                <w:szCs w:val="22"/>
              </w:rPr>
              <w:t>8</w:t>
            </w:r>
          </w:p>
        </w:tc>
        <w:tc>
          <w:tcPr>
            <w:tcW w:w="0" w:type="auto"/>
            <w:tcBorders>
              <w:top w:val="nil"/>
              <w:left w:val="nil"/>
              <w:bottom w:val="single" w:sz="4" w:space="0" w:color="auto"/>
              <w:right w:val="single" w:sz="4" w:space="0" w:color="auto"/>
            </w:tcBorders>
            <w:shd w:val="clear" w:color="auto" w:fill="auto"/>
            <w:vAlign w:val="center"/>
          </w:tcPr>
          <w:p w:rsidR="00E22841" w:rsidRPr="00E22841" w:rsidRDefault="00E22841" w:rsidP="00E22841">
            <w:pPr>
              <w:pStyle w:val="NoSpacing"/>
              <w:jc w:val="center"/>
              <w:rPr>
                <w:sz w:val="22"/>
                <w:szCs w:val="22"/>
              </w:rPr>
            </w:pPr>
            <w:r w:rsidRPr="00E22841">
              <w:rPr>
                <w:sz w:val="22"/>
                <w:szCs w:val="22"/>
              </w:rPr>
              <w:t>9</w:t>
            </w:r>
          </w:p>
        </w:tc>
        <w:tc>
          <w:tcPr>
            <w:tcW w:w="0" w:type="auto"/>
            <w:tcBorders>
              <w:top w:val="nil"/>
              <w:left w:val="nil"/>
              <w:bottom w:val="single" w:sz="4" w:space="0" w:color="auto"/>
              <w:right w:val="single" w:sz="8" w:space="0" w:color="auto"/>
            </w:tcBorders>
            <w:shd w:val="clear" w:color="auto" w:fill="auto"/>
            <w:vAlign w:val="center"/>
          </w:tcPr>
          <w:p w:rsidR="00E22841" w:rsidRPr="00E22841" w:rsidRDefault="00E22841" w:rsidP="00E22841">
            <w:pPr>
              <w:pStyle w:val="NoSpacing"/>
              <w:jc w:val="center"/>
              <w:rPr>
                <w:sz w:val="22"/>
                <w:szCs w:val="22"/>
              </w:rPr>
            </w:pPr>
            <w:r w:rsidRPr="00E22841">
              <w:rPr>
                <w:sz w:val="22"/>
                <w:szCs w:val="22"/>
              </w:rPr>
              <w:t>10</w:t>
            </w:r>
          </w:p>
        </w:tc>
      </w:tr>
      <w:tr w:rsidR="00E22841" w:rsidRPr="00E22841" w:rsidTr="00E22841">
        <w:trPr>
          <w:trHeight w:val="697"/>
          <w:jc w:val="center"/>
        </w:trPr>
        <w:tc>
          <w:tcPr>
            <w:tcW w:w="0" w:type="auto"/>
            <w:vMerge/>
            <w:tcBorders>
              <w:top w:val="single" w:sz="8" w:space="0" w:color="auto"/>
              <w:left w:val="single" w:sz="8" w:space="0" w:color="auto"/>
              <w:bottom w:val="single" w:sz="8" w:space="0" w:color="000000"/>
              <w:right w:val="single" w:sz="4" w:space="0" w:color="auto"/>
            </w:tcBorders>
            <w:vAlign w:val="center"/>
          </w:tcPr>
          <w:p w:rsidR="00E22841" w:rsidRPr="00E22841" w:rsidRDefault="00E22841" w:rsidP="0088328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2841" w:rsidRPr="00E22841" w:rsidRDefault="00E22841" w:rsidP="00E22841">
            <w:pPr>
              <w:pStyle w:val="NoSpacing"/>
              <w:rPr>
                <w:sz w:val="22"/>
                <w:szCs w:val="22"/>
              </w:rPr>
            </w:pPr>
            <w:r w:rsidRPr="00E22841">
              <w:rPr>
                <w:sz w:val="22"/>
                <w:szCs w:val="22"/>
              </w:rPr>
              <w:t>Skaits 2008</w:t>
            </w:r>
            <w:proofErr w:type="gramStart"/>
            <w:r w:rsidRPr="00E22841">
              <w:rPr>
                <w:sz w:val="22"/>
                <w:szCs w:val="22"/>
              </w:rPr>
              <w:t>./</w:t>
            </w:r>
            <w:proofErr w:type="gramEnd"/>
            <w:r w:rsidRPr="00E22841">
              <w:rPr>
                <w:sz w:val="22"/>
                <w:szCs w:val="22"/>
              </w:rPr>
              <w:t>2009.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2841" w:rsidRPr="00E22841" w:rsidRDefault="00E22841" w:rsidP="00E22841">
            <w:pPr>
              <w:pStyle w:val="NoSpacing"/>
              <w:rPr>
                <w:sz w:val="22"/>
                <w:szCs w:val="22"/>
              </w:rPr>
            </w:pPr>
            <w:r w:rsidRPr="00E22841">
              <w:rPr>
                <w:sz w:val="22"/>
                <w:szCs w:val="22"/>
              </w:rPr>
              <w:t>5601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2841" w:rsidRPr="00E22841" w:rsidRDefault="00E22841" w:rsidP="00E22841">
            <w:pPr>
              <w:pStyle w:val="NoSpacing"/>
              <w:rPr>
                <w:sz w:val="22"/>
                <w:szCs w:val="22"/>
              </w:rPr>
            </w:pPr>
            <w:r w:rsidRPr="00E22841">
              <w:rPr>
                <w:sz w:val="22"/>
                <w:szCs w:val="22"/>
              </w:rPr>
              <w:t>5479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2841" w:rsidRPr="00E22841" w:rsidRDefault="00E22841" w:rsidP="00E22841">
            <w:pPr>
              <w:pStyle w:val="NoSpacing"/>
              <w:rPr>
                <w:sz w:val="22"/>
                <w:szCs w:val="22"/>
              </w:rPr>
            </w:pPr>
            <w:r w:rsidRPr="00E22841">
              <w:rPr>
                <w:sz w:val="22"/>
                <w:szCs w:val="22"/>
              </w:rPr>
              <w:t>57</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E22841" w:rsidRPr="00E22841" w:rsidRDefault="00E22841" w:rsidP="00E22841">
            <w:pPr>
              <w:pStyle w:val="NoSpacing"/>
              <w:rPr>
                <w:sz w:val="22"/>
                <w:szCs w:val="22"/>
              </w:rPr>
            </w:pPr>
            <w:r w:rsidRPr="00E22841">
              <w:rPr>
                <w:sz w:val="22"/>
                <w:szCs w:val="22"/>
              </w:rPr>
              <w:t>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2841" w:rsidRPr="00E22841" w:rsidRDefault="00E22841" w:rsidP="00E22841">
            <w:pPr>
              <w:pStyle w:val="NoSpacing"/>
              <w:rPr>
                <w:sz w:val="22"/>
                <w:szCs w:val="22"/>
              </w:rPr>
            </w:pPr>
            <w:r w:rsidRPr="00E22841">
              <w:rPr>
                <w:sz w:val="22"/>
                <w:szCs w:val="22"/>
              </w:rPr>
              <w:t>1043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2841" w:rsidRPr="00E22841" w:rsidRDefault="00E22841" w:rsidP="00E22841">
            <w:pPr>
              <w:pStyle w:val="NoSpacing"/>
              <w:rPr>
                <w:sz w:val="22"/>
                <w:szCs w:val="22"/>
              </w:rPr>
            </w:pPr>
            <w:r w:rsidRPr="00E22841">
              <w:rPr>
                <w:sz w:val="22"/>
                <w:szCs w:val="22"/>
              </w:rPr>
              <w:t>1090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2841" w:rsidRPr="00E22841" w:rsidRDefault="00E22841" w:rsidP="00E22841">
            <w:pPr>
              <w:pStyle w:val="NoSpacing"/>
              <w:rPr>
                <w:sz w:val="22"/>
                <w:szCs w:val="22"/>
              </w:rPr>
            </w:pPr>
            <w:r w:rsidRPr="00E22841">
              <w:rPr>
                <w:sz w:val="22"/>
                <w:szCs w:val="22"/>
              </w:rPr>
              <w:t>1331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2841" w:rsidRPr="00E22841" w:rsidRDefault="00E22841" w:rsidP="00E22841">
            <w:pPr>
              <w:pStyle w:val="NoSpacing"/>
              <w:rPr>
                <w:sz w:val="22"/>
                <w:szCs w:val="22"/>
              </w:rPr>
            </w:pPr>
            <w:r w:rsidRPr="00E22841">
              <w:rPr>
                <w:sz w:val="22"/>
                <w:szCs w:val="22"/>
              </w:rPr>
              <w:t>1183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2841" w:rsidRPr="00E22841" w:rsidRDefault="00E22841" w:rsidP="00E22841">
            <w:pPr>
              <w:pStyle w:val="NoSpacing"/>
              <w:rPr>
                <w:sz w:val="22"/>
                <w:szCs w:val="22"/>
              </w:rPr>
            </w:pPr>
            <w:r w:rsidRPr="00E22841">
              <w:rPr>
                <w:sz w:val="22"/>
                <w:szCs w:val="22"/>
              </w:rPr>
              <w:t>674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2841" w:rsidRPr="00E22841" w:rsidRDefault="00E22841" w:rsidP="00E22841">
            <w:pPr>
              <w:pStyle w:val="NoSpacing"/>
              <w:rPr>
                <w:sz w:val="22"/>
                <w:szCs w:val="22"/>
              </w:rPr>
            </w:pPr>
            <w:r w:rsidRPr="00E22841">
              <w:rPr>
                <w:sz w:val="22"/>
                <w:szCs w:val="22"/>
              </w:rPr>
              <w:t>158</w:t>
            </w:r>
          </w:p>
        </w:tc>
      </w:tr>
      <w:tr w:rsidR="00E22841" w:rsidRPr="00E22841" w:rsidTr="00E22841">
        <w:trPr>
          <w:trHeight w:val="232"/>
          <w:jc w:val="center"/>
        </w:trPr>
        <w:tc>
          <w:tcPr>
            <w:tcW w:w="0" w:type="auto"/>
            <w:vMerge/>
            <w:tcBorders>
              <w:top w:val="single" w:sz="8" w:space="0" w:color="auto"/>
              <w:left w:val="single" w:sz="8" w:space="0" w:color="auto"/>
              <w:bottom w:val="single" w:sz="8" w:space="0" w:color="000000"/>
              <w:right w:val="single" w:sz="4" w:space="0" w:color="auto"/>
            </w:tcBorders>
            <w:vAlign w:val="center"/>
          </w:tcPr>
          <w:p w:rsidR="00E22841" w:rsidRPr="00E22841" w:rsidRDefault="00E22841" w:rsidP="0088328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22841" w:rsidRPr="00E22841" w:rsidRDefault="00E22841" w:rsidP="00E22841">
            <w:pPr>
              <w:pStyle w:val="NoSpacing"/>
              <w:rPr>
                <w:sz w:val="22"/>
                <w:szCs w:val="22"/>
              </w:rPr>
            </w:pPr>
            <w:r w:rsidRPr="00E22841">
              <w:rPr>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22841" w:rsidRPr="00E22841" w:rsidRDefault="00E22841" w:rsidP="00E22841">
            <w:pPr>
              <w:pStyle w:val="NoSpacing"/>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22841" w:rsidRPr="00E22841" w:rsidRDefault="00E22841" w:rsidP="00E22841">
            <w:pPr>
              <w:pStyle w:val="NoSpacing"/>
              <w:rPr>
                <w:sz w:val="22"/>
                <w:szCs w:val="22"/>
              </w:rPr>
            </w:pPr>
            <w:r w:rsidRPr="00E22841">
              <w:rPr>
                <w:sz w:val="22"/>
                <w:szCs w:val="22"/>
              </w:rPr>
              <w:t>97,8</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22841" w:rsidRPr="00E22841" w:rsidRDefault="00E22841" w:rsidP="00E22841">
            <w:pPr>
              <w:pStyle w:val="NoSpacing"/>
              <w:rPr>
                <w:sz w:val="22"/>
                <w:szCs w:val="22"/>
              </w:rPr>
            </w:pPr>
            <w:r w:rsidRPr="00E22841">
              <w:rPr>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E22841" w:rsidRPr="00E22841" w:rsidRDefault="00E22841" w:rsidP="00E22841">
            <w:pPr>
              <w:pStyle w:val="NoSpacing"/>
              <w:rPr>
                <w:sz w:val="22"/>
                <w:szCs w:val="22"/>
              </w:rPr>
            </w:pPr>
            <w:r w:rsidRPr="00E22841">
              <w:rPr>
                <w:sz w:val="22"/>
                <w:szCs w:val="22"/>
              </w:rPr>
              <w:t>1,1</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22841" w:rsidRPr="00E22841" w:rsidRDefault="00E22841" w:rsidP="00E22841">
            <w:pPr>
              <w:pStyle w:val="NoSpacing"/>
              <w:rPr>
                <w:sz w:val="22"/>
                <w:szCs w:val="22"/>
              </w:rPr>
            </w:pPr>
            <w:r w:rsidRPr="00E22841">
              <w:rPr>
                <w:sz w:val="22"/>
                <w:szCs w:val="22"/>
              </w:rPr>
              <w:t>18,6</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22841" w:rsidRPr="00E22841" w:rsidRDefault="00E22841" w:rsidP="00E22841">
            <w:pPr>
              <w:pStyle w:val="NoSpacing"/>
              <w:rPr>
                <w:sz w:val="22"/>
                <w:szCs w:val="22"/>
              </w:rPr>
            </w:pPr>
            <w:r w:rsidRPr="00E22841">
              <w:rPr>
                <w:sz w:val="22"/>
                <w:szCs w:val="22"/>
              </w:rPr>
              <w:t>19,5</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22841" w:rsidRPr="00E22841" w:rsidRDefault="00E22841" w:rsidP="00E22841">
            <w:pPr>
              <w:pStyle w:val="NoSpacing"/>
              <w:rPr>
                <w:sz w:val="22"/>
                <w:szCs w:val="22"/>
              </w:rPr>
            </w:pPr>
            <w:r w:rsidRPr="00E22841">
              <w:rPr>
                <w:sz w:val="22"/>
                <w:szCs w:val="22"/>
              </w:rPr>
              <w:t>23,8</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22841" w:rsidRPr="00E22841" w:rsidRDefault="00E22841" w:rsidP="00E22841">
            <w:pPr>
              <w:pStyle w:val="NoSpacing"/>
              <w:rPr>
                <w:sz w:val="22"/>
                <w:szCs w:val="22"/>
              </w:rPr>
            </w:pPr>
            <w:r w:rsidRPr="00E22841">
              <w:rPr>
                <w:sz w:val="22"/>
                <w:szCs w:val="22"/>
              </w:rPr>
              <w:t>21,1</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22841" w:rsidRPr="00E22841" w:rsidRDefault="00E22841" w:rsidP="00E22841">
            <w:pPr>
              <w:pStyle w:val="NoSpacing"/>
              <w:rPr>
                <w:sz w:val="22"/>
                <w:szCs w:val="22"/>
              </w:rPr>
            </w:pPr>
            <w:r w:rsidRPr="00E22841">
              <w:rPr>
                <w:sz w:val="22"/>
                <w:szCs w:val="22"/>
              </w:rPr>
              <w:t>12,0</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22841" w:rsidRPr="00E22841" w:rsidRDefault="00E22841" w:rsidP="00E22841">
            <w:pPr>
              <w:pStyle w:val="NoSpacing"/>
              <w:rPr>
                <w:sz w:val="22"/>
                <w:szCs w:val="22"/>
              </w:rPr>
            </w:pPr>
            <w:r w:rsidRPr="00E22841">
              <w:rPr>
                <w:sz w:val="22"/>
                <w:szCs w:val="22"/>
              </w:rPr>
              <w:t>2,8</w:t>
            </w:r>
          </w:p>
        </w:tc>
      </w:tr>
      <w:tr w:rsidR="00E22841" w:rsidRPr="00E22841" w:rsidTr="00E22841">
        <w:trPr>
          <w:trHeight w:val="697"/>
          <w:jc w:val="center"/>
        </w:trPr>
        <w:tc>
          <w:tcPr>
            <w:tcW w:w="0" w:type="auto"/>
            <w:vMerge/>
            <w:tcBorders>
              <w:top w:val="single" w:sz="8" w:space="0" w:color="auto"/>
              <w:left w:val="single" w:sz="8" w:space="0" w:color="auto"/>
              <w:bottom w:val="single" w:sz="8" w:space="0" w:color="000000"/>
              <w:right w:val="single" w:sz="4" w:space="0" w:color="auto"/>
            </w:tcBorders>
            <w:vAlign w:val="center"/>
          </w:tcPr>
          <w:p w:rsidR="00E22841" w:rsidRPr="00E22841" w:rsidRDefault="00E22841" w:rsidP="0088328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2841" w:rsidRPr="00E22841" w:rsidRDefault="00E22841" w:rsidP="00E22841">
            <w:pPr>
              <w:pStyle w:val="NoSpacing"/>
              <w:rPr>
                <w:sz w:val="22"/>
                <w:szCs w:val="22"/>
              </w:rPr>
            </w:pPr>
            <w:r w:rsidRPr="00E22841">
              <w:rPr>
                <w:sz w:val="22"/>
                <w:szCs w:val="22"/>
              </w:rPr>
              <w:t>Skaits 2009</w:t>
            </w:r>
            <w:proofErr w:type="gramStart"/>
            <w:r w:rsidRPr="00E22841">
              <w:rPr>
                <w:sz w:val="22"/>
                <w:szCs w:val="22"/>
              </w:rPr>
              <w:t>./</w:t>
            </w:r>
            <w:proofErr w:type="gramEnd"/>
            <w:r w:rsidRPr="00E22841">
              <w:rPr>
                <w:sz w:val="22"/>
                <w:szCs w:val="22"/>
              </w:rPr>
              <w:t>2010.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2841" w:rsidRPr="00E22841" w:rsidRDefault="00E22841" w:rsidP="00E22841">
            <w:pPr>
              <w:pStyle w:val="NoSpacing"/>
              <w:rPr>
                <w:sz w:val="22"/>
                <w:szCs w:val="22"/>
              </w:rPr>
            </w:pPr>
            <w:r w:rsidRPr="00E22841">
              <w:rPr>
                <w:sz w:val="22"/>
                <w:szCs w:val="22"/>
              </w:rPr>
              <w:t>5963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2841" w:rsidRPr="00E22841" w:rsidRDefault="00E22841" w:rsidP="00E22841">
            <w:pPr>
              <w:pStyle w:val="NoSpacing"/>
              <w:rPr>
                <w:sz w:val="22"/>
                <w:szCs w:val="22"/>
              </w:rPr>
            </w:pPr>
            <w:r w:rsidRPr="00E22841">
              <w:rPr>
                <w:sz w:val="22"/>
                <w:szCs w:val="22"/>
              </w:rPr>
              <w:t>5830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2841" w:rsidRPr="00E22841" w:rsidRDefault="00E22841" w:rsidP="00E22841">
            <w:pPr>
              <w:pStyle w:val="NoSpacing"/>
              <w:rPr>
                <w:sz w:val="22"/>
                <w:szCs w:val="22"/>
              </w:rPr>
            </w:pPr>
            <w:r w:rsidRPr="00E22841">
              <w:rPr>
                <w:sz w:val="22"/>
                <w:szCs w:val="22"/>
              </w:rPr>
              <w:t>69</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E22841" w:rsidRPr="00E22841" w:rsidRDefault="00E22841" w:rsidP="00E22841">
            <w:pPr>
              <w:pStyle w:val="NoSpacing"/>
              <w:rPr>
                <w:sz w:val="22"/>
                <w:szCs w:val="22"/>
              </w:rPr>
            </w:pPr>
            <w:r w:rsidRPr="00E22841">
              <w:rPr>
                <w:sz w:val="22"/>
                <w:szCs w:val="22"/>
              </w:rPr>
              <w:t>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2841" w:rsidRPr="00E22841" w:rsidRDefault="00E22841" w:rsidP="00E22841">
            <w:pPr>
              <w:pStyle w:val="NoSpacing"/>
              <w:rPr>
                <w:sz w:val="22"/>
                <w:szCs w:val="22"/>
              </w:rPr>
            </w:pPr>
            <w:r w:rsidRPr="00E22841">
              <w:rPr>
                <w:sz w:val="22"/>
                <w:szCs w:val="22"/>
              </w:rPr>
              <w:t>1104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2841" w:rsidRPr="00E22841" w:rsidRDefault="00E22841" w:rsidP="00E22841">
            <w:pPr>
              <w:pStyle w:val="NoSpacing"/>
              <w:rPr>
                <w:sz w:val="22"/>
                <w:szCs w:val="22"/>
              </w:rPr>
            </w:pPr>
            <w:r w:rsidRPr="00E22841">
              <w:rPr>
                <w:sz w:val="22"/>
                <w:szCs w:val="22"/>
              </w:rPr>
              <w:t>1280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2841" w:rsidRPr="00E22841" w:rsidRDefault="00E22841" w:rsidP="00E22841">
            <w:pPr>
              <w:pStyle w:val="NoSpacing"/>
              <w:rPr>
                <w:sz w:val="22"/>
                <w:szCs w:val="22"/>
              </w:rPr>
            </w:pPr>
            <w:r w:rsidRPr="00E22841">
              <w:rPr>
                <w:sz w:val="22"/>
                <w:szCs w:val="22"/>
              </w:rPr>
              <w:t>1410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2841" w:rsidRPr="00E22841" w:rsidRDefault="00E22841" w:rsidP="00E22841">
            <w:pPr>
              <w:pStyle w:val="NoSpacing"/>
              <w:rPr>
                <w:sz w:val="22"/>
                <w:szCs w:val="22"/>
              </w:rPr>
            </w:pPr>
            <w:r w:rsidRPr="00E22841">
              <w:rPr>
                <w:sz w:val="22"/>
                <w:szCs w:val="22"/>
              </w:rPr>
              <w:t>1244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2841" w:rsidRPr="00E22841" w:rsidRDefault="00E22841" w:rsidP="00E22841">
            <w:pPr>
              <w:pStyle w:val="NoSpacing"/>
              <w:rPr>
                <w:sz w:val="22"/>
                <w:szCs w:val="22"/>
              </w:rPr>
            </w:pPr>
            <w:r w:rsidRPr="00E22841">
              <w:rPr>
                <w:sz w:val="22"/>
                <w:szCs w:val="22"/>
              </w:rPr>
              <w:t>624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2841" w:rsidRPr="00E22841" w:rsidRDefault="00E22841" w:rsidP="00E22841">
            <w:pPr>
              <w:pStyle w:val="NoSpacing"/>
              <w:rPr>
                <w:sz w:val="22"/>
                <w:szCs w:val="22"/>
              </w:rPr>
            </w:pPr>
            <w:r w:rsidRPr="00E22841">
              <w:rPr>
                <w:sz w:val="22"/>
                <w:szCs w:val="22"/>
              </w:rPr>
              <w:t>168</w:t>
            </w:r>
          </w:p>
        </w:tc>
      </w:tr>
      <w:tr w:rsidR="00E22841" w:rsidRPr="00E22841" w:rsidTr="00E22841">
        <w:trPr>
          <w:trHeight w:val="232"/>
          <w:jc w:val="center"/>
        </w:trPr>
        <w:tc>
          <w:tcPr>
            <w:tcW w:w="0" w:type="auto"/>
            <w:vMerge/>
            <w:tcBorders>
              <w:top w:val="single" w:sz="8" w:space="0" w:color="auto"/>
              <w:left w:val="single" w:sz="8" w:space="0" w:color="auto"/>
              <w:bottom w:val="single" w:sz="8" w:space="0" w:color="000000"/>
              <w:right w:val="single" w:sz="4" w:space="0" w:color="auto"/>
            </w:tcBorders>
            <w:vAlign w:val="center"/>
          </w:tcPr>
          <w:p w:rsidR="00E22841" w:rsidRPr="00E22841" w:rsidRDefault="00E22841" w:rsidP="00883285">
            <w:pP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22841" w:rsidRPr="00E22841" w:rsidRDefault="00E22841" w:rsidP="00E22841">
            <w:pPr>
              <w:pStyle w:val="NoSpacing"/>
              <w:rPr>
                <w:sz w:val="22"/>
                <w:szCs w:val="22"/>
              </w:rPr>
            </w:pPr>
            <w:r w:rsidRPr="00E22841">
              <w:rPr>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22841" w:rsidRPr="00E22841" w:rsidRDefault="00E22841" w:rsidP="00E22841">
            <w:pPr>
              <w:pStyle w:val="NoSpacing"/>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22841" w:rsidRPr="00E22841" w:rsidRDefault="00E22841" w:rsidP="00E22841">
            <w:pPr>
              <w:pStyle w:val="NoSpacing"/>
              <w:rPr>
                <w:sz w:val="22"/>
                <w:szCs w:val="22"/>
              </w:rPr>
            </w:pPr>
            <w:r w:rsidRPr="00E22841">
              <w:rPr>
                <w:sz w:val="22"/>
                <w:szCs w:val="22"/>
              </w:rPr>
              <w:t>97,8</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22841" w:rsidRPr="00E22841" w:rsidRDefault="00E22841" w:rsidP="00E22841">
            <w:pPr>
              <w:pStyle w:val="NoSpacing"/>
              <w:rPr>
                <w:sz w:val="22"/>
                <w:szCs w:val="22"/>
              </w:rPr>
            </w:pPr>
            <w:r w:rsidRPr="00E22841">
              <w:rPr>
                <w:sz w:val="22"/>
                <w:szCs w:val="22"/>
              </w:rPr>
              <w:t>1,1</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E22841" w:rsidRPr="00E22841" w:rsidRDefault="00E22841" w:rsidP="00E22841">
            <w:pPr>
              <w:pStyle w:val="NoSpacing"/>
              <w:rPr>
                <w:sz w:val="22"/>
                <w:szCs w:val="22"/>
              </w:rPr>
            </w:pPr>
            <w:r w:rsidRPr="00E22841">
              <w:rPr>
                <w:sz w:val="22"/>
                <w:szCs w:val="22"/>
              </w:rPr>
              <w:t>1,1</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22841" w:rsidRPr="00E22841" w:rsidRDefault="00E22841" w:rsidP="00E22841">
            <w:pPr>
              <w:pStyle w:val="NoSpacing"/>
              <w:rPr>
                <w:sz w:val="22"/>
                <w:szCs w:val="22"/>
              </w:rPr>
            </w:pPr>
            <w:r w:rsidRPr="00E22841">
              <w:rPr>
                <w:sz w:val="22"/>
                <w:szCs w:val="22"/>
              </w:rPr>
              <w:t>18,6</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22841" w:rsidRPr="00E22841" w:rsidRDefault="00E22841" w:rsidP="00E22841">
            <w:pPr>
              <w:pStyle w:val="NoSpacing"/>
              <w:rPr>
                <w:sz w:val="22"/>
                <w:szCs w:val="22"/>
              </w:rPr>
            </w:pPr>
            <w:r w:rsidRPr="00E22841">
              <w:rPr>
                <w:sz w:val="22"/>
                <w:szCs w:val="22"/>
              </w:rPr>
              <w:t>21,5</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22841" w:rsidRPr="00E22841" w:rsidRDefault="00E22841" w:rsidP="00E22841">
            <w:pPr>
              <w:pStyle w:val="NoSpacing"/>
              <w:rPr>
                <w:sz w:val="22"/>
                <w:szCs w:val="22"/>
              </w:rPr>
            </w:pPr>
            <w:r w:rsidRPr="00E22841">
              <w:rPr>
                <w:sz w:val="22"/>
                <w:szCs w:val="22"/>
              </w:rPr>
              <w:t>23,7</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22841" w:rsidRPr="00E22841" w:rsidRDefault="00E22841" w:rsidP="00E22841">
            <w:pPr>
              <w:pStyle w:val="NoSpacing"/>
              <w:rPr>
                <w:sz w:val="22"/>
                <w:szCs w:val="22"/>
              </w:rPr>
            </w:pPr>
            <w:r w:rsidRPr="00E22841">
              <w:rPr>
                <w:sz w:val="22"/>
                <w:szCs w:val="22"/>
              </w:rPr>
              <w:t>20,8</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22841" w:rsidRPr="00E22841" w:rsidRDefault="00E22841" w:rsidP="00E22841">
            <w:pPr>
              <w:pStyle w:val="NoSpacing"/>
              <w:rPr>
                <w:sz w:val="22"/>
                <w:szCs w:val="22"/>
              </w:rPr>
            </w:pPr>
            <w:r w:rsidRPr="00E22841">
              <w:rPr>
                <w:sz w:val="22"/>
                <w:szCs w:val="22"/>
              </w:rPr>
              <w:t>10,4</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22841" w:rsidRPr="00E22841" w:rsidRDefault="00E22841" w:rsidP="00E22841">
            <w:pPr>
              <w:pStyle w:val="NoSpacing"/>
              <w:rPr>
                <w:sz w:val="22"/>
                <w:szCs w:val="22"/>
              </w:rPr>
            </w:pPr>
            <w:r w:rsidRPr="00E22841">
              <w:rPr>
                <w:sz w:val="22"/>
                <w:szCs w:val="22"/>
              </w:rPr>
              <w:t>2,8</w:t>
            </w:r>
          </w:p>
        </w:tc>
      </w:tr>
    </w:tbl>
    <w:p w:rsidR="0063079D" w:rsidRPr="0007049E" w:rsidRDefault="0063079D" w:rsidP="00E22841">
      <w:pPr>
        <w:spacing w:after="0"/>
        <w:jc w:val="center"/>
      </w:pPr>
      <w:r w:rsidRPr="0007049E">
        <w:t xml:space="preserve">Avots: </w:t>
      </w:r>
      <w:r>
        <w:t>Valsts izglītības satura centra informācija</w:t>
      </w:r>
    </w:p>
    <w:p w:rsidR="0063079D" w:rsidRPr="000F128B" w:rsidRDefault="0063079D" w:rsidP="00E22841">
      <w:pPr>
        <w:spacing w:after="0"/>
      </w:pPr>
    </w:p>
    <w:p w:rsidR="0063079D" w:rsidRDefault="0063079D" w:rsidP="00E22841">
      <w:pPr>
        <w:spacing w:after="0"/>
        <w:ind w:left="6480"/>
        <w:jc w:val="right"/>
      </w:pPr>
      <w:r w:rsidRPr="00274B23">
        <w:t>2.2.3. attēls</w:t>
      </w:r>
    </w:p>
    <w:p w:rsidR="0063079D" w:rsidRPr="000F128B" w:rsidRDefault="0063079D" w:rsidP="00E22841">
      <w:pPr>
        <w:spacing w:after="0"/>
        <w:ind w:left="6480"/>
        <w:jc w:val="right"/>
      </w:pPr>
    </w:p>
    <w:p w:rsidR="0063079D" w:rsidRDefault="0063079D" w:rsidP="00E22841">
      <w:pPr>
        <w:spacing w:after="0"/>
        <w:jc w:val="center"/>
      </w:pPr>
      <w:r>
        <w:rPr>
          <w:noProof/>
          <w:lang w:eastAsia="lv-LV"/>
        </w:rPr>
        <w:drawing>
          <wp:inline distT="0" distB="0" distL="0" distR="0">
            <wp:extent cx="3943985" cy="23063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943985" cy="2306320"/>
                    </a:xfrm>
                    <a:prstGeom prst="rect">
                      <a:avLst/>
                    </a:prstGeom>
                    <a:noFill/>
                    <a:ln w="9525">
                      <a:noFill/>
                      <a:miter lim="800000"/>
                      <a:headEnd/>
                      <a:tailEnd/>
                    </a:ln>
                  </pic:spPr>
                </pic:pic>
              </a:graphicData>
            </a:graphic>
          </wp:inline>
        </w:drawing>
      </w:r>
    </w:p>
    <w:p w:rsidR="0063079D" w:rsidRDefault="0063079D" w:rsidP="00E22841">
      <w:pPr>
        <w:spacing w:after="0"/>
        <w:jc w:val="center"/>
      </w:pPr>
      <w:r>
        <w:t>Avots: Valsts izglītības satura centra informācija</w:t>
      </w:r>
    </w:p>
    <w:p w:rsidR="0063079D" w:rsidRPr="000F128B" w:rsidRDefault="0063079D" w:rsidP="00E22841">
      <w:pPr>
        <w:spacing w:after="0"/>
      </w:pPr>
    </w:p>
    <w:p w:rsidR="0063079D" w:rsidRPr="00274B23" w:rsidRDefault="0063079D" w:rsidP="00E22841">
      <w:pPr>
        <w:spacing w:after="0"/>
      </w:pPr>
      <w:r w:rsidRPr="00274B23">
        <w:t xml:space="preserve">Lai modernizētu profesionālās kvalifikācijas eksāmenu norises procesu, 12 </w:t>
      </w:r>
      <w:proofErr w:type="spellStart"/>
      <w:r w:rsidRPr="00274B23">
        <w:t>kvalifikācijām</w:t>
      </w:r>
      <w:proofErr w:type="spellEnd"/>
      <w:r w:rsidRPr="00274B23">
        <w:t xml:space="preserve"> VISC organizē eksāmena teorētiskās daļas norisi elektroniski. Teorētisko zināšanu pārbaudes darbu v</w:t>
      </w:r>
      <w:r>
        <w:t>eic, izmantojot datorprogrammu "</w:t>
      </w:r>
      <w:proofErr w:type="spellStart"/>
      <w:r w:rsidRPr="00274B23">
        <w:t>Drill</w:t>
      </w:r>
      <w:proofErr w:type="spellEnd"/>
      <w:r w:rsidRPr="00274B23">
        <w:t xml:space="preserve"> </w:t>
      </w:r>
      <w:proofErr w:type="spellStart"/>
      <w:r w:rsidRPr="00274B23">
        <w:t>for</w:t>
      </w:r>
      <w:proofErr w:type="spellEnd"/>
      <w:r w:rsidRPr="00274B23">
        <w:t xml:space="preserve"> IT </w:t>
      </w:r>
      <w:proofErr w:type="spellStart"/>
      <w:r w:rsidRPr="00274B23">
        <w:t>Skills</w:t>
      </w:r>
      <w:proofErr w:type="spellEnd"/>
      <w:r>
        <w:t>"</w:t>
      </w:r>
      <w:r w:rsidRPr="00274B23">
        <w:t xml:space="preserve"> (DITS). 2011.gadā programmai ir izveidota jauna WEB versija, lai atvieglotu eksaminācijas institūcijām sagatavošanās procesu pirms eksāmena kārtošanas.</w:t>
      </w:r>
    </w:p>
    <w:p w:rsidR="0063079D" w:rsidRPr="000F128B" w:rsidRDefault="0063079D" w:rsidP="00E22841">
      <w:pPr>
        <w:spacing w:after="0"/>
      </w:pPr>
    </w:p>
    <w:p w:rsidR="00E22841" w:rsidRDefault="00E22841">
      <w:pPr>
        <w:spacing w:after="0"/>
        <w:ind w:firstLine="0"/>
      </w:pPr>
      <w:r>
        <w:br w:type="page"/>
      </w:r>
    </w:p>
    <w:p w:rsidR="0063079D" w:rsidRPr="00274B23" w:rsidRDefault="0063079D" w:rsidP="00E22841">
      <w:pPr>
        <w:spacing w:after="0"/>
        <w:jc w:val="right"/>
        <w:rPr>
          <w:rStyle w:val="apple-style-span"/>
          <w:color w:val="606060"/>
        </w:rPr>
      </w:pPr>
      <w:r w:rsidRPr="00274B23">
        <w:lastRenderedPageBreak/>
        <w:t>2.2.2. tabula</w:t>
      </w:r>
    </w:p>
    <w:p w:rsidR="0063079D" w:rsidRPr="00274B23" w:rsidRDefault="0063079D" w:rsidP="00E22841">
      <w:pPr>
        <w:spacing w:after="0"/>
        <w:ind w:left="-374"/>
        <w:jc w:val="center"/>
        <w:rPr>
          <w:b/>
        </w:rPr>
      </w:pPr>
      <w:r w:rsidRPr="00274B23">
        <w:rPr>
          <w:b/>
        </w:rPr>
        <w:t xml:space="preserve">Informācija par eksaminējamo skaitu, </w:t>
      </w:r>
    </w:p>
    <w:p w:rsidR="0063079D" w:rsidRPr="00274B23" w:rsidRDefault="0063079D" w:rsidP="00E22841">
      <w:pPr>
        <w:spacing w:after="0"/>
        <w:ind w:left="-374"/>
        <w:jc w:val="center"/>
        <w:rPr>
          <w:b/>
        </w:rPr>
      </w:pPr>
      <w:r w:rsidRPr="00274B23">
        <w:rPr>
          <w:b/>
        </w:rPr>
        <w:t xml:space="preserve">kuri eksāmena teorētisko daļu kārtoja elektroniski 2008./2009.m.g </w:t>
      </w:r>
    </w:p>
    <w:p w:rsidR="0063079D" w:rsidRPr="00622D88" w:rsidRDefault="0063079D" w:rsidP="00E22841">
      <w:pPr>
        <w:spacing w:after="0"/>
        <w:jc w:val="center"/>
      </w:pPr>
    </w:p>
    <w:tbl>
      <w:tblPr>
        <w:tblW w:w="8884" w:type="dxa"/>
        <w:jc w:val="center"/>
        <w:tblInd w:w="-242" w:type="dxa"/>
        <w:tblLayout w:type="fixed"/>
        <w:tblLook w:val="0000"/>
      </w:tblPr>
      <w:tblGrid>
        <w:gridCol w:w="4622"/>
        <w:gridCol w:w="2160"/>
        <w:gridCol w:w="2102"/>
      </w:tblGrid>
      <w:tr w:rsidR="0063079D" w:rsidRPr="00622D88" w:rsidTr="00883285">
        <w:trPr>
          <w:trHeight w:val="255"/>
          <w:jc w:val="center"/>
        </w:trPr>
        <w:tc>
          <w:tcPr>
            <w:tcW w:w="4622" w:type="dxa"/>
            <w:tcBorders>
              <w:top w:val="single" w:sz="4" w:space="0" w:color="000000"/>
              <w:left w:val="single" w:sz="4" w:space="0" w:color="000000"/>
              <w:bottom w:val="nil"/>
              <w:right w:val="nil"/>
            </w:tcBorders>
            <w:shd w:val="clear" w:color="auto" w:fill="auto"/>
            <w:noWrap/>
            <w:vAlign w:val="bottom"/>
          </w:tcPr>
          <w:p w:rsidR="0063079D" w:rsidRPr="006450E3" w:rsidRDefault="0063079D" w:rsidP="00E22841">
            <w:pPr>
              <w:spacing w:after="0"/>
              <w:jc w:val="center"/>
            </w:pPr>
            <w:r w:rsidRPr="006450E3">
              <w:t>Iegūstamā kvalifikācija</w:t>
            </w:r>
          </w:p>
        </w:tc>
        <w:tc>
          <w:tcPr>
            <w:tcW w:w="2160" w:type="dxa"/>
            <w:tcBorders>
              <w:top w:val="single" w:sz="4" w:space="0" w:color="000000"/>
              <w:left w:val="single" w:sz="4" w:space="0" w:color="000000"/>
              <w:bottom w:val="nil"/>
              <w:right w:val="single" w:sz="4" w:space="0" w:color="000000"/>
            </w:tcBorders>
          </w:tcPr>
          <w:p w:rsidR="0063079D" w:rsidRPr="006450E3" w:rsidRDefault="0063079D" w:rsidP="00E22841">
            <w:pPr>
              <w:spacing w:after="0"/>
              <w:jc w:val="center"/>
            </w:pPr>
            <w:r w:rsidRPr="006450E3">
              <w:t>Atļauts kārtot eksāmenu</w:t>
            </w:r>
          </w:p>
        </w:tc>
        <w:tc>
          <w:tcPr>
            <w:tcW w:w="2102" w:type="dxa"/>
            <w:tcBorders>
              <w:top w:val="single" w:sz="4" w:space="0" w:color="000000"/>
              <w:left w:val="single" w:sz="4" w:space="0" w:color="000000"/>
              <w:bottom w:val="nil"/>
              <w:right w:val="single" w:sz="4" w:space="0" w:color="000000"/>
            </w:tcBorders>
          </w:tcPr>
          <w:p w:rsidR="0063079D" w:rsidRPr="006450E3" w:rsidRDefault="0063079D" w:rsidP="00E22841">
            <w:pPr>
              <w:spacing w:after="0"/>
              <w:jc w:val="center"/>
            </w:pPr>
            <w:r w:rsidRPr="006450E3">
              <w:t>Nokārtoja eksāmenu</w:t>
            </w:r>
          </w:p>
        </w:tc>
      </w:tr>
      <w:tr w:rsidR="0063079D" w:rsidRPr="00622D88" w:rsidTr="00883285">
        <w:trPr>
          <w:trHeight w:val="255"/>
          <w:jc w:val="center"/>
        </w:trPr>
        <w:tc>
          <w:tcPr>
            <w:tcW w:w="4622" w:type="dxa"/>
            <w:tcBorders>
              <w:top w:val="single" w:sz="4" w:space="0" w:color="000000"/>
              <w:left w:val="single" w:sz="4" w:space="0" w:color="000000"/>
              <w:bottom w:val="nil"/>
              <w:right w:val="nil"/>
            </w:tcBorders>
            <w:shd w:val="clear" w:color="auto" w:fill="auto"/>
            <w:noWrap/>
            <w:vAlign w:val="bottom"/>
          </w:tcPr>
          <w:p w:rsidR="0063079D" w:rsidRPr="004F7E35" w:rsidRDefault="0063079D" w:rsidP="00E22841">
            <w:pPr>
              <w:spacing w:after="0"/>
            </w:pPr>
            <w:proofErr w:type="spellStart"/>
            <w:r w:rsidRPr="004F7E35">
              <w:t>Agrouzņēmuma</w:t>
            </w:r>
            <w:proofErr w:type="spellEnd"/>
            <w:r w:rsidRPr="004F7E35">
              <w:t xml:space="preserve"> </w:t>
            </w:r>
            <w:proofErr w:type="spellStart"/>
            <w:r w:rsidRPr="004F7E35">
              <w:t>komercdarbinieks</w:t>
            </w:r>
            <w:proofErr w:type="spellEnd"/>
          </w:p>
        </w:tc>
        <w:tc>
          <w:tcPr>
            <w:tcW w:w="2160" w:type="dxa"/>
            <w:tcBorders>
              <w:top w:val="single" w:sz="4" w:space="0" w:color="000000"/>
              <w:left w:val="single" w:sz="4" w:space="0" w:color="000000"/>
              <w:bottom w:val="nil"/>
              <w:right w:val="single" w:sz="4" w:space="0" w:color="000000"/>
            </w:tcBorders>
            <w:vAlign w:val="bottom"/>
          </w:tcPr>
          <w:p w:rsidR="0063079D" w:rsidRPr="004F7E35" w:rsidRDefault="0063079D" w:rsidP="00E22841">
            <w:pPr>
              <w:spacing w:after="0"/>
              <w:jc w:val="center"/>
            </w:pPr>
            <w:r w:rsidRPr="004F7E35">
              <w:t>95</w:t>
            </w:r>
          </w:p>
        </w:tc>
        <w:tc>
          <w:tcPr>
            <w:tcW w:w="2102" w:type="dxa"/>
            <w:tcBorders>
              <w:top w:val="single" w:sz="4" w:space="0" w:color="000000"/>
              <w:left w:val="single" w:sz="4" w:space="0" w:color="000000"/>
              <w:bottom w:val="nil"/>
              <w:right w:val="single" w:sz="4" w:space="0" w:color="000000"/>
            </w:tcBorders>
            <w:vAlign w:val="bottom"/>
          </w:tcPr>
          <w:p w:rsidR="0063079D" w:rsidRPr="004F7E35" w:rsidRDefault="0063079D" w:rsidP="00E22841">
            <w:pPr>
              <w:spacing w:after="0"/>
              <w:jc w:val="center"/>
            </w:pPr>
            <w:r w:rsidRPr="004F7E35">
              <w:t>87</w:t>
            </w:r>
          </w:p>
        </w:tc>
      </w:tr>
      <w:tr w:rsidR="0063079D" w:rsidRPr="00622D88" w:rsidTr="00883285">
        <w:trPr>
          <w:trHeight w:val="255"/>
          <w:jc w:val="center"/>
        </w:trPr>
        <w:tc>
          <w:tcPr>
            <w:tcW w:w="4622" w:type="dxa"/>
            <w:tcBorders>
              <w:top w:val="nil"/>
              <w:left w:val="single" w:sz="4" w:space="0" w:color="000000"/>
              <w:bottom w:val="nil"/>
              <w:right w:val="nil"/>
            </w:tcBorders>
            <w:shd w:val="clear" w:color="auto" w:fill="auto"/>
            <w:noWrap/>
            <w:vAlign w:val="bottom"/>
          </w:tcPr>
          <w:p w:rsidR="0063079D" w:rsidRPr="004F7E35" w:rsidRDefault="0063079D" w:rsidP="00E22841">
            <w:pPr>
              <w:spacing w:after="0"/>
            </w:pPr>
            <w:r w:rsidRPr="004F7E35">
              <w:t>Elektriķis</w:t>
            </w:r>
          </w:p>
        </w:tc>
        <w:tc>
          <w:tcPr>
            <w:tcW w:w="2160" w:type="dxa"/>
            <w:tcBorders>
              <w:top w:val="nil"/>
              <w:left w:val="single" w:sz="4" w:space="0" w:color="000000"/>
              <w:bottom w:val="nil"/>
              <w:right w:val="single" w:sz="4" w:space="0" w:color="000000"/>
            </w:tcBorders>
            <w:vAlign w:val="bottom"/>
          </w:tcPr>
          <w:p w:rsidR="0063079D" w:rsidRPr="004F7E35" w:rsidRDefault="0063079D" w:rsidP="00E22841">
            <w:pPr>
              <w:spacing w:after="0"/>
              <w:jc w:val="center"/>
            </w:pPr>
            <w:r w:rsidRPr="004F7E35">
              <w:t>170</w:t>
            </w:r>
          </w:p>
        </w:tc>
        <w:tc>
          <w:tcPr>
            <w:tcW w:w="2102" w:type="dxa"/>
            <w:tcBorders>
              <w:top w:val="nil"/>
              <w:left w:val="single" w:sz="4" w:space="0" w:color="000000"/>
              <w:bottom w:val="nil"/>
              <w:right w:val="single" w:sz="4" w:space="0" w:color="000000"/>
            </w:tcBorders>
            <w:vAlign w:val="bottom"/>
          </w:tcPr>
          <w:p w:rsidR="0063079D" w:rsidRPr="004F7E35" w:rsidRDefault="0063079D" w:rsidP="00E22841">
            <w:pPr>
              <w:spacing w:after="0"/>
              <w:jc w:val="center"/>
            </w:pPr>
            <w:r w:rsidRPr="004F7E35">
              <w:t>168</w:t>
            </w:r>
          </w:p>
        </w:tc>
      </w:tr>
      <w:tr w:rsidR="0063079D" w:rsidRPr="00622D88" w:rsidTr="00883285">
        <w:trPr>
          <w:trHeight w:val="255"/>
          <w:jc w:val="center"/>
        </w:trPr>
        <w:tc>
          <w:tcPr>
            <w:tcW w:w="4622" w:type="dxa"/>
            <w:tcBorders>
              <w:top w:val="nil"/>
              <w:left w:val="single" w:sz="4" w:space="0" w:color="000000"/>
              <w:bottom w:val="nil"/>
              <w:right w:val="nil"/>
            </w:tcBorders>
            <w:shd w:val="clear" w:color="auto" w:fill="auto"/>
            <w:noWrap/>
            <w:vAlign w:val="bottom"/>
          </w:tcPr>
          <w:p w:rsidR="0063079D" w:rsidRPr="004F7E35" w:rsidRDefault="0063079D" w:rsidP="00E22841">
            <w:pPr>
              <w:spacing w:after="0"/>
            </w:pPr>
            <w:r w:rsidRPr="004F7E35">
              <w:t>Elektromontieris</w:t>
            </w:r>
          </w:p>
        </w:tc>
        <w:tc>
          <w:tcPr>
            <w:tcW w:w="2160" w:type="dxa"/>
            <w:tcBorders>
              <w:top w:val="nil"/>
              <w:left w:val="single" w:sz="4" w:space="0" w:color="000000"/>
              <w:bottom w:val="nil"/>
              <w:right w:val="single" w:sz="4" w:space="0" w:color="000000"/>
            </w:tcBorders>
            <w:vAlign w:val="bottom"/>
          </w:tcPr>
          <w:p w:rsidR="0063079D" w:rsidRPr="004F7E35" w:rsidRDefault="0063079D" w:rsidP="00E22841">
            <w:pPr>
              <w:spacing w:after="0"/>
              <w:jc w:val="center"/>
            </w:pPr>
            <w:r w:rsidRPr="004F7E35">
              <w:t>56</w:t>
            </w:r>
          </w:p>
        </w:tc>
        <w:tc>
          <w:tcPr>
            <w:tcW w:w="2102" w:type="dxa"/>
            <w:tcBorders>
              <w:top w:val="nil"/>
              <w:left w:val="single" w:sz="4" w:space="0" w:color="000000"/>
              <w:bottom w:val="nil"/>
              <w:right w:val="single" w:sz="4" w:space="0" w:color="000000"/>
            </w:tcBorders>
            <w:vAlign w:val="bottom"/>
          </w:tcPr>
          <w:p w:rsidR="0063079D" w:rsidRPr="004F7E35" w:rsidRDefault="0063079D" w:rsidP="00E22841">
            <w:pPr>
              <w:spacing w:after="0"/>
              <w:jc w:val="center"/>
            </w:pPr>
            <w:r w:rsidRPr="004F7E35">
              <w:t>56</w:t>
            </w:r>
          </w:p>
        </w:tc>
      </w:tr>
      <w:tr w:rsidR="0063079D" w:rsidRPr="00622D88" w:rsidTr="00883285">
        <w:trPr>
          <w:trHeight w:val="255"/>
          <w:jc w:val="center"/>
        </w:trPr>
        <w:tc>
          <w:tcPr>
            <w:tcW w:w="4622" w:type="dxa"/>
            <w:tcBorders>
              <w:top w:val="nil"/>
              <w:left w:val="single" w:sz="4" w:space="0" w:color="000000"/>
              <w:bottom w:val="nil"/>
              <w:right w:val="nil"/>
            </w:tcBorders>
            <w:shd w:val="clear" w:color="auto" w:fill="auto"/>
            <w:noWrap/>
            <w:vAlign w:val="bottom"/>
          </w:tcPr>
          <w:p w:rsidR="0063079D" w:rsidRPr="004F7E35" w:rsidRDefault="0063079D" w:rsidP="00E22841">
            <w:pPr>
              <w:spacing w:after="0"/>
            </w:pPr>
            <w:r w:rsidRPr="004F7E35">
              <w:t>Grāmatvedis</w:t>
            </w:r>
          </w:p>
        </w:tc>
        <w:tc>
          <w:tcPr>
            <w:tcW w:w="2160" w:type="dxa"/>
            <w:tcBorders>
              <w:top w:val="nil"/>
              <w:left w:val="single" w:sz="4" w:space="0" w:color="000000"/>
              <w:bottom w:val="nil"/>
              <w:right w:val="single" w:sz="4" w:space="0" w:color="000000"/>
            </w:tcBorders>
            <w:vAlign w:val="bottom"/>
          </w:tcPr>
          <w:p w:rsidR="0063079D" w:rsidRPr="004F7E35" w:rsidRDefault="0063079D" w:rsidP="00E22841">
            <w:pPr>
              <w:spacing w:after="0"/>
              <w:jc w:val="center"/>
            </w:pPr>
            <w:r w:rsidRPr="004F7E35">
              <w:t>199</w:t>
            </w:r>
          </w:p>
        </w:tc>
        <w:tc>
          <w:tcPr>
            <w:tcW w:w="2102" w:type="dxa"/>
            <w:tcBorders>
              <w:top w:val="nil"/>
              <w:left w:val="single" w:sz="4" w:space="0" w:color="000000"/>
              <w:bottom w:val="nil"/>
              <w:right w:val="single" w:sz="4" w:space="0" w:color="000000"/>
            </w:tcBorders>
            <w:vAlign w:val="bottom"/>
          </w:tcPr>
          <w:p w:rsidR="0063079D" w:rsidRPr="004F7E35" w:rsidRDefault="0063079D" w:rsidP="00E22841">
            <w:pPr>
              <w:spacing w:after="0"/>
              <w:jc w:val="center"/>
            </w:pPr>
            <w:r w:rsidRPr="004F7E35">
              <w:t>196</w:t>
            </w:r>
          </w:p>
        </w:tc>
      </w:tr>
      <w:tr w:rsidR="0063079D" w:rsidRPr="00622D88" w:rsidTr="00883285">
        <w:trPr>
          <w:trHeight w:val="255"/>
          <w:jc w:val="center"/>
        </w:trPr>
        <w:tc>
          <w:tcPr>
            <w:tcW w:w="4622" w:type="dxa"/>
            <w:tcBorders>
              <w:top w:val="nil"/>
              <w:left w:val="single" w:sz="4" w:space="0" w:color="000000"/>
              <w:bottom w:val="nil"/>
              <w:right w:val="nil"/>
            </w:tcBorders>
            <w:shd w:val="clear" w:color="auto" w:fill="auto"/>
            <w:noWrap/>
            <w:vAlign w:val="bottom"/>
          </w:tcPr>
          <w:p w:rsidR="0063079D" w:rsidRPr="004F7E35" w:rsidRDefault="0063079D" w:rsidP="00E22841">
            <w:pPr>
              <w:spacing w:after="0"/>
            </w:pPr>
            <w:r w:rsidRPr="004F7E35">
              <w:t>Lietvedis</w:t>
            </w:r>
          </w:p>
        </w:tc>
        <w:tc>
          <w:tcPr>
            <w:tcW w:w="2160" w:type="dxa"/>
            <w:tcBorders>
              <w:top w:val="nil"/>
              <w:left w:val="single" w:sz="4" w:space="0" w:color="000000"/>
              <w:bottom w:val="nil"/>
              <w:right w:val="single" w:sz="4" w:space="0" w:color="000000"/>
            </w:tcBorders>
            <w:vAlign w:val="bottom"/>
          </w:tcPr>
          <w:p w:rsidR="0063079D" w:rsidRPr="004F7E35" w:rsidRDefault="0063079D" w:rsidP="00E22841">
            <w:pPr>
              <w:spacing w:after="0"/>
              <w:jc w:val="center"/>
            </w:pPr>
            <w:r w:rsidRPr="004F7E35">
              <w:t>68</w:t>
            </w:r>
          </w:p>
        </w:tc>
        <w:tc>
          <w:tcPr>
            <w:tcW w:w="2102" w:type="dxa"/>
            <w:tcBorders>
              <w:top w:val="nil"/>
              <w:left w:val="single" w:sz="4" w:space="0" w:color="000000"/>
              <w:bottom w:val="nil"/>
              <w:right w:val="single" w:sz="4" w:space="0" w:color="000000"/>
            </w:tcBorders>
            <w:vAlign w:val="bottom"/>
          </w:tcPr>
          <w:p w:rsidR="0063079D" w:rsidRPr="004F7E35" w:rsidRDefault="0063079D" w:rsidP="00E22841">
            <w:pPr>
              <w:spacing w:after="0"/>
              <w:jc w:val="center"/>
            </w:pPr>
            <w:r w:rsidRPr="004F7E35">
              <w:t>67</w:t>
            </w:r>
          </w:p>
        </w:tc>
      </w:tr>
      <w:tr w:rsidR="0063079D" w:rsidRPr="00622D88" w:rsidTr="00883285">
        <w:trPr>
          <w:trHeight w:val="255"/>
          <w:jc w:val="center"/>
        </w:trPr>
        <w:tc>
          <w:tcPr>
            <w:tcW w:w="4622" w:type="dxa"/>
            <w:tcBorders>
              <w:top w:val="nil"/>
              <w:left w:val="single" w:sz="4" w:space="0" w:color="000000"/>
              <w:bottom w:val="nil"/>
              <w:right w:val="nil"/>
            </w:tcBorders>
            <w:shd w:val="clear" w:color="auto" w:fill="auto"/>
            <w:noWrap/>
            <w:vAlign w:val="bottom"/>
          </w:tcPr>
          <w:p w:rsidR="0063079D" w:rsidRPr="004F7E35" w:rsidRDefault="0063079D" w:rsidP="00E22841">
            <w:pPr>
              <w:spacing w:after="0"/>
            </w:pPr>
            <w:r w:rsidRPr="004F7E35">
              <w:t>Sekretārs</w:t>
            </w:r>
          </w:p>
        </w:tc>
        <w:tc>
          <w:tcPr>
            <w:tcW w:w="2160" w:type="dxa"/>
            <w:tcBorders>
              <w:top w:val="nil"/>
              <w:left w:val="single" w:sz="4" w:space="0" w:color="000000"/>
              <w:bottom w:val="nil"/>
              <w:right w:val="single" w:sz="4" w:space="0" w:color="000000"/>
            </w:tcBorders>
            <w:vAlign w:val="bottom"/>
          </w:tcPr>
          <w:p w:rsidR="0063079D" w:rsidRPr="004F7E35" w:rsidRDefault="0063079D" w:rsidP="00E22841">
            <w:pPr>
              <w:spacing w:after="0"/>
              <w:jc w:val="center"/>
            </w:pPr>
            <w:r w:rsidRPr="004F7E35">
              <w:t>283</w:t>
            </w:r>
          </w:p>
        </w:tc>
        <w:tc>
          <w:tcPr>
            <w:tcW w:w="2102" w:type="dxa"/>
            <w:tcBorders>
              <w:top w:val="nil"/>
              <w:left w:val="single" w:sz="4" w:space="0" w:color="000000"/>
              <w:bottom w:val="nil"/>
              <w:right w:val="single" w:sz="4" w:space="0" w:color="000000"/>
            </w:tcBorders>
            <w:vAlign w:val="bottom"/>
          </w:tcPr>
          <w:p w:rsidR="0063079D" w:rsidRPr="004F7E35" w:rsidRDefault="0063079D" w:rsidP="00E22841">
            <w:pPr>
              <w:spacing w:after="0"/>
              <w:jc w:val="center"/>
            </w:pPr>
            <w:r w:rsidRPr="004F7E35">
              <w:t>281</w:t>
            </w:r>
          </w:p>
        </w:tc>
      </w:tr>
      <w:tr w:rsidR="0063079D" w:rsidRPr="00622D88" w:rsidTr="00883285">
        <w:trPr>
          <w:trHeight w:val="255"/>
          <w:jc w:val="center"/>
        </w:trPr>
        <w:tc>
          <w:tcPr>
            <w:tcW w:w="4622" w:type="dxa"/>
            <w:tcBorders>
              <w:top w:val="single" w:sz="4" w:space="0" w:color="000000"/>
              <w:left w:val="single" w:sz="4" w:space="0" w:color="000000"/>
              <w:bottom w:val="single" w:sz="4" w:space="0" w:color="000000"/>
              <w:right w:val="nil"/>
            </w:tcBorders>
            <w:shd w:val="clear" w:color="auto" w:fill="auto"/>
            <w:noWrap/>
            <w:vAlign w:val="bottom"/>
          </w:tcPr>
          <w:p w:rsidR="0063079D" w:rsidRPr="006450E3" w:rsidRDefault="0063079D" w:rsidP="00E22841">
            <w:pPr>
              <w:spacing w:after="0"/>
              <w:rPr>
                <w:b/>
              </w:rPr>
            </w:pPr>
            <w:r w:rsidRPr="006450E3">
              <w:rPr>
                <w:b/>
              </w:rPr>
              <w:t>Kopā</w:t>
            </w:r>
            <w:r>
              <w:rPr>
                <w:b/>
              </w:rPr>
              <w:t>:</w:t>
            </w:r>
          </w:p>
        </w:tc>
        <w:tc>
          <w:tcPr>
            <w:tcW w:w="2160" w:type="dxa"/>
            <w:tcBorders>
              <w:top w:val="single" w:sz="4" w:space="0" w:color="000000"/>
              <w:left w:val="single" w:sz="4" w:space="0" w:color="000000"/>
              <w:bottom w:val="single" w:sz="4" w:space="0" w:color="000000"/>
              <w:right w:val="single" w:sz="4" w:space="0" w:color="000000"/>
            </w:tcBorders>
            <w:vAlign w:val="bottom"/>
          </w:tcPr>
          <w:p w:rsidR="0063079D" w:rsidRPr="006450E3" w:rsidRDefault="0063079D" w:rsidP="00E22841">
            <w:pPr>
              <w:spacing w:after="0"/>
              <w:jc w:val="center"/>
              <w:rPr>
                <w:b/>
              </w:rPr>
            </w:pPr>
            <w:r w:rsidRPr="006450E3">
              <w:rPr>
                <w:b/>
              </w:rPr>
              <w:t>871</w:t>
            </w:r>
          </w:p>
        </w:tc>
        <w:tc>
          <w:tcPr>
            <w:tcW w:w="2102" w:type="dxa"/>
            <w:tcBorders>
              <w:top w:val="single" w:sz="4" w:space="0" w:color="000000"/>
              <w:left w:val="single" w:sz="4" w:space="0" w:color="000000"/>
              <w:bottom w:val="single" w:sz="4" w:space="0" w:color="000000"/>
              <w:right w:val="single" w:sz="4" w:space="0" w:color="000000"/>
            </w:tcBorders>
            <w:vAlign w:val="bottom"/>
          </w:tcPr>
          <w:p w:rsidR="0063079D" w:rsidRPr="006450E3" w:rsidRDefault="0063079D" w:rsidP="00E22841">
            <w:pPr>
              <w:spacing w:after="0"/>
              <w:jc w:val="center"/>
              <w:rPr>
                <w:b/>
              </w:rPr>
            </w:pPr>
            <w:r w:rsidRPr="006450E3">
              <w:rPr>
                <w:b/>
              </w:rPr>
              <w:t>855</w:t>
            </w:r>
          </w:p>
        </w:tc>
      </w:tr>
    </w:tbl>
    <w:p w:rsidR="0063079D" w:rsidRDefault="0063079D" w:rsidP="00E22841">
      <w:pPr>
        <w:spacing w:after="0"/>
        <w:jc w:val="center"/>
      </w:pPr>
      <w:r>
        <w:t>Avots:</w:t>
      </w:r>
      <w:r w:rsidRPr="00A36550">
        <w:t xml:space="preserve"> </w:t>
      </w:r>
      <w:r>
        <w:t>Valsts izglītības satura centra informācija</w:t>
      </w:r>
    </w:p>
    <w:p w:rsidR="0063079D" w:rsidRPr="00CF699A" w:rsidRDefault="0063079D" w:rsidP="00E22841">
      <w:pPr>
        <w:spacing w:after="0"/>
        <w:jc w:val="center"/>
      </w:pPr>
    </w:p>
    <w:p w:rsidR="0063079D" w:rsidRPr="00274B23" w:rsidRDefault="0063079D" w:rsidP="00E22841">
      <w:pPr>
        <w:spacing w:after="0"/>
        <w:ind w:left="-374"/>
        <w:jc w:val="right"/>
      </w:pPr>
      <w:r w:rsidRPr="00274B23">
        <w:t>2.2.3. tabula</w:t>
      </w:r>
    </w:p>
    <w:p w:rsidR="0063079D" w:rsidRPr="00274B23" w:rsidRDefault="0063079D" w:rsidP="00E22841">
      <w:pPr>
        <w:spacing w:after="0"/>
        <w:jc w:val="center"/>
        <w:rPr>
          <w:b/>
        </w:rPr>
      </w:pPr>
      <w:r w:rsidRPr="00274B23">
        <w:rPr>
          <w:b/>
        </w:rPr>
        <w:t>Infor</w:t>
      </w:r>
      <w:r>
        <w:rPr>
          <w:b/>
        </w:rPr>
        <w:t>mācija par eksaminējamo skaitu,</w:t>
      </w:r>
    </w:p>
    <w:p w:rsidR="0063079D" w:rsidRPr="00274B23" w:rsidRDefault="0063079D" w:rsidP="00E22841">
      <w:pPr>
        <w:spacing w:after="0"/>
        <w:jc w:val="center"/>
        <w:rPr>
          <w:b/>
        </w:rPr>
      </w:pPr>
      <w:r w:rsidRPr="00274B23">
        <w:rPr>
          <w:b/>
        </w:rPr>
        <w:t>kuri eksāmena teorētisko daļu kārtoja elektroniski 2009./2010.m.g.</w:t>
      </w:r>
    </w:p>
    <w:p w:rsidR="0063079D" w:rsidRPr="004F7E35" w:rsidRDefault="0063079D" w:rsidP="00E22841">
      <w:pPr>
        <w:spacing w:after="0"/>
        <w:ind w:left="-374"/>
      </w:pPr>
    </w:p>
    <w:tbl>
      <w:tblPr>
        <w:tblW w:w="8922"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1"/>
        <w:gridCol w:w="2160"/>
        <w:gridCol w:w="2121"/>
      </w:tblGrid>
      <w:tr w:rsidR="0063079D" w:rsidRPr="00622D88" w:rsidTr="00883285">
        <w:trPr>
          <w:trHeight w:val="255"/>
          <w:jc w:val="center"/>
        </w:trPr>
        <w:tc>
          <w:tcPr>
            <w:tcW w:w="4641" w:type="dxa"/>
            <w:shd w:val="clear" w:color="auto" w:fill="auto"/>
            <w:noWrap/>
            <w:vAlign w:val="bottom"/>
          </w:tcPr>
          <w:p w:rsidR="0063079D" w:rsidRPr="006E1719" w:rsidRDefault="0063079D" w:rsidP="00E22841">
            <w:pPr>
              <w:spacing w:after="0"/>
            </w:pPr>
            <w:r w:rsidRPr="006E1719">
              <w:t>Profesionālā kvalifikācija</w:t>
            </w:r>
          </w:p>
        </w:tc>
        <w:tc>
          <w:tcPr>
            <w:tcW w:w="2160" w:type="dxa"/>
            <w:shd w:val="clear" w:color="auto" w:fill="auto"/>
            <w:noWrap/>
          </w:tcPr>
          <w:p w:rsidR="0063079D" w:rsidRPr="006E1719" w:rsidRDefault="0063079D" w:rsidP="00E22841">
            <w:pPr>
              <w:spacing w:after="0"/>
              <w:jc w:val="center"/>
            </w:pPr>
            <w:r w:rsidRPr="006E1719">
              <w:t>Atļauts kārtot eksāmenu</w:t>
            </w:r>
          </w:p>
        </w:tc>
        <w:tc>
          <w:tcPr>
            <w:tcW w:w="2121" w:type="dxa"/>
            <w:shd w:val="clear" w:color="auto" w:fill="auto"/>
            <w:noWrap/>
          </w:tcPr>
          <w:p w:rsidR="0063079D" w:rsidRPr="006E1719" w:rsidRDefault="0063079D" w:rsidP="00E22841">
            <w:pPr>
              <w:spacing w:after="0"/>
              <w:jc w:val="center"/>
            </w:pPr>
            <w:r w:rsidRPr="006E1719">
              <w:t>Nokārtoja eksāmenu</w:t>
            </w:r>
          </w:p>
        </w:tc>
      </w:tr>
      <w:tr w:rsidR="0063079D" w:rsidRPr="00622D88" w:rsidTr="00883285">
        <w:trPr>
          <w:trHeight w:val="255"/>
          <w:jc w:val="center"/>
        </w:trPr>
        <w:tc>
          <w:tcPr>
            <w:tcW w:w="4641" w:type="dxa"/>
            <w:shd w:val="clear" w:color="auto" w:fill="auto"/>
            <w:noWrap/>
            <w:vAlign w:val="bottom"/>
          </w:tcPr>
          <w:p w:rsidR="0063079D" w:rsidRPr="006E1719" w:rsidRDefault="0063079D" w:rsidP="00E22841">
            <w:pPr>
              <w:spacing w:after="0"/>
            </w:pPr>
            <w:proofErr w:type="spellStart"/>
            <w:r w:rsidRPr="006E1719">
              <w:t>Agrouzņēmuma</w:t>
            </w:r>
            <w:proofErr w:type="spellEnd"/>
            <w:r w:rsidRPr="006E1719">
              <w:t xml:space="preserve"> </w:t>
            </w:r>
            <w:proofErr w:type="spellStart"/>
            <w:r w:rsidRPr="006E1719">
              <w:t>komercdarbinieks</w:t>
            </w:r>
            <w:proofErr w:type="spellEnd"/>
          </w:p>
        </w:tc>
        <w:tc>
          <w:tcPr>
            <w:tcW w:w="2160" w:type="dxa"/>
            <w:shd w:val="clear" w:color="auto" w:fill="auto"/>
            <w:noWrap/>
            <w:vAlign w:val="bottom"/>
          </w:tcPr>
          <w:p w:rsidR="0063079D" w:rsidRPr="006E1719" w:rsidRDefault="0063079D" w:rsidP="00E22841">
            <w:pPr>
              <w:spacing w:after="0"/>
              <w:jc w:val="center"/>
            </w:pPr>
            <w:r w:rsidRPr="006E1719">
              <w:t>97</w:t>
            </w:r>
          </w:p>
        </w:tc>
        <w:tc>
          <w:tcPr>
            <w:tcW w:w="2121" w:type="dxa"/>
            <w:shd w:val="clear" w:color="auto" w:fill="auto"/>
            <w:noWrap/>
            <w:vAlign w:val="bottom"/>
          </w:tcPr>
          <w:p w:rsidR="0063079D" w:rsidRPr="006E1719" w:rsidRDefault="0063079D" w:rsidP="00E22841">
            <w:pPr>
              <w:spacing w:after="0"/>
              <w:jc w:val="center"/>
            </w:pPr>
            <w:r w:rsidRPr="006E1719">
              <w:t>95</w:t>
            </w:r>
          </w:p>
        </w:tc>
      </w:tr>
      <w:tr w:rsidR="0063079D" w:rsidRPr="00622D88" w:rsidTr="00883285">
        <w:trPr>
          <w:trHeight w:val="255"/>
          <w:jc w:val="center"/>
        </w:trPr>
        <w:tc>
          <w:tcPr>
            <w:tcW w:w="4641" w:type="dxa"/>
            <w:shd w:val="clear" w:color="auto" w:fill="auto"/>
            <w:noWrap/>
            <w:vAlign w:val="bottom"/>
          </w:tcPr>
          <w:p w:rsidR="0063079D" w:rsidRPr="006E1719" w:rsidRDefault="0063079D" w:rsidP="00E22841">
            <w:pPr>
              <w:spacing w:after="0"/>
            </w:pPr>
            <w:r w:rsidRPr="006E1719">
              <w:t>Elektriķis</w:t>
            </w:r>
          </w:p>
        </w:tc>
        <w:tc>
          <w:tcPr>
            <w:tcW w:w="2160" w:type="dxa"/>
            <w:shd w:val="clear" w:color="auto" w:fill="auto"/>
            <w:noWrap/>
            <w:vAlign w:val="bottom"/>
          </w:tcPr>
          <w:p w:rsidR="0063079D" w:rsidRPr="006E1719" w:rsidRDefault="0063079D" w:rsidP="00E22841">
            <w:pPr>
              <w:spacing w:after="0"/>
              <w:jc w:val="center"/>
            </w:pPr>
            <w:r w:rsidRPr="006E1719">
              <w:t>178</w:t>
            </w:r>
          </w:p>
        </w:tc>
        <w:tc>
          <w:tcPr>
            <w:tcW w:w="2121" w:type="dxa"/>
            <w:shd w:val="clear" w:color="auto" w:fill="auto"/>
            <w:noWrap/>
            <w:vAlign w:val="bottom"/>
          </w:tcPr>
          <w:p w:rsidR="0063079D" w:rsidRPr="006E1719" w:rsidRDefault="0063079D" w:rsidP="00E22841">
            <w:pPr>
              <w:spacing w:after="0"/>
              <w:jc w:val="center"/>
            </w:pPr>
            <w:r w:rsidRPr="006E1719">
              <w:t>177</w:t>
            </w:r>
          </w:p>
        </w:tc>
      </w:tr>
      <w:tr w:rsidR="0063079D" w:rsidRPr="00622D88" w:rsidTr="00883285">
        <w:trPr>
          <w:trHeight w:val="255"/>
          <w:jc w:val="center"/>
        </w:trPr>
        <w:tc>
          <w:tcPr>
            <w:tcW w:w="4641" w:type="dxa"/>
            <w:shd w:val="clear" w:color="auto" w:fill="auto"/>
            <w:noWrap/>
            <w:vAlign w:val="bottom"/>
          </w:tcPr>
          <w:p w:rsidR="0063079D" w:rsidRPr="006E1719" w:rsidRDefault="0063079D" w:rsidP="00E22841">
            <w:pPr>
              <w:spacing w:after="0"/>
            </w:pPr>
            <w:r w:rsidRPr="006E1719">
              <w:t>Elektromontieris</w:t>
            </w:r>
          </w:p>
        </w:tc>
        <w:tc>
          <w:tcPr>
            <w:tcW w:w="2160" w:type="dxa"/>
            <w:shd w:val="clear" w:color="auto" w:fill="auto"/>
            <w:noWrap/>
            <w:vAlign w:val="bottom"/>
          </w:tcPr>
          <w:p w:rsidR="0063079D" w:rsidRPr="006E1719" w:rsidRDefault="0063079D" w:rsidP="00E22841">
            <w:pPr>
              <w:spacing w:after="0"/>
              <w:jc w:val="center"/>
            </w:pPr>
            <w:r w:rsidRPr="006E1719">
              <w:t>25</w:t>
            </w:r>
          </w:p>
        </w:tc>
        <w:tc>
          <w:tcPr>
            <w:tcW w:w="2121" w:type="dxa"/>
            <w:shd w:val="clear" w:color="auto" w:fill="auto"/>
            <w:noWrap/>
            <w:vAlign w:val="bottom"/>
          </w:tcPr>
          <w:p w:rsidR="0063079D" w:rsidRPr="006E1719" w:rsidRDefault="0063079D" w:rsidP="00E22841">
            <w:pPr>
              <w:spacing w:after="0"/>
              <w:jc w:val="center"/>
            </w:pPr>
            <w:r w:rsidRPr="006E1719">
              <w:t>25</w:t>
            </w:r>
          </w:p>
        </w:tc>
      </w:tr>
      <w:tr w:rsidR="0063079D" w:rsidRPr="00622D88" w:rsidTr="00883285">
        <w:trPr>
          <w:trHeight w:val="255"/>
          <w:jc w:val="center"/>
        </w:trPr>
        <w:tc>
          <w:tcPr>
            <w:tcW w:w="4641" w:type="dxa"/>
            <w:shd w:val="clear" w:color="auto" w:fill="auto"/>
            <w:noWrap/>
            <w:vAlign w:val="bottom"/>
          </w:tcPr>
          <w:p w:rsidR="0063079D" w:rsidRPr="006E1719" w:rsidRDefault="0063079D" w:rsidP="00E22841">
            <w:pPr>
              <w:spacing w:after="0"/>
            </w:pPr>
            <w:r w:rsidRPr="006E1719">
              <w:t>Grāmatvedis</w:t>
            </w:r>
          </w:p>
        </w:tc>
        <w:tc>
          <w:tcPr>
            <w:tcW w:w="2160" w:type="dxa"/>
            <w:shd w:val="clear" w:color="auto" w:fill="auto"/>
            <w:noWrap/>
            <w:vAlign w:val="bottom"/>
          </w:tcPr>
          <w:p w:rsidR="0063079D" w:rsidRPr="006E1719" w:rsidRDefault="0063079D" w:rsidP="00E22841">
            <w:pPr>
              <w:spacing w:after="0"/>
              <w:jc w:val="center"/>
            </w:pPr>
            <w:r w:rsidRPr="006E1719">
              <w:t>233</w:t>
            </w:r>
          </w:p>
        </w:tc>
        <w:tc>
          <w:tcPr>
            <w:tcW w:w="2121" w:type="dxa"/>
            <w:shd w:val="clear" w:color="auto" w:fill="auto"/>
            <w:noWrap/>
            <w:vAlign w:val="bottom"/>
          </w:tcPr>
          <w:p w:rsidR="0063079D" w:rsidRPr="006E1719" w:rsidRDefault="0063079D" w:rsidP="00E22841">
            <w:pPr>
              <w:spacing w:after="0"/>
              <w:jc w:val="center"/>
            </w:pPr>
            <w:r w:rsidRPr="006E1719">
              <w:t>231</w:t>
            </w:r>
          </w:p>
        </w:tc>
      </w:tr>
      <w:tr w:rsidR="0063079D" w:rsidRPr="00622D88" w:rsidTr="00883285">
        <w:trPr>
          <w:trHeight w:val="255"/>
          <w:jc w:val="center"/>
        </w:trPr>
        <w:tc>
          <w:tcPr>
            <w:tcW w:w="4641" w:type="dxa"/>
            <w:shd w:val="clear" w:color="auto" w:fill="auto"/>
            <w:noWrap/>
            <w:vAlign w:val="bottom"/>
          </w:tcPr>
          <w:p w:rsidR="0063079D" w:rsidRPr="006E1719" w:rsidRDefault="0063079D" w:rsidP="00E22841">
            <w:pPr>
              <w:spacing w:after="0"/>
            </w:pPr>
            <w:r w:rsidRPr="006E1719">
              <w:t>Lietvedis</w:t>
            </w:r>
          </w:p>
        </w:tc>
        <w:tc>
          <w:tcPr>
            <w:tcW w:w="2160" w:type="dxa"/>
            <w:shd w:val="clear" w:color="auto" w:fill="auto"/>
            <w:noWrap/>
            <w:vAlign w:val="bottom"/>
          </w:tcPr>
          <w:p w:rsidR="0063079D" w:rsidRPr="006E1719" w:rsidRDefault="0063079D" w:rsidP="00E22841">
            <w:pPr>
              <w:spacing w:after="0"/>
              <w:jc w:val="center"/>
            </w:pPr>
            <w:r w:rsidRPr="006E1719">
              <w:t>64</w:t>
            </w:r>
          </w:p>
        </w:tc>
        <w:tc>
          <w:tcPr>
            <w:tcW w:w="2121" w:type="dxa"/>
            <w:shd w:val="clear" w:color="auto" w:fill="auto"/>
            <w:noWrap/>
            <w:vAlign w:val="bottom"/>
          </w:tcPr>
          <w:p w:rsidR="0063079D" w:rsidRPr="006E1719" w:rsidRDefault="0063079D" w:rsidP="00E22841">
            <w:pPr>
              <w:spacing w:after="0"/>
              <w:jc w:val="center"/>
            </w:pPr>
            <w:r w:rsidRPr="006E1719">
              <w:t>63</w:t>
            </w:r>
          </w:p>
        </w:tc>
      </w:tr>
      <w:tr w:rsidR="0063079D" w:rsidRPr="00622D88" w:rsidTr="00883285">
        <w:trPr>
          <w:trHeight w:val="255"/>
          <w:jc w:val="center"/>
        </w:trPr>
        <w:tc>
          <w:tcPr>
            <w:tcW w:w="4641" w:type="dxa"/>
            <w:shd w:val="clear" w:color="auto" w:fill="auto"/>
            <w:noWrap/>
            <w:vAlign w:val="bottom"/>
          </w:tcPr>
          <w:p w:rsidR="0063079D" w:rsidRPr="006E1719" w:rsidRDefault="0063079D" w:rsidP="00E22841">
            <w:pPr>
              <w:spacing w:after="0"/>
            </w:pPr>
            <w:r w:rsidRPr="006E1719">
              <w:t>Sekretārs</w:t>
            </w:r>
          </w:p>
        </w:tc>
        <w:tc>
          <w:tcPr>
            <w:tcW w:w="2160" w:type="dxa"/>
            <w:shd w:val="clear" w:color="auto" w:fill="auto"/>
            <w:noWrap/>
            <w:vAlign w:val="bottom"/>
          </w:tcPr>
          <w:p w:rsidR="0063079D" w:rsidRPr="006E1719" w:rsidRDefault="0063079D" w:rsidP="00E22841">
            <w:pPr>
              <w:spacing w:after="0"/>
              <w:jc w:val="center"/>
            </w:pPr>
            <w:r w:rsidRPr="006E1719">
              <w:t>250</w:t>
            </w:r>
          </w:p>
        </w:tc>
        <w:tc>
          <w:tcPr>
            <w:tcW w:w="2121" w:type="dxa"/>
            <w:shd w:val="clear" w:color="auto" w:fill="auto"/>
            <w:noWrap/>
            <w:vAlign w:val="bottom"/>
          </w:tcPr>
          <w:p w:rsidR="0063079D" w:rsidRPr="006E1719" w:rsidRDefault="0063079D" w:rsidP="00E22841">
            <w:pPr>
              <w:spacing w:after="0"/>
              <w:jc w:val="center"/>
            </w:pPr>
            <w:r w:rsidRPr="006E1719">
              <w:t>247</w:t>
            </w:r>
          </w:p>
        </w:tc>
      </w:tr>
      <w:tr w:rsidR="0063079D" w:rsidRPr="00622D88" w:rsidTr="00883285">
        <w:trPr>
          <w:trHeight w:val="111"/>
          <w:jc w:val="center"/>
        </w:trPr>
        <w:tc>
          <w:tcPr>
            <w:tcW w:w="4641" w:type="dxa"/>
            <w:shd w:val="clear" w:color="auto" w:fill="auto"/>
            <w:noWrap/>
            <w:vAlign w:val="bottom"/>
          </w:tcPr>
          <w:p w:rsidR="0063079D" w:rsidRPr="006E1719" w:rsidRDefault="0063079D" w:rsidP="00E22841">
            <w:pPr>
              <w:spacing w:after="0"/>
              <w:rPr>
                <w:b/>
              </w:rPr>
            </w:pPr>
            <w:r w:rsidRPr="006E1719">
              <w:rPr>
                <w:b/>
              </w:rPr>
              <w:t>Kopā:</w:t>
            </w:r>
          </w:p>
        </w:tc>
        <w:tc>
          <w:tcPr>
            <w:tcW w:w="2160" w:type="dxa"/>
            <w:shd w:val="clear" w:color="auto" w:fill="auto"/>
            <w:noWrap/>
            <w:vAlign w:val="bottom"/>
          </w:tcPr>
          <w:p w:rsidR="0063079D" w:rsidRPr="006E1719" w:rsidRDefault="0063079D" w:rsidP="00E22841">
            <w:pPr>
              <w:spacing w:after="0"/>
              <w:jc w:val="center"/>
              <w:rPr>
                <w:b/>
              </w:rPr>
            </w:pPr>
            <w:r w:rsidRPr="006E1719">
              <w:rPr>
                <w:b/>
              </w:rPr>
              <w:t>847</w:t>
            </w:r>
          </w:p>
        </w:tc>
        <w:tc>
          <w:tcPr>
            <w:tcW w:w="2121" w:type="dxa"/>
            <w:shd w:val="clear" w:color="auto" w:fill="auto"/>
            <w:noWrap/>
            <w:vAlign w:val="bottom"/>
          </w:tcPr>
          <w:p w:rsidR="0063079D" w:rsidRPr="006E1719" w:rsidRDefault="0063079D" w:rsidP="00E22841">
            <w:pPr>
              <w:spacing w:after="0"/>
              <w:jc w:val="center"/>
              <w:rPr>
                <w:b/>
              </w:rPr>
            </w:pPr>
            <w:r w:rsidRPr="006E1719">
              <w:rPr>
                <w:b/>
              </w:rPr>
              <w:t>838</w:t>
            </w:r>
          </w:p>
        </w:tc>
      </w:tr>
    </w:tbl>
    <w:p w:rsidR="0063079D" w:rsidRDefault="0063079D" w:rsidP="00E22841">
      <w:pPr>
        <w:spacing w:after="0"/>
        <w:jc w:val="center"/>
      </w:pPr>
      <w:r>
        <w:t>Avots: Valsts izglītības satura centra informācija</w:t>
      </w:r>
    </w:p>
    <w:p w:rsidR="0063079D" w:rsidRPr="00CF699A" w:rsidRDefault="0063079D" w:rsidP="00E22841">
      <w:pPr>
        <w:spacing w:after="0"/>
        <w:jc w:val="center"/>
      </w:pPr>
    </w:p>
    <w:p w:rsidR="0063079D" w:rsidRPr="008852DC" w:rsidRDefault="0063079D" w:rsidP="00E22841">
      <w:pPr>
        <w:spacing w:after="0"/>
        <w:ind w:left="-374"/>
        <w:jc w:val="right"/>
      </w:pPr>
      <w:r w:rsidRPr="008852DC">
        <w:t>2.2.4. tabula</w:t>
      </w:r>
    </w:p>
    <w:p w:rsidR="0063079D" w:rsidRPr="00274B23" w:rsidRDefault="0063079D" w:rsidP="00E22841">
      <w:pPr>
        <w:spacing w:after="0"/>
        <w:jc w:val="center"/>
        <w:rPr>
          <w:b/>
        </w:rPr>
      </w:pPr>
      <w:r w:rsidRPr="00274B23">
        <w:rPr>
          <w:b/>
        </w:rPr>
        <w:t>Informācija p</w:t>
      </w:r>
      <w:r>
        <w:rPr>
          <w:b/>
        </w:rPr>
        <w:t>ar plānoto eksaminējamo skaitu,</w:t>
      </w:r>
    </w:p>
    <w:p w:rsidR="0063079D" w:rsidRPr="00274B23" w:rsidRDefault="0063079D" w:rsidP="00E22841">
      <w:pPr>
        <w:spacing w:after="0"/>
        <w:jc w:val="center"/>
        <w:rPr>
          <w:b/>
        </w:rPr>
      </w:pPr>
      <w:r w:rsidRPr="00274B23">
        <w:rPr>
          <w:b/>
        </w:rPr>
        <w:t>kuri eksāmena teorētisko daļu kārtos elektroniski 2010./2011.m.g.</w:t>
      </w:r>
    </w:p>
    <w:p w:rsidR="0063079D" w:rsidRPr="004F7E35" w:rsidRDefault="0063079D" w:rsidP="00E22841">
      <w:pPr>
        <w:spacing w:after="0"/>
        <w:ind w:left="-374"/>
      </w:pPr>
    </w:p>
    <w:tbl>
      <w:tblPr>
        <w:tblW w:w="8910" w:type="dxa"/>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5"/>
        <w:gridCol w:w="4275"/>
      </w:tblGrid>
      <w:tr w:rsidR="0063079D" w:rsidRPr="004F7E35" w:rsidTr="00883285">
        <w:trPr>
          <w:trHeight w:val="255"/>
          <w:jc w:val="center"/>
        </w:trPr>
        <w:tc>
          <w:tcPr>
            <w:tcW w:w="4635" w:type="dxa"/>
            <w:shd w:val="clear" w:color="auto" w:fill="auto"/>
            <w:vAlign w:val="center"/>
          </w:tcPr>
          <w:p w:rsidR="0063079D" w:rsidRPr="004F7E35" w:rsidRDefault="0063079D" w:rsidP="00E22841">
            <w:pPr>
              <w:spacing w:after="0"/>
              <w:jc w:val="center"/>
            </w:pPr>
            <w:r w:rsidRPr="004F7E35">
              <w:t>Profesionālā kvalifikācija</w:t>
            </w:r>
          </w:p>
        </w:tc>
        <w:tc>
          <w:tcPr>
            <w:tcW w:w="4275" w:type="dxa"/>
            <w:shd w:val="clear" w:color="auto" w:fill="auto"/>
            <w:vAlign w:val="center"/>
          </w:tcPr>
          <w:p w:rsidR="0063079D" w:rsidRPr="004F7E35" w:rsidRDefault="0063079D" w:rsidP="00E22841">
            <w:pPr>
              <w:spacing w:after="0"/>
              <w:jc w:val="center"/>
            </w:pPr>
            <w:r>
              <w:t>I</w:t>
            </w:r>
            <w:r w:rsidRPr="004F7E35">
              <w:t>zglītojamo skaits septembrī</w:t>
            </w:r>
          </w:p>
        </w:tc>
      </w:tr>
      <w:tr w:rsidR="0063079D" w:rsidRPr="004F7E35" w:rsidTr="00883285">
        <w:trPr>
          <w:trHeight w:val="255"/>
          <w:jc w:val="center"/>
        </w:trPr>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4F7E35" w:rsidRDefault="0063079D" w:rsidP="00E22841">
            <w:pPr>
              <w:spacing w:after="0"/>
            </w:pPr>
            <w:proofErr w:type="spellStart"/>
            <w:r w:rsidRPr="004F7E35">
              <w:t>Agrouzņēmuma</w:t>
            </w:r>
            <w:proofErr w:type="spellEnd"/>
            <w:r w:rsidRPr="004F7E35">
              <w:t xml:space="preserve"> </w:t>
            </w:r>
            <w:proofErr w:type="spellStart"/>
            <w:r w:rsidRPr="004F7E35">
              <w:t>komercdarbinieks</w:t>
            </w:r>
            <w:proofErr w:type="spellEnd"/>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4F7E35" w:rsidRDefault="0063079D" w:rsidP="00E22841">
            <w:pPr>
              <w:spacing w:after="0"/>
              <w:jc w:val="center"/>
            </w:pPr>
            <w:r w:rsidRPr="004F7E35">
              <w:t>62</w:t>
            </w:r>
          </w:p>
        </w:tc>
      </w:tr>
      <w:tr w:rsidR="0063079D" w:rsidRPr="004F7E35" w:rsidTr="00883285">
        <w:trPr>
          <w:trHeight w:val="255"/>
          <w:jc w:val="center"/>
        </w:trPr>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4F7E35" w:rsidRDefault="0063079D" w:rsidP="00E22841">
            <w:pPr>
              <w:spacing w:after="0"/>
            </w:pPr>
            <w:r w:rsidRPr="004F7E35">
              <w:t>Atslēdznieks</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4F7E35" w:rsidRDefault="0063079D" w:rsidP="00E22841">
            <w:pPr>
              <w:spacing w:after="0"/>
              <w:jc w:val="center"/>
            </w:pPr>
            <w:r w:rsidRPr="004F7E35">
              <w:t>116</w:t>
            </w:r>
          </w:p>
        </w:tc>
      </w:tr>
      <w:tr w:rsidR="0063079D" w:rsidRPr="004F7E35" w:rsidTr="00883285">
        <w:trPr>
          <w:trHeight w:val="255"/>
          <w:jc w:val="center"/>
        </w:trPr>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4F7E35" w:rsidRDefault="0063079D" w:rsidP="00E22841">
            <w:pPr>
              <w:spacing w:after="0"/>
            </w:pPr>
            <w:r w:rsidRPr="004F7E35">
              <w:t>Datorsistēmu tehniķis</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4F7E35" w:rsidRDefault="0063079D" w:rsidP="00E22841">
            <w:pPr>
              <w:spacing w:after="0"/>
              <w:jc w:val="center"/>
            </w:pPr>
            <w:r w:rsidRPr="004F7E35">
              <w:t>422</w:t>
            </w:r>
          </w:p>
        </w:tc>
      </w:tr>
      <w:tr w:rsidR="0063079D" w:rsidRPr="004F7E35" w:rsidTr="00883285">
        <w:trPr>
          <w:trHeight w:val="255"/>
          <w:jc w:val="center"/>
        </w:trPr>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4F7E35" w:rsidRDefault="0063079D" w:rsidP="00E22841">
            <w:pPr>
              <w:spacing w:after="0"/>
            </w:pPr>
            <w:r w:rsidRPr="004F7E35">
              <w:lastRenderedPageBreak/>
              <w:t>Ēdināšanas pakalpojumu speciālists</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4F7E35" w:rsidRDefault="0063079D" w:rsidP="00E22841">
            <w:pPr>
              <w:spacing w:after="0"/>
              <w:jc w:val="center"/>
            </w:pPr>
            <w:r w:rsidRPr="004F7E35">
              <w:t>475</w:t>
            </w:r>
          </w:p>
        </w:tc>
      </w:tr>
      <w:tr w:rsidR="0063079D" w:rsidRPr="004F7E35" w:rsidTr="00883285">
        <w:trPr>
          <w:trHeight w:val="255"/>
          <w:jc w:val="center"/>
        </w:trPr>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4F7E35" w:rsidRDefault="0063079D" w:rsidP="00E22841">
            <w:pPr>
              <w:spacing w:after="0"/>
            </w:pPr>
            <w:r w:rsidRPr="004F7E35">
              <w:t>Elektriķis</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4F7E35" w:rsidRDefault="0063079D" w:rsidP="00E22841">
            <w:pPr>
              <w:spacing w:after="0"/>
              <w:jc w:val="center"/>
            </w:pPr>
            <w:r w:rsidRPr="004F7E35">
              <w:t>190</w:t>
            </w:r>
          </w:p>
        </w:tc>
      </w:tr>
      <w:tr w:rsidR="0063079D" w:rsidRPr="004F7E35" w:rsidTr="00883285">
        <w:trPr>
          <w:trHeight w:val="255"/>
          <w:jc w:val="center"/>
        </w:trPr>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4F7E35" w:rsidRDefault="0063079D" w:rsidP="00E22841">
            <w:pPr>
              <w:spacing w:after="0"/>
            </w:pPr>
            <w:r w:rsidRPr="004F7E35">
              <w:t>Elektromontieris</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4F7E35" w:rsidRDefault="0063079D" w:rsidP="00E22841">
            <w:pPr>
              <w:spacing w:after="0"/>
              <w:jc w:val="center"/>
            </w:pPr>
            <w:r w:rsidRPr="004F7E35">
              <w:t>53</w:t>
            </w:r>
          </w:p>
        </w:tc>
      </w:tr>
      <w:tr w:rsidR="0063079D" w:rsidRPr="004F7E35" w:rsidTr="00883285">
        <w:trPr>
          <w:trHeight w:val="255"/>
          <w:jc w:val="center"/>
        </w:trPr>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4F7E35" w:rsidRDefault="0063079D" w:rsidP="00E22841">
            <w:pPr>
              <w:spacing w:after="0"/>
            </w:pPr>
            <w:r w:rsidRPr="004F7E35">
              <w:t>Grāmatvedis</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4F7E35" w:rsidRDefault="0063079D" w:rsidP="00E22841">
            <w:pPr>
              <w:spacing w:after="0"/>
              <w:jc w:val="center"/>
            </w:pPr>
            <w:r w:rsidRPr="004F7E35">
              <w:t>250</w:t>
            </w:r>
          </w:p>
        </w:tc>
      </w:tr>
      <w:tr w:rsidR="0063079D" w:rsidRPr="004F7E35" w:rsidTr="00883285">
        <w:trPr>
          <w:trHeight w:val="255"/>
          <w:jc w:val="center"/>
        </w:trPr>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4F7E35" w:rsidRDefault="0063079D" w:rsidP="00E22841">
            <w:pPr>
              <w:spacing w:after="0"/>
            </w:pPr>
            <w:r w:rsidRPr="004F7E35">
              <w:t xml:space="preserve">Rokas </w:t>
            </w:r>
            <w:proofErr w:type="spellStart"/>
            <w:r w:rsidRPr="004F7E35">
              <w:t>lokmetinātājs</w:t>
            </w:r>
            <w:proofErr w:type="spellEnd"/>
            <w:r w:rsidRPr="004F7E35">
              <w:t xml:space="preserve"> (MMA)</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4F7E35" w:rsidRDefault="0063079D" w:rsidP="00E22841">
            <w:pPr>
              <w:spacing w:after="0"/>
              <w:jc w:val="center"/>
            </w:pPr>
            <w:r w:rsidRPr="004F7E35">
              <w:t>69</w:t>
            </w:r>
          </w:p>
        </w:tc>
      </w:tr>
      <w:tr w:rsidR="0063079D" w:rsidRPr="004F7E35" w:rsidTr="00883285">
        <w:trPr>
          <w:trHeight w:val="255"/>
          <w:jc w:val="center"/>
        </w:trPr>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4F7E35" w:rsidRDefault="0063079D" w:rsidP="00E22841">
            <w:pPr>
              <w:spacing w:after="0"/>
            </w:pPr>
            <w:r w:rsidRPr="004F7E35">
              <w:t xml:space="preserve">Rokas </w:t>
            </w:r>
            <w:proofErr w:type="spellStart"/>
            <w:r w:rsidRPr="004F7E35">
              <w:t>lokmetinātājs</w:t>
            </w:r>
            <w:proofErr w:type="spellEnd"/>
            <w:r w:rsidRPr="004F7E35">
              <w:t xml:space="preserve"> (MMA), </w:t>
            </w:r>
            <w:proofErr w:type="spellStart"/>
            <w:r w:rsidRPr="004F7E35">
              <w:t>Gāzmetinātājs</w:t>
            </w:r>
            <w:proofErr w:type="spellEnd"/>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4F7E35" w:rsidRDefault="0063079D" w:rsidP="00E22841">
            <w:pPr>
              <w:spacing w:after="0"/>
              <w:jc w:val="center"/>
            </w:pPr>
            <w:r w:rsidRPr="004F7E35">
              <w:t>37</w:t>
            </w:r>
          </w:p>
        </w:tc>
      </w:tr>
      <w:tr w:rsidR="0063079D" w:rsidRPr="004F7E35" w:rsidTr="00883285">
        <w:trPr>
          <w:trHeight w:val="255"/>
          <w:jc w:val="center"/>
        </w:trPr>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4F7E35" w:rsidRDefault="0063079D" w:rsidP="00E22841">
            <w:pPr>
              <w:spacing w:after="0"/>
            </w:pPr>
            <w:r w:rsidRPr="004F7E35">
              <w:t xml:space="preserve">Rokas </w:t>
            </w:r>
            <w:proofErr w:type="spellStart"/>
            <w:r w:rsidRPr="004F7E35">
              <w:t>lokmetinātājs</w:t>
            </w:r>
            <w:proofErr w:type="spellEnd"/>
            <w:r w:rsidRPr="004F7E35">
              <w:t xml:space="preserve"> (MMA), </w:t>
            </w:r>
            <w:proofErr w:type="spellStart"/>
            <w:r w:rsidRPr="004F7E35">
              <w:t>Lokmetinātājs</w:t>
            </w:r>
            <w:proofErr w:type="spellEnd"/>
            <w:r w:rsidRPr="004F7E35">
              <w:t xml:space="preserve"> metināšanā ar mehanizēto iekārtu aktīvās gāzes vidē (MAG)</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4F7E35" w:rsidRDefault="0063079D" w:rsidP="00E22841">
            <w:pPr>
              <w:spacing w:after="0"/>
              <w:jc w:val="center"/>
            </w:pPr>
            <w:r w:rsidRPr="004F7E35">
              <w:t>128</w:t>
            </w:r>
          </w:p>
        </w:tc>
      </w:tr>
      <w:tr w:rsidR="0063079D" w:rsidRPr="004F7E35" w:rsidTr="00883285">
        <w:trPr>
          <w:trHeight w:val="255"/>
          <w:jc w:val="center"/>
        </w:trPr>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4F7E35" w:rsidRDefault="0063079D" w:rsidP="00E22841">
            <w:pPr>
              <w:spacing w:after="0"/>
            </w:pPr>
            <w:r w:rsidRPr="004F7E35">
              <w:t>Sekretārs</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4F7E35" w:rsidRDefault="0063079D" w:rsidP="00E22841">
            <w:pPr>
              <w:spacing w:after="0"/>
              <w:jc w:val="center"/>
            </w:pPr>
            <w:r w:rsidRPr="004F7E35">
              <w:t>258</w:t>
            </w:r>
          </w:p>
        </w:tc>
      </w:tr>
      <w:tr w:rsidR="0063079D" w:rsidRPr="004F7E35" w:rsidTr="00883285">
        <w:trPr>
          <w:trHeight w:val="255"/>
          <w:jc w:val="center"/>
        </w:trPr>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4F7E35" w:rsidRDefault="0063079D" w:rsidP="00E22841">
            <w:pPr>
              <w:spacing w:after="0"/>
            </w:pPr>
            <w:r w:rsidRPr="004F7E35">
              <w:t>Virpotājs</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4F7E35" w:rsidRDefault="0063079D" w:rsidP="00E22841">
            <w:pPr>
              <w:spacing w:after="0"/>
              <w:jc w:val="center"/>
            </w:pPr>
            <w:r w:rsidRPr="004F7E35">
              <w:t>87</w:t>
            </w:r>
          </w:p>
        </w:tc>
      </w:tr>
      <w:tr w:rsidR="0063079D" w:rsidRPr="004F7E35" w:rsidTr="00883285">
        <w:trPr>
          <w:trHeight w:val="255"/>
          <w:jc w:val="center"/>
        </w:trPr>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832CB1" w:rsidRDefault="0063079D" w:rsidP="00E22841">
            <w:pPr>
              <w:spacing w:after="0"/>
              <w:rPr>
                <w:b/>
              </w:rPr>
            </w:pPr>
            <w:r w:rsidRPr="00832CB1">
              <w:rPr>
                <w:b/>
              </w:rPr>
              <w:t>Kopā</w:t>
            </w:r>
            <w:r>
              <w:rPr>
                <w:b/>
              </w:rPr>
              <w:t>:</w:t>
            </w:r>
            <w:r w:rsidRPr="00832CB1">
              <w:rPr>
                <w:b/>
              </w:rPr>
              <w:t xml:space="preserve"> </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63079D" w:rsidRPr="00832CB1" w:rsidRDefault="0063079D" w:rsidP="00E22841">
            <w:pPr>
              <w:spacing w:after="0"/>
              <w:jc w:val="center"/>
              <w:rPr>
                <w:b/>
              </w:rPr>
            </w:pPr>
            <w:r w:rsidRPr="00832CB1">
              <w:rPr>
                <w:b/>
              </w:rPr>
              <w:t>2147</w:t>
            </w:r>
          </w:p>
        </w:tc>
      </w:tr>
    </w:tbl>
    <w:p w:rsidR="0063079D" w:rsidRDefault="0063079D" w:rsidP="00E22841">
      <w:pPr>
        <w:spacing w:after="0"/>
        <w:jc w:val="center"/>
      </w:pPr>
      <w:r>
        <w:t>Avots:</w:t>
      </w:r>
      <w:r w:rsidRPr="00A36550">
        <w:t xml:space="preserve"> </w:t>
      </w:r>
      <w:r>
        <w:t>Valsts izglītības satura centra informācija</w:t>
      </w:r>
    </w:p>
    <w:p w:rsidR="0063079D" w:rsidRPr="00CF699A" w:rsidRDefault="0063079D" w:rsidP="00E22841">
      <w:pPr>
        <w:spacing w:after="0"/>
      </w:pPr>
    </w:p>
    <w:p w:rsidR="0063079D" w:rsidRPr="00274B23" w:rsidRDefault="0063079D" w:rsidP="00E22841">
      <w:pPr>
        <w:spacing w:after="0"/>
      </w:pPr>
    </w:p>
    <w:p w:rsidR="0063079D" w:rsidRPr="00274B23" w:rsidRDefault="00E22841" w:rsidP="00E22841">
      <w:pPr>
        <w:spacing w:after="0"/>
        <w:jc w:val="center"/>
        <w:rPr>
          <w:b/>
        </w:rPr>
      </w:pPr>
      <w:r>
        <w:rPr>
          <w:b/>
        </w:rPr>
        <w:t>2.</w:t>
      </w:r>
      <w:r w:rsidR="0063079D" w:rsidRPr="00274B23">
        <w:rPr>
          <w:b/>
        </w:rPr>
        <w:t>2.3. Pedagogu profesionālā pilnveide</w:t>
      </w:r>
    </w:p>
    <w:p w:rsidR="0063079D" w:rsidRPr="00274B23" w:rsidRDefault="0063079D" w:rsidP="00E22841">
      <w:pPr>
        <w:spacing w:after="0"/>
      </w:pPr>
    </w:p>
    <w:p w:rsidR="0063079D" w:rsidRPr="00274B23" w:rsidRDefault="0063079D" w:rsidP="00E22841">
      <w:pPr>
        <w:spacing w:after="0"/>
      </w:pPr>
      <w:r w:rsidRPr="00274B23">
        <w:t>Lai nodrošinātu profesionālās izglītības satura reformu, nepieciešams veikt profesionālās izglītības pedagogu profesionālo pilnveidi.</w:t>
      </w:r>
    </w:p>
    <w:p w:rsidR="0063079D" w:rsidRPr="00274B23" w:rsidRDefault="0063079D" w:rsidP="00E22841">
      <w:pPr>
        <w:spacing w:after="0"/>
      </w:pPr>
      <w:r w:rsidRPr="00274B23">
        <w:t xml:space="preserve">Profesionālās izglītības mācību priekšmetu pedagogu un prakses vadītāju profesionālās pilnveides nodrošināšanai Valsts izglītības satura centrs </w:t>
      </w:r>
      <w:r>
        <w:t xml:space="preserve">saskaņā ar Ministru kabineta 2009.gada 17.februāra noteikumiem Nr.151 </w:t>
      </w:r>
      <w:r w:rsidRPr="006E0957">
        <w:t>"</w:t>
      </w:r>
      <w:hyperlink r:id="rId13" w:tgtFrame="_self" w:tooltip="Spēkā esošs" w:history="1">
        <w:r w:rsidRPr="006E0957">
          <w:rPr>
            <w:rStyle w:val="Hyperlink"/>
            <w:bCs/>
            <w:color w:val="2E2E2E"/>
          </w:rPr>
          <w:t xml:space="preserve">Noteikumi par darbības programmas </w:t>
        </w:r>
        <w:r w:rsidRPr="00E503C0">
          <w:rPr>
            <w:rStyle w:val="Hyperlink"/>
            <w:bCs/>
            <w:color w:val="2E2E2E"/>
          </w:rPr>
          <w:t>"</w:t>
        </w:r>
        <w:r w:rsidRPr="006E0957">
          <w:rPr>
            <w:rStyle w:val="Hyperlink"/>
            <w:bCs/>
            <w:color w:val="2E2E2E"/>
          </w:rPr>
          <w:t>Cilvēkresursi un nodarbinātība</w:t>
        </w:r>
        <w:r w:rsidRPr="006E0957">
          <w:t>"</w:t>
        </w:r>
        <w:r w:rsidRPr="006E0957">
          <w:rPr>
            <w:rStyle w:val="Hyperlink"/>
            <w:bCs/>
            <w:color w:val="2E2E2E"/>
          </w:rPr>
          <w:t xml:space="preserve"> papildinā</w:t>
        </w:r>
        <w:r>
          <w:rPr>
            <w:rStyle w:val="Hyperlink"/>
            <w:bCs/>
            <w:color w:val="2E2E2E"/>
          </w:rPr>
          <w:t xml:space="preserve">juma 1.2.1.1.2.apakšaktivitāti </w:t>
        </w:r>
        <w:r>
          <w:t>"</w:t>
        </w:r>
        <w:r w:rsidRPr="006E0957">
          <w:rPr>
            <w:rStyle w:val="Hyperlink"/>
            <w:bCs/>
            <w:color w:val="2E2E2E"/>
          </w:rPr>
          <w:t>Profesionālajā izglītībā iesaistīto pedagogu kompetences paaugstināšana</w:t>
        </w:r>
        <w:r>
          <w:t>"</w:t>
        </w:r>
      </w:hyperlink>
      <w:r>
        <w:rPr>
          <w:color w:val="666666"/>
        </w:rPr>
        <w:t xml:space="preserve"> </w:t>
      </w:r>
      <w:r w:rsidRPr="00274B23">
        <w:t xml:space="preserve">2010.gada 1.aprīlī uzsāka īstenot </w:t>
      </w:r>
      <w:r w:rsidRPr="006E0957">
        <w:t>Darbības programmas</w:t>
      </w:r>
      <w:r>
        <w:t xml:space="preserve"> 2007. – 2013.gadam "</w:t>
      </w:r>
      <w:r w:rsidRPr="00274B23">
        <w:t>Cilvēkresursi un nodarbinātība</w:t>
      </w:r>
      <w:r>
        <w:t>" 1.2.prioritātes "</w:t>
      </w:r>
      <w:r w:rsidRPr="00274B23">
        <w:t>Izglītība un prasmes</w:t>
      </w:r>
      <w:r>
        <w:t>" 1.2.1.pasākuma "</w:t>
      </w:r>
      <w:r w:rsidRPr="00274B23">
        <w:t>Profesionālās izglītības un vispārējo prasmju attīstība</w:t>
      </w:r>
      <w:r>
        <w:t>"</w:t>
      </w:r>
      <w:r w:rsidRPr="00274B23">
        <w:t xml:space="preserve"> 1.2.1.1.aktivitātes "Profesionālās izglītības sistēmas attīstība, kvalitātes, atbilstības un pievilcības uzlabošana" 1.2.1.1.2.apakšaktivitātes "Profesionālajā izglītībā iesaistīto pedagogu kompetence</w:t>
      </w:r>
      <w:r>
        <w:t>s paaugstināšana" ESF projektu "</w:t>
      </w:r>
      <w:r w:rsidRPr="00274B23">
        <w:t>Profesionālo mācību priekšmetu pedagogu un prakses vadītāju teorētisko zināšanu un praktisko kompetenču paaugstināšana</w:t>
      </w:r>
      <w:r>
        <w:t>"</w:t>
      </w:r>
      <w:r w:rsidRPr="00274B23">
        <w:t xml:space="preserve"> (vienošanās Nr.2010/0043/1DP/1.2.1.1.2/09/IPIA/VIAA/001) (turpmāk</w:t>
      </w:r>
      <w:r>
        <w:t xml:space="preserve"> – </w:t>
      </w:r>
      <w:r w:rsidRPr="00274B23">
        <w:t xml:space="preserve">projekts). </w:t>
      </w:r>
    </w:p>
    <w:p w:rsidR="0063079D" w:rsidRPr="00274B23" w:rsidRDefault="0063079D" w:rsidP="00E22841">
      <w:pPr>
        <w:spacing w:after="0"/>
        <w:rPr>
          <w:bCs/>
        </w:rPr>
      </w:pPr>
      <w:r w:rsidRPr="00274B23">
        <w:t xml:space="preserve">Projektu plānots īstenot līdz 2012.gada 30.septembrim. </w:t>
      </w:r>
      <w:r w:rsidRPr="00274B23">
        <w:rPr>
          <w:bCs/>
        </w:rPr>
        <w:t>Kopējais projekta finansējums 2 679 030 LVL:</w:t>
      </w:r>
      <w:r w:rsidRPr="00274B23">
        <w:rPr>
          <w:bCs/>
        </w:rPr>
        <w:tab/>
      </w:r>
    </w:p>
    <w:p w:rsidR="0063079D" w:rsidRPr="00274B23" w:rsidRDefault="0063079D" w:rsidP="00E22841">
      <w:pPr>
        <w:numPr>
          <w:ilvl w:val="0"/>
          <w:numId w:val="7"/>
        </w:numPr>
        <w:spacing w:after="0"/>
        <w:rPr>
          <w:bCs/>
        </w:rPr>
      </w:pPr>
      <w:r w:rsidRPr="00274B23">
        <w:rPr>
          <w:bCs/>
        </w:rPr>
        <w:t>ESF daļa 2 277 175 LVL;</w:t>
      </w:r>
    </w:p>
    <w:p w:rsidR="0063079D" w:rsidRPr="00274B23" w:rsidRDefault="0063079D" w:rsidP="00E22841">
      <w:pPr>
        <w:numPr>
          <w:ilvl w:val="0"/>
          <w:numId w:val="7"/>
        </w:numPr>
        <w:spacing w:after="0"/>
        <w:rPr>
          <w:bCs/>
        </w:rPr>
      </w:pPr>
      <w:r w:rsidRPr="00274B23">
        <w:rPr>
          <w:bCs/>
        </w:rPr>
        <w:t>Latvijas valsts budžeta finansējuma daļa 401 855 LVL.</w:t>
      </w:r>
    </w:p>
    <w:p w:rsidR="0063079D" w:rsidRPr="00274B23" w:rsidRDefault="0063079D" w:rsidP="00E22841">
      <w:pPr>
        <w:spacing w:after="0"/>
      </w:pPr>
      <w:r w:rsidRPr="00274B23">
        <w:lastRenderedPageBreak/>
        <w:t>Projekta mērķis ir nodrošināt teorētisko zināšanu, praktisko iemaņu un profesionālo kompetenču paaugstināšanu sākotnējās profesionālās izglītības pedagogiem un prakses vadītājiem, nodrošinot teorētisko zināšanu un prasmju paaugstināšanu:</w:t>
      </w:r>
    </w:p>
    <w:p w:rsidR="0063079D" w:rsidRPr="00274B23" w:rsidRDefault="0063079D" w:rsidP="00E22841">
      <w:pPr>
        <w:numPr>
          <w:ilvl w:val="0"/>
          <w:numId w:val="9"/>
        </w:numPr>
        <w:spacing w:after="0"/>
      </w:pPr>
      <w:r w:rsidRPr="00274B23">
        <w:t xml:space="preserve">uzsverot saistību ar modernizēto profesionālās izglītības saturu, inovācijām tautsaimniecībā; </w:t>
      </w:r>
    </w:p>
    <w:p w:rsidR="0063079D" w:rsidRPr="00274B23" w:rsidRDefault="0063079D" w:rsidP="00E22841">
      <w:pPr>
        <w:numPr>
          <w:ilvl w:val="0"/>
          <w:numId w:val="9"/>
        </w:numPr>
        <w:spacing w:after="0"/>
      </w:pPr>
      <w:r w:rsidRPr="00274B23">
        <w:t xml:space="preserve">ievērojot ražošanas tehnoloģiju nepārtrauktu attīstību. </w:t>
      </w:r>
    </w:p>
    <w:p w:rsidR="0063079D" w:rsidRPr="00274B23" w:rsidRDefault="0063079D" w:rsidP="00E22841">
      <w:pPr>
        <w:spacing w:after="0"/>
      </w:pPr>
      <w:r w:rsidRPr="00274B23">
        <w:t xml:space="preserve">Lai veidotu ilglaicīgu un nepārtrauktu sadarbību starp profesionālās izglītības iestādēm, sociālajiem un sadarbības partneriem un darba tirgu visā Latvijas teritorijā, projektā iesaistīti </w:t>
      </w:r>
      <w:r w:rsidRPr="00274B23">
        <w:rPr>
          <w:bCs/>
        </w:rPr>
        <w:t>sadarbības partneri</w:t>
      </w:r>
      <w:r w:rsidRPr="00274B23">
        <w:rPr>
          <w:b/>
          <w:bCs/>
        </w:rPr>
        <w:t xml:space="preserve"> </w:t>
      </w:r>
      <w:r>
        <w:t>–</w:t>
      </w:r>
      <w:r w:rsidRPr="00274B23">
        <w:rPr>
          <w:b/>
          <w:bCs/>
        </w:rPr>
        <w:t xml:space="preserve"> </w:t>
      </w:r>
      <w:r w:rsidRPr="00274B23">
        <w:t>Latvijas Darba devēju konfederācija, Latvijas Brīvo arodbiedrību savienība, Latvijas Universitāte, Rīgas Tehniskā universitāte, Daugavpils Universitāte, Rēzeknes Augstskola un Liepājas Universitāte.</w:t>
      </w:r>
    </w:p>
    <w:p w:rsidR="0063079D" w:rsidRPr="00274B23" w:rsidRDefault="0063079D" w:rsidP="00E22841">
      <w:pPr>
        <w:spacing w:after="0"/>
        <w:ind w:left="34"/>
      </w:pPr>
      <w:r w:rsidRPr="00274B23">
        <w:t xml:space="preserve">Projekta īstenošanas laikā tiks </w:t>
      </w:r>
      <w:r w:rsidRPr="00274B23">
        <w:rPr>
          <w:bCs/>
        </w:rPr>
        <w:t>izglītoti 1570 pedagogi</w:t>
      </w:r>
      <w:r w:rsidRPr="00274B23">
        <w:t xml:space="preserve"> un prakses vadītāji n</w:t>
      </w:r>
      <w:r>
        <w:t>o 16 prioritāri ERAF atbalstāmajām un</w:t>
      </w:r>
      <w:r w:rsidRPr="00274B23">
        <w:t xml:space="preserve"> Latvijas tautsaimniecības svarīgāk</w:t>
      </w:r>
      <w:r>
        <w:t>ajām</w:t>
      </w:r>
      <w:r w:rsidRPr="00274B23">
        <w:t xml:space="preserve"> profesionāl</w:t>
      </w:r>
      <w:r>
        <w:t>ajām</w:t>
      </w:r>
      <w:r w:rsidRPr="00274B23">
        <w:t xml:space="preserve"> nozarēm: mehānika un </w:t>
      </w:r>
      <w:proofErr w:type="spellStart"/>
      <w:r w:rsidRPr="00274B23">
        <w:t>mehatronika</w:t>
      </w:r>
      <w:proofErr w:type="spellEnd"/>
      <w:r w:rsidRPr="00274B23">
        <w:t xml:space="preserve">; metālapstrāde; enerģētika; elektronika un automātika; transports; būvniecība; kokapstrāde; ķīmiskā rūpniecība; </w:t>
      </w:r>
      <w:proofErr w:type="spellStart"/>
      <w:r w:rsidRPr="00274B23">
        <w:t>tekstilapstrāde</w:t>
      </w:r>
      <w:proofErr w:type="spellEnd"/>
      <w:r w:rsidRPr="00274B23">
        <w:t xml:space="preserve">; skaistumkopšanas pakalpojumi; komercdarbība; komercpakalpojumi; informācija un komunikāciju tehnoloģija; poligrāfija; veselība un sociālā aprūpe; ceļu būve. </w:t>
      </w:r>
    </w:p>
    <w:p w:rsidR="0063079D" w:rsidRPr="00274B23" w:rsidRDefault="0063079D" w:rsidP="00E22841">
      <w:pPr>
        <w:spacing w:after="0"/>
      </w:pPr>
      <w:r w:rsidRPr="00274B23">
        <w:t xml:space="preserve"> Pedagogu un prakšu vadītāju </w:t>
      </w:r>
      <w:proofErr w:type="spellStart"/>
      <w:r w:rsidRPr="00274B23">
        <w:t>tālākizglītībā</w:t>
      </w:r>
      <w:proofErr w:type="spellEnd"/>
      <w:r w:rsidRPr="00274B23">
        <w:t xml:space="preserve"> tiks nodrošināta profesionālo prasmju paaugstināšana, mācību procesā izmantojot mūsdienīgas un modernas tehnoloģijas (mācības e</w:t>
      </w:r>
      <w:r>
        <w:t>–</w:t>
      </w:r>
      <w:r w:rsidRPr="00274B23">
        <w:t>mācību vidē, dalība videokonferencēs, apgūstot jaunākās iekārtas, tehnoloģijas un materiālus nozarēs), uzņēmējdarbības spēju attīstīšanas kompetences, veicināta sadarbība ar augstākās izglītības iestādēm, LDDK un nozaru asociācijām, LBAS un nozaru arodbiedrībām, darba tirgus pārstāvjiem.</w:t>
      </w:r>
    </w:p>
    <w:p w:rsidR="0063079D" w:rsidRPr="00274B23" w:rsidRDefault="0063079D" w:rsidP="00E22841">
      <w:pPr>
        <w:spacing w:after="0"/>
      </w:pPr>
      <w:r w:rsidRPr="00274B23">
        <w:t>2010.gadā uzsākta projekt</w:t>
      </w:r>
      <w:r>
        <w:t>a plānoto aktivitāšu īstenošana:</w:t>
      </w:r>
    </w:p>
    <w:p w:rsidR="0063079D" w:rsidRPr="00274B23" w:rsidRDefault="0063079D" w:rsidP="00E22841">
      <w:pPr>
        <w:spacing w:after="0"/>
      </w:pPr>
      <w:r>
        <w:t xml:space="preserve">1. </w:t>
      </w:r>
      <w:r w:rsidRPr="00274B23">
        <w:t xml:space="preserve">Teorētisko zināšanu paaugstināšanas moduļu izstrāde. Atbilstoši projekta laika grafikam, notiek sešu moduļu programmu izstrāde: </w:t>
      </w:r>
    </w:p>
    <w:p w:rsidR="0063079D" w:rsidRPr="00274B23" w:rsidRDefault="0063079D" w:rsidP="00E22841">
      <w:pPr>
        <w:numPr>
          <w:ilvl w:val="0"/>
          <w:numId w:val="11"/>
        </w:numPr>
        <w:spacing w:after="0"/>
      </w:pPr>
      <w:r w:rsidRPr="00274B23">
        <w:t xml:space="preserve">Teorētisko zināšanu profesionālo kompetenču pilnveide nozarē un/vai profesijā; </w:t>
      </w:r>
    </w:p>
    <w:p w:rsidR="0063079D" w:rsidRPr="00274B23" w:rsidRDefault="0063079D" w:rsidP="00E22841">
      <w:pPr>
        <w:numPr>
          <w:ilvl w:val="0"/>
          <w:numId w:val="11"/>
        </w:numPr>
        <w:spacing w:after="0"/>
      </w:pPr>
      <w:r w:rsidRPr="00274B23">
        <w:t xml:space="preserve">Pedagoģijas, psiholoģijas un sazināšanās prasmju kompetenču paaugstināšana; </w:t>
      </w:r>
    </w:p>
    <w:p w:rsidR="0063079D" w:rsidRPr="00274B23" w:rsidRDefault="0063079D" w:rsidP="00E22841">
      <w:pPr>
        <w:numPr>
          <w:ilvl w:val="0"/>
          <w:numId w:val="11"/>
        </w:numPr>
        <w:spacing w:after="0"/>
      </w:pPr>
      <w:r w:rsidRPr="00274B23">
        <w:t xml:space="preserve">Informācijas tehnoloģiju prasmju kompetenču paaugstināšana; </w:t>
      </w:r>
    </w:p>
    <w:p w:rsidR="0063079D" w:rsidRPr="00274B23" w:rsidRDefault="0063079D" w:rsidP="00E22841">
      <w:pPr>
        <w:numPr>
          <w:ilvl w:val="0"/>
          <w:numId w:val="11"/>
        </w:numPr>
        <w:spacing w:after="0"/>
      </w:pPr>
      <w:r w:rsidRPr="00274B23">
        <w:t xml:space="preserve">Svešvalodas prasmju kompetenču paaugstināšana; </w:t>
      </w:r>
    </w:p>
    <w:p w:rsidR="0063079D" w:rsidRPr="00274B23" w:rsidRDefault="0063079D" w:rsidP="00E22841">
      <w:pPr>
        <w:numPr>
          <w:ilvl w:val="0"/>
          <w:numId w:val="11"/>
        </w:numPr>
        <w:spacing w:after="0"/>
      </w:pPr>
      <w:r w:rsidRPr="00274B23">
        <w:t xml:space="preserve">Uzņēmējdarbības spēju attīstības kompetenču paaugstināšana; </w:t>
      </w:r>
    </w:p>
    <w:p w:rsidR="0063079D" w:rsidRPr="00274B23" w:rsidRDefault="0063079D" w:rsidP="00E22841">
      <w:pPr>
        <w:numPr>
          <w:ilvl w:val="0"/>
          <w:numId w:val="11"/>
        </w:numPr>
        <w:spacing w:after="0"/>
      </w:pPr>
      <w:r w:rsidRPr="00274B23">
        <w:t>Darba tiesisko attiecību,</w:t>
      </w:r>
      <w:r w:rsidRPr="00274B23">
        <w:rPr>
          <w:i/>
        </w:rPr>
        <w:t xml:space="preserve"> </w:t>
      </w:r>
      <w:r w:rsidRPr="00274B23">
        <w:t xml:space="preserve">darba vides drošības un darba aizsardzības profesionālo kompetenču paaugstināšana. </w:t>
      </w:r>
    </w:p>
    <w:p w:rsidR="0063079D" w:rsidRPr="00274B23" w:rsidRDefault="0063079D" w:rsidP="00E22841">
      <w:pPr>
        <w:spacing w:after="0"/>
      </w:pPr>
      <w:r w:rsidRPr="001428DE">
        <w:t xml:space="preserve"> 2.</w:t>
      </w:r>
      <w:r w:rsidRPr="00274B23">
        <w:t xml:space="preserve"> Metodiskā līdzekļa pedagogiem mācību materiālu izveidei un īstenošanai e</w:t>
      </w:r>
      <w:r>
        <w:t>–</w:t>
      </w:r>
      <w:r w:rsidRPr="00274B23">
        <w:t>vidē izstrāde. Atbilstoši projekta laika grafikam, notiek Metodiskā līdzekļa pedagogiem mācību materiālu izveidei un īstenošanai e</w:t>
      </w:r>
      <w:r>
        <w:t>–</w:t>
      </w:r>
      <w:r w:rsidRPr="00274B23">
        <w:t>vidē izstrāde.</w:t>
      </w:r>
    </w:p>
    <w:p w:rsidR="0063079D" w:rsidRPr="00274B23" w:rsidRDefault="0063079D" w:rsidP="00E22841">
      <w:pPr>
        <w:spacing w:after="0"/>
      </w:pPr>
      <w:r>
        <w:lastRenderedPageBreak/>
        <w:t xml:space="preserve">3. </w:t>
      </w:r>
      <w:r w:rsidRPr="00274B23">
        <w:t>Atbalsta materiāla izstrāde un īstenošana e</w:t>
      </w:r>
      <w:r>
        <w:t>–</w:t>
      </w:r>
      <w:r w:rsidRPr="00274B23">
        <w:t>vidē prakses vadītājiem un pedagogiem prakses un kvalifikācijas prakses nodrošināšanai. Atbilstoši projekta laika grafikam, notiek Atbalsta materiāla prakses vadītājiem un pedagogiem prakses un kvalifikācijas prakses nodrošināšanai izstrāde, kas nodrošinās prakses kvalitāti.</w:t>
      </w:r>
    </w:p>
    <w:p w:rsidR="00BA56BE" w:rsidRDefault="00BA56BE" w:rsidP="00E22841">
      <w:pPr>
        <w:spacing w:after="0"/>
        <w:ind w:firstLine="0"/>
      </w:pPr>
    </w:p>
    <w:p w:rsidR="00BE1D20" w:rsidRPr="00BA56BE" w:rsidRDefault="00BE1D20" w:rsidP="00E22841">
      <w:pPr>
        <w:pStyle w:val="Heading1"/>
        <w:spacing w:before="0"/>
        <w:jc w:val="center"/>
        <w:rPr>
          <w:rFonts w:ascii="Times New Roman" w:hAnsi="Times New Roman" w:cs="Times New Roman"/>
          <w:color w:val="auto"/>
        </w:rPr>
      </w:pPr>
      <w:r w:rsidRPr="00BA56BE">
        <w:rPr>
          <w:rFonts w:ascii="Times New Roman" w:hAnsi="Times New Roman" w:cs="Times New Roman"/>
          <w:color w:val="auto"/>
        </w:rPr>
        <w:t>3. Informācija par Eiropas Savienības fondu līdzekļiem, tai skaitā faktisko apguvi un plānoto apguvi līdz 2011.gada 31.decembrim</w:t>
      </w:r>
    </w:p>
    <w:p w:rsidR="00BE1D20" w:rsidRPr="00BE1D20" w:rsidRDefault="00BE1D20" w:rsidP="00E22841">
      <w:pPr>
        <w:spacing w:after="0"/>
        <w:ind w:firstLine="0"/>
        <w:jc w:val="center"/>
        <w:rPr>
          <w:b/>
        </w:rPr>
      </w:pPr>
    </w:p>
    <w:p w:rsidR="00BE1D20" w:rsidRPr="00BE1D20" w:rsidRDefault="00BE1D20" w:rsidP="00E22841">
      <w:pPr>
        <w:autoSpaceDE w:val="0"/>
        <w:autoSpaceDN w:val="0"/>
        <w:adjustRightInd w:val="0"/>
        <w:spacing w:after="0"/>
        <w:ind w:firstLine="0"/>
        <w:rPr>
          <w:rFonts w:eastAsiaTheme="minorHAnsi"/>
          <w:color w:val="000000"/>
        </w:rPr>
      </w:pPr>
      <w:r>
        <w:rPr>
          <w:rFonts w:eastAsiaTheme="minorHAnsi"/>
          <w:color w:val="000000"/>
        </w:rPr>
        <w:tab/>
      </w:r>
      <w:r w:rsidRPr="00BE1D20">
        <w:rPr>
          <w:rFonts w:eastAsiaTheme="minorHAnsi"/>
          <w:color w:val="000000"/>
        </w:rPr>
        <w:t xml:space="preserve">Izvērsta informācija par IZM pārziņā esošo Eiropas Savienības struktūrfondu aktivitāšu un </w:t>
      </w:r>
      <w:proofErr w:type="spellStart"/>
      <w:r w:rsidRPr="00BE1D20">
        <w:rPr>
          <w:rFonts w:eastAsiaTheme="minorHAnsi"/>
          <w:color w:val="000000"/>
        </w:rPr>
        <w:t>apakšaktivitāšu</w:t>
      </w:r>
      <w:proofErr w:type="spellEnd"/>
      <w:r w:rsidRPr="00BE1D20">
        <w:rPr>
          <w:rFonts w:eastAsiaTheme="minorHAnsi"/>
          <w:color w:val="000000"/>
        </w:rPr>
        <w:t xml:space="preserve"> līdzekļiem, tai skaitā faktisko apguvi un plānoto apguvi līdz 2011.gada 31.decembrim norādīta informatīvā ziņojuma </w:t>
      </w:r>
      <w:r>
        <w:rPr>
          <w:rFonts w:eastAsiaTheme="minorHAnsi"/>
          <w:color w:val="000000"/>
        </w:rPr>
        <w:t>pielikumā „</w:t>
      </w:r>
      <w:r w:rsidRPr="00BE1D20">
        <w:rPr>
          <w:rFonts w:eastAsiaTheme="minorHAnsi"/>
          <w:color w:val="000000"/>
        </w:rPr>
        <w:t>Informācija par Izglītības un zinātnes ministrijas ES fondu projektiem (faktiskā apguve līdz 2011.gada 28.februārim un plānotā finansējuma apgu</w:t>
      </w:r>
      <w:r>
        <w:rPr>
          <w:rFonts w:eastAsiaTheme="minorHAnsi"/>
          <w:color w:val="000000"/>
        </w:rPr>
        <w:t>ve līdz 2011.gada 31.decembrim)”</w:t>
      </w:r>
      <w:r w:rsidRPr="00BE1D20">
        <w:rPr>
          <w:rFonts w:eastAsiaTheme="minorHAnsi"/>
          <w:color w:val="000000"/>
        </w:rPr>
        <w:t>.</w:t>
      </w:r>
    </w:p>
    <w:p w:rsidR="00624B6F" w:rsidRDefault="00624B6F" w:rsidP="00E22841">
      <w:pPr>
        <w:spacing w:after="0"/>
      </w:pPr>
    </w:p>
    <w:p w:rsidR="00BE1D20" w:rsidRDefault="00BE1D20" w:rsidP="00E22841">
      <w:pPr>
        <w:spacing w:after="0"/>
      </w:pPr>
    </w:p>
    <w:p w:rsidR="00624B6F" w:rsidRDefault="00624B6F" w:rsidP="00E22841">
      <w:pPr>
        <w:spacing w:after="0"/>
      </w:pPr>
      <w:r>
        <w:t>Izglītības un zinātnes ministrs</w:t>
      </w:r>
      <w:r>
        <w:tab/>
      </w:r>
      <w:r>
        <w:tab/>
      </w:r>
      <w:r>
        <w:tab/>
      </w:r>
      <w:r>
        <w:tab/>
      </w:r>
      <w:r>
        <w:tab/>
      </w:r>
      <w:r>
        <w:tab/>
        <w:t xml:space="preserve">   </w:t>
      </w:r>
      <w:proofErr w:type="spellStart"/>
      <w:r>
        <w:t>R.Broks</w:t>
      </w:r>
      <w:proofErr w:type="spellEnd"/>
    </w:p>
    <w:p w:rsidR="00624B6F" w:rsidRDefault="00624B6F" w:rsidP="00E22841">
      <w:pPr>
        <w:spacing w:after="0"/>
      </w:pPr>
    </w:p>
    <w:p w:rsidR="00624B6F" w:rsidRDefault="00624B6F" w:rsidP="00E22841">
      <w:pPr>
        <w:spacing w:after="0"/>
      </w:pPr>
    </w:p>
    <w:p w:rsidR="00624B6F" w:rsidRDefault="00624B6F" w:rsidP="00E22841">
      <w:pPr>
        <w:spacing w:after="0"/>
      </w:pPr>
      <w:r>
        <w:t>Vīzē: Valsts sekretārs</w:t>
      </w:r>
      <w:r>
        <w:tab/>
      </w:r>
      <w:r>
        <w:tab/>
      </w:r>
      <w:r>
        <w:tab/>
      </w:r>
      <w:r>
        <w:tab/>
      </w:r>
      <w:r>
        <w:tab/>
      </w:r>
      <w:r>
        <w:tab/>
        <w:t xml:space="preserve">    </w:t>
      </w:r>
      <w:proofErr w:type="spellStart"/>
      <w:r>
        <w:t>M.Gruškevics</w:t>
      </w:r>
      <w:proofErr w:type="spellEnd"/>
    </w:p>
    <w:p w:rsidR="00624B6F" w:rsidRDefault="00624B6F" w:rsidP="00E22841">
      <w:pPr>
        <w:spacing w:after="0"/>
      </w:pPr>
    </w:p>
    <w:p w:rsidR="00624B6F" w:rsidRDefault="00624B6F" w:rsidP="00E22841">
      <w:pPr>
        <w:spacing w:after="0"/>
      </w:pPr>
    </w:p>
    <w:p w:rsidR="00624B6F" w:rsidRDefault="00624B6F" w:rsidP="00E22841">
      <w:pPr>
        <w:spacing w:after="0"/>
      </w:pPr>
    </w:p>
    <w:p w:rsidR="00624B6F" w:rsidRDefault="00624B6F" w:rsidP="00E22841">
      <w:pPr>
        <w:spacing w:after="0"/>
      </w:pPr>
    </w:p>
    <w:p w:rsidR="00624B6F" w:rsidRDefault="00624B6F" w:rsidP="00E22841">
      <w:pPr>
        <w:spacing w:after="0"/>
      </w:pPr>
    </w:p>
    <w:p w:rsidR="00624B6F" w:rsidRDefault="00624B6F" w:rsidP="00E22841">
      <w:pPr>
        <w:spacing w:after="0"/>
      </w:pPr>
    </w:p>
    <w:p w:rsidR="00624B6F" w:rsidRDefault="00624B6F" w:rsidP="00E22841">
      <w:pPr>
        <w:spacing w:after="0"/>
      </w:pPr>
    </w:p>
    <w:p w:rsidR="00624B6F" w:rsidRDefault="00624B6F" w:rsidP="00E22841">
      <w:pPr>
        <w:spacing w:after="0"/>
      </w:pPr>
    </w:p>
    <w:p w:rsidR="00624B6F" w:rsidRDefault="00624B6F" w:rsidP="00E22841">
      <w:pPr>
        <w:spacing w:after="0"/>
      </w:pPr>
    </w:p>
    <w:p w:rsidR="00624B6F" w:rsidRDefault="00624B6F" w:rsidP="00E22841">
      <w:pPr>
        <w:spacing w:after="0"/>
      </w:pPr>
    </w:p>
    <w:p w:rsidR="00624B6F" w:rsidRDefault="00624B6F" w:rsidP="00E22841">
      <w:pPr>
        <w:spacing w:after="0"/>
      </w:pPr>
    </w:p>
    <w:p w:rsidR="00624B6F" w:rsidRDefault="00624B6F" w:rsidP="00E22841">
      <w:pPr>
        <w:spacing w:after="0"/>
      </w:pPr>
    </w:p>
    <w:p w:rsidR="00624B6F" w:rsidRDefault="00624B6F" w:rsidP="00E22841">
      <w:pPr>
        <w:spacing w:after="0"/>
      </w:pPr>
    </w:p>
    <w:p w:rsidR="00666B5F" w:rsidRDefault="00666B5F" w:rsidP="00E22841">
      <w:pPr>
        <w:spacing w:after="0"/>
      </w:pPr>
    </w:p>
    <w:p w:rsidR="00624B6F" w:rsidRDefault="00624B6F" w:rsidP="00E22841">
      <w:pPr>
        <w:spacing w:after="0"/>
      </w:pPr>
    </w:p>
    <w:p w:rsidR="00624B6F" w:rsidRDefault="00624B6F" w:rsidP="00E22841">
      <w:pPr>
        <w:spacing w:after="0"/>
      </w:pPr>
    </w:p>
    <w:p w:rsidR="00624B6F" w:rsidRPr="00624B6F" w:rsidRDefault="00624B6F" w:rsidP="00E22841">
      <w:pPr>
        <w:spacing w:after="0"/>
        <w:ind w:firstLine="0"/>
        <w:rPr>
          <w:sz w:val="24"/>
          <w:szCs w:val="24"/>
        </w:rPr>
      </w:pPr>
      <w:r>
        <w:rPr>
          <w:sz w:val="24"/>
          <w:szCs w:val="24"/>
        </w:rPr>
        <w:tab/>
      </w:r>
      <w:r w:rsidR="001462D0">
        <w:rPr>
          <w:sz w:val="24"/>
          <w:szCs w:val="24"/>
        </w:rPr>
        <w:t>25.03.2011 14:13</w:t>
      </w:r>
    </w:p>
    <w:p w:rsidR="00624B6F" w:rsidRPr="00624B6F" w:rsidRDefault="001C657F" w:rsidP="00E22841">
      <w:pPr>
        <w:spacing w:after="0"/>
        <w:ind w:firstLine="0"/>
        <w:rPr>
          <w:sz w:val="24"/>
          <w:szCs w:val="24"/>
        </w:rPr>
      </w:pPr>
      <w:r>
        <w:rPr>
          <w:sz w:val="24"/>
          <w:szCs w:val="24"/>
        </w:rPr>
        <w:tab/>
        <w:t>7204</w:t>
      </w:r>
    </w:p>
    <w:p w:rsidR="00624B6F" w:rsidRPr="00624B6F" w:rsidRDefault="00624B6F" w:rsidP="00624B6F">
      <w:pPr>
        <w:spacing w:after="0"/>
        <w:ind w:firstLine="0"/>
        <w:rPr>
          <w:sz w:val="24"/>
          <w:szCs w:val="24"/>
        </w:rPr>
      </w:pPr>
      <w:r>
        <w:rPr>
          <w:sz w:val="24"/>
          <w:szCs w:val="24"/>
        </w:rPr>
        <w:tab/>
      </w:r>
      <w:proofErr w:type="spellStart"/>
      <w:r>
        <w:rPr>
          <w:sz w:val="24"/>
          <w:szCs w:val="24"/>
        </w:rPr>
        <w:t>E.Grīnis</w:t>
      </w:r>
      <w:proofErr w:type="spellEnd"/>
    </w:p>
    <w:p w:rsidR="00624B6F" w:rsidRPr="00624B6F" w:rsidRDefault="00624B6F" w:rsidP="00624B6F">
      <w:pPr>
        <w:spacing w:after="0"/>
        <w:ind w:firstLine="0"/>
        <w:rPr>
          <w:bCs/>
          <w:sz w:val="24"/>
          <w:szCs w:val="24"/>
        </w:rPr>
      </w:pPr>
      <w:r>
        <w:rPr>
          <w:bCs/>
          <w:sz w:val="24"/>
          <w:szCs w:val="24"/>
        </w:rPr>
        <w:tab/>
      </w:r>
      <w:r w:rsidRPr="00624B6F">
        <w:rPr>
          <w:bCs/>
          <w:sz w:val="24"/>
          <w:szCs w:val="24"/>
        </w:rPr>
        <w:t>6</w:t>
      </w:r>
      <w:r>
        <w:rPr>
          <w:sz w:val="24"/>
          <w:szCs w:val="24"/>
        </w:rPr>
        <w:t>7047910</w:t>
      </w:r>
      <w:r w:rsidRPr="00624B6F">
        <w:rPr>
          <w:bCs/>
          <w:sz w:val="24"/>
          <w:szCs w:val="24"/>
        </w:rPr>
        <w:t>,</w:t>
      </w:r>
    </w:p>
    <w:p w:rsidR="00624B6F" w:rsidRPr="001462D0" w:rsidRDefault="00624B6F" w:rsidP="001462D0">
      <w:pPr>
        <w:spacing w:after="0"/>
        <w:ind w:firstLine="0"/>
        <w:rPr>
          <w:sz w:val="24"/>
          <w:szCs w:val="24"/>
        </w:rPr>
      </w:pPr>
      <w:r>
        <w:rPr>
          <w:sz w:val="24"/>
          <w:szCs w:val="24"/>
        </w:rPr>
        <w:tab/>
        <w:t>edgars.grinis@izm</w:t>
      </w:r>
      <w:r w:rsidRPr="00624B6F">
        <w:rPr>
          <w:sz w:val="24"/>
          <w:szCs w:val="24"/>
        </w:rPr>
        <w:t>.gov.lv</w:t>
      </w:r>
    </w:p>
    <w:sectPr w:rsidR="00624B6F" w:rsidRPr="001462D0" w:rsidSect="00F80333">
      <w:headerReference w:type="default" r:id="rId14"/>
      <w:footerReference w:type="default" r:id="rId15"/>
      <w:footerReference w:type="first" r:id="rId16"/>
      <w:pgSz w:w="11906" w:h="16838"/>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26E" w:rsidRDefault="00FA526E" w:rsidP="00F80333">
      <w:pPr>
        <w:spacing w:after="0"/>
      </w:pPr>
      <w:r>
        <w:separator/>
      </w:r>
    </w:p>
  </w:endnote>
  <w:endnote w:type="continuationSeparator" w:id="0">
    <w:p w:rsidR="00FA526E" w:rsidRDefault="00FA526E" w:rsidP="00F8033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33" w:rsidRPr="0063079D" w:rsidRDefault="0063079D" w:rsidP="0063079D">
    <w:pPr>
      <w:spacing w:after="0"/>
      <w:ind w:firstLine="0"/>
      <w:rPr>
        <w:color w:val="000000"/>
        <w:sz w:val="24"/>
        <w:szCs w:val="24"/>
      </w:rPr>
    </w:pPr>
    <w:r>
      <w:rPr>
        <w:sz w:val="24"/>
        <w:szCs w:val="24"/>
      </w:rPr>
      <w:t>IZMZino_25</w:t>
    </w:r>
    <w:r w:rsidRPr="0063079D">
      <w:rPr>
        <w:sz w:val="24"/>
        <w:szCs w:val="24"/>
      </w:rPr>
      <w:t xml:space="preserve">0311_izglitiba; </w:t>
    </w:r>
    <w:r>
      <w:rPr>
        <w:color w:val="000000"/>
        <w:sz w:val="24"/>
        <w:szCs w:val="24"/>
      </w:rPr>
      <w:t xml:space="preserve">Informatīvais ziņojums </w:t>
    </w:r>
    <w:r w:rsidRPr="0063079D">
      <w:rPr>
        <w:color w:val="000000"/>
        <w:sz w:val="24"/>
        <w:szCs w:val="24"/>
      </w:rPr>
      <w:t xml:space="preserve">par izglītības efektivitātes un kvalitātes paaugstināšanu vispārējā, profesionālajā un augstākajā izglītībā, </w:t>
    </w:r>
    <w:r w:rsidRPr="0063079D">
      <w:rPr>
        <w:sz w:val="24"/>
        <w:szCs w:val="24"/>
      </w:rPr>
      <w:t>par izglītojamo teorētisko zināšanu praktiskā pielietojuma nodrošināšanu un par Eiropas Savienības fondu līdzekļiem izglītībā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33" w:rsidRPr="0063079D" w:rsidRDefault="0063079D" w:rsidP="0063079D">
    <w:pPr>
      <w:spacing w:after="0"/>
      <w:ind w:firstLine="0"/>
      <w:rPr>
        <w:color w:val="000000"/>
        <w:sz w:val="24"/>
        <w:szCs w:val="24"/>
      </w:rPr>
    </w:pPr>
    <w:r>
      <w:rPr>
        <w:sz w:val="24"/>
        <w:szCs w:val="24"/>
      </w:rPr>
      <w:t>IZMZino_25</w:t>
    </w:r>
    <w:r w:rsidR="00F80333" w:rsidRPr="0063079D">
      <w:rPr>
        <w:sz w:val="24"/>
        <w:szCs w:val="24"/>
      </w:rPr>
      <w:t xml:space="preserve">0311_izglitiba; </w:t>
    </w:r>
    <w:r>
      <w:rPr>
        <w:color w:val="000000"/>
        <w:sz w:val="24"/>
        <w:szCs w:val="24"/>
      </w:rPr>
      <w:t xml:space="preserve">Informatīvais ziņojums </w:t>
    </w:r>
    <w:r w:rsidRPr="0063079D">
      <w:rPr>
        <w:color w:val="000000"/>
        <w:sz w:val="24"/>
        <w:szCs w:val="24"/>
      </w:rPr>
      <w:t xml:space="preserve">par izglītības efektivitātes un kvalitātes paaugstināšanu vispārējā, profesionālajā un augstākajā izglītībā, </w:t>
    </w:r>
    <w:r w:rsidRPr="0063079D">
      <w:rPr>
        <w:sz w:val="24"/>
        <w:szCs w:val="24"/>
      </w:rPr>
      <w:t>par izglītojamo teorētisko zināšanu praktiskā pielietojuma nodrošināšanu un par Eiropas Savienības fondu līdzekļiem izglītībā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26E" w:rsidRDefault="00FA526E" w:rsidP="00F80333">
      <w:pPr>
        <w:spacing w:after="0"/>
      </w:pPr>
      <w:r>
        <w:separator/>
      </w:r>
    </w:p>
  </w:footnote>
  <w:footnote w:type="continuationSeparator" w:id="0">
    <w:p w:rsidR="00FA526E" w:rsidRDefault="00FA526E" w:rsidP="00F8033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7954"/>
      <w:docPartObj>
        <w:docPartGallery w:val="Page Numbers (Top of Page)"/>
        <w:docPartUnique/>
      </w:docPartObj>
    </w:sdtPr>
    <w:sdtContent>
      <w:p w:rsidR="00F80333" w:rsidRDefault="00D11E6F">
        <w:pPr>
          <w:pStyle w:val="Header"/>
          <w:jc w:val="center"/>
        </w:pPr>
        <w:r w:rsidRPr="00F80333">
          <w:rPr>
            <w:sz w:val="24"/>
            <w:szCs w:val="24"/>
          </w:rPr>
          <w:fldChar w:fldCharType="begin"/>
        </w:r>
        <w:r w:rsidR="00F80333" w:rsidRPr="00F80333">
          <w:rPr>
            <w:sz w:val="24"/>
            <w:szCs w:val="24"/>
          </w:rPr>
          <w:instrText xml:space="preserve"> PAGE   \* MERGEFORMAT </w:instrText>
        </w:r>
        <w:r w:rsidRPr="00F80333">
          <w:rPr>
            <w:sz w:val="24"/>
            <w:szCs w:val="24"/>
          </w:rPr>
          <w:fldChar w:fldCharType="separate"/>
        </w:r>
        <w:r w:rsidR="001C657F">
          <w:rPr>
            <w:noProof/>
            <w:sz w:val="24"/>
            <w:szCs w:val="24"/>
          </w:rPr>
          <w:t>27</w:t>
        </w:r>
        <w:r w:rsidRPr="00F80333">
          <w:rPr>
            <w:sz w:val="24"/>
            <w:szCs w:val="24"/>
          </w:rPr>
          <w:fldChar w:fldCharType="end"/>
        </w:r>
      </w:p>
    </w:sdtContent>
  </w:sdt>
  <w:p w:rsidR="00F80333" w:rsidRDefault="00F803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EAC"/>
    <w:multiLevelType w:val="hybridMultilevel"/>
    <w:tmpl w:val="D9681902"/>
    <w:lvl w:ilvl="0" w:tplc="94F6043C">
      <w:numFmt w:val="bullet"/>
      <w:lvlText w:val="-"/>
      <w:lvlJc w:val="left"/>
      <w:pPr>
        <w:tabs>
          <w:tab w:val="num" w:pos="1260"/>
        </w:tabs>
        <w:ind w:left="12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72C56A4"/>
    <w:multiLevelType w:val="hybridMultilevel"/>
    <w:tmpl w:val="2DB8515C"/>
    <w:lvl w:ilvl="0" w:tplc="71E0409E">
      <w:start w:val="2010"/>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AD3F74"/>
    <w:multiLevelType w:val="hybridMultilevel"/>
    <w:tmpl w:val="0B24DFEC"/>
    <w:lvl w:ilvl="0" w:tplc="94F6043C">
      <w:numFmt w:val="bullet"/>
      <w:lvlText w:val="-"/>
      <w:lvlJc w:val="left"/>
      <w:pPr>
        <w:tabs>
          <w:tab w:val="num" w:pos="1260"/>
        </w:tabs>
        <w:ind w:left="12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8192044"/>
    <w:multiLevelType w:val="multilevel"/>
    <w:tmpl w:val="EF28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D876D6"/>
    <w:multiLevelType w:val="hybridMultilevel"/>
    <w:tmpl w:val="9790F9A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28383481"/>
    <w:multiLevelType w:val="hybridMultilevel"/>
    <w:tmpl w:val="DAF235A4"/>
    <w:lvl w:ilvl="0" w:tplc="54BE5A64">
      <w:start w:val="1"/>
      <w:numFmt w:val="bullet"/>
      <w:pStyle w:val="NormalTableBullet"/>
      <w:lvlText w:val=""/>
      <w:lvlJc w:val="left"/>
      <w:pPr>
        <w:tabs>
          <w:tab w:val="num" w:pos="1500"/>
        </w:tabs>
        <w:ind w:left="1367" w:hanging="227"/>
      </w:pPr>
      <w:rPr>
        <w:rFonts w:ascii="Wingdings" w:hAnsi="Wingdings" w:hint="default"/>
      </w:rPr>
    </w:lvl>
    <w:lvl w:ilvl="1" w:tplc="04090003">
      <w:start w:val="1"/>
      <w:numFmt w:val="bullet"/>
      <w:lvlText w:val="o"/>
      <w:lvlJc w:val="left"/>
      <w:pPr>
        <w:tabs>
          <w:tab w:val="num" w:pos="2580"/>
        </w:tabs>
        <w:ind w:left="2580" w:hanging="360"/>
      </w:pPr>
      <w:rPr>
        <w:rFonts w:ascii="Courier New" w:hAnsi="Courier New" w:hint="default"/>
      </w:rPr>
    </w:lvl>
    <w:lvl w:ilvl="2" w:tplc="04090005">
      <w:start w:val="1"/>
      <w:numFmt w:val="bullet"/>
      <w:lvlText w:val=""/>
      <w:lvlJc w:val="left"/>
      <w:pPr>
        <w:tabs>
          <w:tab w:val="num" w:pos="3300"/>
        </w:tabs>
        <w:ind w:left="3300" w:hanging="360"/>
      </w:pPr>
      <w:rPr>
        <w:rFonts w:ascii="Wingdings" w:hAnsi="Wingdings" w:hint="default"/>
      </w:rPr>
    </w:lvl>
    <w:lvl w:ilvl="3" w:tplc="04090001">
      <w:start w:val="1"/>
      <w:numFmt w:val="bullet"/>
      <w:lvlText w:val=""/>
      <w:lvlJc w:val="left"/>
      <w:pPr>
        <w:tabs>
          <w:tab w:val="num" w:pos="4020"/>
        </w:tabs>
        <w:ind w:left="4020" w:hanging="360"/>
      </w:pPr>
      <w:rPr>
        <w:rFonts w:ascii="Symbol" w:hAnsi="Symbol" w:hint="default"/>
      </w:rPr>
    </w:lvl>
    <w:lvl w:ilvl="4" w:tplc="04090003">
      <w:start w:val="1"/>
      <w:numFmt w:val="bullet"/>
      <w:lvlText w:val="o"/>
      <w:lvlJc w:val="left"/>
      <w:pPr>
        <w:tabs>
          <w:tab w:val="num" w:pos="4740"/>
        </w:tabs>
        <w:ind w:left="4740" w:hanging="360"/>
      </w:pPr>
      <w:rPr>
        <w:rFonts w:ascii="Courier New" w:hAnsi="Courier New" w:hint="default"/>
      </w:rPr>
    </w:lvl>
    <w:lvl w:ilvl="5" w:tplc="04090005">
      <w:start w:val="1"/>
      <w:numFmt w:val="bullet"/>
      <w:lvlText w:val=""/>
      <w:lvlJc w:val="left"/>
      <w:pPr>
        <w:tabs>
          <w:tab w:val="num" w:pos="5460"/>
        </w:tabs>
        <w:ind w:left="5460" w:hanging="360"/>
      </w:pPr>
      <w:rPr>
        <w:rFonts w:ascii="Wingdings" w:hAnsi="Wingdings" w:hint="default"/>
      </w:rPr>
    </w:lvl>
    <w:lvl w:ilvl="6" w:tplc="04090001">
      <w:start w:val="1"/>
      <w:numFmt w:val="bullet"/>
      <w:lvlText w:val=""/>
      <w:lvlJc w:val="left"/>
      <w:pPr>
        <w:tabs>
          <w:tab w:val="num" w:pos="6180"/>
        </w:tabs>
        <w:ind w:left="6180" w:hanging="360"/>
      </w:pPr>
      <w:rPr>
        <w:rFonts w:ascii="Symbol" w:hAnsi="Symbol" w:hint="default"/>
      </w:rPr>
    </w:lvl>
    <w:lvl w:ilvl="7" w:tplc="04090003">
      <w:start w:val="1"/>
      <w:numFmt w:val="bullet"/>
      <w:lvlText w:val="o"/>
      <w:lvlJc w:val="left"/>
      <w:pPr>
        <w:tabs>
          <w:tab w:val="num" w:pos="6900"/>
        </w:tabs>
        <w:ind w:left="6900" w:hanging="360"/>
      </w:pPr>
      <w:rPr>
        <w:rFonts w:ascii="Courier New" w:hAnsi="Courier New" w:hint="default"/>
      </w:rPr>
    </w:lvl>
    <w:lvl w:ilvl="8" w:tplc="04090005">
      <w:start w:val="1"/>
      <w:numFmt w:val="bullet"/>
      <w:lvlText w:val=""/>
      <w:lvlJc w:val="left"/>
      <w:pPr>
        <w:tabs>
          <w:tab w:val="num" w:pos="7620"/>
        </w:tabs>
        <w:ind w:left="7620" w:hanging="360"/>
      </w:pPr>
      <w:rPr>
        <w:rFonts w:ascii="Wingdings" w:hAnsi="Wingdings" w:hint="default"/>
      </w:rPr>
    </w:lvl>
  </w:abstractNum>
  <w:abstractNum w:abstractNumId="6">
    <w:nsid w:val="3E1D0E19"/>
    <w:multiLevelType w:val="hybridMultilevel"/>
    <w:tmpl w:val="F4CE44E4"/>
    <w:lvl w:ilvl="0" w:tplc="94F6043C">
      <w:numFmt w:val="bullet"/>
      <w:lvlText w:val="-"/>
      <w:lvlJc w:val="left"/>
      <w:pPr>
        <w:tabs>
          <w:tab w:val="num" w:pos="1440"/>
        </w:tabs>
        <w:ind w:left="1440" w:hanging="360"/>
      </w:pPr>
      <w:rPr>
        <w:rFonts w:ascii="Times New Roman" w:eastAsia="Times New Roman" w:hAnsi="Times New Roman" w:cs="Times New Roman"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7">
    <w:nsid w:val="4EED14BA"/>
    <w:multiLevelType w:val="hybridMultilevel"/>
    <w:tmpl w:val="BCAA3E36"/>
    <w:lvl w:ilvl="0" w:tplc="94F6043C">
      <w:numFmt w:val="bullet"/>
      <w:lvlText w:val="-"/>
      <w:lvlJc w:val="left"/>
      <w:pPr>
        <w:tabs>
          <w:tab w:val="num" w:pos="1260"/>
        </w:tabs>
        <w:ind w:left="12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5B1E6843"/>
    <w:multiLevelType w:val="hybridMultilevel"/>
    <w:tmpl w:val="64045AAE"/>
    <w:lvl w:ilvl="0" w:tplc="37D8B62C">
      <w:start w:val="1"/>
      <w:numFmt w:val="bullet"/>
      <w:lvlText w:val="•"/>
      <w:lvlJc w:val="left"/>
      <w:pPr>
        <w:tabs>
          <w:tab w:val="num" w:pos="720"/>
        </w:tabs>
        <w:ind w:left="720" w:hanging="360"/>
      </w:pPr>
      <w:rPr>
        <w:rFonts w:ascii="Arial" w:hAnsi="Arial" w:hint="default"/>
      </w:rPr>
    </w:lvl>
    <w:lvl w:ilvl="1" w:tplc="244CED6A">
      <w:start w:val="1"/>
      <w:numFmt w:val="bullet"/>
      <w:lvlText w:val="•"/>
      <w:lvlJc w:val="left"/>
      <w:pPr>
        <w:tabs>
          <w:tab w:val="num" w:pos="1440"/>
        </w:tabs>
        <w:ind w:left="1440" w:hanging="360"/>
      </w:pPr>
      <w:rPr>
        <w:rFonts w:ascii="Arial" w:hAnsi="Arial" w:hint="default"/>
      </w:rPr>
    </w:lvl>
    <w:lvl w:ilvl="2" w:tplc="9C829C06">
      <w:start w:val="534"/>
      <w:numFmt w:val="bullet"/>
      <w:lvlText w:val="•"/>
      <w:lvlJc w:val="left"/>
      <w:pPr>
        <w:tabs>
          <w:tab w:val="num" w:pos="2160"/>
        </w:tabs>
        <w:ind w:left="2160" w:hanging="360"/>
      </w:pPr>
      <w:rPr>
        <w:rFonts w:ascii="Arial" w:hAnsi="Arial" w:hint="default"/>
      </w:rPr>
    </w:lvl>
    <w:lvl w:ilvl="3" w:tplc="0E00939A" w:tentative="1">
      <w:start w:val="1"/>
      <w:numFmt w:val="bullet"/>
      <w:lvlText w:val="•"/>
      <w:lvlJc w:val="left"/>
      <w:pPr>
        <w:tabs>
          <w:tab w:val="num" w:pos="2880"/>
        </w:tabs>
        <w:ind w:left="2880" w:hanging="360"/>
      </w:pPr>
      <w:rPr>
        <w:rFonts w:ascii="Arial" w:hAnsi="Arial" w:hint="default"/>
      </w:rPr>
    </w:lvl>
    <w:lvl w:ilvl="4" w:tplc="F208CD1E" w:tentative="1">
      <w:start w:val="1"/>
      <w:numFmt w:val="bullet"/>
      <w:lvlText w:val="•"/>
      <w:lvlJc w:val="left"/>
      <w:pPr>
        <w:tabs>
          <w:tab w:val="num" w:pos="3600"/>
        </w:tabs>
        <w:ind w:left="3600" w:hanging="360"/>
      </w:pPr>
      <w:rPr>
        <w:rFonts w:ascii="Arial" w:hAnsi="Arial" w:hint="default"/>
      </w:rPr>
    </w:lvl>
    <w:lvl w:ilvl="5" w:tplc="9A4E4188" w:tentative="1">
      <w:start w:val="1"/>
      <w:numFmt w:val="bullet"/>
      <w:lvlText w:val="•"/>
      <w:lvlJc w:val="left"/>
      <w:pPr>
        <w:tabs>
          <w:tab w:val="num" w:pos="4320"/>
        </w:tabs>
        <w:ind w:left="4320" w:hanging="360"/>
      </w:pPr>
      <w:rPr>
        <w:rFonts w:ascii="Arial" w:hAnsi="Arial" w:hint="default"/>
      </w:rPr>
    </w:lvl>
    <w:lvl w:ilvl="6" w:tplc="700270FE" w:tentative="1">
      <w:start w:val="1"/>
      <w:numFmt w:val="bullet"/>
      <w:lvlText w:val="•"/>
      <w:lvlJc w:val="left"/>
      <w:pPr>
        <w:tabs>
          <w:tab w:val="num" w:pos="5040"/>
        </w:tabs>
        <w:ind w:left="5040" w:hanging="360"/>
      </w:pPr>
      <w:rPr>
        <w:rFonts w:ascii="Arial" w:hAnsi="Arial" w:hint="default"/>
      </w:rPr>
    </w:lvl>
    <w:lvl w:ilvl="7" w:tplc="3286B90E" w:tentative="1">
      <w:start w:val="1"/>
      <w:numFmt w:val="bullet"/>
      <w:lvlText w:val="•"/>
      <w:lvlJc w:val="left"/>
      <w:pPr>
        <w:tabs>
          <w:tab w:val="num" w:pos="5760"/>
        </w:tabs>
        <w:ind w:left="5760" w:hanging="360"/>
      </w:pPr>
      <w:rPr>
        <w:rFonts w:ascii="Arial" w:hAnsi="Arial" w:hint="default"/>
      </w:rPr>
    </w:lvl>
    <w:lvl w:ilvl="8" w:tplc="DB90BD14" w:tentative="1">
      <w:start w:val="1"/>
      <w:numFmt w:val="bullet"/>
      <w:lvlText w:val="•"/>
      <w:lvlJc w:val="left"/>
      <w:pPr>
        <w:tabs>
          <w:tab w:val="num" w:pos="6480"/>
        </w:tabs>
        <w:ind w:left="6480" w:hanging="360"/>
      </w:pPr>
      <w:rPr>
        <w:rFonts w:ascii="Arial" w:hAnsi="Arial" w:hint="default"/>
      </w:rPr>
    </w:lvl>
  </w:abstractNum>
  <w:abstractNum w:abstractNumId="9">
    <w:nsid w:val="6662094D"/>
    <w:multiLevelType w:val="hybridMultilevel"/>
    <w:tmpl w:val="ED58E866"/>
    <w:lvl w:ilvl="0" w:tplc="94F6043C">
      <w:numFmt w:val="bullet"/>
      <w:lvlText w:val="-"/>
      <w:lvlJc w:val="left"/>
      <w:pPr>
        <w:tabs>
          <w:tab w:val="num" w:pos="1260"/>
        </w:tabs>
        <w:ind w:left="12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7086262C"/>
    <w:multiLevelType w:val="hybridMultilevel"/>
    <w:tmpl w:val="55702216"/>
    <w:lvl w:ilvl="0" w:tplc="71E0409E">
      <w:start w:val="2010"/>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10"/>
  </w:num>
  <w:num w:numId="6">
    <w:abstractNumId w:val="5"/>
  </w:num>
  <w:num w:numId="7">
    <w:abstractNumId w:val="0"/>
  </w:num>
  <w:num w:numId="8">
    <w:abstractNumId w:val="9"/>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E03F0E"/>
    <w:rsid w:val="00061BD1"/>
    <w:rsid w:val="000847CD"/>
    <w:rsid w:val="000E5117"/>
    <w:rsid w:val="001314F1"/>
    <w:rsid w:val="001462D0"/>
    <w:rsid w:val="0019680E"/>
    <w:rsid w:val="001C657F"/>
    <w:rsid w:val="001E65DB"/>
    <w:rsid w:val="00207593"/>
    <w:rsid w:val="002B3920"/>
    <w:rsid w:val="00310CB2"/>
    <w:rsid w:val="003776D8"/>
    <w:rsid w:val="003C4685"/>
    <w:rsid w:val="004160B5"/>
    <w:rsid w:val="00430DAB"/>
    <w:rsid w:val="0050436D"/>
    <w:rsid w:val="005473B8"/>
    <w:rsid w:val="005A077F"/>
    <w:rsid w:val="006178A5"/>
    <w:rsid w:val="00624B6F"/>
    <w:rsid w:val="0063079D"/>
    <w:rsid w:val="00666B5F"/>
    <w:rsid w:val="006D3939"/>
    <w:rsid w:val="007754B2"/>
    <w:rsid w:val="00794C5F"/>
    <w:rsid w:val="007C0E8D"/>
    <w:rsid w:val="00932B34"/>
    <w:rsid w:val="009766DB"/>
    <w:rsid w:val="009834A4"/>
    <w:rsid w:val="009917A6"/>
    <w:rsid w:val="00A05BF0"/>
    <w:rsid w:val="00A1042B"/>
    <w:rsid w:val="00AB4106"/>
    <w:rsid w:val="00AF6907"/>
    <w:rsid w:val="00B57D8C"/>
    <w:rsid w:val="00B617E1"/>
    <w:rsid w:val="00BA56BE"/>
    <w:rsid w:val="00BC0256"/>
    <w:rsid w:val="00BE1D20"/>
    <w:rsid w:val="00C0668B"/>
    <w:rsid w:val="00C65542"/>
    <w:rsid w:val="00CA3AAD"/>
    <w:rsid w:val="00CA4654"/>
    <w:rsid w:val="00D11E6F"/>
    <w:rsid w:val="00DE0479"/>
    <w:rsid w:val="00DF6E79"/>
    <w:rsid w:val="00E03F0E"/>
    <w:rsid w:val="00E22841"/>
    <w:rsid w:val="00EA1973"/>
    <w:rsid w:val="00F80333"/>
    <w:rsid w:val="00FA526E"/>
    <w:rsid w:val="00FF3F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0E"/>
    <w:pPr>
      <w:spacing w:after="120"/>
      <w:ind w:firstLine="720"/>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BE1D20"/>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BE1D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333"/>
    <w:pPr>
      <w:spacing w:after="320"/>
      <w:ind w:left="720"/>
    </w:pPr>
    <w:rPr>
      <w:szCs w:val="24"/>
      <w:lang w:eastAsia="lv-LV"/>
    </w:rPr>
  </w:style>
  <w:style w:type="paragraph" w:styleId="NoSpacing">
    <w:name w:val="No Spacing"/>
    <w:link w:val="NoSpacingChar"/>
    <w:qFormat/>
    <w:rsid w:val="00F80333"/>
    <w:pPr>
      <w:jc w:val="left"/>
    </w:pPr>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rsid w:val="00F80333"/>
    <w:rPr>
      <w:rFonts w:ascii="Times New Roman" w:eastAsia="Times New Roman" w:hAnsi="Times New Roman" w:cs="Times New Roman"/>
      <w:sz w:val="24"/>
      <w:szCs w:val="24"/>
      <w:lang w:val="en-GB"/>
    </w:rPr>
  </w:style>
  <w:style w:type="character" w:customStyle="1" w:styleId="longtext">
    <w:name w:val="long_text"/>
    <w:basedOn w:val="DefaultParagraphFont"/>
    <w:rsid w:val="00F80333"/>
  </w:style>
  <w:style w:type="paragraph" w:styleId="NormalWeb">
    <w:name w:val="Normal (Web)"/>
    <w:basedOn w:val="Normal"/>
    <w:uiPriority w:val="99"/>
    <w:rsid w:val="00F80333"/>
    <w:pPr>
      <w:spacing w:before="100" w:beforeAutospacing="1" w:after="100" w:afterAutospacing="1"/>
      <w:ind w:firstLine="0"/>
      <w:jc w:val="left"/>
    </w:pPr>
    <w:rPr>
      <w:sz w:val="24"/>
      <w:szCs w:val="24"/>
      <w:lang w:eastAsia="lv-LV"/>
    </w:rPr>
  </w:style>
  <w:style w:type="character" w:customStyle="1" w:styleId="spelle">
    <w:name w:val="spelle"/>
    <w:basedOn w:val="DefaultParagraphFont"/>
    <w:rsid w:val="00F80333"/>
  </w:style>
  <w:style w:type="paragraph" w:styleId="BalloonText">
    <w:name w:val="Balloon Text"/>
    <w:basedOn w:val="Normal"/>
    <w:link w:val="BalloonTextChar"/>
    <w:uiPriority w:val="99"/>
    <w:semiHidden/>
    <w:unhideWhenUsed/>
    <w:rsid w:val="00F803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333"/>
    <w:rPr>
      <w:rFonts w:ascii="Tahoma" w:eastAsia="Times New Roman" w:hAnsi="Tahoma" w:cs="Tahoma"/>
      <w:sz w:val="16"/>
      <w:szCs w:val="16"/>
    </w:rPr>
  </w:style>
  <w:style w:type="paragraph" w:styleId="Header">
    <w:name w:val="header"/>
    <w:basedOn w:val="Normal"/>
    <w:link w:val="HeaderChar"/>
    <w:uiPriority w:val="99"/>
    <w:unhideWhenUsed/>
    <w:rsid w:val="00F80333"/>
    <w:pPr>
      <w:tabs>
        <w:tab w:val="center" w:pos="4153"/>
        <w:tab w:val="right" w:pos="8306"/>
      </w:tabs>
      <w:spacing w:after="0"/>
    </w:pPr>
  </w:style>
  <w:style w:type="character" w:customStyle="1" w:styleId="HeaderChar">
    <w:name w:val="Header Char"/>
    <w:basedOn w:val="DefaultParagraphFont"/>
    <w:link w:val="Header"/>
    <w:uiPriority w:val="99"/>
    <w:rsid w:val="00F80333"/>
    <w:rPr>
      <w:rFonts w:ascii="Times New Roman" w:eastAsia="Times New Roman" w:hAnsi="Times New Roman" w:cs="Times New Roman"/>
      <w:sz w:val="28"/>
      <w:szCs w:val="28"/>
    </w:rPr>
  </w:style>
  <w:style w:type="paragraph" w:styleId="Footer">
    <w:name w:val="footer"/>
    <w:aliases w:val="Char5 Char"/>
    <w:basedOn w:val="Normal"/>
    <w:link w:val="FooterChar"/>
    <w:unhideWhenUsed/>
    <w:rsid w:val="00F80333"/>
    <w:pPr>
      <w:tabs>
        <w:tab w:val="center" w:pos="4153"/>
        <w:tab w:val="right" w:pos="8306"/>
      </w:tabs>
      <w:spacing w:after="0"/>
    </w:pPr>
  </w:style>
  <w:style w:type="character" w:customStyle="1" w:styleId="FooterChar">
    <w:name w:val="Footer Char"/>
    <w:aliases w:val="Char5 Char Char"/>
    <w:basedOn w:val="DefaultParagraphFont"/>
    <w:link w:val="Footer"/>
    <w:rsid w:val="00F80333"/>
    <w:rPr>
      <w:rFonts w:ascii="Times New Roman" w:eastAsia="Times New Roman" w:hAnsi="Times New Roman" w:cs="Times New Roman"/>
      <w:sz w:val="28"/>
      <w:szCs w:val="28"/>
    </w:rPr>
  </w:style>
  <w:style w:type="table" w:styleId="TableGrid">
    <w:name w:val="Table Grid"/>
    <w:basedOn w:val="TableNormal"/>
    <w:uiPriority w:val="59"/>
    <w:rsid w:val="000E5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Normal"/>
    <w:uiPriority w:val="99"/>
    <w:rsid w:val="005A077F"/>
    <w:pPr>
      <w:widowControl w:val="0"/>
      <w:autoSpaceDE w:val="0"/>
      <w:autoSpaceDN w:val="0"/>
      <w:adjustRightInd w:val="0"/>
      <w:spacing w:after="0" w:line="305" w:lineRule="exact"/>
      <w:ind w:firstLine="696"/>
    </w:pPr>
    <w:rPr>
      <w:rFonts w:eastAsiaTheme="minorEastAsia"/>
      <w:sz w:val="24"/>
      <w:szCs w:val="24"/>
      <w:lang w:eastAsia="lv-LV"/>
    </w:rPr>
  </w:style>
  <w:style w:type="character" w:customStyle="1" w:styleId="FontStyle34">
    <w:name w:val="Font Style34"/>
    <w:basedOn w:val="DefaultParagraphFont"/>
    <w:uiPriority w:val="99"/>
    <w:rsid w:val="005A077F"/>
    <w:rPr>
      <w:rFonts w:ascii="Times New Roman" w:hAnsi="Times New Roman" w:cs="Times New Roman"/>
      <w:color w:val="000000"/>
      <w:sz w:val="26"/>
      <w:szCs w:val="26"/>
    </w:rPr>
  </w:style>
  <w:style w:type="character" w:customStyle="1" w:styleId="Heading1Char">
    <w:name w:val="Heading 1 Char"/>
    <w:basedOn w:val="DefaultParagraphFont"/>
    <w:link w:val="Heading1"/>
    <w:uiPriority w:val="9"/>
    <w:rsid w:val="00BE1D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1D20"/>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63079D"/>
    <w:pPr>
      <w:spacing w:line="480" w:lineRule="auto"/>
      <w:ind w:firstLine="0"/>
      <w:jc w:val="left"/>
    </w:pPr>
    <w:rPr>
      <w:sz w:val="24"/>
      <w:szCs w:val="24"/>
      <w:lang w:eastAsia="lv-LV"/>
    </w:rPr>
  </w:style>
  <w:style w:type="character" w:customStyle="1" w:styleId="BodyText2Char">
    <w:name w:val="Body Text 2 Char"/>
    <w:basedOn w:val="DefaultParagraphFont"/>
    <w:link w:val="BodyText2"/>
    <w:rsid w:val="0063079D"/>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63079D"/>
  </w:style>
  <w:style w:type="paragraph" w:styleId="BodyText">
    <w:name w:val="Body Text"/>
    <w:basedOn w:val="Normal"/>
    <w:link w:val="BodyTextChar"/>
    <w:rsid w:val="0063079D"/>
    <w:pPr>
      <w:ind w:firstLine="0"/>
      <w:jc w:val="left"/>
    </w:pPr>
    <w:rPr>
      <w:sz w:val="24"/>
      <w:szCs w:val="24"/>
      <w:lang w:eastAsia="lv-LV"/>
    </w:rPr>
  </w:style>
  <w:style w:type="character" w:customStyle="1" w:styleId="BodyTextChar">
    <w:name w:val="Body Text Char"/>
    <w:basedOn w:val="DefaultParagraphFont"/>
    <w:link w:val="BodyText"/>
    <w:rsid w:val="0063079D"/>
    <w:rPr>
      <w:rFonts w:ascii="Times New Roman" w:eastAsia="Times New Roman" w:hAnsi="Times New Roman" w:cs="Times New Roman"/>
      <w:sz w:val="24"/>
      <w:szCs w:val="24"/>
      <w:lang w:eastAsia="lv-LV"/>
    </w:rPr>
  </w:style>
  <w:style w:type="paragraph" w:customStyle="1" w:styleId="NormalTableBullet">
    <w:name w:val="Normal Table Bullet"/>
    <w:basedOn w:val="Normal"/>
    <w:rsid w:val="0063079D"/>
    <w:pPr>
      <w:numPr>
        <w:numId w:val="6"/>
      </w:numPr>
      <w:spacing w:after="0"/>
      <w:jc w:val="left"/>
    </w:pPr>
    <w:rPr>
      <w:rFonts w:eastAsia="Calibri"/>
      <w:sz w:val="24"/>
      <w:szCs w:val="24"/>
      <w:lang w:val="en-GB"/>
    </w:rPr>
  </w:style>
  <w:style w:type="character" w:styleId="Hyperlink">
    <w:name w:val="Hyperlink"/>
    <w:basedOn w:val="DefaultParagraphFont"/>
    <w:rsid w:val="0063079D"/>
    <w:rPr>
      <w:strike w:val="0"/>
      <w:dstrike w:val="0"/>
      <w:color w:val="40407C"/>
      <w:u w:val="none"/>
      <w:effect w:val="none"/>
    </w:rPr>
  </w:style>
</w:styles>
</file>

<file path=word/webSettings.xml><?xml version="1.0" encoding="utf-8"?>
<w:webSettings xmlns:r="http://schemas.openxmlformats.org/officeDocument/2006/relationships" xmlns:w="http://schemas.openxmlformats.org/wordprocessingml/2006/main">
  <w:divs>
    <w:div w:id="1552958144">
      <w:bodyDiv w:val="1"/>
      <w:marLeft w:val="0"/>
      <w:marRight w:val="0"/>
      <w:marTop w:val="0"/>
      <w:marBottom w:val="0"/>
      <w:divBdr>
        <w:top w:val="none" w:sz="0" w:space="0" w:color="auto"/>
        <w:left w:val="none" w:sz="0" w:space="0" w:color="auto"/>
        <w:bottom w:val="none" w:sz="0" w:space="0" w:color="auto"/>
        <w:right w:val="none" w:sz="0" w:space="0" w:color="auto"/>
      </w:divBdr>
      <w:divsChild>
        <w:div w:id="103961244">
          <w:marLeft w:val="0"/>
          <w:marRight w:val="0"/>
          <w:marTop w:val="0"/>
          <w:marBottom w:val="0"/>
          <w:divBdr>
            <w:top w:val="none" w:sz="0" w:space="0" w:color="auto"/>
            <w:left w:val="none" w:sz="0" w:space="0" w:color="auto"/>
            <w:bottom w:val="none" w:sz="0" w:space="0" w:color="auto"/>
            <w:right w:val="none" w:sz="0" w:space="0" w:color="auto"/>
          </w:divBdr>
          <w:divsChild>
            <w:div w:id="1390542961">
              <w:marLeft w:val="0"/>
              <w:marRight w:val="0"/>
              <w:marTop w:val="161"/>
              <w:marBottom w:val="0"/>
              <w:divBdr>
                <w:top w:val="none" w:sz="0" w:space="0" w:color="auto"/>
                <w:left w:val="none" w:sz="0" w:space="0" w:color="auto"/>
                <w:bottom w:val="none" w:sz="0" w:space="0" w:color="auto"/>
                <w:right w:val="none" w:sz="0" w:space="0" w:color="auto"/>
              </w:divBdr>
              <w:divsChild>
                <w:div w:id="1280648734">
                  <w:marLeft w:val="215"/>
                  <w:marRight w:val="215"/>
                  <w:marTop w:val="0"/>
                  <w:marBottom w:val="0"/>
                  <w:divBdr>
                    <w:top w:val="none" w:sz="0" w:space="0" w:color="auto"/>
                    <w:left w:val="none" w:sz="0" w:space="0" w:color="auto"/>
                    <w:bottom w:val="none" w:sz="0" w:space="0" w:color="auto"/>
                    <w:right w:val="none" w:sz="0" w:space="0" w:color="auto"/>
                  </w:divBdr>
                  <w:divsChild>
                    <w:div w:id="20343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likumi.lv/doc.php?id=18874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esfondi.izm.gov.lv/1208.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27</Pages>
  <Words>40471</Words>
  <Characters>23070</Characters>
  <Application>Microsoft Office Word</Application>
  <DocSecurity>0</DocSecurity>
  <Lines>192</Lines>
  <Paragraphs>126</Paragraphs>
  <ScaleCrop>false</ScaleCrop>
  <HeadingPairs>
    <vt:vector size="2" baseType="variant">
      <vt:variant>
        <vt:lpstr>Title</vt:lpstr>
      </vt:variant>
      <vt:variant>
        <vt:i4>1</vt:i4>
      </vt:variant>
    </vt:vector>
  </HeadingPairs>
  <TitlesOfParts>
    <vt:vector size="1" baseType="lpstr">
      <vt:lpstr>Informatīvais ziņojums par izglītības efektivitātes un kvalitātes paaugstināšanu vispārējā, profesionālajā un augstākajā izglītībā</vt:lpstr>
    </vt:vector>
  </TitlesOfParts>
  <Manager>Inita Juhņeviča</Manager>
  <Company>IZM</Company>
  <LinksUpToDate>false</LinksUpToDate>
  <CharactersWithSpaces>63415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izglītības efektivitātes un kvalitātes paaugstināšanu vispārējā, profesionālajā un augstākajā izglītībā</dc:title>
  <dc:subject>informatīvais ziņojums</dc:subject>
  <dc:creator>E.Grīnis</dc:creator>
  <cp:keywords/>
  <dc:description>E.Grīnis_x000d_
67047910,_x000d_
edgars.grinis@izm.gov.lv</dc:description>
  <cp:lastModifiedBy>egrinis</cp:lastModifiedBy>
  <cp:revision>8</cp:revision>
  <dcterms:created xsi:type="dcterms:W3CDTF">2011-03-25T10:46:00Z</dcterms:created>
  <dcterms:modified xsi:type="dcterms:W3CDTF">2011-03-28T07:17:00Z</dcterms:modified>
</cp:coreProperties>
</file>