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49" w:rsidRPr="007449B0" w:rsidRDefault="00654E31" w:rsidP="00654E31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7449B0">
        <w:rPr>
          <w:b/>
        </w:rPr>
        <w:t>Ministru kabineta rīkojuma</w:t>
      </w:r>
      <w:r w:rsidR="00852042" w:rsidRPr="007449B0">
        <w:rPr>
          <w:b/>
        </w:rPr>
        <w:t xml:space="preserve"> projekta </w:t>
      </w:r>
      <w:r w:rsidRPr="007449B0">
        <w:rPr>
          <w:b/>
        </w:rPr>
        <w:t>„</w:t>
      </w:r>
      <w:r w:rsidRPr="007449B0">
        <w:rPr>
          <w:b/>
          <w:bCs/>
        </w:rPr>
        <w:t xml:space="preserve">Par Latvijas Universitātes aģentūras - zinātniskā institūta „Latvijas Universitātes Cietvielu fizikas institūts” pārveidi” </w:t>
      </w:r>
      <w:r w:rsidR="00852042" w:rsidRPr="007449B0">
        <w:rPr>
          <w:b/>
        </w:rPr>
        <w:t>sākotnējā</w:t>
      </w:r>
      <w:r w:rsidR="002D3306" w:rsidRPr="007449B0">
        <w:rPr>
          <w:b/>
        </w:rPr>
        <w:t>s</w:t>
      </w:r>
      <w:r w:rsidR="00852042" w:rsidRPr="007449B0">
        <w:rPr>
          <w:b/>
        </w:rPr>
        <w:t xml:space="preserve">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852042" w:rsidRPr="007449B0">
          <w:rPr>
            <w:b/>
          </w:rPr>
          <w:t>ziņojums</w:t>
        </w:r>
      </w:smartTag>
      <w:r w:rsidR="00852042" w:rsidRPr="007449B0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4315"/>
        <w:gridCol w:w="4860"/>
      </w:tblGrid>
      <w:tr w:rsidR="00852042" w:rsidRPr="007449B0" w:rsidTr="00654E31">
        <w:trPr>
          <w:trHeight w:val="56"/>
        </w:trPr>
        <w:tc>
          <w:tcPr>
            <w:tcW w:w="9725" w:type="dxa"/>
            <w:gridSpan w:val="3"/>
            <w:vAlign w:val="center"/>
          </w:tcPr>
          <w:p w:rsidR="00852042" w:rsidRPr="007449B0" w:rsidRDefault="00852042" w:rsidP="006C4607">
            <w:pPr>
              <w:pStyle w:val="naisnod"/>
              <w:spacing w:before="0" w:after="0"/>
            </w:pPr>
            <w:r w:rsidRPr="007449B0">
              <w:t>I</w:t>
            </w:r>
            <w:r w:rsidR="000941C5" w:rsidRPr="007449B0">
              <w:t>.</w:t>
            </w:r>
            <w:r w:rsidRPr="007449B0">
              <w:t xml:space="preserve"> Tiesību akta </w:t>
            </w:r>
            <w:r w:rsidR="002E3FF4" w:rsidRPr="007449B0">
              <w:t xml:space="preserve">projekta </w:t>
            </w:r>
            <w:r w:rsidRPr="007449B0">
              <w:t>izstrādes nepieciešamība</w:t>
            </w:r>
          </w:p>
        </w:tc>
      </w:tr>
      <w:tr w:rsidR="00262E2B" w:rsidRPr="007449B0">
        <w:trPr>
          <w:trHeight w:val="630"/>
        </w:trPr>
        <w:tc>
          <w:tcPr>
            <w:tcW w:w="550" w:type="dxa"/>
          </w:tcPr>
          <w:p w:rsidR="00262E2B" w:rsidRPr="007449B0" w:rsidRDefault="00262E2B" w:rsidP="006C4607">
            <w:pPr>
              <w:pStyle w:val="naiskr"/>
              <w:spacing w:before="0" w:after="0"/>
            </w:pPr>
            <w:r w:rsidRPr="007449B0">
              <w:t>1.</w:t>
            </w:r>
          </w:p>
        </w:tc>
        <w:tc>
          <w:tcPr>
            <w:tcW w:w="4315" w:type="dxa"/>
          </w:tcPr>
          <w:p w:rsidR="00262E2B" w:rsidRPr="007449B0" w:rsidRDefault="002D7F54" w:rsidP="006C4607">
            <w:pPr>
              <w:pStyle w:val="naiskr"/>
              <w:spacing w:before="0" w:after="0"/>
              <w:ind w:hanging="10"/>
            </w:pPr>
            <w:r w:rsidRPr="007449B0">
              <w:t>Pamatojums</w:t>
            </w:r>
          </w:p>
        </w:tc>
        <w:tc>
          <w:tcPr>
            <w:tcW w:w="4860" w:type="dxa"/>
          </w:tcPr>
          <w:p w:rsidR="00654E31" w:rsidRDefault="00654E31" w:rsidP="00B44E2B">
            <w:pPr>
              <w:pStyle w:val="naiskr"/>
              <w:spacing w:before="0" w:after="0"/>
              <w:ind w:hanging="5"/>
              <w:jc w:val="both"/>
            </w:pPr>
            <w:r w:rsidRPr="007449B0">
              <w:t>Ministru kabineta rīkojuma projekta „</w:t>
            </w:r>
            <w:r w:rsidRPr="007449B0">
              <w:rPr>
                <w:bCs/>
              </w:rPr>
              <w:t>Par Latvijas Universitātes aģentūras - zinātniskā institūta „Latvijas Universitātes Cietvielu fizikas institūts” pārveidi” (turpmāk – rīkojums) sagatavots</w:t>
            </w:r>
            <w:r w:rsidRPr="007449B0">
              <w:rPr>
                <w:b/>
                <w:bCs/>
              </w:rPr>
              <w:t xml:space="preserve"> </w:t>
            </w:r>
            <w:r w:rsidRPr="007449B0">
              <w:t xml:space="preserve">pamatojoties </w:t>
            </w:r>
            <w:r w:rsidR="00883806" w:rsidRPr="007449B0">
              <w:t xml:space="preserve">uz  </w:t>
            </w:r>
            <w:r w:rsidRPr="007449B0">
              <w:t>Zinātniskās darbības likuma (turpmāk – Likums) p</w:t>
            </w:r>
            <w:r w:rsidR="00503A83" w:rsidRPr="007449B0">
              <w:t>ārejas noteikumu 19.</w:t>
            </w:r>
            <w:r w:rsidRPr="007449B0">
              <w:t xml:space="preserve"> punktu</w:t>
            </w:r>
            <w:r w:rsidR="00503A83" w:rsidRPr="007449B0">
              <w:t xml:space="preserve">, kurā noteikts, ka lēmumu par valsts dibinātas universitātes zinātniskā institūta pārveidošanu par valsts dibinātas universitātes zinātnisko institūtu- atvasinātu publisko personu – apstiprina Ministru kabinets, vadoties pēc valsts dibinātas universitātes senāta ieteikuma, un </w:t>
            </w:r>
            <w:r w:rsidRPr="007449B0">
              <w:t>L</w:t>
            </w:r>
            <w:r w:rsidR="00883806" w:rsidRPr="007449B0">
              <w:t>ikuma 21.</w:t>
            </w:r>
            <w:r w:rsidR="00883806" w:rsidRPr="007449B0">
              <w:rPr>
                <w:vertAlign w:val="superscript"/>
              </w:rPr>
              <w:t>5</w:t>
            </w:r>
            <w:r w:rsidR="00503A83" w:rsidRPr="007449B0">
              <w:t xml:space="preserve"> panta </w:t>
            </w:r>
            <w:r w:rsidRPr="007449B0">
              <w:t xml:space="preserve">pirmo </w:t>
            </w:r>
            <w:r w:rsidR="00503A83" w:rsidRPr="007449B0">
              <w:t xml:space="preserve">daļu, kurā noteikts, ka lēmumu par </w:t>
            </w:r>
            <w:r w:rsidR="007831A1" w:rsidRPr="007449B0">
              <w:t>valsts dibinātas universitātes zinātniskā institūta- atvasinātas publiskas personas</w:t>
            </w:r>
            <w:r w:rsidR="00503A83" w:rsidRPr="007449B0">
              <w:t xml:space="preserve"> </w:t>
            </w:r>
            <w:r w:rsidR="007831A1" w:rsidRPr="007449B0">
              <w:t>– dibināšanu vai likvidēšanu pieņem š</w:t>
            </w:r>
            <w:r w:rsidRPr="007449B0">
              <w:t>īs universitātes senāts.</w:t>
            </w:r>
            <w:r w:rsidR="00503A83" w:rsidRPr="007449B0">
              <w:t xml:space="preserve"> </w:t>
            </w:r>
          </w:p>
          <w:p w:rsidR="00262E2B" w:rsidRPr="007449B0" w:rsidRDefault="00654E31" w:rsidP="00024A53">
            <w:pPr>
              <w:pStyle w:val="naiskr"/>
              <w:spacing w:before="0" w:after="0"/>
              <w:ind w:hanging="5"/>
              <w:jc w:val="both"/>
            </w:pPr>
            <w:r w:rsidRPr="007449B0">
              <w:t xml:space="preserve">Ar </w:t>
            </w:r>
            <w:r w:rsidR="00024A53">
              <w:t>Latvijas Universitātes</w:t>
            </w:r>
            <w:r w:rsidR="00883806" w:rsidRPr="007449B0">
              <w:t xml:space="preserve"> 2013.gada 20.maija Senāta lēmum</w:t>
            </w:r>
            <w:r w:rsidR="005824A3" w:rsidRPr="007449B0">
              <w:t>u Nr.323 „Par LU aģentūras – zinātniskā institūta „LU Cietvielu fizikas institūts” statusa maiņu” (turpmāk –</w:t>
            </w:r>
            <w:r w:rsidR="00024A53">
              <w:t xml:space="preserve"> LU</w:t>
            </w:r>
            <w:r w:rsidR="005824A3" w:rsidRPr="007449B0">
              <w:t xml:space="preserve"> lēmums) atbalsta </w:t>
            </w:r>
            <w:r w:rsidR="00024A53">
              <w:t xml:space="preserve"> Latvijas U</w:t>
            </w:r>
            <w:r w:rsidR="005824A3" w:rsidRPr="007449B0">
              <w:t xml:space="preserve">niversitātes aģentūras – zinātniskā institūta „Latvijas Universitātes Cietvielu fizikas institūts”” (turpmāk – aģentūra) reorganizāciju par </w:t>
            </w:r>
            <w:r w:rsidR="00024A53">
              <w:t>Latvijas U</w:t>
            </w:r>
            <w:r w:rsidR="005824A3" w:rsidRPr="007449B0">
              <w:t xml:space="preserve">niversitātes atvasinātu </w:t>
            </w:r>
            <w:r w:rsidR="00883806" w:rsidRPr="007449B0">
              <w:t>publisk</w:t>
            </w:r>
            <w:r w:rsidR="006E2934">
              <w:t>u</w:t>
            </w:r>
            <w:r w:rsidR="00883806" w:rsidRPr="007449B0">
              <w:t xml:space="preserve"> personu „</w:t>
            </w:r>
            <w:r w:rsidR="00B44E2B" w:rsidRPr="007449B0">
              <w:t xml:space="preserve">Latvijas Universitātes </w:t>
            </w:r>
            <w:r w:rsidR="00883806" w:rsidRPr="007449B0">
              <w:t>Cietvielu fizikas institūts”</w:t>
            </w:r>
            <w:r w:rsidR="00064B84" w:rsidRPr="007449B0">
              <w:t xml:space="preserve"> (turpmāk – institūts)</w:t>
            </w:r>
            <w:r w:rsidR="00883806" w:rsidRPr="007449B0">
              <w:t>.</w:t>
            </w:r>
            <w:r w:rsidR="005824A3" w:rsidRPr="007449B0">
              <w:t xml:space="preserve"> </w:t>
            </w:r>
            <w:r w:rsidR="00024A53">
              <w:t xml:space="preserve">LU </w:t>
            </w:r>
            <w:r w:rsidR="005824A3" w:rsidRPr="007449B0">
              <w:t>Lēmums ir anotā</w:t>
            </w:r>
            <w:r w:rsidR="00024A53">
              <w:t>cijas pielikums (datne:IZManotp_26</w:t>
            </w:r>
            <w:r w:rsidR="005824A3" w:rsidRPr="007449B0">
              <w:t>0713_LUlemums)</w:t>
            </w:r>
          </w:p>
        </w:tc>
      </w:tr>
      <w:tr w:rsidR="00262E2B" w:rsidRPr="007449B0">
        <w:trPr>
          <w:trHeight w:val="472"/>
        </w:trPr>
        <w:tc>
          <w:tcPr>
            <w:tcW w:w="550" w:type="dxa"/>
          </w:tcPr>
          <w:p w:rsidR="00262E2B" w:rsidRPr="007449B0" w:rsidRDefault="00262E2B" w:rsidP="006C4607">
            <w:pPr>
              <w:pStyle w:val="naiskr"/>
              <w:spacing w:before="0" w:after="0"/>
            </w:pPr>
            <w:r w:rsidRPr="007449B0">
              <w:t>2.</w:t>
            </w:r>
          </w:p>
        </w:tc>
        <w:tc>
          <w:tcPr>
            <w:tcW w:w="4315" w:type="dxa"/>
          </w:tcPr>
          <w:p w:rsidR="00262E2B" w:rsidRPr="007449B0" w:rsidRDefault="00262E2B" w:rsidP="006C4607">
            <w:pPr>
              <w:pStyle w:val="naiskr"/>
              <w:tabs>
                <w:tab w:val="left" w:pos="170"/>
              </w:tabs>
              <w:spacing w:before="0" w:after="0"/>
            </w:pPr>
            <w:r w:rsidRPr="007449B0">
              <w:t>Pašreizējā situācija</w:t>
            </w:r>
            <w:r w:rsidR="001F5CD6" w:rsidRPr="007449B0">
              <w:t xml:space="preserve"> un problēmas</w:t>
            </w:r>
          </w:p>
        </w:tc>
        <w:tc>
          <w:tcPr>
            <w:tcW w:w="4860" w:type="dxa"/>
          </w:tcPr>
          <w:p w:rsidR="00D83DC2" w:rsidRPr="007449B0" w:rsidRDefault="00024A53" w:rsidP="00D83DC2">
            <w:pPr>
              <w:pStyle w:val="naiskr"/>
              <w:jc w:val="both"/>
            </w:pPr>
            <w:r>
              <w:t xml:space="preserve">Latvijas </w:t>
            </w:r>
            <w:r w:rsidR="00ED0692" w:rsidRPr="007449B0">
              <w:t xml:space="preserve">Universitātes </w:t>
            </w:r>
            <w:r w:rsidR="005824A3" w:rsidRPr="007449B0">
              <w:t>Cietvielu fizikas institūts i</w:t>
            </w:r>
            <w:r w:rsidR="00ED0692" w:rsidRPr="007449B0">
              <w:t xml:space="preserve">r dibināts 1978.gadā. </w:t>
            </w:r>
            <w:r w:rsidR="005824A3" w:rsidRPr="007449B0">
              <w:t xml:space="preserve">No 1986.gada Institūts ir juridiski patstāvīga iestāde (bezpeļņas </w:t>
            </w:r>
            <w:r w:rsidR="00ED0692" w:rsidRPr="007449B0">
              <w:t xml:space="preserve">organizācija) pie </w:t>
            </w:r>
            <w:r w:rsidR="006E2934">
              <w:t>u</w:t>
            </w:r>
            <w:r w:rsidR="00ED0692" w:rsidRPr="007449B0">
              <w:t>niversitātes</w:t>
            </w:r>
            <w:r w:rsidR="005824A3" w:rsidRPr="007449B0">
              <w:t xml:space="preserve">. No 2006.gada 12.aprīļa </w:t>
            </w:r>
            <w:r>
              <w:t>Latvijas U</w:t>
            </w:r>
            <w:r w:rsidR="00ED0692" w:rsidRPr="007449B0">
              <w:t xml:space="preserve">niversitātes </w:t>
            </w:r>
            <w:r w:rsidR="005824A3" w:rsidRPr="007449B0">
              <w:t xml:space="preserve">Cietvielu fizikas institūts tika pārveidots par </w:t>
            </w:r>
            <w:r>
              <w:t>Latvijas Universitātes aģentūru „</w:t>
            </w:r>
            <w:r w:rsidR="005824A3" w:rsidRPr="007449B0">
              <w:t xml:space="preserve"> </w:t>
            </w:r>
            <w:r>
              <w:t>Latvijas U</w:t>
            </w:r>
            <w:r w:rsidRPr="007449B0">
              <w:t xml:space="preserve">niversitātes </w:t>
            </w:r>
            <w:r w:rsidR="005824A3" w:rsidRPr="007449B0">
              <w:t xml:space="preserve">Cietvielu fizikas institūts”. </w:t>
            </w:r>
            <w:r>
              <w:t xml:space="preserve">Latvijas </w:t>
            </w:r>
            <w:r w:rsidR="00ED0692" w:rsidRPr="007449B0">
              <w:t xml:space="preserve">Universitātes </w:t>
            </w:r>
            <w:r w:rsidR="005824A3" w:rsidRPr="007449B0">
              <w:t xml:space="preserve">Cietvielu fizikas institūts </w:t>
            </w:r>
            <w:r>
              <w:t>ir Latvijas U</w:t>
            </w:r>
            <w:r w:rsidR="00ED0692" w:rsidRPr="007449B0">
              <w:t xml:space="preserve">niversitātes </w:t>
            </w:r>
            <w:r w:rsidR="005824A3" w:rsidRPr="007449B0">
              <w:t>pārraudzībā</w:t>
            </w:r>
            <w:r>
              <w:t xml:space="preserve"> esoša pastarpināta pārvaldes iestāde un darbojas saskaņā ar Zinātniskās darbības</w:t>
            </w:r>
            <w:r w:rsidR="005824A3" w:rsidRPr="007449B0">
              <w:t xml:space="preserve"> likumu un Publisko aģentūru likumu. </w:t>
            </w:r>
            <w:r>
              <w:t xml:space="preserve">Latvijas </w:t>
            </w:r>
            <w:r w:rsidR="00ED0692" w:rsidRPr="007449B0">
              <w:t xml:space="preserve">Universitātes </w:t>
            </w:r>
            <w:r w:rsidR="005824A3" w:rsidRPr="007449B0">
              <w:t xml:space="preserve">aģentūra „Latvijas Universitātes Cietvielu fizikas </w:t>
            </w:r>
            <w:r w:rsidR="00ED0692" w:rsidRPr="007449B0">
              <w:t xml:space="preserve">institūts” ir reģistrēta 08.06.2006. Latvijas Zinātnisko institūciju reģistrā (apliecības Nr. </w:t>
            </w:r>
            <w:r w:rsidR="00ED0692" w:rsidRPr="007449B0">
              <w:lastRenderedPageBreak/>
              <w:t>351016).</w:t>
            </w:r>
          </w:p>
          <w:p w:rsidR="00262E2B" w:rsidRPr="007449B0" w:rsidRDefault="00B44E2B" w:rsidP="00024A53">
            <w:pPr>
              <w:pStyle w:val="naiskr"/>
              <w:jc w:val="both"/>
            </w:pPr>
            <w:r w:rsidRPr="007449B0">
              <w:t xml:space="preserve">Rīkojums ir nepieciešams, lai uzlabotu </w:t>
            </w:r>
            <w:r w:rsidR="00024A53">
              <w:t>Latvijas  U</w:t>
            </w:r>
            <w:r w:rsidRPr="007449B0">
              <w:t>niversitātes</w:t>
            </w:r>
            <w:r w:rsidR="00024A53" w:rsidRPr="007449B0">
              <w:t xml:space="preserve"> Cietvielu fizikas institūts </w:t>
            </w:r>
            <w:r w:rsidRPr="007449B0">
              <w:t xml:space="preserve"> juridisko patstāvību, veicinātu tā zinātniskās darbības attīstību, atvieglotu zinātniskā institūta pārvaldi un finanšu līdzekļu piesaisti. Šobrīd</w:t>
            </w:r>
            <w:r w:rsidR="00D83DC2" w:rsidRPr="007449B0">
              <w:t xml:space="preserve"> aģentūrai nav juridiskās personas status</w:t>
            </w:r>
            <w:r w:rsidR="006E2934">
              <w:t>a</w:t>
            </w:r>
            <w:r w:rsidR="00D83DC2" w:rsidRPr="007449B0">
              <w:t xml:space="preserve">, kas </w:t>
            </w:r>
            <w:r w:rsidRPr="007449B0">
              <w:t xml:space="preserve">ierobežo </w:t>
            </w:r>
            <w:r w:rsidR="00D83DC2" w:rsidRPr="007449B0">
              <w:t xml:space="preserve">tās </w:t>
            </w:r>
            <w:r w:rsidRPr="007449B0">
              <w:t xml:space="preserve">konkurētspēju dažādu starptautisku un Latvijas projektu, valsts programmu un līgumattiecību īstenošanā un uzņemto saistību izpildei nepieciešamo finanšu līdzekļu piesaistē. Piemēram, Eiropas Sociālo fondu projektu noteikumi nosaka projektā iesaistīto izpildītāju daļēju </w:t>
            </w:r>
            <w:proofErr w:type="spellStart"/>
            <w:r w:rsidRPr="007449B0">
              <w:t>priekšfinansējumu</w:t>
            </w:r>
            <w:proofErr w:type="spellEnd"/>
            <w:r w:rsidRPr="007449B0">
              <w:t xml:space="preserve"> projekta izpildei, kuru </w:t>
            </w:r>
            <w:r w:rsidR="00D83DC2" w:rsidRPr="007449B0">
              <w:t>aģentūra</w:t>
            </w:r>
            <w:r w:rsidRPr="007449B0">
              <w:t xml:space="preserve"> patstāvīgi nespēj nodrošināt sava statusa dēļ (esot pastarpināta pārvaldes iestāde). Projektu īstenošanai nepieciešamo </w:t>
            </w:r>
            <w:proofErr w:type="spellStart"/>
            <w:r w:rsidRPr="007449B0">
              <w:t>priekšfinansējumu</w:t>
            </w:r>
            <w:proofErr w:type="spellEnd"/>
            <w:r w:rsidRPr="007449B0">
              <w:t xml:space="preserve"> varētu iegūt ņemot aizņēmumu Valsts kasē, ko šobrīd nav iespējams izdarīt normatīvā regulējuma un aģentūras statusa dēļ. Tāpat </w:t>
            </w:r>
            <w:r w:rsidR="00D83DC2" w:rsidRPr="007449B0">
              <w:t>aģentūrai kā pastarpinātai pārvaldes iestādei</w:t>
            </w:r>
            <w:r w:rsidRPr="007449B0">
              <w:t xml:space="preserve"> pastāv arī citi ierobežojumi, piemēram, tās nav tiesīgas dibināt kapitālsabiedrības, būt par dibinātāju biedrībās un nodibinājumos, nav tiesīgas galvot par saistībām un ņemt aizņēmumus. </w:t>
            </w:r>
            <w:r w:rsidR="00D83DC2" w:rsidRPr="007449B0">
              <w:t xml:space="preserve">Pārveidojot </w:t>
            </w:r>
            <w:r w:rsidR="00064B84" w:rsidRPr="007449B0">
              <w:t>aģentūru par atvasināt</w:t>
            </w:r>
            <w:r w:rsidR="00D83DC2" w:rsidRPr="007449B0">
              <w:t>u publisk</w:t>
            </w:r>
            <w:r w:rsidR="006E2934">
              <w:t>u</w:t>
            </w:r>
            <w:r w:rsidR="00D83DC2" w:rsidRPr="007449B0">
              <w:t xml:space="preserve"> personu minētās</w:t>
            </w:r>
            <w:r w:rsidR="00064B84" w:rsidRPr="007449B0">
              <w:t xml:space="preserve"> problēma</w:t>
            </w:r>
            <w:r w:rsidR="00D83DC2" w:rsidRPr="007449B0">
              <w:t>s</w:t>
            </w:r>
            <w:r w:rsidR="00064B84" w:rsidRPr="007449B0">
              <w:t xml:space="preserve"> tiks atrisināta</w:t>
            </w:r>
            <w:r w:rsidR="00D83DC2" w:rsidRPr="007449B0">
              <w:t>s</w:t>
            </w:r>
            <w:r w:rsidR="00064B84" w:rsidRPr="007449B0">
              <w:t>,</w:t>
            </w:r>
            <w:r w:rsidR="00D83DC2" w:rsidRPr="007449B0">
              <w:t xml:space="preserve"> t.sk.,</w:t>
            </w:r>
            <w:r w:rsidR="00064B84" w:rsidRPr="007449B0">
              <w:t xml:space="preserve"> institūts va</w:t>
            </w:r>
            <w:r w:rsidR="00C54B8B" w:rsidRPr="007449B0">
              <w:t>rēs saņemt tā darbības nodrošinā</w:t>
            </w:r>
            <w:r w:rsidR="00DB26A7" w:rsidRPr="007449B0">
              <w:t xml:space="preserve">šanai nepieciešamos aizdevumus. </w:t>
            </w:r>
            <w:r w:rsidR="00C54B8B" w:rsidRPr="007449B0">
              <w:t xml:space="preserve"> </w:t>
            </w:r>
          </w:p>
        </w:tc>
      </w:tr>
      <w:tr w:rsidR="00262E2B" w:rsidRPr="007449B0" w:rsidTr="00024A53">
        <w:trPr>
          <w:trHeight w:val="542"/>
        </w:trPr>
        <w:tc>
          <w:tcPr>
            <w:tcW w:w="550" w:type="dxa"/>
          </w:tcPr>
          <w:p w:rsidR="00262E2B" w:rsidRPr="007449B0" w:rsidRDefault="00262E2B" w:rsidP="006C4607">
            <w:pPr>
              <w:pStyle w:val="naiskr"/>
              <w:spacing w:before="0" w:after="0"/>
            </w:pPr>
            <w:r w:rsidRPr="007449B0">
              <w:lastRenderedPageBreak/>
              <w:t>3.</w:t>
            </w:r>
          </w:p>
        </w:tc>
        <w:tc>
          <w:tcPr>
            <w:tcW w:w="4315" w:type="dxa"/>
          </w:tcPr>
          <w:p w:rsidR="00262E2B" w:rsidRPr="007449B0" w:rsidRDefault="00420870" w:rsidP="006C4607">
            <w:pPr>
              <w:pStyle w:val="naiskr"/>
              <w:spacing w:before="0" w:after="0"/>
            </w:pPr>
            <w:r w:rsidRPr="007449B0">
              <w:t>S</w:t>
            </w:r>
            <w:r w:rsidR="000B69CF" w:rsidRPr="007449B0">
              <w:t xml:space="preserve">aistītie </w:t>
            </w:r>
            <w:r w:rsidR="001A6AE4" w:rsidRPr="007449B0">
              <w:t>politikas ietekmes novērtējumi</w:t>
            </w:r>
            <w:r w:rsidR="00CB0247" w:rsidRPr="007449B0">
              <w:t xml:space="preserve"> un</w:t>
            </w:r>
            <w:r w:rsidR="001A6AE4" w:rsidRPr="007449B0">
              <w:t xml:space="preserve"> </w:t>
            </w:r>
            <w:r w:rsidR="000B69CF" w:rsidRPr="007449B0">
              <w:t>pētījumi</w:t>
            </w:r>
          </w:p>
        </w:tc>
        <w:tc>
          <w:tcPr>
            <w:tcW w:w="4860" w:type="dxa"/>
          </w:tcPr>
          <w:p w:rsidR="00D20FF4" w:rsidRPr="007449B0" w:rsidRDefault="00FD10E5" w:rsidP="007449B0">
            <w:pPr>
              <w:pStyle w:val="FootnoteText"/>
              <w:rPr>
                <w:sz w:val="24"/>
                <w:szCs w:val="24"/>
              </w:rPr>
            </w:pPr>
            <w:r w:rsidRPr="00024A53">
              <w:rPr>
                <w:sz w:val="24"/>
                <w:szCs w:val="24"/>
              </w:rPr>
              <w:t>Projekts šo jomu neskar</w:t>
            </w:r>
            <w:r w:rsidR="00024A53">
              <w:rPr>
                <w:sz w:val="24"/>
                <w:szCs w:val="24"/>
              </w:rPr>
              <w:t>.</w:t>
            </w:r>
          </w:p>
        </w:tc>
      </w:tr>
      <w:tr w:rsidR="00262E2B" w:rsidRPr="007449B0">
        <w:trPr>
          <w:trHeight w:val="384"/>
        </w:trPr>
        <w:tc>
          <w:tcPr>
            <w:tcW w:w="550" w:type="dxa"/>
          </w:tcPr>
          <w:p w:rsidR="00262E2B" w:rsidRPr="007449B0" w:rsidRDefault="00262E2B" w:rsidP="006C4607">
            <w:pPr>
              <w:pStyle w:val="naiskr"/>
              <w:spacing w:before="0" w:after="0"/>
            </w:pPr>
            <w:r w:rsidRPr="007449B0">
              <w:t>4.</w:t>
            </w:r>
          </w:p>
        </w:tc>
        <w:tc>
          <w:tcPr>
            <w:tcW w:w="4315" w:type="dxa"/>
          </w:tcPr>
          <w:p w:rsidR="00262E2B" w:rsidRPr="007449B0" w:rsidRDefault="000C790C" w:rsidP="006C4607">
            <w:pPr>
              <w:pStyle w:val="naiskr"/>
              <w:spacing w:before="0" w:after="0"/>
            </w:pPr>
            <w:r w:rsidRPr="007449B0">
              <w:t>Tiesiskā r</w:t>
            </w:r>
            <w:r w:rsidR="00400032" w:rsidRPr="007449B0">
              <w:t xml:space="preserve">egulējuma </w:t>
            </w:r>
            <w:r w:rsidR="00262E2B" w:rsidRPr="007449B0">
              <w:t>mērķis un būtība</w:t>
            </w:r>
          </w:p>
        </w:tc>
        <w:tc>
          <w:tcPr>
            <w:tcW w:w="4860" w:type="dxa"/>
          </w:tcPr>
          <w:p w:rsidR="00024A53" w:rsidRPr="0054482C" w:rsidRDefault="00024A53" w:rsidP="00024A53">
            <w:pPr>
              <w:pStyle w:val="naiskr"/>
              <w:spacing w:before="0" w:after="0"/>
              <w:jc w:val="both"/>
            </w:pPr>
            <w:r w:rsidRPr="0054482C">
              <w:t xml:space="preserve">Rīkojuma mērķis ir pārveidot aģentūru par </w:t>
            </w:r>
            <w:r>
              <w:t>Latvijas U</w:t>
            </w:r>
            <w:r w:rsidRPr="0054482C">
              <w:t xml:space="preserve">niversitātes </w:t>
            </w:r>
            <w:r>
              <w:t xml:space="preserve">dibinātu </w:t>
            </w:r>
            <w:r w:rsidRPr="0054482C">
              <w:t xml:space="preserve">atvasinātu publisku personu </w:t>
            </w:r>
            <w:r>
              <w:t xml:space="preserve">- </w:t>
            </w:r>
            <w:r w:rsidRPr="0054482C">
              <w:t>„Latvijas Universitātes Cietvielu fizikas institūts”</w:t>
            </w:r>
            <w:r>
              <w:t>, iegūstot juridiskās personas statusu, ka rezultātā</w:t>
            </w:r>
            <w:r w:rsidRPr="0054482C">
              <w:t xml:space="preserve"> Latvijas Universitātes Cietvielu fizikas institūts varēs:</w:t>
            </w:r>
          </w:p>
          <w:p w:rsidR="00024A53" w:rsidRPr="0054482C" w:rsidRDefault="00024A53" w:rsidP="00024A53">
            <w:pPr>
              <w:jc w:val="both"/>
            </w:pPr>
            <w:r w:rsidRPr="0054482C">
              <w:t>1) galvot par saistībām un saņemt aizdevumu no Valsts Kases un komercbankām Eiropas Sociālo un Reģionālās attīstības fondu, starptautisko projektu un citu projektu līdzfinansēšanai, realizēšanai un saistību izpildei,</w:t>
            </w:r>
          </w:p>
          <w:p w:rsidR="00024A53" w:rsidRPr="0054482C" w:rsidRDefault="00024A53" w:rsidP="00024A53">
            <w:pPr>
              <w:jc w:val="both"/>
            </w:pPr>
            <w:r w:rsidRPr="0054482C">
              <w:t>2) piedalīties starptautiskajos projektos, kurus var pieteikt zinātniskās institūcijas ar juridiskas personas statusu,</w:t>
            </w:r>
          </w:p>
          <w:p w:rsidR="00024A53" w:rsidRPr="0054482C" w:rsidRDefault="00024A53" w:rsidP="00024A53">
            <w:pPr>
              <w:jc w:val="both"/>
            </w:pPr>
            <w:r w:rsidRPr="0054482C">
              <w:t>3) dibināt kapitālsabiedrības, būt par dibinātāju biedrībās un nodibinājumos,</w:t>
            </w:r>
          </w:p>
          <w:p w:rsidR="00024A53" w:rsidRDefault="00024A53" w:rsidP="00024A53">
            <w:pPr>
              <w:jc w:val="both"/>
              <w:rPr>
                <w:iCs/>
              </w:rPr>
            </w:pPr>
            <w:r w:rsidRPr="0054482C">
              <w:t xml:space="preserve">4) </w:t>
            </w:r>
            <w:r w:rsidRPr="0054482C">
              <w:rPr>
                <w:iCs/>
              </w:rPr>
              <w:t>ņemt dalību un veikt saimnieci</w:t>
            </w:r>
            <w:r>
              <w:rPr>
                <w:iCs/>
              </w:rPr>
              <w:t>sko darbību Kompetences centros;</w:t>
            </w:r>
          </w:p>
          <w:p w:rsidR="00024A53" w:rsidRDefault="00024A53" w:rsidP="00024A53">
            <w:pPr>
              <w:jc w:val="both"/>
            </w:pPr>
            <w:r w:rsidRPr="0054482C">
              <w:lastRenderedPageBreak/>
              <w:t xml:space="preserve"> </w:t>
            </w:r>
            <w:r>
              <w:t xml:space="preserve">5) piedalīties </w:t>
            </w:r>
            <w:r w:rsidRPr="007449B0">
              <w:t>Latvijas projektu, valsts programmu un līgumattiecību īstenošanā</w:t>
            </w:r>
            <w:r>
              <w:t>.</w:t>
            </w:r>
          </w:p>
          <w:p w:rsidR="00024A53" w:rsidRPr="0054482C" w:rsidRDefault="00024A53" w:rsidP="00024A53">
            <w:pPr>
              <w:jc w:val="both"/>
            </w:pPr>
            <w:r w:rsidRPr="007449B0">
              <w:t xml:space="preserve">Ar juridiskās personas statusa iegūšanu </w:t>
            </w:r>
            <w:r w:rsidRPr="0054482C">
              <w:t>Latvijas Universit</w:t>
            </w:r>
            <w:r>
              <w:t>ātes Cietvielu fizikas institūtam</w:t>
            </w:r>
            <w:r w:rsidRPr="007449B0">
              <w:t xml:space="preserve"> būs </w:t>
            </w:r>
            <w:r>
              <w:t xml:space="preserve">iespēja realizēt savas tiesības </w:t>
            </w:r>
            <w:r w:rsidRPr="007449B0">
              <w:t>dalībai ERAF</w:t>
            </w:r>
            <w:r>
              <w:t xml:space="preserve"> infrastruktūras projektos (2. u</w:t>
            </w:r>
            <w:r w:rsidRPr="007449B0">
              <w:t>n 3.kārtā)</w:t>
            </w:r>
            <w:r>
              <w:t>, veicot</w:t>
            </w:r>
            <w:r w:rsidRPr="007449B0">
              <w:t xml:space="preserve"> sadarbību ar komersantiem</w:t>
            </w:r>
            <w:r w:rsidRPr="0054482C">
              <w:t xml:space="preserve"> </w:t>
            </w:r>
          </w:p>
          <w:p w:rsidR="00262E2B" w:rsidRPr="007449B0" w:rsidRDefault="00024A53" w:rsidP="00024A53">
            <w:pPr>
              <w:pStyle w:val="naiskr"/>
              <w:spacing w:before="0" w:after="0"/>
              <w:jc w:val="both"/>
            </w:pPr>
            <w:r w:rsidRPr="0054482C">
              <w:t>Kopumā būs uzlabota Latvijas Universit</w:t>
            </w:r>
            <w:r>
              <w:t>ātes Cietvielu fizikas institūtam</w:t>
            </w:r>
            <w:r w:rsidRPr="007449B0">
              <w:t xml:space="preserve"> </w:t>
            </w:r>
            <w:r w:rsidRPr="0054482C">
              <w:t>juridiskā patstāvība, veicināta tā zinātniskās darbības attīstība piedaloties un iesaistoties dažādos starptautiskos un vietējos projektos, dalība</w:t>
            </w:r>
            <w:r>
              <w:t>s tiesības</w:t>
            </w:r>
            <w:r w:rsidRPr="0054482C">
              <w:t xml:space="preserve"> projektos ar komersantiem un saimnieciskā darbība, atvieglota zinātniskā institūta pārvalde un finanšu līdzekļu piesaiste.</w:t>
            </w:r>
          </w:p>
        </w:tc>
      </w:tr>
      <w:tr w:rsidR="00262E2B" w:rsidRPr="007449B0">
        <w:trPr>
          <w:trHeight w:val="476"/>
        </w:trPr>
        <w:tc>
          <w:tcPr>
            <w:tcW w:w="550" w:type="dxa"/>
          </w:tcPr>
          <w:p w:rsidR="00262E2B" w:rsidRPr="007449B0" w:rsidRDefault="00262E2B" w:rsidP="006C4607">
            <w:pPr>
              <w:pStyle w:val="naiskr"/>
              <w:spacing w:before="0" w:after="0"/>
            </w:pPr>
            <w:r w:rsidRPr="007449B0">
              <w:lastRenderedPageBreak/>
              <w:t>5.</w:t>
            </w:r>
          </w:p>
        </w:tc>
        <w:tc>
          <w:tcPr>
            <w:tcW w:w="4315" w:type="dxa"/>
          </w:tcPr>
          <w:p w:rsidR="00262E2B" w:rsidRPr="007449B0" w:rsidRDefault="001A4066" w:rsidP="006C4607">
            <w:pPr>
              <w:pStyle w:val="naiskr"/>
              <w:spacing w:before="0" w:after="0"/>
            </w:pPr>
            <w:r w:rsidRPr="007449B0">
              <w:t>Projekta i</w:t>
            </w:r>
            <w:r w:rsidR="00262E2B" w:rsidRPr="007449B0">
              <w:t>zstrād</w:t>
            </w:r>
            <w:r w:rsidR="00420870" w:rsidRPr="007449B0">
              <w:t xml:space="preserve">ē </w:t>
            </w:r>
            <w:r w:rsidR="00262E2B" w:rsidRPr="007449B0">
              <w:t>iesaistītās institūcijas</w:t>
            </w:r>
          </w:p>
        </w:tc>
        <w:tc>
          <w:tcPr>
            <w:tcW w:w="4860" w:type="dxa"/>
          </w:tcPr>
          <w:p w:rsidR="00262E2B" w:rsidRPr="007449B0" w:rsidRDefault="005371BC" w:rsidP="00024A53">
            <w:pPr>
              <w:pStyle w:val="naiskr"/>
              <w:spacing w:before="0" w:after="0"/>
              <w:jc w:val="both"/>
            </w:pPr>
            <w:r w:rsidRPr="007449B0">
              <w:rPr>
                <w:iCs/>
              </w:rPr>
              <w:t>Izglītības un zinātnes ministrija</w:t>
            </w:r>
            <w:r w:rsidR="007449B0" w:rsidRPr="007449B0">
              <w:rPr>
                <w:iCs/>
              </w:rPr>
              <w:t xml:space="preserve">, </w:t>
            </w:r>
            <w:r w:rsidR="00024A53">
              <w:rPr>
                <w:iCs/>
              </w:rPr>
              <w:t>Latvijas U</w:t>
            </w:r>
            <w:r w:rsidR="007449B0" w:rsidRPr="007449B0">
              <w:rPr>
                <w:iCs/>
              </w:rPr>
              <w:t xml:space="preserve">niversitāte un </w:t>
            </w:r>
            <w:r w:rsidR="00024A53" w:rsidRPr="0054482C">
              <w:t xml:space="preserve"> Latvijas Universit</w:t>
            </w:r>
            <w:r w:rsidR="00024A53">
              <w:t>ātes Cietvielu fizikas institūts.</w:t>
            </w:r>
          </w:p>
        </w:tc>
      </w:tr>
      <w:tr w:rsidR="00262E2B" w:rsidRPr="007449B0">
        <w:trPr>
          <w:trHeight w:val="1340"/>
        </w:trPr>
        <w:tc>
          <w:tcPr>
            <w:tcW w:w="550" w:type="dxa"/>
          </w:tcPr>
          <w:p w:rsidR="00262E2B" w:rsidRPr="007449B0" w:rsidRDefault="00262E2B" w:rsidP="006C4607">
            <w:pPr>
              <w:pStyle w:val="naiskr"/>
              <w:spacing w:before="0" w:after="0"/>
            </w:pPr>
            <w:r w:rsidRPr="007449B0">
              <w:t>6.</w:t>
            </w:r>
          </w:p>
        </w:tc>
        <w:tc>
          <w:tcPr>
            <w:tcW w:w="4315" w:type="dxa"/>
          </w:tcPr>
          <w:p w:rsidR="00262E2B" w:rsidRPr="007449B0" w:rsidRDefault="00BB7C94" w:rsidP="006C4607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7449B0">
              <w:t xml:space="preserve">Iemesli, kādēļ netika nodrošināta </w:t>
            </w:r>
            <w:r w:rsidR="00262E2B" w:rsidRPr="007449B0">
              <w:t xml:space="preserve">sabiedrības </w:t>
            </w:r>
            <w:r w:rsidRPr="007449B0">
              <w:t>līdzdalība</w:t>
            </w:r>
          </w:p>
        </w:tc>
        <w:tc>
          <w:tcPr>
            <w:tcW w:w="4860" w:type="dxa"/>
          </w:tcPr>
          <w:p w:rsidR="00D20FF4" w:rsidRPr="007449B0" w:rsidRDefault="00CF3802" w:rsidP="00CF3802">
            <w:pPr>
              <w:pStyle w:val="FootnoteText"/>
              <w:jc w:val="both"/>
              <w:rPr>
                <w:sz w:val="24"/>
                <w:szCs w:val="24"/>
              </w:rPr>
            </w:pPr>
            <w:r w:rsidRPr="007449B0">
              <w:rPr>
                <w:sz w:val="24"/>
                <w:szCs w:val="24"/>
              </w:rPr>
              <w:t xml:space="preserve">Rīkojuma </w:t>
            </w:r>
            <w:r w:rsidR="002146D9" w:rsidRPr="007449B0">
              <w:rPr>
                <w:sz w:val="24"/>
                <w:szCs w:val="24"/>
              </w:rPr>
              <w:t xml:space="preserve">specifika neparedz nepieciešamību </w:t>
            </w:r>
            <w:r w:rsidRPr="007449B0">
              <w:rPr>
                <w:sz w:val="24"/>
                <w:szCs w:val="24"/>
              </w:rPr>
              <w:t xml:space="preserve"> līdzdarboties ar sabiedrību, kā arī nav nepieciešama rīkojuma publiska apspriešana, jo rīkojumā</w:t>
            </w:r>
            <w:r w:rsidR="002146D9" w:rsidRPr="007449B0">
              <w:rPr>
                <w:sz w:val="24"/>
                <w:szCs w:val="24"/>
              </w:rPr>
              <w:t xml:space="preserve"> </w:t>
            </w:r>
            <w:r w:rsidRPr="007449B0">
              <w:rPr>
                <w:sz w:val="24"/>
                <w:szCs w:val="24"/>
              </w:rPr>
              <w:t>nav ietvertas normas, kas tieši skartu sabiedrības intereses.</w:t>
            </w:r>
          </w:p>
        </w:tc>
      </w:tr>
      <w:tr w:rsidR="00262E2B" w:rsidRPr="007449B0">
        <w:tc>
          <w:tcPr>
            <w:tcW w:w="550" w:type="dxa"/>
          </w:tcPr>
          <w:p w:rsidR="00262E2B" w:rsidRPr="007449B0" w:rsidRDefault="00262E2B" w:rsidP="006C4607">
            <w:pPr>
              <w:pStyle w:val="naiskr"/>
              <w:spacing w:before="0" w:after="0"/>
            </w:pPr>
            <w:r w:rsidRPr="007449B0">
              <w:t>7.</w:t>
            </w:r>
          </w:p>
        </w:tc>
        <w:tc>
          <w:tcPr>
            <w:tcW w:w="4315" w:type="dxa"/>
          </w:tcPr>
          <w:p w:rsidR="00262E2B" w:rsidRPr="007449B0" w:rsidRDefault="00262E2B" w:rsidP="006C4607">
            <w:pPr>
              <w:pStyle w:val="naiskr"/>
              <w:spacing w:before="0" w:after="0"/>
            </w:pPr>
            <w:r w:rsidRPr="007449B0">
              <w:t>Cita informācija</w:t>
            </w:r>
          </w:p>
        </w:tc>
        <w:tc>
          <w:tcPr>
            <w:tcW w:w="4860" w:type="dxa"/>
          </w:tcPr>
          <w:p w:rsidR="00262E2B" w:rsidRDefault="004C634D" w:rsidP="00FF778C">
            <w:pPr>
              <w:pStyle w:val="naiskr"/>
              <w:spacing w:before="0" w:after="0"/>
              <w:jc w:val="both"/>
            </w:pPr>
            <w:r w:rsidRPr="007449B0">
              <w:t>Aģentūra</w:t>
            </w:r>
            <w:r w:rsidR="00024A53">
              <w:t xml:space="preserve"> netiek reorganizēta saskaņā ar</w:t>
            </w:r>
            <w:r w:rsidR="00CF3802" w:rsidRPr="007449B0">
              <w:t xml:space="preserve"> Valsts pārvaldes iekārtas</w:t>
            </w:r>
            <w:r w:rsidRPr="007449B0">
              <w:t xml:space="preserve"> likuma 15.pantu, līdz ar to tā tiek pārveidota saskaņā ar Zinātniskās darbības likuma pārejas noteikumu 19.punktu un </w:t>
            </w:r>
            <w:r w:rsidR="00CF3802" w:rsidRPr="007449B0">
              <w:t xml:space="preserve"> </w:t>
            </w:r>
            <w:r w:rsidRPr="007449B0">
              <w:t>likuma 21.</w:t>
            </w:r>
            <w:r w:rsidRPr="007449B0">
              <w:rPr>
                <w:vertAlign w:val="superscript"/>
              </w:rPr>
              <w:t>5</w:t>
            </w:r>
            <w:r w:rsidRPr="007449B0">
              <w:t xml:space="preserve"> panta  pirmo daļu</w:t>
            </w:r>
            <w:r w:rsidR="00FF778C" w:rsidRPr="007449B0">
              <w:t xml:space="preserve">. Pārveides rezultātā beidz pastāvēt </w:t>
            </w:r>
            <w:r w:rsidR="00024A53">
              <w:t>Latvijas U</w:t>
            </w:r>
            <w:r w:rsidR="00FF778C" w:rsidRPr="007449B0">
              <w:t>niversitātes aģentūra</w:t>
            </w:r>
            <w:r w:rsidR="00024A53" w:rsidRPr="007449B0">
              <w:rPr>
                <w:iCs/>
              </w:rPr>
              <w:t xml:space="preserve"> </w:t>
            </w:r>
            <w:r w:rsidR="00024A53" w:rsidRPr="0054482C">
              <w:t xml:space="preserve"> </w:t>
            </w:r>
            <w:r w:rsidR="00024A53">
              <w:t>„</w:t>
            </w:r>
            <w:r w:rsidR="00024A53" w:rsidRPr="0054482C">
              <w:t>Latvijas Universit</w:t>
            </w:r>
            <w:r w:rsidR="00024A53">
              <w:t>ātes Cietvielu fizikas institūts”</w:t>
            </w:r>
            <w:r w:rsidR="00FF778C" w:rsidRPr="007449B0">
              <w:t xml:space="preserve"> kā pastarpinātā valsts pārvaldes iestāde.</w:t>
            </w:r>
          </w:p>
          <w:p w:rsidR="00ED75CF" w:rsidRPr="007449B0" w:rsidRDefault="00ED75CF" w:rsidP="00ED75CF">
            <w:pPr>
              <w:pStyle w:val="naiskr"/>
              <w:spacing w:before="0" w:after="0"/>
              <w:jc w:val="both"/>
            </w:pPr>
            <w:r w:rsidRPr="00ED75CF">
              <w:t xml:space="preserve">Rīkojums stājas spēkā ar tā apstiprināšanu </w:t>
            </w:r>
            <w:r>
              <w:t>Ministru kabinetā.</w:t>
            </w:r>
          </w:p>
        </w:tc>
      </w:tr>
    </w:tbl>
    <w:p w:rsidR="00852042" w:rsidRPr="007449B0" w:rsidRDefault="00852042" w:rsidP="006C4607">
      <w:pPr>
        <w:pStyle w:val="naisf"/>
        <w:spacing w:before="0" w:after="0"/>
      </w:pPr>
    </w:p>
    <w:tbl>
      <w:tblPr>
        <w:tblpPr w:leftFromText="180" w:rightFromText="180" w:vertAnchor="text" w:horzAnchor="margin" w:tblpXSpec="center" w:tblpY="149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2"/>
        <w:gridCol w:w="4395"/>
        <w:gridCol w:w="4791"/>
      </w:tblGrid>
      <w:tr w:rsidR="0062298A" w:rsidRPr="007449B0" w:rsidTr="00FD2A8A">
        <w:tc>
          <w:tcPr>
            <w:tcW w:w="9758" w:type="dxa"/>
            <w:gridSpan w:val="3"/>
            <w:vAlign w:val="center"/>
          </w:tcPr>
          <w:p w:rsidR="0062298A" w:rsidRPr="007449B0" w:rsidRDefault="0062298A" w:rsidP="006C4607">
            <w:pPr>
              <w:pStyle w:val="naisnod"/>
              <w:spacing w:before="0" w:after="0"/>
            </w:pPr>
            <w:r w:rsidRPr="007449B0">
              <w:t>II</w:t>
            </w:r>
            <w:r w:rsidR="000941C5" w:rsidRPr="007449B0">
              <w:t>.</w:t>
            </w:r>
            <w:r w:rsidRPr="007449B0">
              <w:t xml:space="preserve"> Tiesību akta projekta ietekme uz sabiedrību</w:t>
            </w:r>
          </w:p>
        </w:tc>
      </w:tr>
      <w:tr w:rsidR="0062298A" w:rsidRPr="007449B0" w:rsidTr="00FD2A8A">
        <w:trPr>
          <w:trHeight w:val="467"/>
        </w:trPr>
        <w:tc>
          <w:tcPr>
            <w:tcW w:w="572" w:type="dxa"/>
          </w:tcPr>
          <w:p w:rsidR="0062298A" w:rsidRPr="007449B0" w:rsidRDefault="0062298A" w:rsidP="006C4607">
            <w:pPr>
              <w:pStyle w:val="naiskr"/>
              <w:spacing w:before="0" w:after="0"/>
            </w:pPr>
            <w:r w:rsidRPr="007449B0">
              <w:t>1.</w:t>
            </w:r>
          </w:p>
        </w:tc>
        <w:tc>
          <w:tcPr>
            <w:tcW w:w="4395" w:type="dxa"/>
          </w:tcPr>
          <w:p w:rsidR="0062298A" w:rsidRPr="007449B0" w:rsidRDefault="00C27A08" w:rsidP="006C4607">
            <w:pPr>
              <w:pStyle w:val="naiskr"/>
              <w:spacing w:before="0" w:after="0"/>
            </w:pPr>
            <w:r w:rsidRPr="007449B0">
              <w:t>Sabiedrības mērķgrupa</w:t>
            </w:r>
          </w:p>
        </w:tc>
        <w:tc>
          <w:tcPr>
            <w:tcW w:w="4791" w:type="dxa"/>
          </w:tcPr>
          <w:p w:rsidR="0062298A" w:rsidRPr="007449B0" w:rsidRDefault="009E12D7" w:rsidP="00024A53">
            <w:pPr>
              <w:pStyle w:val="naiskr"/>
              <w:spacing w:before="0" w:after="0"/>
              <w:ind w:hanging="57"/>
              <w:jc w:val="both"/>
            </w:pPr>
            <w:r w:rsidRPr="007449B0">
              <w:rPr>
                <w:iCs/>
              </w:rPr>
              <w:t> </w:t>
            </w:r>
            <w:r w:rsidR="00B473FA">
              <w:rPr>
                <w:iCs/>
              </w:rPr>
              <w:t>A</w:t>
            </w:r>
            <w:r w:rsidR="004C634D" w:rsidRPr="007449B0">
              <w:t xml:space="preserve">ģentūras un </w:t>
            </w:r>
            <w:r w:rsidR="00B473FA">
              <w:t>Latvijas U</w:t>
            </w:r>
            <w:r w:rsidR="004C634D" w:rsidRPr="007449B0">
              <w:t xml:space="preserve">niversitātes </w:t>
            </w:r>
            <w:r w:rsidR="00BF0A13" w:rsidRPr="007449B0">
              <w:t xml:space="preserve"> </w:t>
            </w:r>
            <w:r w:rsidR="00B473FA">
              <w:t xml:space="preserve">203 </w:t>
            </w:r>
            <w:r w:rsidR="00BF0A13" w:rsidRPr="007449B0">
              <w:t>nodarbinātie</w:t>
            </w:r>
            <w:r w:rsidR="00B473FA">
              <w:t>.</w:t>
            </w:r>
            <w:r w:rsidR="00AB1366">
              <w:t xml:space="preserve"> </w:t>
            </w:r>
          </w:p>
        </w:tc>
      </w:tr>
      <w:tr w:rsidR="0062298A" w:rsidRPr="007449B0" w:rsidTr="00FD2A8A">
        <w:trPr>
          <w:trHeight w:val="523"/>
        </w:trPr>
        <w:tc>
          <w:tcPr>
            <w:tcW w:w="572" w:type="dxa"/>
          </w:tcPr>
          <w:p w:rsidR="0062298A" w:rsidRPr="007449B0" w:rsidRDefault="0062298A" w:rsidP="006C4607">
            <w:pPr>
              <w:pStyle w:val="naiskr"/>
              <w:spacing w:before="0" w:after="0"/>
            </w:pPr>
            <w:r w:rsidRPr="007449B0">
              <w:t>2.</w:t>
            </w:r>
          </w:p>
        </w:tc>
        <w:tc>
          <w:tcPr>
            <w:tcW w:w="4395" w:type="dxa"/>
          </w:tcPr>
          <w:p w:rsidR="00C1133D" w:rsidRPr="007449B0" w:rsidRDefault="00C27A08" w:rsidP="006C4607">
            <w:pPr>
              <w:pStyle w:val="naiskr"/>
              <w:spacing w:before="0" w:after="0"/>
            </w:pPr>
            <w:r w:rsidRPr="007449B0">
              <w:t>Citas sabiedrības grupas (bez mērķgrupas), kuras tiesiskais regulējums arī ietekmē vai varētu ietekmēt</w:t>
            </w:r>
          </w:p>
        </w:tc>
        <w:tc>
          <w:tcPr>
            <w:tcW w:w="4791" w:type="dxa"/>
          </w:tcPr>
          <w:p w:rsidR="0062298A" w:rsidRPr="007449B0" w:rsidRDefault="00AB1366" w:rsidP="00024A53">
            <w:pPr>
              <w:pStyle w:val="naiskr"/>
              <w:spacing w:before="0" w:after="0"/>
              <w:jc w:val="both"/>
            </w:pPr>
            <w:r>
              <w:t>S</w:t>
            </w:r>
            <w:r w:rsidR="00024A53">
              <w:t>tudējošie</w:t>
            </w:r>
            <w:r w:rsidR="007449B0" w:rsidRPr="007449B0">
              <w:t>.</w:t>
            </w:r>
          </w:p>
        </w:tc>
      </w:tr>
      <w:tr w:rsidR="0062298A" w:rsidRPr="007449B0" w:rsidTr="00FD2A8A">
        <w:trPr>
          <w:trHeight w:val="517"/>
        </w:trPr>
        <w:tc>
          <w:tcPr>
            <w:tcW w:w="572" w:type="dxa"/>
          </w:tcPr>
          <w:p w:rsidR="0062298A" w:rsidRPr="007449B0" w:rsidRDefault="0062298A" w:rsidP="006C4607">
            <w:pPr>
              <w:pStyle w:val="naiskr"/>
              <w:spacing w:before="0" w:after="0"/>
            </w:pPr>
            <w:r w:rsidRPr="007449B0">
              <w:t>3.</w:t>
            </w:r>
          </w:p>
        </w:tc>
        <w:tc>
          <w:tcPr>
            <w:tcW w:w="4395" w:type="dxa"/>
          </w:tcPr>
          <w:p w:rsidR="00C1133D" w:rsidRPr="007449B0" w:rsidRDefault="000C790C" w:rsidP="006C4607">
            <w:pPr>
              <w:pStyle w:val="naiskr"/>
              <w:spacing w:before="0" w:after="0"/>
            </w:pPr>
            <w:r w:rsidRPr="007449B0">
              <w:t>Tiesiskā r</w:t>
            </w:r>
            <w:r w:rsidR="003D21FF" w:rsidRPr="007449B0">
              <w:t>egulējuma</w:t>
            </w:r>
            <w:r w:rsidR="00C27A08" w:rsidRPr="007449B0">
              <w:t xml:space="preserve"> finansiālā ietekme</w:t>
            </w:r>
          </w:p>
        </w:tc>
        <w:tc>
          <w:tcPr>
            <w:tcW w:w="4791" w:type="dxa"/>
          </w:tcPr>
          <w:p w:rsidR="0062298A" w:rsidRPr="007449B0" w:rsidRDefault="004C634D" w:rsidP="00024A53">
            <w:pPr>
              <w:pStyle w:val="naiskr"/>
              <w:spacing w:before="0" w:after="0"/>
              <w:jc w:val="both"/>
            </w:pPr>
            <w:r w:rsidRPr="007449B0">
              <w:rPr>
                <w:iCs/>
              </w:rPr>
              <w:t xml:space="preserve">Aģentūras un </w:t>
            </w:r>
            <w:r w:rsidR="00024A53">
              <w:rPr>
                <w:iCs/>
              </w:rPr>
              <w:t>Latvijas U</w:t>
            </w:r>
            <w:r w:rsidR="006E2934">
              <w:rPr>
                <w:iCs/>
              </w:rPr>
              <w:t>n</w:t>
            </w:r>
            <w:r w:rsidRPr="007449B0">
              <w:rPr>
                <w:iCs/>
              </w:rPr>
              <w:t>iversitātes  darbinieki un studējošie</w:t>
            </w:r>
            <w:r w:rsidRPr="007449B0">
              <w:rPr>
                <w:iCs/>
                <w:color w:val="00B050"/>
              </w:rPr>
              <w:t>.</w:t>
            </w:r>
          </w:p>
        </w:tc>
      </w:tr>
      <w:tr w:rsidR="00C27A08" w:rsidRPr="007449B0" w:rsidTr="00FD2A8A">
        <w:trPr>
          <w:trHeight w:val="517"/>
        </w:trPr>
        <w:tc>
          <w:tcPr>
            <w:tcW w:w="572" w:type="dxa"/>
          </w:tcPr>
          <w:p w:rsidR="00C27A08" w:rsidRPr="007449B0" w:rsidRDefault="00C27A08" w:rsidP="006C4607">
            <w:pPr>
              <w:pStyle w:val="naiskr"/>
              <w:spacing w:before="0" w:after="0"/>
            </w:pPr>
            <w:r w:rsidRPr="007449B0">
              <w:t>4.</w:t>
            </w:r>
          </w:p>
        </w:tc>
        <w:tc>
          <w:tcPr>
            <w:tcW w:w="4395" w:type="dxa"/>
          </w:tcPr>
          <w:p w:rsidR="00C27A08" w:rsidRPr="007449B0" w:rsidRDefault="00C27A08" w:rsidP="006C4607">
            <w:pPr>
              <w:pStyle w:val="naiskr"/>
              <w:spacing w:before="0" w:after="0"/>
            </w:pPr>
            <w:r w:rsidRPr="007449B0">
              <w:t>Tiesiskā regulējuma nefinansiālā ietekme</w:t>
            </w:r>
          </w:p>
        </w:tc>
        <w:tc>
          <w:tcPr>
            <w:tcW w:w="4791" w:type="dxa"/>
          </w:tcPr>
          <w:p w:rsidR="00C27A08" w:rsidRPr="007449B0" w:rsidRDefault="00024A53" w:rsidP="00024A53">
            <w:pPr>
              <w:pStyle w:val="naiskr"/>
              <w:spacing w:before="0" w:after="0"/>
              <w:jc w:val="both"/>
            </w:pPr>
            <w:r>
              <w:t xml:space="preserve">Institūtu pārveidojot no aģentūras uz  atvasinātu publisku personu, tam būs iespēja izmantot likumiskās </w:t>
            </w:r>
            <w:r w:rsidR="00A64786" w:rsidRPr="007449B0">
              <w:t xml:space="preserve">tiesības, kas </w:t>
            </w:r>
            <w:r>
              <w:t xml:space="preserve">piekrīt </w:t>
            </w:r>
            <w:r w:rsidR="007449B0">
              <w:t>juridisk</w:t>
            </w:r>
            <w:r>
              <w:t>ai personai</w:t>
            </w:r>
            <w:r w:rsidR="007449B0">
              <w:t>.</w:t>
            </w:r>
          </w:p>
        </w:tc>
      </w:tr>
      <w:tr w:rsidR="0062298A" w:rsidRPr="007449B0" w:rsidTr="00FD2A8A">
        <w:trPr>
          <w:trHeight w:val="531"/>
        </w:trPr>
        <w:tc>
          <w:tcPr>
            <w:tcW w:w="572" w:type="dxa"/>
          </w:tcPr>
          <w:p w:rsidR="0062298A" w:rsidRPr="007449B0" w:rsidRDefault="00C27A08" w:rsidP="006C4607">
            <w:pPr>
              <w:pStyle w:val="naiskr"/>
              <w:spacing w:before="0" w:after="0"/>
            </w:pPr>
            <w:r w:rsidRPr="007449B0">
              <w:t>5</w:t>
            </w:r>
            <w:r w:rsidR="0062298A" w:rsidRPr="007449B0">
              <w:t>.</w:t>
            </w:r>
          </w:p>
        </w:tc>
        <w:tc>
          <w:tcPr>
            <w:tcW w:w="4395" w:type="dxa"/>
          </w:tcPr>
          <w:p w:rsidR="00C1133D" w:rsidRPr="007449B0" w:rsidRDefault="00C1133D" w:rsidP="006C4607">
            <w:pPr>
              <w:pStyle w:val="naiskr"/>
              <w:spacing w:before="0" w:after="0"/>
            </w:pPr>
            <w:r w:rsidRPr="007449B0">
              <w:t>Administratīv</w:t>
            </w:r>
            <w:r w:rsidR="00C27A08" w:rsidRPr="007449B0">
              <w:t>ās</w:t>
            </w:r>
            <w:r w:rsidRPr="007449B0">
              <w:t xml:space="preserve"> procedūr</w:t>
            </w:r>
            <w:r w:rsidR="00965897" w:rsidRPr="007449B0">
              <w:t>a</w:t>
            </w:r>
            <w:r w:rsidRPr="007449B0">
              <w:t xml:space="preserve">s </w:t>
            </w:r>
            <w:r w:rsidR="00C27A08" w:rsidRPr="007449B0">
              <w:t>raksturojums</w:t>
            </w:r>
          </w:p>
        </w:tc>
        <w:tc>
          <w:tcPr>
            <w:tcW w:w="4791" w:type="dxa"/>
          </w:tcPr>
          <w:p w:rsidR="0062298A" w:rsidRPr="007449B0" w:rsidRDefault="00024A53" w:rsidP="00024A53">
            <w:pPr>
              <w:pStyle w:val="naiskr"/>
              <w:spacing w:before="0" w:after="0"/>
              <w:jc w:val="both"/>
            </w:pPr>
            <w:r>
              <w:rPr>
                <w:iCs/>
              </w:rPr>
              <w:t xml:space="preserve">Ar rīkojumu </w:t>
            </w:r>
            <w:r w:rsidR="00D418B7" w:rsidRPr="007449B0">
              <w:rPr>
                <w:iCs/>
              </w:rPr>
              <w:t xml:space="preserve">administratīvā procedūra netiek mainīta. </w:t>
            </w:r>
          </w:p>
        </w:tc>
      </w:tr>
      <w:tr w:rsidR="0062298A" w:rsidRPr="007449B0" w:rsidTr="00FD2A8A">
        <w:trPr>
          <w:trHeight w:val="357"/>
        </w:trPr>
        <w:tc>
          <w:tcPr>
            <w:tcW w:w="572" w:type="dxa"/>
          </w:tcPr>
          <w:p w:rsidR="0062298A" w:rsidRPr="007449B0" w:rsidRDefault="00C27A08" w:rsidP="006C4607">
            <w:pPr>
              <w:pStyle w:val="naiskr"/>
              <w:spacing w:before="0" w:after="0"/>
            </w:pPr>
            <w:r w:rsidRPr="007449B0">
              <w:t>6</w:t>
            </w:r>
            <w:r w:rsidR="0062298A" w:rsidRPr="007449B0">
              <w:t>.</w:t>
            </w:r>
          </w:p>
        </w:tc>
        <w:tc>
          <w:tcPr>
            <w:tcW w:w="4395" w:type="dxa"/>
          </w:tcPr>
          <w:p w:rsidR="00AE5066" w:rsidRPr="007449B0" w:rsidRDefault="00C27A08" w:rsidP="006C4607">
            <w:pPr>
              <w:pStyle w:val="naiskr"/>
              <w:spacing w:before="0" w:after="0"/>
            </w:pPr>
            <w:r w:rsidRPr="007449B0">
              <w:t xml:space="preserve">Administratīvo izmaksu </w:t>
            </w:r>
            <w:r w:rsidR="00502374" w:rsidRPr="007449B0">
              <w:t xml:space="preserve">monetārs </w:t>
            </w:r>
            <w:r w:rsidRPr="007449B0">
              <w:lastRenderedPageBreak/>
              <w:t>novērtējums</w:t>
            </w:r>
          </w:p>
        </w:tc>
        <w:tc>
          <w:tcPr>
            <w:tcW w:w="4791" w:type="dxa"/>
          </w:tcPr>
          <w:p w:rsidR="0062298A" w:rsidRPr="007449B0" w:rsidRDefault="003F6C2A" w:rsidP="00024A53">
            <w:pPr>
              <w:pStyle w:val="naiskr"/>
              <w:spacing w:before="0" w:after="0"/>
              <w:jc w:val="both"/>
            </w:pPr>
            <w:r w:rsidRPr="007449B0">
              <w:rPr>
                <w:iCs/>
              </w:rPr>
              <w:lastRenderedPageBreak/>
              <w:t xml:space="preserve">Rīkojuma projekts šo jomu neskar. </w:t>
            </w:r>
          </w:p>
        </w:tc>
      </w:tr>
      <w:tr w:rsidR="0062298A" w:rsidRPr="007449B0" w:rsidTr="00FD2A8A">
        <w:tc>
          <w:tcPr>
            <w:tcW w:w="572" w:type="dxa"/>
          </w:tcPr>
          <w:p w:rsidR="0062298A" w:rsidRPr="007449B0" w:rsidRDefault="00C27A08" w:rsidP="006C4607">
            <w:pPr>
              <w:pStyle w:val="naiskr"/>
              <w:spacing w:before="0" w:after="0"/>
            </w:pPr>
            <w:r w:rsidRPr="007449B0">
              <w:lastRenderedPageBreak/>
              <w:t>7</w:t>
            </w:r>
            <w:r w:rsidR="0062298A" w:rsidRPr="007449B0">
              <w:t>.</w:t>
            </w:r>
          </w:p>
        </w:tc>
        <w:tc>
          <w:tcPr>
            <w:tcW w:w="4395" w:type="dxa"/>
          </w:tcPr>
          <w:p w:rsidR="0062298A" w:rsidRPr="007449B0" w:rsidRDefault="009E12D7" w:rsidP="006C4607">
            <w:pPr>
              <w:pStyle w:val="naiskr"/>
              <w:spacing w:before="0" w:after="0"/>
            </w:pPr>
            <w:r w:rsidRPr="007449B0">
              <w:t>Cita informācija</w:t>
            </w:r>
          </w:p>
        </w:tc>
        <w:tc>
          <w:tcPr>
            <w:tcW w:w="4791" w:type="dxa"/>
          </w:tcPr>
          <w:p w:rsidR="0062298A" w:rsidRPr="007449B0" w:rsidRDefault="00962B62" w:rsidP="006C4607">
            <w:pPr>
              <w:pStyle w:val="naiskr"/>
              <w:spacing w:before="0" w:after="0"/>
            </w:pPr>
            <w:r w:rsidRPr="007449B0">
              <w:t>Nav</w:t>
            </w:r>
          </w:p>
        </w:tc>
      </w:tr>
    </w:tbl>
    <w:p w:rsidR="00C31E36" w:rsidRPr="007449B0" w:rsidRDefault="00C31E36" w:rsidP="00C31E36"/>
    <w:tbl>
      <w:tblPr>
        <w:tblW w:w="9999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1476"/>
        <w:gridCol w:w="1476"/>
        <w:gridCol w:w="1476"/>
        <w:gridCol w:w="1507"/>
        <w:gridCol w:w="1715"/>
      </w:tblGrid>
      <w:tr w:rsidR="004C634D" w:rsidRPr="007449B0" w:rsidTr="000C558E">
        <w:trPr>
          <w:trHeight w:val="652"/>
          <w:jc w:val="center"/>
        </w:trPr>
        <w:tc>
          <w:tcPr>
            <w:tcW w:w="9999" w:type="dxa"/>
            <w:gridSpan w:val="6"/>
          </w:tcPr>
          <w:p w:rsidR="004C634D" w:rsidRPr="007449B0" w:rsidRDefault="004C634D" w:rsidP="003C05FA">
            <w:pPr>
              <w:pStyle w:val="naisnod"/>
              <w:spacing w:before="0" w:after="0"/>
              <w:rPr>
                <w:i/>
              </w:rPr>
            </w:pPr>
            <w:r w:rsidRPr="007449B0">
              <w:br w:type="page"/>
              <w:t>III. Tiesību akta projekta ietekme uz valsts budžetu un pašvaldību budžetiem</w:t>
            </w: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  <w:vMerge w:val="restart"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7449B0">
              <w:rPr>
                <w:b/>
              </w:rPr>
              <w:t>Rādītāji</w:t>
            </w:r>
          </w:p>
        </w:tc>
        <w:tc>
          <w:tcPr>
            <w:tcW w:w="2952" w:type="dxa"/>
            <w:gridSpan w:val="2"/>
            <w:vMerge w:val="restart"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7449B0">
              <w:rPr>
                <w:b/>
              </w:rPr>
              <w:t>2013. gads</w:t>
            </w:r>
          </w:p>
        </w:tc>
        <w:tc>
          <w:tcPr>
            <w:tcW w:w="4698" w:type="dxa"/>
            <w:gridSpan w:val="3"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9B0"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7449B0">
                <w:t>. latu</w:t>
              </w:r>
            </w:smartTag>
            <w:r w:rsidRPr="007449B0">
              <w:t>)</w:t>
            </w: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  <w:vMerge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952" w:type="dxa"/>
            <w:gridSpan w:val="2"/>
            <w:vMerge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476" w:type="dxa"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9B0">
              <w:rPr>
                <w:b/>
                <w:bCs/>
              </w:rPr>
              <w:t>2014.</w:t>
            </w:r>
          </w:p>
        </w:tc>
        <w:tc>
          <w:tcPr>
            <w:tcW w:w="1507" w:type="dxa"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9B0">
              <w:rPr>
                <w:b/>
                <w:bCs/>
              </w:rPr>
              <w:t>2015.</w:t>
            </w:r>
          </w:p>
        </w:tc>
        <w:tc>
          <w:tcPr>
            <w:tcW w:w="1715" w:type="dxa"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9B0">
              <w:rPr>
                <w:b/>
                <w:bCs/>
              </w:rPr>
              <w:t>2016.</w:t>
            </w: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  <w:vMerge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476" w:type="dxa"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9B0">
              <w:t>Saskaņā ar valsts budžetu kārtējam gadam</w:t>
            </w:r>
          </w:p>
        </w:tc>
        <w:tc>
          <w:tcPr>
            <w:tcW w:w="1476" w:type="dxa"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9B0">
              <w:t>Izmaiņas kārtējā gadā, salīdzinot ar budžetu kārtējam gadam</w:t>
            </w:r>
          </w:p>
        </w:tc>
        <w:tc>
          <w:tcPr>
            <w:tcW w:w="1476" w:type="dxa"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9B0">
              <w:t>Izmaiņas, salīdzinot ar kārtējo (n) gadu</w:t>
            </w:r>
          </w:p>
        </w:tc>
        <w:tc>
          <w:tcPr>
            <w:tcW w:w="1507" w:type="dxa"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9B0">
              <w:t>Izmaiņas, salīdzinot ar kārtējo (n) gadu</w:t>
            </w:r>
          </w:p>
        </w:tc>
        <w:tc>
          <w:tcPr>
            <w:tcW w:w="1715" w:type="dxa"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9B0">
              <w:t>Izmaiņas, salīdzinot ar kārtējo (n) gadu</w:t>
            </w: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7449B0">
              <w:rPr>
                <w:bCs/>
              </w:rPr>
              <w:t>1</w:t>
            </w:r>
          </w:p>
        </w:tc>
        <w:tc>
          <w:tcPr>
            <w:tcW w:w="1476" w:type="dxa"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7449B0">
              <w:rPr>
                <w:bCs/>
              </w:rPr>
              <w:t>2</w:t>
            </w:r>
          </w:p>
        </w:tc>
        <w:tc>
          <w:tcPr>
            <w:tcW w:w="1476" w:type="dxa"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7449B0">
              <w:rPr>
                <w:bCs/>
              </w:rPr>
              <w:t>3</w:t>
            </w:r>
          </w:p>
        </w:tc>
        <w:tc>
          <w:tcPr>
            <w:tcW w:w="1476" w:type="dxa"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7449B0">
              <w:rPr>
                <w:bCs/>
              </w:rPr>
              <w:t>4</w:t>
            </w:r>
          </w:p>
        </w:tc>
        <w:tc>
          <w:tcPr>
            <w:tcW w:w="1507" w:type="dxa"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7449B0">
              <w:rPr>
                <w:bCs/>
              </w:rPr>
              <w:t>5</w:t>
            </w:r>
          </w:p>
        </w:tc>
        <w:tc>
          <w:tcPr>
            <w:tcW w:w="1715" w:type="dxa"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7449B0">
              <w:rPr>
                <w:bCs/>
              </w:rPr>
              <w:t>6</w:t>
            </w: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i/>
              </w:rPr>
            </w:pPr>
            <w:r w:rsidRPr="007449B0">
              <w:t>1. Budžeta ieņēmumi:</w:t>
            </w: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507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715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i/>
              </w:rPr>
            </w:pPr>
            <w:r w:rsidRPr="007449B0">
              <w:t>1.1. valsts pamatbudžets, tai skaitā ieņēmumi no maksas pakalpojumiem un citi pašu ieņēmumi</w:t>
            </w:r>
          </w:p>
        </w:tc>
        <w:tc>
          <w:tcPr>
            <w:tcW w:w="1476" w:type="dxa"/>
          </w:tcPr>
          <w:p w:rsidR="004C634D" w:rsidRPr="007449B0" w:rsidRDefault="005E0A34" w:rsidP="003C05FA">
            <w:pPr>
              <w:pStyle w:val="naisf"/>
              <w:spacing w:before="0" w:after="0"/>
              <w:ind w:firstLine="0"/>
            </w:pPr>
            <w:r w:rsidRPr="00ED75CF">
              <w:t>390087</w:t>
            </w:r>
          </w:p>
        </w:tc>
        <w:tc>
          <w:tcPr>
            <w:tcW w:w="1476" w:type="dxa"/>
          </w:tcPr>
          <w:p w:rsidR="004C634D" w:rsidRPr="007449B0" w:rsidRDefault="005E0A34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>
              <w:t>Nav</w:t>
            </w:r>
          </w:p>
        </w:tc>
        <w:tc>
          <w:tcPr>
            <w:tcW w:w="1476" w:type="dxa"/>
          </w:tcPr>
          <w:p w:rsidR="004C634D" w:rsidRPr="007449B0" w:rsidRDefault="00E00413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>
              <w:t>0</w:t>
            </w:r>
          </w:p>
        </w:tc>
        <w:tc>
          <w:tcPr>
            <w:tcW w:w="1507" w:type="dxa"/>
          </w:tcPr>
          <w:p w:rsidR="004C634D" w:rsidRPr="007449B0" w:rsidRDefault="00E00413" w:rsidP="003C05FA">
            <w:pPr>
              <w:pStyle w:val="naisf"/>
              <w:spacing w:before="0" w:after="0"/>
              <w:ind w:firstLine="0"/>
              <w:rPr>
                <w:b/>
              </w:rPr>
            </w:pPr>
            <w:r>
              <w:t>0</w:t>
            </w:r>
          </w:p>
        </w:tc>
        <w:tc>
          <w:tcPr>
            <w:tcW w:w="1715" w:type="dxa"/>
          </w:tcPr>
          <w:p w:rsidR="004C634D" w:rsidRPr="007449B0" w:rsidRDefault="00E00413" w:rsidP="003C05FA">
            <w:pPr>
              <w:pStyle w:val="naisf"/>
              <w:spacing w:before="0" w:after="0"/>
              <w:ind w:firstLine="0"/>
              <w:rPr>
                <w:b/>
              </w:rPr>
            </w:pPr>
            <w:r>
              <w:t>0</w:t>
            </w: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i/>
              </w:rPr>
            </w:pPr>
            <w:r w:rsidRPr="007449B0">
              <w:t>1.2. valsts speciālais budžets</w:t>
            </w: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</w:pPr>
            <w:r w:rsidRPr="007449B0">
              <w:t>projekts šo jomu neskar</w:t>
            </w: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 w:rsidRPr="007449B0">
              <w:t>projekts šo jomu neskar</w:t>
            </w: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 w:rsidRPr="007449B0">
              <w:t>projekts šo jomu neskar</w:t>
            </w:r>
          </w:p>
        </w:tc>
        <w:tc>
          <w:tcPr>
            <w:tcW w:w="1507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</w:rPr>
            </w:pPr>
            <w:r w:rsidRPr="007449B0">
              <w:t>projekts šo jomu neskar</w:t>
            </w:r>
          </w:p>
        </w:tc>
        <w:tc>
          <w:tcPr>
            <w:tcW w:w="1715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</w:rPr>
            </w:pPr>
            <w:r w:rsidRPr="007449B0">
              <w:t>projekts šo jomu neskar</w:t>
            </w: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i/>
              </w:rPr>
            </w:pPr>
            <w:r w:rsidRPr="007449B0">
              <w:t>1.3. pašvaldību budžets</w:t>
            </w: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</w:pPr>
            <w:r w:rsidRPr="007449B0">
              <w:t>projekts šo jomu neskar</w:t>
            </w: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 w:rsidRPr="007449B0">
              <w:t>projekts šo jomu neskar</w:t>
            </w: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 w:rsidRPr="007449B0">
              <w:t>projekts šo jomu neskar</w:t>
            </w:r>
          </w:p>
        </w:tc>
        <w:tc>
          <w:tcPr>
            <w:tcW w:w="1507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</w:rPr>
            </w:pPr>
            <w:r w:rsidRPr="007449B0">
              <w:t>projekts šo jomu neskar</w:t>
            </w:r>
          </w:p>
        </w:tc>
        <w:tc>
          <w:tcPr>
            <w:tcW w:w="1715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</w:rPr>
            </w:pPr>
            <w:r w:rsidRPr="007449B0">
              <w:t>projekts šo jomu neskar</w:t>
            </w:r>
          </w:p>
        </w:tc>
      </w:tr>
      <w:tr w:rsidR="004C634D" w:rsidRPr="007449B0" w:rsidTr="000C558E">
        <w:trPr>
          <w:trHeight w:val="1068"/>
          <w:jc w:val="center"/>
        </w:trPr>
        <w:tc>
          <w:tcPr>
            <w:tcW w:w="2349" w:type="dxa"/>
          </w:tcPr>
          <w:p w:rsidR="004C634D" w:rsidRPr="007449B0" w:rsidRDefault="004C634D" w:rsidP="003C05FA">
            <w:pPr>
              <w:jc w:val="both"/>
            </w:pPr>
            <w:r w:rsidRPr="007449B0">
              <w:t>2. Budžeta izdevumi:</w:t>
            </w:r>
          </w:p>
        </w:tc>
        <w:tc>
          <w:tcPr>
            <w:tcW w:w="1476" w:type="dxa"/>
          </w:tcPr>
          <w:p w:rsidR="004C634D" w:rsidRPr="007449B0" w:rsidRDefault="00ED75CF" w:rsidP="003C05FA">
            <w:pPr>
              <w:pStyle w:val="naisf"/>
              <w:spacing w:before="0" w:after="0"/>
              <w:ind w:firstLine="0"/>
            </w:pPr>
            <w:r w:rsidRPr="00ED75CF">
              <w:t>390087</w:t>
            </w: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</w:pPr>
            <w:r w:rsidRPr="007449B0">
              <w:t>Nav</w:t>
            </w:r>
          </w:p>
        </w:tc>
        <w:tc>
          <w:tcPr>
            <w:tcW w:w="1476" w:type="dxa"/>
          </w:tcPr>
          <w:p w:rsidR="004C634D" w:rsidRPr="002B7385" w:rsidRDefault="002B7385" w:rsidP="003C05FA">
            <w:pPr>
              <w:pStyle w:val="naisf"/>
              <w:spacing w:before="0" w:after="0"/>
              <w:ind w:firstLine="0"/>
            </w:pPr>
            <w:r w:rsidRPr="002B7385">
              <w:t>0</w:t>
            </w:r>
          </w:p>
        </w:tc>
        <w:tc>
          <w:tcPr>
            <w:tcW w:w="1507" w:type="dxa"/>
          </w:tcPr>
          <w:p w:rsidR="004C634D" w:rsidRPr="002B7385" w:rsidRDefault="002B7385" w:rsidP="003C05FA">
            <w:pPr>
              <w:pStyle w:val="naisf"/>
              <w:spacing w:before="0" w:after="0"/>
              <w:ind w:firstLine="0"/>
            </w:pPr>
            <w:r w:rsidRPr="002B7385">
              <w:t>0</w:t>
            </w:r>
          </w:p>
        </w:tc>
        <w:tc>
          <w:tcPr>
            <w:tcW w:w="1715" w:type="dxa"/>
          </w:tcPr>
          <w:p w:rsidR="004C634D" w:rsidRPr="002B7385" w:rsidRDefault="002B7385" w:rsidP="003C05FA">
            <w:pPr>
              <w:pStyle w:val="naisf"/>
              <w:spacing w:before="0" w:after="0"/>
              <w:ind w:firstLine="0"/>
            </w:pPr>
            <w:r w:rsidRPr="002B7385">
              <w:t>0</w:t>
            </w: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</w:tcPr>
          <w:p w:rsidR="004C634D" w:rsidRPr="007449B0" w:rsidRDefault="004C634D" w:rsidP="003C05FA">
            <w:pPr>
              <w:jc w:val="both"/>
            </w:pPr>
            <w:r w:rsidRPr="007449B0">
              <w:t>2.1. valsts pamatbudžets</w:t>
            </w:r>
          </w:p>
        </w:tc>
        <w:tc>
          <w:tcPr>
            <w:tcW w:w="1476" w:type="dxa"/>
          </w:tcPr>
          <w:p w:rsidR="004C634D" w:rsidRPr="007449B0" w:rsidRDefault="00ED75CF" w:rsidP="003C05FA">
            <w:pPr>
              <w:pStyle w:val="naisf"/>
              <w:spacing w:before="0" w:after="0"/>
              <w:ind w:firstLine="0"/>
              <w:rPr>
                <w:b/>
              </w:rPr>
            </w:pPr>
            <w:r w:rsidRPr="00ED75CF">
              <w:t>390087</w:t>
            </w: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</w:pPr>
            <w:r w:rsidRPr="007449B0">
              <w:t>Nav</w:t>
            </w:r>
          </w:p>
        </w:tc>
        <w:tc>
          <w:tcPr>
            <w:tcW w:w="1476" w:type="dxa"/>
          </w:tcPr>
          <w:p w:rsidR="004C634D" w:rsidRPr="002B7385" w:rsidRDefault="002B7385" w:rsidP="003C05FA">
            <w:pPr>
              <w:pStyle w:val="naisf"/>
              <w:spacing w:before="0" w:after="0"/>
              <w:ind w:firstLine="0"/>
            </w:pPr>
            <w:r w:rsidRPr="002B7385">
              <w:t>0</w:t>
            </w:r>
          </w:p>
        </w:tc>
        <w:tc>
          <w:tcPr>
            <w:tcW w:w="1507" w:type="dxa"/>
          </w:tcPr>
          <w:p w:rsidR="004C634D" w:rsidRPr="002B7385" w:rsidRDefault="002B7385" w:rsidP="003C05FA">
            <w:pPr>
              <w:pStyle w:val="naisf"/>
              <w:spacing w:before="0" w:after="0"/>
              <w:ind w:firstLine="0"/>
            </w:pPr>
            <w:r w:rsidRPr="002B7385">
              <w:t>0</w:t>
            </w:r>
          </w:p>
        </w:tc>
        <w:tc>
          <w:tcPr>
            <w:tcW w:w="1715" w:type="dxa"/>
          </w:tcPr>
          <w:p w:rsidR="004C634D" w:rsidRPr="002B7385" w:rsidRDefault="002B7385" w:rsidP="003C05FA">
            <w:pPr>
              <w:pStyle w:val="naisf"/>
              <w:spacing w:before="0" w:after="0"/>
              <w:ind w:firstLine="0"/>
            </w:pPr>
            <w:r w:rsidRPr="002B7385">
              <w:t>0</w:t>
            </w: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</w:tcPr>
          <w:p w:rsidR="004C634D" w:rsidRPr="007449B0" w:rsidRDefault="004C634D" w:rsidP="003C05FA">
            <w:pPr>
              <w:jc w:val="both"/>
            </w:pPr>
            <w:r w:rsidRPr="007449B0">
              <w:t>2.2. valsts speciālais budžets</w:t>
            </w:r>
          </w:p>
        </w:tc>
        <w:tc>
          <w:tcPr>
            <w:tcW w:w="1476" w:type="dxa"/>
          </w:tcPr>
          <w:p w:rsidR="004C634D" w:rsidRPr="007449B0" w:rsidRDefault="004C634D" w:rsidP="005E0A34">
            <w:pPr>
              <w:pStyle w:val="naisf"/>
              <w:spacing w:before="0" w:after="0"/>
              <w:ind w:firstLine="0"/>
            </w:pPr>
            <w:r w:rsidRPr="007449B0">
              <w:t>N projekts šo jomu neskar</w:t>
            </w: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 w:rsidRPr="007449B0">
              <w:t>projekts šo jomu neskar</w:t>
            </w: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 w:rsidRPr="007449B0">
              <w:t>projekts šo jomu neskar</w:t>
            </w:r>
          </w:p>
        </w:tc>
        <w:tc>
          <w:tcPr>
            <w:tcW w:w="1507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</w:rPr>
            </w:pPr>
            <w:r w:rsidRPr="007449B0">
              <w:t>projekts šo jomu neskar</w:t>
            </w:r>
          </w:p>
        </w:tc>
        <w:tc>
          <w:tcPr>
            <w:tcW w:w="1715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</w:rPr>
            </w:pPr>
            <w:r w:rsidRPr="007449B0">
              <w:t>projekts šo jomu neskar</w:t>
            </w: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</w:tcPr>
          <w:p w:rsidR="004C634D" w:rsidRPr="007449B0" w:rsidRDefault="004C634D" w:rsidP="003C05FA">
            <w:pPr>
              <w:jc w:val="both"/>
            </w:pPr>
            <w:r w:rsidRPr="007449B0">
              <w:t xml:space="preserve">2.3. pašvaldību budžets </w:t>
            </w: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</w:pPr>
            <w:r w:rsidRPr="007449B0">
              <w:t>projekts šo jomu neskar</w:t>
            </w: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 w:rsidRPr="007449B0">
              <w:t>projekts šo jomu neskar</w:t>
            </w: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 w:rsidRPr="007449B0">
              <w:t>projekts šo jomu neskar</w:t>
            </w:r>
          </w:p>
        </w:tc>
        <w:tc>
          <w:tcPr>
            <w:tcW w:w="1507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</w:rPr>
            </w:pPr>
            <w:r w:rsidRPr="007449B0">
              <w:t>projekts šo jomu neskar</w:t>
            </w:r>
          </w:p>
        </w:tc>
        <w:tc>
          <w:tcPr>
            <w:tcW w:w="1715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</w:rPr>
            </w:pPr>
            <w:r w:rsidRPr="007449B0">
              <w:t>projekts šo jomu neskar</w:t>
            </w: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</w:tcPr>
          <w:p w:rsidR="004C634D" w:rsidRPr="007449B0" w:rsidRDefault="004C634D" w:rsidP="003C05FA">
            <w:pPr>
              <w:jc w:val="both"/>
            </w:pPr>
            <w:r w:rsidRPr="007449B0">
              <w:t>3. Finansiālā ietekme: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507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715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</w:tcPr>
          <w:p w:rsidR="004C634D" w:rsidRPr="007449B0" w:rsidRDefault="004C634D" w:rsidP="003C05FA">
            <w:pPr>
              <w:jc w:val="both"/>
            </w:pPr>
            <w:r w:rsidRPr="007449B0">
              <w:t>3.1. valsts pamatbudžets</w:t>
            </w:r>
          </w:p>
        </w:tc>
        <w:tc>
          <w:tcPr>
            <w:tcW w:w="1476" w:type="dxa"/>
            <w:shd w:val="clear" w:color="auto" w:fill="auto"/>
          </w:tcPr>
          <w:p w:rsidR="004C634D" w:rsidRPr="005E0A34" w:rsidRDefault="005E0A34" w:rsidP="003C05FA">
            <w:pPr>
              <w:pStyle w:val="naisf"/>
              <w:spacing w:before="0" w:after="0"/>
              <w:ind w:firstLine="0"/>
            </w:pPr>
            <w:r w:rsidRPr="005E0A34">
              <w:t>0</w:t>
            </w:r>
          </w:p>
        </w:tc>
        <w:tc>
          <w:tcPr>
            <w:tcW w:w="1476" w:type="dxa"/>
          </w:tcPr>
          <w:p w:rsidR="004C634D" w:rsidRPr="005E0A34" w:rsidRDefault="005E0A34" w:rsidP="003C05FA">
            <w:pPr>
              <w:pStyle w:val="naisf"/>
              <w:spacing w:before="0" w:after="0"/>
              <w:ind w:firstLine="0"/>
            </w:pPr>
            <w:r w:rsidRPr="005E0A34">
              <w:t>0</w:t>
            </w:r>
          </w:p>
        </w:tc>
        <w:tc>
          <w:tcPr>
            <w:tcW w:w="1476" w:type="dxa"/>
          </w:tcPr>
          <w:p w:rsidR="004C634D" w:rsidRPr="005E0A34" w:rsidRDefault="005E0A34" w:rsidP="003C05FA">
            <w:pPr>
              <w:pStyle w:val="naisf"/>
              <w:spacing w:before="0" w:after="0"/>
              <w:ind w:firstLine="0"/>
            </w:pPr>
            <w:r w:rsidRPr="005E0A34">
              <w:t>0</w:t>
            </w:r>
          </w:p>
        </w:tc>
        <w:tc>
          <w:tcPr>
            <w:tcW w:w="1507" w:type="dxa"/>
          </w:tcPr>
          <w:p w:rsidR="004C634D" w:rsidRPr="005E0A34" w:rsidRDefault="005E0A34" w:rsidP="003C05FA">
            <w:pPr>
              <w:pStyle w:val="naisf"/>
              <w:spacing w:before="0" w:after="0"/>
              <w:ind w:firstLine="0"/>
            </w:pPr>
            <w:r w:rsidRPr="005E0A34">
              <w:t>0</w:t>
            </w:r>
          </w:p>
        </w:tc>
        <w:tc>
          <w:tcPr>
            <w:tcW w:w="1715" w:type="dxa"/>
          </w:tcPr>
          <w:p w:rsidR="004C634D" w:rsidRPr="005E0A34" w:rsidRDefault="005E0A34" w:rsidP="003C05FA">
            <w:pPr>
              <w:pStyle w:val="naisf"/>
              <w:spacing w:before="0" w:after="0"/>
              <w:ind w:firstLine="0"/>
            </w:pPr>
            <w:r w:rsidRPr="005E0A34">
              <w:t>0</w:t>
            </w: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</w:tcPr>
          <w:p w:rsidR="004C634D" w:rsidRPr="007449B0" w:rsidRDefault="004C634D" w:rsidP="003C05FA">
            <w:pPr>
              <w:jc w:val="both"/>
            </w:pPr>
            <w:r w:rsidRPr="007449B0">
              <w:t>3.2. speciālais budžets</w:t>
            </w:r>
          </w:p>
        </w:tc>
        <w:tc>
          <w:tcPr>
            <w:tcW w:w="1476" w:type="dxa"/>
            <w:shd w:val="clear" w:color="auto" w:fill="auto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</w:pPr>
            <w:r w:rsidRPr="007449B0">
              <w:t>projekts šo jomu neskar</w:t>
            </w: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 w:rsidRPr="007449B0">
              <w:t>projekts šo jomu neskar</w:t>
            </w: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 w:rsidRPr="007449B0">
              <w:t>projekts šo jomu neskar</w:t>
            </w:r>
          </w:p>
        </w:tc>
        <w:tc>
          <w:tcPr>
            <w:tcW w:w="1507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</w:rPr>
            </w:pPr>
            <w:r w:rsidRPr="007449B0">
              <w:t>projekts šo jomu neskar</w:t>
            </w:r>
          </w:p>
        </w:tc>
        <w:tc>
          <w:tcPr>
            <w:tcW w:w="1715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</w:rPr>
            </w:pPr>
            <w:r w:rsidRPr="007449B0">
              <w:t>projekts šo jomu neskar</w:t>
            </w: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</w:tcPr>
          <w:p w:rsidR="004C634D" w:rsidRPr="007449B0" w:rsidRDefault="004C634D" w:rsidP="003C05FA">
            <w:pPr>
              <w:jc w:val="both"/>
            </w:pPr>
            <w:r w:rsidRPr="007449B0">
              <w:t xml:space="preserve">3.3. pašvaldību budžets </w:t>
            </w:r>
          </w:p>
        </w:tc>
        <w:tc>
          <w:tcPr>
            <w:tcW w:w="1476" w:type="dxa"/>
            <w:shd w:val="clear" w:color="auto" w:fill="auto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</w:pPr>
            <w:r w:rsidRPr="007449B0">
              <w:t>projekts šo jomu neskar</w:t>
            </w: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 w:rsidRPr="007449B0">
              <w:t>projekts šo jomu neskar</w:t>
            </w: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 w:rsidRPr="007449B0">
              <w:t>projekts šo jomu neskar</w:t>
            </w:r>
          </w:p>
        </w:tc>
        <w:tc>
          <w:tcPr>
            <w:tcW w:w="1507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</w:rPr>
            </w:pPr>
            <w:r w:rsidRPr="007449B0">
              <w:t>projekts šo jomu neskar</w:t>
            </w:r>
          </w:p>
        </w:tc>
        <w:tc>
          <w:tcPr>
            <w:tcW w:w="1715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</w:rPr>
            </w:pPr>
            <w:r w:rsidRPr="007449B0">
              <w:t>projekts šo jomu neskar</w:t>
            </w: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  <w:vMerge w:val="restart"/>
          </w:tcPr>
          <w:p w:rsidR="004C634D" w:rsidRPr="007449B0" w:rsidRDefault="004C634D" w:rsidP="003C05FA">
            <w:pPr>
              <w:jc w:val="both"/>
            </w:pPr>
            <w:r w:rsidRPr="007449B0">
              <w:t>4. Finanšu līdzekļi papildu izde</w:t>
            </w:r>
            <w:r w:rsidRPr="007449B0">
              <w:softHyphen/>
              <w:t xml:space="preserve">vumu finansēšanai (kompensējošu izdevumu samazinājumu norāda </w:t>
            </w:r>
            <w:r w:rsidRPr="007449B0">
              <w:lastRenderedPageBreak/>
              <w:t>ar "+" zīmi)</w:t>
            </w:r>
          </w:p>
        </w:tc>
        <w:tc>
          <w:tcPr>
            <w:tcW w:w="1476" w:type="dxa"/>
            <w:vMerge w:val="restart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7449B0">
              <w:lastRenderedPageBreak/>
              <w:t>X</w:t>
            </w:r>
          </w:p>
        </w:tc>
        <w:tc>
          <w:tcPr>
            <w:tcW w:w="1476" w:type="dxa"/>
          </w:tcPr>
          <w:p w:rsidR="004C634D" w:rsidRPr="007449B0" w:rsidRDefault="004C634D" w:rsidP="003C05FA">
            <w:pPr>
              <w:jc w:val="center"/>
            </w:pPr>
            <w:r w:rsidRPr="007449B0">
              <w:t>0</w:t>
            </w:r>
          </w:p>
        </w:tc>
        <w:tc>
          <w:tcPr>
            <w:tcW w:w="1476" w:type="dxa"/>
          </w:tcPr>
          <w:p w:rsidR="004C634D" w:rsidRPr="007449B0" w:rsidRDefault="00AE2327" w:rsidP="003C05FA">
            <w:pPr>
              <w:jc w:val="center"/>
            </w:pPr>
            <w:r w:rsidRPr="007449B0">
              <w:t>projekts šo jomu neskar</w:t>
            </w:r>
          </w:p>
        </w:tc>
        <w:tc>
          <w:tcPr>
            <w:tcW w:w="1507" w:type="dxa"/>
          </w:tcPr>
          <w:p w:rsidR="004C634D" w:rsidRPr="007449B0" w:rsidRDefault="00AE2327" w:rsidP="003C05FA">
            <w:pPr>
              <w:pStyle w:val="naisf"/>
              <w:spacing w:before="0" w:after="0"/>
              <w:ind w:firstLine="0"/>
              <w:rPr>
                <w:b/>
              </w:rPr>
            </w:pPr>
            <w:r w:rsidRPr="007449B0">
              <w:t>projekts šo jomu neskar</w:t>
            </w:r>
          </w:p>
        </w:tc>
        <w:tc>
          <w:tcPr>
            <w:tcW w:w="1715" w:type="dxa"/>
          </w:tcPr>
          <w:p w:rsidR="004C634D" w:rsidRPr="007449B0" w:rsidRDefault="00AE2327" w:rsidP="003C05FA">
            <w:pPr>
              <w:pStyle w:val="naisf"/>
              <w:spacing w:before="0" w:after="0"/>
              <w:ind w:firstLine="0"/>
              <w:rPr>
                <w:b/>
              </w:rPr>
            </w:pPr>
            <w:r w:rsidRPr="007449B0">
              <w:t>projekts šo jomu neskar</w:t>
            </w: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  <w:vMerge/>
          </w:tcPr>
          <w:p w:rsidR="004C634D" w:rsidRPr="007449B0" w:rsidRDefault="004C634D" w:rsidP="003C05FA">
            <w:pPr>
              <w:jc w:val="both"/>
            </w:pPr>
          </w:p>
        </w:tc>
        <w:tc>
          <w:tcPr>
            <w:tcW w:w="1476" w:type="dxa"/>
            <w:vMerge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507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715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  <w:vMerge/>
          </w:tcPr>
          <w:p w:rsidR="004C634D" w:rsidRPr="007449B0" w:rsidRDefault="004C634D" w:rsidP="003C05FA">
            <w:pPr>
              <w:jc w:val="both"/>
            </w:pPr>
          </w:p>
        </w:tc>
        <w:tc>
          <w:tcPr>
            <w:tcW w:w="1476" w:type="dxa"/>
            <w:vMerge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507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715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</w:tcPr>
          <w:p w:rsidR="004C634D" w:rsidRPr="007449B0" w:rsidRDefault="004C634D" w:rsidP="003C05FA">
            <w:pPr>
              <w:jc w:val="both"/>
            </w:pPr>
            <w:r w:rsidRPr="007449B0">
              <w:lastRenderedPageBreak/>
              <w:t>5. Precizēta finansiālā ietekme:</w:t>
            </w:r>
          </w:p>
        </w:tc>
        <w:tc>
          <w:tcPr>
            <w:tcW w:w="1476" w:type="dxa"/>
            <w:vMerge w:val="restart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7449B0">
              <w:t>X</w:t>
            </w: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507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715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</w:tcPr>
          <w:p w:rsidR="004C634D" w:rsidRPr="007449B0" w:rsidRDefault="004C634D" w:rsidP="003C05FA">
            <w:pPr>
              <w:jc w:val="both"/>
            </w:pPr>
            <w:r w:rsidRPr="007449B0">
              <w:t>5.1. valsts pamatbudžets</w:t>
            </w:r>
          </w:p>
        </w:tc>
        <w:tc>
          <w:tcPr>
            <w:tcW w:w="1476" w:type="dxa"/>
            <w:vMerge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76" w:type="dxa"/>
          </w:tcPr>
          <w:p w:rsidR="004C634D" w:rsidRPr="007449B0" w:rsidRDefault="004C634D" w:rsidP="003C05FA">
            <w:pPr>
              <w:jc w:val="center"/>
            </w:pPr>
            <w:r w:rsidRPr="007449B0">
              <w:t>0</w:t>
            </w:r>
          </w:p>
        </w:tc>
        <w:tc>
          <w:tcPr>
            <w:tcW w:w="1476" w:type="dxa"/>
          </w:tcPr>
          <w:p w:rsidR="004C634D" w:rsidRPr="00AE2327" w:rsidRDefault="00AE2327" w:rsidP="003C05FA">
            <w:pPr>
              <w:jc w:val="center"/>
            </w:pPr>
            <w:r w:rsidRPr="00AE2327">
              <w:t>0</w:t>
            </w:r>
          </w:p>
        </w:tc>
        <w:tc>
          <w:tcPr>
            <w:tcW w:w="1507" w:type="dxa"/>
          </w:tcPr>
          <w:p w:rsidR="004C634D" w:rsidRPr="00AE2327" w:rsidRDefault="00AE2327" w:rsidP="003C05FA">
            <w:pPr>
              <w:pStyle w:val="naisf"/>
              <w:spacing w:before="0" w:after="0"/>
              <w:ind w:firstLine="0"/>
            </w:pPr>
            <w:r w:rsidRPr="00AE2327">
              <w:t>0</w:t>
            </w:r>
          </w:p>
        </w:tc>
        <w:tc>
          <w:tcPr>
            <w:tcW w:w="1715" w:type="dxa"/>
          </w:tcPr>
          <w:p w:rsidR="004C634D" w:rsidRPr="00AE2327" w:rsidRDefault="00AE2327" w:rsidP="003C05FA">
            <w:pPr>
              <w:pStyle w:val="naisf"/>
              <w:spacing w:before="0" w:after="0"/>
              <w:ind w:firstLine="0"/>
            </w:pPr>
            <w:r w:rsidRPr="00AE2327">
              <w:t>0</w:t>
            </w: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</w:tcPr>
          <w:p w:rsidR="004C634D" w:rsidRPr="007449B0" w:rsidRDefault="004C634D" w:rsidP="003C05FA">
            <w:pPr>
              <w:jc w:val="both"/>
            </w:pPr>
            <w:r w:rsidRPr="007449B0">
              <w:t>5.2. speciālais budžets</w:t>
            </w:r>
          </w:p>
        </w:tc>
        <w:tc>
          <w:tcPr>
            <w:tcW w:w="1476" w:type="dxa"/>
            <w:vMerge/>
            <w:vAlign w:val="center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76" w:type="dxa"/>
          </w:tcPr>
          <w:p w:rsidR="004C634D" w:rsidRPr="007449B0" w:rsidRDefault="004C634D" w:rsidP="003C05FA">
            <w:pPr>
              <w:jc w:val="center"/>
            </w:pPr>
            <w:r w:rsidRPr="007449B0">
              <w:t>projekts šo jomu neskar</w:t>
            </w:r>
          </w:p>
        </w:tc>
        <w:tc>
          <w:tcPr>
            <w:tcW w:w="1476" w:type="dxa"/>
          </w:tcPr>
          <w:p w:rsidR="004C634D" w:rsidRPr="007449B0" w:rsidRDefault="004C634D" w:rsidP="003C05FA">
            <w:pPr>
              <w:jc w:val="center"/>
            </w:pPr>
            <w:r w:rsidRPr="007449B0">
              <w:t>projekts šo jomu neskar</w:t>
            </w:r>
          </w:p>
        </w:tc>
        <w:tc>
          <w:tcPr>
            <w:tcW w:w="1507" w:type="dxa"/>
          </w:tcPr>
          <w:p w:rsidR="004C634D" w:rsidRPr="007449B0" w:rsidRDefault="004C634D" w:rsidP="003C05FA">
            <w:pPr>
              <w:jc w:val="center"/>
            </w:pPr>
            <w:r w:rsidRPr="007449B0">
              <w:t>projekts šo jomu neskar</w:t>
            </w:r>
          </w:p>
        </w:tc>
        <w:tc>
          <w:tcPr>
            <w:tcW w:w="1715" w:type="dxa"/>
          </w:tcPr>
          <w:p w:rsidR="004C634D" w:rsidRPr="007449B0" w:rsidRDefault="004C634D" w:rsidP="003C05FA">
            <w:pPr>
              <w:jc w:val="center"/>
            </w:pPr>
            <w:r w:rsidRPr="007449B0">
              <w:t>projekts šo jomu neskar</w:t>
            </w: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</w:tcPr>
          <w:p w:rsidR="004C634D" w:rsidRPr="007449B0" w:rsidRDefault="004C634D" w:rsidP="003C05FA">
            <w:pPr>
              <w:jc w:val="both"/>
            </w:pPr>
            <w:r w:rsidRPr="007449B0">
              <w:t>Projekts šo jomu neskar</w:t>
            </w:r>
          </w:p>
        </w:tc>
        <w:tc>
          <w:tcPr>
            <w:tcW w:w="1476" w:type="dxa"/>
            <w:vMerge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 w:rsidRPr="007449B0">
              <w:t>projekts šo jomu neskar</w:t>
            </w:r>
          </w:p>
        </w:tc>
        <w:tc>
          <w:tcPr>
            <w:tcW w:w="1476" w:type="dxa"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 w:rsidRPr="007449B0">
              <w:t>projekts šo jomu neskar</w:t>
            </w:r>
          </w:p>
        </w:tc>
        <w:tc>
          <w:tcPr>
            <w:tcW w:w="1507" w:type="dxa"/>
          </w:tcPr>
          <w:p w:rsidR="004C634D" w:rsidRPr="007449B0" w:rsidRDefault="004C634D" w:rsidP="003C05FA">
            <w:pPr>
              <w:jc w:val="center"/>
            </w:pPr>
            <w:r w:rsidRPr="007449B0">
              <w:t>projekts šo jomu neskar</w:t>
            </w:r>
          </w:p>
        </w:tc>
        <w:tc>
          <w:tcPr>
            <w:tcW w:w="1715" w:type="dxa"/>
          </w:tcPr>
          <w:p w:rsidR="004C634D" w:rsidRPr="007449B0" w:rsidRDefault="004C634D" w:rsidP="003C05FA">
            <w:pPr>
              <w:jc w:val="center"/>
            </w:pPr>
            <w:r w:rsidRPr="007449B0">
              <w:t>projekts šo jomu neskar</w:t>
            </w:r>
          </w:p>
        </w:tc>
      </w:tr>
      <w:tr w:rsidR="004C634D" w:rsidRPr="007449B0" w:rsidTr="000C558E">
        <w:trPr>
          <w:trHeight w:val="2750"/>
          <w:jc w:val="center"/>
        </w:trPr>
        <w:tc>
          <w:tcPr>
            <w:tcW w:w="2349" w:type="dxa"/>
          </w:tcPr>
          <w:p w:rsidR="004C634D" w:rsidRPr="007449B0" w:rsidRDefault="004C634D" w:rsidP="003C05FA">
            <w:pPr>
              <w:jc w:val="both"/>
            </w:pPr>
            <w:r w:rsidRPr="007449B0">
              <w:t>6. Detalizēts ieņēmumu un izdevu</w:t>
            </w:r>
            <w:r w:rsidRPr="007449B0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7650" w:type="dxa"/>
            <w:gridSpan w:val="5"/>
            <w:vMerge w:val="restart"/>
            <w:vAlign w:val="center"/>
          </w:tcPr>
          <w:p w:rsidR="004C634D" w:rsidRPr="007449B0" w:rsidRDefault="00ED75CF" w:rsidP="003C05FA">
            <w:pPr>
              <w:pStyle w:val="naisf"/>
              <w:spacing w:before="0" w:after="0"/>
              <w:ind w:firstLine="0"/>
            </w:pPr>
            <w:r>
              <w:t>Nav.</w:t>
            </w:r>
          </w:p>
          <w:p w:rsidR="004C634D" w:rsidRPr="007449B0" w:rsidRDefault="004C634D" w:rsidP="003C05FA">
            <w:pPr>
              <w:pStyle w:val="naisf"/>
              <w:spacing w:before="0" w:after="0"/>
              <w:ind w:firstLine="0"/>
            </w:pPr>
          </w:p>
          <w:p w:rsidR="004C634D" w:rsidRPr="007449B0" w:rsidRDefault="004C634D" w:rsidP="003C05FA">
            <w:pPr>
              <w:pStyle w:val="naisf"/>
              <w:spacing w:before="0" w:after="0"/>
              <w:ind w:firstLine="0"/>
            </w:pPr>
          </w:p>
          <w:p w:rsidR="004C634D" w:rsidRPr="007449B0" w:rsidRDefault="004C634D" w:rsidP="003C05FA">
            <w:pPr>
              <w:pStyle w:val="naisf"/>
              <w:spacing w:before="0" w:after="0"/>
              <w:ind w:firstLine="0"/>
            </w:pPr>
          </w:p>
          <w:p w:rsidR="004C634D" w:rsidRPr="007449B0" w:rsidRDefault="004C634D" w:rsidP="003C05FA">
            <w:pPr>
              <w:pStyle w:val="naisf"/>
              <w:spacing w:before="0" w:after="0"/>
              <w:ind w:firstLine="0"/>
            </w:pPr>
          </w:p>
          <w:p w:rsidR="004C634D" w:rsidRPr="007449B0" w:rsidRDefault="004C634D" w:rsidP="003C05FA">
            <w:pPr>
              <w:pStyle w:val="naisf"/>
              <w:spacing w:before="0" w:after="0"/>
              <w:ind w:firstLine="0"/>
            </w:pPr>
          </w:p>
          <w:p w:rsidR="004C634D" w:rsidRPr="007449B0" w:rsidRDefault="004C634D" w:rsidP="003C05FA">
            <w:pPr>
              <w:pStyle w:val="naisf"/>
              <w:spacing w:before="0" w:after="0"/>
              <w:ind w:firstLine="0"/>
            </w:pPr>
          </w:p>
          <w:p w:rsidR="004C634D" w:rsidRPr="007449B0" w:rsidRDefault="004C634D" w:rsidP="003C05FA">
            <w:pPr>
              <w:pStyle w:val="naisf"/>
              <w:spacing w:before="0" w:after="0"/>
              <w:ind w:firstLine="0"/>
            </w:pPr>
          </w:p>
          <w:p w:rsidR="004C634D" w:rsidRPr="007449B0" w:rsidRDefault="004C634D" w:rsidP="003C05FA">
            <w:pPr>
              <w:pStyle w:val="naisf"/>
              <w:spacing w:before="0" w:after="0"/>
              <w:ind w:firstLine="0"/>
            </w:pPr>
          </w:p>
          <w:p w:rsidR="004C634D" w:rsidRPr="007449B0" w:rsidRDefault="004C634D" w:rsidP="003C05FA">
            <w:pPr>
              <w:pStyle w:val="naisf"/>
              <w:spacing w:before="0" w:after="0"/>
              <w:ind w:firstLine="0"/>
            </w:pPr>
          </w:p>
          <w:p w:rsidR="004C634D" w:rsidRPr="007449B0" w:rsidRDefault="004C634D" w:rsidP="003C05FA">
            <w:pPr>
              <w:pStyle w:val="naisf"/>
              <w:spacing w:before="0" w:after="0"/>
              <w:ind w:firstLine="0"/>
            </w:pPr>
          </w:p>
          <w:p w:rsidR="004C634D" w:rsidRPr="007449B0" w:rsidRDefault="004C634D" w:rsidP="003C05FA">
            <w:pPr>
              <w:pStyle w:val="naisf"/>
              <w:spacing w:before="0" w:after="0"/>
              <w:ind w:firstLine="0"/>
            </w:pPr>
          </w:p>
          <w:p w:rsidR="004C634D" w:rsidRPr="007449B0" w:rsidRDefault="004C634D" w:rsidP="003C05FA">
            <w:pPr>
              <w:pStyle w:val="naisf"/>
              <w:spacing w:before="0" w:after="0"/>
              <w:ind w:firstLine="0"/>
            </w:pPr>
          </w:p>
          <w:p w:rsidR="004C634D" w:rsidRPr="007449B0" w:rsidRDefault="004C634D" w:rsidP="003C05FA">
            <w:pPr>
              <w:pStyle w:val="naisf"/>
              <w:spacing w:before="0" w:after="0"/>
              <w:ind w:firstLine="0"/>
            </w:pPr>
          </w:p>
          <w:p w:rsidR="004C634D" w:rsidRPr="007449B0" w:rsidRDefault="004C634D" w:rsidP="003C05FA"/>
        </w:tc>
      </w:tr>
      <w:tr w:rsidR="004C634D" w:rsidRPr="007449B0" w:rsidTr="000C558E">
        <w:trPr>
          <w:jc w:val="center"/>
        </w:trPr>
        <w:tc>
          <w:tcPr>
            <w:tcW w:w="2349" w:type="dxa"/>
          </w:tcPr>
          <w:p w:rsidR="004C634D" w:rsidRPr="007449B0" w:rsidRDefault="004C634D" w:rsidP="003C05FA">
            <w:pPr>
              <w:jc w:val="both"/>
            </w:pPr>
            <w:r w:rsidRPr="007449B0">
              <w:t>6.1. detalizēts ieņēmumu aprēķins</w:t>
            </w:r>
          </w:p>
        </w:tc>
        <w:tc>
          <w:tcPr>
            <w:tcW w:w="7650" w:type="dxa"/>
            <w:gridSpan w:val="5"/>
            <w:vMerge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4C634D" w:rsidRPr="007449B0" w:rsidTr="000C558E">
        <w:trPr>
          <w:trHeight w:val="1340"/>
          <w:jc w:val="center"/>
        </w:trPr>
        <w:tc>
          <w:tcPr>
            <w:tcW w:w="2349" w:type="dxa"/>
          </w:tcPr>
          <w:p w:rsidR="004C634D" w:rsidRPr="007449B0" w:rsidRDefault="004C634D" w:rsidP="003C05FA">
            <w:pPr>
              <w:jc w:val="both"/>
            </w:pPr>
            <w:r w:rsidRPr="007449B0">
              <w:t>6.2. detalizēts izdevumu aprēķins</w:t>
            </w:r>
          </w:p>
        </w:tc>
        <w:tc>
          <w:tcPr>
            <w:tcW w:w="7650" w:type="dxa"/>
            <w:gridSpan w:val="5"/>
            <w:vMerge/>
          </w:tcPr>
          <w:p w:rsidR="004C634D" w:rsidRPr="007449B0" w:rsidRDefault="004C634D" w:rsidP="003C05FA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4C634D" w:rsidRPr="007449B0" w:rsidTr="000C558E">
        <w:trPr>
          <w:jc w:val="center"/>
        </w:trPr>
        <w:tc>
          <w:tcPr>
            <w:tcW w:w="2349" w:type="dxa"/>
          </w:tcPr>
          <w:p w:rsidR="004C634D" w:rsidRPr="007449B0" w:rsidRDefault="004C634D" w:rsidP="003C05FA">
            <w:pPr>
              <w:jc w:val="both"/>
            </w:pPr>
            <w:r w:rsidRPr="007449B0">
              <w:t>7. Cita informācija</w:t>
            </w:r>
          </w:p>
        </w:tc>
        <w:tc>
          <w:tcPr>
            <w:tcW w:w="7650" w:type="dxa"/>
            <w:gridSpan w:val="5"/>
          </w:tcPr>
          <w:p w:rsidR="004C634D" w:rsidRPr="007449B0" w:rsidRDefault="007449B0" w:rsidP="008F26D7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highlight w:val="yellow"/>
              </w:rPr>
            </w:pPr>
            <w:r w:rsidRPr="007449B0">
              <w:t>Nav</w:t>
            </w:r>
          </w:p>
        </w:tc>
      </w:tr>
    </w:tbl>
    <w:p w:rsidR="00E46559" w:rsidRPr="007449B0" w:rsidRDefault="00E46559" w:rsidP="006C4607">
      <w:pPr>
        <w:pStyle w:val="naisf"/>
        <w:spacing w:before="0" w:after="0"/>
        <w:jc w:val="center"/>
        <w:rPr>
          <w:b/>
        </w:rPr>
      </w:pPr>
    </w:p>
    <w:tbl>
      <w:tblPr>
        <w:tblW w:w="1020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4"/>
        <w:gridCol w:w="540"/>
        <w:gridCol w:w="3118"/>
        <w:gridCol w:w="930"/>
        <w:gridCol w:w="5245"/>
      </w:tblGrid>
      <w:tr w:rsidR="008F26D7" w:rsidRPr="007449B0" w:rsidTr="00EE759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D7" w:rsidRPr="007449B0" w:rsidRDefault="008F26D7" w:rsidP="008F26D7">
            <w:pPr>
              <w:pStyle w:val="naisnod"/>
              <w:spacing w:before="0" w:after="0"/>
              <w:ind w:left="57" w:right="57"/>
            </w:pPr>
            <w:r w:rsidRPr="007449B0">
              <w:t>IV. Tiesību akta projekta ietekme uz spēkā esošo tiesību normu sistēmu</w:t>
            </w:r>
          </w:p>
        </w:tc>
      </w:tr>
      <w:tr w:rsidR="008F26D7" w:rsidRPr="007449B0" w:rsidTr="00EE7591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jc w:val="center"/>
        </w:trPr>
        <w:tc>
          <w:tcPr>
            <w:tcW w:w="914" w:type="dxa"/>
            <w:gridSpan w:val="2"/>
          </w:tcPr>
          <w:p w:rsidR="008F26D7" w:rsidRPr="007449B0" w:rsidRDefault="008F26D7" w:rsidP="003C05FA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7449B0">
              <w:rPr>
                <w:iCs/>
              </w:rPr>
              <w:t>1.</w:t>
            </w:r>
          </w:p>
        </w:tc>
        <w:tc>
          <w:tcPr>
            <w:tcW w:w="3118" w:type="dxa"/>
          </w:tcPr>
          <w:p w:rsidR="008F26D7" w:rsidRPr="007449B0" w:rsidRDefault="008F26D7" w:rsidP="003C05FA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7449B0">
              <w:t>Nepieciešamie saistītie tiesību aktu projekti</w:t>
            </w:r>
          </w:p>
        </w:tc>
        <w:tc>
          <w:tcPr>
            <w:tcW w:w="6175" w:type="dxa"/>
            <w:gridSpan w:val="2"/>
          </w:tcPr>
          <w:p w:rsidR="008F26D7" w:rsidRPr="00024A53" w:rsidRDefault="007449B0" w:rsidP="00024A53">
            <w:pPr>
              <w:spacing w:before="100" w:beforeAutospacing="1" w:after="100" w:afterAutospacing="1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iCs/>
              </w:rPr>
              <w:t xml:space="preserve">Vienlaikus ar projektu izskata MK noteikumu projektu </w:t>
            </w:r>
            <w:r w:rsidR="00ED75CF">
              <w:rPr>
                <w:iCs/>
              </w:rPr>
              <w:t>„</w:t>
            </w:r>
            <w:r w:rsidR="00ED75CF" w:rsidRPr="00ED75CF">
              <w:rPr>
                <w:bCs/>
              </w:rPr>
              <w:t>Par Latvijas Universitātes zinātniskā institūta „Latvijas Universitātes Cietvielu fizikas institūts” nolikuma apstiprināšanu</w:t>
            </w:r>
            <w:r w:rsidR="00ED75CF">
              <w:rPr>
                <w:bCs/>
              </w:rPr>
              <w:t>”</w:t>
            </w:r>
          </w:p>
        </w:tc>
      </w:tr>
      <w:tr w:rsidR="008F26D7" w:rsidRPr="007449B0" w:rsidTr="00EE7591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jc w:val="center"/>
        </w:trPr>
        <w:tc>
          <w:tcPr>
            <w:tcW w:w="914" w:type="dxa"/>
            <w:gridSpan w:val="2"/>
          </w:tcPr>
          <w:p w:rsidR="008F26D7" w:rsidRPr="007449B0" w:rsidRDefault="008F26D7" w:rsidP="003C05FA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7449B0">
              <w:rPr>
                <w:iCs/>
              </w:rPr>
              <w:t>2.</w:t>
            </w:r>
          </w:p>
        </w:tc>
        <w:tc>
          <w:tcPr>
            <w:tcW w:w="3118" w:type="dxa"/>
          </w:tcPr>
          <w:p w:rsidR="008F26D7" w:rsidRPr="007449B0" w:rsidRDefault="008F26D7" w:rsidP="003C05FA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7449B0">
              <w:t>Cita informācija</w:t>
            </w:r>
          </w:p>
        </w:tc>
        <w:tc>
          <w:tcPr>
            <w:tcW w:w="6175" w:type="dxa"/>
            <w:gridSpan w:val="2"/>
          </w:tcPr>
          <w:p w:rsidR="008F26D7" w:rsidRPr="007449B0" w:rsidRDefault="007449B0" w:rsidP="003C05FA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>
              <w:t>Nav</w:t>
            </w:r>
          </w:p>
        </w:tc>
      </w:tr>
      <w:tr w:rsidR="007449B0" w:rsidRPr="007449B0" w:rsidTr="00EE7591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jc w:val="center"/>
        </w:trPr>
        <w:tc>
          <w:tcPr>
            <w:tcW w:w="914" w:type="dxa"/>
            <w:gridSpan w:val="2"/>
          </w:tcPr>
          <w:p w:rsidR="007449B0" w:rsidRPr="007449B0" w:rsidRDefault="007449B0" w:rsidP="003C05FA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</w:p>
        </w:tc>
        <w:tc>
          <w:tcPr>
            <w:tcW w:w="3118" w:type="dxa"/>
          </w:tcPr>
          <w:p w:rsidR="007449B0" w:rsidRPr="007449B0" w:rsidRDefault="007449B0" w:rsidP="003C05FA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</w:p>
        </w:tc>
        <w:tc>
          <w:tcPr>
            <w:tcW w:w="6175" w:type="dxa"/>
            <w:gridSpan w:val="2"/>
          </w:tcPr>
          <w:p w:rsidR="007449B0" w:rsidRDefault="007449B0" w:rsidP="003C05FA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</w:p>
        </w:tc>
      </w:tr>
      <w:tr w:rsidR="0023436E" w:rsidRPr="007449B0" w:rsidTr="00EE7591"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23436E" w:rsidRPr="007449B0" w:rsidRDefault="0023436E" w:rsidP="007D099D">
            <w:pPr>
              <w:pStyle w:val="naisnod"/>
              <w:spacing w:before="0" w:after="0"/>
              <w:ind w:left="57" w:right="57"/>
            </w:pPr>
            <w:r w:rsidRPr="007449B0">
              <w:t>VII</w:t>
            </w:r>
            <w:r w:rsidR="000941C5" w:rsidRPr="007449B0">
              <w:t>.</w:t>
            </w:r>
            <w:r w:rsidRPr="007449B0">
              <w:t xml:space="preserve"> Tiesību akta projekta izpildes nodrošināšana un tās ietekme uz institūcijām</w:t>
            </w:r>
          </w:p>
        </w:tc>
      </w:tr>
      <w:tr w:rsidR="0023436E" w:rsidRPr="007449B0" w:rsidTr="00EE7591">
        <w:trPr>
          <w:trHeight w:val="427"/>
        </w:trPr>
        <w:tc>
          <w:tcPr>
            <w:tcW w:w="374" w:type="dxa"/>
          </w:tcPr>
          <w:p w:rsidR="0023436E" w:rsidRPr="007449B0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9B0">
              <w:rPr>
                <w:b w:val="0"/>
              </w:rPr>
              <w:t>1.</w:t>
            </w:r>
          </w:p>
        </w:tc>
        <w:tc>
          <w:tcPr>
            <w:tcW w:w="4588" w:type="dxa"/>
            <w:gridSpan w:val="3"/>
          </w:tcPr>
          <w:p w:rsidR="0023436E" w:rsidRPr="007449B0" w:rsidRDefault="001A4066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9B0">
              <w:t>P</w:t>
            </w:r>
            <w:r w:rsidR="0023436E" w:rsidRPr="007449B0">
              <w:t xml:space="preserve">rojekta izpildē iesaistītās institūcijas </w:t>
            </w:r>
          </w:p>
        </w:tc>
        <w:tc>
          <w:tcPr>
            <w:tcW w:w="5244" w:type="dxa"/>
          </w:tcPr>
          <w:p w:rsidR="0023436E" w:rsidRPr="00ED75CF" w:rsidRDefault="00024A53" w:rsidP="00024A53">
            <w:pPr>
              <w:pStyle w:val="naisnod"/>
              <w:spacing w:before="0" w:after="0"/>
              <w:ind w:left="57" w:right="57"/>
              <w:jc w:val="left"/>
              <w:rPr>
                <w:b w:val="0"/>
                <w:strike/>
              </w:rPr>
            </w:pPr>
            <w:r>
              <w:rPr>
                <w:b w:val="0"/>
                <w:iCs/>
              </w:rPr>
              <w:t>Latvijas Universitāte</w:t>
            </w:r>
            <w:r w:rsidR="0098362C">
              <w:rPr>
                <w:b w:val="0"/>
                <w:iCs/>
              </w:rPr>
              <w:t xml:space="preserve"> un </w:t>
            </w:r>
            <w:r w:rsidR="0098362C" w:rsidRPr="00ED75CF">
              <w:rPr>
                <w:b w:val="0"/>
              </w:rPr>
              <w:t>Latvijas Universitātes Cietvielu fizikas institūts</w:t>
            </w:r>
            <w:r>
              <w:rPr>
                <w:b w:val="0"/>
                <w:iCs/>
              </w:rPr>
              <w:t>.</w:t>
            </w:r>
          </w:p>
        </w:tc>
      </w:tr>
      <w:tr w:rsidR="0023436E" w:rsidRPr="007449B0" w:rsidTr="00EE7591">
        <w:trPr>
          <w:trHeight w:val="463"/>
        </w:trPr>
        <w:tc>
          <w:tcPr>
            <w:tcW w:w="374" w:type="dxa"/>
          </w:tcPr>
          <w:p w:rsidR="0023436E" w:rsidRPr="007449B0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9B0">
              <w:rPr>
                <w:b w:val="0"/>
              </w:rPr>
              <w:t>2.</w:t>
            </w:r>
          </w:p>
        </w:tc>
        <w:tc>
          <w:tcPr>
            <w:tcW w:w="4588" w:type="dxa"/>
            <w:gridSpan w:val="3"/>
          </w:tcPr>
          <w:p w:rsidR="0023436E" w:rsidRPr="007449B0" w:rsidRDefault="001A4066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9B0">
              <w:t>Projekta i</w:t>
            </w:r>
            <w:r w:rsidR="0023436E" w:rsidRPr="007449B0">
              <w:t xml:space="preserve">zpildes ietekme uz pārvaldes funkcijām </w:t>
            </w:r>
          </w:p>
        </w:tc>
        <w:tc>
          <w:tcPr>
            <w:tcW w:w="5244" w:type="dxa"/>
          </w:tcPr>
          <w:p w:rsidR="0023436E" w:rsidRPr="00CD216F" w:rsidRDefault="00881C02" w:rsidP="00CD216F">
            <w:pPr>
              <w:pStyle w:val="naisnod"/>
              <w:spacing w:before="0" w:after="0"/>
              <w:ind w:left="57" w:right="57"/>
              <w:jc w:val="both"/>
              <w:rPr>
                <w:b w:val="0"/>
                <w:shd w:val="clear" w:color="auto" w:fill="FFFFFF"/>
              </w:rPr>
            </w:pPr>
            <w:r w:rsidRPr="00CD216F">
              <w:rPr>
                <w:b w:val="0"/>
              </w:rPr>
              <w:t>Latvijas Universitāte</w:t>
            </w:r>
            <w:r w:rsidR="00024A53" w:rsidRPr="00CD216F">
              <w:rPr>
                <w:b w:val="0"/>
              </w:rPr>
              <w:t xml:space="preserve">s </w:t>
            </w:r>
            <w:r w:rsidR="00CD216F" w:rsidRPr="00CD216F">
              <w:rPr>
                <w:b w:val="0"/>
                <w:shd w:val="clear" w:color="auto" w:fill="FFFFFF"/>
              </w:rPr>
              <w:t>funkcijas un uzdevumi netiek paplašināti. Ar rīkojumu beidz pastāvēt Latvijas Universitātes pastarpināta pārvaldes iestāde – aģentūra un izveidota pārraudzības institūcija – atvasināta publiska persona „</w:t>
            </w:r>
            <w:r w:rsidR="00CD216F" w:rsidRPr="00CD216F">
              <w:rPr>
                <w:b w:val="0"/>
              </w:rPr>
              <w:t>Latvijas Universitātes Cietvielu fizikas institūts”, kura pārņems aģentūras funkcijas un uzdevumus.</w:t>
            </w:r>
          </w:p>
        </w:tc>
      </w:tr>
      <w:tr w:rsidR="0023436E" w:rsidRPr="007449B0" w:rsidTr="00EE7591">
        <w:trPr>
          <w:trHeight w:val="725"/>
        </w:trPr>
        <w:tc>
          <w:tcPr>
            <w:tcW w:w="374" w:type="dxa"/>
          </w:tcPr>
          <w:p w:rsidR="0023436E" w:rsidRPr="007449B0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9B0">
              <w:rPr>
                <w:b w:val="0"/>
              </w:rPr>
              <w:t>3.</w:t>
            </w:r>
          </w:p>
        </w:tc>
        <w:tc>
          <w:tcPr>
            <w:tcW w:w="4588" w:type="dxa"/>
            <w:gridSpan w:val="3"/>
          </w:tcPr>
          <w:p w:rsidR="0023436E" w:rsidRPr="007449B0" w:rsidRDefault="001A4066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9B0">
              <w:t>Projekta iz</w:t>
            </w:r>
            <w:r w:rsidR="0023436E" w:rsidRPr="007449B0">
              <w:t>pildes ietekme uz pārvaldes institucionālo struktūru.</w:t>
            </w:r>
          </w:p>
          <w:p w:rsidR="0023436E" w:rsidRPr="007449B0" w:rsidRDefault="006C4607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9B0">
              <w:t>Jaunu institūciju izveide</w:t>
            </w:r>
          </w:p>
        </w:tc>
        <w:tc>
          <w:tcPr>
            <w:tcW w:w="5244" w:type="dxa"/>
          </w:tcPr>
          <w:p w:rsidR="008F26D7" w:rsidRPr="00ED75CF" w:rsidRDefault="008F26D7" w:rsidP="006E2934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ED75CF">
              <w:rPr>
                <w:b w:val="0"/>
                <w:iCs/>
              </w:rPr>
              <w:t xml:space="preserve">Ir ietekme uz pārvaldes institucionālo struktūru. Tiek izveidota jauna juridiska persona – </w:t>
            </w:r>
            <w:r w:rsidR="006E2934">
              <w:rPr>
                <w:b w:val="0"/>
                <w:iCs/>
              </w:rPr>
              <w:t>u</w:t>
            </w:r>
            <w:r w:rsidRPr="00ED75CF">
              <w:rPr>
                <w:b w:val="0"/>
                <w:iCs/>
              </w:rPr>
              <w:t>niversitātes atvasināta publiska persona "</w:t>
            </w:r>
            <w:r w:rsidRPr="00ED75CF">
              <w:rPr>
                <w:b w:val="0"/>
              </w:rPr>
              <w:t xml:space="preserve"> Latvijas </w:t>
            </w:r>
            <w:r w:rsidRPr="00ED75CF">
              <w:rPr>
                <w:b w:val="0"/>
              </w:rPr>
              <w:lastRenderedPageBreak/>
              <w:t>Universitātes Cietvielu fizikas institūts”</w:t>
            </w:r>
          </w:p>
        </w:tc>
      </w:tr>
      <w:tr w:rsidR="0023436E" w:rsidRPr="007449B0" w:rsidTr="00EE7591">
        <w:trPr>
          <w:trHeight w:val="780"/>
        </w:trPr>
        <w:tc>
          <w:tcPr>
            <w:tcW w:w="374" w:type="dxa"/>
          </w:tcPr>
          <w:p w:rsidR="0023436E" w:rsidRPr="007449B0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9B0">
              <w:rPr>
                <w:b w:val="0"/>
              </w:rPr>
              <w:lastRenderedPageBreak/>
              <w:t>4.</w:t>
            </w:r>
          </w:p>
        </w:tc>
        <w:tc>
          <w:tcPr>
            <w:tcW w:w="4588" w:type="dxa"/>
            <w:gridSpan w:val="3"/>
          </w:tcPr>
          <w:p w:rsidR="0023436E" w:rsidRPr="007449B0" w:rsidRDefault="001A4066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9B0">
              <w:t>Projekta i</w:t>
            </w:r>
            <w:r w:rsidR="0023436E" w:rsidRPr="007449B0">
              <w:t>zpildes ietekme uz pārvaldes institucionālo struktūru.</w:t>
            </w:r>
          </w:p>
          <w:p w:rsidR="0023436E" w:rsidRPr="007449B0" w:rsidRDefault="006C4607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9B0">
              <w:t>Esošu institūciju likvidācija</w:t>
            </w:r>
          </w:p>
        </w:tc>
        <w:tc>
          <w:tcPr>
            <w:tcW w:w="5244" w:type="dxa"/>
          </w:tcPr>
          <w:p w:rsidR="008F26D7" w:rsidRPr="00ED75CF" w:rsidRDefault="008F26D7" w:rsidP="006E2934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ED75CF">
              <w:rPr>
                <w:b w:val="0"/>
                <w:iCs/>
              </w:rPr>
              <w:t xml:space="preserve">Ir ietekme uz pārvaldes institucionālo struktūru. Beidz pastāvēt </w:t>
            </w:r>
            <w:r w:rsidR="006E2934">
              <w:rPr>
                <w:b w:val="0"/>
                <w:iCs/>
              </w:rPr>
              <w:t>u</w:t>
            </w:r>
            <w:r w:rsidRPr="00ED75CF">
              <w:rPr>
                <w:b w:val="0"/>
                <w:iCs/>
              </w:rPr>
              <w:t>niversitātes dibināta aģentūra, t.i., beidz  pastāvēt pastarpināta valsts pārvades iestāde.</w:t>
            </w:r>
          </w:p>
        </w:tc>
      </w:tr>
      <w:tr w:rsidR="0023436E" w:rsidRPr="007449B0" w:rsidTr="00EE7591">
        <w:trPr>
          <w:trHeight w:val="703"/>
        </w:trPr>
        <w:tc>
          <w:tcPr>
            <w:tcW w:w="374" w:type="dxa"/>
          </w:tcPr>
          <w:p w:rsidR="0023436E" w:rsidRPr="007449B0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9B0">
              <w:rPr>
                <w:b w:val="0"/>
              </w:rPr>
              <w:t>5.</w:t>
            </w:r>
          </w:p>
        </w:tc>
        <w:tc>
          <w:tcPr>
            <w:tcW w:w="4588" w:type="dxa"/>
            <w:gridSpan w:val="3"/>
          </w:tcPr>
          <w:p w:rsidR="0023436E" w:rsidRPr="007449B0" w:rsidRDefault="001A4066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9B0">
              <w:t>Projekta i</w:t>
            </w:r>
            <w:r w:rsidR="0023436E" w:rsidRPr="007449B0">
              <w:t>zpildes ietekme uz pārvaldes institucionālo struktūru.</w:t>
            </w:r>
          </w:p>
          <w:p w:rsidR="0023436E" w:rsidRPr="007449B0" w:rsidRDefault="0023436E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9B0">
              <w:t>Esošu institūciju reorganizācija</w:t>
            </w:r>
          </w:p>
        </w:tc>
        <w:tc>
          <w:tcPr>
            <w:tcW w:w="5244" w:type="dxa"/>
          </w:tcPr>
          <w:p w:rsidR="00FD10E5" w:rsidRPr="00716FB5" w:rsidRDefault="00FD10E5" w:rsidP="0087350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CD216F">
              <w:rPr>
                <w:b w:val="0"/>
              </w:rPr>
              <w:t>Projekts šo jomu neskar</w:t>
            </w:r>
            <w:r w:rsidR="00CD216F" w:rsidRPr="00CD216F">
              <w:rPr>
                <w:b w:val="0"/>
              </w:rPr>
              <w:t>.</w:t>
            </w:r>
          </w:p>
          <w:p w:rsidR="00FD10E5" w:rsidRDefault="00FD10E5" w:rsidP="0087350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</w:p>
          <w:p w:rsidR="0023436E" w:rsidRPr="00ED75CF" w:rsidRDefault="0023436E" w:rsidP="0087350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</w:p>
        </w:tc>
      </w:tr>
      <w:tr w:rsidR="0023436E" w:rsidRPr="007449B0" w:rsidTr="00EE7591">
        <w:trPr>
          <w:trHeight w:val="476"/>
        </w:trPr>
        <w:tc>
          <w:tcPr>
            <w:tcW w:w="374" w:type="dxa"/>
          </w:tcPr>
          <w:p w:rsidR="0023436E" w:rsidRPr="007449B0" w:rsidRDefault="00F63DAC" w:rsidP="007D099D">
            <w:pPr>
              <w:pStyle w:val="naiskr"/>
              <w:spacing w:before="0" w:after="0"/>
              <w:ind w:left="57" w:right="57"/>
            </w:pPr>
            <w:r w:rsidRPr="007449B0">
              <w:t>6</w:t>
            </w:r>
            <w:r w:rsidR="0023436E" w:rsidRPr="007449B0">
              <w:t>.</w:t>
            </w:r>
          </w:p>
        </w:tc>
        <w:tc>
          <w:tcPr>
            <w:tcW w:w="4588" w:type="dxa"/>
            <w:gridSpan w:val="3"/>
          </w:tcPr>
          <w:p w:rsidR="0023436E" w:rsidRPr="007449B0" w:rsidRDefault="006C4607" w:rsidP="007D099D">
            <w:pPr>
              <w:pStyle w:val="naiskr"/>
              <w:spacing w:before="0" w:after="0"/>
              <w:ind w:left="57" w:right="57"/>
            </w:pPr>
            <w:r w:rsidRPr="007449B0">
              <w:t>Cita informācija</w:t>
            </w:r>
          </w:p>
        </w:tc>
        <w:tc>
          <w:tcPr>
            <w:tcW w:w="5244" w:type="dxa"/>
          </w:tcPr>
          <w:p w:rsidR="0023436E" w:rsidRPr="007449B0" w:rsidRDefault="00E754BF" w:rsidP="007D099D">
            <w:pPr>
              <w:pStyle w:val="naiskr"/>
              <w:spacing w:before="0" w:after="0"/>
              <w:ind w:left="57" w:right="57"/>
            </w:pPr>
            <w:r w:rsidRPr="007449B0">
              <w:t>Nav</w:t>
            </w:r>
          </w:p>
        </w:tc>
      </w:tr>
    </w:tbl>
    <w:p w:rsidR="00CD216F" w:rsidRDefault="00CD216F" w:rsidP="00CD216F">
      <w:pPr>
        <w:pStyle w:val="naisf"/>
        <w:tabs>
          <w:tab w:val="left" w:pos="5760"/>
        </w:tabs>
        <w:spacing w:before="0" w:after="0"/>
        <w:ind w:firstLine="0"/>
      </w:pPr>
    </w:p>
    <w:p w:rsidR="00427490" w:rsidRPr="007449B0" w:rsidRDefault="00F30035" w:rsidP="00CD216F">
      <w:pPr>
        <w:pStyle w:val="naisf"/>
        <w:tabs>
          <w:tab w:val="left" w:pos="5760"/>
        </w:tabs>
        <w:spacing w:before="0" w:after="0"/>
        <w:ind w:firstLine="0"/>
      </w:pPr>
      <w:r w:rsidRPr="007449B0">
        <w:t>Anotācijas V</w:t>
      </w:r>
      <w:r w:rsidR="00427490" w:rsidRPr="007449B0">
        <w:t> un VI sadaļa –</w:t>
      </w:r>
      <w:r w:rsidR="00CD216F">
        <w:t xml:space="preserve">rīkojums </w:t>
      </w:r>
      <w:r w:rsidR="00427490" w:rsidRPr="007449B0">
        <w:t>šīs jomas neskar.</w:t>
      </w:r>
    </w:p>
    <w:p w:rsidR="00214094" w:rsidRPr="007449B0" w:rsidRDefault="00214094" w:rsidP="006C4607">
      <w:pPr>
        <w:pStyle w:val="naisf"/>
        <w:tabs>
          <w:tab w:val="left" w:pos="5760"/>
        </w:tabs>
        <w:spacing w:before="0" w:after="0"/>
        <w:ind w:firstLine="720"/>
      </w:pPr>
    </w:p>
    <w:p w:rsidR="002A7FC4" w:rsidRPr="007449B0" w:rsidRDefault="002A7FC4" w:rsidP="006C4607">
      <w:pPr>
        <w:pStyle w:val="naisf"/>
        <w:tabs>
          <w:tab w:val="left" w:pos="5760"/>
        </w:tabs>
        <w:spacing w:before="0" w:after="0"/>
        <w:ind w:firstLine="720"/>
      </w:pPr>
    </w:p>
    <w:p w:rsidR="00BF40ED" w:rsidRPr="007449B0" w:rsidRDefault="00BF40ED" w:rsidP="00CD216F">
      <w:pPr>
        <w:pStyle w:val="naisf"/>
        <w:tabs>
          <w:tab w:val="left" w:pos="6804"/>
        </w:tabs>
        <w:spacing w:before="0" w:after="0"/>
        <w:ind w:firstLine="0"/>
      </w:pPr>
    </w:p>
    <w:p w:rsidR="00BB2857" w:rsidRPr="007449B0" w:rsidRDefault="00BB2857" w:rsidP="00BB2857">
      <w:pPr>
        <w:pStyle w:val="Heading5"/>
        <w:tabs>
          <w:tab w:val="right" w:pos="8789"/>
        </w:tabs>
        <w:ind w:firstLine="426"/>
        <w:rPr>
          <w:sz w:val="24"/>
          <w:szCs w:val="24"/>
          <w:lang w:val="lv-LV"/>
        </w:rPr>
      </w:pPr>
      <w:r w:rsidRPr="007449B0">
        <w:rPr>
          <w:sz w:val="24"/>
          <w:szCs w:val="24"/>
          <w:lang w:val="lv-LV"/>
        </w:rPr>
        <w:t>Izglītības un zinātnes ministrs</w:t>
      </w:r>
      <w:r w:rsidRPr="007449B0">
        <w:rPr>
          <w:sz w:val="24"/>
          <w:szCs w:val="24"/>
          <w:lang w:val="lv-LV"/>
        </w:rPr>
        <w:tab/>
        <w:t>V</w:t>
      </w:r>
      <w:r w:rsidR="00E00413">
        <w:rPr>
          <w:sz w:val="24"/>
          <w:szCs w:val="24"/>
          <w:lang w:val="lv-LV"/>
        </w:rPr>
        <w:t>.</w:t>
      </w:r>
      <w:r w:rsidRPr="007449B0">
        <w:rPr>
          <w:sz w:val="24"/>
          <w:szCs w:val="24"/>
          <w:lang w:val="lv-LV"/>
        </w:rPr>
        <w:t xml:space="preserve"> </w:t>
      </w:r>
      <w:proofErr w:type="spellStart"/>
      <w:r w:rsidRPr="007449B0">
        <w:rPr>
          <w:sz w:val="24"/>
          <w:szCs w:val="24"/>
          <w:lang w:val="lv-LV"/>
        </w:rPr>
        <w:t>Dombrovskis</w:t>
      </w:r>
      <w:proofErr w:type="spellEnd"/>
    </w:p>
    <w:p w:rsidR="0015060C" w:rsidRPr="007449B0" w:rsidRDefault="0015060C" w:rsidP="00845811">
      <w:pPr>
        <w:pStyle w:val="naisf"/>
        <w:tabs>
          <w:tab w:val="left" w:pos="6804"/>
        </w:tabs>
        <w:spacing w:before="0" w:after="0"/>
        <w:ind w:firstLine="720"/>
      </w:pPr>
    </w:p>
    <w:p w:rsidR="00203CD0" w:rsidRPr="007449B0" w:rsidRDefault="00203CD0" w:rsidP="00203CD0">
      <w:pPr>
        <w:tabs>
          <w:tab w:val="left" w:pos="5580"/>
          <w:tab w:val="left" w:pos="6663"/>
          <w:tab w:val="right" w:pos="8789"/>
        </w:tabs>
        <w:ind w:firstLine="426"/>
      </w:pPr>
      <w:r w:rsidRPr="007449B0">
        <w:t xml:space="preserve">Vizē: </w:t>
      </w:r>
    </w:p>
    <w:p w:rsidR="00203CD0" w:rsidRPr="007449B0" w:rsidRDefault="00E00413" w:rsidP="00203CD0">
      <w:pPr>
        <w:tabs>
          <w:tab w:val="left" w:pos="5580"/>
          <w:tab w:val="left" w:pos="6663"/>
          <w:tab w:val="right" w:pos="8789"/>
        </w:tabs>
        <w:ind w:firstLine="426"/>
      </w:pPr>
      <w:r>
        <w:t>Valsts sekretāre</w:t>
      </w:r>
      <w:r>
        <w:tab/>
      </w:r>
      <w:r>
        <w:tab/>
        <w:t xml:space="preserve">           </w:t>
      </w:r>
      <w:r w:rsidR="00203CD0" w:rsidRPr="007449B0">
        <w:t>S.Liepiņa</w:t>
      </w:r>
    </w:p>
    <w:p w:rsidR="00203CD0" w:rsidRPr="007449B0" w:rsidRDefault="00203CD0" w:rsidP="00203CD0">
      <w:pPr>
        <w:pStyle w:val="Footer"/>
      </w:pPr>
    </w:p>
    <w:p w:rsidR="00203CD0" w:rsidRDefault="00203CD0" w:rsidP="00203CD0">
      <w:pPr>
        <w:pStyle w:val="naisf"/>
        <w:tabs>
          <w:tab w:val="left" w:pos="6804"/>
        </w:tabs>
        <w:spacing w:before="0" w:after="0"/>
        <w:ind w:firstLine="720"/>
      </w:pPr>
    </w:p>
    <w:p w:rsidR="00716A2F" w:rsidRDefault="00716A2F" w:rsidP="00203CD0">
      <w:pPr>
        <w:pStyle w:val="naisf"/>
        <w:tabs>
          <w:tab w:val="left" w:pos="6804"/>
        </w:tabs>
        <w:spacing w:before="0" w:after="0"/>
        <w:ind w:firstLine="720"/>
      </w:pPr>
    </w:p>
    <w:p w:rsidR="00716A2F" w:rsidRDefault="00716A2F" w:rsidP="00203CD0">
      <w:pPr>
        <w:pStyle w:val="naisf"/>
        <w:tabs>
          <w:tab w:val="left" w:pos="6804"/>
        </w:tabs>
        <w:spacing w:before="0" w:after="0"/>
        <w:ind w:firstLine="720"/>
      </w:pPr>
    </w:p>
    <w:p w:rsidR="00716A2F" w:rsidRPr="007449B0" w:rsidRDefault="00716A2F" w:rsidP="00203CD0">
      <w:pPr>
        <w:pStyle w:val="naisf"/>
        <w:tabs>
          <w:tab w:val="left" w:pos="6804"/>
        </w:tabs>
        <w:spacing w:before="0" w:after="0"/>
        <w:ind w:firstLine="720"/>
      </w:pPr>
    </w:p>
    <w:p w:rsidR="00203CD0" w:rsidRPr="007449B0" w:rsidRDefault="00203CD0" w:rsidP="00203CD0">
      <w:pPr>
        <w:pStyle w:val="naisf"/>
        <w:tabs>
          <w:tab w:val="left" w:pos="6804"/>
        </w:tabs>
        <w:spacing w:before="0" w:after="0"/>
        <w:ind w:firstLine="0"/>
      </w:pPr>
    </w:p>
    <w:p w:rsidR="00CD216F" w:rsidRDefault="00CD216F" w:rsidP="00203CD0">
      <w:pPr>
        <w:rPr>
          <w:sz w:val="20"/>
          <w:szCs w:val="20"/>
        </w:rPr>
      </w:pPr>
    </w:p>
    <w:p w:rsidR="00CD216F" w:rsidRDefault="00CD216F" w:rsidP="00203CD0">
      <w:pPr>
        <w:rPr>
          <w:sz w:val="20"/>
          <w:szCs w:val="20"/>
        </w:rPr>
      </w:pPr>
    </w:p>
    <w:p w:rsidR="00CD216F" w:rsidRDefault="00CD216F" w:rsidP="00203CD0">
      <w:pPr>
        <w:rPr>
          <w:sz w:val="20"/>
          <w:szCs w:val="20"/>
        </w:rPr>
      </w:pPr>
    </w:p>
    <w:p w:rsidR="00203CD0" w:rsidRDefault="00635316" w:rsidP="00E00413">
      <w:pPr>
        <w:rPr>
          <w:sz w:val="20"/>
          <w:szCs w:val="20"/>
        </w:rPr>
      </w:pPr>
      <w:r>
        <w:rPr>
          <w:sz w:val="20"/>
          <w:szCs w:val="20"/>
        </w:rPr>
        <w:t>31</w:t>
      </w:r>
      <w:r w:rsidR="008F26D7" w:rsidRPr="00716A2F">
        <w:rPr>
          <w:sz w:val="20"/>
          <w:szCs w:val="20"/>
        </w:rPr>
        <w:t>.07</w:t>
      </w:r>
      <w:r w:rsidR="00CD216F">
        <w:rPr>
          <w:sz w:val="20"/>
          <w:szCs w:val="20"/>
        </w:rPr>
        <w:t>.2013 16:4</w:t>
      </w:r>
      <w:r w:rsidR="00203CD0" w:rsidRPr="00716A2F">
        <w:rPr>
          <w:sz w:val="20"/>
          <w:szCs w:val="20"/>
        </w:rPr>
        <w:t>5</w:t>
      </w:r>
    </w:p>
    <w:p w:rsidR="00E00413" w:rsidRPr="00716A2F" w:rsidRDefault="002B7385" w:rsidP="00E00413">
      <w:pPr>
        <w:rPr>
          <w:sz w:val="20"/>
          <w:szCs w:val="20"/>
        </w:rPr>
      </w:pPr>
      <w:r>
        <w:rPr>
          <w:sz w:val="20"/>
          <w:szCs w:val="20"/>
        </w:rPr>
        <w:t>1351</w:t>
      </w:r>
    </w:p>
    <w:p w:rsidR="00203CD0" w:rsidRPr="00716A2F" w:rsidRDefault="00203CD0" w:rsidP="00203CD0">
      <w:pPr>
        <w:rPr>
          <w:sz w:val="20"/>
          <w:szCs w:val="20"/>
        </w:rPr>
      </w:pPr>
      <w:proofErr w:type="spellStart"/>
      <w:r w:rsidRPr="00716A2F">
        <w:rPr>
          <w:sz w:val="20"/>
          <w:szCs w:val="20"/>
        </w:rPr>
        <w:t>Depkovska</w:t>
      </w:r>
      <w:proofErr w:type="spellEnd"/>
      <w:r w:rsidRPr="00716A2F">
        <w:rPr>
          <w:sz w:val="20"/>
          <w:szCs w:val="20"/>
        </w:rPr>
        <w:t>, 67047772</w:t>
      </w:r>
    </w:p>
    <w:p w:rsidR="00203CD0" w:rsidRPr="00716A2F" w:rsidRDefault="00B4517E" w:rsidP="00203CD0">
      <w:pPr>
        <w:rPr>
          <w:sz w:val="20"/>
          <w:szCs w:val="20"/>
        </w:rPr>
      </w:pPr>
      <w:hyperlink r:id="rId8" w:history="1">
        <w:r w:rsidR="00203CD0" w:rsidRPr="00716A2F">
          <w:rPr>
            <w:rStyle w:val="Hyperlink"/>
            <w:sz w:val="20"/>
            <w:szCs w:val="20"/>
          </w:rPr>
          <w:t>anita.depkovska@izm.gov.lv</w:t>
        </w:r>
      </w:hyperlink>
    </w:p>
    <w:p w:rsidR="00203CD0" w:rsidRDefault="00203CD0" w:rsidP="00CD216F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bookmarkStart w:id="0" w:name="_GoBack"/>
      <w:bookmarkEnd w:id="0"/>
    </w:p>
    <w:p w:rsidR="00CD216F" w:rsidRPr="00716A2F" w:rsidRDefault="00CD216F" w:rsidP="00CD216F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sectPr w:rsidR="00CD216F" w:rsidRPr="00716A2F" w:rsidSect="00AE2327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74" w:rsidRDefault="001F6474">
      <w:r>
        <w:separator/>
      </w:r>
    </w:p>
  </w:endnote>
  <w:endnote w:type="continuationSeparator" w:id="0">
    <w:p w:rsidR="001F6474" w:rsidRDefault="001F6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31" w:rsidRPr="007449B0" w:rsidRDefault="00635316" w:rsidP="00654E31">
    <w:pPr>
      <w:spacing w:before="100" w:beforeAutospacing="1" w:after="100" w:afterAutospacing="1"/>
      <w:jc w:val="both"/>
      <w:outlineLvl w:val="2"/>
      <w:rPr>
        <w:bCs/>
        <w:sz w:val="20"/>
        <w:szCs w:val="20"/>
      </w:rPr>
    </w:pPr>
    <w:r>
      <w:rPr>
        <w:sz w:val="20"/>
        <w:szCs w:val="20"/>
      </w:rPr>
      <w:t>IZManot_3107</w:t>
    </w:r>
    <w:r w:rsidR="00654E31" w:rsidRPr="007449B0">
      <w:rPr>
        <w:sz w:val="20"/>
        <w:szCs w:val="20"/>
      </w:rPr>
      <w:t>13_CFI</w:t>
    </w:r>
    <w:r w:rsidR="00EE7591">
      <w:rPr>
        <w:sz w:val="20"/>
        <w:szCs w:val="20"/>
      </w:rPr>
      <w:t>_parveide</w:t>
    </w:r>
    <w:r w:rsidR="00654E31" w:rsidRPr="007449B0">
      <w:rPr>
        <w:sz w:val="20"/>
        <w:szCs w:val="20"/>
      </w:rPr>
      <w:t>; Ministru kabineta rīkojuma projekta „</w:t>
    </w:r>
    <w:r w:rsidR="00654E31" w:rsidRPr="007449B0">
      <w:rPr>
        <w:bCs/>
        <w:sz w:val="20"/>
        <w:szCs w:val="20"/>
      </w:rPr>
      <w:t xml:space="preserve">Par Latvijas Universitātes aģentūras - zinātniskā institūta „Latvijas Universitātes Cietvielu fizikas institūts” pārveidi” </w:t>
    </w:r>
    <w:r w:rsidR="00654E31" w:rsidRPr="007449B0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654E31" w:rsidRPr="007449B0">
        <w:rPr>
          <w:sz w:val="20"/>
          <w:szCs w:val="20"/>
        </w:rPr>
        <w:t>ziņojums</w:t>
      </w:r>
    </w:smartTag>
    <w:r w:rsidR="00654E31" w:rsidRPr="007449B0">
      <w:rPr>
        <w:sz w:val="20"/>
        <w:szCs w:val="20"/>
      </w:rPr>
      <w:t xml:space="preserve"> (anotācija)</w:t>
    </w:r>
  </w:p>
  <w:p w:rsidR="00654E31" w:rsidRDefault="00654E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31" w:rsidRPr="00D83DC2" w:rsidRDefault="00635316" w:rsidP="00654E31">
    <w:pPr>
      <w:spacing w:before="100" w:beforeAutospacing="1" w:after="100" w:afterAutospacing="1"/>
      <w:jc w:val="both"/>
      <w:outlineLvl w:val="2"/>
      <w:rPr>
        <w:bCs/>
        <w:sz w:val="20"/>
        <w:szCs w:val="20"/>
      </w:rPr>
    </w:pPr>
    <w:r>
      <w:rPr>
        <w:sz w:val="20"/>
        <w:szCs w:val="20"/>
      </w:rPr>
      <w:t>IZManot_3107</w:t>
    </w:r>
    <w:r w:rsidR="00654E31" w:rsidRPr="00D83DC2">
      <w:rPr>
        <w:sz w:val="20"/>
        <w:szCs w:val="20"/>
      </w:rPr>
      <w:t>13_CFI</w:t>
    </w:r>
    <w:r w:rsidR="00EE7591">
      <w:rPr>
        <w:sz w:val="20"/>
        <w:szCs w:val="20"/>
      </w:rPr>
      <w:t>_parveide</w:t>
    </w:r>
    <w:r w:rsidR="00654E31" w:rsidRPr="00D83DC2">
      <w:rPr>
        <w:sz w:val="20"/>
        <w:szCs w:val="20"/>
      </w:rPr>
      <w:t>; Ministru kabineta rīkojuma projekta „</w:t>
    </w:r>
    <w:r w:rsidR="00654E31" w:rsidRPr="00D83DC2">
      <w:rPr>
        <w:bCs/>
        <w:sz w:val="20"/>
        <w:szCs w:val="20"/>
      </w:rPr>
      <w:t xml:space="preserve">Par Latvijas Universitātes aģentūras - zinātniskā institūta „Latvijas Universitātes Cietvielu fizikas institūts” pārveidi” </w:t>
    </w:r>
    <w:r w:rsidR="00654E31" w:rsidRPr="00D83DC2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654E31" w:rsidRPr="00D83DC2">
        <w:rPr>
          <w:sz w:val="20"/>
          <w:szCs w:val="20"/>
        </w:rPr>
        <w:t>ziņojums</w:t>
      </w:r>
    </w:smartTag>
    <w:r w:rsidR="00654E31" w:rsidRPr="00D83DC2">
      <w:rPr>
        <w:sz w:val="20"/>
        <w:szCs w:val="20"/>
      </w:rPr>
      <w:t xml:space="preserve"> (anotācija)</w:t>
    </w:r>
  </w:p>
  <w:p w:rsidR="00C31E36" w:rsidRPr="003C449B" w:rsidRDefault="00C31E36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74" w:rsidRDefault="001F6474">
      <w:r>
        <w:separator/>
      </w:r>
    </w:p>
  </w:footnote>
  <w:footnote w:type="continuationSeparator" w:id="0">
    <w:p w:rsidR="001F6474" w:rsidRDefault="001F6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36" w:rsidRDefault="00B4517E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1E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E36" w:rsidRDefault="00C31E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36" w:rsidRDefault="00B4517E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1E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316">
      <w:rPr>
        <w:rStyle w:val="PageNumber"/>
        <w:noProof/>
      </w:rPr>
      <w:t>6</w:t>
    </w:r>
    <w:r>
      <w:rPr>
        <w:rStyle w:val="PageNumber"/>
      </w:rPr>
      <w:fldChar w:fldCharType="end"/>
    </w:r>
  </w:p>
  <w:p w:rsidR="00C31E36" w:rsidRDefault="00C31E36">
    <w:pPr>
      <w:pStyle w:val="Header"/>
    </w:pPr>
  </w:p>
  <w:p w:rsidR="00EE7591" w:rsidRDefault="00EE75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F527B8"/>
    <w:multiLevelType w:val="hybridMultilevel"/>
    <w:tmpl w:val="587CF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11D24"/>
    <w:rsid w:val="00012189"/>
    <w:rsid w:val="00013FF4"/>
    <w:rsid w:val="00020FE1"/>
    <w:rsid w:val="00022E13"/>
    <w:rsid w:val="00024A53"/>
    <w:rsid w:val="00032388"/>
    <w:rsid w:val="00035CE2"/>
    <w:rsid w:val="0005553B"/>
    <w:rsid w:val="000604D2"/>
    <w:rsid w:val="00064B84"/>
    <w:rsid w:val="0009005E"/>
    <w:rsid w:val="000941C5"/>
    <w:rsid w:val="000A6451"/>
    <w:rsid w:val="000B064E"/>
    <w:rsid w:val="000B69CF"/>
    <w:rsid w:val="000C558E"/>
    <w:rsid w:val="000C790C"/>
    <w:rsid w:val="000D4BA0"/>
    <w:rsid w:val="000F061D"/>
    <w:rsid w:val="000F4794"/>
    <w:rsid w:val="00124F12"/>
    <w:rsid w:val="001305FA"/>
    <w:rsid w:val="00144E3A"/>
    <w:rsid w:val="0015060C"/>
    <w:rsid w:val="0016018A"/>
    <w:rsid w:val="00161F0E"/>
    <w:rsid w:val="00170E2A"/>
    <w:rsid w:val="00177394"/>
    <w:rsid w:val="00182C18"/>
    <w:rsid w:val="00183CC2"/>
    <w:rsid w:val="001900E4"/>
    <w:rsid w:val="00190F88"/>
    <w:rsid w:val="001A4066"/>
    <w:rsid w:val="001A5851"/>
    <w:rsid w:val="001A6AE4"/>
    <w:rsid w:val="001B01FD"/>
    <w:rsid w:val="001B4A71"/>
    <w:rsid w:val="001D5B54"/>
    <w:rsid w:val="001E1DBF"/>
    <w:rsid w:val="001E4639"/>
    <w:rsid w:val="001E4A7D"/>
    <w:rsid w:val="001F0313"/>
    <w:rsid w:val="001F4209"/>
    <w:rsid w:val="001F43A8"/>
    <w:rsid w:val="001F5CD6"/>
    <w:rsid w:val="001F6474"/>
    <w:rsid w:val="00203CD0"/>
    <w:rsid w:val="00210B80"/>
    <w:rsid w:val="0021263D"/>
    <w:rsid w:val="00213F0C"/>
    <w:rsid w:val="00214094"/>
    <w:rsid w:val="002146D9"/>
    <w:rsid w:val="0021592D"/>
    <w:rsid w:val="00222D76"/>
    <w:rsid w:val="00223EB1"/>
    <w:rsid w:val="00224E2D"/>
    <w:rsid w:val="002269E3"/>
    <w:rsid w:val="00231344"/>
    <w:rsid w:val="0023436E"/>
    <w:rsid w:val="002347C0"/>
    <w:rsid w:val="00241A6C"/>
    <w:rsid w:val="00242D2B"/>
    <w:rsid w:val="00262E2B"/>
    <w:rsid w:val="00270429"/>
    <w:rsid w:val="002723E9"/>
    <w:rsid w:val="00277929"/>
    <w:rsid w:val="00283B82"/>
    <w:rsid w:val="002846E9"/>
    <w:rsid w:val="00284C34"/>
    <w:rsid w:val="0029066C"/>
    <w:rsid w:val="002A7FC4"/>
    <w:rsid w:val="002B32E3"/>
    <w:rsid w:val="002B50DB"/>
    <w:rsid w:val="002B7385"/>
    <w:rsid w:val="002C12AB"/>
    <w:rsid w:val="002C7CAC"/>
    <w:rsid w:val="002D3306"/>
    <w:rsid w:val="002D370A"/>
    <w:rsid w:val="002D48AA"/>
    <w:rsid w:val="002D7BAA"/>
    <w:rsid w:val="002D7F54"/>
    <w:rsid w:val="002E3FF4"/>
    <w:rsid w:val="002F78C8"/>
    <w:rsid w:val="00301CF3"/>
    <w:rsid w:val="0032715C"/>
    <w:rsid w:val="00337CA5"/>
    <w:rsid w:val="003421C7"/>
    <w:rsid w:val="00344AEA"/>
    <w:rsid w:val="0036145F"/>
    <w:rsid w:val="003617BA"/>
    <w:rsid w:val="00362478"/>
    <w:rsid w:val="00367772"/>
    <w:rsid w:val="00375B25"/>
    <w:rsid w:val="0038132C"/>
    <w:rsid w:val="00396542"/>
    <w:rsid w:val="0039685B"/>
    <w:rsid w:val="003A31A6"/>
    <w:rsid w:val="003A7F0C"/>
    <w:rsid w:val="003A7F79"/>
    <w:rsid w:val="003B6040"/>
    <w:rsid w:val="003B6404"/>
    <w:rsid w:val="003C05FA"/>
    <w:rsid w:val="003C449B"/>
    <w:rsid w:val="003C6895"/>
    <w:rsid w:val="003D21FF"/>
    <w:rsid w:val="003F0112"/>
    <w:rsid w:val="003F071A"/>
    <w:rsid w:val="003F160B"/>
    <w:rsid w:val="003F6C2A"/>
    <w:rsid w:val="003F788E"/>
    <w:rsid w:val="00400032"/>
    <w:rsid w:val="00400B5B"/>
    <w:rsid w:val="00405A00"/>
    <w:rsid w:val="00420870"/>
    <w:rsid w:val="00425405"/>
    <w:rsid w:val="00427490"/>
    <w:rsid w:val="00432D0C"/>
    <w:rsid w:val="0043791B"/>
    <w:rsid w:val="00441483"/>
    <w:rsid w:val="00441BCB"/>
    <w:rsid w:val="0045176A"/>
    <w:rsid w:val="00456332"/>
    <w:rsid w:val="00461826"/>
    <w:rsid w:val="004800F9"/>
    <w:rsid w:val="0049134A"/>
    <w:rsid w:val="004A58CB"/>
    <w:rsid w:val="004B1795"/>
    <w:rsid w:val="004B56DD"/>
    <w:rsid w:val="004C020F"/>
    <w:rsid w:val="004C065E"/>
    <w:rsid w:val="004C1AFD"/>
    <w:rsid w:val="004C558B"/>
    <w:rsid w:val="004C634D"/>
    <w:rsid w:val="004E5E86"/>
    <w:rsid w:val="004F1F88"/>
    <w:rsid w:val="004F5F1B"/>
    <w:rsid w:val="00502374"/>
    <w:rsid w:val="00503A83"/>
    <w:rsid w:val="005060A1"/>
    <w:rsid w:val="00516072"/>
    <w:rsid w:val="00526CBA"/>
    <w:rsid w:val="005332EC"/>
    <w:rsid w:val="00534418"/>
    <w:rsid w:val="005353AB"/>
    <w:rsid w:val="005371BC"/>
    <w:rsid w:val="00540A20"/>
    <w:rsid w:val="0054482C"/>
    <w:rsid w:val="005560BC"/>
    <w:rsid w:val="005573BE"/>
    <w:rsid w:val="00572700"/>
    <w:rsid w:val="00580468"/>
    <w:rsid w:val="00582231"/>
    <w:rsid w:val="005824A3"/>
    <w:rsid w:val="0058381A"/>
    <w:rsid w:val="0058603B"/>
    <w:rsid w:val="0059431B"/>
    <w:rsid w:val="005A39CC"/>
    <w:rsid w:val="005A4D70"/>
    <w:rsid w:val="005B4730"/>
    <w:rsid w:val="005D0024"/>
    <w:rsid w:val="005E05D7"/>
    <w:rsid w:val="005E0A34"/>
    <w:rsid w:val="005E41E7"/>
    <w:rsid w:val="005E450F"/>
    <w:rsid w:val="0062298A"/>
    <w:rsid w:val="00626514"/>
    <w:rsid w:val="00626589"/>
    <w:rsid w:val="006339A0"/>
    <w:rsid w:val="00635316"/>
    <w:rsid w:val="006365C2"/>
    <w:rsid w:val="006413A8"/>
    <w:rsid w:val="00641EC6"/>
    <w:rsid w:val="00642E56"/>
    <w:rsid w:val="00651B94"/>
    <w:rsid w:val="00651E00"/>
    <w:rsid w:val="00654E31"/>
    <w:rsid w:val="0067002D"/>
    <w:rsid w:val="00674572"/>
    <w:rsid w:val="00687763"/>
    <w:rsid w:val="00692B0D"/>
    <w:rsid w:val="00693E0E"/>
    <w:rsid w:val="006A1AE3"/>
    <w:rsid w:val="006C30E1"/>
    <w:rsid w:val="006C4607"/>
    <w:rsid w:val="006D48F1"/>
    <w:rsid w:val="006E2934"/>
    <w:rsid w:val="006F45BE"/>
    <w:rsid w:val="007004FC"/>
    <w:rsid w:val="00706670"/>
    <w:rsid w:val="00711F59"/>
    <w:rsid w:val="00716A2F"/>
    <w:rsid w:val="00716FB5"/>
    <w:rsid w:val="007174CE"/>
    <w:rsid w:val="0072417C"/>
    <w:rsid w:val="00725D4C"/>
    <w:rsid w:val="00734450"/>
    <w:rsid w:val="007449B0"/>
    <w:rsid w:val="00745F67"/>
    <w:rsid w:val="0075039E"/>
    <w:rsid w:val="00752D9D"/>
    <w:rsid w:val="00754784"/>
    <w:rsid w:val="00757C6E"/>
    <w:rsid w:val="00762BDA"/>
    <w:rsid w:val="00765C0A"/>
    <w:rsid w:val="00770ACD"/>
    <w:rsid w:val="00771710"/>
    <w:rsid w:val="007805FD"/>
    <w:rsid w:val="007831A1"/>
    <w:rsid w:val="00784422"/>
    <w:rsid w:val="00795AFE"/>
    <w:rsid w:val="007B3B54"/>
    <w:rsid w:val="007B3FA0"/>
    <w:rsid w:val="007C0F2C"/>
    <w:rsid w:val="007C2BCC"/>
    <w:rsid w:val="007C3483"/>
    <w:rsid w:val="007C4EF0"/>
    <w:rsid w:val="007D099D"/>
    <w:rsid w:val="007E2664"/>
    <w:rsid w:val="007E3ABF"/>
    <w:rsid w:val="007E5BFA"/>
    <w:rsid w:val="007E6689"/>
    <w:rsid w:val="007E731C"/>
    <w:rsid w:val="007F0A03"/>
    <w:rsid w:val="00810040"/>
    <w:rsid w:val="008139BD"/>
    <w:rsid w:val="0082023A"/>
    <w:rsid w:val="00821A7A"/>
    <w:rsid w:val="00824860"/>
    <w:rsid w:val="008253F8"/>
    <w:rsid w:val="008325E4"/>
    <w:rsid w:val="00832A2B"/>
    <w:rsid w:val="008340D2"/>
    <w:rsid w:val="00845811"/>
    <w:rsid w:val="00846994"/>
    <w:rsid w:val="00850451"/>
    <w:rsid w:val="00852042"/>
    <w:rsid w:val="008534C9"/>
    <w:rsid w:val="0085599D"/>
    <w:rsid w:val="00873508"/>
    <w:rsid w:val="0087510C"/>
    <w:rsid w:val="00881C02"/>
    <w:rsid w:val="00883806"/>
    <w:rsid w:val="00894667"/>
    <w:rsid w:val="008968D2"/>
    <w:rsid w:val="0089738E"/>
    <w:rsid w:val="008A6577"/>
    <w:rsid w:val="008B5FDB"/>
    <w:rsid w:val="008C3C41"/>
    <w:rsid w:val="008C50F4"/>
    <w:rsid w:val="008C5649"/>
    <w:rsid w:val="008E1D71"/>
    <w:rsid w:val="008E3FE2"/>
    <w:rsid w:val="008E44A2"/>
    <w:rsid w:val="008E697D"/>
    <w:rsid w:val="008F26D7"/>
    <w:rsid w:val="008F7EFE"/>
    <w:rsid w:val="00903263"/>
    <w:rsid w:val="00906A21"/>
    <w:rsid w:val="009079C3"/>
    <w:rsid w:val="00910462"/>
    <w:rsid w:val="00915AB1"/>
    <w:rsid w:val="00917532"/>
    <w:rsid w:val="009235BA"/>
    <w:rsid w:val="00924023"/>
    <w:rsid w:val="00924CE2"/>
    <w:rsid w:val="00925B9F"/>
    <w:rsid w:val="00931AED"/>
    <w:rsid w:val="009476A3"/>
    <w:rsid w:val="0095334F"/>
    <w:rsid w:val="00962B62"/>
    <w:rsid w:val="00965897"/>
    <w:rsid w:val="0096765C"/>
    <w:rsid w:val="009727E4"/>
    <w:rsid w:val="00983108"/>
    <w:rsid w:val="0098362C"/>
    <w:rsid w:val="009934C5"/>
    <w:rsid w:val="00994C0F"/>
    <w:rsid w:val="009A58B8"/>
    <w:rsid w:val="009B22D7"/>
    <w:rsid w:val="009B72ED"/>
    <w:rsid w:val="009C6DEB"/>
    <w:rsid w:val="009C6FA8"/>
    <w:rsid w:val="009D6504"/>
    <w:rsid w:val="009E12D7"/>
    <w:rsid w:val="009E2D5C"/>
    <w:rsid w:val="009E661A"/>
    <w:rsid w:val="00A06781"/>
    <w:rsid w:val="00A074C3"/>
    <w:rsid w:val="00A1509C"/>
    <w:rsid w:val="00A249B9"/>
    <w:rsid w:val="00A34260"/>
    <w:rsid w:val="00A501EC"/>
    <w:rsid w:val="00A64786"/>
    <w:rsid w:val="00A70CFD"/>
    <w:rsid w:val="00A72A0B"/>
    <w:rsid w:val="00A81E42"/>
    <w:rsid w:val="00A864FE"/>
    <w:rsid w:val="00A86F41"/>
    <w:rsid w:val="00A87D04"/>
    <w:rsid w:val="00A950C5"/>
    <w:rsid w:val="00AA1D25"/>
    <w:rsid w:val="00AA6C3E"/>
    <w:rsid w:val="00AA7755"/>
    <w:rsid w:val="00AB1366"/>
    <w:rsid w:val="00AB2B1A"/>
    <w:rsid w:val="00AB397F"/>
    <w:rsid w:val="00AB5832"/>
    <w:rsid w:val="00AC51F2"/>
    <w:rsid w:val="00AD3269"/>
    <w:rsid w:val="00AE2327"/>
    <w:rsid w:val="00AE5066"/>
    <w:rsid w:val="00AE5E24"/>
    <w:rsid w:val="00AE61B7"/>
    <w:rsid w:val="00AE6CBA"/>
    <w:rsid w:val="00AE79AD"/>
    <w:rsid w:val="00AF35E4"/>
    <w:rsid w:val="00AF5CDE"/>
    <w:rsid w:val="00B11A57"/>
    <w:rsid w:val="00B1418B"/>
    <w:rsid w:val="00B211C3"/>
    <w:rsid w:val="00B25597"/>
    <w:rsid w:val="00B267B9"/>
    <w:rsid w:val="00B33E09"/>
    <w:rsid w:val="00B44E2B"/>
    <w:rsid w:val="00B4517E"/>
    <w:rsid w:val="00B473FA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75D90"/>
    <w:rsid w:val="00B8426C"/>
    <w:rsid w:val="00B9031E"/>
    <w:rsid w:val="00B91B8D"/>
    <w:rsid w:val="00B94E90"/>
    <w:rsid w:val="00BB0A82"/>
    <w:rsid w:val="00BB2857"/>
    <w:rsid w:val="00BB7C94"/>
    <w:rsid w:val="00BC0A9D"/>
    <w:rsid w:val="00BD26AD"/>
    <w:rsid w:val="00BF0A13"/>
    <w:rsid w:val="00BF40ED"/>
    <w:rsid w:val="00BF5BC2"/>
    <w:rsid w:val="00C047D7"/>
    <w:rsid w:val="00C1133D"/>
    <w:rsid w:val="00C27A08"/>
    <w:rsid w:val="00C31312"/>
    <w:rsid w:val="00C31E36"/>
    <w:rsid w:val="00C326C6"/>
    <w:rsid w:val="00C35295"/>
    <w:rsid w:val="00C36ADD"/>
    <w:rsid w:val="00C36E74"/>
    <w:rsid w:val="00C40595"/>
    <w:rsid w:val="00C41621"/>
    <w:rsid w:val="00C449FA"/>
    <w:rsid w:val="00C5384F"/>
    <w:rsid w:val="00C54B8B"/>
    <w:rsid w:val="00C56964"/>
    <w:rsid w:val="00C656D5"/>
    <w:rsid w:val="00C67103"/>
    <w:rsid w:val="00C71BB9"/>
    <w:rsid w:val="00C94C28"/>
    <w:rsid w:val="00CA54D9"/>
    <w:rsid w:val="00CB0247"/>
    <w:rsid w:val="00CB3440"/>
    <w:rsid w:val="00CC1692"/>
    <w:rsid w:val="00CD138B"/>
    <w:rsid w:val="00CD216F"/>
    <w:rsid w:val="00CD3E31"/>
    <w:rsid w:val="00CD74A3"/>
    <w:rsid w:val="00CE0527"/>
    <w:rsid w:val="00CE598D"/>
    <w:rsid w:val="00CE5B23"/>
    <w:rsid w:val="00CF3802"/>
    <w:rsid w:val="00CF70AD"/>
    <w:rsid w:val="00CF7427"/>
    <w:rsid w:val="00CF7729"/>
    <w:rsid w:val="00D00059"/>
    <w:rsid w:val="00D107FA"/>
    <w:rsid w:val="00D12275"/>
    <w:rsid w:val="00D12766"/>
    <w:rsid w:val="00D20FF4"/>
    <w:rsid w:val="00D23BEA"/>
    <w:rsid w:val="00D24D2C"/>
    <w:rsid w:val="00D35881"/>
    <w:rsid w:val="00D418B7"/>
    <w:rsid w:val="00D71D4B"/>
    <w:rsid w:val="00D83DC2"/>
    <w:rsid w:val="00D94345"/>
    <w:rsid w:val="00D96902"/>
    <w:rsid w:val="00DA7DA5"/>
    <w:rsid w:val="00DB073B"/>
    <w:rsid w:val="00DB26A7"/>
    <w:rsid w:val="00DB78F0"/>
    <w:rsid w:val="00DC0CEA"/>
    <w:rsid w:val="00DC147A"/>
    <w:rsid w:val="00DC2E43"/>
    <w:rsid w:val="00DC6C8D"/>
    <w:rsid w:val="00DD095C"/>
    <w:rsid w:val="00DD1020"/>
    <w:rsid w:val="00DD1330"/>
    <w:rsid w:val="00DE0B83"/>
    <w:rsid w:val="00DE1A81"/>
    <w:rsid w:val="00DE1C13"/>
    <w:rsid w:val="00DE4E10"/>
    <w:rsid w:val="00E00413"/>
    <w:rsid w:val="00E02ABF"/>
    <w:rsid w:val="00E050B6"/>
    <w:rsid w:val="00E14995"/>
    <w:rsid w:val="00E179CD"/>
    <w:rsid w:val="00E23E8D"/>
    <w:rsid w:val="00E27127"/>
    <w:rsid w:val="00E37F98"/>
    <w:rsid w:val="00E46559"/>
    <w:rsid w:val="00E6670C"/>
    <w:rsid w:val="00E754BF"/>
    <w:rsid w:val="00E765C8"/>
    <w:rsid w:val="00E776E8"/>
    <w:rsid w:val="00E92C1F"/>
    <w:rsid w:val="00E94B98"/>
    <w:rsid w:val="00E95D4B"/>
    <w:rsid w:val="00EB199F"/>
    <w:rsid w:val="00EC23F7"/>
    <w:rsid w:val="00EC4BD8"/>
    <w:rsid w:val="00EC63EB"/>
    <w:rsid w:val="00ED0692"/>
    <w:rsid w:val="00ED1F69"/>
    <w:rsid w:val="00ED412F"/>
    <w:rsid w:val="00ED75CF"/>
    <w:rsid w:val="00EE7591"/>
    <w:rsid w:val="00EF36B2"/>
    <w:rsid w:val="00F02672"/>
    <w:rsid w:val="00F1246B"/>
    <w:rsid w:val="00F201EC"/>
    <w:rsid w:val="00F208A9"/>
    <w:rsid w:val="00F30035"/>
    <w:rsid w:val="00F41D75"/>
    <w:rsid w:val="00F43A37"/>
    <w:rsid w:val="00F50055"/>
    <w:rsid w:val="00F5139D"/>
    <w:rsid w:val="00F63DAC"/>
    <w:rsid w:val="00F7454F"/>
    <w:rsid w:val="00F77988"/>
    <w:rsid w:val="00F77F48"/>
    <w:rsid w:val="00F84B20"/>
    <w:rsid w:val="00FB1AD8"/>
    <w:rsid w:val="00FB30F1"/>
    <w:rsid w:val="00FB53E7"/>
    <w:rsid w:val="00FD10E5"/>
    <w:rsid w:val="00FD2A8A"/>
    <w:rsid w:val="00FF32DB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veidn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  <w:lang w:val="lv-LV" w:eastAsia="lv-LV"/>
    </w:rPr>
  </w:style>
  <w:style w:type="paragraph" w:styleId="Heading5">
    <w:name w:val="heading 5"/>
    <w:basedOn w:val="Normal"/>
    <w:next w:val="Normal"/>
    <w:link w:val="Heading5Char"/>
    <w:qFormat/>
    <w:rsid w:val="00BB2857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B2857"/>
    <w:rPr>
      <w:sz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ED0692"/>
  </w:style>
  <w:style w:type="paragraph" w:customStyle="1" w:styleId="tv213">
    <w:name w:val="tv213"/>
    <w:basedOn w:val="Normal"/>
    <w:rsid w:val="004C634D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44E2B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a">
    <w:name w:val="a"/>
    <w:basedOn w:val="Normal"/>
    <w:uiPriority w:val="99"/>
    <w:rsid w:val="00024A53"/>
    <w:pPr>
      <w:spacing w:before="100" w:beforeAutospacing="1" w:after="100" w:afterAutospacing="1"/>
    </w:pPr>
    <w:rPr>
      <w:color w:val="3060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8C5649"/>
    <w:rPr>
      <w:sz w:val="24"/>
      <w:szCs w:val="24"/>
      <w:lang w:val="lv-LV" w:eastAsia="lv-LV"/>
    </w:rPr>
  </w:style>
  <w:style w:type="paragraph" w:styleId="Virsraksts5">
    <w:name w:val="heading 5"/>
    <w:basedOn w:val="Parasts"/>
    <w:next w:val="Parasts"/>
    <w:link w:val="Virsraksts5Rakstz"/>
    <w:qFormat/>
    <w:rsid w:val="00BB2857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8C564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s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8C5649"/>
    <w:pPr>
      <w:spacing w:before="75" w:after="75"/>
      <w:jc w:val="right"/>
    </w:pPr>
  </w:style>
  <w:style w:type="paragraph" w:customStyle="1" w:styleId="naiskr">
    <w:name w:val="naiskr"/>
    <w:basedOn w:val="Parasts"/>
    <w:rsid w:val="008C5649"/>
    <w:pPr>
      <w:spacing w:before="75" w:after="75"/>
    </w:pPr>
  </w:style>
  <w:style w:type="paragraph" w:customStyle="1" w:styleId="naisc">
    <w:name w:val="naisc"/>
    <w:basedOn w:val="Parasts"/>
    <w:rsid w:val="008C5649"/>
    <w:pPr>
      <w:spacing w:before="75" w:after="75"/>
      <w:jc w:val="center"/>
    </w:pPr>
  </w:style>
  <w:style w:type="character" w:customStyle="1" w:styleId="th1">
    <w:name w:val="th1"/>
    <w:basedOn w:val="Noklusjumarindkopasfonts"/>
    <w:rsid w:val="008C5649"/>
    <w:rPr>
      <w:b/>
      <w:bCs/>
      <w:color w:val="333333"/>
    </w:rPr>
  </w:style>
  <w:style w:type="character" w:styleId="Komentraatsauce">
    <w:name w:val="annotation reference"/>
    <w:basedOn w:val="Noklusjumarindkopasfonts"/>
    <w:semiHidden/>
    <w:rsid w:val="008C5649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8C5649"/>
    <w:rPr>
      <w:lang w:val="lv-LV" w:eastAsia="lv-LV" w:bidi="ar-SA"/>
    </w:rPr>
  </w:style>
  <w:style w:type="paragraph" w:styleId="Balonteksts">
    <w:name w:val="Balloon Text"/>
    <w:basedOn w:val="Parasts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s"/>
    <w:semiHidden/>
    <w:rsid w:val="008C5649"/>
    <w:rPr>
      <w:sz w:val="20"/>
      <w:szCs w:val="20"/>
    </w:rPr>
  </w:style>
  <w:style w:type="character" w:styleId="Vresatsauce">
    <w:name w:val="footnote reference"/>
    <w:basedOn w:val="Noklusjumarindkopasfonts"/>
    <w:semiHidden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semiHidden/>
    <w:rsid w:val="00262E2B"/>
    <w:rPr>
      <w:b/>
      <w:bCs/>
    </w:rPr>
  </w:style>
  <w:style w:type="paragraph" w:styleId="Kjene">
    <w:name w:val="footer"/>
    <w:basedOn w:val="Parast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7004FC"/>
    <w:rPr>
      <w:color w:val="0000FF"/>
      <w:u w:val="single"/>
    </w:rPr>
  </w:style>
  <w:style w:type="paragraph" w:styleId="Dokumentakarte">
    <w:name w:val="Document Map"/>
    <w:basedOn w:val="Parast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Virsraksts5Rakstz">
    <w:name w:val="Virsraksts 5 Rakstz."/>
    <w:basedOn w:val="Noklusjumarindkopasfonts"/>
    <w:link w:val="Virsraksts5"/>
    <w:rsid w:val="00BB2857"/>
    <w:rPr>
      <w:sz w:val="28"/>
      <w:lang w:val="en-US" w:eastAsia="en-US"/>
    </w:rPr>
  </w:style>
  <w:style w:type="character" w:customStyle="1" w:styleId="apple-converted-space">
    <w:name w:val="apple-converted-space"/>
    <w:basedOn w:val="Noklusjumarindkopasfonts"/>
    <w:rsid w:val="00ED0692"/>
  </w:style>
  <w:style w:type="paragraph" w:customStyle="1" w:styleId="tv213">
    <w:name w:val="tv213"/>
    <w:basedOn w:val="Parasts"/>
    <w:rsid w:val="004C634D"/>
    <w:pPr>
      <w:spacing w:before="100" w:beforeAutospacing="1" w:after="100" w:afterAutospacing="1"/>
    </w:pPr>
    <w:rPr>
      <w:lang w:val="en-US" w:eastAsia="en-US"/>
    </w:rPr>
  </w:style>
  <w:style w:type="paragraph" w:styleId="Sarakstarindkopa">
    <w:name w:val="List Paragraph"/>
    <w:basedOn w:val="Parasts"/>
    <w:uiPriority w:val="34"/>
    <w:qFormat/>
    <w:rsid w:val="00B44E2B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depkovska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C35F3-1B5C-45D3-A75A-8311B5A8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1351</Words>
  <Characters>9458</Characters>
  <Application>Microsoft Office Word</Application>
  <DocSecurity>0</DocSecurity>
  <Lines>506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instrukcijas projekts “Tiesību akta projekta sākotnējās ietekmes izvērtēšanas kārtība”</vt:lpstr>
      <vt:lpstr>Ministru kabineta instrukcijas projekts “Tiesību akta projekta sākotnējās ietekmes izvērtēšanas kārtība”</vt:lpstr>
    </vt:vector>
  </TitlesOfParts>
  <Company>Valsts kanceleja, Politikas koordinācijas departaments</Company>
  <LinksUpToDate>false</LinksUpToDate>
  <CharactersWithSpaces>10659</CharactersWithSpaces>
  <SharedDoc>false</SharedDoc>
  <HLinks>
    <vt:vector size="12" baseType="variant">
      <vt:variant>
        <vt:i4>7405661</vt:i4>
      </vt:variant>
      <vt:variant>
        <vt:i4>3</vt:i4>
      </vt:variant>
      <vt:variant>
        <vt:i4>0</vt:i4>
      </vt:variant>
      <vt:variant>
        <vt:i4>5</vt:i4>
      </vt:variant>
      <vt:variant>
        <vt:lpwstr>mailto:kristine.keica@izm.gov.lv</vt:lpwstr>
      </vt:variant>
      <vt:variant>
        <vt:lpwstr/>
      </vt:variant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mailto:anita.depkovska@izm.gov.lv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“Tiesību akta projekta sākotnējās ietekmes izvērtēšanas kārtība”</dc:title>
  <dc:subject>Instrukcijas pielikums</dc:subject>
  <dc:creator>Ieva Bloma</dc:creator>
  <cp:lastModifiedBy>adepkovska</cp:lastModifiedBy>
  <cp:revision>17</cp:revision>
  <cp:lastPrinted>2010-01-04T11:31:00Z</cp:lastPrinted>
  <dcterms:created xsi:type="dcterms:W3CDTF">2013-07-26T08:00:00Z</dcterms:created>
  <dcterms:modified xsi:type="dcterms:W3CDTF">2013-08-01T12:28:00Z</dcterms:modified>
</cp:coreProperties>
</file>