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E5" w:rsidRPr="00FE7474" w:rsidRDefault="00653FE5" w:rsidP="005455E1">
      <w:pPr>
        <w:spacing w:after="0" w:line="240" w:lineRule="auto"/>
        <w:contextualSpacing/>
        <w:jc w:val="center"/>
        <w:rPr>
          <w:rFonts w:ascii="Times New Roman" w:hAnsi="Times New Roman"/>
          <w:b/>
          <w:sz w:val="28"/>
          <w:szCs w:val="28"/>
          <w:lang w:val="lv-LV"/>
        </w:rPr>
      </w:pPr>
      <w:r w:rsidRPr="00FE7474">
        <w:rPr>
          <w:rFonts w:ascii="Times New Roman" w:hAnsi="Times New Roman"/>
          <w:b/>
          <w:sz w:val="28"/>
          <w:szCs w:val="28"/>
          <w:lang w:val="lv-LV"/>
        </w:rPr>
        <w:t>Informatīvais ziņojums</w:t>
      </w:r>
    </w:p>
    <w:p w:rsidR="00653FE5" w:rsidRPr="00FE7474" w:rsidRDefault="00653FE5" w:rsidP="005455E1">
      <w:pPr>
        <w:spacing w:after="0" w:line="240" w:lineRule="auto"/>
        <w:contextualSpacing/>
        <w:jc w:val="center"/>
        <w:rPr>
          <w:rFonts w:ascii="Times New Roman" w:hAnsi="Times New Roman"/>
          <w:b/>
          <w:sz w:val="28"/>
          <w:szCs w:val="28"/>
          <w:lang w:val="lv-LV"/>
        </w:rPr>
      </w:pPr>
      <w:r w:rsidRPr="00FE7474">
        <w:rPr>
          <w:rFonts w:ascii="Times New Roman" w:hAnsi="Times New Roman"/>
          <w:b/>
          <w:sz w:val="28"/>
          <w:szCs w:val="28"/>
          <w:lang w:val="lv-LV"/>
        </w:rPr>
        <w:t>„Par 201</w:t>
      </w:r>
      <w:r w:rsidR="00E2459C">
        <w:rPr>
          <w:rFonts w:ascii="Times New Roman" w:hAnsi="Times New Roman"/>
          <w:b/>
          <w:sz w:val="28"/>
          <w:szCs w:val="28"/>
          <w:lang w:val="lv-LV"/>
        </w:rPr>
        <w:t>3</w:t>
      </w:r>
      <w:r w:rsidRPr="00FE7474">
        <w:rPr>
          <w:rFonts w:ascii="Times New Roman" w:hAnsi="Times New Roman"/>
          <w:b/>
          <w:sz w:val="28"/>
          <w:szCs w:val="28"/>
          <w:lang w:val="lv-LV"/>
        </w:rPr>
        <w:t xml:space="preserve">.gada </w:t>
      </w:r>
      <w:r w:rsidR="00E2459C">
        <w:rPr>
          <w:rFonts w:ascii="Times New Roman" w:hAnsi="Times New Roman"/>
          <w:b/>
          <w:sz w:val="28"/>
          <w:szCs w:val="28"/>
          <w:lang w:val="lv-LV"/>
        </w:rPr>
        <w:t>1</w:t>
      </w:r>
      <w:r w:rsidR="00054AB7">
        <w:rPr>
          <w:rFonts w:ascii="Times New Roman" w:hAnsi="Times New Roman"/>
          <w:b/>
          <w:sz w:val="28"/>
          <w:szCs w:val="28"/>
          <w:lang w:val="lv-LV"/>
        </w:rPr>
        <w:t>6.-</w:t>
      </w:r>
      <w:r w:rsidR="00E2459C">
        <w:rPr>
          <w:rFonts w:ascii="Times New Roman" w:hAnsi="Times New Roman"/>
          <w:b/>
          <w:sz w:val="28"/>
          <w:szCs w:val="28"/>
          <w:lang w:val="lv-LV"/>
        </w:rPr>
        <w:t>1</w:t>
      </w:r>
      <w:r w:rsidR="00054AB7">
        <w:rPr>
          <w:rFonts w:ascii="Times New Roman" w:hAnsi="Times New Roman"/>
          <w:b/>
          <w:sz w:val="28"/>
          <w:szCs w:val="28"/>
          <w:lang w:val="lv-LV"/>
        </w:rPr>
        <w:t>7.</w:t>
      </w:r>
      <w:r w:rsidR="00E2459C">
        <w:rPr>
          <w:rFonts w:ascii="Times New Roman" w:hAnsi="Times New Roman"/>
          <w:b/>
          <w:sz w:val="28"/>
          <w:szCs w:val="28"/>
          <w:lang w:val="lv-LV"/>
        </w:rPr>
        <w:t>maijā</w:t>
      </w:r>
      <w:r w:rsidRPr="00FE7474">
        <w:rPr>
          <w:rFonts w:ascii="Times New Roman" w:hAnsi="Times New Roman"/>
          <w:b/>
          <w:sz w:val="28"/>
          <w:szCs w:val="28"/>
          <w:lang w:val="lv-LV"/>
        </w:rPr>
        <w:t xml:space="preserve"> Briselē, Beļģijā,</w:t>
      </w:r>
    </w:p>
    <w:p w:rsidR="00653FE5" w:rsidRPr="00FE7474" w:rsidRDefault="00653FE5" w:rsidP="005455E1">
      <w:pPr>
        <w:spacing w:after="0" w:line="240" w:lineRule="auto"/>
        <w:contextualSpacing/>
        <w:jc w:val="center"/>
        <w:rPr>
          <w:rFonts w:ascii="Times New Roman" w:hAnsi="Times New Roman"/>
          <w:b/>
          <w:sz w:val="28"/>
          <w:szCs w:val="28"/>
          <w:lang w:val="lv-LV"/>
        </w:rPr>
      </w:pPr>
      <w:r w:rsidRPr="00FE7474">
        <w:rPr>
          <w:rFonts w:ascii="Times New Roman" w:hAnsi="Times New Roman"/>
          <w:b/>
          <w:sz w:val="28"/>
          <w:szCs w:val="28"/>
          <w:lang w:val="lv-LV"/>
        </w:rPr>
        <w:t xml:space="preserve">Eiropas Savienības Izglītības, jaunatnes, kultūras un sporta ministru padomē </w:t>
      </w:r>
    </w:p>
    <w:p w:rsidR="00653FE5" w:rsidRPr="00FE7474" w:rsidRDefault="00653FE5" w:rsidP="005455E1">
      <w:pPr>
        <w:spacing w:after="0" w:line="240" w:lineRule="auto"/>
        <w:contextualSpacing/>
        <w:jc w:val="center"/>
        <w:rPr>
          <w:rFonts w:ascii="Times New Roman" w:hAnsi="Times New Roman"/>
          <w:b/>
          <w:sz w:val="28"/>
          <w:szCs w:val="28"/>
          <w:lang w:val="lv-LV"/>
        </w:rPr>
      </w:pPr>
      <w:r w:rsidRPr="00FE7474">
        <w:rPr>
          <w:rFonts w:ascii="Times New Roman" w:hAnsi="Times New Roman"/>
          <w:b/>
          <w:sz w:val="28"/>
          <w:szCs w:val="28"/>
          <w:lang w:val="lv-LV"/>
        </w:rPr>
        <w:t>izskatāmajiem Izglītības un zinātnes ministrijas kompetencē esošajiem jautājumiem”</w:t>
      </w:r>
    </w:p>
    <w:p w:rsidR="00653FE5" w:rsidRDefault="00653FE5" w:rsidP="005455E1">
      <w:pPr>
        <w:spacing w:after="0" w:line="240" w:lineRule="auto"/>
        <w:contextualSpacing/>
        <w:rPr>
          <w:rFonts w:ascii="Times New Roman" w:hAnsi="Times New Roman"/>
          <w:sz w:val="28"/>
          <w:szCs w:val="28"/>
          <w:lang w:val="lv-LV"/>
        </w:rPr>
      </w:pPr>
    </w:p>
    <w:p w:rsidR="00653FE5" w:rsidRPr="00FE7474" w:rsidRDefault="001227E3" w:rsidP="005455E1">
      <w:pPr>
        <w:spacing w:after="0" w:line="240" w:lineRule="auto"/>
        <w:ind w:firstLine="720"/>
        <w:contextualSpacing/>
        <w:jc w:val="both"/>
        <w:rPr>
          <w:rFonts w:ascii="Times New Roman" w:hAnsi="Times New Roman"/>
          <w:sz w:val="28"/>
          <w:szCs w:val="28"/>
          <w:lang w:val="lv-LV"/>
        </w:rPr>
      </w:pPr>
      <w:r>
        <w:rPr>
          <w:rFonts w:ascii="Times New Roman" w:hAnsi="Times New Roman"/>
          <w:sz w:val="28"/>
          <w:szCs w:val="28"/>
          <w:lang w:val="lv-LV"/>
        </w:rPr>
        <w:t>201</w:t>
      </w:r>
      <w:r w:rsidR="00E2459C">
        <w:rPr>
          <w:rFonts w:ascii="Times New Roman" w:hAnsi="Times New Roman"/>
          <w:sz w:val="28"/>
          <w:szCs w:val="28"/>
          <w:lang w:val="lv-LV"/>
        </w:rPr>
        <w:t>3</w:t>
      </w:r>
      <w:r w:rsidR="00653FE5" w:rsidRPr="00FE7474">
        <w:rPr>
          <w:rFonts w:ascii="Times New Roman" w:hAnsi="Times New Roman"/>
          <w:sz w:val="28"/>
          <w:szCs w:val="28"/>
          <w:lang w:val="lv-LV"/>
        </w:rPr>
        <w:t xml:space="preserve">.gada </w:t>
      </w:r>
      <w:r w:rsidR="00E2459C">
        <w:rPr>
          <w:rFonts w:ascii="Times New Roman" w:hAnsi="Times New Roman"/>
          <w:sz w:val="28"/>
          <w:szCs w:val="28"/>
          <w:lang w:val="lv-LV"/>
        </w:rPr>
        <w:t>1</w:t>
      </w:r>
      <w:r w:rsidR="00054AB7">
        <w:rPr>
          <w:rFonts w:ascii="Times New Roman" w:hAnsi="Times New Roman"/>
          <w:sz w:val="28"/>
          <w:szCs w:val="28"/>
          <w:lang w:val="lv-LV"/>
        </w:rPr>
        <w:t>6.-</w:t>
      </w:r>
      <w:r w:rsidR="00E2459C">
        <w:rPr>
          <w:rFonts w:ascii="Times New Roman" w:hAnsi="Times New Roman"/>
          <w:sz w:val="28"/>
          <w:szCs w:val="28"/>
          <w:lang w:val="lv-LV"/>
        </w:rPr>
        <w:t>1</w:t>
      </w:r>
      <w:r w:rsidR="00054AB7">
        <w:rPr>
          <w:rFonts w:ascii="Times New Roman" w:hAnsi="Times New Roman"/>
          <w:sz w:val="28"/>
          <w:szCs w:val="28"/>
          <w:lang w:val="lv-LV"/>
        </w:rPr>
        <w:t>7.</w:t>
      </w:r>
      <w:r w:rsidR="00E2459C">
        <w:rPr>
          <w:rFonts w:ascii="Times New Roman" w:hAnsi="Times New Roman"/>
          <w:sz w:val="28"/>
          <w:szCs w:val="28"/>
          <w:lang w:val="lv-LV"/>
        </w:rPr>
        <w:t>maijā</w:t>
      </w:r>
      <w:r w:rsidR="00653FE5" w:rsidRPr="00FE7474">
        <w:rPr>
          <w:rFonts w:ascii="Times New Roman" w:hAnsi="Times New Roman"/>
          <w:sz w:val="28"/>
          <w:szCs w:val="28"/>
          <w:lang w:val="lv-LV"/>
        </w:rPr>
        <w:t xml:space="preserve"> Eiropas Savienības (turpmāk – ES) Izglītības, jaunatnes, kultūras un sporta ministru padomes darba kārtībā tiks izskatīti šādi Izglītības un zinātnes ministrijas kompetencē esoši jautājumi:</w:t>
      </w:r>
    </w:p>
    <w:p w:rsidR="003D167C" w:rsidRDefault="003D167C" w:rsidP="005455E1">
      <w:pPr>
        <w:pStyle w:val="ListParagraph"/>
        <w:spacing w:after="0" w:line="240" w:lineRule="auto"/>
        <w:ind w:left="0"/>
        <w:jc w:val="both"/>
        <w:rPr>
          <w:rFonts w:ascii="Times New Roman" w:hAnsi="Times New Roman"/>
          <w:b/>
          <w:sz w:val="28"/>
          <w:szCs w:val="28"/>
          <w:lang w:val="lv-LV"/>
        </w:rPr>
      </w:pPr>
    </w:p>
    <w:p w:rsidR="009E3383" w:rsidRPr="00FE7474" w:rsidRDefault="004B0CC1" w:rsidP="005455E1">
      <w:pPr>
        <w:spacing w:after="0" w:line="240" w:lineRule="auto"/>
        <w:jc w:val="center"/>
        <w:rPr>
          <w:rFonts w:ascii="Times New Roman" w:hAnsi="Times New Roman"/>
          <w:b/>
          <w:sz w:val="28"/>
          <w:szCs w:val="28"/>
          <w:u w:val="single"/>
          <w:lang w:val="lv-LV"/>
        </w:rPr>
      </w:pPr>
      <w:r>
        <w:rPr>
          <w:rFonts w:ascii="Times New Roman" w:hAnsi="Times New Roman"/>
          <w:b/>
          <w:sz w:val="28"/>
          <w:szCs w:val="28"/>
          <w:u w:val="single"/>
          <w:lang w:val="lv-LV"/>
        </w:rPr>
        <w:t>Augstākā i</w:t>
      </w:r>
      <w:r w:rsidR="009E3383" w:rsidRPr="00FE7474">
        <w:rPr>
          <w:rFonts w:ascii="Times New Roman" w:hAnsi="Times New Roman"/>
          <w:b/>
          <w:sz w:val="28"/>
          <w:szCs w:val="28"/>
          <w:u w:val="single"/>
          <w:lang w:val="lv-LV"/>
        </w:rPr>
        <w:t>zglītība</w:t>
      </w:r>
    </w:p>
    <w:p w:rsidR="009E3383" w:rsidRPr="00FE7474" w:rsidRDefault="009E3383" w:rsidP="005455E1">
      <w:pPr>
        <w:pStyle w:val="ListParagraph"/>
        <w:spacing w:after="0" w:line="240" w:lineRule="auto"/>
        <w:ind w:left="0"/>
        <w:jc w:val="both"/>
        <w:rPr>
          <w:rFonts w:ascii="Times New Roman" w:hAnsi="Times New Roman"/>
          <w:b/>
          <w:sz w:val="28"/>
          <w:szCs w:val="28"/>
          <w:lang w:val="lv-LV"/>
        </w:rPr>
      </w:pPr>
    </w:p>
    <w:p w:rsidR="00653FE5" w:rsidRPr="00B44972" w:rsidRDefault="004B0CC1" w:rsidP="00506B5A">
      <w:pPr>
        <w:pStyle w:val="ListParagraph"/>
        <w:spacing w:after="0" w:line="240" w:lineRule="auto"/>
        <w:ind w:left="360" w:firstLine="360"/>
        <w:jc w:val="both"/>
        <w:rPr>
          <w:rFonts w:ascii="Times New Roman" w:hAnsi="Times New Roman"/>
          <w:b/>
          <w:sz w:val="28"/>
          <w:szCs w:val="28"/>
          <w:u w:val="single"/>
          <w:lang w:val="lv-LV"/>
        </w:rPr>
      </w:pPr>
      <w:r w:rsidRPr="00B44972">
        <w:rPr>
          <w:rStyle w:val="apple-style-span"/>
          <w:rFonts w:ascii="Times New Roman" w:hAnsi="Times New Roman"/>
          <w:b/>
          <w:color w:val="000000"/>
          <w:sz w:val="28"/>
          <w:szCs w:val="28"/>
          <w:u w:val="single"/>
          <w:lang w:val="lv-LV"/>
        </w:rPr>
        <w:t xml:space="preserve">Augstākās izglītības sociālā dimensija </w:t>
      </w:r>
      <w:r w:rsidR="00944F79" w:rsidRPr="00B44972">
        <w:rPr>
          <w:rFonts w:ascii="Times New Roman" w:hAnsi="Times New Roman"/>
          <w:b/>
          <w:bCs/>
          <w:sz w:val="28"/>
          <w:szCs w:val="28"/>
          <w:u w:val="single"/>
          <w:lang w:val="lv-LV"/>
        </w:rPr>
        <w:t xml:space="preserve">– </w:t>
      </w:r>
      <w:r w:rsidRPr="00B44972">
        <w:rPr>
          <w:rFonts w:ascii="Times New Roman" w:hAnsi="Times New Roman"/>
          <w:b/>
          <w:bCs/>
          <w:sz w:val="28"/>
          <w:szCs w:val="28"/>
          <w:u w:val="single"/>
          <w:lang w:val="lv-LV"/>
        </w:rPr>
        <w:t>Padomes secinājumu pieņemšana</w:t>
      </w:r>
    </w:p>
    <w:p w:rsidR="00506B5A" w:rsidRPr="00506B5A" w:rsidRDefault="00506B5A" w:rsidP="00506B5A">
      <w:pPr>
        <w:widowControl w:val="0"/>
        <w:spacing w:after="0" w:line="240" w:lineRule="auto"/>
        <w:ind w:firstLine="720"/>
        <w:jc w:val="both"/>
        <w:rPr>
          <w:rFonts w:ascii="Times New Roman" w:hAnsi="Times New Roman"/>
          <w:sz w:val="28"/>
          <w:szCs w:val="28"/>
          <w:lang w:val="lv-LV"/>
        </w:rPr>
      </w:pPr>
      <w:r w:rsidRPr="00506B5A">
        <w:rPr>
          <w:rFonts w:ascii="Times New Roman" w:hAnsi="Times New Roman"/>
          <w:sz w:val="28"/>
          <w:szCs w:val="28"/>
          <w:lang w:val="lv-LV"/>
        </w:rPr>
        <w:t>Eiropas ekonomikas atlabšana un ilgtspēja ir arvien vairāk atkarīga no visu tās iedzīvotāju prasmēm, un piekļuve augstākajai izglītībai un mūžizglītībai ir izšķiroša, lai nodrošinātu pamatprasmes un palielinātu konkurētspēju, uzlabotu nodarbinā</w:t>
      </w:r>
      <w:r>
        <w:rPr>
          <w:rFonts w:ascii="Times New Roman" w:hAnsi="Times New Roman"/>
          <w:sz w:val="28"/>
          <w:szCs w:val="28"/>
          <w:lang w:val="lv-LV"/>
        </w:rPr>
        <w:t>t</w:t>
      </w:r>
      <w:r w:rsidRPr="00506B5A">
        <w:rPr>
          <w:rFonts w:ascii="Times New Roman" w:hAnsi="Times New Roman"/>
          <w:sz w:val="28"/>
          <w:szCs w:val="28"/>
          <w:lang w:val="lv-LV"/>
        </w:rPr>
        <w:t xml:space="preserve">ību un vienlaikus veicinātu arī sociālo solidaritāti un pilsonisko līdzdalību. Secinājumos tiek uzsvērts, ka </w:t>
      </w:r>
      <w:r>
        <w:rPr>
          <w:rFonts w:ascii="Times New Roman" w:hAnsi="Times New Roman"/>
          <w:sz w:val="28"/>
          <w:szCs w:val="28"/>
          <w:lang w:val="lv-LV"/>
        </w:rPr>
        <w:t>j</w:t>
      </w:r>
      <w:r w:rsidRPr="00506B5A">
        <w:rPr>
          <w:rFonts w:ascii="Times New Roman" w:hAnsi="Times New Roman"/>
          <w:sz w:val="28"/>
          <w:szCs w:val="28"/>
          <w:lang w:val="lv-LV"/>
        </w:rPr>
        <w:t>oprojām ir pārāk daudz spējīgu studentu, kuriem nav iespēja iegūt augstāko izglītību viņu sociāli ekonomiskās situācijas, izglītības, nepietiekama atbalsta un citu šķēršļu dēļ.</w:t>
      </w:r>
    </w:p>
    <w:p w:rsidR="00506B5A" w:rsidRPr="00506B5A" w:rsidRDefault="00506B5A" w:rsidP="00506B5A">
      <w:pPr>
        <w:suppressAutoHyphens/>
        <w:spacing w:after="0" w:line="240" w:lineRule="auto"/>
        <w:ind w:firstLine="720"/>
        <w:jc w:val="both"/>
        <w:rPr>
          <w:rFonts w:ascii="Times New Roman" w:hAnsi="Times New Roman"/>
          <w:sz w:val="28"/>
          <w:szCs w:val="28"/>
          <w:lang w:val="lv-LV"/>
        </w:rPr>
      </w:pPr>
      <w:r w:rsidRPr="00506B5A">
        <w:rPr>
          <w:rFonts w:ascii="Times New Roman" w:hAnsi="Times New Roman"/>
          <w:sz w:val="28"/>
          <w:szCs w:val="28"/>
          <w:lang w:val="lv-LV"/>
        </w:rPr>
        <w:t xml:space="preserve">Dalībvalstis tiek aicinātas </w:t>
      </w:r>
      <w:r w:rsidRPr="00506B5A">
        <w:rPr>
          <w:rFonts w:ascii="Times New Roman" w:hAnsi="Times New Roman"/>
          <w:spacing w:val="4"/>
          <w:sz w:val="28"/>
          <w:szCs w:val="28"/>
          <w:lang w:val="lv-LV"/>
        </w:rPr>
        <w:t xml:space="preserve">pieņemt nacionālus mērķus nolūkā </w:t>
      </w:r>
      <w:r w:rsidRPr="00506B5A">
        <w:rPr>
          <w:rFonts w:ascii="Times New Roman" w:hAnsi="Times New Roman"/>
          <w:sz w:val="28"/>
          <w:szCs w:val="28"/>
          <w:lang w:val="lv-LV"/>
        </w:rPr>
        <w:t>palielināt pieejamības, līdzdalības un absolvēšanas rādītājus mazāk pārstāvētajām grupām augstākajā izglītībā; veicināt sadarbību ar izglītības iestādēm visos līmeņos;  veicināt dažādu stratēģiju un struktūrvienību attīstību  institūciju līmenī; palielināt iespējas elastīgām studijām, dažādojot mācību satura pasniegšanas metodes; izpētīt, kā finansēšanas mehānismi institūcijās var veicināt un nodrošināt kvalitatīvas, elastīgas studiju iespējas; izskatīt un censties mazināt reģionālās atšķirības dalībvalstīs; kopā ar augstākās izglītības iestādēm un citām iesaistītajām pusēm censties palielināt augstākās izglītības absolvēšanas rādītājus, uzlabojot mācīšanas un studiju procesa kvalitāti; sistemātiski ievākt attiecīgus salīdzināmus datus, veidojot vislabāko iespējamo esošo resursu izlietojumu.</w:t>
      </w:r>
    </w:p>
    <w:p w:rsidR="00944F79" w:rsidRPr="00944F79" w:rsidRDefault="00944F79" w:rsidP="005455E1">
      <w:pPr>
        <w:spacing w:after="0" w:line="240" w:lineRule="auto"/>
        <w:ind w:firstLine="720"/>
        <w:contextualSpacing/>
        <w:jc w:val="both"/>
        <w:rPr>
          <w:rFonts w:ascii="Times New Roman" w:hAnsi="Times New Roman"/>
          <w:bCs/>
          <w:sz w:val="28"/>
          <w:szCs w:val="28"/>
          <w:lang w:val="lv-LV"/>
        </w:rPr>
      </w:pPr>
    </w:p>
    <w:p w:rsidR="00974313" w:rsidRDefault="00506B5A" w:rsidP="005455E1">
      <w:pPr>
        <w:pStyle w:val="EntEmet"/>
        <w:spacing w:before="0"/>
        <w:jc w:val="both"/>
        <w:rPr>
          <w:b/>
          <w:sz w:val="28"/>
          <w:szCs w:val="28"/>
          <w:u w:val="single"/>
          <w:lang w:val="lv-LV"/>
        </w:rPr>
      </w:pPr>
      <w:r>
        <w:rPr>
          <w:sz w:val="28"/>
          <w:szCs w:val="28"/>
          <w:lang w:val="lv-LV"/>
        </w:rPr>
        <w:tab/>
      </w:r>
      <w:r>
        <w:rPr>
          <w:sz w:val="28"/>
          <w:szCs w:val="28"/>
          <w:lang w:val="lv-LV"/>
        </w:rPr>
        <w:tab/>
        <w:t xml:space="preserve">  </w:t>
      </w:r>
      <w:r w:rsidR="00974313" w:rsidRPr="00E65D56">
        <w:rPr>
          <w:b/>
          <w:sz w:val="28"/>
          <w:szCs w:val="28"/>
          <w:u w:val="single"/>
          <w:lang w:val="lv-LV"/>
        </w:rPr>
        <w:t>Latvijas pozīcija</w:t>
      </w:r>
    </w:p>
    <w:p w:rsidR="00506B5A" w:rsidRPr="00506B5A" w:rsidRDefault="00506B5A" w:rsidP="00506B5A">
      <w:pPr>
        <w:spacing w:after="0" w:line="240" w:lineRule="auto"/>
        <w:ind w:firstLine="720"/>
        <w:jc w:val="both"/>
        <w:rPr>
          <w:rFonts w:ascii="Times New Roman" w:hAnsi="Times New Roman"/>
          <w:sz w:val="28"/>
          <w:szCs w:val="28"/>
          <w:lang w:val="lv-LV"/>
        </w:rPr>
      </w:pPr>
      <w:r w:rsidRPr="00506B5A">
        <w:rPr>
          <w:rFonts w:ascii="Times New Roman" w:hAnsi="Times New Roman"/>
          <w:b/>
          <w:noProof/>
          <w:sz w:val="28"/>
          <w:szCs w:val="28"/>
          <w:lang w:val="lv-LV"/>
        </w:rPr>
        <w:t>LV kopumā atbalsta</w:t>
      </w:r>
      <w:r w:rsidRPr="00506B5A">
        <w:rPr>
          <w:rFonts w:ascii="Times New Roman" w:hAnsi="Times New Roman"/>
          <w:noProof/>
          <w:sz w:val="28"/>
          <w:szCs w:val="28"/>
          <w:lang w:val="lv-LV"/>
        </w:rPr>
        <w:t xml:space="preserve"> Padomes secinājumu projektu un</w:t>
      </w:r>
      <w:r w:rsidRPr="00506B5A">
        <w:rPr>
          <w:rFonts w:ascii="Times New Roman" w:hAnsi="Times New Roman"/>
          <w:sz w:val="28"/>
          <w:szCs w:val="28"/>
          <w:lang w:val="lv-LV" w:eastAsia="en-GB"/>
        </w:rPr>
        <w:t xml:space="preserve"> </w:t>
      </w:r>
      <w:r w:rsidRPr="00506B5A">
        <w:rPr>
          <w:rFonts w:ascii="Times New Roman" w:hAnsi="Times New Roman"/>
          <w:b/>
          <w:sz w:val="28"/>
          <w:szCs w:val="28"/>
          <w:lang w:val="lv-LV" w:eastAsia="en-GB"/>
        </w:rPr>
        <w:t>piekrīt</w:t>
      </w:r>
      <w:r w:rsidRPr="00506B5A">
        <w:rPr>
          <w:rFonts w:ascii="Times New Roman" w:hAnsi="Times New Roman"/>
          <w:sz w:val="28"/>
          <w:szCs w:val="28"/>
          <w:lang w:val="lv-LV" w:eastAsia="en-GB"/>
        </w:rPr>
        <w:t xml:space="preserve">, ka ir jānovērš un jāmazina šķēršļi, kas kavē iegūt kvalitatīvu augstāko izglītību, jo </w:t>
      </w:r>
      <w:r w:rsidRPr="00506B5A">
        <w:rPr>
          <w:rFonts w:ascii="Times New Roman" w:hAnsi="Times New Roman"/>
          <w:sz w:val="28"/>
          <w:szCs w:val="28"/>
          <w:lang w:val="lv-LV"/>
        </w:rPr>
        <w:t xml:space="preserve">ir pietiekami daudz spējīgu studentu, kuriem savas sociālekonomiskās situācijas, iepriekš iegūtās izglītības, pietiekami neefektīvas atbalsta sistēmas un citu apstākļu dēļ nav iespēju iegūt augstāko izglītību. </w:t>
      </w:r>
    </w:p>
    <w:p w:rsidR="00506B5A" w:rsidRPr="00506B5A" w:rsidRDefault="00506B5A" w:rsidP="00506B5A">
      <w:pPr>
        <w:spacing w:after="0" w:line="240" w:lineRule="auto"/>
        <w:ind w:firstLine="720"/>
        <w:jc w:val="both"/>
        <w:rPr>
          <w:rFonts w:ascii="Times New Roman" w:hAnsi="Times New Roman"/>
          <w:sz w:val="28"/>
          <w:szCs w:val="28"/>
          <w:lang w:val="lv-LV"/>
        </w:rPr>
      </w:pPr>
      <w:r w:rsidRPr="00506B5A">
        <w:rPr>
          <w:rFonts w:ascii="Times New Roman" w:hAnsi="Times New Roman"/>
          <w:b/>
          <w:sz w:val="28"/>
          <w:szCs w:val="28"/>
          <w:lang w:val="lv-LV"/>
        </w:rPr>
        <w:lastRenderedPageBreak/>
        <w:t>LV atzīst,</w:t>
      </w:r>
      <w:r w:rsidRPr="00506B5A">
        <w:rPr>
          <w:rFonts w:ascii="Times New Roman" w:hAnsi="Times New Roman"/>
          <w:sz w:val="28"/>
          <w:szCs w:val="28"/>
          <w:lang w:val="lv-LV"/>
        </w:rPr>
        <w:t xml:space="preserve"> ka Boloņas procesa mērķu iedzīvināšanai sociāl</w:t>
      </w:r>
      <w:r>
        <w:rPr>
          <w:rFonts w:ascii="Times New Roman" w:hAnsi="Times New Roman"/>
          <w:sz w:val="28"/>
          <w:szCs w:val="28"/>
          <w:lang w:val="lv-LV"/>
        </w:rPr>
        <w:t>a</w:t>
      </w:r>
      <w:r w:rsidRPr="00506B5A">
        <w:rPr>
          <w:rFonts w:ascii="Times New Roman" w:hAnsi="Times New Roman"/>
          <w:sz w:val="28"/>
          <w:szCs w:val="28"/>
          <w:lang w:val="lv-LV"/>
        </w:rPr>
        <w:t>jā dimensijā augstāk</w:t>
      </w:r>
      <w:r>
        <w:rPr>
          <w:rFonts w:ascii="Times New Roman" w:hAnsi="Times New Roman"/>
          <w:sz w:val="28"/>
          <w:szCs w:val="28"/>
          <w:lang w:val="lv-LV"/>
        </w:rPr>
        <w:t>a</w:t>
      </w:r>
      <w:r w:rsidRPr="00506B5A">
        <w:rPr>
          <w:rFonts w:ascii="Times New Roman" w:hAnsi="Times New Roman"/>
          <w:sz w:val="28"/>
          <w:szCs w:val="28"/>
          <w:lang w:val="lv-LV"/>
        </w:rPr>
        <w:t>jā izglītībā secinājumu projekts dod jaunu ierosmi, lai dalībvalstis pārskatītu esošo politiku šajā jomā un pārdomātu jaunas politikas iniciatīvas, kas varētu sekmēt labāku Boloņas procesa sociālās dimensijas mērķu sasniegšanu.</w:t>
      </w:r>
    </w:p>
    <w:p w:rsidR="00506B5A" w:rsidRPr="00506B5A" w:rsidRDefault="00506B5A" w:rsidP="00506B5A">
      <w:pPr>
        <w:suppressAutoHyphens/>
        <w:spacing w:after="0" w:line="240" w:lineRule="auto"/>
        <w:ind w:firstLine="720"/>
        <w:jc w:val="both"/>
        <w:rPr>
          <w:rFonts w:ascii="Times New Roman" w:hAnsi="Times New Roman"/>
          <w:noProof/>
          <w:sz w:val="28"/>
          <w:szCs w:val="28"/>
          <w:lang w:val="lv-LV"/>
        </w:rPr>
      </w:pPr>
      <w:r w:rsidRPr="00506B5A">
        <w:rPr>
          <w:rFonts w:ascii="Times New Roman" w:hAnsi="Times New Roman"/>
          <w:b/>
          <w:spacing w:val="4"/>
          <w:sz w:val="28"/>
          <w:szCs w:val="28"/>
          <w:lang w:val="lv-LV"/>
        </w:rPr>
        <w:t>LV uzskata,</w:t>
      </w:r>
      <w:r w:rsidRPr="00506B5A">
        <w:rPr>
          <w:rFonts w:ascii="Times New Roman" w:hAnsi="Times New Roman"/>
          <w:spacing w:val="4"/>
          <w:sz w:val="28"/>
          <w:szCs w:val="28"/>
          <w:lang w:val="lv-LV"/>
        </w:rPr>
        <w:t xml:space="preserve"> ka ir jāstiprina finanšu atbalsta shēmas un stimuli (</w:t>
      </w:r>
      <w:r w:rsidRPr="00506B5A">
        <w:rPr>
          <w:rFonts w:ascii="Times New Roman" w:hAnsi="Times New Roman"/>
          <w:i/>
          <w:spacing w:val="4"/>
          <w:sz w:val="28"/>
          <w:szCs w:val="28"/>
          <w:lang w:val="lv-LV"/>
        </w:rPr>
        <w:t>stipendijas, studiju un studējošā kredītu iespējas un to dzēšana valstī noteiktajā kārtībā)</w:t>
      </w:r>
      <w:r w:rsidRPr="00506B5A">
        <w:rPr>
          <w:rFonts w:ascii="Times New Roman" w:hAnsi="Times New Roman"/>
          <w:spacing w:val="4"/>
          <w:sz w:val="28"/>
          <w:szCs w:val="28"/>
          <w:lang w:val="lv-LV"/>
        </w:rPr>
        <w:t xml:space="preserve"> un jāpilnveido un jāattīsta elastīgāki un daudzveidīgāki mācīšanās veidi (īpaši </w:t>
      </w:r>
      <w:r w:rsidRPr="00506B5A">
        <w:rPr>
          <w:rFonts w:ascii="Times New Roman" w:hAnsi="Times New Roman"/>
          <w:i/>
          <w:spacing w:val="4"/>
          <w:sz w:val="28"/>
          <w:szCs w:val="28"/>
          <w:lang w:val="lv-LV"/>
        </w:rPr>
        <w:t>e-studijas</w:t>
      </w:r>
      <w:r w:rsidRPr="00506B5A">
        <w:rPr>
          <w:rFonts w:ascii="Times New Roman" w:hAnsi="Times New Roman"/>
          <w:spacing w:val="4"/>
          <w:sz w:val="28"/>
          <w:szCs w:val="28"/>
          <w:lang w:val="lv-LV"/>
        </w:rPr>
        <w:t>),</w:t>
      </w:r>
      <w:r w:rsidRPr="00506B5A">
        <w:rPr>
          <w:rFonts w:ascii="Times New Roman" w:hAnsi="Times New Roman"/>
          <w:b/>
          <w:spacing w:val="4"/>
          <w:sz w:val="28"/>
          <w:szCs w:val="28"/>
          <w:lang w:val="lv-LV"/>
        </w:rPr>
        <w:t xml:space="preserve"> </w:t>
      </w:r>
      <w:r w:rsidRPr="00506B5A">
        <w:rPr>
          <w:rFonts w:ascii="Times New Roman" w:hAnsi="Times New Roman"/>
          <w:spacing w:val="4"/>
          <w:sz w:val="28"/>
          <w:szCs w:val="28"/>
          <w:lang w:val="lv-LV"/>
        </w:rPr>
        <w:t xml:space="preserve">lai palielinātu piekļuvi augstākajai izglītībai, atsaucoties uz 2010.gada 11.maija </w:t>
      </w:r>
      <w:r w:rsidRPr="00506B5A">
        <w:rPr>
          <w:rFonts w:ascii="Times New Roman" w:hAnsi="Times New Roman"/>
          <w:noProof/>
          <w:sz w:val="28"/>
          <w:szCs w:val="28"/>
          <w:lang w:val="lv-LV"/>
        </w:rPr>
        <w:t>Padomes secinājumiem par izglītības un apmācības sociālo dimensiju.</w:t>
      </w:r>
    </w:p>
    <w:p w:rsidR="00974313" w:rsidRDefault="00974313" w:rsidP="005455E1">
      <w:pPr>
        <w:autoSpaceDE w:val="0"/>
        <w:autoSpaceDN w:val="0"/>
        <w:adjustRightInd w:val="0"/>
        <w:spacing w:after="0" w:line="240" w:lineRule="auto"/>
        <w:ind w:firstLine="720"/>
        <w:contextualSpacing/>
        <w:jc w:val="both"/>
        <w:rPr>
          <w:rFonts w:ascii="Times New Roman" w:hAnsi="Times New Roman"/>
          <w:sz w:val="28"/>
          <w:szCs w:val="28"/>
          <w:lang w:val="lv-LV"/>
        </w:rPr>
      </w:pPr>
    </w:p>
    <w:p w:rsidR="00F04B99" w:rsidRDefault="00F04B99" w:rsidP="00F04B99">
      <w:pPr>
        <w:autoSpaceDE w:val="0"/>
        <w:autoSpaceDN w:val="0"/>
        <w:adjustRightInd w:val="0"/>
        <w:spacing w:after="0" w:line="240" w:lineRule="auto"/>
        <w:contextualSpacing/>
        <w:jc w:val="center"/>
        <w:rPr>
          <w:rFonts w:ascii="Times New Roman" w:hAnsi="Times New Roman"/>
          <w:b/>
          <w:sz w:val="28"/>
          <w:szCs w:val="28"/>
          <w:u w:val="single"/>
          <w:lang w:val="lv-LV"/>
        </w:rPr>
      </w:pPr>
      <w:r>
        <w:rPr>
          <w:rFonts w:ascii="Times New Roman" w:hAnsi="Times New Roman"/>
          <w:b/>
          <w:sz w:val="28"/>
          <w:szCs w:val="28"/>
          <w:u w:val="single"/>
          <w:lang w:val="lv-LV"/>
        </w:rPr>
        <w:t>Izglītība</w:t>
      </w:r>
    </w:p>
    <w:p w:rsidR="00F04B99" w:rsidRPr="00B44972" w:rsidRDefault="00F04B99" w:rsidP="00F04B99">
      <w:pPr>
        <w:spacing w:line="240" w:lineRule="auto"/>
        <w:ind w:left="6" w:firstLine="7"/>
        <w:jc w:val="both"/>
        <w:rPr>
          <w:rFonts w:ascii="Times New Roman" w:hAnsi="Times New Roman"/>
          <w:b/>
          <w:bCs/>
          <w:iCs/>
          <w:sz w:val="28"/>
          <w:szCs w:val="28"/>
          <w:u w:val="single"/>
          <w:lang w:val="lv-LV"/>
        </w:rPr>
      </w:pPr>
      <w:r>
        <w:rPr>
          <w:rFonts w:ascii="Times New Roman" w:hAnsi="Times New Roman"/>
          <w:sz w:val="28"/>
          <w:szCs w:val="28"/>
          <w:lang w:val="lv-LV"/>
        </w:rPr>
        <w:tab/>
      </w:r>
      <w:r w:rsidRPr="00F04B99">
        <w:rPr>
          <w:rFonts w:ascii="Times New Roman" w:hAnsi="Times New Roman"/>
          <w:b/>
          <w:sz w:val="28"/>
          <w:szCs w:val="28"/>
          <w:u w:val="single"/>
          <w:lang w:val="lv-LV"/>
        </w:rPr>
        <w:t xml:space="preserve">Nodrošināt skolotāja profesijai visaugstāko kvalitāti, lai nodrošinātu pamatu </w:t>
      </w:r>
      <w:r w:rsidRPr="00F04B99">
        <w:rPr>
          <w:rFonts w:ascii="Times New Roman" w:hAnsi="Times New Roman"/>
          <w:b/>
          <w:bCs/>
          <w:sz w:val="28"/>
          <w:szCs w:val="28"/>
          <w:u w:val="single"/>
          <w:lang w:val="lv-LV"/>
        </w:rPr>
        <w:t>labāku mācību rezultātu</w:t>
      </w:r>
      <w:r w:rsidRPr="00F04B99">
        <w:rPr>
          <w:rFonts w:ascii="Times New Roman" w:hAnsi="Times New Roman"/>
          <w:b/>
          <w:sz w:val="28"/>
          <w:szCs w:val="28"/>
          <w:u w:val="single"/>
          <w:lang w:val="lv-LV"/>
        </w:rPr>
        <w:t xml:space="preserve"> </w:t>
      </w:r>
      <w:r w:rsidRPr="00B44972">
        <w:rPr>
          <w:rFonts w:ascii="Times New Roman" w:hAnsi="Times New Roman"/>
          <w:b/>
          <w:sz w:val="28"/>
          <w:szCs w:val="28"/>
          <w:u w:val="single"/>
          <w:lang w:val="lv-LV"/>
        </w:rPr>
        <w:t xml:space="preserve">sasniegšanai - </w:t>
      </w:r>
      <w:r w:rsidRPr="00B44972">
        <w:rPr>
          <w:rFonts w:ascii="Times New Roman" w:hAnsi="Times New Roman"/>
          <w:b/>
          <w:bCs/>
          <w:iCs/>
          <w:sz w:val="28"/>
          <w:szCs w:val="28"/>
          <w:u w:val="single"/>
          <w:lang w:val="lv-LV"/>
        </w:rPr>
        <w:t>Politikas debates</w:t>
      </w:r>
    </w:p>
    <w:p w:rsidR="002C71E7" w:rsidRPr="002C71E7" w:rsidRDefault="002C71E7" w:rsidP="002C71E7">
      <w:pPr>
        <w:spacing w:after="0" w:line="240" w:lineRule="auto"/>
        <w:jc w:val="both"/>
        <w:rPr>
          <w:rFonts w:ascii="Times New Roman" w:hAnsi="Times New Roman"/>
          <w:sz w:val="28"/>
          <w:szCs w:val="28"/>
          <w:lang w:val="lv-LV"/>
        </w:rPr>
      </w:pPr>
      <w:r>
        <w:rPr>
          <w:rFonts w:ascii="Times New Roman" w:hAnsi="Times New Roman"/>
          <w:bCs/>
          <w:iCs/>
          <w:sz w:val="28"/>
          <w:szCs w:val="28"/>
          <w:lang w:val="lv-LV"/>
        </w:rPr>
        <w:tab/>
      </w:r>
      <w:r w:rsidRPr="002C71E7">
        <w:rPr>
          <w:rFonts w:ascii="Times New Roman" w:hAnsi="Times New Roman"/>
          <w:sz w:val="28"/>
          <w:szCs w:val="28"/>
          <w:lang w:val="lv-LV"/>
        </w:rPr>
        <w:t>Skolotāju profesiju nozīme un kvalitatīvas mācīšanas ieguldījums mācību rezultātu uzlabošanā ir neapšaubāmi. Skolotāja kvalitāti bieži min kā vissvarīgāko skolas mainīgo lielumu, kas ietekmē skolēnu sekmes.</w:t>
      </w:r>
    </w:p>
    <w:p w:rsidR="002C71E7" w:rsidRPr="002C71E7" w:rsidRDefault="0089144E" w:rsidP="002C71E7">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J</w:t>
      </w:r>
      <w:r w:rsidR="002C71E7" w:rsidRPr="002C71E7">
        <w:rPr>
          <w:rFonts w:ascii="Times New Roman" w:hAnsi="Times New Roman"/>
          <w:sz w:val="28"/>
          <w:szCs w:val="28"/>
          <w:lang w:val="lv-LV"/>
        </w:rPr>
        <w:t>a citus faktorus, kas skar rezultātus, nav iespējams kontrolēt vai ir grūti ietekmēt (piemēram, sabiedrība, ģimene un atsevišķa indivīda īpašās iezīmes), tad ir pieejamas</w:t>
      </w:r>
      <w:r w:rsidR="002C71E7">
        <w:rPr>
          <w:rFonts w:ascii="Times New Roman" w:hAnsi="Times New Roman"/>
          <w:sz w:val="28"/>
          <w:szCs w:val="28"/>
          <w:lang w:val="lv-LV"/>
        </w:rPr>
        <w:t xml:space="preserve"> tādas</w:t>
      </w:r>
      <w:r w:rsidR="002C71E7" w:rsidRPr="002C71E7">
        <w:rPr>
          <w:rFonts w:ascii="Times New Roman" w:hAnsi="Times New Roman"/>
          <w:sz w:val="28"/>
          <w:szCs w:val="28"/>
          <w:lang w:val="lv-LV"/>
        </w:rPr>
        <w:t xml:space="preserve"> politikas sviras, ar kurām</w:t>
      </w:r>
      <w:r w:rsidR="002C71E7">
        <w:rPr>
          <w:rFonts w:ascii="Times New Roman" w:hAnsi="Times New Roman"/>
          <w:sz w:val="28"/>
          <w:szCs w:val="28"/>
          <w:lang w:val="lv-LV"/>
        </w:rPr>
        <w:t xml:space="preserve"> ir iespējams</w:t>
      </w:r>
      <w:r w:rsidR="002C71E7" w:rsidRPr="002C71E7">
        <w:rPr>
          <w:rFonts w:ascii="Times New Roman" w:hAnsi="Times New Roman"/>
          <w:sz w:val="28"/>
          <w:szCs w:val="28"/>
          <w:lang w:val="lv-LV"/>
        </w:rPr>
        <w:t xml:space="preserve"> ietekmēt skolotāju profesiju kvalitāti un efektivitāti</w:t>
      </w:r>
      <w:r w:rsidR="002C71E7">
        <w:rPr>
          <w:rFonts w:ascii="Times New Roman" w:hAnsi="Times New Roman"/>
          <w:sz w:val="28"/>
          <w:szCs w:val="28"/>
          <w:lang w:val="lv-LV"/>
        </w:rPr>
        <w:t xml:space="preserve"> ar </w:t>
      </w:r>
      <w:r w:rsidR="002C71E7" w:rsidRPr="002C71E7">
        <w:rPr>
          <w:rFonts w:ascii="Times New Roman" w:hAnsi="Times New Roman"/>
          <w:sz w:val="28"/>
          <w:szCs w:val="28"/>
          <w:lang w:val="lv-LV"/>
        </w:rPr>
        <w:t>šād</w:t>
      </w:r>
      <w:r w:rsidR="002C71E7">
        <w:rPr>
          <w:rFonts w:ascii="Times New Roman" w:hAnsi="Times New Roman"/>
          <w:sz w:val="28"/>
          <w:szCs w:val="28"/>
          <w:lang w:val="lv-LV"/>
        </w:rPr>
        <w:t>ām</w:t>
      </w:r>
      <w:r w:rsidR="002C71E7" w:rsidRPr="002C71E7">
        <w:rPr>
          <w:rFonts w:ascii="Times New Roman" w:hAnsi="Times New Roman"/>
          <w:sz w:val="28"/>
          <w:szCs w:val="28"/>
          <w:lang w:val="lv-LV"/>
        </w:rPr>
        <w:t xml:space="preserve"> darbī</w:t>
      </w:r>
      <w:r w:rsidR="002C71E7">
        <w:rPr>
          <w:rFonts w:ascii="Times New Roman" w:hAnsi="Times New Roman"/>
          <w:sz w:val="28"/>
          <w:szCs w:val="28"/>
          <w:lang w:val="lv-LV"/>
        </w:rPr>
        <w:t>bām</w:t>
      </w:r>
      <w:r w:rsidR="002C71E7" w:rsidRPr="002C71E7">
        <w:rPr>
          <w:rFonts w:ascii="Times New Roman" w:hAnsi="Times New Roman"/>
          <w:sz w:val="28"/>
          <w:szCs w:val="28"/>
          <w:lang w:val="lv-LV"/>
        </w:rPr>
        <w:t>:</w:t>
      </w:r>
      <w:r w:rsidR="002C71E7">
        <w:rPr>
          <w:rFonts w:ascii="Times New Roman" w:hAnsi="Times New Roman"/>
          <w:sz w:val="28"/>
          <w:szCs w:val="28"/>
          <w:lang w:val="lv-LV"/>
        </w:rPr>
        <w:t xml:space="preserve"> 1)</w:t>
      </w:r>
      <w:r>
        <w:rPr>
          <w:rFonts w:ascii="Times New Roman" w:hAnsi="Times New Roman"/>
          <w:sz w:val="28"/>
          <w:szCs w:val="28"/>
          <w:lang w:val="lv-LV"/>
        </w:rPr>
        <w:t xml:space="preserve"> </w:t>
      </w:r>
      <w:r w:rsidR="002C71E7" w:rsidRPr="002C71E7">
        <w:rPr>
          <w:rFonts w:ascii="Times New Roman" w:hAnsi="Times New Roman"/>
          <w:sz w:val="28"/>
          <w:szCs w:val="28"/>
          <w:lang w:val="lv-LV"/>
        </w:rPr>
        <w:t>piesaistīt un pieņemt darbā vistalantīgākos cilvēkus un panākt, ka viņi paliek šajā profesijā;</w:t>
      </w:r>
      <w:r w:rsidR="002C71E7">
        <w:rPr>
          <w:rFonts w:ascii="Times New Roman" w:hAnsi="Times New Roman"/>
          <w:sz w:val="28"/>
          <w:szCs w:val="28"/>
          <w:lang w:val="lv-LV"/>
        </w:rPr>
        <w:t xml:space="preserve"> </w:t>
      </w:r>
      <w:r w:rsidR="002C71E7" w:rsidRPr="002C71E7">
        <w:rPr>
          <w:rFonts w:ascii="Times New Roman" w:hAnsi="Times New Roman"/>
          <w:sz w:val="28"/>
          <w:szCs w:val="28"/>
          <w:lang w:val="lv-LV"/>
        </w:rPr>
        <w:t>2) sniegt skolotājiem prasmju un zināšanu pareizo kombināciju visā skolotāju izglītības procesā; 3) nodrošināt, ka viņi regulāri saņem atsauksmes un novērtējumu.</w:t>
      </w:r>
    </w:p>
    <w:p w:rsidR="00F04B99" w:rsidRPr="002C71E7" w:rsidRDefault="002C71E7" w:rsidP="002C71E7">
      <w:pPr>
        <w:spacing w:after="0" w:line="240" w:lineRule="auto"/>
        <w:jc w:val="both"/>
        <w:rPr>
          <w:rFonts w:ascii="Times New Roman" w:hAnsi="Times New Roman"/>
          <w:bCs/>
          <w:iCs/>
          <w:sz w:val="28"/>
          <w:szCs w:val="28"/>
          <w:lang w:val="lv-LV"/>
        </w:rPr>
      </w:pPr>
      <w:r>
        <w:rPr>
          <w:rFonts w:ascii="Times New Roman" w:hAnsi="Times New Roman"/>
          <w:bCs/>
          <w:iCs/>
          <w:sz w:val="28"/>
          <w:szCs w:val="28"/>
          <w:lang w:val="lv-LV"/>
        </w:rPr>
        <w:tab/>
      </w:r>
      <w:r w:rsidRPr="002C71E7">
        <w:rPr>
          <w:rFonts w:ascii="Times New Roman" w:hAnsi="Times New Roman"/>
          <w:sz w:val="28"/>
          <w:szCs w:val="28"/>
          <w:lang w:val="lv-LV"/>
        </w:rPr>
        <w:t>Komisijas paziņojumā "Izglītības pārvērtēšana" (un saistītajā Komisijas dienestu darba dokumentā par atbalstu skolotāja profesijai </w:t>
      </w:r>
      <w:r w:rsidRPr="002C71E7">
        <w:rPr>
          <w:rStyle w:val="FootnoteReference"/>
          <w:sz w:val="28"/>
          <w:szCs w:val="28"/>
        </w:rPr>
        <w:footnoteReference w:id="1"/>
      </w:r>
      <w:r w:rsidRPr="002C71E7">
        <w:rPr>
          <w:rFonts w:ascii="Times New Roman" w:hAnsi="Times New Roman"/>
          <w:sz w:val="28"/>
          <w:szCs w:val="28"/>
          <w:lang w:val="lv-LV"/>
        </w:rPr>
        <w:t>) tiek atzīta skolotāju izšķirošā nozīme, izklāstītas dažas problēmas, ar kurām izglītības sistēmas un skolotāju profesijas saskarsies nākamajās desmitgadēs, tostarp šādas:</w:t>
      </w:r>
      <w:r>
        <w:rPr>
          <w:rFonts w:ascii="Times New Roman" w:hAnsi="Times New Roman"/>
          <w:sz w:val="28"/>
          <w:szCs w:val="28"/>
          <w:lang w:val="lv-LV"/>
        </w:rPr>
        <w:t xml:space="preserve"> 1) </w:t>
      </w:r>
      <w:r w:rsidRPr="002C71E7">
        <w:rPr>
          <w:rFonts w:ascii="Times New Roman" w:hAnsi="Times New Roman"/>
          <w:sz w:val="28"/>
          <w:szCs w:val="28"/>
          <w:lang w:val="lv-LV"/>
        </w:rPr>
        <w:t>strauji mainīgā pieprasījuma dēļ skolotājiem, skolotāju izglītotājiem un skolu vadītājiem ir nepieciešamas jaunas kompetences;</w:t>
      </w:r>
      <w:r>
        <w:rPr>
          <w:rFonts w:ascii="Times New Roman" w:hAnsi="Times New Roman"/>
          <w:sz w:val="28"/>
          <w:szCs w:val="28"/>
          <w:lang w:val="lv-LV"/>
        </w:rPr>
        <w:t xml:space="preserve"> 2) i</w:t>
      </w:r>
      <w:r w:rsidRPr="002C71E7">
        <w:rPr>
          <w:rFonts w:ascii="Times New Roman" w:hAnsi="Times New Roman"/>
          <w:sz w:val="28"/>
          <w:szCs w:val="28"/>
          <w:lang w:val="lv-LV"/>
        </w:rPr>
        <w:t xml:space="preserve">r jānosaka rīcībpolitika, kas pilnveido un pastiprina skolotāju izglītotāju profesijas profesionālo identitāti un padara to pievilcīgāku; </w:t>
      </w:r>
      <w:r>
        <w:rPr>
          <w:rFonts w:ascii="Times New Roman" w:hAnsi="Times New Roman"/>
          <w:sz w:val="28"/>
          <w:szCs w:val="28"/>
          <w:lang w:val="lv-LV"/>
        </w:rPr>
        <w:t xml:space="preserve">3) </w:t>
      </w:r>
      <w:r w:rsidRPr="002C71E7">
        <w:rPr>
          <w:rFonts w:ascii="Times New Roman" w:hAnsi="Times New Roman"/>
          <w:sz w:val="28"/>
          <w:szCs w:val="28"/>
          <w:lang w:val="lv-LV"/>
        </w:rPr>
        <w:t>ir nepieciešamas kompetenču sistēmas, kurās ir skaidri definēts skolotāju un skolotāju izglītotāju profesionālais profils;</w:t>
      </w:r>
      <w:r>
        <w:rPr>
          <w:rFonts w:ascii="Times New Roman" w:hAnsi="Times New Roman"/>
          <w:sz w:val="28"/>
          <w:szCs w:val="28"/>
          <w:lang w:val="lv-LV"/>
        </w:rPr>
        <w:t xml:space="preserve"> 4) </w:t>
      </w:r>
      <w:r w:rsidRPr="002C71E7">
        <w:rPr>
          <w:rFonts w:ascii="Times New Roman" w:hAnsi="Times New Roman"/>
          <w:sz w:val="28"/>
          <w:szCs w:val="28"/>
          <w:lang w:val="lv-LV"/>
        </w:rPr>
        <w:t>piemērotu darbinieku, kas spēj pievērst uzmanību mācīšanas un mācīšanās procesa uzlabošanai, pieņemšana darbā, sagatavošana un paturēšana vadības amatos;</w:t>
      </w:r>
      <w:r>
        <w:rPr>
          <w:rFonts w:ascii="Times New Roman" w:hAnsi="Times New Roman"/>
          <w:sz w:val="28"/>
          <w:szCs w:val="28"/>
          <w:lang w:val="lv-LV"/>
        </w:rPr>
        <w:t xml:space="preserve"> 5) </w:t>
      </w:r>
      <w:r w:rsidRPr="002C71E7">
        <w:rPr>
          <w:rFonts w:ascii="Times New Roman" w:hAnsi="Times New Roman"/>
          <w:sz w:val="28"/>
          <w:szCs w:val="28"/>
          <w:lang w:val="lv-LV"/>
        </w:rPr>
        <w:t xml:space="preserve">jaunas pieejas mācīšanās procesiem, tostarp sadarbība ar uzņēmumiem un darba devējiem, ar </w:t>
      </w:r>
      <w:r w:rsidRPr="002C71E7">
        <w:rPr>
          <w:rFonts w:ascii="Times New Roman" w:hAnsi="Times New Roman"/>
          <w:sz w:val="28"/>
          <w:szCs w:val="28"/>
          <w:lang w:val="lv-LV"/>
        </w:rPr>
        <w:lastRenderedPageBreak/>
        <w:t>pietiekamiem resursiem nodrošināta nepārtraukta profesionālā pilnveide un jaunu tehnoloģiju izmantošana, ar kurām tiek nodrošināta daudzveidība un iekļaušana.</w:t>
      </w:r>
    </w:p>
    <w:p w:rsidR="0089144E" w:rsidRPr="0089144E" w:rsidRDefault="0089144E" w:rsidP="0089144E">
      <w:pPr>
        <w:spacing w:after="0" w:line="240" w:lineRule="auto"/>
        <w:jc w:val="both"/>
        <w:rPr>
          <w:rFonts w:ascii="Times New Roman" w:hAnsi="Times New Roman"/>
          <w:sz w:val="28"/>
          <w:szCs w:val="28"/>
          <w:lang w:val="lv-LV"/>
        </w:rPr>
      </w:pPr>
      <w:r>
        <w:rPr>
          <w:rFonts w:ascii="Times New Roman" w:hAnsi="Times New Roman"/>
          <w:sz w:val="28"/>
          <w:szCs w:val="28"/>
          <w:lang w:val="lv-LV"/>
        </w:rPr>
        <w:tab/>
      </w:r>
      <w:r w:rsidRPr="0089144E">
        <w:rPr>
          <w:rFonts w:ascii="Times New Roman" w:hAnsi="Times New Roman"/>
          <w:sz w:val="28"/>
          <w:szCs w:val="28"/>
          <w:lang w:val="lv-LV"/>
        </w:rPr>
        <w:t xml:space="preserve">Ņemot vērā iepriekš minēto, ir svarīgi pieņemt jaunu politiku vai stiprināt spēkā esošo politiku, lai uzlabotu skolotāja profesijas statusu un pievilcīgumu. </w:t>
      </w:r>
    </w:p>
    <w:p w:rsidR="00F04B99" w:rsidRPr="0089144E" w:rsidRDefault="0089144E" w:rsidP="0089144E">
      <w:pPr>
        <w:autoSpaceDE w:val="0"/>
        <w:autoSpaceDN w:val="0"/>
        <w:adjustRightInd w:val="0"/>
        <w:spacing w:after="0" w:line="240" w:lineRule="auto"/>
        <w:contextualSpacing/>
        <w:jc w:val="both"/>
        <w:rPr>
          <w:rFonts w:ascii="Times New Roman" w:hAnsi="Times New Roman"/>
          <w:sz w:val="28"/>
          <w:szCs w:val="28"/>
          <w:lang w:val="lv-LV"/>
        </w:rPr>
      </w:pPr>
      <w:r w:rsidRPr="0089144E">
        <w:rPr>
          <w:rFonts w:ascii="Times New Roman" w:hAnsi="Times New Roman"/>
          <w:sz w:val="28"/>
          <w:szCs w:val="28"/>
          <w:lang w:val="lv-LV"/>
        </w:rPr>
        <w:tab/>
        <w:t>Tādējādi 2013. gada 16. – 17. maija ES Izglītības, jaunatnes, kultūras un sporta ministru padomē plānota ministru viedokļu apmaiņa par skolotāju darba kvalitātes, un statusa nodrošināšanu, lai veicinātu labākus mācību sasniegumus.</w:t>
      </w:r>
    </w:p>
    <w:p w:rsidR="0089144E" w:rsidRPr="0089144E" w:rsidRDefault="0089144E" w:rsidP="0089144E">
      <w:pPr>
        <w:spacing w:after="0" w:line="240" w:lineRule="auto"/>
        <w:jc w:val="both"/>
        <w:rPr>
          <w:rFonts w:ascii="Times New Roman" w:hAnsi="Times New Roman"/>
          <w:bCs/>
          <w:sz w:val="28"/>
          <w:szCs w:val="28"/>
          <w:lang w:val="lv-LV"/>
        </w:rPr>
      </w:pPr>
      <w:r w:rsidRPr="0089144E">
        <w:rPr>
          <w:rFonts w:ascii="Times New Roman" w:hAnsi="Times New Roman"/>
          <w:sz w:val="28"/>
          <w:szCs w:val="28"/>
          <w:lang w:val="lv-LV"/>
        </w:rPr>
        <w:tab/>
      </w:r>
      <w:r w:rsidRPr="0089144E">
        <w:rPr>
          <w:rFonts w:ascii="Times New Roman" w:hAnsi="Times New Roman"/>
          <w:bCs/>
          <w:sz w:val="28"/>
          <w:szCs w:val="28"/>
          <w:lang w:val="lv-LV"/>
        </w:rPr>
        <w:t>Ministri tiek aicināti sniegt atbildi uz šādu diskusijas jautājumu:</w:t>
      </w:r>
    </w:p>
    <w:p w:rsidR="0089144E" w:rsidRDefault="0089144E" w:rsidP="000573C6">
      <w:pPr>
        <w:numPr>
          <w:ilvl w:val="0"/>
          <w:numId w:val="32"/>
        </w:numPr>
        <w:spacing w:after="0" w:line="240" w:lineRule="auto"/>
        <w:jc w:val="both"/>
        <w:rPr>
          <w:rFonts w:ascii="Times New Roman" w:hAnsi="Times New Roman"/>
          <w:bCs/>
          <w:iCs/>
          <w:sz w:val="28"/>
          <w:szCs w:val="28"/>
          <w:lang w:val="lv-LV"/>
        </w:rPr>
      </w:pPr>
      <w:r w:rsidRPr="0089144E">
        <w:rPr>
          <w:rFonts w:ascii="Times New Roman" w:hAnsi="Times New Roman"/>
          <w:bCs/>
          <w:iCs/>
          <w:sz w:val="28"/>
          <w:szCs w:val="28"/>
          <w:lang w:val="lv-LV"/>
        </w:rPr>
        <w:t>Kādas būtiskas praktiskas iniciatīvas dalībvalstis pēdējos gados ir veikušas skolotāju profesiju kvalitātes uzlabošanai, lai liktu pamatu labāku mācību rezultātu sasniegšanai?</w:t>
      </w:r>
    </w:p>
    <w:p w:rsidR="000573C6" w:rsidRDefault="000573C6" w:rsidP="000573C6">
      <w:pPr>
        <w:spacing w:after="0" w:line="240" w:lineRule="auto"/>
        <w:ind w:left="360"/>
        <w:jc w:val="both"/>
        <w:rPr>
          <w:rFonts w:ascii="Times New Roman" w:hAnsi="Times New Roman"/>
          <w:bCs/>
          <w:iCs/>
          <w:sz w:val="28"/>
          <w:szCs w:val="28"/>
          <w:lang w:val="lv-LV"/>
        </w:rPr>
      </w:pPr>
    </w:p>
    <w:p w:rsidR="000573C6" w:rsidRPr="002440A9" w:rsidRDefault="003C4731" w:rsidP="000573C6">
      <w:pPr>
        <w:spacing w:after="0" w:line="240" w:lineRule="auto"/>
        <w:ind w:left="720"/>
        <w:jc w:val="both"/>
        <w:rPr>
          <w:rFonts w:ascii="Times New Roman" w:hAnsi="Times New Roman"/>
          <w:b/>
          <w:bCs/>
          <w:iCs/>
          <w:sz w:val="28"/>
          <w:szCs w:val="28"/>
          <w:u w:val="single"/>
          <w:lang w:val="lv-LV"/>
        </w:rPr>
      </w:pPr>
      <w:r w:rsidRPr="003C4731">
        <w:rPr>
          <w:rFonts w:ascii="Times New Roman" w:hAnsi="Times New Roman"/>
          <w:b/>
          <w:bCs/>
          <w:iCs/>
          <w:sz w:val="28"/>
          <w:szCs w:val="28"/>
          <w:u w:val="single"/>
          <w:lang w:val="lv-LV"/>
        </w:rPr>
        <w:t>Latvijas pozīcija</w:t>
      </w:r>
    </w:p>
    <w:p w:rsidR="000573C6" w:rsidRDefault="003C4731" w:rsidP="000573C6">
      <w:pPr>
        <w:spacing w:after="0" w:line="240" w:lineRule="auto"/>
        <w:ind w:firstLine="720"/>
        <w:jc w:val="both"/>
        <w:rPr>
          <w:rFonts w:ascii="Times New Roman" w:hAnsi="Times New Roman"/>
          <w:color w:val="000000"/>
          <w:sz w:val="28"/>
          <w:szCs w:val="28"/>
          <w:lang w:val="lv-LV"/>
        </w:rPr>
      </w:pPr>
      <w:r w:rsidRPr="003C4731">
        <w:rPr>
          <w:rFonts w:ascii="Times New Roman" w:hAnsi="Times New Roman"/>
          <w:b/>
          <w:color w:val="000000"/>
          <w:sz w:val="28"/>
          <w:szCs w:val="28"/>
          <w:lang w:val="lv-LV"/>
        </w:rPr>
        <w:t>Latvija atzīst</w:t>
      </w:r>
      <w:r w:rsidRPr="003C4731">
        <w:rPr>
          <w:rFonts w:ascii="Times New Roman" w:hAnsi="Times New Roman"/>
          <w:color w:val="000000"/>
          <w:sz w:val="28"/>
          <w:szCs w:val="28"/>
          <w:lang w:val="lv-LV"/>
        </w:rPr>
        <w:t xml:space="preserve">, ka kvalitatīvi mācībspēki un skolotāji ir ļoti nozīmīgi jaunās paaudzes izglītošanā, viņu kompetenču attīstībā un pilnveidē, lai sasniegtu augstus rādītājus ekonomikā, ka skolotājiem ir ļoti svarīga loma jauniešu nodarbinātības iespēju un dzīves iespēju kopumā nodrošināšanā, un </w:t>
      </w:r>
      <w:r w:rsidRPr="003C4731">
        <w:rPr>
          <w:rFonts w:ascii="Times New Roman" w:hAnsi="Times New Roman"/>
          <w:b/>
          <w:color w:val="000000"/>
          <w:sz w:val="28"/>
          <w:szCs w:val="28"/>
          <w:lang w:val="lv-LV"/>
        </w:rPr>
        <w:t>atbalsta</w:t>
      </w:r>
      <w:r w:rsidRPr="003C4731">
        <w:rPr>
          <w:rFonts w:ascii="Times New Roman" w:hAnsi="Times New Roman"/>
          <w:color w:val="000000"/>
          <w:sz w:val="28"/>
          <w:szCs w:val="28"/>
          <w:lang w:val="lv-LV"/>
        </w:rPr>
        <w:t xml:space="preserve"> politikas debates.</w:t>
      </w:r>
    </w:p>
    <w:p w:rsidR="00000000" w:rsidRDefault="003C4731">
      <w:pPr>
        <w:pStyle w:val="ListParagraph"/>
        <w:spacing w:after="0" w:line="240" w:lineRule="auto"/>
        <w:ind w:left="0" w:firstLine="720"/>
        <w:jc w:val="both"/>
        <w:rPr>
          <w:rFonts w:ascii="Times New Roman" w:hAnsi="Times New Roman"/>
          <w:color w:val="000000"/>
          <w:sz w:val="28"/>
          <w:szCs w:val="28"/>
          <w:lang w:val="lv-LV"/>
        </w:rPr>
      </w:pPr>
      <w:r w:rsidRPr="003C4731">
        <w:rPr>
          <w:rFonts w:ascii="Times New Roman" w:hAnsi="Times New Roman"/>
          <w:color w:val="000000"/>
          <w:sz w:val="28"/>
          <w:szCs w:val="28"/>
          <w:lang w:val="lv-LV"/>
        </w:rPr>
        <w:t xml:space="preserve">Lai nodrošinātu pedagogu profesionālās kompetences paaugstināšanu, ieviestu pedagogu profesionālās kvalifikācijas vērtēšanas sistēmu un Sadarbības memorandā pausto apņemšanos, pārejas periodā līdz 2014.gada 1.jūnijam </w:t>
      </w:r>
      <w:r w:rsidRPr="003C4731">
        <w:rPr>
          <w:rFonts w:ascii="Times New Roman" w:hAnsi="Times New Roman"/>
          <w:b/>
          <w:color w:val="000000"/>
          <w:sz w:val="28"/>
          <w:szCs w:val="28"/>
          <w:lang w:val="lv-LV"/>
        </w:rPr>
        <w:t>Latvijā</w:t>
      </w:r>
      <w:r w:rsidRPr="003C4731">
        <w:rPr>
          <w:rFonts w:ascii="Times New Roman" w:hAnsi="Times New Roman"/>
          <w:color w:val="000000"/>
          <w:sz w:val="28"/>
          <w:szCs w:val="28"/>
          <w:lang w:val="lv-LV"/>
        </w:rPr>
        <w:t xml:space="preserve"> </w:t>
      </w:r>
      <w:r w:rsidRPr="003C4731">
        <w:rPr>
          <w:rFonts w:ascii="Times New Roman" w:hAnsi="Times New Roman"/>
          <w:b/>
          <w:color w:val="000000"/>
          <w:sz w:val="28"/>
          <w:szCs w:val="28"/>
          <w:lang w:val="lv-LV"/>
        </w:rPr>
        <w:t>ir uzsākta</w:t>
      </w:r>
      <w:r w:rsidRPr="003C4731">
        <w:rPr>
          <w:rFonts w:ascii="Times New Roman" w:hAnsi="Times New Roman"/>
          <w:color w:val="000000"/>
          <w:sz w:val="28"/>
          <w:szCs w:val="28"/>
          <w:lang w:val="lv-LV"/>
        </w:rPr>
        <w:t xml:space="preserve"> ilgtermiņa pedagogu motivācijas, atalgojuma un profesionālās kvalifikācijas sasaistes sistēmas pakāpeniska ieviešana. Uz šo brīdi 80% pedagogu jau ir ieguvuši kādu no piecām pedagogu darbības kvalitātes pakāpēm.</w:t>
      </w:r>
      <w:r w:rsidR="002440A9">
        <w:rPr>
          <w:rFonts w:ascii="Times New Roman" w:hAnsi="Times New Roman"/>
          <w:color w:val="000000"/>
          <w:sz w:val="28"/>
          <w:szCs w:val="28"/>
          <w:lang w:val="lv-LV"/>
        </w:rPr>
        <w:t xml:space="preserve"> </w:t>
      </w:r>
      <w:r w:rsidRPr="003C4731">
        <w:rPr>
          <w:rFonts w:ascii="Times New Roman" w:hAnsi="Times New Roman"/>
          <w:color w:val="000000"/>
          <w:sz w:val="28"/>
          <w:szCs w:val="28"/>
          <w:lang w:val="lv-LV"/>
        </w:rPr>
        <w:t>Šāda sistēma sniegs plašākas iespējas pedagogu atalgojuma palielināšanā, sasaistot to ar profesionālās darbības kvalitātes novērtēšanu. Pašlaik tiek sagatavoti grozījumi normatīvajā regulējumā par prasībām pedagogiem nepieciešamajai izglītībai un profesionālajai kvalifikācijai, paredzot pedagogiem plašākas profesionālās darbības iespējas; diferencējot pedagogu darba samaksu atbilstīgi kvalitātes pakāpei. Pedagogu motivācijas programma paredz nodrošināt pedagogiem sociālās garantijas, modernu un mūsdienīgu mācību vidi, kā arī piedāvāt pedagogiem tālākizglītības kursu modernas formas.</w:t>
      </w:r>
    </w:p>
    <w:p w:rsidR="002440A9" w:rsidRPr="000573C6" w:rsidRDefault="002440A9" w:rsidP="000573C6">
      <w:pPr>
        <w:spacing w:after="0" w:line="240" w:lineRule="auto"/>
        <w:ind w:firstLine="720"/>
        <w:jc w:val="both"/>
        <w:rPr>
          <w:rFonts w:ascii="Times New Roman" w:hAnsi="Times New Roman"/>
          <w:color w:val="000000"/>
          <w:sz w:val="28"/>
          <w:szCs w:val="28"/>
          <w:lang w:val="lv-LV"/>
        </w:rPr>
      </w:pPr>
    </w:p>
    <w:p w:rsidR="009E3383" w:rsidRPr="00FE7474" w:rsidRDefault="009E3383" w:rsidP="005455E1">
      <w:pPr>
        <w:spacing w:after="0" w:line="240" w:lineRule="auto"/>
        <w:jc w:val="center"/>
        <w:rPr>
          <w:rFonts w:ascii="Times New Roman" w:hAnsi="Times New Roman"/>
          <w:b/>
          <w:sz w:val="28"/>
          <w:szCs w:val="28"/>
          <w:u w:val="single"/>
          <w:lang w:val="lv-LV"/>
        </w:rPr>
      </w:pPr>
      <w:r w:rsidRPr="00FE7474">
        <w:rPr>
          <w:rFonts w:ascii="Times New Roman" w:hAnsi="Times New Roman"/>
          <w:b/>
          <w:sz w:val="28"/>
          <w:szCs w:val="28"/>
          <w:u w:val="single"/>
          <w:lang w:val="lv-LV"/>
        </w:rPr>
        <w:t>Jaunatne</w:t>
      </w:r>
    </w:p>
    <w:p w:rsidR="00A77519" w:rsidRPr="00A77519" w:rsidRDefault="00A77519" w:rsidP="00A77519">
      <w:pPr>
        <w:numPr>
          <w:ilvl w:val="0"/>
          <w:numId w:val="31"/>
        </w:numPr>
        <w:ind w:left="0" w:firstLine="0"/>
        <w:jc w:val="both"/>
        <w:rPr>
          <w:rFonts w:ascii="Times New Roman" w:hAnsi="Times New Roman"/>
          <w:b/>
          <w:bCs/>
          <w:sz w:val="28"/>
          <w:szCs w:val="28"/>
          <w:u w:val="single"/>
          <w:lang w:val="lv-LV"/>
        </w:rPr>
      </w:pPr>
      <w:r w:rsidRPr="00A77519">
        <w:rPr>
          <w:rFonts w:ascii="Times New Roman" w:hAnsi="Times New Roman"/>
          <w:b/>
          <w:sz w:val="28"/>
          <w:szCs w:val="28"/>
          <w:u w:val="single"/>
          <w:lang w:val="lv-LV"/>
        </w:rPr>
        <w:t xml:space="preserve">Padomes secinājumu par kvalitatīva darba ar jaunatni ieguldījumu jauniešu attīstībā, labklājībā un sociālajā iekļaušanā pieņemšana un </w:t>
      </w:r>
      <w:r w:rsidR="000573C6">
        <w:rPr>
          <w:rFonts w:ascii="Times New Roman" w:hAnsi="Times New Roman"/>
          <w:b/>
          <w:sz w:val="28"/>
          <w:szCs w:val="28"/>
          <w:u w:val="single"/>
          <w:lang w:val="lv-LV"/>
        </w:rPr>
        <w:t xml:space="preserve">politikas </w:t>
      </w:r>
      <w:r w:rsidRPr="00A77519">
        <w:rPr>
          <w:rFonts w:ascii="Times New Roman" w:hAnsi="Times New Roman"/>
          <w:b/>
          <w:sz w:val="28"/>
          <w:szCs w:val="28"/>
          <w:u w:val="single"/>
          <w:lang w:val="lv-LV"/>
        </w:rPr>
        <w:t xml:space="preserve">debates par </w:t>
      </w:r>
      <w:r w:rsidRPr="00A77519">
        <w:rPr>
          <w:rFonts w:ascii="Times New Roman" w:hAnsi="Times New Roman"/>
          <w:b/>
          <w:bCs/>
          <w:sz w:val="28"/>
          <w:szCs w:val="28"/>
          <w:u w:val="single"/>
          <w:lang w:val="lv-LV"/>
        </w:rPr>
        <w:t xml:space="preserve">Kvalitatīva darba ar jaunatni </w:t>
      </w:r>
      <w:r w:rsidR="00A06F3E" w:rsidRPr="00A77519">
        <w:rPr>
          <w:rFonts w:ascii="Times New Roman" w:hAnsi="Times New Roman"/>
          <w:b/>
          <w:bCs/>
          <w:sz w:val="28"/>
          <w:szCs w:val="28"/>
          <w:u w:val="single"/>
          <w:lang w:val="lv-LV"/>
        </w:rPr>
        <w:t>ieguldījum</w:t>
      </w:r>
      <w:r w:rsidR="00A06F3E">
        <w:rPr>
          <w:rFonts w:ascii="Times New Roman" w:hAnsi="Times New Roman"/>
          <w:b/>
          <w:bCs/>
          <w:sz w:val="28"/>
          <w:szCs w:val="28"/>
          <w:u w:val="single"/>
          <w:lang w:val="lv-LV"/>
        </w:rPr>
        <w:t>u</w:t>
      </w:r>
      <w:r w:rsidR="00A06F3E" w:rsidRPr="00A77519">
        <w:rPr>
          <w:rFonts w:ascii="Times New Roman" w:hAnsi="Times New Roman"/>
          <w:b/>
          <w:bCs/>
          <w:sz w:val="28"/>
          <w:szCs w:val="28"/>
          <w:u w:val="single"/>
          <w:lang w:val="lv-LV"/>
        </w:rPr>
        <w:t xml:space="preserve"> </w:t>
      </w:r>
      <w:r w:rsidRPr="00A77519">
        <w:rPr>
          <w:rFonts w:ascii="Times New Roman" w:hAnsi="Times New Roman"/>
          <w:b/>
          <w:bCs/>
          <w:sz w:val="28"/>
          <w:szCs w:val="28"/>
          <w:u w:val="single"/>
          <w:lang w:val="lv-LV"/>
        </w:rPr>
        <w:t>Eiropas jauniešu labākā nākotnē</w:t>
      </w:r>
    </w:p>
    <w:p w:rsidR="00A77519" w:rsidRPr="00A77519" w:rsidRDefault="00A77519" w:rsidP="00A77519">
      <w:pPr>
        <w:widowControl w:val="0"/>
        <w:spacing w:after="0" w:line="240" w:lineRule="auto"/>
        <w:ind w:firstLine="720"/>
        <w:jc w:val="both"/>
        <w:rPr>
          <w:rFonts w:ascii="Times New Roman" w:hAnsi="Times New Roman"/>
          <w:sz w:val="28"/>
          <w:szCs w:val="28"/>
          <w:lang w:val="lv-LV"/>
        </w:rPr>
      </w:pPr>
      <w:r w:rsidRPr="00A77519">
        <w:rPr>
          <w:rFonts w:ascii="Times New Roman" w:hAnsi="Times New Roman"/>
          <w:sz w:val="28"/>
          <w:szCs w:val="28"/>
          <w:lang w:val="lv-LV"/>
        </w:rPr>
        <w:t xml:space="preserve">Secinājumi tika izstrādāti, t.sk. atsaucoties uz Padomes 2009.gada 27.novembra rezolūciju par Atjauninātu regulējumu Eiropas sadarbībai jaunatnes </w:t>
      </w:r>
      <w:r w:rsidRPr="00A77519">
        <w:rPr>
          <w:rFonts w:ascii="Times New Roman" w:hAnsi="Times New Roman"/>
          <w:sz w:val="28"/>
          <w:szCs w:val="28"/>
          <w:lang w:val="lv-LV"/>
        </w:rPr>
        <w:lastRenderedPageBreak/>
        <w:t xml:space="preserve">jomā (2010–2018), kurā jauniešu labklājība un sociālā iekļaušana ir norādītas kā divas no astoņām galvenajām jaunatnes politikas darbības jomām, kā arī Īrijas prezidentūras ietvaros organizētās konferences „Jauniešu sociālā iekļaušana ES” kopīgajiem secinājumiem. </w:t>
      </w:r>
    </w:p>
    <w:p w:rsidR="00A77519" w:rsidRPr="00A77519" w:rsidRDefault="00A77519" w:rsidP="00A77519">
      <w:pPr>
        <w:widowControl w:val="0"/>
        <w:spacing w:after="0" w:line="240" w:lineRule="auto"/>
        <w:ind w:firstLine="720"/>
        <w:jc w:val="both"/>
        <w:rPr>
          <w:rFonts w:ascii="Times New Roman" w:hAnsi="Times New Roman"/>
          <w:sz w:val="28"/>
          <w:szCs w:val="28"/>
          <w:lang w:val="lv-LV"/>
        </w:rPr>
      </w:pPr>
      <w:r w:rsidRPr="00A77519">
        <w:rPr>
          <w:rFonts w:ascii="Times New Roman" w:hAnsi="Times New Roman"/>
          <w:sz w:val="28"/>
          <w:szCs w:val="28"/>
          <w:lang w:val="lv-LV"/>
        </w:rPr>
        <w:t>Secinājumos tiek skaidrots „darba ar jaunatni” jēdziens, kas aptver plašas darbības sociālajā, kultūras, izglītības, sporta un brīvā laika jomā. Darbs ar jaunatni var tikt organizēts dažādos veidos un formātos. To var nodrošināt institūcijas, jaunatnes nevalstiskās organizācijas, neformālās grupas, dienesti vai arī publiskās iestādes.</w:t>
      </w:r>
    </w:p>
    <w:p w:rsidR="00A77519" w:rsidRDefault="00A77519" w:rsidP="00A77519">
      <w:pPr>
        <w:widowControl w:val="0"/>
        <w:spacing w:after="0" w:line="240" w:lineRule="auto"/>
        <w:ind w:firstLine="720"/>
        <w:jc w:val="both"/>
        <w:rPr>
          <w:rFonts w:ascii="Times New Roman" w:hAnsi="Times New Roman"/>
          <w:sz w:val="28"/>
          <w:szCs w:val="28"/>
          <w:lang w:val="lv-LV"/>
        </w:rPr>
      </w:pPr>
      <w:r w:rsidRPr="00A77519">
        <w:rPr>
          <w:rFonts w:ascii="Times New Roman" w:hAnsi="Times New Roman"/>
          <w:sz w:val="28"/>
          <w:szCs w:val="28"/>
          <w:lang w:val="lv-LV"/>
        </w:rPr>
        <w:t xml:space="preserve">Secinājumi uzsver, ka efektīvs darbs ar jaunatni un dažādas jaunatnes iniciatīvas sekmē jauniešu aktīvu līdzdalību sabiedrībā. Darba ar jaunatni kvalitāte ir apņemšanās nodrošināt un uzlabot apstākļus darba ar jaunatni attīstībai. Tas skar jaunatnes darbiniekus, jaunatnes organizācijas, un institūcijas, kas ikdienā saskaras ar jauniešiem. </w:t>
      </w:r>
    </w:p>
    <w:p w:rsidR="001227E3" w:rsidRDefault="00A77519" w:rsidP="00A77519">
      <w:pPr>
        <w:ind w:firstLine="720"/>
        <w:jc w:val="both"/>
        <w:rPr>
          <w:rFonts w:ascii="Times New Roman" w:hAnsi="Times New Roman"/>
          <w:bCs/>
          <w:i/>
          <w:iCs/>
          <w:sz w:val="28"/>
          <w:szCs w:val="28"/>
          <w:lang w:val="lv-LV"/>
        </w:rPr>
      </w:pPr>
      <w:r w:rsidRPr="00A77519">
        <w:rPr>
          <w:rFonts w:ascii="Times New Roman" w:hAnsi="Times New Roman"/>
          <w:sz w:val="28"/>
          <w:szCs w:val="28"/>
          <w:lang w:val="lv-LV" w:eastAsia="lv-LV"/>
        </w:rPr>
        <w:t xml:space="preserve">Debatēm izvirzīts šāds jautājums: </w:t>
      </w:r>
      <w:r w:rsidRPr="00A77519">
        <w:rPr>
          <w:rFonts w:ascii="Times New Roman" w:hAnsi="Times New Roman"/>
          <w:bCs/>
          <w:i/>
          <w:iCs/>
          <w:sz w:val="28"/>
          <w:szCs w:val="28"/>
          <w:lang w:val="lv-LV"/>
        </w:rPr>
        <w:t>Kādus tūlītējus un praktiskus pasākumus veic par jaunatnes jomu atbildīgie ministri, lai izmantotu iespējas, ko sniedz darbs ar jaunatni un lai labāk risinātu pašreizējās problēmas, ar kurām saskaras Eiropas jaunieši?</w:t>
      </w:r>
    </w:p>
    <w:p w:rsidR="001227E3" w:rsidRPr="001227E3" w:rsidRDefault="001227E3" w:rsidP="005455E1">
      <w:pPr>
        <w:autoSpaceDE w:val="0"/>
        <w:autoSpaceDN w:val="0"/>
        <w:adjustRightInd w:val="0"/>
        <w:spacing w:after="0" w:line="240" w:lineRule="auto"/>
        <w:ind w:firstLine="720"/>
        <w:contextualSpacing/>
        <w:jc w:val="both"/>
        <w:rPr>
          <w:rFonts w:ascii="Times New Roman" w:hAnsi="Times New Roman"/>
          <w:b/>
          <w:bCs/>
          <w:sz w:val="28"/>
          <w:szCs w:val="28"/>
          <w:u w:val="single"/>
          <w:lang w:val="lv-LV"/>
        </w:rPr>
      </w:pPr>
      <w:r w:rsidRPr="001227E3">
        <w:rPr>
          <w:rFonts w:ascii="Times New Roman" w:hAnsi="Times New Roman"/>
          <w:b/>
          <w:bCs/>
          <w:sz w:val="28"/>
          <w:szCs w:val="28"/>
          <w:u w:val="single"/>
          <w:lang w:val="lv-LV"/>
        </w:rPr>
        <w:t>Latvijas pozīcija</w:t>
      </w:r>
    </w:p>
    <w:p w:rsidR="00A77519" w:rsidRPr="00A77519" w:rsidRDefault="00A77519" w:rsidP="00A77519">
      <w:pPr>
        <w:spacing w:after="0" w:line="240" w:lineRule="auto"/>
        <w:ind w:firstLine="720"/>
        <w:jc w:val="both"/>
        <w:rPr>
          <w:rFonts w:ascii="Times New Roman" w:hAnsi="Times New Roman"/>
          <w:i/>
          <w:iCs/>
          <w:sz w:val="28"/>
          <w:szCs w:val="28"/>
          <w:lang w:val="lv-LV"/>
        </w:rPr>
      </w:pPr>
      <w:r w:rsidRPr="00A77519">
        <w:rPr>
          <w:rFonts w:ascii="Times New Roman" w:eastAsia="Arial Unicode MS" w:hAnsi="Times New Roman"/>
          <w:b/>
          <w:sz w:val="28"/>
          <w:szCs w:val="28"/>
          <w:lang w:val="lv-LV"/>
        </w:rPr>
        <w:t>Latvija kopumā atbalsta</w:t>
      </w:r>
      <w:r w:rsidRPr="00A77519">
        <w:rPr>
          <w:rFonts w:ascii="Times New Roman" w:hAnsi="Times New Roman"/>
          <w:sz w:val="28"/>
          <w:szCs w:val="28"/>
          <w:lang w:val="lv-LV"/>
        </w:rPr>
        <w:t xml:space="preserve"> Padomes secinājumu  par kvalitatīva darba ar jaunatni ieguldījumu jauniešu attīstībā, labklājībā un sociālajā iekļautībā apstiprināšanu Ministru padomē</w:t>
      </w:r>
      <w:r w:rsidRPr="00A77519">
        <w:rPr>
          <w:rFonts w:ascii="Times New Roman" w:eastAsia="Arial Unicode MS" w:hAnsi="Times New Roman"/>
          <w:sz w:val="28"/>
          <w:szCs w:val="28"/>
          <w:lang w:val="lv-LV"/>
        </w:rPr>
        <w:t xml:space="preserve">, ievērojot vienotas plānošanas pieejas īstenošanu darbā ar jaunatni virzībā uz „Eiropas 2020” stratēģijas izvirzīto prioritāšu sasniegšanu. </w:t>
      </w:r>
    </w:p>
    <w:p w:rsidR="00A77519" w:rsidRPr="00A77519" w:rsidRDefault="00A77519" w:rsidP="00A77519">
      <w:pPr>
        <w:spacing w:after="0" w:line="240" w:lineRule="auto"/>
        <w:ind w:firstLine="720"/>
        <w:jc w:val="both"/>
        <w:rPr>
          <w:rFonts w:ascii="Times New Roman" w:hAnsi="Times New Roman"/>
          <w:sz w:val="28"/>
          <w:szCs w:val="28"/>
          <w:lang w:val="lv-LV"/>
        </w:rPr>
      </w:pPr>
      <w:r w:rsidRPr="00A77519">
        <w:rPr>
          <w:rFonts w:ascii="Times New Roman" w:hAnsi="Times New Roman"/>
          <w:b/>
          <w:bCs/>
          <w:sz w:val="28"/>
          <w:szCs w:val="28"/>
          <w:lang w:val="lv-LV"/>
        </w:rPr>
        <w:t>Latvija uzsver</w:t>
      </w:r>
      <w:r w:rsidRPr="00A77519">
        <w:rPr>
          <w:rFonts w:ascii="Times New Roman" w:hAnsi="Times New Roman"/>
          <w:bCs/>
          <w:sz w:val="28"/>
          <w:szCs w:val="28"/>
          <w:lang w:val="lv-LV"/>
        </w:rPr>
        <w:t xml:space="preserve"> nepieciešamību dalībvalstu un ES līmenī veicināt vienotu izpratni par darbu ar jaunatni, kā arī sekmēt pētniecību par darbu ar jaunatni un jaunatnes politiku kopumā, </w:t>
      </w:r>
      <w:r w:rsidRPr="00A77519">
        <w:rPr>
          <w:rFonts w:ascii="Times New Roman" w:hAnsi="Times New Roman"/>
          <w:sz w:val="28"/>
          <w:szCs w:val="28"/>
          <w:lang w:val="lv-LV"/>
        </w:rPr>
        <w:t xml:space="preserve">lai varētu efektīvi un mērķtiecīgi plānot uz pētījumu rezultātiem balstītas jaunatnes politiku veidošanu. Pētījumi veicinātu jaunatnes politikas īstenošanā iesaistīto personu izpratni par jaunatnes politikas būtību, mērķiem un uzdevumiem. </w:t>
      </w:r>
    </w:p>
    <w:p w:rsidR="00A77519" w:rsidRPr="00A77519" w:rsidRDefault="00A77519" w:rsidP="00A77519">
      <w:pPr>
        <w:autoSpaceDE w:val="0"/>
        <w:autoSpaceDN w:val="0"/>
        <w:adjustRightInd w:val="0"/>
        <w:spacing w:after="0" w:line="240" w:lineRule="auto"/>
        <w:contextualSpacing/>
        <w:jc w:val="both"/>
        <w:rPr>
          <w:rFonts w:ascii="Times New Roman" w:hAnsi="Times New Roman"/>
          <w:bCs/>
          <w:sz w:val="28"/>
          <w:szCs w:val="28"/>
          <w:lang w:val="lv-LV"/>
        </w:rPr>
      </w:pPr>
    </w:p>
    <w:p w:rsidR="00BE11AE" w:rsidRPr="00BE11AE" w:rsidRDefault="00F04B99" w:rsidP="00BE11AE">
      <w:pPr>
        <w:pStyle w:val="BodyText"/>
        <w:snapToGrid w:val="0"/>
        <w:jc w:val="both"/>
        <w:rPr>
          <w:b/>
          <w:bCs/>
          <w:sz w:val="28"/>
          <w:szCs w:val="28"/>
          <w:u w:val="single"/>
          <w:lang w:val="lv-LV"/>
        </w:rPr>
      </w:pPr>
      <w:r w:rsidRPr="00BE11AE">
        <w:rPr>
          <w:b/>
          <w:bCs/>
          <w:sz w:val="28"/>
          <w:szCs w:val="28"/>
          <w:u w:val="single"/>
          <w:lang w:val="lv-LV"/>
        </w:rPr>
        <w:t>2</w:t>
      </w:r>
      <w:r w:rsidR="001227E3" w:rsidRPr="00BE11AE">
        <w:rPr>
          <w:b/>
          <w:bCs/>
          <w:sz w:val="28"/>
          <w:szCs w:val="28"/>
          <w:u w:val="single"/>
          <w:lang w:val="lv-LV"/>
        </w:rPr>
        <w:t>.</w:t>
      </w:r>
      <w:r w:rsidR="001227E3" w:rsidRPr="00BE11AE">
        <w:rPr>
          <w:bCs/>
          <w:sz w:val="28"/>
          <w:szCs w:val="28"/>
          <w:u w:val="single"/>
          <w:lang w:val="lv-LV"/>
        </w:rPr>
        <w:t xml:space="preserve"> </w:t>
      </w:r>
      <w:r w:rsidR="00BE11AE" w:rsidRPr="00BE11AE">
        <w:rPr>
          <w:b/>
          <w:bCs/>
          <w:sz w:val="28"/>
          <w:szCs w:val="28"/>
          <w:u w:val="single"/>
          <w:lang w:val="lv-LV"/>
        </w:rPr>
        <w:t xml:space="preserve">Padomes secinājumu projekts </w:t>
      </w:r>
      <w:r w:rsidR="00BE11AE" w:rsidRPr="00BE11AE">
        <w:rPr>
          <w:b/>
          <w:bCs/>
          <w:sz w:val="28"/>
          <w:szCs w:val="28"/>
          <w:u w:val="single"/>
          <w:lang w:val="lv-LV" w:eastAsia="lv-LV"/>
        </w:rPr>
        <w:t>par jaunatnes politikas potenciāla palielināšanu, sasniedzot „Eiropa 2020” stratēģijas mērķus</w:t>
      </w:r>
      <w:r w:rsidR="00BE11AE">
        <w:rPr>
          <w:b/>
          <w:bCs/>
          <w:sz w:val="28"/>
          <w:szCs w:val="28"/>
          <w:u w:val="single"/>
          <w:lang w:val="lv-LV" w:eastAsia="lv-LV"/>
        </w:rPr>
        <w:t xml:space="preserve"> - pieņemšana</w:t>
      </w:r>
    </w:p>
    <w:p w:rsidR="00BE11AE" w:rsidRPr="00BE11AE" w:rsidRDefault="00BE11AE" w:rsidP="00BE11AE">
      <w:pPr>
        <w:pStyle w:val="ManualConsidrant"/>
        <w:spacing w:before="0" w:after="0"/>
        <w:ind w:left="0" w:firstLine="720"/>
        <w:rPr>
          <w:sz w:val="28"/>
          <w:szCs w:val="28"/>
        </w:rPr>
      </w:pPr>
      <w:r w:rsidRPr="00BE11AE">
        <w:rPr>
          <w:sz w:val="28"/>
          <w:szCs w:val="28"/>
        </w:rPr>
        <w:t xml:space="preserve">Secinājumos norādīts, ka „Eiropa 2020” stratēģijā un tās pamatiniciatīvās tiek uzsvērts, cik svarīgi ir izstrādāt un īstenot politikas pasākumus, kas visiem jauniešiem palīdz iegūt prasmes un zināšanas, kuras ir vajadzīgas, lai līdzdarbotos uz zināšanām balstītā ekonomikā un piedalītos sabiedrības dzīvē. </w:t>
      </w:r>
    </w:p>
    <w:p w:rsidR="00BE11AE" w:rsidRPr="00BE11AE" w:rsidRDefault="00BE11AE" w:rsidP="00BE11AE">
      <w:pPr>
        <w:autoSpaceDE w:val="0"/>
        <w:autoSpaceDN w:val="0"/>
        <w:adjustRightInd w:val="0"/>
        <w:spacing w:after="0" w:line="240" w:lineRule="auto"/>
        <w:ind w:firstLine="720"/>
        <w:jc w:val="both"/>
        <w:rPr>
          <w:rFonts w:ascii="Times New Roman" w:hAnsi="Times New Roman"/>
          <w:sz w:val="28"/>
          <w:szCs w:val="28"/>
          <w:lang w:val="lv-LV"/>
        </w:rPr>
      </w:pPr>
      <w:r w:rsidRPr="00BE11AE">
        <w:rPr>
          <w:rFonts w:ascii="Times New Roman" w:hAnsi="Times New Roman"/>
          <w:sz w:val="28"/>
          <w:szCs w:val="28"/>
          <w:lang w:val="lv-LV"/>
        </w:rPr>
        <w:lastRenderedPageBreak/>
        <w:t xml:space="preserve">Secinājumi atsaucas uz Atjaunināto regulējumu Eiropas sadarbībai jaunatnes jomā (2010–2018) (turpmāk – Atjauninātais regulējums), kur tiek uzsvērta divējāda pieeja, ko veido: a) konkrētas ierosmes jaunatnes politikas jomā un b) vispārējas ierosmes, ar kurām attiecīgajās politikas jomās iekļauj jaunatnes perspektīvu. </w:t>
      </w:r>
    </w:p>
    <w:p w:rsidR="00BE11AE" w:rsidRPr="00BE11AE" w:rsidRDefault="00BE11AE" w:rsidP="00BE11AE">
      <w:pPr>
        <w:autoSpaceDE w:val="0"/>
        <w:autoSpaceDN w:val="0"/>
        <w:adjustRightInd w:val="0"/>
        <w:spacing w:after="0" w:line="240" w:lineRule="auto"/>
        <w:ind w:firstLine="720"/>
        <w:jc w:val="both"/>
        <w:rPr>
          <w:rFonts w:ascii="Times New Roman" w:hAnsi="Times New Roman"/>
          <w:sz w:val="28"/>
          <w:szCs w:val="28"/>
          <w:lang w:val="lv-LV"/>
        </w:rPr>
      </w:pPr>
      <w:r w:rsidRPr="00BE11AE">
        <w:rPr>
          <w:rFonts w:ascii="Times New Roman" w:hAnsi="Times New Roman"/>
          <w:sz w:val="28"/>
          <w:szCs w:val="28"/>
          <w:lang w:val="lv-LV"/>
        </w:rPr>
        <w:t>Secinājumos norādīts, ka ES kopīgajā 2012.gada ziņojumā par jaunatni ietverts aicinājums veidot spēcīgāku saikni un lielāku kohēziju starp Atjaunināto regulējumu un „Eiropa 2020” stratēģiju.</w:t>
      </w:r>
    </w:p>
    <w:p w:rsidR="00BE11AE" w:rsidRPr="00BE11AE" w:rsidRDefault="00BE11AE" w:rsidP="00BE11AE">
      <w:pPr>
        <w:autoSpaceDE w:val="0"/>
        <w:autoSpaceDN w:val="0"/>
        <w:adjustRightInd w:val="0"/>
        <w:spacing w:after="0" w:line="240" w:lineRule="auto"/>
        <w:ind w:firstLine="720"/>
        <w:jc w:val="both"/>
        <w:rPr>
          <w:rFonts w:ascii="Times New Roman" w:hAnsi="Times New Roman"/>
          <w:sz w:val="28"/>
          <w:szCs w:val="28"/>
          <w:lang w:val="lv-LV"/>
        </w:rPr>
      </w:pPr>
      <w:r w:rsidRPr="00BE11AE">
        <w:rPr>
          <w:rFonts w:ascii="Times New Roman" w:hAnsi="Times New Roman"/>
          <w:sz w:val="28"/>
          <w:szCs w:val="28"/>
          <w:lang w:val="lv-LV"/>
        </w:rPr>
        <w:t xml:space="preserve">Secinājumos ietverta informācija par vairākām politikas iniciatīvām, kas ir ieviestas, lai veicinātu „Eiropa 2020” stratēģijas mērķu sasniegšanu un risinātu problēmas, ar kurām saskaras ES jaunieši ekonomiskās krīzes ietekmes dēļ. </w:t>
      </w:r>
    </w:p>
    <w:p w:rsidR="00BE11AE" w:rsidRPr="00BE11AE" w:rsidRDefault="00BE11AE" w:rsidP="00BE11AE">
      <w:pPr>
        <w:autoSpaceDE w:val="0"/>
        <w:autoSpaceDN w:val="0"/>
        <w:adjustRightInd w:val="0"/>
        <w:spacing w:after="0" w:line="240" w:lineRule="auto"/>
        <w:ind w:firstLine="720"/>
        <w:jc w:val="both"/>
        <w:rPr>
          <w:rFonts w:ascii="Times New Roman" w:hAnsi="Times New Roman"/>
          <w:sz w:val="28"/>
          <w:szCs w:val="28"/>
          <w:lang w:val="lv-LV"/>
        </w:rPr>
      </w:pPr>
      <w:r w:rsidRPr="00BE11AE">
        <w:rPr>
          <w:rFonts w:ascii="Times New Roman" w:hAnsi="Times New Roman"/>
          <w:sz w:val="28"/>
          <w:szCs w:val="28"/>
          <w:lang w:val="lv-LV"/>
        </w:rPr>
        <w:t>Secinājumos tiek pausta nostāja, ka, lai īstenotu efektīvu jaunatnes politiku un sasniegtu „Eiropa 2020” stratēģijas mērķus, izšķiroša nozīme ir starpnozaru un starpinstitūciju sadarbībai nacionālā un ES līmenī. Jaunatnes politika paredz uz jaunatni vērstus un vispusīgus politiskus risinājumus, kam ir gan vertikāla, gan horizontāla ievirze. Saistībā ar citām nozarēm jaunatnes politikai piemīt gan patstāvīga, gan papildinoša nozīme, piedāvājot daudzus pozitīvus risinājumus jauniešiem. Tomēr jaunatnes politikas lomu un uzdevumus varētu īstenot labāk, ja precīzāk noteiktu, kāds ir šīs politikas devums un kā tā mijiedarbojas ar saistītām politikas jomām, jo īpaši attiecībā uz nodarbinātību un sociālo iekļaušanu.</w:t>
      </w:r>
    </w:p>
    <w:p w:rsidR="00BE11AE" w:rsidRPr="00BE11AE" w:rsidRDefault="00BE11AE" w:rsidP="00BE11AE">
      <w:pPr>
        <w:pStyle w:val="ManualConsidrant"/>
        <w:spacing w:before="0" w:after="0"/>
        <w:ind w:hanging="108"/>
        <w:rPr>
          <w:sz w:val="28"/>
          <w:szCs w:val="28"/>
        </w:rPr>
      </w:pPr>
      <w:r w:rsidRPr="00BE11AE">
        <w:rPr>
          <w:sz w:val="28"/>
          <w:szCs w:val="28"/>
        </w:rPr>
        <w:t>Secinājumos dalībvalstis tiek aicinātas:</w:t>
      </w:r>
    </w:p>
    <w:p w:rsidR="00BE11AE" w:rsidRPr="00BE11AE" w:rsidRDefault="00BE11AE" w:rsidP="00BE11AE">
      <w:pPr>
        <w:pStyle w:val="ListParagraph"/>
        <w:numPr>
          <w:ilvl w:val="0"/>
          <w:numId w:val="34"/>
        </w:numPr>
        <w:autoSpaceDE w:val="0"/>
        <w:autoSpaceDN w:val="0"/>
        <w:adjustRightInd w:val="0"/>
        <w:spacing w:after="0" w:line="240" w:lineRule="auto"/>
        <w:ind w:left="601" w:hanging="601"/>
        <w:contextualSpacing w:val="0"/>
        <w:jc w:val="both"/>
        <w:rPr>
          <w:rFonts w:ascii="Times New Roman" w:hAnsi="Times New Roman"/>
          <w:sz w:val="28"/>
          <w:szCs w:val="28"/>
          <w:lang w:val="lv-LV"/>
        </w:rPr>
      </w:pPr>
      <w:r w:rsidRPr="00BE11AE">
        <w:rPr>
          <w:rFonts w:ascii="Times New Roman" w:hAnsi="Times New Roman"/>
          <w:sz w:val="28"/>
          <w:szCs w:val="28"/>
          <w:lang w:val="lv-LV"/>
        </w:rPr>
        <w:t>nodrošināt, lai ar prioritārajiem uzdevumiem, kas paredzēti saskaņā ar Atjaunināto regulējumu, tiktu veicināti un papildināti „Eiropa 2020” stratēģijas mērķi;</w:t>
      </w:r>
    </w:p>
    <w:p w:rsidR="00BE11AE" w:rsidRPr="00BE11AE" w:rsidRDefault="00BE11AE" w:rsidP="00BE11AE">
      <w:pPr>
        <w:pStyle w:val="ListParagraph"/>
        <w:numPr>
          <w:ilvl w:val="0"/>
          <w:numId w:val="34"/>
        </w:numPr>
        <w:autoSpaceDE w:val="0"/>
        <w:autoSpaceDN w:val="0"/>
        <w:adjustRightInd w:val="0"/>
        <w:spacing w:after="0" w:line="240" w:lineRule="auto"/>
        <w:ind w:left="601" w:hanging="601"/>
        <w:contextualSpacing w:val="0"/>
        <w:jc w:val="both"/>
        <w:rPr>
          <w:rFonts w:ascii="Times New Roman" w:hAnsi="Times New Roman"/>
          <w:sz w:val="28"/>
          <w:szCs w:val="28"/>
          <w:lang w:val="lv-LV"/>
        </w:rPr>
      </w:pPr>
      <w:r w:rsidRPr="00BE11AE">
        <w:rPr>
          <w:rFonts w:ascii="Times New Roman" w:hAnsi="Times New Roman"/>
          <w:sz w:val="28"/>
          <w:szCs w:val="28"/>
          <w:lang w:val="lv-LV"/>
        </w:rPr>
        <w:t>veicināt ministriju, kas atbildīgas par jaunatnes lietām, aktīvu iesaistīšanos nacionālajā politikā, kuru izstrādā saistībā ar „Eiropa 2020” stratēģiju, jo īpaši ikgadējo nacionālo reformu programmu (NRP) izstrādē un koordinēšanā;</w:t>
      </w:r>
    </w:p>
    <w:p w:rsidR="00BE11AE" w:rsidRPr="00BE11AE" w:rsidRDefault="00BE11AE" w:rsidP="00BE11AE">
      <w:pPr>
        <w:pStyle w:val="ListParagraph"/>
        <w:numPr>
          <w:ilvl w:val="0"/>
          <w:numId w:val="34"/>
        </w:numPr>
        <w:autoSpaceDE w:val="0"/>
        <w:autoSpaceDN w:val="0"/>
        <w:adjustRightInd w:val="0"/>
        <w:spacing w:after="0" w:line="240" w:lineRule="auto"/>
        <w:ind w:left="601" w:hanging="601"/>
        <w:contextualSpacing w:val="0"/>
        <w:jc w:val="both"/>
        <w:rPr>
          <w:rFonts w:ascii="Times New Roman" w:hAnsi="Times New Roman"/>
          <w:sz w:val="28"/>
          <w:szCs w:val="28"/>
          <w:lang w:val="lv-LV"/>
        </w:rPr>
      </w:pPr>
      <w:r w:rsidRPr="00BE11AE">
        <w:rPr>
          <w:rFonts w:ascii="Times New Roman" w:hAnsi="Times New Roman"/>
          <w:sz w:val="28"/>
          <w:szCs w:val="28"/>
          <w:lang w:val="lv-LV"/>
        </w:rPr>
        <w:t>veicināt esošo mehānismu labāku izmantošanu vai jaunu mehānismu izveidi jauniešu viedokļa apzināšanai;</w:t>
      </w:r>
    </w:p>
    <w:p w:rsidR="00BE11AE" w:rsidRPr="00BE11AE" w:rsidRDefault="00BE11AE" w:rsidP="00BE11AE">
      <w:pPr>
        <w:pStyle w:val="ListParagraph"/>
        <w:numPr>
          <w:ilvl w:val="0"/>
          <w:numId w:val="34"/>
        </w:numPr>
        <w:autoSpaceDE w:val="0"/>
        <w:autoSpaceDN w:val="0"/>
        <w:adjustRightInd w:val="0"/>
        <w:spacing w:after="0" w:line="240" w:lineRule="auto"/>
        <w:ind w:left="601" w:hanging="601"/>
        <w:contextualSpacing w:val="0"/>
        <w:jc w:val="both"/>
        <w:rPr>
          <w:rFonts w:ascii="Times New Roman" w:hAnsi="Times New Roman"/>
          <w:sz w:val="28"/>
          <w:szCs w:val="28"/>
          <w:lang w:val="lv-LV"/>
        </w:rPr>
      </w:pPr>
      <w:r w:rsidRPr="00BE11AE">
        <w:rPr>
          <w:rFonts w:ascii="Times New Roman" w:hAnsi="Times New Roman"/>
          <w:sz w:val="28"/>
          <w:szCs w:val="28"/>
          <w:lang w:val="lv-LV"/>
        </w:rPr>
        <w:t>izvērtēt jaunatnes politikas iespējas sekmēt jauniešu nodarbinātības pasākumu kopuma realizēšanu, tostarp īstenojot Padomes ieteikumus par neformālās un ikdienējās mācīšanās atzīšanu un Padomes ieteikumus par jauniešu garantijas programmas ieviešanu.</w:t>
      </w:r>
    </w:p>
    <w:p w:rsidR="003D167C" w:rsidRDefault="003D167C" w:rsidP="005D637E">
      <w:pPr>
        <w:autoSpaceDE w:val="0"/>
        <w:autoSpaceDN w:val="0"/>
        <w:adjustRightInd w:val="0"/>
        <w:spacing w:after="0" w:line="240" w:lineRule="auto"/>
        <w:ind w:firstLine="720"/>
        <w:contextualSpacing/>
        <w:jc w:val="both"/>
        <w:rPr>
          <w:rFonts w:ascii="Times New Roman" w:hAnsi="Times New Roman"/>
          <w:bCs/>
          <w:sz w:val="28"/>
          <w:szCs w:val="28"/>
          <w:lang w:val="lv-LV"/>
        </w:rPr>
      </w:pPr>
    </w:p>
    <w:p w:rsidR="001227E3" w:rsidRPr="001227E3" w:rsidRDefault="001227E3" w:rsidP="005455E1">
      <w:pPr>
        <w:autoSpaceDE w:val="0"/>
        <w:autoSpaceDN w:val="0"/>
        <w:adjustRightInd w:val="0"/>
        <w:spacing w:after="0" w:line="240" w:lineRule="auto"/>
        <w:ind w:firstLine="720"/>
        <w:contextualSpacing/>
        <w:jc w:val="both"/>
        <w:rPr>
          <w:rFonts w:ascii="Times New Roman" w:hAnsi="Times New Roman"/>
          <w:b/>
          <w:bCs/>
          <w:sz w:val="28"/>
          <w:szCs w:val="28"/>
          <w:u w:val="single"/>
          <w:lang w:val="lv-LV"/>
        </w:rPr>
      </w:pPr>
      <w:r w:rsidRPr="001227E3">
        <w:rPr>
          <w:rFonts w:ascii="Times New Roman" w:hAnsi="Times New Roman"/>
          <w:b/>
          <w:bCs/>
          <w:sz w:val="28"/>
          <w:szCs w:val="28"/>
          <w:u w:val="single"/>
          <w:lang w:val="lv-LV"/>
        </w:rPr>
        <w:t>Latvijas pozīcija</w:t>
      </w:r>
    </w:p>
    <w:p w:rsidR="00B44972" w:rsidRPr="00B44972" w:rsidRDefault="00B44972" w:rsidP="00B44972">
      <w:pPr>
        <w:autoSpaceDE w:val="0"/>
        <w:autoSpaceDN w:val="0"/>
        <w:adjustRightInd w:val="0"/>
        <w:spacing w:after="0" w:line="240" w:lineRule="auto"/>
        <w:ind w:firstLine="720"/>
        <w:jc w:val="both"/>
        <w:rPr>
          <w:rFonts w:ascii="Times New Roman" w:hAnsi="Times New Roman"/>
          <w:sz w:val="28"/>
          <w:szCs w:val="28"/>
          <w:lang w:val="lv-LV" w:eastAsia="lv-LV"/>
        </w:rPr>
      </w:pPr>
      <w:r w:rsidRPr="00B44972">
        <w:rPr>
          <w:rFonts w:ascii="Times New Roman" w:hAnsi="Times New Roman"/>
          <w:b/>
          <w:bCs/>
          <w:sz w:val="28"/>
          <w:szCs w:val="28"/>
          <w:lang w:val="lv-LV"/>
        </w:rPr>
        <w:t>Latvija kopumā atbalsta</w:t>
      </w:r>
      <w:r w:rsidRPr="00B44972">
        <w:rPr>
          <w:rFonts w:ascii="Times New Roman" w:hAnsi="Times New Roman"/>
          <w:sz w:val="28"/>
          <w:szCs w:val="28"/>
          <w:lang w:val="lv-LV"/>
        </w:rPr>
        <w:t xml:space="preserve"> Padomes secinājumus par jaunatnes politikas ieguldījumu jauniešu attīstībā, labklājībā un sociālajā iekļaušanā, ievērojot vienotas plānošanas pieejas īstenošanu darbā ar jaunatni virzībā uz „Eiropa 2020” stratēģijas noteikto prioritāšu sasniegšanu, īpaši attiecībā uz </w:t>
      </w:r>
      <w:r w:rsidRPr="00B44972">
        <w:rPr>
          <w:rFonts w:ascii="Times New Roman" w:hAnsi="Times New Roman"/>
          <w:sz w:val="28"/>
          <w:szCs w:val="28"/>
          <w:lang w:val="lv-LV" w:eastAsia="lv-LV"/>
        </w:rPr>
        <w:t>ekonomikas veicināšanu, kurā ir augsts nodarbinātības līmenis un kas nodrošina sociālo un teritoriālo kohēziju.</w:t>
      </w:r>
    </w:p>
    <w:p w:rsidR="001227E3" w:rsidRPr="00B44972" w:rsidRDefault="00B44972" w:rsidP="00B44972">
      <w:pPr>
        <w:autoSpaceDE w:val="0"/>
        <w:autoSpaceDN w:val="0"/>
        <w:adjustRightInd w:val="0"/>
        <w:spacing w:after="0" w:line="240" w:lineRule="auto"/>
        <w:ind w:firstLine="720"/>
        <w:contextualSpacing/>
        <w:jc w:val="both"/>
        <w:rPr>
          <w:rFonts w:ascii="Times New Roman" w:hAnsi="Times New Roman"/>
          <w:b/>
          <w:bCs/>
          <w:sz w:val="28"/>
          <w:szCs w:val="28"/>
          <w:u w:val="single"/>
          <w:lang w:val="lv-LV"/>
        </w:rPr>
      </w:pPr>
      <w:r w:rsidRPr="00B44972">
        <w:rPr>
          <w:rFonts w:ascii="Times New Roman" w:hAnsi="Times New Roman"/>
          <w:b/>
          <w:bCs/>
          <w:sz w:val="28"/>
          <w:szCs w:val="28"/>
          <w:lang w:val="lv-LV"/>
        </w:rPr>
        <w:lastRenderedPageBreak/>
        <w:t>Latvija uzskata</w:t>
      </w:r>
      <w:r w:rsidRPr="00B44972">
        <w:rPr>
          <w:rFonts w:ascii="Times New Roman" w:hAnsi="Times New Roman"/>
          <w:sz w:val="28"/>
          <w:szCs w:val="28"/>
          <w:lang w:val="lv-LV"/>
        </w:rPr>
        <w:t xml:space="preserve">, ka jaunatnes lietu ministru aktīvāka iesaistīšanās valsts politikas veidošanā, kas izriet no „Eiropa 2020” stratēģijas, ir ļoti būtiska. </w:t>
      </w:r>
      <w:r w:rsidR="005D637E" w:rsidRPr="00B44972">
        <w:rPr>
          <w:rFonts w:ascii="Times New Roman" w:hAnsi="Times New Roman"/>
          <w:b/>
          <w:sz w:val="28"/>
          <w:szCs w:val="28"/>
          <w:lang w:val="lv-LV" w:eastAsia="lv-LV"/>
        </w:rPr>
        <w:t>Latvija īpaši atbalsta</w:t>
      </w:r>
      <w:r w:rsidR="005D637E" w:rsidRPr="00B44972">
        <w:rPr>
          <w:rFonts w:ascii="Times New Roman" w:hAnsi="Times New Roman"/>
          <w:sz w:val="28"/>
          <w:szCs w:val="28"/>
          <w:lang w:val="lv-LV" w:eastAsia="lv-LV"/>
        </w:rPr>
        <w:t xml:space="preserve"> jauniešu nodarbinātības un uzņēmējdarbības, sociālās iekļaušanas, jauniešu veselīgā dzīves veida un labklājības veicināšanas jautājumu uzsvēršanu nākamajā izvērtēšanas ciklā.</w:t>
      </w:r>
      <w:r w:rsidR="001227E3" w:rsidRPr="00B44972">
        <w:rPr>
          <w:rFonts w:ascii="Times New Roman" w:hAnsi="Times New Roman"/>
          <w:bCs/>
          <w:sz w:val="28"/>
          <w:szCs w:val="28"/>
          <w:lang w:val="lv-LV"/>
        </w:rPr>
        <w:t xml:space="preserve"> </w:t>
      </w:r>
    </w:p>
    <w:p w:rsidR="00F04B99" w:rsidRDefault="005D637E" w:rsidP="00B44972">
      <w:pPr>
        <w:autoSpaceDE w:val="0"/>
        <w:autoSpaceDN w:val="0"/>
        <w:adjustRightInd w:val="0"/>
        <w:spacing w:after="0" w:line="240" w:lineRule="auto"/>
        <w:contextualSpacing/>
        <w:jc w:val="both"/>
        <w:rPr>
          <w:rFonts w:ascii="Times New Roman" w:hAnsi="Times New Roman"/>
          <w:sz w:val="28"/>
          <w:szCs w:val="28"/>
          <w:lang w:val="lv-LV"/>
        </w:rPr>
      </w:pPr>
      <w:r w:rsidRPr="005D637E">
        <w:rPr>
          <w:rFonts w:ascii="Times New Roman" w:hAnsi="Times New Roman"/>
          <w:b/>
          <w:bCs/>
          <w:sz w:val="28"/>
          <w:szCs w:val="28"/>
          <w:lang w:val="lv-LV"/>
        </w:rPr>
        <w:tab/>
      </w:r>
      <w:r w:rsidR="00B44972" w:rsidRPr="00B44972">
        <w:rPr>
          <w:rFonts w:ascii="Times New Roman" w:hAnsi="Times New Roman"/>
          <w:b/>
          <w:bCs/>
          <w:sz w:val="28"/>
          <w:szCs w:val="28"/>
          <w:lang w:val="lv-LV"/>
        </w:rPr>
        <w:t>Latvija pozitīvi vērtē ierosinājumu</w:t>
      </w:r>
      <w:r w:rsidR="00B44972" w:rsidRPr="00B44972">
        <w:rPr>
          <w:rFonts w:ascii="Times New Roman" w:hAnsi="Times New Roman"/>
          <w:color w:val="FF0000"/>
          <w:sz w:val="28"/>
          <w:szCs w:val="28"/>
          <w:lang w:val="lv-LV"/>
        </w:rPr>
        <w:t xml:space="preserve"> </w:t>
      </w:r>
      <w:r w:rsidR="00B44972" w:rsidRPr="00B44972">
        <w:rPr>
          <w:rFonts w:ascii="Times New Roman" w:hAnsi="Times New Roman"/>
          <w:sz w:val="28"/>
          <w:szCs w:val="28"/>
          <w:lang w:val="lv-LV"/>
        </w:rPr>
        <w:t>maksimālai jaunatnes politikas potenciāla izmantošanai saistībā ar „Eiropa 2020" stratēģijas mērķiem, noteikt šādas prioritātes: 1) pasākumi starpnozaru un iestāžu sadarbības veicināšanai; 2) pasākumi jauniešu līdzdalības sekmēšanai, jo īpaši attiecībā uz izglītības, apmācību un</w:t>
      </w:r>
      <w:r w:rsidR="00B44972" w:rsidRPr="00B44972">
        <w:rPr>
          <w:rFonts w:ascii="Times New Roman" w:hAnsi="Times New Roman"/>
          <w:b/>
          <w:bCs/>
          <w:sz w:val="28"/>
          <w:szCs w:val="28"/>
          <w:lang w:val="lv-LV"/>
        </w:rPr>
        <w:t xml:space="preserve"> </w:t>
      </w:r>
      <w:r w:rsidR="00B44972" w:rsidRPr="00B44972">
        <w:rPr>
          <w:rFonts w:ascii="Times New Roman" w:hAnsi="Times New Roman"/>
          <w:sz w:val="28"/>
          <w:szCs w:val="28"/>
          <w:lang w:val="lv-LV"/>
        </w:rPr>
        <w:t>nodarbinātības iespējām; 3) ierosinātā jaunā ES programma izglītībai, jaunatnei un sportam (</w:t>
      </w:r>
      <w:r w:rsidR="00B44972" w:rsidRPr="00B44972">
        <w:rPr>
          <w:rFonts w:ascii="Times New Roman" w:hAnsi="Times New Roman"/>
          <w:i/>
          <w:iCs/>
          <w:sz w:val="28"/>
          <w:szCs w:val="28"/>
          <w:lang w:val="lv-LV"/>
        </w:rPr>
        <w:t>Erasmus visiem</w:t>
      </w:r>
      <w:r w:rsidR="00B44972" w:rsidRPr="00B44972">
        <w:rPr>
          <w:rFonts w:ascii="Times New Roman" w:hAnsi="Times New Roman"/>
          <w:sz w:val="28"/>
          <w:szCs w:val="28"/>
          <w:lang w:val="lv-LV"/>
        </w:rPr>
        <w:t>) un jo īpaši jaunatnei veltītā sadaļa, lai nodrošinātu Eiropas jauniešiem iespējas mācīties, iegūt jaunas prasmes un pieredzi, iesaistīties brīvprātīgajā darbā un kultūras apmaiņā.</w:t>
      </w:r>
    </w:p>
    <w:p w:rsidR="009C430B" w:rsidRPr="00B44972" w:rsidRDefault="009C430B" w:rsidP="00B44972">
      <w:pPr>
        <w:autoSpaceDE w:val="0"/>
        <w:autoSpaceDN w:val="0"/>
        <w:adjustRightInd w:val="0"/>
        <w:spacing w:after="0" w:line="240" w:lineRule="auto"/>
        <w:contextualSpacing/>
        <w:jc w:val="both"/>
        <w:rPr>
          <w:rFonts w:ascii="Times New Roman" w:hAnsi="Times New Roman"/>
          <w:sz w:val="28"/>
          <w:szCs w:val="28"/>
          <w:lang w:val="lv-LV"/>
        </w:rPr>
      </w:pPr>
    </w:p>
    <w:p w:rsidR="00054AB7" w:rsidRPr="00FE7474" w:rsidRDefault="00054AB7" w:rsidP="003D167C">
      <w:pPr>
        <w:autoSpaceDE w:val="0"/>
        <w:autoSpaceDN w:val="0"/>
        <w:adjustRightInd w:val="0"/>
        <w:spacing w:after="0" w:line="240" w:lineRule="auto"/>
        <w:contextualSpacing/>
        <w:jc w:val="center"/>
        <w:rPr>
          <w:rFonts w:ascii="Times New Roman" w:hAnsi="Times New Roman"/>
          <w:b/>
          <w:sz w:val="28"/>
          <w:szCs w:val="28"/>
          <w:u w:val="single"/>
          <w:lang w:val="lv-LV"/>
        </w:rPr>
      </w:pPr>
      <w:r w:rsidRPr="00FE7474">
        <w:rPr>
          <w:rFonts w:ascii="Times New Roman" w:hAnsi="Times New Roman"/>
          <w:b/>
          <w:sz w:val="28"/>
          <w:szCs w:val="28"/>
          <w:u w:val="single"/>
          <w:lang w:val="lv-LV"/>
        </w:rPr>
        <w:t>Sports</w:t>
      </w:r>
    </w:p>
    <w:p w:rsidR="00054AB7" w:rsidRPr="00B44972" w:rsidRDefault="00F04B99" w:rsidP="006F15D2">
      <w:pPr>
        <w:pStyle w:val="Pirrafodelista"/>
        <w:ind w:left="0" w:firstLine="720"/>
        <w:jc w:val="both"/>
        <w:rPr>
          <w:b/>
          <w:i/>
          <w:sz w:val="28"/>
          <w:szCs w:val="28"/>
          <w:u w:val="single"/>
          <w:lang w:val="lv-LV"/>
        </w:rPr>
      </w:pPr>
      <w:bookmarkStart w:id="0" w:name="OLE_LINK11"/>
      <w:bookmarkStart w:id="1" w:name="OLE_LINK12"/>
      <w:r>
        <w:rPr>
          <w:b/>
          <w:sz w:val="28"/>
          <w:szCs w:val="28"/>
          <w:u w:val="single"/>
          <w:lang w:val="lv-LV"/>
        </w:rPr>
        <w:t>1</w:t>
      </w:r>
      <w:r w:rsidR="00054AB7" w:rsidRPr="00F0254F">
        <w:rPr>
          <w:b/>
          <w:sz w:val="28"/>
          <w:szCs w:val="28"/>
          <w:u w:val="single"/>
          <w:lang w:val="lv-LV"/>
        </w:rPr>
        <w:t xml:space="preserve">. </w:t>
      </w:r>
      <w:r w:rsidR="004E45AC" w:rsidRPr="00B44972">
        <w:rPr>
          <w:b/>
          <w:sz w:val="28"/>
          <w:szCs w:val="28"/>
          <w:u w:val="single"/>
          <w:lang w:val="lv-LV"/>
        </w:rPr>
        <w:t>Padomes un Padomē sanākušo dalībvalstu valdību pārstāvju secinājumu projekts par sportistu duālajām karjerām</w:t>
      </w:r>
      <w:r w:rsidR="004E45AC" w:rsidRPr="00B44972">
        <w:rPr>
          <w:b/>
          <w:u w:val="single"/>
          <w:lang w:val="lv-LV"/>
        </w:rPr>
        <w:t xml:space="preserve"> </w:t>
      </w:r>
      <w:r w:rsidR="004E45AC" w:rsidRPr="00B44972">
        <w:rPr>
          <w:b/>
          <w:i/>
          <w:u w:val="single"/>
          <w:lang w:val="lv-LV"/>
        </w:rPr>
        <w:t xml:space="preserve">– </w:t>
      </w:r>
      <w:r w:rsidR="00F0254F" w:rsidRPr="00B44972">
        <w:rPr>
          <w:b/>
          <w:sz w:val="28"/>
          <w:szCs w:val="28"/>
          <w:u w:val="single"/>
          <w:lang w:val="lv-LV"/>
        </w:rPr>
        <w:t>Padomes secinājumu pieņemšana</w:t>
      </w:r>
    </w:p>
    <w:bookmarkEnd w:id="0"/>
    <w:bookmarkEnd w:id="1"/>
    <w:p w:rsidR="00184224" w:rsidRPr="00184224" w:rsidRDefault="00184224" w:rsidP="00184224">
      <w:pPr>
        <w:spacing w:after="0" w:line="240" w:lineRule="auto"/>
        <w:ind w:firstLine="720"/>
        <w:jc w:val="both"/>
        <w:rPr>
          <w:rFonts w:ascii="Times New Roman" w:hAnsi="Times New Roman"/>
          <w:sz w:val="28"/>
          <w:szCs w:val="28"/>
          <w:lang w:val="lv-LV"/>
        </w:rPr>
      </w:pPr>
      <w:r w:rsidRPr="00184224">
        <w:rPr>
          <w:rFonts w:ascii="Times New Roman" w:hAnsi="Times New Roman"/>
          <w:sz w:val="28"/>
          <w:szCs w:val="28"/>
          <w:lang w:val="lv-LV"/>
        </w:rPr>
        <w:t xml:space="preserve">Padome 2011. gada 20. maijā izstrādāja ES Sporta darba plānu 2011.–2014. gadam, kurā tika uzsvērta izglītības, apmācības un kvalifikāciju nozīme sportā un izveidota Sporta izglītības un apmācības jautājumu ekspertu grupa, lai sagatavotu priekšlikumu Eiropas pamatnostādnēm attiecībā uz duālajām karjerām. </w:t>
      </w:r>
    </w:p>
    <w:p w:rsidR="00184224" w:rsidRDefault="00184224" w:rsidP="00184224">
      <w:pPr>
        <w:pStyle w:val="ListParagraph"/>
        <w:spacing w:after="0" w:line="240" w:lineRule="auto"/>
        <w:ind w:left="0" w:firstLine="720"/>
        <w:jc w:val="both"/>
        <w:rPr>
          <w:rFonts w:ascii="Times New Roman" w:hAnsi="Times New Roman"/>
          <w:sz w:val="28"/>
          <w:szCs w:val="28"/>
          <w:lang w:val="lv-LV"/>
        </w:rPr>
      </w:pPr>
      <w:r w:rsidRPr="00184224">
        <w:rPr>
          <w:rFonts w:ascii="Times New Roman" w:hAnsi="Times New Roman"/>
          <w:sz w:val="28"/>
          <w:szCs w:val="28"/>
          <w:lang w:val="lv-LV"/>
        </w:rPr>
        <w:t xml:space="preserve">Jēdziens „duālā karjera” nozīmē  iespēju sportistam elastīgā veidā apvienot karjeru sportā ar izglītību un/vai darbu, apmeklējot augsta līmeņa kvalifikācijas celšanas treniņus, lai aizsargātu savas morālās, </w:t>
      </w:r>
      <w:r w:rsidRPr="00184224">
        <w:rPr>
          <w:rFonts w:ascii="Times New Roman" w:hAnsi="Times New Roman"/>
          <w:bCs/>
          <w:sz w:val="28"/>
          <w:szCs w:val="28"/>
          <w:lang w:val="lv-LV"/>
        </w:rPr>
        <w:t>veselības</w:t>
      </w:r>
      <w:r w:rsidRPr="00184224">
        <w:rPr>
          <w:rFonts w:ascii="Times New Roman" w:hAnsi="Times New Roman"/>
          <w:sz w:val="28"/>
          <w:szCs w:val="28"/>
          <w:lang w:val="lv-LV"/>
        </w:rPr>
        <w:t xml:space="preserve">, izglītības un profesionālās intereses, nekaitējot nevienam no abiem mērķiem, īpašu izmanību pievēršot jaunu sportistu nepārtrauktai formālai izglītībai. Augsta līmeņa sasniegumus sportā jāspēj apvienot ar izglītību un karjeru, kurā sportisti var izmantot savas spējas, dodot turpmāku ieguldījumu sabiedrībai. Būdami iesaistīti sportā, sportisti iegūst zināšanas, prasmes un kompetenci. Sportistu duālās karjeras veicināšana sniedz ieguldījumu „Eiropa 2020” stratēģijas mērķu sasniegšanā un, paturot vairāk sportistu sporta sistēmā, padara sporta politiku efektīvāku. </w:t>
      </w:r>
    </w:p>
    <w:p w:rsidR="00184224" w:rsidRDefault="00184224" w:rsidP="00184224">
      <w:pPr>
        <w:pStyle w:val="ListParagraph"/>
        <w:spacing w:after="0" w:line="240" w:lineRule="auto"/>
        <w:ind w:left="0" w:firstLine="720"/>
        <w:jc w:val="both"/>
        <w:rPr>
          <w:rFonts w:ascii="Times New Roman" w:hAnsi="Times New Roman"/>
          <w:sz w:val="28"/>
          <w:szCs w:val="28"/>
          <w:lang w:val="lv-LV"/>
        </w:rPr>
      </w:pPr>
      <w:r w:rsidRPr="00184224">
        <w:rPr>
          <w:rFonts w:ascii="Times New Roman" w:hAnsi="Times New Roman"/>
          <w:sz w:val="28"/>
          <w:szCs w:val="28"/>
          <w:lang w:val="lv-LV"/>
        </w:rPr>
        <w:t xml:space="preserve">ES dalībvalstis, sporta organizācijas un ieinteresētās personas atbilstoši to kompetencei un atbildības jomām, ņemot vērā sporta organizāciju autonomiju, tiek aicinātas: 1) veicināt sadarbību starp visām ieinteresētām personām un institūcijām, atbalstīt inovatīvus </w:t>
      </w:r>
      <w:r w:rsidRPr="00184224">
        <w:rPr>
          <w:rFonts w:ascii="Times New Roman" w:hAnsi="Times New Roman"/>
          <w:bCs/>
          <w:sz w:val="28"/>
          <w:szCs w:val="28"/>
          <w:lang w:val="lv-LV"/>
        </w:rPr>
        <w:t>pasākumus</w:t>
      </w:r>
      <w:r w:rsidRPr="00184224">
        <w:rPr>
          <w:rFonts w:ascii="Times New Roman" w:hAnsi="Times New Roman"/>
          <w:sz w:val="28"/>
          <w:szCs w:val="28"/>
          <w:lang w:val="lv-LV"/>
        </w:rPr>
        <w:t>, lai apzinātu un risinātu problēmas, ar kurām sast</w:t>
      </w:r>
      <w:r w:rsidRPr="00184224">
        <w:rPr>
          <w:rFonts w:ascii="Times New Roman" w:hAnsi="Times New Roman"/>
          <w:bCs/>
          <w:sz w:val="28"/>
          <w:szCs w:val="28"/>
          <w:lang w:val="lv-LV"/>
        </w:rPr>
        <w:t>opas spor</w:t>
      </w:r>
      <w:r w:rsidRPr="00184224">
        <w:rPr>
          <w:rFonts w:ascii="Times New Roman" w:hAnsi="Times New Roman"/>
          <w:sz w:val="28"/>
          <w:szCs w:val="28"/>
          <w:lang w:val="lv-LV"/>
        </w:rPr>
        <w:t>tisti gan izglītībā, gan darba vietā; 2) politikas un/vai tiesiskajos regulējumos paredzēt pielāgotus veidus, kā sportistiem apvienot sporta nodarbības ar izglītību; 3) veikt dažādus atbalstošu</w:t>
      </w:r>
      <w:r>
        <w:rPr>
          <w:rFonts w:ascii="Times New Roman" w:hAnsi="Times New Roman"/>
          <w:sz w:val="28"/>
          <w:szCs w:val="28"/>
          <w:lang w:val="lv-LV"/>
        </w:rPr>
        <w:t>s</w:t>
      </w:r>
      <w:r w:rsidRPr="00184224">
        <w:rPr>
          <w:rFonts w:ascii="Times New Roman" w:hAnsi="Times New Roman"/>
          <w:sz w:val="28"/>
          <w:szCs w:val="28"/>
          <w:lang w:val="lv-LV"/>
        </w:rPr>
        <w:t xml:space="preserve"> pasākumus attiecībā uz sportistu darbu; 4) </w:t>
      </w:r>
      <w:r w:rsidRPr="00184224">
        <w:rPr>
          <w:rFonts w:ascii="Times New Roman" w:hAnsi="Times New Roman"/>
          <w:sz w:val="28"/>
          <w:szCs w:val="28"/>
          <w:lang w:val="lv-LV"/>
        </w:rPr>
        <w:lastRenderedPageBreak/>
        <w:t>nodrošināt veselības aprūpi un psiholoģisko palīdzību</w:t>
      </w:r>
      <w:r>
        <w:rPr>
          <w:rFonts w:ascii="Times New Roman" w:hAnsi="Times New Roman"/>
          <w:sz w:val="28"/>
          <w:szCs w:val="28"/>
          <w:lang w:val="lv-LV"/>
        </w:rPr>
        <w:t xml:space="preserve">; 5) </w:t>
      </w:r>
      <w:r w:rsidRPr="00184224">
        <w:rPr>
          <w:rFonts w:ascii="Times New Roman" w:hAnsi="Times New Roman"/>
          <w:sz w:val="28"/>
          <w:szCs w:val="28"/>
          <w:lang w:val="lv-LV"/>
        </w:rPr>
        <w:t xml:space="preserve">vajadzības gadījumā izskatīt jautājumu par tādu finansiāla atbalsta sistēmu </w:t>
      </w:r>
      <w:r>
        <w:rPr>
          <w:rFonts w:ascii="Times New Roman" w:hAnsi="Times New Roman"/>
          <w:sz w:val="28"/>
          <w:szCs w:val="28"/>
          <w:lang w:val="lv-LV"/>
        </w:rPr>
        <w:t xml:space="preserve">un </w:t>
      </w:r>
      <w:r w:rsidRPr="00184224">
        <w:rPr>
          <w:rFonts w:ascii="Times New Roman" w:hAnsi="Times New Roman"/>
          <w:sz w:val="28"/>
          <w:szCs w:val="28"/>
          <w:lang w:val="lv-LV"/>
        </w:rPr>
        <w:t>īpašu stipendiju izveidi</w:t>
      </w:r>
      <w:r>
        <w:rPr>
          <w:rFonts w:ascii="Times New Roman" w:hAnsi="Times New Roman"/>
          <w:sz w:val="28"/>
          <w:szCs w:val="28"/>
          <w:lang w:val="lv-LV"/>
        </w:rPr>
        <w:t>.</w:t>
      </w:r>
    </w:p>
    <w:p w:rsidR="00184224" w:rsidRDefault="00184224" w:rsidP="00184224">
      <w:pPr>
        <w:pStyle w:val="ListParagraph"/>
        <w:spacing w:after="0" w:line="240" w:lineRule="auto"/>
        <w:ind w:left="0" w:firstLine="720"/>
        <w:jc w:val="both"/>
        <w:rPr>
          <w:rFonts w:ascii="Times New Roman" w:hAnsi="Times New Roman"/>
          <w:sz w:val="28"/>
          <w:szCs w:val="28"/>
          <w:lang w:val="lv-LV"/>
        </w:rPr>
      </w:pPr>
    </w:p>
    <w:p w:rsidR="00184224" w:rsidRDefault="00184224" w:rsidP="00184224">
      <w:pPr>
        <w:pStyle w:val="ListParagraph"/>
        <w:spacing w:after="0" w:line="240" w:lineRule="auto"/>
        <w:ind w:left="0" w:firstLine="720"/>
        <w:jc w:val="both"/>
        <w:rPr>
          <w:rFonts w:ascii="Times New Roman" w:hAnsi="Times New Roman"/>
          <w:b/>
          <w:sz w:val="28"/>
          <w:szCs w:val="28"/>
          <w:u w:val="single"/>
          <w:lang w:val="lv-LV"/>
        </w:rPr>
      </w:pPr>
      <w:r w:rsidRPr="00184224">
        <w:rPr>
          <w:rFonts w:ascii="Times New Roman" w:hAnsi="Times New Roman"/>
          <w:b/>
          <w:sz w:val="28"/>
          <w:szCs w:val="28"/>
          <w:u w:val="single"/>
          <w:lang w:val="lv-LV"/>
        </w:rPr>
        <w:t xml:space="preserve">Latvijas pozīcija </w:t>
      </w:r>
    </w:p>
    <w:p w:rsidR="00184224" w:rsidRPr="00184224" w:rsidRDefault="00184224" w:rsidP="00184224">
      <w:pPr>
        <w:pStyle w:val="EntEmet"/>
        <w:tabs>
          <w:tab w:val="clear" w:pos="284"/>
          <w:tab w:val="clear" w:pos="567"/>
          <w:tab w:val="clear" w:pos="851"/>
          <w:tab w:val="clear" w:pos="1134"/>
          <w:tab w:val="clear" w:pos="1418"/>
        </w:tabs>
        <w:snapToGrid w:val="0"/>
        <w:ind w:left="34"/>
        <w:jc w:val="both"/>
        <w:rPr>
          <w:sz w:val="28"/>
          <w:szCs w:val="28"/>
          <w:lang w:val="lv-LV"/>
        </w:rPr>
      </w:pPr>
      <w:r>
        <w:rPr>
          <w:b/>
          <w:sz w:val="28"/>
          <w:szCs w:val="28"/>
          <w:lang w:val="lv-LV"/>
        </w:rPr>
        <w:tab/>
      </w:r>
      <w:r w:rsidRPr="00184224">
        <w:rPr>
          <w:b/>
          <w:sz w:val="28"/>
          <w:szCs w:val="28"/>
          <w:lang w:val="lv-LV"/>
        </w:rPr>
        <w:t>Latvija kopumā atbalsta</w:t>
      </w:r>
      <w:r w:rsidRPr="00184224">
        <w:rPr>
          <w:sz w:val="28"/>
          <w:szCs w:val="28"/>
          <w:lang w:val="lv-LV"/>
        </w:rPr>
        <w:t xml:space="preserve"> Padomes un Padomē sanākušo dalībvalstu valdību pārstāvju secinājumu par sportistu duālajām karjerām apstiprināšanu, piekrīt, ka duālo karjeru veicināšana varētu pozitīvi ietekmēt  „Eiropa 2020” stratēģijas izglītības un nodarbinātības mērķu sasniegšanu.</w:t>
      </w:r>
    </w:p>
    <w:p w:rsidR="00184224" w:rsidRPr="00184224" w:rsidRDefault="00184224" w:rsidP="00184224">
      <w:pPr>
        <w:pStyle w:val="EntEmet"/>
        <w:tabs>
          <w:tab w:val="clear" w:pos="284"/>
          <w:tab w:val="clear" w:pos="567"/>
          <w:tab w:val="clear" w:pos="851"/>
          <w:tab w:val="clear" w:pos="1134"/>
          <w:tab w:val="clear" w:pos="1418"/>
        </w:tabs>
        <w:snapToGrid w:val="0"/>
        <w:ind w:left="34"/>
        <w:jc w:val="both"/>
        <w:rPr>
          <w:sz w:val="28"/>
          <w:szCs w:val="28"/>
          <w:lang w:val="lv-LV"/>
        </w:rPr>
      </w:pPr>
      <w:r>
        <w:rPr>
          <w:b/>
          <w:sz w:val="28"/>
          <w:szCs w:val="28"/>
          <w:lang w:val="lv-LV"/>
        </w:rPr>
        <w:tab/>
      </w:r>
      <w:r w:rsidRPr="00184224">
        <w:rPr>
          <w:b/>
          <w:sz w:val="28"/>
          <w:szCs w:val="28"/>
          <w:lang w:val="lv-LV"/>
        </w:rPr>
        <w:t xml:space="preserve">Latvija piekrīt, </w:t>
      </w:r>
      <w:r w:rsidRPr="00184224">
        <w:rPr>
          <w:sz w:val="28"/>
          <w:szCs w:val="28"/>
          <w:lang w:val="lv-LV"/>
        </w:rPr>
        <w:t xml:space="preserve">ka sportistu duālās karjeras nepieciešams atbalstīt visos izglītības līmeņos, t.sk. vispārējās izglītības līmenī. </w:t>
      </w:r>
    </w:p>
    <w:p w:rsidR="00184224" w:rsidRPr="00184224" w:rsidRDefault="00184224" w:rsidP="00184224">
      <w:pPr>
        <w:pStyle w:val="EntEmet"/>
        <w:tabs>
          <w:tab w:val="clear" w:pos="284"/>
          <w:tab w:val="clear" w:pos="567"/>
          <w:tab w:val="clear" w:pos="851"/>
          <w:tab w:val="clear" w:pos="1134"/>
          <w:tab w:val="clear" w:pos="1418"/>
          <w:tab w:val="left" w:pos="-5812"/>
        </w:tabs>
        <w:snapToGrid w:val="0"/>
        <w:ind w:left="34"/>
        <w:jc w:val="both"/>
        <w:rPr>
          <w:sz w:val="28"/>
          <w:szCs w:val="28"/>
          <w:lang w:val="lv-LV"/>
        </w:rPr>
      </w:pPr>
      <w:r>
        <w:rPr>
          <w:b/>
          <w:sz w:val="28"/>
          <w:szCs w:val="28"/>
          <w:lang w:val="lv-LV"/>
        </w:rPr>
        <w:tab/>
      </w:r>
      <w:r w:rsidRPr="00184224">
        <w:rPr>
          <w:b/>
          <w:sz w:val="28"/>
          <w:szCs w:val="28"/>
          <w:lang w:val="lv-LV"/>
        </w:rPr>
        <w:t>Latvija piekrīt</w:t>
      </w:r>
      <w:r w:rsidRPr="00184224">
        <w:rPr>
          <w:sz w:val="28"/>
          <w:szCs w:val="28"/>
          <w:lang w:val="lv-LV"/>
        </w:rPr>
        <w:t>, ka attīstot duālās karjeras, tiek veicināts sportistu ieguldījums sporta un fizisko nodarbību popularizēšanā sabiedrībā, kas vienlaikus ir tādu pozitīvu vērtību veidošanu  kā taisnīgums un stingra mērķtiecība. Sportisti var sniegt labās prakses piemēru, sasniedzot izcilību sportā un spēt veidot karjeru darbā, tādējādi palīdzot piesaistīt jaunus sportistus.</w:t>
      </w:r>
    </w:p>
    <w:p w:rsidR="00054AB7" w:rsidRPr="00F0254F" w:rsidRDefault="00054AB7" w:rsidP="005455E1">
      <w:pPr>
        <w:spacing w:after="0" w:line="240" w:lineRule="auto"/>
        <w:jc w:val="both"/>
        <w:rPr>
          <w:rFonts w:ascii="Times New Roman" w:hAnsi="Times New Roman"/>
          <w:sz w:val="28"/>
          <w:szCs w:val="28"/>
          <w:lang w:val="lv-LV"/>
        </w:rPr>
      </w:pPr>
    </w:p>
    <w:p w:rsidR="00054AB7" w:rsidRPr="00B44972" w:rsidRDefault="000118DE" w:rsidP="006F15D2">
      <w:pPr>
        <w:pStyle w:val="Pirrafodelista"/>
        <w:ind w:left="0" w:firstLine="720"/>
        <w:jc w:val="both"/>
        <w:rPr>
          <w:b/>
          <w:sz w:val="28"/>
          <w:szCs w:val="28"/>
          <w:u w:val="single"/>
          <w:lang w:val="lv-LV"/>
        </w:rPr>
      </w:pPr>
      <w:bookmarkStart w:id="2" w:name="OLE_LINK18"/>
      <w:bookmarkStart w:id="3" w:name="OLE_LINK19"/>
      <w:bookmarkStart w:id="4" w:name="OLE_LINK20"/>
      <w:bookmarkStart w:id="5" w:name="OLE_LINK21"/>
      <w:r>
        <w:rPr>
          <w:b/>
          <w:iCs/>
          <w:sz w:val="28"/>
          <w:szCs w:val="28"/>
          <w:u w:val="single"/>
          <w:lang w:val="lv-LV"/>
        </w:rPr>
        <w:t>2</w:t>
      </w:r>
      <w:r w:rsidR="00054AB7" w:rsidRPr="00F0254F">
        <w:rPr>
          <w:b/>
          <w:iCs/>
          <w:sz w:val="28"/>
          <w:szCs w:val="28"/>
          <w:u w:val="single"/>
          <w:lang w:val="lv-LV"/>
        </w:rPr>
        <w:t xml:space="preserve">. </w:t>
      </w:r>
      <w:bookmarkEnd w:id="2"/>
      <w:bookmarkEnd w:id="3"/>
      <w:bookmarkEnd w:id="4"/>
      <w:bookmarkEnd w:id="5"/>
      <w:r w:rsidR="00184224" w:rsidRPr="00B44972">
        <w:rPr>
          <w:b/>
          <w:sz w:val="28"/>
          <w:szCs w:val="28"/>
          <w:u w:val="single"/>
          <w:lang w:val="lv-LV"/>
        </w:rPr>
        <w:t>2013.gada 16.-17.maija Eiropas Savienības Izglītības, jaunatnes lietu, kultūras un sporta ministru padomē izskatāmie antidopinga jautājumi</w:t>
      </w:r>
      <w:r w:rsidR="00F0254F" w:rsidRPr="00B44972">
        <w:rPr>
          <w:b/>
          <w:sz w:val="28"/>
          <w:szCs w:val="28"/>
          <w:u w:val="single"/>
          <w:lang w:val="lv-LV"/>
        </w:rPr>
        <w:t xml:space="preserve"> </w:t>
      </w:r>
      <w:r w:rsidR="0026609A" w:rsidRPr="00B44972">
        <w:rPr>
          <w:b/>
          <w:sz w:val="28"/>
          <w:szCs w:val="28"/>
          <w:u w:val="single"/>
          <w:lang w:val="lv-LV"/>
        </w:rPr>
        <w:t>–</w:t>
      </w:r>
      <w:r w:rsidR="00F0254F" w:rsidRPr="00B44972">
        <w:rPr>
          <w:b/>
          <w:sz w:val="28"/>
          <w:szCs w:val="28"/>
          <w:u w:val="single"/>
          <w:lang w:val="lv-LV"/>
        </w:rPr>
        <w:t xml:space="preserve"> </w:t>
      </w:r>
      <w:r w:rsidR="0026609A" w:rsidRPr="00B44972">
        <w:rPr>
          <w:b/>
          <w:sz w:val="28"/>
          <w:szCs w:val="28"/>
          <w:u w:val="single"/>
          <w:lang w:val="lv-LV"/>
        </w:rPr>
        <w:t>Politikas debates</w:t>
      </w:r>
    </w:p>
    <w:p w:rsidR="006F15D2" w:rsidRDefault="006F15D2" w:rsidP="006F15D2">
      <w:pPr>
        <w:pStyle w:val="NormalWeb"/>
        <w:spacing w:before="0" w:beforeAutospacing="0" w:after="0" w:afterAutospacing="0"/>
        <w:ind w:firstLine="720"/>
        <w:jc w:val="both"/>
        <w:rPr>
          <w:sz w:val="28"/>
          <w:szCs w:val="28"/>
          <w:lang w:val="lv-LV"/>
        </w:rPr>
      </w:pPr>
      <w:r w:rsidRPr="006F15D2">
        <w:rPr>
          <w:sz w:val="28"/>
          <w:szCs w:val="28"/>
          <w:lang w:val="lv-LV"/>
        </w:rPr>
        <w:t xml:space="preserve">Dopings joprojām ir viena no lielākajām problēmām, ar kurām saskaras sporta nozare. </w:t>
      </w:r>
      <w:r w:rsidR="00A06F3E">
        <w:rPr>
          <w:sz w:val="28"/>
          <w:szCs w:val="28"/>
          <w:lang w:val="lv-LV"/>
        </w:rPr>
        <w:t xml:space="preserve">Pasaules Antidopinga aģentūra (turpmāk – </w:t>
      </w:r>
      <w:r w:rsidRPr="006F15D2">
        <w:rPr>
          <w:i/>
          <w:iCs/>
          <w:sz w:val="28"/>
          <w:szCs w:val="28"/>
          <w:lang w:val="lv-LV"/>
        </w:rPr>
        <w:t>WADA</w:t>
      </w:r>
      <w:r w:rsidR="00A06F3E">
        <w:rPr>
          <w:iCs/>
          <w:sz w:val="28"/>
          <w:szCs w:val="28"/>
          <w:lang w:val="lv-LV"/>
        </w:rPr>
        <w:t>)</w:t>
      </w:r>
      <w:r w:rsidRPr="006F15D2">
        <w:rPr>
          <w:sz w:val="28"/>
          <w:szCs w:val="28"/>
          <w:lang w:val="lv-LV"/>
        </w:rPr>
        <w:t xml:space="preserve"> turpina uzņemties vadošo lomu pasaules mēroga cīņā pret dopingu sportā, izmantojot starptautisku un uz daudzām aģentūrām balstītu pieeju. Pasaules Antidopinga kodekss nodrošina ļoti būtisku pamatu saskaņotai antidopinga politikai un noteikumiem, un jaunākās tendences, piemēram, sportista bioloģiskā pase ir svarīgi instrumenti notiekošajā cīņā pret dopingu. </w:t>
      </w:r>
      <w:r w:rsidRPr="006F15D2">
        <w:rPr>
          <w:i/>
          <w:iCs/>
          <w:sz w:val="28"/>
          <w:szCs w:val="28"/>
          <w:lang w:val="lv-LV"/>
        </w:rPr>
        <w:t>WADA</w:t>
      </w:r>
      <w:r w:rsidRPr="006F15D2">
        <w:rPr>
          <w:sz w:val="28"/>
          <w:szCs w:val="28"/>
          <w:lang w:val="lv-LV"/>
        </w:rPr>
        <w:t xml:space="preserve"> struktūra atzīst, ka publiskām iestādēm un sporta kustībai ir jārīkojas kopīgi, lai cīnītos pret dopingu, un ka neviena no pusēm negūs panākumus cīņā pret dopingu, ja otra puse ar to nesadarbosies</w:t>
      </w:r>
      <w:r>
        <w:rPr>
          <w:sz w:val="28"/>
          <w:szCs w:val="28"/>
          <w:lang w:val="lv-LV"/>
        </w:rPr>
        <w:t>.</w:t>
      </w:r>
    </w:p>
    <w:p w:rsidR="006F15D2" w:rsidRDefault="006F15D2" w:rsidP="006F15D2">
      <w:pPr>
        <w:pStyle w:val="NormalWeb"/>
        <w:spacing w:before="0" w:beforeAutospacing="0" w:after="0" w:afterAutospacing="0"/>
        <w:ind w:firstLine="720"/>
        <w:jc w:val="both"/>
        <w:rPr>
          <w:sz w:val="28"/>
          <w:szCs w:val="28"/>
          <w:lang w:val="lv-LV"/>
        </w:rPr>
      </w:pPr>
      <w:r w:rsidRPr="006F15D2">
        <w:rPr>
          <w:sz w:val="28"/>
          <w:szCs w:val="28"/>
          <w:lang w:val="lv-LV"/>
        </w:rPr>
        <w:t>Publiskām iestādēm, sporta struktūrām un valstu antidopinga aģentūrām ir jāturpina sadarboties šīs problēmas novēršanā un globālā mērogā jānodrošina vienlīdzīgi konkurences apstākļi. Visās darbībās, ko publiskas iestādes veic, lai apkarotu aizvien izsmalcinātāku dopinga lietošanu sportā, ir jānodrošina līdzsvars starp sportistu individuālajām tiesībām un nepieciešamību aizsargāt sporta nozari.</w:t>
      </w:r>
    </w:p>
    <w:p w:rsidR="009C3934" w:rsidRPr="009C3934" w:rsidRDefault="009C3934" w:rsidP="009C3934">
      <w:pPr>
        <w:spacing w:after="0" w:line="240" w:lineRule="auto"/>
        <w:ind w:firstLine="720"/>
        <w:jc w:val="both"/>
        <w:rPr>
          <w:rFonts w:ascii="Times New Roman" w:hAnsi="Times New Roman"/>
          <w:sz w:val="28"/>
          <w:szCs w:val="28"/>
          <w:lang w:val="lv-LV"/>
        </w:rPr>
      </w:pPr>
      <w:r w:rsidRPr="009C3934">
        <w:rPr>
          <w:rFonts w:ascii="Times New Roman" w:hAnsi="Times New Roman"/>
          <w:sz w:val="28"/>
          <w:szCs w:val="28"/>
          <w:lang w:val="lv-LV"/>
        </w:rPr>
        <w:t>Prezidentvalsts mērķis ir panākt, lai ministri šajā diskusijā gūtu vienu vai divas praktiskas idejas, kuras varētu paņemt līdzi apspriešanai savu valstu galvaspilsētās.</w:t>
      </w:r>
    </w:p>
    <w:p w:rsidR="009C3934" w:rsidRPr="006F15D2" w:rsidRDefault="009C3934" w:rsidP="006F15D2">
      <w:pPr>
        <w:pStyle w:val="NormalWeb"/>
        <w:spacing w:before="0" w:beforeAutospacing="0" w:after="0" w:afterAutospacing="0"/>
        <w:ind w:firstLine="720"/>
        <w:jc w:val="both"/>
        <w:rPr>
          <w:sz w:val="28"/>
          <w:szCs w:val="28"/>
          <w:lang w:val="lv-LV"/>
        </w:rPr>
      </w:pPr>
    </w:p>
    <w:p w:rsidR="009C430B" w:rsidRDefault="009C430B" w:rsidP="006F15D2">
      <w:pPr>
        <w:spacing w:after="0" w:line="240" w:lineRule="auto"/>
        <w:ind w:firstLine="720"/>
        <w:jc w:val="both"/>
        <w:rPr>
          <w:rFonts w:ascii="Times New Roman" w:hAnsi="Times New Roman"/>
          <w:b/>
          <w:color w:val="000000"/>
          <w:sz w:val="28"/>
          <w:szCs w:val="28"/>
          <w:u w:val="single"/>
          <w:lang w:val="lv-LV"/>
        </w:rPr>
      </w:pPr>
    </w:p>
    <w:p w:rsidR="00054AB7" w:rsidRDefault="00054AB7" w:rsidP="006F15D2">
      <w:pPr>
        <w:spacing w:after="0" w:line="240" w:lineRule="auto"/>
        <w:ind w:firstLine="720"/>
        <w:jc w:val="both"/>
        <w:rPr>
          <w:rFonts w:ascii="Times New Roman" w:hAnsi="Times New Roman"/>
          <w:b/>
          <w:color w:val="000000"/>
          <w:sz w:val="28"/>
          <w:szCs w:val="28"/>
          <w:u w:val="single"/>
          <w:lang w:val="lv-LV"/>
        </w:rPr>
      </w:pPr>
      <w:r w:rsidRPr="006F15D2">
        <w:rPr>
          <w:rFonts w:ascii="Times New Roman" w:hAnsi="Times New Roman"/>
          <w:b/>
          <w:color w:val="000000"/>
          <w:sz w:val="28"/>
          <w:szCs w:val="28"/>
          <w:u w:val="single"/>
          <w:lang w:val="lv-LV"/>
        </w:rPr>
        <w:lastRenderedPageBreak/>
        <w:t>Latvijas pozīcija</w:t>
      </w:r>
    </w:p>
    <w:p w:rsidR="006F15D2" w:rsidRPr="006F15D2" w:rsidRDefault="006F15D2" w:rsidP="006F15D2">
      <w:pPr>
        <w:pStyle w:val="EntEmet"/>
        <w:tabs>
          <w:tab w:val="clear" w:pos="284"/>
          <w:tab w:val="clear" w:pos="567"/>
          <w:tab w:val="clear" w:pos="851"/>
          <w:tab w:val="clear" w:pos="1134"/>
          <w:tab w:val="clear" w:pos="1418"/>
          <w:tab w:val="left" w:pos="-5812"/>
        </w:tabs>
        <w:jc w:val="both"/>
        <w:rPr>
          <w:sz w:val="28"/>
          <w:szCs w:val="28"/>
          <w:lang w:val="lv-LV"/>
        </w:rPr>
      </w:pPr>
      <w:r>
        <w:rPr>
          <w:b/>
          <w:sz w:val="28"/>
          <w:szCs w:val="28"/>
          <w:lang w:val="lv-LV"/>
        </w:rPr>
        <w:tab/>
      </w:r>
      <w:r w:rsidRPr="006F15D2">
        <w:rPr>
          <w:b/>
          <w:sz w:val="28"/>
          <w:szCs w:val="28"/>
          <w:lang w:val="lv-LV"/>
        </w:rPr>
        <w:t>Latvija atzīst</w:t>
      </w:r>
      <w:r w:rsidRPr="006F15D2">
        <w:rPr>
          <w:sz w:val="28"/>
          <w:szCs w:val="28"/>
          <w:lang w:val="lv-LV"/>
        </w:rPr>
        <w:t xml:space="preserve">, ka sports ir </w:t>
      </w:r>
      <w:r w:rsidRPr="006F15D2">
        <w:rPr>
          <w:rStyle w:val="hps"/>
          <w:sz w:val="28"/>
          <w:szCs w:val="28"/>
          <w:lang w:val="lv-LV"/>
        </w:rPr>
        <w:t>fenomens, kas</w:t>
      </w:r>
      <w:r w:rsidRPr="006F15D2">
        <w:rPr>
          <w:sz w:val="28"/>
          <w:szCs w:val="28"/>
          <w:lang w:val="lv-LV"/>
        </w:rPr>
        <w:t xml:space="preserve"> </w:t>
      </w:r>
      <w:r w:rsidRPr="006F15D2">
        <w:rPr>
          <w:rStyle w:val="hps"/>
          <w:sz w:val="28"/>
          <w:szCs w:val="28"/>
          <w:lang w:val="lv-LV"/>
        </w:rPr>
        <w:t>pārsniedz</w:t>
      </w:r>
      <w:r w:rsidRPr="006F15D2">
        <w:rPr>
          <w:sz w:val="28"/>
          <w:szCs w:val="28"/>
          <w:lang w:val="lv-LV"/>
        </w:rPr>
        <w:t xml:space="preserve"> </w:t>
      </w:r>
      <w:r w:rsidRPr="006F15D2">
        <w:rPr>
          <w:rStyle w:val="hps"/>
          <w:sz w:val="28"/>
          <w:szCs w:val="28"/>
          <w:lang w:val="lv-LV"/>
        </w:rPr>
        <w:t>valstu un pat visas ES teritoriju</w:t>
      </w:r>
      <w:r w:rsidRPr="006F15D2">
        <w:rPr>
          <w:sz w:val="28"/>
          <w:szCs w:val="28"/>
          <w:lang w:val="lv-LV"/>
        </w:rPr>
        <w:t>, līdz ar to īpaši būtiska ir starpinstitucionāl</w:t>
      </w:r>
      <w:r>
        <w:rPr>
          <w:sz w:val="28"/>
          <w:szCs w:val="28"/>
          <w:lang w:val="lv-LV"/>
        </w:rPr>
        <w:t>ā</w:t>
      </w:r>
      <w:r w:rsidRPr="006F15D2">
        <w:rPr>
          <w:sz w:val="28"/>
          <w:szCs w:val="28"/>
          <w:lang w:val="lv-LV"/>
        </w:rPr>
        <w:t xml:space="preserve"> un starptautiska sadarbība, novērtējot un izmantojot labās prakses cīņā pret dopingu visos līmeņos. </w:t>
      </w:r>
    </w:p>
    <w:p w:rsidR="006F15D2" w:rsidRPr="006F15D2" w:rsidRDefault="006F15D2" w:rsidP="006F15D2">
      <w:pPr>
        <w:pStyle w:val="EntEmet"/>
        <w:tabs>
          <w:tab w:val="clear" w:pos="284"/>
          <w:tab w:val="clear" w:pos="567"/>
          <w:tab w:val="clear" w:pos="851"/>
          <w:tab w:val="clear" w:pos="1134"/>
          <w:tab w:val="clear" w:pos="1418"/>
        </w:tabs>
        <w:ind w:firstLine="720"/>
        <w:jc w:val="both"/>
        <w:rPr>
          <w:color w:val="008000"/>
          <w:sz w:val="28"/>
          <w:szCs w:val="28"/>
          <w:lang w:val="lv-LV" w:eastAsia="en-US"/>
        </w:rPr>
      </w:pPr>
      <w:r w:rsidRPr="006F15D2">
        <w:rPr>
          <w:b/>
          <w:sz w:val="28"/>
          <w:szCs w:val="28"/>
          <w:lang w:val="lv-LV"/>
        </w:rPr>
        <w:t>Latvija uzskata</w:t>
      </w:r>
      <w:r w:rsidRPr="006F15D2">
        <w:rPr>
          <w:sz w:val="28"/>
          <w:szCs w:val="28"/>
          <w:lang w:val="lv-LV"/>
        </w:rPr>
        <w:t>, ka c</w:t>
      </w:r>
      <w:r w:rsidRPr="006F15D2">
        <w:rPr>
          <w:bCs/>
          <w:color w:val="000000"/>
          <w:sz w:val="28"/>
          <w:szCs w:val="28"/>
          <w:lang w:val="lv-LV"/>
        </w:rPr>
        <w:t>īņa</w:t>
      </w:r>
      <w:r w:rsidRPr="006F15D2">
        <w:rPr>
          <w:sz w:val="28"/>
          <w:szCs w:val="28"/>
          <w:lang w:val="lv-LV"/>
        </w:rPr>
        <w:t xml:space="preserve"> </w:t>
      </w:r>
      <w:r w:rsidRPr="006F15D2">
        <w:rPr>
          <w:bCs/>
          <w:color w:val="000000"/>
          <w:sz w:val="28"/>
          <w:szCs w:val="28"/>
          <w:lang w:val="lv-LV"/>
        </w:rPr>
        <w:t>pret</w:t>
      </w:r>
      <w:r w:rsidRPr="006F15D2">
        <w:rPr>
          <w:sz w:val="28"/>
          <w:szCs w:val="28"/>
          <w:lang w:val="lv-LV"/>
        </w:rPr>
        <w:t xml:space="preserve"> </w:t>
      </w:r>
      <w:r w:rsidRPr="006F15D2">
        <w:rPr>
          <w:bCs/>
          <w:color w:val="000000"/>
          <w:sz w:val="28"/>
          <w:szCs w:val="28"/>
          <w:lang w:val="lv-LV"/>
        </w:rPr>
        <w:t>dopingu</w:t>
      </w:r>
      <w:r w:rsidRPr="006F15D2">
        <w:rPr>
          <w:sz w:val="28"/>
          <w:szCs w:val="28"/>
          <w:lang w:val="lv-LV"/>
        </w:rPr>
        <w:t xml:space="preserve"> ietver sevī arī sportiskās ētikas ievērošanas nosacījumus. Sportam piemīt ētiska, kultūras un sociāla vērtība. Tas ir izglītības, socializācijas un integrācijas līdzeklis. Visvairāk sportā var panākt paši sporta dalībnieki - </w:t>
      </w:r>
      <w:r w:rsidRPr="006F15D2">
        <w:rPr>
          <w:sz w:val="28"/>
          <w:szCs w:val="28"/>
          <w:lang w:val="lv-LV" w:eastAsia="en-US"/>
        </w:rPr>
        <w:t>izglītojoties, nosodot lietotājus, ziņojot par pārkāpumiem, atbalstot tīrus un godīgus sporta komersantus.</w:t>
      </w:r>
    </w:p>
    <w:p w:rsidR="006F15D2" w:rsidRPr="00054AB7" w:rsidRDefault="006F15D2" w:rsidP="005455E1">
      <w:pPr>
        <w:spacing w:after="0" w:line="240" w:lineRule="auto"/>
        <w:jc w:val="both"/>
        <w:rPr>
          <w:rFonts w:ascii="Times New Roman" w:hAnsi="Times New Roman"/>
          <w:b/>
          <w:color w:val="000000"/>
          <w:sz w:val="28"/>
          <w:szCs w:val="28"/>
          <w:u w:val="single"/>
          <w:lang w:val="lv-LV"/>
        </w:rPr>
      </w:pPr>
    </w:p>
    <w:p w:rsidR="009C3934" w:rsidRPr="009C3934" w:rsidRDefault="009C3934" w:rsidP="009C3934">
      <w:pPr>
        <w:pStyle w:val="Pirrafodelista"/>
        <w:ind w:left="0"/>
        <w:jc w:val="both"/>
        <w:rPr>
          <w:b/>
          <w:sz w:val="28"/>
          <w:szCs w:val="28"/>
          <w:u w:val="single"/>
          <w:lang w:val="lv-LV"/>
        </w:rPr>
      </w:pPr>
      <w:r>
        <w:rPr>
          <w:iCs/>
          <w:sz w:val="28"/>
          <w:szCs w:val="28"/>
          <w:lang w:val="lv-LV"/>
        </w:rPr>
        <w:tab/>
      </w:r>
      <w:r w:rsidR="000118DE">
        <w:rPr>
          <w:b/>
          <w:iCs/>
          <w:sz w:val="28"/>
          <w:szCs w:val="28"/>
          <w:u w:val="single"/>
          <w:lang w:val="lv-LV"/>
        </w:rPr>
        <w:t>3</w:t>
      </w:r>
      <w:r w:rsidR="00F0254F" w:rsidRPr="00C45A7E">
        <w:rPr>
          <w:b/>
          <w:iCs/>
          <w:sz w:val="28"/>
          <w:szCs w:val="28"/>
          <w:u w:val="single"/>
          <w:lang w:val="lv-LV"/>
        </w:rPr>
        <w:t xml:space="preserve">. </w:t>
      </w:r>
      <w:r w:rsidRPr="009C3934">
        <w:rPr>
          <w:b/>
          <w:sz w:val="28"/>
          <w:szCs w:val="28"/>
          <w:u w:val="single"/>
          <w:lang w:val="lv-LV"/>
        </w:rPr>
        <w:t xml:space="preserve">Ieteikums Padomes Lēmumam, ar ko Eiropas Komisiju pilnvaro ES vārdā piedalīties sarunās par starptautisku Eiropas Padomes konvenciju par manipulācijas ar sporta rezultātiem apkarošanu </w:t>
      </w:r>
      <w:r w:rsidRPr="00B44972">
        <w:rPr>
          <w:b/>
          <w:sz w:val="28"/>
          <w:szCs w:val="28"/>
          <w:u w:val="single"/>
          <w:lang w:val="lv-LV"/>
        </w:rPr>
        <w:t>- pašreizējais stāvoklis</w:t>
      </w:r>
    </w:p>
    <w:p w:rsidR="009C3934" w:rsidRDefault="009C3934" w:rsidP="009C3934">
      <w:pPr>
        <w:spacing w:after="0" w:line="240" w:lineRule="auto"/>
        <w:ind w:firstLine="720"/>
        <w:jc w:val="both"/>
        <w:rPr>
          <w:rFonts w:ascii="Times New Roman" w:hAnsi="Times New Roman"/>
          <w:sz w:val="28"/>
          <w:szCs w:val="28"/>
          <w:lang w:val="lv-LV"/>
        </w:rPr>
      </w:pPr>
      <w:r w:rsidRPr="009C3934">
        <w:rPr>
          <w:rFonts w:ascii="Times New Roman" w:hAnsi="Times New Roman"/>
          <w:sz w:val="28"/>
          <w:szCs w:val="28"/>
          <w:lang w:val="lv-LV"/>
        </w:rPr>
        <w:t>Manipulācija ar sporta spēļu rezultātiem tiek vienprātīgi uzskatīta par vienu no lielākajiem draudiem mūsdienu sportam. Tā grauj sporta pārstāvētās vērtības, piemēram, godīgumu, godīgu spēli un cieņu pret citiem. Manipulācija ar sporta spēļu rezultātiem var atsvešināt līdzjutējus un atbalstītājus no organizētā sporta — jomas, kas veido gandrīz 2% no ES bruto pievienotās vērtības. Turklāt manipulācijas ar sporta spēļu rezultātiem bieži ir saistītas ar pasaules mēroga organizētās noziedzības tīkliem. Tā ir problēma, kas pašlaik pasaulē ir kļuvusi par valstu iestāžu, sporta kustības un tiesībaizsardzības aģentūru prioritāti.</w:t>
      </w:r>
    </w:p>
    <w:p w:rsidR="009C3934" w:rsidRPr="009C3934" w:rsidRDefault="009C3934" w:rsidP="009C3934">
      <w:pPr>
        <w:spacing w:after="0" w:line="240" w:lineRule="auto"/>
        <w:ind w:firstLine="720"/>
        <w:jc w:val="both"/>
        <w:rPr>
          <w:rFonts w:ascii="Times New Roman" w:hAnsi="Times New Roman"/>
          <w:sz w:val="28"/>
          <w:szCs w:val="28"/>
          <w:lang w:val="lv-LV"/>
        </w:rPr>
      </w:pPr>
      <w:r w:rsidRPr="009C3934">
        <w:rPr>
          <w:rFonts w:ascii="Times New Roman" w:hAnsi="Times New Roman"/>
          <w:sz w:val="28"/>
          <w:szCs w:val="28"/>
          <w:lang w:val="lv-LV"/>
        </w:rPr>
        <w:t xml:space="preserve">Īrijas prezidentūras laikā tiek apspriests jautājums par Eiropas Komisijas iesaistes formu ES vārdā piedalīties sarunās par starptautisku Eiropas Padomes konvenciju par manipulācijas ar sporta rezultātiem apkarošanu. Tiek piedāvāti divi varianti – vienots lēmums (kas paredz lēmumu izskatīšanu </w:t>
      </w:r>
      <w:r w:rsidRPr="009C3934">
        <w:rPr>
          <w:rFonts w:ascii="Times New Roman" w:hAnsi="Times New Roman"/>
          <w:bCs/>
          <w:sz w:val="28"/>
          <w:szCs w:val="28"/>
          <w:lang w:val="lv-LV"/>
        </w:rPr>
        <w:t>ES Padomes S</w:t>
      </w:r>
      <w:r w:rsidRPr="009C3934">
        <w:rPr>
          <w:rFonts w:ascii="Times New Roman" w:hAnsi="Times New Roman"/>
          <w:sz w:val="28"/>
          <w:szCs w:val="28"/>
          <w:lang w:val="lv-LV"/>
        </w:rPr>
        <w:t xml:space="preserve">porta darba grupā piesaistot atbilstošus ekspertus no citām darba grupām) un dalīts lēmums (kas paredz lēmumu pieņemšanu Tieslietu un iekšlietu darba grupā piesaistot </w:t>
      </w:r>
      <w:r w:rsidRPr="009C3934">
        <w:rPr>
          <w:rFonts w:ascii="Times New Roman" w:hAnsi="Times New Roman"/>
          <w:bCs/>
          <w:sz w:val="28"/>
          <w:szCs w:val="28"/>
          <w:lang w:val="lv-LV"/>
        </w:rPr>
        <w:t xml:space="preserve">ES Padomes </w:t>
      </w:r>
      <w:r w:rsidRPr="009C3934">
        <w:rPr>
          <w:rFonts w:ascii="Times New Roman" w:hAnsi="Times New Roman"/>
          <w:sz w:val="28"/>
          <w:szCs w:val="28"/>
          <w:lang w:val="lv-LV"/>
        </w:rPr>
        <w:t>Sporta darba grupu).</w:t>
      </w:r>
    </w:p>
    <w:p w:rsidR="009C3934" w:rsidRPr="009C3934" w:rsidRDefault="009C3934" w:rsidP="009C3934">
      <w:pPr>
        <w:spacing w:after="0" w:line="240" w:lineRule="auto"/>
        <w:ind w:firstLine="720"/>
        <w:jc w:val="both"/>
        <w:rPr>
          <w:rFonts w:ascii="Times New Roman" w:hAnsi="Times New Roman"/>
          <w:sz w:val="28"/>
          <w:szCs w:val="28"/>
          <w:lang w:val="lv-LV"/>
        </w:rPr>
      </w:pPr>
    </w:p>
    <w:p w:rsidR="00F0254F" w:rsidRPr="00054AB7" w:rsidRDefault="00F0254F" w:rsidP="008469F5">
      <w:pPr>
        <w:spacing w:after="0" w:line="240" w:lineRule="auto"/>
        <w:ind w:firstLine="720"/>
        <w:jc w:val="both"/>
        <w:rPr>
          <w:rFonts w:ascii="Times New Roman" w:hAnsi="Times New Roman"/>
          <w:b/>
          <w:color w:val="000000"/>
          <w:sz w:val="28"/>
          <w:szCs w:val="28"/>
          <w:u w:val="single"/>
          <w:lang w:val="lv-LV"/>
        </w:rPr>
      </w:pPr>
      <w:r w:rsidRPr="00054AB7">
        <w:rPr>
          <w:rFonts w:ascii="Times New Roman" w:hAnsi="Times New Roman"/>
          <w:b/>
          <w:color w:val="000000"/>
          <w:sz w:val="28"/>
          <w:szCs w:val="28"/>
          <w:u w:val="single"/>
          <w:lang w:val="lv-LV"/>
        </w:rPr>
        <w:t>Latvijas pozīcija</w:t>
      </w:r>
    </w:p>
    <w:p w:rsidR="00F0254F" w:rsidRPr="008469F5" w:rsidRDefault="008469F5" w:rsidP="005455E1">
      <w:pPr>
        <w:pStyle w:val="NoSpacing"/>
        <w:ind w:firstLine="720"/>
        <w:jc w:val="both"/>
        <w:rPr>
          <w:rFonts w:ascii="Times New Roman" w:hAnsi="Times New Roman"/>
          <w:b/>
          <w:sz w:val="28"/>
          <w:szCs w:val="28"/>
          <w:lang w:val="lv-LV"/>
        </w:rPr>
      </w:pPr>
      <w:r w:rsidRPr="008469F5">
        <w:rPr>
          <w:rFonts w:ascii="Times New Roman" w:hAnsi="Times New Roman"/>
          <w:b/>
          <w:sz w:val="28"/>
          <w:szCs w:val="28"/>
          <w:lang w:val="lv-LV"/>
        </w:rPr>
        <w:t>Latvija saglabā savu</w:t>
      </w:r>
      <w:r w:rsidRPr="008469F5">
        <w:rPr>
          <w:rFonts w:ascii="Times New Roman" w:hAnsi="Times New Roman"/>
          <w:sz w:val="28"/>
          <w:szCs w:val="28"/>
          <w:lang w:val="lv-LV"/>
        </w:rPr>
        <w:t xml:space="preserve"> sākotnējā pozīcijā Nr.1 par Ieteikumu Padomes lēmumam, ar ko Eiropas Komisiju pilnvaro ES vārdā piedalīties sarunās par Eiropas Padomes starptautisku konvenciju pret manipulācijām ar sporta rezultātiem </w:t>
      </w:r>
      <w:r w:rsidRPr="008469F5">
        <w:rPr>
          <w:rFonts w:ascii="Times New Roman" w:hAnsi="Times New Roman"/>
          <w:b/>
          <w:sz w:val="28"/>
          <w:szCs w:val="28"/>
          <w:lang w:val="lv-LV"/>
        </w:rPr>
        <w:t>nostāju</w:t>
      </w:r>
      <w:r w:rsidRPr="008469F5">
        <w:rPr>
          <w:rFonts w:ascii="Times New Roman" w:hAnsi="Times New Roman"/>
          <w:b/>
          <w:bCs/>
          <w:sz w:val="28"/>
          <w:szCs w:val="28"/>
          <w:lang w:val="lv-LV"/>
        </w:rPr>
        <w:t xml:space="preserve"> un</w:t>
      </w:r>
      <w:r w:rsidRPr="008469F5">
        <w:rPr>
          <w:rFonts w:ascii="Times New Roman" w:hAnsi="Times New Roman"/>
          <w:bCs/>
          <w:sz w:val="28"/>
          <w:szCs w:val="28"/>
          <w:lang w:val="lv-LV"/>
        </w:rPr>
        <w:t xml:space="preserve"> </w:t>
      </w:r>
      <w:r w:rsidRPr="008469F5">
        <w:rPr>
          <w:rFonts w:ascii="Times New Roman" w:hAnsi="Times New Roman"/>
          <w:b/>
          <w:bCs/>
          <w:sz w:val="28"/>
          <w:szCs w:val="28"/>
          <w:lang w:val="lv-LV"/>
        </w:rPr>
        <w:t>atbalsta</w:t>
      </w:r>
      <w:r w:rsidRPr="008469F5">
        <w:rPr>
          <w:rFonts w:ascii="Times New Roman" w:hAnsi="Times New Roman"/>
          <w:bCs/>
          <w:sz w:val="28"/>
          <w:szCs w:val="28"/>
          <w:lang w:val="lv-LV"/>
        </w:rPr>
        <w:t xml:space="preserve"> viena nedalīta lēmuma pieņemšanu </w:t>
      </w:r>
      <w:r w:rsidRPr="008469F5">
        <w:rPr>
          <w:rFonts w:ascii="Times New Roman" w:hAnsi="Times New Roman"/>
          <w:sz w:val="28"/>
          <w:szCs w:val="28"/>
          <w:lang w:val="lv-LV"/>
        </w:rPr>
        <w:t>sarunās par starptautisku Eiropas Padomes konvenciju par manipulācijas ar sporta rezultātiem apkarošanu</w:t>
      </w:r>
      <w:r w:rsidRPr="008469F5">
        <w:rPr>
          <w:rFonts w:ascii="Times New Roman" w:hAnsi="Times New Roman"/>
          <w:bCs/>
          <w:sz w:val="28"/>
          <w:szCs w:val="28"/>
          <w:lang w:val="lv-LV"/>
        </w:rPr>
        <w:t xml:space="preserve"> ES Padomes Sporta darba grupā, iesaistot tās darbībā ārējos ekspertus no citām darba grupām. Lai arī Eiropas Padomes </w:t>
      </w:r>
      <w:r w:rsidRPr="008469F5">
        <w:rPr>
          <w:rFonts w:ascii="Times New Roman" w:hAnsi="Times New Roman"/>
          <w:sz w:val="28"/>
          <w:szCs w:val="28"/>
          <w:lang w:val="lv-LV"/>
        </w:rPr>
        <w:t>Konvencijas projektā par manipulācijām ar sporta rezultātiem apkarošanu</w:t>
      </w:r>
      <w:r w:rsidRPr="008469F5">
        <w:rPr>
          <w:rFonts w:ascii="Times New Roman" w:hAnsi="Times New Roman"/>
          <w:bCs/>
          <w:sz w:val="28"/>
          <w:szCs w:val="28"/>
          <w:lang w:val="lv-LV"/>
        </w:rPr>
        <w:t xml:space="preserve"> lielā mērā atspoguļoti ar tieslietu un iekšlietu jomā esoši jautājumi, tomēr </w:t>
      </w:r>
      <w:r w:rsidRPr="008469F5">
        <w:rPr>
          <w:rFonts w:ascii="Times New Roman" w:hAnsi="Times New Roman"/>
          <w:b/>
          <w:bCs/>
          <w:sz w:val="28"/>
          <w:szCs w:val="28"/>
          <w:lang w:val="lv-LV"/>
        </w:rPr>
        <w:t>Latvija uzsver,</w:t>
      </w:r>
      <w:r w:rsidRPr="008469F5">
        <w:rPr>
          <w:rFonts w:ascii="Times New Roman" w:hAnsi="Times New Roman"/>
          <w:bCs/>
          <w:sz w:val="28"/>
          <w:szCs w:val="28"/>
          <w:lang w:val="lv-LV"/>
        </w:rPr>
        <w:t xml:space="preserve"> ka tie šajā kontekstā ir attiecināmi uz sportistiem, sporta sabiedrību un pasākumiem, kas tiek īstenoti saistībā ar sporta </w:t>
      </w:r>
      <w:r w:rsidRPr="008469F5">
        <w:rPr>
          <w:rFonts w:ascii="Times New Roman" w:hAnsi="Times New Roman"/>
          <w:bCs/>
          <w:sz w:val="28"/>
          <w:szCs w:val="28"/>
          <w:lang w:val="lv-LV"/>
        </w:rPr>
        <w:lastRenderedPageBreak/>
        <w:t>spēlēm. Latvija uzskata, ka tikai tādējādi tiktu nodrošināta nepārprotama šo citu jomu jautājumu cieša sasaiste ar sportu minētās Konvencija ietvaros</w:t>
      </w:r>
      <w:r w:rsidR="00F0254F" w:rsidRPr="008469F5">
        <w:rPr>
          <w:rFonts w:ascii="Times New Roman" w:hAnsi="Times New Roman"/>
          <w:sz w:val="28"/>
          <w:szCs w:val="28"/>
          <w:lang w:val="lv-LV"/>
        </w:rPr>
        <w:t>.</w:t>
      </w:r>
    </w:p>
    <w:p w:rsidR="00DA45EA" w:rsidRPr="00FE7474" w:rsidRDefault="00DA45EA" w:rsidP="005455E1">
      <w:pPr>
        <w:autoSpaceDE w:val="0"/>
        <w:autoSpaceDN w:val="0"/>
        <w:adjustRightInd w:val="0"/>
        <w:spacing w:after="0" w:line="240" w:lineRule="auto"/>
        <w:ind w:firstLine="720"/>
        <w:contextualSpacing/>
        <w:jc w:val="both"/>
        <w:rPr>
          <w:rFonts w:ascii="Times New Roman" w:hAnsi="Times New Roman"/>
          <w:b/>
          <w:sz w:val="28"/>
          <w:szCs w:val="28"/>
          <w:lang w:val="lv-LV"/>
        </w:rPr>
      </w:pPr>
    </w:p>
    <w:p w:rsidR="00EF374C" w:rsidRPr="00FE7474" w:rsidRDefault="00B70A45" w:rsidP="005455E1">
      <w:pPr>
        <w:autoSpaceDE w:val="0"/>
        <w:autoSpaceDN w:val="0"/>
        <w:adjustRightInd w:val="0"/>
        <w:spacing w:after="0" w:line="240" w:lineRule="auto"/>
        <w:ind w:firstLine="709"/>
        <w:contextualSpacing/>
        <w:jc w:val="both"/>
        <w:rPr>
          <w:rFonts w:ascii="Times New Roman" w:hAnsi="Times New Roman"/>
          <w:color w:val="000000"/>
          <w:sz w:val="28"/>
          <w:szCs w:val="28"/>
          <w:lang w:val="lv-LV" w:eastAsia="lv-LV"/>
        </w:rPr>
      </w:pPr>
      <w:r w:rsidRPr="00FE7474">
        <w:rPr>
          <w:rFonts w:ascii="Times New Roman" w:hAnsi="Times New Roman"/>
          <w:b/>
          <w:sz w:val="28"/>
          <w:szCs w:val="28"/>
          <w:lang w:val="lv-LV"/>
        </w:rPr>
        <w:t>S</w:t>
      </w:r>
      <w:r w:rsidR="00EF374C" w:rsidRPr="00FE7474">
        <w:rPr>
          <w:rFonts w:ascii="Times New Roman" w:hAnsi="Times New Roman"/>
          <w:b/>
          <w:sz w:val="28"/>
          <w:szCs w:val="28"/>
          <w:lang w:val="lv-LV"/>
        </w:rPr>
        <w:t>askaņošana:</w:t>
      </w:r>
      <w:r w:rsidR="00EF374C" w:rsidRPr="00FE7474">
        <w:rPr>
          <w:rFonts w:ascii="Times New Roman" w:hAnsi="Times New Roman"/>
          <w:sz w:val="28"/>
          <w:szCs w:val="28"/>
          <w:lang w:val="lv-LV"/>
        </w:rPr>
        <w:t xml:space="preserve"> </w:t>
      </w:r>
      <w:r w:rsidR="00CD61F6" w:rsidRPr="00FE7474">
        <w:rPr>
          <w:rFonts w:ascii="Times New Roman" w:hAnsi="Times New Roman"/>
          <w:color w:val="000000"/>
          <w:sz w:val="28"/>
          <w:szCs w:val="28"/>
          <w:lang w:val="lv-LV" w:eastAsia="lv-LV"/>
        </w:rPr>
        <w:t>Nacionālo pozīciju projekti ir saskaņoti atbilstoši ar Ārlietu ministriju,</w:t>
      </w:r>
      <w:r w:rsidR="00F04B99">
        <w:rPr>
          <w:rFonts w:ascii="Times New Roman" w:hAnsi="Times New Roman"/>
          <w:color w:val="000000"/>
          <w:sz w:val="28"/>
          <w:szCs w:val="28"/>
          <w:lang w:val="lv-LV" w:eastAsia="lv-LV"/>
        </w:rPr>
        <w:t xml:space="preserve"> Tieslietu ministriju, Iekšlietu ministriju,</w:t>
      </w:r>
      <w:r w:rsidR="00CD61F6" w:rsidRPr="00FE7474">
        <w:rPr>
          <w:rFonts w:ascii="Times New Roman" w:hAnsi="Times New Roman"/>
          <w:color w:val="000000"/>
          <w:sz w:val="28"/>
          <w:szCs w:val="28"/>
          <w:lang w:val="lv-LV" w:eastAsia="lv-LV"/>
        </w:rPr>
        <w:t xml:space="preserve"> Ekonomikas ministriju, </w:t>
      </w:r>
      <w:r w:rsidR="00E20EBC" w:rsidRPr="00FE7474">
        <w:rPr>
          <w:rFonts w:ascii="Times New Roman" w:hAnsi="Times New Roman"/>
          <w:color w:val="000000"/>
          <w:sz w:val="28"/>
          <w:szCs w:val="28"/>
          <w:lang w:val="lv-LV" w:eastAsia="lv-LV"/>
        </w:rPr>
        <w:t xml:space="preserve">Finanšu ministriju, </w:t>
      </w:r>
      <w:r w:rsidR="00CD61F6" w:rsidRPr="00FE7474">
        <w:rPr>
          <w:rFonts w:ascii="Times New Roman" w:hAnsi="Times New Roman"/>
          <w:color w:val="000000"/>
          <w:sz w:val="28"/>
          <w:szCs w:val="28"/>
          <w:lang w:val="lv-LV" w:eastAsia="lv-LV"/>
        </w:rPr>
        <w:t>Labklājības ministriju</w:t>
      </w:r>
      <w:r w:rsidR="00054AB7">
        <w:rPr>
          <w:rFonts w:ascii="Times New Roman" w:hAnsi="Times New Roman"/>
          <w:color w:val="000000"/>
          <w:sz w:val="28"/>
          <w:szCs w:val="28"/>
          <w:lang w:val="lv-LV" w:eastAsia="lv-LV"/>
        </w:rPr>
        <w:t>,</w:t>
      </w:r>
      <w:r w:rsidR="001227E3">
        <w:rPr>
          <w:rFonts w:ascii="Times New Roman" w:hAnsi="Times New Roman"/>
          <w:color w:val="000000"/>
          <w:sz w:val="28"/>
          <w:szCs w:val="28"/>
          <w:lang w:val="lv-LV" w:eastAsia="lv-LV"/>
        </w:rPr>
        <w:t xml:space="preserve"> </w:t>
      </w:r>
      <w:r w:rsidR="000F2A29" w:rsidRPr="00FE7474">
        <w:rPr>
          <w:rFonts w:ascii="Times New Roman" w:hAnsi="Times New Roman"/>
          <w:color w:val="000000"/>
          <w:sz w:val="28"/>
          <w:szCs w:val="28"/>
          <w:lang w:val="lv-LV" w:eastAsia="lv-LV"/>
        </w:rPr>
        <w:t>Kultūras ministriju</w:t>
      </w:r>
      <w:r w:rsidR="00054AB7">
        <w:rPr>
          <w:rFonts w:ascii="Times New Roman" w:hAnsi="Times New Roman"/>
          <w:color w:val="000000"/>
          <w:sz w:val="28"/>
          <w:szCs w:val="28"/>
          <w:lang w:val="lv-LV" w:eastAsia="lv-LV"/>
        </w:rPr>
        <w:t xml:space="preserve"> un Veselības ministriju</w:t>
      </w:r>
      <w:r w:rsidR="00826298" w:rsidRPr="00FE7474">
        <w:rPr>
          <w:rFonts w:ascii="Times New Roman" w:hAnsi="Times New Roman"/>
          <w:color w:val="000000"/>
          <w:sz w:val="28"/>
          <w:szCs w:val="28"/>
          <w:lang w:val="lv-LV" w:eastAsia="lv-LV"/>
        </w:rPr>
        <w:t>.</w:t>
      </w:r>
    </w:p>
    <w:p w:rsidR="00F04B99" w:rsidRPr="00F04B99" w:rsidRDefault="00EF374C" w:rsidP="00F04B99">
      <w:pPr>
        <w:pStyle w:val="NormalWeb"/>
        <w:ind w:firstLine="709"/>
        <w:jc w:val="both"/>
        <w:rPr>
          <w:color w:val="000000"/>
          <w:sz w:val="28"/>
          <w:szCs w:val="28"/>
          <w:lang w:val="lv-LV"/>
        </w:rPr>
      </w:pPr>
      <w:r w:rsidRPr="006B4F27">
        <w:rPr>
          <w:b/>
          <w:sz w:val="28"/>
          <w:szCs w:val="28"/>
          <w:lang w:val="lv-LV"/>
        </w:rPr>
        <w:t>Latvijas delegācija</w:t>
      </w:r>
      <w:r w:rsidR="002C71E7">
        <w:rPr>
          <w:b/>
          <w:sz w:val="28"/>
          <w:szCs w:val="28"/>
          <w:lang w:val="lv-LV"/>
        </w:rPr>
        <w:t>s sastāvs</w:t>
      </w:r>
      <w:r w:rsidRPr="006B4F27">
        <w:rPr>
          <w:b/>
          <w:sz w:val="28"/>
          <w:szCs w:val="28"/>
          <w:lang w:val="lv-LV"/>
        </w:rPr>
        <w:t>:</w:t>
      </w:r>
      <w:r w:rsidRPr="006B4F27">
        <w:rPr>
          <w:sz w:val="28"/>
          <w:szCs w:val="28"/>
          <w:lang w:val="lv-LV"/>
        </w:rPr>
        <w:t xml:space="preserve"> </w:t>
      </w:r>
      <w:r w:rsidR="006B4F27" w:rsidRPr="006B4F27">
        <w:rPr>
          <w:sz w:val="28"/>
          <w:szCs w:val="28"/>
          <w:lang w:val="lv-LV"/>
        </w:rPr>
        <w:t xml:space="preserve">Izglītības un zinātnes ministrijas </w:t>
      </w:r>
      <w:r w:rsidR="002C38F1">
        <w:rPr>
          <w:sz w:val="28"/>
          <w:szCs w:val="28"/>
          <w:lang w:val="lv-LV"/>
        </w:rPr>
        <w:t>valsts sekretār</w:t>
      </w:r>
      <w:r w:rsidR="00F04B99">
        <w:rPr>
          <w:sz w:val="28"/>
          <w:szCs w:val="28"/>
          <w:lang w:val="lv-LV"/>
        </w:rPr>
        <w:t xml:space="preserve">e S.Liepiņa – Latvijas delegācijas vadītāja un </w:t>
      </w:r>
      <w:r w:rsidR="00F04B99" w:rsidRPr="006B4F27">
        <w:rPr>
          <w:sz w:val="28"/>
          <w:szCs w:val="28"/>
          <w:lang w:val="lv-LV"/>
        </w:rPr>
        <w:t xml:space="preserve">Izglītības un </w:t>
      </w:r>
      <w:r w:rsidR="00F04B99" w:rsidRPr="00F04B99">
        <w:rPr>
          <w:sz w:val="28"/>
          <w:szCs w:val="28"/>
          <w:lang w:val="lv-LV"/>
        </w:rPr>
        <w:t xml:space="preserve">zinātnes ministrijas </w:t>
      </w:r>
      <w:r w:rsidR="00F04B99">
        <w:rPr>
          <w:sz w:val="28"/>
          <w:szCs w:val="28"/>
          <w:lang w:val="lv-LV"/>
        </w:rPr>
        <w:t>v</w:t>
      </w:r>
      <w:r w:rsidR="00F04B99" w:rsidRPr="00F04B99">
        <w:rPr>
          <w:color w:val="000000"/>
          <w:sz w:val="28"/>
          <w:szCs w:val="28"/>
          <w:lang w:val="lv-LV"/>
        </w:rPr>
        <w:t>alsts sekretār</w:t>
      </w:r>
      <w:r w:rsidR="00F04B99">
        <w:rPr>
          <w:color w:val="000000"/>
          <w:sz w:val="28"/>
          <w:szCs w:val="28"/>
          <w:lang w:val="lv-LV"/>
        </w:rPr>
        <w:t>es</w:t>
      </w:r>
      <w:r w:rsidR="00F04B99" w:rsidRPr="00F04B99">
        <w:rPr>
          <w:color w:val="000000"/>
          <w:sz w:val="28"/>
          <w:szCs w:val="28"/>
          <w:lang w:val="lv-LV"/>
        </w:rPr>
        <w:t xml:space="preserve"> vietniece </w:t>
      </w:r>
      <w:r w:rsidR="00F04B99">
        <w:rPr>
          <w:color w:val="000000"/>
          <w:sz w:val="28"/>
          <w:szCs w:val="28"/>
          <w:lang w:val="lv-LV"/>
        </w:rPr>
        <w:t>–</w:t>
      </w:r>
      <w:r w:rsidR="00F04B99" w:rsidRPr="00F04B99">
        <w:rPr>
          <w:color w:val="000000"/>
          <w:sz w:val="28"/>
          <w:szCs w:val="28"/>
          <w:lang w:val="lv-LV"/>
        </w:rPr>
        <w:t xml:space="preserve"> </w:t>
      </w:r>
      <w:r w:rsidR="00F04B99">
        <w:rPr>
          <w:color w:val="000000"/>
          <w:sz w:val="28"/>
          <w:szCs w:val="28"/>
          <w:lang w:val="lv-LV"/>
        </w:rPr>
        <w:t xml:space="preserve">Sporta un jaunatnes </w:t>
      </w:r>
      <w:r w:rsidR="00F04B99" w:rsidRPr="00F04B99">
        <w:rPr>
          <w:color w:val="000000"/>
          <w:sz w:val="28"/>
          <w:szCs w:val="28"/>
          <w:lang w:val="lv-LV"/>
        </w:rPr>
        <w:t>departamenta direktore</w:t>
      </w:r>
      <w:r w:rsidR="00F04B99">
        <w:rPr>
          <w:color w:val="000000"/>
          <w:sz w:val="28"/>
          <w:szCs w:val="28"/>
          <w:lang w:val="lv-LV"/>
        </w:rPr>
        <w:t xml:space="preserve"> U.Auniņa-Naumova</w:t>
      </w:r>
      <w:r w:rsidR="002C71E7">
        <w:rPr>
          <w:color w:val="000000"/>
          <w:sz w:val="28"/>
          <w:szCs w:val="28"/>
          <w:lang w:val="lv-LV"/>
        </w:rPr>
        <w:t xml:space="preserve"> – Latvijas delegācijas locekle</w:t>
      </w:r>
      <w:r w:rsidR="00825DF3">
        <w:rPr>
          <w:color w:val="000000"/>
          <w:sz w:val="28"/>
          <w:szCs w:val="28"/>
          <w:lang w:val="lv-LV"/>
        </w:rPr>
        <w:t xml:space="preserve">, un nozares padomniece Liene </w:t>
      </w:r>
      <w:proofErr w:type="spellStart"/>
      <w:r w:rsidR="00825DF3">
        <w:rPr>
          <w:color w:val="000000"/>
          <w:sz w:val="28"/>
          <w:szCs w:val="28"/>
          <w:lang w:val="lv-LV"/>
        </w:rPr>
        <w:t>Bramane</w:t>
      </w:r>
      <w:proofErr w:type="spellEnd"/>
      <w:r w:rsidR="00825DF3">
        <w:rPr>
          <w:color w:val="000000"/>
          <w:sz w:val="28"/>
          <w:szCs w:val="28"/>
          <w:lang w:val="lv-LV"/>
        </w:rPr>
        <w:t>.</w:t>
      </w:r>
    </w:p>
    <w:p w:rsidR="00EF374C" w:rsidRPr="00FE7474" w:rsidRDefault="00F04B99" w:rsidP="005455E1">
      <w:pPr>
        <w:pStyle w:val="ListParagraph"/>
        <w:spacing w:after="0" w:line="240" w:lineRule="auto"/>
        <w:ind w:left="0" w:firstLine="709"/>
        <w:jc w:val="both"/>
        <w:rPr>
          <w:rFonts w:ascii="Times New Roman" w:hAnsi="Times New Roman"/>
          <w:sz w:val="28"/>
          <w:szCs w:val="28"/>
          <w:lang w:val="lv-LV"/>
        </w:rPr>
      </w:pPr>
      <w:r>
        <w:rPr>
          <w:rFonts w:ascii="Times New Roman" w:hAnsi="Times New Roman"/>
          <w:sz w:val="28"/>
          <w:szCs w:val="28"/>
          <w:lang w:val="lv-LV"/>
        </w:rPr>
        <w:t xml:space="preserve">  </w:t>
      </w:r>
    </w:p>
    <w:p w:rsidR="009C430B" w:rsidRDefault="009C430B" w:rsidP="00D56E3F">
      <w:pPr>
        <w:autoSpaceDE w:val="0"/>
        <w:autoSpaceDN w:val="0"/>
        <w:adjustRightInd w:val="0"/>
        <w:spacing w:after="0" w:line="240" w:lineRule="auto"/>
        <w:contextualSpacing/>
        <w:rPr>
          <w:rFonts w:ascii="Times New Roman" w:hAnsi="Times New Roman"/>
          <w:color w:val="000000"/>
          <w:sz w:val="28"/>
          <w:szCs w:val="28"/>
          <w:lang w:val="lv-LV" w:eastAsia="lv-LV"/>
        </w:rPr>
      </w:pPr>
      <w:r>
        <w:rPr>
          <w:rFonts w:ascii="Times New Roman" w:hAnsi="Times New Roman"/>
          <w:color w:val="000000"/>
          <w:sz w:val="28"/>
          <w:szCs w:val="28"/>
          <w:lang w:val="lv-LV" w:eastAsia="lv-LV"/>
        </w:rPr>
        <w:t xml:space="preserve">Vides aizsardzības un reģionālās attīstības ministrs </w:t>
      </w:r>
    </w:p>
    <w:p w:rsidR="00014279" w:rsidRDefault="00014279" w:rsidP="00D56E3F">
      <w:pPr>
        <w:autoSpaceDE w:val="0"/>
        <w:autoSpaceDN w:val="0"/>
        <w:adjustRightInd w:val="0"/>
        <w:spacing w:after="0" w:line="240" w:lineRule="auto"/>
        <w:contextualSpacing/>
        <w:rPr>
          <w:rFonts w:ascii="Times New Roman" w:hAnsi="Times New Roman"/>
          <w:color w:val="000000"/>
          <w:sz w:val="28"/>
          <w:szCs w:val="28"/>
          <w:lang w:val="lv-LV" w:eastAsia="lv-LV"/>
        </w:rPr>
      </w:pPr>
      <w:r w:rsidRPr="00014279">
        <w:rPr>
          <w:rFonts w:ascii="Times New Roman" w:hAnsi="Times New Roman"/>
          <w:color w:val="000000"/>
          <w:sz w:val="28"/>
          <w:szCs w:val="28"/>
          <w:lang w:val="lv-LV" w:eastAsia="lv-LV"/>
        </w:rPr>
        <w:t>izglītības un zinātnes ministr</w:t>
      </w:r>
      <w:r w:rsidR="009C430B">
        <w:rPr>
          <w:rFonts w:ascii="Times New Roman" w:hAnsi="Times New Roman"/>
          <w:color w:val="000000"/>
          <w:sz w:val="28"/>
          <w:szCs w:val="28"/>
          <w:lang w:val="lv-LV" w:eastAsia="lv-LV"/>
        </w:rPr>
        <w:t>a</w:t>
      </w:r>
    </w:p>
    <w:p w:rsidR="009C430B" w:rsidRPr="00014279" w:rsidRDefault="009C430B" w:rsidP="00D56E3F">
      <w:pPr>
        <w:autoSpaceDE w:val="0"/>
        <w:autoSpaceDN w:val="0"/>
        <w:adjustRightInd w:val="0"/>
        <w:spacing w:after="0" w:line="240" w:lineRule="auto"/>
        <w:contextualSpacing/>
        <w:rPr>
          <w:rFonts w:ascii="Times New Roman" w:hAnsi="Times New Roman"/>
          <w:color w:val="000000"/>
          <w:sz w:val="28"/>
          <w:szCs w:val="28"/>
          <w:lang w:val="lv-LV" w:eastAsia="lv-LV"/>
        </w:rPr>
      </w:pPr>
      <w:r>
        <w:rPr>
          <w:rFonts w:ascii="Times New Roman" w:hAnsi="Times New Roman"/>
          <w:color w:val="000000"/>
          <w:sz w:val="28"/>
          <w:szCs w:val="28"/>
          <w:lang w:val="lv-LV" w:eastAsia="lv-LV"/>
        </w:rPr>
        <w:t>pienākumu izpildītājs</w:t>
      </w:r>
      <w:r>
        <w:rPr>
          <w:rFonts w:ascii="Times New Roman" w:hAnsi="Times New Roman"/>
          <w:color w:val="000000"/>
          <w:sz w:val="28"/>
          <w:szCs w:val="28"/>
          <w:lang w:val="lv-LV" w:eastAsia="lv-LV"/>
        </w:rPr>
        <w:tab/>
      </w:r>
      <w:r>
        <w:rPr>
          <w:rFonts w:ascii="Times New Roman" w:hAnsi="Times New Roman"/>
          <w:color w:val="000000"/>
          <w:sz w:val="28"/>
          <w:szCs w:val="28"/>
          <w:lang w:val="lv-LV" w:eastAsia="lv-LV"/>
        </w:rPr>
        <w:tab/>
      </w:r>
      <w:r>
        <w:rPr>
          <w:rFonts w:ascii="Times New Roman" w:hAnsi="Times New Roman"/>
          <w:color w:val="000000"/>
          <w:sz w:val="28"/>
          <w:szCs w:val="28"/>
          <w:lang w:val="lv-LV" w:eastAsia="lv-LV"/>
        </w:rPr>
        <w:tab/>
      </w:r>
      <w:r>
        <w:rPr>
          <w:rFonts w:ascii="Times New Roman" w:hAnsi="Times New Roman"/>
          <w:color w:val="000000"/>
          <w:sz w:val="28"/>
          <w:szCs w:val="28"/>
          <w:lang w:val="lv-LV" w:eastAsia="lv-LV"/>
        </w:rPr>
        <w:tab/>
      </w:r>
      <w:r>
        <w:rPr>
          <w:rFonts w:ascii="Times New Roman" w:hAnsi="Times New Roman"/>
          <w:color w:val="000000"/>
          <w:sz w:val="28"/>
          <w:szCs w:val="28"/>
          <w:lang w:val="lv-LV" w:eastAsia="lv-LV"/>
        </w:rPr>
        <w:tab/>
      </w:r>
      <w:r>
        <w:rPr>
          <w:rFonts w:ascii="Times New Roman" w:hAnsi="Times New Roman"/>
          <w:color w:val="000000"/>
          <w:sz w:val="28"/>
          <w:szCs w:val="28"/>
          <w:lang w:val="lv-LV" w:eastAsia="lv-LV"/>
        </w:rPr>
        <w:tab/>
      </w:r>
      <w:r>
        <w:rPr>
          <w:rFonts w:ascii="Times New Roman" w:hAnsi="Times New Roman"/>
          <w:color w:val="000000"/>
          <w:sz w:val="28"/>
          <w:szCs w:val="28"/>
          <w:lang w:val="lv-LV" w:eastAsia="lv-LV"/>
        </w:rPr>
        <w:tab/>
      </w:r>
      <w:proofErr w:type="spellStart"/>
      <w:r>
        <w:rPr>
          <w:rFonts w:ascii="Times New Roman" w:hAnsi="Times New Roman"/>
          <w:color w:val="000000"/>
          <w:sz w:val="28"/>
          <w:szCs w:val="28"/>
          <w:lang w:val="lv-LV" w:eastAsia="lv-LV"/>
        </w:rPr>
        <w:t>E.Sprūdžs</w:t>
      </w:r>
      <w:proofErr w:type="spellEnd"/>
    </w:p>
    <w:p w:rsidR="00822DED" w:rsidRPr="00FE7474" w:rsidRDefault="00822DED" w:rsidP="005455E1">
      <w:pPr>
        <w:autoSpaceDE w:val="0"/>
        <w:autoSpaceDN w:val="0"/>
        <w:adjustRightInd w:val="0"/>
        <w:spacing w:after="0" w:line="240" w:lineRule="auto"/>
        <w:contextualSpacing/>
        <w:rPr>
          <w:rFonts w:ascii="Times New Roman" w:hAnsi="Times New Roman"/>
          <w:color w:val="000000"/>
          <w:sz w:val="28"/>
          <w:szCs w:val="28"/>
          <w:lang w:val="lv-LV" w:eastAsia="lv-LV"/>
        </w:rPr>
      </w:pPr>
    </w:p>
    <w:p w:rsidR="00822DED" w:rsidRPr="00FE7474" w:rsidRDefault="00822DED" w:rsidP="005455E1">
      <w:pPr>
        <w:autoSpaceDE w:val="0"/>
        <w:autoSpaceDN w:val="0"/>
        <w:adjustRightInd w:val="0"/>
        <w:spacing w:after="0" w:line="240" w:lineRule="auto"/>
        <w:contextualSpacing/>
        <w:rPr>
          <w:rFonts w:ascii="Times New Roman" w:hAnsi="Times New Roman"/>
          <w:color w:val="000000"/>
          <w:sz w:val="28"/>
          <w:szCs w:val="28"/>
          <w:lang w:val="lv-LV" w:eastAsia="lv-LV"/>
        </w:rPr>
      </w:pPr>
    </w:p>
    <w:p w:rsidR="001227E3" w:rsidRPr="001227E3" w:rsidRDefault="001227E3" w:rsidP="005455E1">
      <w:pPr>
        <w:autoSpaceDE w:val="0"/>
        <w:autoSpaceDN w:val="0"/>
        <w:adjustRightInd w:val="0"/>
        <w:spacing w:after="0" w:line="240" w:lineRule="auto"/>
        <w:contextualSpacing/>
        <w:rPr>
          <w:rFonts w:ascii="Times New Roman" w:hAnsi="Times New Roman"/>
          <w:color w:val="000000"/>
          <w:sz w:val="28"/>
          <w:szCs w:val="28"/>
          <w:lang w:val="lv-LV" w:eastAsia="lv-LV"/>
        </w:rPr>
      </w:pPr>
      <w:r w:rsidRPr="001227E3">
        <w:rPr>
          <w:rFonts w:ascii="Times New Roman" w:hAnsi="Times New Roman"/>
          <w:color w:val="000000"/>
          <w:sz w:val="28"/>
          <w:szCs w:val="28"/>
          <w:lang w:val="lv-LV" w:eastAsia="lv-LV"/>
        </w:rPr>
        <w:t>Vīzē:</w:t>
      </w:r>
      <w:r w:rsidR="000348D6">
        <w:rPr>
          <w:rFonts w:ascii="Times New Roman" w:hAnsi="Times New Roman"/>
          <w:color w:val="000000"/>
          <w:sz w:val="28"/>
          <w:szCs w:val="28"/>
          <w:lang w:val="lv-LV" w:eastAsia="lv-LV"/>
        </w:rPr>
        <w:t xml:space="preserve"> v</w:t>
      </w:r>
      <w:r w:rsidRPr="001227E3">
        <w:rPr>
          <w:rFonts w:ascii="Times New Roman" w:hAnsi="Times New Roman"/>
          <w:color w:val="000000"/>
          <w:sz w:val="28"/>
          <w:szCs w:val="28"/>
          <w:lang w:val="lv-LV" w:eastAsia="lv-LV"/>
        </w:rPr>
        <w:t>alsts sekretār</w:t>
      </w:r>
      <w:r w:rsidR="00E2459C">
        <w:rPr>
          <w:rFonts w:ascii="Times New Roman" w:hAnsi="Times New Roman"/>
          <w:color w:val="000000"/>
          <w:sz w:val="28"/>
          <w:szCs w:val="28"/>
          <w:lang w:val="lv-LV" w:eastAsia="lv-LV"/>
        </w:rPr>
        <w:t xml:space="preserve">e </w:t>
      </w:r>
      <w:r w:rsidR="00E2459C">
        <w:rPr>
          <w:rFonts w:ascii="Times New Roman" w:hAnsi="Times New Roman"/>
          <w:color w:val="000000"/>
          <w:sz w:val="28"/>
          <w:szCs w:val="28"/>
          <w:lang w:val="lv-LV" w:eastAsia="lv-LV"/>
        </w:rPr>
        <w:tab/>
      </w:r>
      <w:r w:rsidR="00E2459C">
        <w:rPr>
          <w:rFonts w:ascii="Times New Roman" w:hAnsi="Times New Roman"/>
          <w:color w:val="000000"/>
          <w:sz w:val="28"/>
          <w:szCs w:val="28"/>
          <w:lang w:val="lv-LV" w:eastAsia="lv-LV"/>
        </w:rPr>
        <w:tab/>
      </w:r>
      <w:r w:rsidR="00E2459C">
        <w:rPr>
          <w:rFonts w:ascii="Times New Roman" w:hAnsi="Times New Roman"/>
          <w:color w:val="000000"/>
          <w:sz w:val="28"/>
          <w:szCs w:val="28"/>
          <w:lang w:val="lv-LV" w:eastAsia="lv-LV"/>
        </w:rPr>
        <w:tab/>
      </w:r>
      <w:r w:rsidR="00E2459C">
        <w:rPr>
          <w:rFonts w:ascii="Times New Roman" w:hAnsi="Times New Roman"/>
          <w:color w:val="000000"/>
          <w:sz w:val="28"/>
          <w:szCs w:val="28"/>
          <w:lang w:val="lv-LV" w:eastAsia="lv-LV"/>
        </w:rPr>
        <w:tab/>
      </w:r>
      <w:r w:rsidRPr="001227E3">
        <w:rPr>
          <w:rFonts w:ascii="Times New Roman" w:hAnsi="Times New Roman"/>
          <w:color w:val="000000"/>
          <w:sz w:val="28"/>
          <w:szCs w:val="28"/>
          <w:lang w:val="lv-LV" w:eastAsia="lv-LV"/>
        </w:rPr>
        <w:t xml:space="preserve">     </w:t>
      </w:r>
      <w:r>
        <w:rPr>
          <w:rFonts w:ascii="Times New Roman" w:hAnsi="Times New Roman"/>
          <w:color w:val="000000"/>
          <w:sz w:val="28"/>
          <w:szCs w:val="28"/>
          <w:lang w:val="lv-LV" w:eastAsia="lv-LV"/>
        </w:rPr>
        <w:tab/>
      </w:r>
      <w:r>
        <w:rPr>
          <w:rFonts w:ascii="Times New Roman" w:hAnsi="Times New Roman"/>
          <w:color w:val="000000"/>
          <w:sz w:val="28"/>
          <w:szCs w:val="28"/>
          <w:lang w:val="lv-LV" w:eastAsia="lv-LV"/>
        </w:rPr>
        <w:tab/>
      </w:r>
      <w:r w:rsidR="00014279">
        <w:rPr>
          <w:rFonts w:ascii="Times New Roman" w:hAnsi="Times New Roman"/>
          <w:color w:val="000000"/>
          <w:sz w:val="28"/>
          <w:szCs w:val="28"/>
          <w:lang w:val="lv-LV" w:eastAsia="lv-LV"/>
        </w:rPr>
        <w:t xml:space="preserve">     </w:t>
      </w:r>
      <w:r w:rsidR="009C430B">
        <w:rPr>
          <w:rFonts w:ascii="Times New Roman" w:hAnsi="Times New Roman"/>
          <w:color w:val="000000"/>
          <w:sz w:val="28"/>
          <w:szCs w:val="28"/>
          <w:lang w:val="lv-LV" w:eastAsia="lv-LV"/>
        </w:rPr>
        <w:t xml:space="preserve">     </w:t>
      </w:r>
      <w:r w:rsidR="00E2459C">
        <w:rPr>
          <w:rFonts w:ascii="Times New Roman" w:hAnsi="Times New Roman"/>
          <w:color w:val="000000"/>
          <w:sz w:val="28"/>
          <w:szCs w:val="28"/>
          <w:lang w:val="lv-LV" w:eastAsia="lv-LV"/>
        </w:rPr>
        <w:t>S</w:t>
      </w:r>
      <w:r w:rsidR="007E3966">
        <w:rPr>
          <w:rFonts w:ascii="Times New Roman" w:hAnsi="Times New Roman"/>
          <w:color w:val="000000"/>
          <w:sz w:val="28"/>
          <w:szCs w:val="28"/>
          <w:lang w:val="lv-LV" w:eastAsia="lv-LV"/>
        </w:rPr>
        <w:t>.</w:t>
      </w:r>
      <w:r w:rsidR="00E2459C">
        <w:rPr>
          <w:rFonts w:ascii="Times New Roman" w:hAnsi="Times New Roman"/>
          <w:color w:val="000000"/>
          <w:sz w:val="28"/>
          <w:szCs w:val="28"/>
          <w:lang w:val="lv-LV" w:eastAsia="lv-LV"/>
        </w:rPr>
        <w:t>Liepiņa</w:t>
      </w:r>
    </w:p>
    <w:p w:rsidR="008A2B9B" w:rsidRDefault="008A2B9B" w:rsidP="005455E1">
      <w:pPr>
        <w:autoSpaceDE w:val="0"/>
        <w:autoSpaceDN w:val="0"/>
        <w:adjustRightInd w:val="0"/>
        <w:spacing w:after="0" w:line="240" w:lineRule="auto"/>
        <w:contextualSpacing/>
        <w:rPr>
          <w:rFonts w:ascii="Times New Roman" w:hAnsi="Times New Roman"/>
          <w:color w:val="000000"/>
          <w:sz w:val="28"/>
          <w:szCs w:val="28"/>
          <w:lang w:val="lv-LV" w:eastAsia="lv-LV"/>
        </w:rPr>
      </w:pPr>
    </w:p>
    <w:p w:rsidR="00014279" w:rsidRPr="00FE7474" w:rsidRDefault="00014279" w:rsidP="005455E1">
      <w:pPr>
        <w:autoSpaceDE w:val="0"/>
        <w:autoSpaceDN w:val="0"/>
        <w:adjustRightInd w:val="0"/>
        <w:spacing w:after="0" w:line="240" w:lineRule="auto"/>
        <w:contextualSpacing/>
        <w:rPr>
          <w:rFonts w:ascii="Times New Roman" w:hAnsi="Times New Roman"/>
          <w:color w:val="000000"/>
          <w:sz w:val="28"/>
          <w:szCs w:val="28"/>
          <w:lang w:val="lv-LV" w:eastAsia="lv-LV"/>
        </w:rPr>
      </w:pPr>
    </w:p>
    <w:p w:rsidR="00203D2C" w:rsidRPr="00FE50FE" w:rsidRDefault="009C430B" w:rsidP="005455E1">
      <w:pPr>
        <w:spacing w:after="0" w:line="240" w:lineRule="auto"/>
        <w:contextualSpacing/>
        <w:jc w:val="both"/>
        <w:rPr>
          <w:rFonts w:ascii="Times New Roman" w:hAnsi="Times New Roman"/>
          <w:sz w:val="20"/>
          <w:szCs w:val="20"/>
          <w:lang w:val="lv-LV"/>
        </w:rPr>
      </w:pPr>
      <w:r>
        <w:rPr>
          <w:rFonts w:ascii="Times New Roman" w:hAnsi="Times New Roman"/>
          <w:sz w:val="20"/>
          <w:szCs w:val="20"/>
          <w:lang w:val="lv-LV"/>
        </w:rPr>
        <w:t>10.05.2013. 8.06</w:t>
      </w:r>
    </w:p>
    <w:p w:rsidR="003C308E" w:rsidRPr="00FE50FE" w:rsidRDefault="00B44972" w:rsidP="005455E1">
      <w:pPr>
        <w:pStyle w:val="Header"/>
        <w:contextualSpacing/>
        <w:rPr>
          <w:rFonts w:ascii="Times New Roman" w:hAnsi="Times New Roman"/>
          <w:sz w:val="20"/>
          <w:szCs w:val="20"/>
          <w:lang w:val="lv-LV"/>
        </w:rPr>
      </w:pPr>
      <w:r>
        <w:rPr>
          <w:rFonts w:ascii="Times New Roman" w:hAnsi="Times New Roman"/>
          <w:sz w:val="20"/>
          <w:szCs w:val="20"/>
          <w:lang w:val="lv-LV"/>
        </w:rPr>
        <w:t>2</w:t>
      </w:r>
      <w:r w:rsidR="002C71E7">
        <w:rPr>
          <w:rFonts w:ascii="Times New Roman" w:hAnsi="Times New Roman"/>
          <w:sz w:val="20"/>
          <w:szCs w:val="20"/>
          <w:lang w:val="lv-LV"/>
        </w:rPr>
        <w:t xml:space="preserve"> </w:t>
      </w:r>
      <w:r w:rsidR="009C430B">
        <w:rPr>
          <w:rFonts w:ascii="Times New Roman" w:hAnsi="Times New Roman"/>
          <w:sz w:val="20"/>
          <w:szCs w:val="20"/>
          <w:lang w:val="lv-LV"/>
        </w:rPr>
        <w:t>621</w:t>
      </w:r>
    </w:p>
    <w:p w:rsidR="00203D2C" w:rsidRPr="00054AB7" w:rsidRDefault="00E2459C" w:rsidP="005455E1">
      <w:pPr>
        <w:spacing w:after="0" w:line="240" w:lineRule="auto"/>
        <w:contextualSpacing/>
        <w:jc w:val="both"/>
        <w:rPr>
          <w:rFonts w:ascii="Times New Roman" w:hAnsi="Times New Roman"/>
          <w:sz w:val="20"/>
          <w:szCs w:val="20"/>
          <w:lang w:val="lv-LV"/>
        </w:rPr>
      </w:pPr>
      <w:r>
        <w:rPr>
          <w:rFonts w:ascii="Times New Roman" w:hAnsi="Times New Roman"/>
          <w:sz w:val="20"/>
          <w:szCs w:val="20"/>
          <w:lang w:val="lv-LV"/>
        </w:rPr>
        <w:t>A</w:t>
      </w:r>
      <w:r w:rsidR="00203D2C" w:rsidRPr="00054AB7">
        <w:rPr>
          <w:rFonts w:ascii="Times New Roman" w:hAnsi="Times New Roman"/>
          <w:sz w:val="20"/>
          <w:szCs w:val="20"/>
          <w:lang w:val="lv-LV"/>
        </w:rPr>
        <w:t>.</w:t>
      </w:r>
      <w:r>
        <w:rPr>
          <w:rFonts w:ascii="Times New Roman" w:hAnsi="Times New Roman"/>
          <w:sz w:val="20"/>
          <w:szCs w:val="20"/>
          <w:lang w:val="lv-LV"/>
        </w:rPr>
        <w:t>Kučinska</w:t>
      </w:r>
    </w:p>
    <w:p w:rsidR="00203D2C" w:rsidRPr="00FE7474" w:rsidRDefault="00203D2C" w:rsidP="005455E1">
      <w:pPr>
        <w:spacing w:after="0" w:line="240" w:lineRule="auto"/>
        <w:contextualSpacing/>
        <w:jc w:val="both"/>
        <w:rPr>
          <w:rFonts w:ascii="Times New Roman" w:hAnsi="Times New Roman"/>
          <w:sz w:val="20"/>
          <w:szCs w:val="20"/>
          <w:lang w:val="lv-LV"/>
        </w:rPr>
      </w:pPr>
      <w:r w:rsidRPr="00054AB7">
        <w:rPr>
          <w:rFonts w:ascii="Times New Roman" w:hAnsi="Times New Roman"/>
          <w:sz w:val="20"/>
          <w:szCs w:val="20"/>
          <w:lang w:val="lv-LV"/>
        </w:rPr>
        <w:t xml:space="preserve">67047905, </w:t>
      </w:r>
      <w:r w:rsidR="00E2459C">
        <w:rPr>
          <w:rFonts w:ascii="Times New Roman" w:hAnsi="Times New Roman"/>
          <w:sz w:val="20"/>
          <w:szCs w:val="20"/>
          <w:lang w:val="lv-LV"/>
        </w:rPr>
        <w:t>alina</w:t>
      </w:r>
      <w:r w:rsidRPr="00054AB7">
        <w:rPr>
          <w:rFonts w:ascii="Times New Roman" w:hAnsi="Times New Roman"/>
          <w:sz w:val="20"/>
          <w:szCs w:val="20"/>
          <w:lang w:val="lv-LV"/>
        </w:rPr>
        <w:t>.</w:t>
      </w:r>
      <w:r w:rsidR="00E2459C">
        <w:rPr>
          <w:rFonts w:ascii="Times New Roman" w:hAnsi="Times New Roman"/>
          <w:sz w:val="20"/>
          <w:szCs w:val="20"/>
          <w:lang w:val="lv-LV"/>
        </w:rPr>
        <w:t>kucinska</w:t>
      </w:r>
      <w:r w:rsidRPr="00054AB7">
        <w:rPr>
          <w:rFonts w:ascii="Times New Roman" w:hAnsi="Times New Roman"/>
          <w:sz w:val="20"/>
          <w:szCs w:val="20"/>
          <w:lang w:val="lv-LV"/>
        </w:rPr>
        <w:t>@izm.gov.lv</w:t>
      </w:r>
    </w:p>
    <w:sectPr w:rsidR="00203D2C" w:rsidRPr="00FE7474" w:rsidSect="00940D59">
      <w:headerReference w:type="default" r:id="rId7"/>
      <w:footerReference w:type="default" r:id="rId8"/>
      <w:footerReference w:type="first" r:id="rId9"/>
      <w:pgSz w:w="12240" w:h="15840"/>
      <w:pgMar w:top="1134" w:right="1134" w:bottom="1361" w:left="1701" w:header="709" w:footer="6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BFE" w:rsidRDefault="007D2BFE" w:rsidP="00C74E35">
      <w:pPr>
        <w:spacing w:after="0" w:line="240" w:lineRule="auto"/>
      </w:pPr>
      <w:r>
        <w:separator/>
      </w:r>
    </w:p>
  </w:endnote>
  <w:endnote w:type="continuationSeparator" w:id="0">
    <w:p w:rsidR="007D2BFE" w:rsidRDefault="007D2BFE" w:rsidP="00C74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7" w:usb1="00000000" w:usb2="00000000" w:usb3="00000000" w:csb0="00000083"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F3" w:rsidRPr="00C74E35" w:rsidRDefault="00825DF3" w:rsidP="00FB0455">
    <w:pPr>
      <w:spacing w:after="0" w:line="240" w:lineRule="auto"/>
      <w:jc w:val="both"/>
      <w:rPr>
        <w:rFonts w:ascii="Times New Roman" w:hAnsi="Times New Roman"/>
        <w:szCs w:val="20"/>
        <w:lang w:val="lv-LV"/>
      </w:rPr>
    </w:pPr>
    <w:bookmarkStart w:id="6" w:name="OLE_LINK1"/>
    <w:bookmarkStart w:id="7" w:name="OLE_LINK2"/>
    <w:bookmarkStart w:id="8" w:name="OLE_LINK3"/>
    <w:r w:rsidRPr="00C74E35">
      <w:rPr>
        <w:rFonts w:ascii="Times New Roman" w:hAnsi="Times New Roman"/>
        <w:szCs w:val="20"/>
        <w:lang w:val="lv-LV"/>
      </w:rPr>
      <w:t>IZMzino_</w:t>
    </w:r>
    <w:r>
      <w:rPr>
        <w:rFonts w:ascii="Times New Roman" w:hAnsi="Times New Roman"/>
        <w:szCs w:val="20"/>
        <w:lang w:val="lv-LV"/>
      </w:rPr>
      <w:t>100513</w:t>
    </w:r>
    <w:r w:rsidRPr="00C74E35">
      <w:rPr>
        <w:rFonts w:ascii="Times New Roman" w:hAnsi="Times New Roman"/>
        <w:szCs w:val="20"/>
        <w:lang w:val="lv-LV"/>
      </w:rPr>
      <w:t>_</w:t>
    </w:r>
    <w:r>
      <w:rPr>
        <w:rFonts w:ascii="Times New Roman" w:hAnsi="Times New Roman"/>
        <w:szCs w:val="20"/>
        <w:lang w:val="lv-LV"/>
      </w:rPr>
      <w:t>IJKMP</w:t>
    </w:r>
    <w:r w:rsidRPr="00C74E35">
      <w:rPr>
        <w:rFonts w:ascii="Times New Roman" w:hAnsi="Times New Roman"/>
        <w:szCs w:val="20"/>
        <w:lang w:val="lv-LV"/>
      </w:rPr>
      <w:t xml:space="preserve">; Informatīvais ziņojums </w:t>
    </w:r>
    <w:r>
      <w:rPr>
        <w:rFonts w:ascii="Times New Roman" w:hAnsi="Times New Roman"/>
        <w:szCs w:val="20"/>
        <w:lang w:val="lv-LV"/>
      </w:rPr>
      <w:t>„P</w:t>
    </w:r>
    <w:r w:rsidRPr="00C74E35">
      <w:rPr>
        <w:rFonts w:ascii="Times New Roman" w:hAnsi="Times New Roman"/>
        <w:szCs w:val="20"/>
        <w:lang w:val="lv-LV"/>
      </w:rPr>
      <w:t xml:space="preserve">ar </w:t>
    </w:r>
    <w:r>
      <w:rPr>
        <w:rFonts w:ascii="Times New Roman" w:hAnsi="Times New Roman"/>
        <w:szCs w:val="20"/>
        <w:lang w:val="lv-LV"/>
      </w:rPr>
      <w:t>2013</w:t>
    </w:r>
    <w:r w:rsidRPr="00C74E35">
      <w:rPr>
        <w:rFonts w:ascii="Times New Roman" w:hAnsi="Times New Roman"/>
        <w:szCs w:val="20"/>
        <w:lang w:val="lv-LV"/>
      </w:rPr>
      <w:t xml:space="preserve">.gada </w:t>
    </w:r>
    <w:r>
      <w:rPr>
        <w:rFonts w:ascii="Times New Roman" w:hAnsi="Times New Roman"/>
        <w:szCs w:val="20"/>
        <w:lang w:val="lv-LV"/>
      </w:rPr>
      <w:t>16.-17.maijā</w:t>
    </w:r>
    <w:r w:rsidRPr="00C74E35">
      <w:rPr>
        <w:rFonts w:ascii="Times New Roman" w:hAnsi="Times New Roman"/>
        <w:szCs w:val="20"/>
        <w:lang w:val="lv-LV"/>
      </w:rPr>
      <w:t xml:space="preserve"> </w:t>
    </w:r>
    <w:r>
      <w:rPr>
        <w:rFonts w:ascii="Times New Roman" w:hAnsi="Times New Roman"/>
        <w:szCs w:val="20"/>
        <w:lang w:val="lv-LV"/>
      </w:rPr>
      <w:t>Briselē, Beļģijā</w:t>
    </w:r>
    <w:r w:rsidRPr="00C74E35">
      <w:rPr>
        <w:rFonts w:ascii="Times New Roman" w:hAnsi="Times New Roman"/>
        <w:szCs w:val="20"/>
        <w:lang w:val="lv-LV"/>
      </w:rPr>
      <w:t xml:space="preserve">, </w:t>
    </w:r>
    <w:r>
      <w:rPr>
        <w:rFonts w:ascii="Times New Roman" w:hAnsi="Times New Roman"/>
        <w:szCs w:val="20"/>
        <w:lang w:val="lv-LV"/>
      </w:rPr>
      <w:t>Eiropas Savienības I</w:t>
    </w:r>
    <w:r w:rsidRPr="00C74E35">
      <w:rPr>
        <w:rFonts w:ascii="Times New Roman" w:hAnsi="Times New Roman"/>
        <w:szCs w:val="20"/>
        <w:lang w:val="lv-LV"/>
      </w:rPr>
      <w:t>zglītības</w:t>
    </w:r>
    <w:r>
      <w:rPr>
        <w:rFonts w:ascii="Times New Roman" w:hAnsi="Times New Roman"/>
        <w:szCs w:val="20"/>
        <w:lang w:val="lv-LV"/>
      </w:rPr>
      <w:t xml:space="preserve">, jaunatnes, kultūras un sporta </w:t>
    </w:r>
    <w:r w:rsidRPr="00C74E35">
      <w:rPr>
        <w:rFonts w:ascii="Times New Roman" w:hAnsi="Times New Roman"/>
        <w:szCs w:val="20"/>
        <w:lang w:val="lv-LV"/>
      </w:rPr>
      <w:t xml:space="preserve">ministru </w:t>
    </w:r>
    <w:r>
      <w:rPr>
        <w:rFonts w:ascii="Times New Roman" w:hAnsi="Times New Roman"/>
        <w:szCs w:val="20"/>
        <w:lang w:val="lv-LV"/>
      </w:rPr>
      <w:t>padomē</w:t>
    </w:r>
    <w:r w:rsidRPr="00C74E35">
      <w:rPr>
        <w:rFonts w:ascii="Times New Roman" w:hAnsi="Times New Roman"/>
        <w:szCs w:val="20"/>
        <w:lang w:val="lv-LV"/>
      </w:rPr>
      <w:t xml:space="preserve"> izskatāmajiem </w:t>
    </w:r>
    <w:r>
      <w:rPr>
        <w:rFonts w:ascii="Times New Roman" w:hAnsi="Times New Roman"/>
        <w:szCs w:val="20"/>
        <w:lang w:val="lv-LV"/>
      </w:rPr>
      <w:t xml:space="preserve">Izglītības un zinātnes ministrijas kompetencē esošajiem </w:t>
    </w:r>
    <w:r w:rsidRPr="00C74E35">
      <w:rPr>
        <w:rFonts w:ascii="Times New Roman" w:hAnsi="Times New Roman"/>
        <w:szCs w:val="20"/>
        <w:lang w:val="lv-LV"/>
      </w:rPr>
      <w:t>jautājumiem</w:t>
    </w:r>
    <w:r>
      <w:rPr>
        <w:rFonts w:ascii="Times New Roman" w:hAnsi="Times New Roman"/>
        <w:szCs w:val="20"/>
        <w:lang w:val="lv-LV"/>
      </w:rPr>
      <w:t>”</w:t>
    </w:r>
    <w:bookmarkEnd w:id="6"/>
    <w:bookmarkEnd w:id="7"/>
    <w:bookmarkEnd w:id="8"/>
  </w:p>
  <w:p w:rsidR="00825DF3" w:rsidRPr="00FB0455" w:rsidRDefault="00825DF3" w:rsidP="00FB04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F3" w:rsidRPr="00C74E35" w:rsidRDefault="00825DF3" w:rsidP="00327A35">
    <w:pPr>
      <w:spacing w:after="0" w:line="240" w:lineRule="auto"/>
      <w:jc w:val="both"/>
      <w:rPr>
        <w:rFonts w:ascii="Times New Roman" w:hAnsi="Times New Roman"/>
        <w:szCs w:val="20"/>
        <w:lang w:val="lv-LV"/>
      </w:rPr>
    </w:pPr>
    <w:r w:rsidRPr="00C74E35">
      <w:rPr>
        <w:rFonts w:ascii="Times New Roman" w:hAnsi="Times New Roman"/>
        <w:szCs w:val="20"/>
        <w:lang w:val="lv-LV"/>
      </w:rPr>
      <w:t>IZMzino_</w:t>
    </w:r>
    <w:r>
      <w:rPr>
        <w:rFonts w:ascii="Times New Roman" w:hAnsi="Times New Roman"/>
        <w:szCs w:val="20"/>
        <w:lang w:val="lv-LV"/>
      </w:rPr>
      <w:t>100513</w:t>
    </w:r>
    <w:r w:rsidRPr="00C74E35">
      <w:rPr>
        <w:rFonts w:ascii="Times New Roman" w:hAnsi="Times New Roman"/>
        <w:szCs w:val="20"/>
        <w:lang w:val="lv-LV"/>
      </w:rPr>
      <w:t>_</w:t>
    </w:r>
    <w:r>
      <w:rPr>
        <w:rFonts w:ascii="Times New Roman" w:hAnsi="Times New Roman"/>
        <w:szCs w:val="20"/>
        <w:lang w:val="lv-LV"/>
      </w:rPr>
      <w:t>IJKMP</w:t>
    </w:r>
    <w:r w:rsidRPr="00C74E35">
      <w:rPr>
        <w:rFonts w:ascii="Times New Roman" w:hAnsi="Times New Roman"/>
        <w:szCs w:val="20"/>
        <w:lang w:val="lv-LV"/>
      </w:rPr>
      <w:t xml:space="preserve">; Informatīvais ziņojums </w:t>
    </w:r>
    <w:r>
      <w:rPr>
        <w:rFonts w:ascii="Times New Roman" w:hAnsi="Times New Roman"/>
        <w:szCs w:val="20"/>
        <w:lang w:val="lv-LV"/>
      </w:rPr>
      <w:t>„P</w:t>
    </w:r>
    <w:r w:rsidRPr="00C74E35">
      <w:rPr>
        <w:rFonts w:ascii="Times New Roman" w:hAnsi="Times New Roman"/>
        <w:szCs w:val="20"/>
        <w:lang w:val="lv-LV"/>
      </w:rPr>
      <w:t xml:space="preserve">ar </w:t>
    </w:r>
    <w:r>
      <w:rPr>
        <w:rFonts w:ascii="Times New Roman" w:hAnsi="Times New Roman"/>
        <w:szCs w:val="20"/>
        <w:lang w:val="lv-LV"/>
      </w:rPr>
      <w:t>2013</w:t>
    </w:r>
    <w:r w:rsidRPr="00C74E35">
      <w:rPr>
        <w:rFonts w:ascii="Times New Roman" w:hAnsi="Times New Roman"/>
        <w:szCs w:val="20"/>
        <w:lang w:val="lv-LV"/>
      </w:rPr>
      <w:t xml:space="preserve">.gada </w:t>
    </w:r>
    <w:r>
      <w:rPr>
        <w:rFonts w:ascii="Times New Roman" w:hAnsi="Times New Roman"/>
        <w:szCs w:val="20"/>
        <w:lang w:val="lv-LV"/>
      </w:rPr>
      <w:t>16.-17.maijā</w:t>
    </w:r>
    <w:r w:rsidRPr="00C74E35">
      <w:rPr>
        <w:rFonts w:ascii="Times New Roman" w:hAnsi="Times New Roman"/>
        <w:szCs w:val="20"/>
        <w:lang w:val="lv-LV"/>
      </w:rPr>
      <w:t xml:space="preserve"> </w:t>
    </w:r>
    <w:r>
      <w:rPr>
        <w:rFonts w:ascii="Times New Roman" w:hAnsi="Times New Roman"/>
        <w:szCs w:val="20"/>
        <w:lang w:val="lv-LV"/>
      </w:rPr>
      <w:t>Briselē, Beļģijā</w:t>
    </w:r>
    <w:r w:rsidRPr="00C74E35">
      <w:rPr>
        <w:rFonts w:ascii="Times New Roman" w:hAnsi="Times New Roman"/>
        <w:szCs w:val="20"/>
        <w:lang w:val="lv-LV"/>
      </w:rPr>
      <w:t xml:space="preserve">, </w:t>
    </w:r>
    <w:r>
      <w:rPr>
        <w:rFonts w:ascii="Times New Roman" w:hAnsi="Times New Roman"/>
        <w:szCs w:val="20"/>
        <w:lang w:val="lv-LV"/>
      </w:rPr>
      <w:t>Eiropas Savienības I</w:t>
    </w:r>
    <w:r w:rsidRPr="00C74E35">
      <w:rPr>
        <w:rFonts w:ascii="Times New Roman" w:hAnsi="Times New Roman"/>
        <w:szCs w:val="20"/>
        <w:lang w:val="lv-LV"/>
      </w:rPr>
      <w:t>zglītības</w:t>
    </w:r>
    <w:r>
      <w:rPr>
        <w:rFonts w:ascii="Times New Roman" w:hAnsi="Times New Roman"/>
        <w:szCs w:val="20"/>
        <w:lang w:val="lv-LV"/>
      </w:rPr>
      <w:t xml:space="preserve">, jaunatnes, kultūras un sporta </w:t>
    </w:r>
    <w:r w:rsidRPr="00C74E35">
      <w:rPr>
        <w:rFonts w:ascii="Times New Roman" w:hAnsi="Times New Roman"/>
        <w:szCs w:val="20"/>
        <w:lang w:val="lv-LV"/>
      </w:rPr>
      <w:t xml:space="preserve">ministru </w:t>
    </w:r>
    <w:r>
      <w:rPr>
        <w:rFonts w:ascii="Times New Roman" w:hAnsi="Times New Roman"/>
        <w:szCs w:val="20"/>
        <w:lang w:val="lv-LV"/>
      </w:rPr>
      <w:t>padomē</w:t>
    </w:r>
    <w:r w:rsidRPr="00C74E35">
      <w:rPr>
        <w:rFonts w:ascii="Times New Roman" w:hAnsi="Times New Roman"/>
        <w:szCs w:val="20"/>
        <w:lang w:val="lv-LV"/>
      </w:rPr>
      <w:t xml:space="preserve"> izskatāmajiem </w:t>
    </w:r>
    <w:r>
      <w:rPr>
        <w:rFonts w:ascii="Times New Roman" w:hAnsi="Times New Roman"/>
        <w:szCs w:val="20"/>
        <w:lang w:val="lv-LV"/>
      </w:rPr>
      <w:t xml:space="preserve">Izglītības un zinātnes ministrijas kompetencē esošajiem </w:t>
    </w:r>
    <w:r w:rsidRPr="00C74E35">
      <w:rPr>
        <w:rFonts w:ascii="Times New Roman" w:hAnsi="Times New Roman"/>
        <w:szCs w:val="20"/>
        <w:lang w:val="lv-LV"/>
      </w:rPr>
      <w:t>jautājumiem</w:t>
    </w:r>
    <w:r>
      <w:rPr>
        <w:rFonts w:ascii="Times New Roman" w:hAnsi="Times New Roman"/>
        <w:szCs w:val="20"/>
        <w:lang w:val="lv-LV"/>
      </w:rPr>
      <w:t>”</w:t>
    </w:r>
  </w:p>
  <w:p w:rsidR="00825DF3" w:rsidRPr="00327A35" w:rsidRDefault="00825DF3" w:rsidP="00327A35">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BFE" w:rsidRDefault="007D2BFE" w:rsidP="00C74E35">
      <w:pPr>
        <w:spacing w:after="0" w:line="240" w:lineRule="auto"/>
      </w:pPr>
      <w:r>
        <w:separator/>
      </w:r>
    </w:p>
  </w:footnote>
  <w:footnote w:type="continuationSeparator" w:id="0">
    <w:p w:rsidR="007D2BFE" w:rsidRDefault="007D2BFE" w:rsidP="00C74E35">
      <w:pPr>
        <w:spacing w:after="0" w:line="240" w:lineRule="auto"/>
      </w:pPr>
      <w:r>
        <w:continuationSeparator/>
      </w:r>
    </w:p>
  </w:footnote>
  <w:footnote w:id="1">
    <w:p w:rsidR="00825DF3" w:rsidRPr="00FD5134" w:rsidRDefault="00825DF3" w:rsidP="002C71E7">
      <w:pPr>
        <w:pStyle w:val="FootnoteText"/>
      </w:pPr>
      <w:r w:rsidRPr="00FD5134">
        <w:rPr>
          <w:rStyle w:val="FootnoteReference"/>
        </w:rPr>
        <w:footnoteRef/>
      </w:r>
      <w:r w:rsidRPr="00FD5134">
        <w:rPr>
          <w:lang w:val="fr-BE"/>
        </w:rPr>
        <w:tab/>
      </w:r>
      <w:r w:rsidRPr="00FD5134">
        <w:rPr>
          <w:noProof/>
        </w:rPr>
        <w:t>14871/12 ADD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F3" w:rsidRPr="00940D59" w:rsidRDefault="003C4731">
    <w:pPr>
      <w:pStyle w:val="Header"/>
      <w:jc w:val="center"/>
      <w:rPr>
        <w:rFonts w:ascii="Times New Roman" w:hAnsi="Times New Roman"/>
      </w:rPr>
    </w:pPr>
    <w:r w:rsidRPr="00940D59">
      <w:rPr>
        <w:rFonts w:ascii="Times New Roman" w:hAnsi="Times New Roman"/>
      </w:rPr>
      <w:fldChar w:fldCharType="begin"/>
    </w:r>
    <w:r w:rsidR="00825DF3" w:rsidRPr="00940D59">
      <w:rPr>
        <w:rFonts w:ascii="Times New Roman" w:hAnsi="Times New Roman"/>
      </w:rPr>
      <w:instrText xml:space="preserve"> PAGE   \* MERGEFORMAT </w:instrText>
    </w:r>
    <w:r w:rsidRPr="00940D59">
      <w:rPr>
        <w:rFonts w:ascii="Times New Roman" w:hAnsi="Times New Roman"/>
      </w:rPr>
      <w:fldChar w:fldCharType="separate"/>
    </w:r>
    <w:r w:rsidR="009C430B">
      <w:rPr>
        <w:rFonts w:ascii="Times New Roman" w:hAnsi="Times New Roman"/>
        <w:noProof/>
      </w:rPr>
      <w:t>9</w:t>
    </w:r>
    <w:r w:rsidRPr="00940D59">
      <w:rPr>
        <w:rFonts w:ascii="Times New Roman" w:hAnsi="Times New Roman"/>
      </w:rPr>
      <w:fldChar w:fldCharType="end"/>
    </w:r>
  </w:p>
  <w:p w:rsidR="00825DF3" w:rsidRDefault="00825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74F2D0"/>
    <w:lvl w:ilvl="0">
      <w:start w:val="1"/>
      <w:numFmt w:val="bullet"/>
      <w:lvlText w:val=""/>
      <w:lvlJc w:val="left"/>
      <w:pPr>
        <w:tabs>
          <w:tab w:val="num" w:pos="360"/>
        </w:tabs>
        <w:ind w:left="360" w:hanging="360"/>
      </w:pPr>
      <w:rPr>
        <w:rFonts w:ascii="Symbol" w:hAnsi="Symbol" w:cs="Symbol" w:hint="default"/>
      </w:rPr>
    </w:lvl>
  </w:abstractNum>
  <w:abstractNum w:abstractNumId="1">
    <w:nsid w:val="09CB7374"/>
    <w:multiLevelType w:val="hybridMultilevel"/>
    <w:tmpl w:val="DFFA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C6487"/>
    <w:multiLevelType w:val="hybridMultilevel"/>
    <w:tmpl w:val="DA4ACC1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F15D84"/>
    <w:multiLevelType w:val="hybridMultilevel"/>
    <w:tmpl w:val="30E2C272"/>
    <w:lvl w:ilvl="0" w:tplc="28800C40">
      <w:start w:val="2012"/>
      <w:numFmt w:val="bullet"/>
      <w:lvlText w:val="-"/>
      <w:lvlJc w:val="left"/>
      <w:pPr>
        <w:ind w:left="420" w:hanging="360"/>
      </w:pPr>
      <w:rPr>
        <w:rFonts w:ascii="TimesNewRoman" w:eastAsia="Times New Roman" w:hAnsi="TimesNewRoman" w:cs="TimesNew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122D785A"/>
    <w:multiLevelType w:val="hybridMultilevel"/>
    <w:tmpl w:val="C6AEA4D6"/>
    <w:lvl w:ilvl="0" w:tplc="3DF4188E">
      <w:start w:val="8"/>
      <w:numFmt w:val="bullet"/>
      <w:lvlText w:val="-"/>
      <w:lvlJc w:val="left"/>
      <w:pPr>
        <w:tabs>
          <w:tab w:val="num" w:pos="567"/>
        </w:tabs>
        <w:ind w:left="567"/>
      </w:pPr>
      <w:rPr>
        <w:rFonts w:ascii="Times New Roman" w:hAnsi="Times New Roman" w:cs="Times New Roman"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cs="Wingdings" w:hint="default"/>
      </w:rPr>
    </w:lvl>
    <w:lvl w:ilvl="3" w:tplc="080C0001" w:tentative="1">
      <w:start w:val="1"/>
      <w:numFmt w:val="bullet"/>
      <w:lvlText w:val=""/>
      <w:lvlJc w:val="left"/>
      <w:pPr>
        <w:tabs>
          <w:tab w:val="num" w:pos="2880"/>
        </w:tabs>
        <w:ind w:left="2880" w:hanging="360"/>
      </w:pPr>
      <w:rPr>
        <w:rFonts w:ascii="Symbol" w:hAnsi="Symbol" w:cs="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cs="Wingdings" w:hint="default"/>
      </w:rPr>
    </w:lvl>
    <w:lvl w:ilvl="6" w:tplc="080C0001" w:tentative="1">
      <w:start w:val="1"/>
      <w:numFmt w:val="bullet"/>
      <w:lvlText w:val=""/>
      <w:lvlJc w:val="left"/>
      <w:pPr>
        <w:tabs>
          <w:tab w:val="num" w:pos="5040"/>
        </w:tabs>
        <w:ind w:left="5040" w:hanging="360"/>
      </w:pPr>
      <w:rPr>
        <w:rFonts w:ascii="Symbol" w:hAnsi="Symbol" w:cs="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5E51527"/>
    <w:multiLevelType w:val="hybridMultilevel"/>
    <w:tmpl w:val="7D8AA7FA"/>
    <w:lvl w:ilvl="0" w:tplc="69F8B3B6">
      <w:start w:val="1"/>
      <w:numFmt w:val="bullet"/>
      <w:lvlText w:val="-"/>
      <w:lvlJc w:val="left"/>
      <w:pPr>
        <w:tabs>
          <w:tab w:val="num" w:pos="2007"/>
        </w:tabs>
        <w:ind w:left="2007" w:hanging="360"/>
      </w:pPr>
      <w:rPr>
        <w:rFonts w:ascii="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AA85622"/>
    <w:multiLevelType w:val="hybridMultilevel"/>
    <w:tmpl w:val="D57EBC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7A1E01"/>
    <w:multiLevelType w:val="hybridMultilevel"/>
    <w:tmpl w:val="A1DACA64"/>
    <w:lvl w:ilvl="0" w:tplc="E3C24DF0">
      <w:start w:val="1"/>
      <w:numFmt w:val="bullet"/>
      <w:lvlText w:val=""/>
      <w:lvlJc w:val="left"/>
      <w:pPr>
        <w:tabs>
          <w:tab w:val="num" w:pos="1211"/>
        </w:tabs>
        <w:ind w:left="1211" w:hanging="360"/>
      </w:pPr>
      <w:rPr>
        <w:rFonts w:ascii="Symbol" w:hAnsi="Symbol" w:hint="default"/>
      </w:rPr>
    </w:lvl>
    <w:lvl w:ilvl="1" w:tplc="04130001">
      <w:start w:val="1"/>
      <w:numFmt w:val="bullet"/>
      <w:lvlText w:val=""/>
      <w:lvlJc w:val="left"/>
      <w:pPr>
        <w:tabs>
          <w:tab w:val="num" w:pos="1647"/>
        </w:tabs>
        <w:ind w:left="1647" w:hanging="360"/>
      </w:pPr>
      <w:rPr>
        <w:rFonts w:ascii="Symbol" w:hAnsi="Symbol" w:hint="default"/>
      </w:rPr>
    </w:lvl>
    <w:lvl w:ilvl="2" w:tplc="080C0005">
      <w:start w:val="1"/>
      <w:numFmt w:val="bullet"/>
      <w:lvlText w:val=""/>
      <w:lvlJc w:val="left"/>
      <w:pPr>
        <w:tabs>
          <w:tab w:val="num" w:pos="2367"/>
        </w:tabs>
        <w:ind w:left="2367" w:hanging="360"/>
      </w:pPr>
      <w:rPr>
        <w:rFonts w:ascii="Wingdings" w:hAnsi="Wingdings" w:hint="default"/>
      </w:rPr>
    </w:lvl>
    <w:lvl w:ilvl="3" w:tplc="080C0001">
      <w:start w:val="1"/>
      <w:numFmt w:val="bullet"/>
      <w:lvlText w:val=""/>
      <w:lvlJc w:val="left"/>
      <w:pPr>
        <w:tabs>
          <w:tab w:val="num" w:pos="3087"/>
        </w:tabs>
        <w:ind w:left="3087" w:hanging="360"/>
      </w:pPr>
      <w:rPr>
        <w:rFonts w:ascii="Symbol" w:hAnsi="Symbol" w:hint="default"/>
      </w:rPr>
    </w:lvl>
    <w:lvl w:ilvl="4" w:tplc="080C0003">
      <w:start w:val="1"/>
      <w:numFmt w:val="bullet"/>
      <w:lvlText w:val="o"/>
      <w:lvlJc w:val="left"/>
      <w:pPr>
        <w:tabs>
          <w:tab w:val="num" w:pos="3807"/>
        </w:tabs>
        <w:ind w:left="3807" w:hanging="360"/>
      </w:pPr>
      <w:rPr>
        <w:rFonts w:ascii="Courier New" w:hAnsi="Courier New" w:hint="default"/>
      </w:rPr>
    </w:lvl>
    <w:lvl w:ilvl="5" w:tplc="080C0005">
      <w:start w:val="1"/>
      <w:numFmt w:val="bullet"/>
      <w:lvlText w:val=""/>
      <w:lvlJc w:val="left"/>
      <w:pPr>
        <w:tabs>
          <w:tab w:val="num" w:pos="4527"/>
        </w:tabs>
        <w:ind w:left="4527" w:hanging="360"/>
      </w:pPr>
      <w:rPr>
        <w:rFonts w:ascii="Wingdings" w:hAnsi="Wingdings" w:hint="default"/>
      </w:rPr>
    </w:lvl>
    <w:lvl w:ilvl="6" w:tplc="080C0001">
      <w:start w:val="1"/>
      <w:numFmt w:val="bullet"/>
      <w:lvlText w:val=""/>
      <w:lvlJc w:val="left"/>
      <w:pPr>
        <w:tabs>
          <w:tab w:val="num" w:pos="5247"/>
        </w:tabs>
        <w:ind w:left="5247" w:hanging="360"/>
      </w:pPr>
      <w:rPr>
        <w:rFonts w:ascii="Symbol" w:hAnsi="Symbol" w:hint="default"/>
      </w:rPr>
    </w:lvl>
    <w:lvl w:ilvl="7" w:tplc="080C0003">
      <w:start w:val="1"/>
      <w:numFmt w:val="bullet"/>
      <w:lvlText w:val="o"/>
      <w:lvlJc w:val="left"/>
      <w:pPr>
        <w:tabs>
          <w:tab w:val="num" w:pos="5967"/>
        </w:tabs>
        <w:ind w:left="5967" w:hanging="360"/>
      </w:pPr>
      <w:rPr>
        <w:rFonts w:ascii="Courier New" w:hAnsi="Courier New" w:hint="default"/>
      </w:rPr>
    </w:lvl>
    <w:lvl w:ilvl="8" w:tplc="080C0005">
      <w:start w:val="1"/>
      <w:numFmt w:val="bullet"/>
      <w:lvlText w:val=""/>
      <w:lvlJc w:val="left"/>
      <w:pPr>
        <w:tabs>
          <w:tab w:val="num" w:pos="6687"/>
        </w:tabs>
        <w:ind w:left="6687" w:hanging="360"/>
      </w:pPr>
      <w:rPr>
        <w:rFonts w:ascii="Wingdings" w:hAnsi="Wingdings" w:hint="default"/>
      </w:rPr>
    </w:lvl>
  </w:abstractNum>
  <w:abstractNum w:abstractNumId="8">
    <w:nsid w:val="26582DCF"/>
    <w:multiLevelType w:val="hybridMultilevel"/>
    <w:tmpl w:val="55CAA028"/>
    <w:lvl w:ilvl="0" w:tplc="ED742A48">
      <w:start w:val="200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202009"/>
    <w:multiLevelType w:val="hybridMultilevel"/>
    <w:tmpl w:val="F1C6039A"/>
    <w:lvl w:ilvl="0" w:tplc="3A9CE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05F6A70"/>
    <w:multiLevelType w:val="hybridMultilevel"/>
    <w:tmpl w:val="48B0E33C"/>
    <w:lvl w:ilvl="0" w:tplc="0426000D">
      <w:start w:val="1"/>
      <w:numFmt w:val="bullet"/>
      <w:lvlText w:val=""/>
      <w:lvlJc w:val="left"/>
      <w:pPr>
        <w:ind w:left="1463" w:hanging="360"/>
      </w:pPr>
      <w:rPr>
        <w:rFonts w:ascii="Wingdings" w:hAnsi="Wingdings" w:cs="Wingdings" w:hint="default"/>
      </w:rPr>
    </w:lvl>
    <w:lvl w:ilvl="1" w:tplc="04260003">
      <w:start w:val="1"/>
      <w:numFmt w:val="bullet"/>
      <w:lvlText w:val="o"/>
      <w:lvlJc w:val="left"/>
      <w:pPr>
        <w:ind w:left="2183" w:hanging="360"/>
      </w:pPr>
      <w:rPr>
        <w:rFonts w:ascii="Courier New" w:hAnsi="Courier New" w:cs="Courier New" w:hint="default"/>
      </w:rPr>
    </w:lvl>
    <w:lvl w:ilvl="2" w:tplc="04260005">
      <w:start w:val="1"/>
      <w:numFmt w:val="bullet"/>
      <w:lvlText w:val=""/>
      <w:lvlJc w:val="left"/>
      <w:pPr>
        <w:ind w:left="2903" w:hanging="360"/>
      </w:pPr>
      <w:rPr>
        <w:rFonts w:ascii="Wingdings" w:hAnsi="Wingdings" w:cs="Wingdings" w:hint="default"/>
      </w:rPr>
    </w:lvl>
    <w:lvl w:ilvl="3" w:tplc="04260001">
      <w:start w:val="1"/>
      <w:numFmt w:val="bullet"/>
      <w:lvlText w:val=""/>
      <w:lvlJc w:val="left"/>
      <w:pPr>
        <w:ind w:left="3623" w:hanging="360"/>
      </w:pPr>
      <w:rPr>
        <w:rFonts w:ascii="Symbol" w:hAnsi="Symbol" w:cs="Symbol" w:hint="default"/>
      </w:rPr>
    </w:lvl>
    <w:lvl w:ilvl="4" w:tplc="04260003">
      <w:start w:val="1"/>
      <w:numFmt w:val="bullet"/>
      <w:lvlText w:val="o"/>
      <w:lvlJc w:val="left"/>
      <w:pPr>
        <w:ind w:left="4343" w:hanging="360"/>
      </w:pPr>
      <w:rPr>
        <w:rFonts w:ascii="Courier New" w:hAnsi="Courier New" w:cs="Courier New" w:hint="default"/>
      </w:rPr>
    </w:lvl>
    <w:lvl w:ilvl="5" w:tplc="04260005">
      <w:start w:val="1"/>
      <w:numFmt w:val="bullet"/>
      <w:lvlText w:val=""/>
      <w:lvlJc w:val="left"/>
      <w:pPr>
        <w:ind w:left="5063" w:hanging="360"/>
      </w:pPr>
      <w:rPr>
        <w:rFonts w:ascii="Wingdings" w:hAnsi="Wingdings" w:cs="Wingdings" w:hint="default"/>
      </w:rPr>
    </w:lvl>
    <w:lvl w:ilvl="6" w:tplc="04260001">
      <w:start w:val="1"/>
      <w:numFmt w:val="bullet"/>
      <w:lvlText w:val=""/>
      <w:lvlJc w:val="left"/>
      <w:pPr>
        <w:ind w:left="5783" w:hanging="360"/>
      </w:pPr>
      <w:rPr>
        <w:rFonts w:ascii="Symbol" w:hAnsi="Symbol" w:cs="Symbol" w:hint="default"/>
      </w:rPr>
    </w:lvl>
    <w:lvl w:ilvl="7" w:tplc="04260003">
      <w:start w:val="1"/>
      <w:numFmt w:val="bullet"/>
      <w:lvlText w:val="o"/>
      <w:lvlJc w:val="left"/>
      <w:pPr>
        <w:ind w:left="6503" w:hanging="360"/>
      </w:pPr>
      <w:rPr>
        <w:rFonts w:ascii="Courier New" w:hAnsi="Courier New" w:cs="Courier New" w:hint="default"/>
      </w:rPr>
    </w:lvl>
    <w:lvl w:ilvl="8" w:tplc="04260005">
      <w:start w:val="1"/>
      <w:numFmt w:val="bullet"/>
      <w:lvlText w:val=""/>
      <w:lvlJc w:val="left"/>
      <w:pPr>
        <w:ind w:left="7223" w:hanging="360"/>
      </w:pPr>
      <w:rPr>
        <w:rFonts w:ascii="Wingdings" w:hAnsi="Wingdings" w:cs="Wingdings" w:hint="default"/>
      </w:rPr>
    </w:lvl>
  </w:abstractNum>
  <w:abstractNum w:abstractNumId="11">
    <w:nsid w:val="324A087B"/>
    <w:multiLevelType w:val="hybridMultilevel"/>
    <w:tmpl w:val="0FC2D7A6"/>
    <w:lvl w:ilvl="0" w:tplc="ED742A48">
      <w:start w:val="200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3946681"/>
    <w:multiLevelType w:val="hybridMultilevel"/>
    <w:tmpl w:val="52BA1F22"/>
    <w:lvl w:ilvl="0" w:tplc="958CCAF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72F5764"/>
    <w:multiLevelType w:val="singleLevel"/>
    <w:tmpl w:val="F8F468DC"/>
    <w:lvl w:ilvl="0">
      <w:start w:val="1"/>
      <w:numFmt w:val="bullet"/>
      <w:pStyle w:val="ListBullet"/>
      <w:lvlText w:val=""/>
      <w:lvlJc w:val="left"/>
      <w:pPr>
        <w:tabs>
          <w:tab w:val="num" w:pos="283"/>
        </w:tabs>
        <w:ind w:left="283" w:hanging="283"/>
      </w:pPr>
      <w:rPr>
        <w:rFonts w:ascii="Symbol" w:hAnsi="Symbol" w:hint="default"/>
      </w:rPr>
    </w:lvl>
  </w:abstractNum>
  <w:abstractNum w:abstractNumId="14">
    <w:nsid w:val="411A5658"/>
    <w:multiLevelType w:val="hybridMultilevel"/>
    <w:tmpl w:val="61C67AB0"/>
    <w:lvl w:ilvl="0" w:tplc="F304A344">
      <w:start w:val="2006"/>
      <w:numFmt w:val="bullet"/>
      <w:lvlText w:val="-"/>
      <w:lvlJc w:val="left"/>
      <w:pPr>
        <w:tabs>
          <w:tab w:val="num" w:pos="1482"/>
        </w:tabs>
        <w:ind w:left="1482" w:hanging="360"/>
      </w:pPr>
      <w:rPr>
        <w:rFonts w:ascii="Times New Roman" w:eastAsia="Times New Roman" w:hAnsi="Times New Roman" w:cs="Times New Roman" w:hint="default"/>
      </w:rPr>
    </w:lvl>
    <w:lvl w:ilvl="1" w:tplc="04260005">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434E5045"/>
    <w:multiLevelType w:val="hybridMultilevel"/>
    <w:tmpl w:val="626EAE96"/>
    <w:lvl w:ilvl="0" w:tplc="CA887A4E">
      <w:start w:val="670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4C215A9"/>
    <w:multiLevelType w:val="hybridMultilevel"/>
    <w:tmpl w:val="55FAD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103454"/>
    <w:multiLevelType w:val="hybridMultilevel"/>
    <w:tmpl w:val="8B48CB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B5254F7"/>
    <w:multiLevelType w:val="hybridMultilevel"/>
    <w:tmpl w:val="A5B6A384"/>
    <w:lvl w:ilvl="0" w:tplc="080C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cs="Wingdings" w:hint="default"/>
      </w:rPr>
    </w:lvl>
    <w:lvl w:ilvl="3" w:tplc="08090001" w:tentative="1">
      <w:start w:val="1"/>
      <w:numFmt w:val="bullet"/>
      <w:lvlText w:val=""/>
      <w:lvlJc w:val="left"/>
      <w:pPr>
        <w:tabs>
          <w:tab w:val="num" w:pos="2940"/>
        </w:tabs>
        <w:ind w:left="2940" w:hanging="360"/>
      </w:pPr>
      <w:rPr>
        <w:rFonts w:ascii="Symbol" w:hAnsi="Symbol" w:cs="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cs="Wingdings" w:hint="default"/>
      </w:rPr>
    </w:lvl>
    <w:lvl w:ilvl="6" w:tplc="08090001" w:tentative="1">
      <w:start w:val="1"/>
      <w:numFmt w:val="bullet"/>
      <w:lvlText w:val=""/>
      <w:lvlJc w:val="left"/>
      <w:pPr>
        <w:tabs>
          <w:tab w:val="num" w:pos="5100"/>
        </w:tabs>
        <w:ind w:left="5100" w:hanging="360"/>
      </w:pPr>
      <w:rPr>
        <w:rFonts w:ascii="Symbol" w:hAnsi="Symbol" w:cs="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cs="Wingdings" w:hint="default"/>
      </w:rPr>
    </w:lvl>
  </w:abstractNum>
  <w:abstractNum w:abstractNumId="19">
    <w:nsid w:val="4B7B61DF"/>
    <w:multiLevelType w:val="hybridMultilevel"/>
    <w:tmpl w:val="0F90825C"/>
    <w:lvl w:ilvl="0" w:tplc="95DA2FB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4FC74ED0"/>
    <w:multiLevelType w:val="hybridMultilevel"/>
    <w:tmpl w:val="6E48548A"/>
    <w:lvl w:ilvl="0" w:tplc="958CCAF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38D7F3A"/>
    <w:multiLevelType w:val="hybridMultilevel"/>
    <w:tmpl w:val="3DDA2644"/>
    <w:lvl w:ilvl="0" w:tplc="958CCAFC">
      <w:start w:val="1"/>
      <w:numFmt w:val="bullet"/>
      <w:lvlText w:val=""/>
      <w:lvlJc w:val="left"/>
      <w:pPr>
        <w:ind w:left="2160" w:hanging="144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4AB60E8"/>
    <w:multiLevelType w:val="hybridMultilevel"/>
    <w:tmpl w:val="DE70E8E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3">
    <w:nsid w:val="54C849F9"/>
    <w:multiLevelType w:val="hybridMultilevel"/>
    <w:tmpl w:val="487C17D2"/>
    <w:lvl w:ilvl="0" w:tplc="3A1A6306">
      <w:numFmt w:val="bullet"/>
      <w:lvlText w:val="-"/>
      <w:lvlJc w:val="left"/>
      <w:pPr>
        <w:ind w:left="2160" w:hanging="144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551308F2"/>
    <w:multiLevelType w:val="hybridMultilevel"/>
    <w:tmpl w:val="C7580D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F8C3B69"/>
    <w:multiLevelType w:val="multilevel"/>
    <w:tmpl w:val="9B14DAA8"/>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5F906604"/>
    <w:multiLevelType w:val="hybridMultilevel"/>
    <w:tmpl w:val="EFF2A304"/>
    <w:lvl w:ilvl="0" w:tplc="958CCAF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5356181"/>
    <w:multiLevelType w:val="hybridMultilevel"/>
    <w:tmpl w:val="71321F80"/>
    <w:lvl w:ilvl="0" w:tplc="C3DAFD1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B0C6C76"/>
    <w:multiLevelType w:val="hybridMultilevel"/>
    <w:tmpl w:val="65447266"/>
    <w:lvl w:ilvl="0" w:tplc="69F8B3B6">
      <w:start w:val="1"/>
      <w:numFmt w:val="bullet"/>
      <w:lvlText w:val="-"/>
      <w:lvlJc w:val="left"/>
      <w:pPr>
        <w:tabs>
          <w:tab w:val="num" w:pos="2007"/>
        </w:tabs>
        <w:ind w:left="2007" w:hanging="360"/>
      </w:pPr>
      <w:rPr>
        <w:rFonts w:ascii="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6C7C134F"/>
    <w:multiLevelType w:val="hybridMultilevel"/>
    <w:tmpl w:val="C582A204"/>
    <w:lvl w:ilvl="0" w:tplc="3A1A6306">
      <w:numFmt w:val="bullet"/>
      <w:lvlText w:val="-"/>
      <w:lvlJc w:val="left"/>
      <w:pPr>
        <w:ind w:left="2160" w:hanging="144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2D0660A"/>
    <w:multiLevelType w:val="hybridMultilevel"/>
    <w:tmpl w:val="D4544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4D84FDE"/>
    <w:multiLevelType w:val="hybridMultilevel"/>
    <w:tmpl w:val="F892AEDE"/>
    <w:lvl w:ilvl="0" w:tplc="E650298E">
      <w:start w:val="1"/>
      <w:numFmt w:val="decimal"/>
      <w:lvlText w:val="%1."/>
      <w:lvlJc w:val="left"/>
      <w:pPr>
        <w:ind w:left="720" w:hanging="360"/>
      </w:pPr>
      <w:rPr>
        <w:rFonts w:hint="default"/>
        <w:b/>
        <w:color w:val="00000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5E6575A"/>
    <w:multiLevelType w:val="hybridMultilevel"/>
    <w:tmpl w:val="156C4B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92A0C01"/>
    <w:multiLevelType w:val="hybridMultilevel"/>
    <w:tmpl w:val="890E6218"/>
    <w:lvl w:ilvl="0" w:tplc="18090001">
      <w:start w:val="1"/>
      <w:numFmt w:val="bullet"/>
      <w:lvlText w:val=""/>
      <w:lvlJc w:val="left"/>
      <w:pPr>
        <w:ind w:left="770" w:hanging="360"/>
      </w:pPr>
      <w:rPr>
        <w:rFonts w:ascii="Symbol" w:hAnsi="Symbol" w:cs="Symbol" w:hint="default"/>
      </w:rPr>
    </w:lvl>
    <w:lvl w:ilvl="1" w:tplc="18090003">
      <w:start w:val="1"/>
      <w:numFmt w:val="bullet"/>
      <w:lvlText w:val="o"/>
      <w:lvlJc w:val="left"/>
      <w:pPr>
        <w:ind w:left="1490" w:hanging="360"/>
      </w:pPr>
      <w:rPr>
        <w:rFonts w:ascii="Courier New" w:hAnsi="Courier New" w:cs="Courier New" w:hint="default"/>
      </w:rPr>
    </w:lvl>
    <w:lvl w:ilvl="2" w:tplc="18090005">
      <w:start w:val="1"/>
      <w:numFmt w:val="bullet"/>
      <w:lvlText w:val=""/>
      <w:lvlJc w:val="left"/>
      <w:pPr>
        <w:ind w:left="2210" w:hanging="360"/>
      </w:pPr>
      <w:rPr>
        <w:rFonts w:ascii="Wingdings" w:hAnsi="Wingdings" w:cs="Wingdings" w:hint="default"/>
      </w:rPr>
    </w:lvl>
    <w:lvl w:ilvl="3" w:tplc="18090001">
      <w:start w:val="1"/>
      <w:numFmt w:val="bullet"/>
      <w:lvlText w:val=""/>
      <w:lvlJc w:val="left"/>
      <w:pPr>
        <w:ind w:left="2930" w:hanging="360"/>
      </w:pPr>
      <w:rPr>
        <w:rFonts w:ascii="Symbol" w:hAnsi="Symbol" w:cs="Symbol" w:hint="default"/>
      </w:rPr>
    </w:lvl>
    <w:lvl w:ilvl="4" w:tplc="18090003">
      <w:start w:val="1"/>
      <w:numFmt w:val="bullet"/>
      <w:lvlText w:val="o"/>
      <w:lvlJc w:val="left"/>
      <w:pPr>
        <w:ind w:left="3650" w:hanging="360"/>
      </w:pPr>
      <w:rPr>
        <w:rFonts w:ascii="Courier New" w:hAnsi="Courier New" w:cs="Courier New" w:hint="default"/>
      </w:rPr>
    </w:lvl>
    <w:lvl w:ilvl="5" w:tplc="18090005">
      <w:start w:val="1"/>
      <w:numFmt w:val="bullet"/>
      <w:lvlText w:val=""/>
      <w:lvlJc w:val="left"/>
      <w:pPr>
        <w:ind w:left="4370" w:hanging="360"/>
      </w:pPr>
      <w:rPr>
        <w:rFonts w:ascii="Wingdings" w:hAnsi="Wingdings" w:cs="Wingdings" w:hint="default"/>
      </w:rPr>
    </w:lvl>
    <w:lvl w:ilvl="6" w:tplc="18090001">
      <w:start w:val="1"/>
      <w:numFmt w:val="bullet"/>
      <w:lvlText w:val=""/>
      <w:lvlJc w:val="left"/>
      <w:pPr>
        <w:ind w:left="5090" w:hanging="360"/>
      </w:pPr>
      <w:rPr>
        <w:rFonts w:ascii="Symbol" w:hAnsi="Symbol" w:cs="Symbol" w:hint="default"/>
      </w:rPr>
    </w:lvl>
    <w:lvl w:ilvl="7" w:tplc="18090003">
      <w:start w:val="1"/>
      <w:numFmt w:val="bullet"/>
      <w:lvlText w:val="o"/>
      <w:lvlJc w:val="left"/>
      <w:pPr>
        <w:ind w:left="5810" w:hanging="360"/>
      </w:pPr>
      <w:rPr>
        <w:rFonts w:ascii="Courier New" w:hAnsi="Courier New" w:cs="Courier New" w:hint="default"/>
      </w:rPr>
    </w:lvl>
    <w:lvl w:ilvl="8" w:tplc="18090005">
      <w:start w:val="1"/>
      <w:numFmt w:val="bullet"/>
      <w:lvlText w:val=""/>
      <w:lvlJc w:val="left"/>
      <w:pPr>
        <w:ind w:left="6530" w:hanging="360"/>
      </w:pPr>
      <w:rPr>
        <w:rFonts w:ascii="Wingdings" w:hAnsi="Wingdings" w:cs="Wingdings" w:hint="default"/>
      </w:rPr>
    </w:lvl>
  </w:abstractNum>
  <w:num w:numId="1">
    <w:abstractNumId w:val="5"/>
  </w:num>
  <w:num w:numId="2">
    <w:abstractNumId w:val="28"/>
  </w:num>
  <w:num w:numId="3">
    <w:abstractNumId w:val="8"/>
  </w:num>
  <w:num w:numId="4">
    <w:abstractNumId w:val="25"/>
  </w:num>
  <w:num w:numId="5">
    <w:abstractNumId w:val="4"/>
  </w:num>
  <w:num w:numId="6">
    <w:abstractNumId w:val="7"/>
  </w:num>
  <w:num w:numId="7">
    <w:abstractNumId w:val="11"/>
  </w:num>
  <w:num w:numId="8">
    <w:abstractNumId w:val="20"/>
  </w:num>
  <w:num w:numId="9">
    <w:abstractNumId w:val="26"/>
  </w:num>
  <w:num w:numId="10">
    <w:abstractNumId w:val="17"/>
  </w:num>
  <w:num w:numId="11">
    <w:abstractNumId w:val="24"/>
  </w:num>
  <w:num w:numId="12">
    <w:abstractNumId w:val="2"/>
  </w:num>
  <w:num w:numId="13">
    <w:abstractNumId w:val="14"/>
  </w:num>
  <w:num w:numId="14">
    <w:abstractNumId w:val="6"/>
  </w:num>
  <w:num w:numId="15">
    <w:abstractNumId w:val="19"/>
  </w:num>
  <w:num w:numId="16">
    <w:abstractNumId w:val="18"/>
  </w:num>
  <w:num w:numId="17">
    <w:abstractNumId w:val="32"/>
  </w:num>
  <w:num w:numId="18">
    <w:abstractNumId w:val="3"/>
  </w:num>
  <w:num w:numId="19">
    <w:abstractNumId w:val="1"/>
  </w:num>
  <w:num w:numId="20">
    <w:abstractNumId w:val="12"/>
  </w:num>
  <w:num w:numId="21">
    <w:abstractNumId w:val="23"/>
  </w:num>
  <w:num w:numId="22">
    <w:abstractNumId w:val="29"/>
  </w:num>
  <w:num w:numId="23">
    <w:abstractNumId w:val="21"/>
  </w:num>
  <w:num w:numId="24">
    <w:abstractNumId w:val="15"/>
  </w:num>
  <w:num w:numId="25">
    <w:abstractNumId w:val="31"/>
  </w:num>
  <w:num w:numId="26">
    <w:abstractNumId w:val="9"/>
  </w:num>
  <w:num w:numId="27">
    <w:abstractNumId w:val="27"/>
  </w:num>
  <w:num w:numId="28">
    <w:abstractNumId w:val="13"/>
  </w:num>
  <w:num w:numId="29">
    <w:abstractNumId w:val="22"/>
  </w:num>
  <w:num w:numId="30">
    <w:abstractNumId w:val="33"/>
  </w:num>
  <w:num w:numId="31">
    <w:abstractNumId w:val="30"/>
  </w:num>
  <w:num w:numId="32">
    <w:abstractNumId w:val="16"/>
  </w:num>
  <w:num w:numId="33">
    <w:abstractNumId w:val="0"/>
  </w:num>
  <w:num w:numId="34">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6E59F3"/>
    <w:rsid w:val="00000F51"/>
    <w:rsid w:val="00003D31"/>
    <w:rsid w:val="000118DE"/>
    <w:rsid w:val="00012137"/>
    <w:rsid w:val="00014279"/>
    <w:rsid w:val="00022587"/>
    <w:rsid w:val="0002320C"/>
    <w:rsid w:val="0002476F"/>
    <w:rsid w:val="000248A7"/>
    <w:rsid w:val="000255AB"/>
    <w:rsid w:val="00027656"/>
    <w:rsid w:val="000348D6"/>
    <w:rsid w:val="00034D35"/>
    <w:rsid w:val="00036DE6"/>
    <w:rsid w:val="00036E2C"/>
    <w:rsid w:val="0004039D"/>
    <w:rsid w:val="00044BAE"/>
    <w:rsid w:val="00046962"/>
    <w:rsid w:val="00051A4E"/>
    <w:rsid w:val="00054AB7"/>
    <w:rsid w:val="000573C6"/>
    <w:rsid w:val="00065134"/>
    <w:rsid w:val="00075456"/>
    <w:rsid w:val="000755CB"/>
    <w:rsid w:val="00080265"/>
    <w:rsid w:val="000865E3"/>
    <w:rsid w:val="00094092"/>
    <w:rsid w:val="0009428C"/>
    <w:rsid w:val="0009633F"/>
    <w:rsid w:val="0009635C"/>
    <w:rsid w:val="000A189B"/>
    <w:rsid w:val="000A55A6"/>
    <w:rsid w:val="000C245D"/>
    <w:rsid w:val="000C300E"/>
    <w:rsid w:val="000C3720"/>
    <w:rsid w:val="000E117C"/>
    <w:rsid w:val="000E6F39"/>
    <w:rsid w:val="000F1DC8"/>
    <w:rsid w:val="000F2A29"/>
    <w:rsid w:val="000F3B49"/>
    <w:rsid w:val="000F4C95"/>
    <w:rsid w:val="000F5301"/>
    <w:rsid w:val="000F74C3"/>
    <w:rsid w:val="001018FF"/>
    <w:rsid w:val="00104304"/>
    <w:rsid w:val="0010454A"/>
    <w:rsid w:val="00104B14"/>
    <w:rsid w:val="00110FCF"/>
    <w:rsid w:val="00111A93"/>
    <w:rsid w:val="001136D8"/>
    <w:rsid w:val="00115825"/>
    <w:rsid w:val="00116607"/>
    <w:rsid w:val="001227E3"/>
    <w:rsid w:val="00123C34"/>
    <w:rsid w:val="00131886"/>
    <w:rsid w:val="00134A3A"/>
    <w:rsid w:val="00137444"/>
    <w:rsid w:val="00145466"/>
    <w:rsid w:val="00150E91"/>
    <w:rsid w:val="00152207"/>
    <w:rsid w:val="00152ED2"/>
    <w:rsid w:val="00160DF2"/>
    <w:rsid w:val="00161428"/>
    <w:rsid w:val="0016646B"/>
    <w:rsid w:val="00166519"/>
    <w:rsid w:val="00167134"/>
    <w:rsid w:val="001712C9"/>
    <w:rsid w:val="001728AA"/>
    <w:rsid w:val="00172F82"/>
    <w:rsid w:val="00180960"/>
    <w:rsid w:val="00184224"/>
    <w:rsid w:val="001857A8"/>
    <w:rsid w:val="00192E9E"/>
    <w:rsid w:val="001B300E"/>
    <w:rsid w:val="001B5E3A"/>
    <w:rsid w:val="001C189B"/>
    <w:rsid w:val="001C6097"/>
    <w:rsid w:val="001D2C2D"/>
    <w:rsid w:val="001D35C4"/>
    <w:rsid w:val="001D3845"/>
    <w:rsid w:val="001D783E"/>
    <w:rsid w:val="001F15C3"/>
    <w:rsid w:val="001F2AA0"/>
    <w:rsid w:val="001F3C0B"/>
    <w:rsid w:val="001F6E03"/>
    <w:rsid w:val="00202C88"/>
    <w:rsid w:val="0020332A"/>
    <w:rsid w:val="00203D2C"/>
    <w:rsid w:val="00210FD2"/>
    <w:rsid w:val="0021272C"/>
    <w:rsid w:val="002151C2"/>
    <w:rsid w:val="002155CE"/>
    <w:rsid w:val="00217A65"/>
    <w:rsid w:val="00220458"/>
    <w:rsid w:val="00223BE2"/>
    <w:rsid w:val="002271AB"/>
    <w:rsid w:val="002312D7"/>
    <w:rsid w:val="002440A9"/>
    <w:rsid w:val="002453F3"/>
    <w:rsid w:val="002514A1"/>
    <w:rsid w:val="00255921"/>
    <w:rsid w:val="00256F16"/>
    <w:rsid w:val="00257E78"/>
    <w:rsid w:val="00261118"/>
    <w:rsid w:val="00261D3E"/>
    <w:rsid w:val="00263E5A"/>
    <w:rsid w:val="0026502C"/>
    <w:rsid w:val="0026609A"/>
    <w:rsid w:val="0027154B"/>
    <w:rsid w:val="002736CB"/>
    <w:rsid w:val="00275603"/>
    <w:rsid w:val="00284C82"/>
    <w:rsid w:val="002866F8"/>
    <w:rsid w:val="00293942"/>
    <w:rsid w:val="00294675"/>
    <w:rsid w:val="00294873"/>
    <w:rsid w:val="002A38B0"/>
    <w:rsid w:val="002A7AEB"/>
    <w:rsid w:val="002B5E36"/>
    <w:rsid w:val="002C1171"/>
    <w:rsid w:val="002C3355"/>
    <w:rsid w:val="002C38F1"/>
    <w:rsid w:val="002C71E7"/>
    <w:rsid w:val="002E498B"/>
    <w:rsid w:val="002F0600"/>
    <w:rsid w:val="0030187E"/>
    <w:rsid w:val="003048B5"/>
    <w:rsid w:val="003051CA"/>
    <w:rsid w:val="0030749E"/>
    <w:rsid w:val="003206C2"/>
    <w:rsid w:val="00320EE3"/>
    <w:rsid w:val="00321D01"/>
    <w:rsid w:val="00327A35"/>
    <w:rsid w:val="00333C6C"/>
    <w:rsid w:val="003372C4"/>
    <w:rsid w:val="00343EB0"/>
    <w:rsid w:val="00346DF8"/>
    <w:rsid w:val="00351677"/>
    <w:rsid w:val="003534DC"/>
    <w:rsid w:val="00355BAA"/>
    <w:rsid w:val="003611D2"/>
    <w:rsid w:val="00361CA7"/>
    <w:rsid w:val="00362588"/>
    <w:rsid w:val="00366EB1"/>
    <w:rsid w:val="0037233F"/>
    <w:rsid w:val="00372846"/>
    <w:rsid w:val="00372E45"/>
    <w:rsid w:val="003739C3"/>
    <w:rsid w:val="00376434"/>
    <w:rsid w:val="00380A1C"/>
    <w:rsid w:val="003813D5"/>
    <w:rsid w:val="003849F0"/>
    <w:rsid w:val="00384FE8"/>
    <w:rsid w:val="003915A8"/>
    <w:rsid w:val="00391666"/>
    <w:rsid w:val="0039194A"/>
    <w:rsid w:val="0039319A"/>
    <w:rsid w:val="003A1582"/>
    <w:rsid w:val="003A5928"/>
    <w:rsid w:val="003B1B5A"/>
    <w:rsid w:val="003B218D"/>
    <w:rsid w:val="003B7160"/>
    <w:rsid w:val="003B7544"/>
    <w:rsid w:val="003C09A7"/>
    <w:rsid w:val="003C0DC6"/>
    <w:rsid w:val="003C17BA"/>
    <w:rsid w:val="003C1B33"/>
    <w:rsid w:val="003C2C6F"/>
    <w:rsid w:val="003C308E"/>
    <w:rsid w:val="003C4731"/>
    <w:rsid w:val="003D127A"/>
    <w:rsid w:val="003D167C"/>
    <w:rsid w:val="003D207F"/>
    <w:rsid w:val="003E043D"/>
    <w:rsid w:val="003E3215"/>
    <w:rsid w:val="003E3AEE"/>
    <w:rsid w:val="003E5297"/>
    <w:rsid w:val="003F0C52"/>
    <w:rsid w:val="003F3E8E"/>
    <w:rsid w:val="00411367"/>
    <w:rsid w:val="00411F55"/>
    <w:rsid w:val="004145B6"/>
    <w:rsid w:val="0041784C"/>
    <w:rsid w:val="00426CF5"/>
    <w:rsid w:val="00433D07"/>
    <w:rsid w:val="0043499A"/>
    <w:rsid w:val="00436F1E"/>
    <w:rsid w:val="00442F95"/>
    <w:rsid w:val="00451AC6"/>
    <w:rsid w:val="0045375A"/>
    <w:rsid w:val="004566E6"/>
    <w:rsid w:val="004568EA"/>
    <w:rsid w:val="00460D42"/>
    <w:rsid w:val="00480490"/>
    <w:rsid w:val="00492557"/>
    <w:rsid w:val="00497899"/>
    <w:rsid w:val="004A0BD2"/>
    <w:rsid w:val="004A4B3D"/>
    <w:rsid w:val="004A574F"/>
    <w:rsid w:val="004A60D2"/>
    <w:rsid w:val="004A6213"/>
    <w:rsid w:val="004B0CC1"/>
    <w:rsid w:val="004B4FE5"/>
    <w:rsid w:val="004C1CF6"/>
    <w:rsid w:val="004C6485"/>
    <w:rsid w:val="004C6B20"/>
    <w:rsid w:val="004D2055"/>
    <w:rsid w:val="004D4628"/>
    <w:rsid w:val="004D582F"/>
    <w:rsid w:val="004E45AC"/>
    <w:rsid w:val="004E66D7"/>
    <w:rsid w:val="004E7A73"/>
    <w:rsid w:val="004E7D05"/>
    <w:rsid w:val="004F22FF"/>
    <w:rsid w:val="004F38D0"/>
    <w:rsid w:val="004F4754"/>
    <w:rsid w:val="004F5112"/>
    <w:rsid w:val="004F58D9"/>
    <w:rsid w:val="00506B5A"/>
    <w:rsid w:val="00517575"/>
    <w:rsid w:val="00522F83"/>
    <w:rsid w:val="00524EE6"/>
    <w:rsid w:val="005277BD"/>
    <w:rsid w:val="0053021A"/>
    <w:rsid w:val="00530813"/>
    <w:rsid w:val="00533AEA"/>
    <w:rsid w:val="00536F9D"/>
    <w:rsid w:val="005412BB"/>
    <w:rsid w:val="005455E1"/>
    <w:rsid w:val="00561F39"/>
    <w:rsid w:val="00562C8E"/>
    <w:rsid w:val="00563FBA"/>
    <w:rsid w:val="00564E7F"/>
    <w:rsid w:val="005672C4"/>
    <w:rsid w:val="00580E33"/>
    <w:rsid w:val="0058638F"/>
    <w:rsid w:val="00592454"/>
    <w:rsid w:val="00593066"/>
    <w:rsid w:val="005A6654"/>
    <w:rsid w:val="005B16C8"/>
    <w:rsid w:val="005B1C6A"/>
    <w:rsid w:val="005B6283"/>
    <w:rsid w:val="005C7BCC"/>
    <w:rsid w:val="005D172C"/>
    <w:rsid w:val="005D637E"/>
    <w:rsid w:val="005E5730"/>
    <w:rsid w:val="005F3FBC"/>
    <w:rsid w:val="006051FC"/>
    <w:rsid w:val="00610B97"/>
    <w:rsid w:val="006123FD"/>
    <w:rsid w:val="006136BD"/>
    <w:rsid w:val="00613B60"/>
    <w:rsid w:val="00613F1B"/>
    <w:rsid w:val="00615F3B"/>
    <w:rsid w:val="00621D76"/>
    <w:rsid w:val="00626209"/>
    <w:rsid w:val="00630820"/>
    <w:rsid w:val="0063105F"/>
    <w:rsid w:val="00632AF9"/>
    <w:rsid w:val="00633856"/>
    <w:rsid w:val="006408E9"/>
    <w:rsid w:val="00644E54"/>
    <w:rsid w:val="00647E15"/>
    <w:rsid w:val="00653FE5"/>
    <w:rsid w:val="0065683C"/>
    <w:rsid w:val="0067036F"/>
    <w:rsid w:val="0067640D"/>
    <w:rsid w:val="00677676"/>
    <w:rsid w:val="00686C39"/>
    <w:rsid w:val="00692D41"/>
    <w:rsid w:val="006954DE"/>
    <w:rsid w:val="006A5BCA"/>
    <w:rsid w:val="006A668E"/>
    <w:rsid w:val="006B09B7"/>
    <w:rsid w:val="006B20E7"/>
    <w:rsid w:val="006B4F27"/>
    <w:rsid w:val="006C19D7"/>
    <w:rsid w:val="006C38EE"/>
    <w:rsid w:val="006C3DAD"/>
    <w:rsid w:val="006C6FCE"/>
    <w:rsid w:val="006D24B5"/>
    <w:rsid w:val="006D4628"/>
    <w:rsid w:val="006E31AE"/>
    <w:rsid w:val="006E59F3"/>
    <w:rsid w:val="006F15D2"/>
    <w:rsid w:val="006F1C4A"/>
    <w:rsid w:val="006F22CC"/>
    <w:rsid w:val="006F2582"/>
    <w:rsid w:val="006F307A"/>
    <w:rsid w:val="007121FE"/>
    <w:rsid w:val="00712262"/>
    <w:rsid w:val="007163C2"/>
    <w:rsid w:val="00724249"/>
    <w:rsid w:val="00726723"/>
    <w:rsid w:val="007317DC"/>
    <w:rsid w:val="0073494A"/>
    <w:rsid w:val="00735515"/>
    <w:rsid w:val="007504D2"/>
    <w:rsid w:val="0075305E"/>
    <w:rsid w:val="007538A6"/>
    <w:rsid w:val="00755945"/>
    <w:rsid w:val="00757E0A"/>
    <w:rsid w:val="007677DE"/>
    <w:rsid w:val="00770953"/>
    <w:rsid w:val="00771614"/>
    <w:rsid w:val="00773512"/>
    <w:rsid w:val="00775993"/>
    <w:rsid w:val="00775E6E"/>
    <w:rsid w:val="00777BEE"/>
    <w:rsid w:val="007804DD"/>
    <w:rsid w:val="007807D1"/>
    <w:rsid w:val="00781CAF"/>
    <w:rsid w:val="00784BBB"/>
    <w:rsid w:val="00786B40"/>
    <w:rsid w:val="00791587"/>
    <w:rsid w:val="00794035"/>
    <w:rsid w:val="00796D0A"/>
    <w:rsid w:val="007A43B8"/>
    <w:rsid w:val="007A5670"/>
    <w:rsid w:val="007A699F"/>
    <w:rsid w:val="007A69A9"/>
    <w:rsid w:val="007A6E67"/>
    <w:rsid w:val="007B14F5"/>
    <w:rsid w:val="007B1C41"/>
    <w:rsid w:val="007C455A"/>
    <w:rsid w:val="007C60A5"/>
    <w:rsid w:val="007D2BFE"/>
    <w:rsid w:val="007E0CA0"/>
    <w:rsid w:val="007E1508"/>
    <w:rsid w:val="007E194C"/>
    <w:rsid w:val="007E3966"/>
    <w:rsid w:val="007E56D5"/>
    <w:rsid w:val="007E7CDE"/>
    <w:rsid w:val="007F749B"/>
    <w:rsid w:val="007F7BB4"/>
    <w:rsid w:val="00800F4A"/>
    <w:rsid w:val="00802FEA"/>
    <w:rsid w:val="00803571"/>
    <w:rsid w:val="008036B9"/>
    <w:rsid w:val="0080645D"/>
    <w:rsid w:val="0081042A"/>
    <w:rsid w:val="0081773F"/>
    <w:rsid w:val="00822DED"/>
    <w:rsid w:val="00825DF3"/>
    <w:rsid w:val="00826298"/>
    <w:rsid w:val="00827167"/>
    <w:rsid w:val="00830B36"/>
    <w:rsid w:val="008313EA"/>
    <w:rsid w:val="0083391B"/>
    <w:rsid w:val="0083620B"/>
    <w:rsid w:val="00840FDC"/>
    <w:rsid w:val="00844201"/>
    <w:rsid w:val="008469F5"/>
    <w:rsid w:val="00850139"/>
    <w:rsid w:val="00852F5C"/>
    <w:rsid w:val="00853BCF"/>
    <w:rsid w:val="00871F0C"/>
    <w:rsid w:val="00882CBE"/>
    <w:rsid w:val="00886247"/>
    <w:rsid w:val="008869E5"/>
    <w:rsid w:val="00886D64"/>
    <w:rsid w:val="0089139C"/>
    <w:rsid w:val="0089144E"/>
    <w:rsid w:val="00893C6C"/>
    <w:rsid w:val="00894EFD"/>
    <w:rsid w:val="008968CA"/>
    <w:rsid w:val="008A2B9B"/>
    <w:rsid w:val="008A55B6"/>
    <w:rsid w:val="008B0D4E"/>
    <w:rsid w:val="008C23FC"/>
    <w:rsid w:val="008C33DE"/>
    <w:rsid w:val="008C7786"/>
    <w:rsid w:val="008C7FC0"/>
    <w:rsid w:val="008D0236"/>
    <w:rsid w:val="008D0C18"/>
    <w:rsid w:val="008D139F"/>
    <w:rsid w:val="008D4792"/>
    <w:rsid w:val="008D6AA8"/>
    <w:rsid w:val="008E0636"/>
    <w:rsid w:val="008E16EE"/>
    <w:rsid w:val="008E22F0"/>
    <w:rsid w:val="008E797C"/>
    <w:rsid w:val="008F7ED3"/>
    <w:rsid w:val="00910D00"/>
    <w:rsid w:val="009134D5"/>
    <w:rsid w:val="00934061"/>
    <w:rsid w:val="00934CBE"/>
    <w:rsid w:val="00940D59"/>
    <w:rsid w:val="00944733"/>
    <w:rsid w:val="00944F79"/>
    <w:rsid w:val="00947CB0"/>
    <w:rsid w:val="00955F5B"/>
    <w:rsid w:val="00961FC5"/>
    <w:rsid w:val="009658AD"/>
    <w:rsid w:val="009737B7"/>
    <w:rsid w:val="00974313"/>
    <w:rsid w:val="009744CB"/>
    <w:rsid w:val="00981DFC"/>
    <w:rsid w:val="009865DE"/>
    <w:rsid w:val="00991DE5"/>
    <w:rsid w:val="00996EAE"/>
    <w:rsid w:val="009A490B"/>
    <w:rsid w:val="009A6F3C"/>
    <w:rsid w:val="009C248F"/>
    <w:rsid w:val="009C3934"/>
    <w:rsid w:val="009C430B"/>
    <w:rsid w:val="009C4998"/>
    <w:rsid w:val="009C62FD"/>
    <w:rsid w:val="009D4947"/>
    <w:rsid w:val="009E0D00"/>
    <w:rsid w:val="009E0F2E"/>
    <w:rsid w:val="009E1A6B"/>
    <w:rsid w:val="009E3383"/>
    <w:rsid w:val="009E71DD"/>
    <w:rsid w:val="009F04D1"/>
    <w:rsid w:val="009F22B7"/>
    <w:rsid w:val="00A053C6"/>
    <w:rsid w:val="00A06F3E"/>
    <w:rsid w:val="00A0784F"/>
    <w:rsid w:val="00A12FD1"/>
    <w:rsid w:val="00A16311"/>
    <w:rsid w:val="00A312A1"/>
    <w:rsid w:val="00A32BE0"/>
    <w:rsid w:val="00A33D41"/>
    <w:rsid w:val="00A34326"/>
    <w:rsid w:val="00A508B2"/>
    <w:rsid w:val="00A57BAC"/>
    <w:rsid w:val="00A61854"/>
    <w:rsid w:val="00A67EE0"/>
    <w:rsid w:val="00A715BC"/>
    <w:rsid w:val="00A7482D"/>
    <w:rsid w:val="00A75325"/>
    <w:rsid w:val="00A77519"/>
    <w:rsid w:val="00A83911"/>
    <w:rsid w:val="00A95824"/>
    <w:rsid w:val="00A97A2B"/>
    <w:rsid w:val="00AA2217"/>
    <w:rsid w:val="00AA30B8"/>
    <w:rsid w:val="00AA3B62"/>
    <w:rsid w:val="00AA73A1"/>
    <w:rsid w:val="00AA73BA"/>
    <w:rsid w:val="00AA7A24"/>
    <w:rsid w:val="00AB42DF"/>
    <w:rsid w:val="00AB5379"/>
    <w:rsid w:val="00AB5533"/>
    <w:rsid w:val="00AC30C9"/>
    <w:rsid w:val="00AC6C15"/>
    <w:rsid w:val="00AD0572"/>
    <w:rsid w:val="00AD231F"/>
    <w:rsid w:val="00AE1793"/>
    <w:rsid w:val="00AE5DF6"/>
    <w:rsid w:val="00AF127F"/>
    <w:rsid w:val="00AF497E"/>
    <w:rsid w:val="00AF4B25"/>
    <w:rsid w:val="00AF6B2F"/>
    <w:rsid w:val="00AF6E07"/>
    <w:rsid w:val="00B01512"/>
    <w:rsid w:val="00B075A9"/>
    <w:rsid w:val="00B16033"/>
    <w:rsid w:val="00B229B0"/>
    <w:rsid w:val="00B242B6"/>
    <w:rsid w:val="00B44972"/>
    <w:rsid w:val="00B45937"/>
    <w:rsid w:val="00B45BEA"/>
    <w:rsid w:val="00B55F4D"/>
    <w:rsid w:val="00B56F53"/>
    <w:rsid w:val="00B60CEA"/>
    <w:rsid w:val="00B62C79"/>
    <w:rsid w:val="00B63B76"/>
    <w:rsid w:val="00B6590A"/>
    <w:rsid w:val="00B67DE6"/>
    <w:rsid w:val="00B70A45"/>
    <w:rsid w:val="00B7369E"/>
    <w:rsid w:val="00B7669A"/>
    <w:rsid w:val="00B76867"/>
    <w:rsid w:val="00B8509C"/>
    <w:rsid w:val="00B870C9"/>
    <w:rsid w:val="00B90878"/>
    <w:rsid w:val="00B968AF"/>
    <w:rsid w:val="00BA024D"/>
    <w:rsid w:val="00BA0327"/>
    <w:rsid w:val="00BA4DF9"/>
    <w:rsid w:val="00BA576A"/>
    <w:rsid w:val="00BA6071"/>
    <w:rsid w:val="00BB1E1F"/>
    <w:rsid w:val="00BC1AF9"/>
    <w:rsid w:val="00BC3FA8"/>
    <w:rsid w:val="00BC4EE8"/>
    <w:rsid w:val="00BD0AE3"/>
    <w:rsid w:val="00BD5397"/>
    <w:rsid w:val="00BE11AE"/>
    <w:rsid w:val="00BE577A"/>
    <w:rsid w:val="00BF4D46"/>
    <w:rsid w:val="00BF5692"/>
    <w:rsid w:val="00BF65C4"/>
    <w:rsid w:val="00BF78D2"/>
    <w:rsid w:val="00C000E6"/>
    <w:rsid w:val="00C01C78"/>
    <w:rsid w:val="00C02CF5"/>
    <w:rsid w:val="00C034DC"/>
    <w:rsid w:val="00C11DEE"/>
    <w:rsid w:val="00C14A8F"/>
    <w:rsid w:val="00C14E1F"/>
    <w:rsid w:val="00C1714A"/>
    <w:rsid w:val="00C245E5"/>
    <w:rsid w:val="00C24E88"/>
    <w:rsid w:val="00C34FA5"/>
    <w:rsid w:val="00C356B9"/>
    <w:rsid w:val="00C36378"/>
    <w:rsid w:val="00C367BC"/>
    <w:rsid w:val="00C4080D"/>
    <w:rsid w:val="00C433DB"/>
    <w:rsid w:val="00C44A9B"/>
    <w:rsid w:val="00C4515C"/>
    <w:rsid w:val="00C45A7E"/>
    <w:rsid w:val="00C45F35"/>
    <w:rsid w:val="00C46318"/>
    <w:rsid w:val="00C51D0C"/>
    <w:rsid w:val="00C56DC5"/>
    <w:rsid w:val="00C651A8"/>
    <w:rsid w:val="00C65AF5"/>
    <w:rsid w:val="00C6748E"/>
    <w:rsid w:val="00C70FBC"/>
    <w:rsid w:val="00C735FB"/>
    <w:rsid w:val="00C73A0C"/>
    <w:rsid w:val="00C7445B"/>
    <w:rsid w:val="00C74E35"/>
    <w:rsid w:val="00C8291A"/>
    <w:rsid w:val="00C838BE"/>
    <w:rsid w:val="00C83E49"/>
    <w:rsid w:val="00C84212"/>
    <w:rsid w:val="00C87C96"/>
    <w:rsid w:val="00C91DB1"/>
    <w:rsid w:val="00C926D7"/>
    <w:rsid w:val="00C93224"/>
    <w:rsid w:val="00C95269"/>
    <w:rsid w:val="00CA3ED0"/>
    <w:rsid w:val="00CA48E7"/>
    <w:rsid w:val="00CA7036"/>
    <w:rsid w:val="00CB6F8A"/>
    <w:rsid w:val="00CB7F99"/>
    <w:rsid w:val="00CC4EA2"/>
    <w:rsid w:val="00CC70CB"/>
    <w:rsid w:val="00CC78E4"/>
    <w:rsid w:val="00CD3EE9"/>
    <w:rsid w:val="00CD61F6"/>
    <w:rsid w:val="00CE10A3"/>
    <w:rsid w:val="00CE5337"/>
    <w:rsid w:val="00CF1FDC"/>
    <w:rsid w:val="00CF2378"/>
    <w:rsid w:val="00CF3B97"/>
    <w:rsid w:val="00CF4FFE"/>
    <w:rsid w:val="00D009F0"/>
    <w:rsid w:val="00D00DA9"/>
    <w:rsid w:val="00D01419"/>
    <w:rsid w:val="00D0184B"/>
    <w:rsid w:val="00D10EC8"/>
    <w:rsid w:val="00D12ACB"/>
    <w:rsid w:val="00D16E9D"/>
    <w:rsid w:val="00D22024"/>
    <w:rsid w:val="00D24A79"/>
    <w:rsid w:val="00D25C30"/>
    <w:rsid w:val="00D314D4"/>
    <w:rsid w:val="00D3388E"/>
    <w:rsid w:val="00D34911"/>
    <w:rsid w:val="00D36269"/>
    <w:rsid w:val="00D37C33"/>
    <w:rsid w:val="00D43D8D"/>
    <w:rsid w:val="00D47C18"/>
    <w:rsid w:val="00D53A69"/>
    <w:rsid w:val="00D56E3F"/>
    <w:rsid w:val="00D6486C"/>
    <w:rsid w:val="00D67AF5"/>
    <w:rsid w:val="00D70295"/>
    <w:rsid w:val="00D728EB"/>
    <w:rsid w:val="00D74FE6"/>
    <w:rsid w:val="00D752C6"/>
    <w:rsid w:val="00D80258"/>
    <w:rsid w:val="00D82684"/>
    <w:rsid w:val="00D84146"/>
    <w:rsid w:val="00D92BBB"/>
    <w:rsid w:val="00D934AE"/>
    <w:rsid w:val="00D95A49"/>
    <w:rsid w:val="00D95BD8"/>
    <w:rsid w:val="00DA45EA"/>
    <w:rsid w:val="00DA4F62"/>
    <w:rsid w:val="00DA7E8E"/>
    <w:rsid w:val="00DB16AA"/>
    <w:rsid w:val="00DB7D3C"/>
    <w:rsid w:val="00DC2C20"/>
    <w:rsid w:val="00DC350C"/>
    <w:rsid w:val="00DC49F4"/>
    <w:rsid w:val="00DE172E"/>
    <w:rsid w:val="00DE1F23"/>
    <w:rsid w:val="00DE2C81"/>
    <w:rsid w:val="00DE6D1C"/>
    <w:rsid w:val="00DF643B"/>
    <w:rsid w:val="00DF6938"/>
    <w:rsid w:val="00E01B5B"/>
    <w:rsid w:val="00E0338F"/>
    <w:rsid w:val="00E1108E"/>
    <w:rsid w:val="00E11F71"/>
    <w:rsid w:val="00E13EE0"/>
    <w:rsid w:val="00E20EBC"/>
    <w:rsid w:val="00E2459C"/>
    <w:rsid w:val="00E26073"/>
    <w:rsid w:val="00E26FC5"/>
    <w:rsid w:val="00E27ACB"/>
    <w:rsid w:val="00E334C5"/>
    <w:rsid w:val="00E33C36"/>
    <w:rsid w:val="00E518D9"/>
    <w:rsid w:val="00E51DF4"/>
    <w:rsid w:val="00E53F7D"/>
    <w:rsid w:val="00E550BF"/>
    <w:rsid w:val="00E5594D"/>
    <w:rsid w:val="00E569F5"/>
    <w:rsid w:val="00E60447"/>
    <w:rsid w:val="00E6124D"/>
    <w:rsid w:val="00E6241F"/>
    <w:rsid w:val="00E62567"/>
    <w:rsid w:val="00E65CF6"/>
    <w:rsid w:val="00E65D56"/>
    <w:rsid w:val="00E71CFF"/>
    <w:rsid w:val="00E74044"/>
    <w:rsid w:val="00E74A7B"/>
    <w:rsid w:val="00E764BC"/>
    <w:rsid w:val="00E85DA8"/>
    <w:rsid w:val="00E924CE"/>
    <w:rsid w:val="00EA0ACA"/>
    <w:rsid w:val="00EA16A4"/>
    <w:rsid w:val="00EA269B"/>
    <w:rsid w:val="00EB2310"/>
    <w:rsid w:val="00EB78E7"/>
    <w:rsid w:val="00EB7A58"/>
    <w:rsid w:val="00EC1459"/>
    <w:rsid w:val="00ED30AF"/>
    <w:rsid w:val="00ED3F51"/>
    <w:rsid w:val="00ED79C5"/>
    <w:rsid w:val="00EE16CB"/>
    <w:rsid w:val="00EE3E9C"/>
    <w:rsid w:val="00EF1034"/>
    <w:rsid w:val="00EF374C"/>
    <w:rsid w:val="00EF4FED"/>
    <w:rsid w:val="00EF61CB"/>
    <w:rsid w:val="00EF645E"/>
    <w:rsid w:val="00EF6585"/>
    <w:rsid w:val="00F01F4A"/>
    <w:rsid w:val="00F0254F"/>
    <w:rsid w:val="00F02F58"/>
    <w:rsid w:val="00F03413"/>
    <w:rsid w:val="00F04B99"/>
    <w:rsid w:val="00F057D4"/>
    <w:rsid w:val="00F13135"/>
    <w:rsid w:val="00F1601B"/>
    <w:rsid w:val="00F161EB"/>
    <w:rsid w:val="00F17C65"/>
    <w:rsid w:val="00F20298"/>
    <w:rsid w:val="00F24366"/>
    <w:rsid w:val="00F251E7"/>
    <w:rsid w:val="00F32BBC"/>
    <w:rsid w:val="00F43829"/>
    <w:rsid w:val="00F45147"/>
    <w:rsid w:val="00F52B24"/>
    <w:rsid w:val="00F53EE1"/>
    <w:rsid w:val="00F60561"/>
    <w:rsid w:val="00F63B76"/>
    <w:rsid w:val="00F7256A"/>
    <w:rsid w:val="00F91B8E"/>
    <w:rsid w:val="00F94D19"/>
    <w:rsid w:val="00F94D34"/>
    <w:rsid w:val="00F95B8F"/>
    <w:rsid w:val="00FA26E0"/>
    <w:rsid w:val="00FA7B47"/>
    <w:rsid w:val="00FB0455"/>
    <w:rsid w:val="00FB0B2A"/>
    <w:rsid w:val="00FB12CD"/>
    <w:rsid w:val="00FB1BE5"/>
    <w:rsid w:val="00FB3383"/>
    <w:rsid w:val="00FB3D89"/>
    <w:rsid w:val="00FB642E"/>
    <w:rsid w:val="00FC062F"/>
    <w:rsid w:val="00FC512B"/>
    <w:rsid w:val="00FC5636"/>
    <w:rsid w:val="00FC5CEB"/>
    <w:rsid w:val="00FC6008"/>
    <w:rsid w:val="00FC628B"/>
    <w:rsid w:val="00FC6471"/>
    <w:rsid w:val="00FC7380"/>
    <w:rsid w:val="00FD0699"/>
    <w:rsid w:val="00FD2C92"/>
    <w:rsid w:val="00FD3EF0"/>
    <w:rsid w:val="00FD5C36"/>
    <w:rsid w:val="00FD6D59"/>
    <w:rsid w:val="00FD6F81"/>
    <w:rsid w:val="00FE50FE"/>
    <w:rsid w:val="00FE7474"/>
    <w:rsid w:val="00FF2078"/>
    <w:rsid w:val="00FF243C"/>
    <w:rsid w:val="00FF31C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16"/>
    <w:pPr>
      <w:spacing w:after="200" w:line="276" w:lineRule="auto"/>
    </w:pPr>
    <w:rPr>
      <w:sz w:val="22"/>
      <w:szCs w:val="22"/>
      <w:lang w:val="en-US" w:eastAsia="en-US"/>
    </w:rPr>
  </w:style>
  <w:style w:type="paragraph" w:styleId="Heading2">
    <w:name w:val="heading 2"/>
    <w:basedOn w:val="Normal"/>
    <w:next w:val="Normal"/>
    <w:link w:val="Heading2Char"/>
    <w:uiPriority w:val="99"/>
    <w:qFormat/>
    <w:rsid w:val="00771614"/>
    <w:pPr>
      <w:keepNext/>
      <w:spacing w:before="240" w:after="60" w:line="240" w:lineRule="auto"/>
      <w:outlineLvl w:val="1"/>
    </w:pPr>
    <w:rPr>
      <w:rFonts w:ascii="Arial" w:eastAsia="Times New Roman" w:hAnsi="Arial" w:cs="Arial"/>
      <w:b/>
      <w:bCs/>
      <w:i/>
      <w:iCs/>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BE577A"/>
    <w:pPr>
      <w:ind w:left="720"/>
      <w:contextualSpacing/>
    </w:pPr>
  </w:style>
  <w:style w:type="character" w:styleId="Emphasis">
    <w:name w:val="Emphasis"/>
    <w:basedOn w:val="DefaultParagraphFont"/>
    <w:uiPriority w:val="20"/>
    <w:qFormat/>
    <w:rsid w:val="00E01B5B"/>
    <w:rPr>
      <w:b/>
      <w:bCs/>
      <w:i w:val="0"/>
      <w:iCs w:val="0"/>
    </w:rPr>
  </w:style>
  <w:style w:type="paragraph" w:styleId="Header">
    <w:name w:val="header"/>
    <w:basedOn w:val="Normal"/>
    <w:link w:val="HeaderChar"/>
    <w:unhideWhenUsed/>
    <w:rsid w:val="00C74E35"/>
    <w:pPr>
      <w:tabs>
        <w:tab w:val="center" w:pos="4844"/>
        <w:tab w:val="right" w:pos="9689"/>
      </w:tabs>
      <w:spacing w:after="0" w:line="240" w:lineRule="auto"/>
    </w:pPr>
  </w:style>
  <w:style w:type="character" w:customStyle="1" w:styleId="HeaderChar">
    <w:name w:val="Header Char"/>
    <w:basedOn w:val="DefaultParagraphFont"/>
    <w:link w:val="Header"/>
    <w:rsid w:val="00C74E35"/>
  </w:style>
  <w:style w:type="paragraph" w:styleId="Footer">
    <w:name w:val="footer"/>
    <w:basedOn w:val="Normal"/>
    <w:link w:val="FooterChar"/>
    <w:uiPriority w:val="99"/>
    <w:semiHidden/>
    <w:unhideWhenUsed/>
    <w:rsid w:val="00C74E35"/>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C74E35"/>
  </w:style>
  <w:style w:type="paragraph" w:styleId="BalloonText">
    <w:name w:val="Balloon Text"/>
    <w:basedOn w:val="Normal"/>
    <w:semiHidden/>
    <w:rsid w:val="00C1714A"/>
    <w:rPr>
      <w:rFonts w:ascii="Tahoma" w:hAnsi="Tahoma" w:cs="Tahoma"/>
      <w:sz w:val="16"/>
      <w:szCs w:val="16"/>
    </w:rPr>
  </w:style>
  <w:style w:type="character" w:styleId="CommentReference">
    <w:name w:val="annotation reference"/>
    <w:basedOn w:val="DefaultParagraphFont"/>
    <w:uiPriority w:val="99"/>
    <w:semiHidden/>
    <w:rsid w:val="00C1714A"/>
    <w:rPr>
      <w:sz w:val="16"/>
      <w:szCs w:val="16"/>
    </w:rPr>
  </w:style>
  <w:style w:type="paragraph" w:styleId="CommentText">
    <w:name w:val="annotation text"/>
    <w:basedOn w:val="Normal"/>
    <w:link w:val="CommentTextChar"/>
    <w:semiHidden/>
    <w:rsid w:val="00C1714A"/>
    <w:rPr>
      <w:sz w:val="20"/>
      <w:szCs w:val="20"/>
    </w:rPr>
  </w:style>
  <w:style w:type="paragraph" w:styleId="CommentSubject">
    <w:name w:val="annotation subject"/>
    <w:basedOn w:val="CommentText"/>
    <w:next w:val="CommentText"/>
    <w:semiHidden/>
    <w:rsid w:val="00C1714A"/>
    <w:rPr>
      <w:b/>
      <w:bCs/>
    </w:rPr>
  </w:style>
  <w:style w:type="paragraph" w:customStyle="1" w:styleId="Brdtext1">
    <w:name w:val="Brödtext1"/>
    <w:basedOn w:val="Normal"/>
    <w:rsid w:val="00DA7E8E"/>
    <w:pPr>
      <w:spacing w:after="0" w:line="320" w:lineRule="exact"/>
    </w:pPr>
    <w:rPr>
      <w:rFonts w:ascii="Times New Roman" w:eastAsia="Times New Roman" w:hAnsi="Times New Roman"/>
      <w:sz w:val="24"/>
      <w:szCs w:val="24"/>
      <w:lang w:val="sv-SE" w:eastAsia="fr-BE"/>
    </w:rPr>
  </w:style>
  <w:style w:type="character" w:customStyle="1" w:styleId="WW8Num4z0">
    <w:name w:val="WW8Num4z0"/>
    <w:rsid w:val="00D22024"/>
    <w:rPr>
      <w:rFonts w:ascii="Times New Roman" w:hAnsi="Times New Roman" w:cs="Times New Roman"/>
    </w:rPr>
  </w:style>
  <w:style w:type="paragraph" w:styleId="NormalWeb">
    <w:name w:val="Normal (Web)"/>
    <w:basedOn w:val="Normal"/>
    <w:rsid w:val="00022587"/>
    <w:pPr>
      <w:spacing w:before="100" w:beforeAutospacing="1" w:after="100" w:afterAutospacing="1" w:line="240" w:lineRule="auto"/>
    </w:pPr>
    <w:rPr>
      <w:rFonts w:ascii="Times New Roman" w:eastAsia="Times New Roman" w:hAnsi="Times New Roman"/>
      <w:sz w:val="24"/>
      <w:szCs w:val="24"/>
      <w:lang w:val="en-GB" w:eastAsia="fr-BE"/>
    </w:rPr>
  </w:style>
  <w:style w:type="paragraph" w:customStyle="1" w:styleId="Text2">
    <w:name w:val="Text 2"/>
    <w:basedOn w:val="Normal"/>
    <w:rsid w:val="00022587"/>
    <w:pPr>
      <w:spacing w:before="120" w:after="120" w:line="240" w:lineRule="auto"/>
      <w:ind w:left="850"/>
      <w:jc w:val="both"/>
    </w:pPr>
    <w:rPr>
      <w:rFonts w:ascii="Times New Roman" w:eastAsia="Times New Roman" w:hAnsi="Times New Roman"/>
      <w:snapToGrid w:val="0"/>
      <w:sz w:val="24"/>
      <w:szCs w:val="24"/>
      <w:lang w:val="lv-LV" w:eastAsia="en-GB"/>
    </w:rPr>
  </w:style>
  <w:style w:type="character" w:customStyle="1" w:styleId="at1">
    <w:name w:val="a__t1"/>
    <w:basedOn w:val="DefaultParagraphFont"/>
    <w:rsid w:val="00022587"/>
  </w:style>
  <w:style w:type="paragraph" w:customStyle="1" w:styleId="Garamond">
    <w:name w:val="Garamond"/>
    <w:basedOn w:val="Normal"/>
    <w:rsid w:val="00803571"/>
    <w:pPr>
      <w:spacing w:after="0" w:line="240" w:lineRule="auto"/>
      <w:jc w:val="center"/>
    </w:pPr>
    <w:rPr>
      <w:rFonts w:ascii="Times New Roman" w:eastAsia="Times New Roman" w:hAnsi="Times New Roman"/>
      <w:b/>
      <w:bCs/>
      <w:sz w:val="48"/>
      <w:szCs w:val="48"/>
      <w:lang w:val="lv-LV"/>
    </w:rPr>
  </w:style>
  <w:style w:type="paragraph" w:customStyle="1" w:styleId="EntEmet">
    <w:name w:val="EntEmet"/>
    <w:basedOn w:val="Normal"/>
    <w:rsid w:val="00AB5379"/>
    <w:pPr>
      <w:widowControl w:val="0"/>
      <w:tabs>
        <w:tab w:val="left" w:pos="284"/>
        <w:tab w:val="left" w:pos="567"/>
        <w:tab w:val="left" w:pos="851"/>
        <w:tab w:val="left" w:pos="1134"/>
        <w:tab w:val="left" w:pos="1418"/>
      </w:tabs>
      <w:suppressAutoHyphens/>
      <w:spacing w:before="40" w:after="0" w:line="240" w:lineRule="auto"/>
    </w:pPr>
    <w:rPr>
      <w:rFonts w:ascii="Times New Roman" w:eastAsia="Times New Roman" w:hAnsi="Times New Roman"/>
      <w:sz w:val="24"/>
      <w:szCs w:val="20"/>
      <w:lang w:val="en-GB" w:eastAsia="ar-SA"/>
    </w:rPr>
  </w:style>
  <w:style w:type="paragraph" w:customStyle="1" w:styleId="Text1">
    <w:name w:val="Text 1"/>
    <w:basedOn w:val="Normal"/>
    <w:rsid w:val="00134A3A"/>
    <w:pPr>
      <w:spacing w:before="120" w:after="120" w:line="240" w:lineRule="auto"/>
      <w:ind w:left="851"/>
      <w:jc w:val="both"/>
    </w:pPr>
    <w:rPr>
      <w:rFonts w:ascii="Times New Roman" w:eastAsia="Times New Roman" w:hAnsi="Times New Roman"/>
      <w:sz w:val="24"/>
      <w:szCs w:val="24"/>
      <w:lang w:val="en-GB" w:eastAsia="fr-BE"/>
    </w:rPr>
  </w:style>
  <w:style w:type="paragraph" w:customStyle="1" w:styleId="StyleEE-numbering12pt">
    <w:name w:val="Style EE-numbering + 12 pt"/>
    <w:basedOn w:val="Normal"/>
    <w:link w:val="StyleEE-numbering12ptChar"/>
    <w:autoRedefine/>
    <w:rsid w:val="001D2C2D"/>
    <w:pPr>
      <w:spacing w:before="120" w:after="0" w:line="240" w:lineRule="auto"/>
      <w:jc w:val="both"/>
    </w:pPr>
    <w:rPr>
      <w:rFonts w:ascii="Times New Roman" w:eastAsia="Times New Roman" w:hAnsi="Times New Roman"/>
      <w:noProof/>
      <w:color w:val="000000"/>
      <w:sz w:val="24"/>
      <w:szCs w:val="24"/>
      <w:lang w:val="lv-LV" w:eastAsia="lv-LV"/>
    </w:rPr>
  </w:style>
  <w:style w:type="character" w:customStyle="1" w:styleId="StyleEE-numbering12ptChar">
    <w:name w:val="Style EE-numbering + 12 pt Char"/>
    <w:basedOn w:val="DefaultParagraphFont"/>
    <w:link w:val="StyleEE-numbering12pt"/>
    <w:rsid w:val="001D2C2D"/>
    <w:rPr>
      <w:rFonts w:ascii="Times New Roman" w:eastAsia="Times New Roman" w:hAnsi="Times New Roman"/>
      <w:noProof/>
      <w:color w:val="000000"/>
      <w:sz w:val="24"/>
      <w:szCs w:val="24"/>
    </w:rPr>
  </w:style>
  <w:style w:type="paragraph" w:customStyle="1" w:styleId="WW-BodyText2">
    <w:name w:val="WW-Body Text 2"/>
    <w:basedOn w:val="Normal"/>
    <w:rsid w:val="00653FE5"/>
    <w:pPr>
      <w:suppressAutoHyphens/>
      <w:spacing w:after="0" w:line="240" w:lineRule="auto"/>
      <w:jc w:val="center"/>
    </w:pPr>
    <w:rPr>
      <w:rFonts w:ascii="Times New Roman" w:eastAsia="Times New Roman" w:hAnsi="Times New Roman"/>
      <w:sz w:val="32"/>
      <w:szCs w:val="24"/>
      <w:lang w:val="lv-LV" w:eastAsia="ar-SA"/>
    </w:rPr>
  </w:style>
  <w:style w:type="character" w:customStyle="1" w:styleId="apple-style-span">
    <w:name w:val="apple-style-span"/>
    <w:basedOn w:val="DefaultParagraphFont"/>
    <w:rsid w:val="00653FE5"/>
  </w:style>
  <w:style w:type="character" w:customStyle="1" w:styleId="longtext">
    <w:name w:val="long_text"/>
    <w:basedOn w:val="DefaultParagraphFont"/>
    <w:rsid w:val="001D35C4"/>
  </w:style>
  <w:style w:type="character" w:customStyle="1" w:styleId="StyleNormal">
    <w:name w:val="Style Normal +"/>
    <w:basedOn w:val="DefaultParagraphFont"/>
    <w:rsid w:val="001D35C4"/>
    <w:rPr>
      <w:rFonts w:ascii="Times New Roman" w:hAnsi="Times New Roman"/>
      <w:sz w:val="24"/>
    </w:rPr>
  </w:style>
  <w:style w:type="character" w:customStyle="1" w:styleId="CommentTextChar">
    <w:name w:val="Comment Text Char"/>
    <w:basedOn w:val="DefaultParagraphFont"/>
    <w:link w:val="CommentText"/>
    <w:semiHidden/>
    <w:rsid w:val="00A7482D"/>
    <w:rPr>
      <w:lang w:val="en-US" w:eastAsia="en-US"/>
    </w:rPr>
  </w:style>
  <w:style w:type="paragraph" w:styleId="ListNumber">
    <w:name w:val="List Number"/>
    <w:basedOn w:val="Normal"/>
    <w:semiHidden/>
    <w:rsid w:val="00C14A8F"/>
    <w:pPr>
      <w:numPr>
        <w:numId w:val="4"/>
      </w:numPr>
      <w:spacing w:before="120" w:after="120" w:line="240" w:lineRule="auto"/>
      <w:jc w:val="both"/>
    </w:pPr>
    <w:rPr>
      <w:rFonts w:ascii="Times New Roman" w:eastAsia="Times New Roman" w:hAnsi="Times New Roman"/>
      <w:snapToGrid w:val="0"/>
      <w:sz w:val="24"/>
      <w:szCs w:val="24"/>
      <w:lang w:val="lv-LV" w:eastAsia="en-GB"/>
    </w:rPr>
  </w:style>
  <w:style w:type="paragraph" w:customStyle="1" w:styleId="ListNumberLevel2">
    <w:name w:val="List Number (Level 2)"/>
    <w:basedOn w:val="Normal"/>
    <w:rsid w:val="00C14A8F"/>
    <w:pPr>
      <w:numPr>
        <w:ilvl w:val="1"/>
        <w:numId w:val="4"/>
      </w:numPr>
      <w:spacing w:before="120" w:after="120" w:line="240" w:lineRule="auto"/>
      <w:jc w:val="both"/>
    </w:pPr>
    <w:rPr>
      <w:rFonts w:ascii="Times New Roman" w:eastAsia="Times New Roman" w:hAnsi="Times New Roman"/>
      <w:snapToGrid w:val="0"/>
      <w:sz w:val="24"/>
      <w:szCs w:val="24"/>
      <w:lang w:val="lv-LV" w:eastAsia="en-GB"/>
    </w:rPr>
  </w:style>
  <w:style w:type="paragraph" w:customStyle="1" w:styleId="ListNumberLevel3">
    <w:name w:val="List Number (Level 3)"/>
    <w:basedOn w:val="Normal"/>
    <w:rsid w:val="00C14A8F"/>
    <w:pPr>
      <w:numPr>
        <w:ilvl w:val="2"/>
        <w:numId w:val="4"/>
      </w:numPr>
      <w:spacing w:before="120" w:after="120" w:line="240" w:lineRule="auto"/>
      <w:jc w:val="both"/>
    </w:pPr>
    <w:rPr>
      <w:rFonts w:ascii="Times New Roman" w:eastAsia="Times New Roman" w:hAnsi="Times New Roman"/>
      <w:snapToGrid w:val="0"/>
      <w:sz w:val="24"/>
      <w:szCs w:val="24"/>
      <w:lang w:val="lv-LV" w:eastAsia="en-GB"/>
    </w:rPr>
  </w:style>
  <w:style w:type="paragraph" w:customStyle="1" w:styleId="ListNumberLevel4">
    <w:name w:val="List Number (Level 4)"/>
    <w:basedOn w:val="Normal"/>
    <w:rsid w:val="00C14A8F"/>
    <w:pPr>
      <w:numPr>
        <w:ilvl w:val="3"/>
        <w:numId w:val="4"/>
      </w:numPr>
      <w:spacing w:before="120" w:after="120" w:line="240" w:lineRule="auto"/>
      <w:jc w:val="both"/>
    </w:pPr>
    <w:rPr>
      <w:rFonts w:ascii="Times New Roman" w:eastAsia="Times New Roman" w:hAnsi="Times New Roman"/>
      <w:snapToGrid w:val="0"/>
      <w:sz w:val="24"/>
      <w:szCs w:val="24"/>
      <w:lang w:val="lv-LV" w:eastAsia="en-GB"/>
    </w:rPr>
  </w:style>
  <w:style w:type="paragraph" w:customStyle="1" w:styleId="Sarakstarindkopa1">
    <w:name w:val="Saraksta rindkopa1"/>
    <w:basedOn w:val="Normal"/>
    <w:uiPriority w:val="99"/>
    <w:rsid w:val="006F22CC"/>
    <w:pPr>
      <w:suppressAutoHyphens/>
      <w:spacing w:after="0" w:line="240" w:lineRule="auto"/>
      <w:ind w:left="720"/>
    </w:pPr>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rsid w:val="00771614"/>
    <w:rPr>
      <w:rFonts w:ascii="Arial" w:eastAsia="Times New Roman" w:hAnsi="Arial" w:cs="Arial"/>
      <w:b/>
      <w:bCs/>
      <w:i/>
      <w:iCs/>
      <w:sz w:val="28"/>
      <w:szCs w:val="28"/>
      <w:lang w:val="en-GB"/>
    </w:rPr>
  </w:style>
  <w:style w:type="character" w:styleId="Hyperlink">
    <w:name w:val="Hyperlink"/>
    <w:basedOn w:val="DefaultParagraphFont"/>
    <w:uiPriority w:val="99"/>
    <w:rsid w:val="004D582F"/>
    <w:rPr>
      <w:color w:val="0000FF"/>
      <w:u w:val="single"/>
    </w:rPr>
  </w:style>
  <w:style w:type="character" w:customStyle="1" w:styleId="WW8Num2z0">
    <w:name w:val="WW8Num2z0"/>
    <w:rsid w:val="0037233F"/>
    <w:rPr>
      <w:rFonts w:ascii="Wingdings" w:hAnsi="Wingdings"/>
    </w:rPr>
  </w:style>
  <w:style w:type="paragraph" w:customStyle="1" w:styleId="Listaszerubekezds">
    <w:name w:val="Listaszeru bekezdés"/>
    <w:basedOn w:val="Normal"/>
    <w:rsid w:val="0037233F"/>
    <w:pPr>
      <w:ind w:left="720"/>
      <w:contextualSpacing/>
    </w:pPr>
    <w:rPr>
      <w:rFonts w:eastAsia="Times New Roman" w:cs="Calibri"/>
      <w:lang w:val="hu-HU" w:eastAsia="fr-BE"/>
    </w:rPr>
  </w:style>
  <w:style w:type="paragraph" w:styleId="NoSpacing">
    <w:name w:val="No Spacing"/>
    <w:uiPriority w:val="1"/>
    <w:qFormat/>
    <w:rsid w:val="008C23FC"/>
    <w:rPr>
      <w:sz w:val="22"/>
      <w:szCs w:val="22"/>
      <w:lang w:val="en-US" w:eastAsia="en-US"/>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nhideWhenUsed/>
    <w:rsid w:val="009737B7"/>
    <w:rPr>
      <w:sz w:val="20"/>
      <w:szCs w:val="20"/>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rsid w:val="009737B7"/>
    <w:rPr>
      <w:lang w:val="en-US" w:eastAsia="en-US"/>
    </w:rPr>
  </w:style>
  <w:style w:type="character" w:styleId="FootnoteReference">
    <w:name w:val="footnote reference"/>
    <w:aliases w:val="Footnote Reference Superscript,Footnote symbol,Footnote Reference Number,SUPERS,Footnote Refernece"/>
    <w:basedOn w:val="DefaultParagraphFont"/>
    <w:rsid w:val="009737B7"/>
    <w:rPr>
      <w:rFonts w:ascii="Times New Roman" w:hAnsi="Times New Roman" w:cs="Times New Roman"/>
      <w:b/>
      <w:bCs/>
      <w:snapToGrid w:val="0"/>
      <w:vertAlign w:val="superscript"/>
    </w:rPr>
  </w:style>
  <w:style w:type="character" w:customStyle="1" w:styleId="ListParagraphChar">
    <w:name w:val="List Paragraph Char"/>
    <w:link w:val="ListParagraph"/>
    <w:uiPriority w:val="99"/>
    <w:locked/>
    <w:rsid w:val="009E3383"/>
    <w:rPr>
      <w:sz w:val="22"/>
      <w:szCs w:val="22"/>
      <w:lang w:val="en-US" w:eastAsia="en-US"/>
    </w:rPr>
  </w:style>
  <w:style w:type="paragraph" w:customStyle="1" w:styleId="Akapitzlista">
    <w:name w:val="Akapit z lista"/>
    <w:basedOn w:val="Normal"/>
    <w:rsid w:val="009E3383"/>
    <w:pPr>
      <w:spacing w:after="0" w:line="240" w:lineRule="auto"/>
      <w:ind w:left="720"/>
      <w:contextualSpacing/>
    </w:pPr>
    <w:rPr>
      <w:rFonts w:eastAsia="Times New Roman" w:cs="Calibri"/>
      <w:sz w:val="24"/>
      <w:szCs w:val="24"/>
      <w:lang w:val="cs-CZ" w:eastAsia="fr-BE"/>
    </w:rPr>
  </w:style>
  <w:style w:type="character" w:customStyle="1" w:styleId="at5">
    <w:name w:val="a__t5"/>
    <w:basedOn w:val="DefaultParagraphFont"/>
    <w:rsid w:val="009E3383"/>
  </w:style>
  <w:style w:type="paragraph" w:customStyle="1" w:styleId="Listaszerbekezds">
    <w:name w:val="Listaszerű bekezdés"/>
    <w:basedOn w:val="Normal"/>
    <w:qFormat/>
    <w:rsid w:val="00FC062F"/>
    <w:pPr>
      <w:ind w:left="720"/>
      <w:contextualSpacing/>
    </w:pPr>
    <w:rPr>
      <w:lang w:val="hu-HU"/>
    </w:rPr>
  </w:style>
  <w:style w:type="character" w:customStyle="1" w:styleId="hps">
    <w:name w:val="hps"/>
    <w:basedOn w:val="DefaultParagraphFont"/>
    <w:rsid w:val="00F0254F"/>
  </w:style>
  <w:style w:type="paragraph" w:customStyle="1" w:styleId="Pirrafodelista">
    <w:name w:val="Pirrafo de lista"/>
    <w:basedOn w:val="Normal"/>
    <w:rsid w:val="004E45AC"/>
    <w:pPr>
      <w:widowControl w:val="0"/>
      <w:spacing w:after="0" w:line="240" w:lineRule="auto"/>
      <w:ind w:left="708"/>
    </w:pPr>
    <w:rPr>
      <w:rFonts w:ascii="Times New Roman" w:eastAsia="Times New Roman" w:hAnsi="Times New Roman"/>
      <w:sz w:val="24"/>
      <w:szCs w:val="24"/>
      <w:lang w:val="en-GB"/>
    </w:rPr>
  </w:style>
  <w:style w:type="paragraph" w:styleId="ListBullet">
    <w:name w:val="List Bullet"/>
    <w:basedOn w:val="Normal"/>
    <w:rsid w:val="00184224"/>
    <w:pPr>
      <w:numPr>
        <w:numId w:val="28"/>
      </w:numPr>
      <w:spacing w:before="120" w:after="120" w:line="240" w:lineRule="auto"/>
      <w:jc w:val="both"/>
    </w:pPr>
    <w:rPr>
      <w:rFonts w:ascii="Times New Roman" w:eastAsia="Times New Roman" w:hAnsi="Times New Roman"/>
      <w:sz w:val="24"/>
      <w:szCs w:val="24"/>
      <w:lang w:val="lv-LV" w:eastAsia="en-GB"/>
    </w:rPr>
  </w:style>
  <w:style w:type="paragraph" w:customStyle="1" w:styleId="ManualConsidrant">
    <w:name w:val="Manual Considérant"/>
    <w:basedOn w:val="Normal"/>
    <w:uiPriority w:val="99"/>
    <w:rsid w:val="00A77519"/>
    <w:pPr>
      <w:spacing w:before="120" w:after="120" w:line="240" w:lineRule="auto"/>
      <w:ind w:left="709" w:hanging="709"/>
      <w:jc w:val="both"/>
    </w:pPr>
    <w:rPr>
      <w:rFonts w:ascii="Times New Roman" w:eastAsia="Times New Roman" w:hAnsi="Times New Roman"/>
      <w:sz w:val="24"/>
      <w:szCs w:val="24"/>
      <w:lang w:val="lv-LV"/>
    </w:rPr>
  </w:style>
  <w:style w:type="paragraph" w:styleId="BodyText">
    <w:name w:val="Body Text"/>
    <w:basedOn w:val="Normal"/>
    <w:link w:val="BodyTextChar"/>
    <w:uiPriority w:val="99"/>
    <w:rsid w:val="00BE11AE"/>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99"/>
    <w:rsid w:val="00BE11AE"/>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350568300">
      <w:bodyDiv w:val="1"/>
      <w:marLeft w:val="0"/>
      <w:marRight w:val="0"/>
      <w:marTop w:val="0"/>
      <w:marBottom w:val="0"/>
      <w:divBdr>
        <w:top w:val="none" w:sz="0" w:space="0" w:color="auto"/>
        <w:left w:val="none" w:sz="0" w:space="0" w:color="auto"/>
        <w:bottom w:val="none" w:sz="0" w:space="0" w:color="auto"/>
        <w:right w:val="none" w:sz="0" w:space="0" w:color="auto"/>
      </w:divBdr>
      <w:divsChild>
        <w:div w:id="1262447459">
          <w:marLeft w:val="0"/>
          <w:marRight w:val="0"/>
          <w:marTop w:val="0"/>
          <w:marBottom w:val="0"/>
          <w:divBdr>
            <w:top w:val="none" w:sz="0" w:space="0" w:color="auto"/>
            <w:left w:val="none" w:sz="0" w:space="0" w:color="auto"/>
            <w:bottom w:val="none" w:sz="0" w:space="0" w:color="auto"/>
            <w:right w:val="none" w:sz="0" w:space="0" w:color="auto"/>
          </w:divBdr>
          <w:divsChild>
            <w:div w:id="677541793">
              <w:marLeft w:val="0"/>
              <w:marRight w:val="0"/>
              <w:marTop w:val="0"/>
              <w:marBottom w:val="0"/>
              <w:divBdr>
                <w:top w:val="none" w:sz="0" w:space="0" w:color="auto"/>
                <w:left w:val="none" w:sz="0" w:space="0" w:color="auto"/>
                <w:bottom w:val="none" w:sz="0" w:space="0" w:color="auto"/>
                <w:right w:val="none" w:sz="0" w:space="0" w:color="auto"/>
              </w:divBdr>
            </w:div>
            <w:div w:id="922494976">
              <w:marLeft w:val="0"/>
              <w:marRight w:val="0"/>
              <w:marTop w:val="0"/>
              <w:marBottom w:val="0"/>
              <w:divBdr>
                <w:top w:val="none" w:sz="0" w:space="0" w:color="auto"/>
                <w:left w:val="none" w:sz="0" w:space="0" w:color="auto"/>
                <w:bottom w:val="none" w:sz="0" w:space="0" w:color="auto"/>
                <w:right w:val="none" w:sz="0" w:space="0" w:color="auto"/>
              </w:divBdr>
            </w:div>
            <w:div w:id="1914965660">
              <w:marLeft w:val="0"/>
              <w:marRight w:val="0"/>
              <w:marTop w:val="0"/>
              <w:marBottom w:val="0"/>
              <w:divBdr>
                <w:top w:val="none" w:sz="0" w:space="0" w:color="auto"/>
                <w:left w:val="none" w:sz="0" w:space="0" w:color="auto"/>
                <w:bottom w:val="none" w:sz="0" w:space="0" w:color="auto"/>
                <w:right w:val="none" w:sz="0" w:space="0" w:color="auto"/>
              </w:divBdr>
            </w:div>
            <w:div w:id="2013560657">
              <w:marLeft w:val="0"/>
              <w:marRight w:val="0"/>
              <w:marTop w:val="0"/>
              <w:marBottom w:val="0"/>
              <w:divBdr>
                <w:top w:val="none" w:sz="0" w:space="0" w:color="auto"/>
                <w:left w:val="none" w:sz="0" w:space="0" w:color="auto"/>
                <w:bottom w:val="none" w:sz="0" w:space="0" w:color="auto"/>
                <w:right w:val="none" w:sz="0" w:space="0" w:color="auto"/>
              </w:divBdr>
            </w:div>
            <w:div w:id="2022730728">
              <w:marLeft w:val="0"/>
              <w:marRight w:val="0"/>
              <w:marTop w:val="0"/>
              <w:marBottom w:val="0"/>
              <w:divBdr>
                <w:top w:val="none" w:sz="0" w:space="0" w:color="auto"/>
                <w:left w:val="none" w:sz="0" w:space="0" w:color="auto"/>
                <w:bottom w:val="none" w:sz="0" w:space="0" w:color="auto"/>
                <w:right w:val="none" w:sz="0" w:space="0" w:color="auto"/>
              </w:divBdr>
            </w:div>
            <w:div w:id="21274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13648</Words>
  <Characters>7780</Characters>
  <Application>Microsoft Office Word</Application>
  <DocSecurity>0</DocSecurity>
  <Lines>64</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IZMzino_201112_IJKMP; Informatīvais ziņojums „Par 2012.gada 26.-27.novembrī Briselē, Beļģijā, Eiropas Savienības Izglītības, jaunatnes, kultūras un sporta ministru padomē izskatāmajiem Izglītības un zinātnes ministrijas kompetencē esošajiem jautājumiem”</vt:lpstr>
      <vt:lpstr>IZMzino_201112_IJKMP; Informatīvais ziņojums „Par 2012.gada 26.-27.novembrī Briselē, Beļģijā, Eiropas Savienības Izglītības, jaunatnes, kultūras un sporta ministru padomē izskatāmajiem Izglītības un zinātnes ministrijas kompetencē esošajiem jautājumiem”</vt:lpstr>
    </vt:vector>
  </TitlesOfParts>
  <Company>IZM</Company>
  <LinksUpToDate>false</LinksUpToDate>
  <CharactersWithSpaces>21386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IZMzino_201112_IJKMP; Informatīvais ziņojums „Par 2012.gada 26.-27.novembrī Briselē, Beļģijā, Eiropas Savienības Izglītības, jaunatnes, kultūras un sporta ministru padomē izskatāmajiem Izglītības un zinātnes ministrijas kompetencē esošajiem jautājumiem”</dc:title>
  <dc:subject>TAP informatīvais ziņojums</dc:subject>
  <dc:creator>Maija Zvirbule</dc:creator>
  <dc:description>maija.zvirbule@izm.gov.lv
tālr. 67047905</dc:description>
  <cp:lastModifiedBy>akucinska</cp:lastModifiedBy>
  <cp:revision>3</cp:revision>
  <cp:lastPrinted>2013-05-13T05:06:00Z</cp:lastPrinted>
  <dcterms:created xsi:type="dcterms:W3CDTF">2013-05-12T17:14:00Z</dcterms:created>
  <dcterms:modified xsi:type="dcterms:W3CDTF">2013-05-13T05:07:00Z</dcterms:modified>
</cp:coreProperties>
</file>