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A6" w:rsidRPr="00AB2A5C" w:rsidRDefault="00616AA6" w:rsidP="00616AA6">
      <w:pPr>
        <w:jc w:val="center"/>
        <w:rPr>
          <w:b/>
          <w:color w:val="000000"/>
          <w:sz w:val="28"/>
          <w:szCs w:val="28"/>
        </w:rPr>
      </w:pPr>
      <w:r w:rsidRPr="00BA5E65">
        <w:rPr>
          <w:b/>
          <w:sz w:val="28"/>
          <w:szCs w:val="28"/>
        </w:rPr>
        <w:t>Ministru kabineta noteikumu projekta „Grozījum</w:t>
      </w:r>
      <w:r w:rsidR="007902B1">
        <w:rPr>
          <w:b/>
          <w:sz w:val="28"/>
          <w:szCs w:val="28"/>
        </w:rPr>
        <w:t>i</w:t>
      </w:r>
      <w:r w:rsidRPr="00BA5E65">
        <w:rPr>
          <w:b/>
          <w:color w:val="000000"/>
          <w:sz w:val="28"/>
          <w:szCs w:val="28"/>
        </w:rPr>
        <w:t xml:space="preserve"> </w:t>
      </w:r>
      <w:r w:rsidR="00633977" w:rsidRPr="00633977">
        <w:rPr>
          <w:b/>
          <w:color w:val="000000"/>
          <w:sz w:val="28"/>
          <w:szCs w:val="28"/>
        </w:rPr>
        <w:t xml:space="preserve">Ministru kabineta </w:t>
      </w:r>
      <w:r w:rsidR="00633977" w:rsidRPr="00633977">
        <w:rPr>
          <w:b/>
          <w:sz w:val="28"/>
          <w:szCs w:val="28"/>
        </w:rPr>
        <w:t xml:space="preserve">2010.gada 21.jūnija </w:t>
      </w:r>
      <w:r w:rsidR="00633977" w:rsidRPr="00633977">
        <w:rPr>
          <w:b/>
          <w:color w:val="000000"/>
          <w:sz w:val="28"/>
          <w:szCs w:val="28"/>
        </w:rPr>
        <w:t>noteikumos Nr.569</w:t>
      </w:r>
      <w:r w:rsidR="00633977" w:rsidRPr="00633977">
        <w:rPr>
          <w:b/>
          <w:bCs/>
          <w:sz w:val="28"/>
          <w:szCs w:val="28"/>
        </w:rPr>
        <w:t xml:space="preserve"> „</w:t>
      </w:r>
      <w:r w:rsidR="00633977" w:rsidRPr="00633977">
        <w:rPr>
          <w:b/>
          <w:sz w:val="28"/>
          <w:szCs w:val="28"/>
        </w:rPr>
        <w:t>Kārtība, kādā Iekšlietu ministrijas sistēmas iestāžu un Ieslodzījuma vietu pārvaldes amatpersona ar speciālo dienesta pakāpi saņem apmaksātus veselības aprūpes pakalpojumus””</w:t>
      </w:r>
      <w:r w:rsidR="00633977">
        <w:rPr>
          <w:b/>
          <w:sz w:val="28"/>
          <w:szCs w:val="28"/>
        </w:rPr>
        <w:t xml:space="preserve"> </w:t>
      </w:r>
      <w:r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AB2A5C">
          <w:rPr>
            <w:b/>
            <w:sz w:val="28"/>
            <w:szCs w:val="28"/>
          </w:rPr>
          <w:t>ziņojums</w:t>
        </w:r>
      </w:smartTag>
    </w:p>
    <w:p w:rsidR="00616AA6" w:rsidRPr="00AB2A5C" w:rsidRDefault="00616AA6" w:rsidP="00616AA6">
      <w:pPr>
        <w:pStyle w:val="Footer"/>
        <w:jc w:val="center"/>
        <w:rPr>
          <w:b/>
          <w:sz w:val="28"/>
          <w:szCs w:val="28"/>
        </w:rPr>
      </w:pPr>
      <w:r w:rsidRPr="00AB2A5C">
        <w:rPr>
          <w:b/>
          <w:sz w:val="28"/>
          <w:szCs w:val="28"/>
        </w:rPr>
        <w:t>(anotācija)</w:t>
      </w:r>
    </w:p>
    <w:p w:rsidR="00616AA6" w:rsidRPr="00BA5E65" w:rsidRDefault="00616AA6" w:rsidP="00616AA6">
      <w:pPr>
        <w:pStyle w:val="BodyText"/>
        <w:rPr>
          <w:szCs w:val="28"/>
        </w:rPr>
      </w:pPr>
    </w:p>
    <w:tbl>
      <w:tblPr>
        <w:tblW w:w="954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
        <w:gridCol w:w="1003"/>
        <w:gridCol w:w="2338"/>
        <w:gridCol w:w="512"/>
        <w:gridCol w:w="5550"/>
      </w:tblGrid>
      <w:tr w:rsidR="00616AA6" w:rsidRPr="00762374" w:rsidTr="00FF063B">
        <w:trPr>
          <w:gridBefore w:val="1"/>
          <w:wBefore w:w="137" w:type="dxa"/>
        </w:trPr>
        <w:tc>
          <w:tcPr>
            <w:tcW w:w="9403" w:type="dxa"/>
            <w:gridSpan w:val="4"/>
          </w:tcPr>
          <w:p w:rsidR="00616AA6" w:rsidRPr="00762374" w:rsidRDefault="00616AA6" w:rsidP="006F255D">
            <w:pPr>
              <w:pStyle w:val="BodyText"/>
              <w:rPr>
                <w:sz w:val="26"/>
                <w:szCs w:val="26"/>
              </w:rPr>
            </w:pPr>
            <w:r w:rsidRPr="00762374">
              <w:rPr>
                <w:sz w:val="26"/>
                <w:szCs w:val="26"/>
              </w:rPr>
              <w:t>I. Tiesību akta projekta izstrādes nepieciešamība</w:t>
            </w:r>
          </w:p>
        </w:tc>
      </w:tr>
      <w:tr w:rsidR="00616AA6" w:rsidRPr="00762374" w:rsidTr="00FF063B">
        <w:trPr>
          <w:gridBefore w:val="1"/>
          <w:wBefore w:w="137" w:type="dxa"/>
        </w:trPr>
        <w:tc>
          <w:tcPr>
            <w:tcW w:w="1003" w:type="dxa"/>
          </w:tcPr>
          <w:p w:rsidR="00616AA6" w:rsidRPr="00762374" w:rsidRDefault="00616AA6" w:rsidP="006F255D">
            <w:pPr>
              <w:jc w:val="center"/>
              <w:rPr>
                <w:sz w:val="26"/>
                <w:szCs w:val="26"/>
              </w:rPr>
            </w:pPr>
            <w:r w:rsidRPr="00762374">
              <w:rPr>
                <w:sz w:val="26"/>
                <w:szCs w:val="26"/>
              </w:rPr>
              <w:t>1.</w:t>
            </w:r>
          </w:p>
        </w:tc>
        <w:tc>
          <w:tcPr>
            <w:tcW w:w="2850" w:type="dxa"/>
            <w:gridSpan w:val="2"/>
          </w:tcPr>
          <w:p w:rsidR="00616AA6" w:rsidRPr="00762374" w:rsidRDefault="00616AA6" w:rsidP="006F255D">
            <w:pPr>
              <w:rPr>
                <w:sz w:val="26"/>
                <w:szCs w:val="26"/>
              </w:rPr>
            </w:pPr>
            <w:r w:rsidRPr="00762374">
              <w:rPr>
                <w:sz w:val="26"/>
                <w:szCs w:val="26"/>
              </w:rPr>
              <w:t>Pamatojums</w:t>
            </w:r>
          </w:p>
        </w:tc>
        <w:tc>
          <w:tcPr>
            <w:tcW w:w="5550" w:type="dxa"/>
          </w:tcPr>
          <w:p w:rsidR="00616AA6" w:rsidRPr="00201FF6" w:rsidRDefault="00CE512C" w:rsidP="00412A9D">
            <w:pPr>
              <w:ind w:firstLine="720"/>
              <w:jc w:val="both"/>
            </w:pPr>
            <w:r w:rsidRPr="00CE512C">
              <w:rPr>
                <w:lang w:eastAsia="lv-LV"/>
              </w:rPr>
              <w:t>Valdības rīcības plāna Deklarācija par Valda Dombrovska vadītā Ministru kabineta iecerēto darbību īstenošanu, kas apstiprināts ar Ministru kabineta</w:t>
            </w:r>
            <w:r w:rsidRPr="00CE512C">
              <w:t xml:space="preserve"> </w:t>
            </w:r>
            <w:r w:rsidRPr="00CE512C">
              <w:rPr>
                <w:lang w:eastAsia="lv-LV"/>
              </w:rPr>
              <w:t>2012.gada 16.februāra rīkojumu Nr.84, 123.2.punkts.</w:t>
            </w:r>
            <w:r w:rsidRPr="00927D86">
              <w:rPr>
                <w:sz w:val="28"/>
                <w:szCs w:val="28"/>
                <w:lang w:eastAsia="lv-LV"/>
              </w:rPr>
              <w:t xml:space="preserve"> </w:t>
            </w:r>
            <w:r w:rsidR="002B2B21" w:rsidRPr="00201FF6">
              <w:t>Ministru kabineta 2013.gada 19.marta sēdes protokola Nr.15 36§ 5.1.apakšpunkts</w:t>
            </w:r>
            <w:r w:rsidR="0072444E" w:rsidRPr="00201FF6">
              <w:t xml:space="preserve"> un </w:t>
            </w:r>
            <w:r w:rsidR="002B2B21" w:rsidRPr="00201FF6">
              <w:t xml:space="preserve">2013.gada 27.augusta sēdes protokola Nr.46 </w:t>
            </w:r>
            <w:r w:rsidR="00412A9D" w:rsidRPr="00201FF6">
              <w:t xml:space="preserve"> 102</w:t>
            </w:r>
            <w:r w:rsidR="002B2B21" w:rsidRPr="00201FF6">
              <w:t>§ 1.punkts.</w:t>
            </w:r>
          </w:p>
        </w:tc>
      </w:tr>
      <w:tr w:rsidR="00616AA6" w:rsidRPr="00762374" w:rsidTr="00FF063B">
        <w:trPr>
          <w:gridBefore w:val="1"/>
          <w:wBefore w:w="137" w:type="dxa"/>
        </w:trPr>
        <w:tc>
          <w:tcPr>
            <w:tcW w:w="1003" w:type="dxa"/>
          </w:tcPr>
          <w:p w:rsidR="00616AA6" w:rsidRPr="00762374" w:rsidRDefault="00616AA6" w:rsidP="006F255D">
            <w:pPr>
              <w:jc w:val="center"/>
              <w:rPr>
                <w:sz w:val="26"/>
                <w:szCs w:val="26"/>
              </w:rPr>
            </w:pPr>
            <w:r w:rsidRPr="00762374">
              <w:rPr>
                <w:sz w:val="26"/>
                <w:szCs w:val="26"/>
              </w:rPr>
              <w:t>2.</w:t>
            </w:r>
          </w:p>
        </w:tc>
        <w:tc>
          <w:tcPr>
            <w:tcW w:w="2850" w:type="dxa"/>
            <w:gridSpan w:val="2"/>
          </w:tcPr>
          <w:p w:rsidR="00616AA6" w:rsidRPr="00762374" w:rsidRDefault="00616AA6" w:rsidP="006F255D">
            <w:pPr>
              <w:rPr>
                <w:sz w:val="26"/>
                <w:szCs w:val="26"/>
              </w:rPr>
            </w:pPr>
            <w:r w:rsidRPr="00762374">
              <w:rPr>
                <w:sz w:val="26"/>
                <w:szCs w:val="26"/>
              </w:rPr>
              <w:t>Pašreizējā situācija un problēmas</w:t>
            </w:r>
          </w:p>
        </w:tc>
        <w:tc>
          <w:tcPr>
            <w:tcW w:w="5550" w:type="dxa"/>
          </w:tcPr>
          <w:p w:rsidR="00A456E3" w:rsidRPr="005743E1" w:rsidRDefault="00F93A0F" w:rsidP="004B7F9D">
            <w:pPr>
              <w:pStyle w:val="tv213"/>
              <w:spacing w:before="0" w:beforeAutospacing="0" w:after="0" w:afterAutospacing="0"/>
              <w:ind w:firstLine="703"/>
              <w:jc w:val="both"/>
            </w:pPr>
            <w:r w:rsidRPr="005743E1">
              <w:t xml:space="preserve">Ministru kabineta 2012.gada 16.februāra rīkojums Nr.84 "Par Valdības rīcības plānu Deklarācijas par Valda Dombrovska vadītā Ministru kabineta iecerēto darbību īstenošanai" 123.2. apakšpunktā paredzēts uzdevums - pilnveidot sociālo garantiju sistēmu Iekšlietu ministrijas sistēmas iestāžu un Ieslodzījuma vietu pārvaldes amatpersonām ar speciālajām dienesta pakāpēm (turpmāk – amatpersonas), uzlabojot veselības aprūpi un pārskatot pabalstu sistēmu, ja amatpersona, kura, pildot ar dzīvības vai veselības apdraudējumu (risku) saistītus dienesta pienākumus, ir cietusi nelaimes gadījumā un guvusi ievainojumu vai sakropļojumu vai kuras veselībai nodarīts citāds kaitējums.  </w:t>
            </w:r>
          </w:p>
          <w:p w:rsidR="00410369" w:rsidRPr="005743E1" w:rsidRDefault="00410369" w:rsidP="004B7F9D">
            <w:pPr>
              <w:pStyle w:val="tv213"/>
              <w:spacing w:before="0" w:beforeAutospacing="0" w:after="0" w:afterAutospacing="0"/>
              <w:ind w:firstLine="703"/>
              <w:jc w:val="both"/>
            </w:pPr>
            <w:r w:rsidRPr="005743E1">
              <w:t xml:space="preserve">Ar Iekšlietu ministrijas 2011.gada 29.jūnija rīkojumu Nr.1010 tika izveidota darba grupa, kuras uzdevums bija izvērtēt normatīvajos aktos paredzētās sociālās garantijas amatpersonām un sagatavot priekšlikumus sociālo garantiju sistēmas pilnveidošanai. </w:t>
            </w:r>
          </w:p>
          <w:p w:rsidR="006002A2" w:rsidRPr="005743E1" w:rsidRDefault="00C014A1" w:rsidP="004B7F9D">
            <w:pPr>
              <w:pStyle w:val="tv213"/>
              <w:spacing w:before="0" w:beforeAutospacing="0" w:after="0" w:afterAutospacing="0"/>
              <w:ind w:firstLine="703"/>
              <w:jc w:val="both"/>
            </w:pPr>
            <w:r w:rsidRPr="005743E1">
              <w:t>Ministru kabinets 2012.gada 6.marta sēdē (protokola Nr.12 16.§ 3.punkts) uzdeva finanšu ministram izveidot starpinstitūciju darba grupu, lai izvērtētu normatīvajos aktos noteiktās sociālās garantijas karavīriem un amatpersonām ar speciālajām dienesta pakāpēm un izstrādātu priekšlikumus par to iespējamu pilnveidošanu.</w:t>
            </w:r>
            <w:r w:rsidR="00410369" w:rsidRPr="005743E1">
              <w:t xml:space="preserve"> A</w:t>
            </w:r>
            <w:r w:rsidRPr="005743E1">
              <w:t>r Finanšu ministrijas 2012.gada 22.maija rīkojumu Nr.257 tika izveidota starpinstitūciju darba grupa</w:t>
            </w:r>
            <w:r w:rsidR="00410369" w:rsidRPr="005743E1">
              <w:t>.</w:t>
            </w:r>
          </w:p>
          <w:p w:rsidR="00887EC6" w:rsidRPr="005743E1" w:rsidRDefault="00F93A0F" w:rsidP="00887EC6">
            <w:pPr>
              <w:pStyle w:val="tv213"/>
              <w:spacing w:before="0" w:beforeAutospacing="0" w:after="0" w:afterAutospacing="0"/>
              <w:ind w:firstLine="703"/>
              <w:jc w:val="both"/>
            </w:pPr>
            <w:r w:rsidRPr="005743E1">
              <w:t xml:space="preserve"> </w:t>
            </w:r>
            <w:r w:rsidR="004B7F9D" w:rsidRPr="005743E1">
              <w:t xml:space="preserve">Ministru kabineta </w:t>
            </w:r>
            <w:r w:rsidR="006002A2" w:rsidRPr="005743E1">
              <w:t xml:space="preserve">2013.gada 19.marta </w:t>
            </w:r>
            <w:r w:rsidR="004B7F9D" w:rsidRPr="005743E1">
              <w:t xml:space="preserve">sēdē tika pieņemts zināšanai Informatīvais ziņojums </w:t>
            </w:r>
            <w:r w:rsidR="004B7F9D" w:rsidRPr="005743E1">
              <w:lastRenderedPageBreak/>
              <w:t xml:space="preserve">"Priekšlikumi par normatīvajos aktos noteikto sociālo garantiju karavīriem un amatpersonām ar speciālajām dienesta pakāpēm iespējamu pilnveidošanu" (prot.Nr.15, 36.§). </w:t>
            </w:r>
          </w:p>
          <w:p w:rsidR="00887EC6" w:rsidRPr="005743E1" w:rsidRDefault="00887EC6" w:rsidP="00887EC6">
            <w:pPr>
              <w:pStyle w:val="tv213"/>
              <w:spacing w:before="0" w:beforeAutospacing="0" w:after="0" w:afterAutospacing="0"/>
              <w:ind w:firstLine="703"/>
              <w:jc w:val="both"/>
            </w:pPr>
            <w:r w:rsidRPr="005743E1">
              <w:t xml:space="preserve">Atšķirībā no lielākās daļas valsts pārvaldē nodarbinātajiem, amatpersonu dienesta pienākumu pildīšana ir saistīta ar risku veselībai un dzīvībai, kā arī iespējamu bojāeju.  Tādēļ amatpersonu sociālo garantiju paketei jābūt tādai, kas ietver specifiskas sociālās garantijas, ar mērķi noteiktā apjomā kompensēt izdevumus vai dažāda veida zaudējumus, kas radušies dienesta pildīšanas rezultātā. Būtiskākās sociālās garantijas, kas jāpilnveido, ir  izdevumu segšana veselības </w:t>
            </w:r>
            <w:r w:rsidR="00866858">
              <w:t xml:space="preserve">saglabāšanai un </w:t>
            </w:r>
            <w:r w:rsidRPr="005743E1">
              <w:t>uzlabošanai, gan arī finansiāla rakstura kompensācijas, ja veselības bojājuma dēļ ir iestājusies invaliditāte, kuras rezultātā ir pasliktinājusies dzīves kvalitāte vai arī iestājusies nespēja turpināt dienestu. Specifiska iezīme amatpersonu dienestam ir iespējam</w:t>
            </w:r>
            <w:r w:rsidR="00866858">
              <w:t>ā</w:t>
            </w:r>
            <w:r w:rsidRPr="005743E1">
              <w:t xml:space="preserve"> fizisk</w:t>
            </w:r>
            <w:r w:rsidR="00866858">
              <w:t>ā</w:t>
            </w:r>
            <w:r w:rsidRPr="005743E1">
              <w:t>, emocionāl</w:t>
            </w:r>
            <w:r w:rsidR="00866858">
              <w:t>ā</w:t>
            </w:r>
            <w:r w:rsidRPr="005743E1">
              <w:t xml:space="preserve"> vai psiholoģisk</w:t>
            </w:r>
            <w:r w:rsidR="00866858">
              <w:t>ā</w:t>
            </w:r>
            <w:r w:rsidRPr="005743E1">
              <w:t xml:space="preserve"> pārslodze un stress. Tādēļ tām amatpersonām, kuras ir nonākušas šādās situācijās,  jānodrošina iespēja saņemt atbilstošu psihologu un mediķu palīdzību.</w:t>
            </w:r>
          </w:p>
          <w:p w:rsidR="00291B2F" w:rsidRPr="005743E1" w:rsidRDefault="00EB175D" w:rsidP="00291B2F">
            <w:pPr>
              <w:pStyle w:val="tv213"/>
              <w:spacing w:before="0" w:beforeAutospacing="0" w:after="0" w:afterAutospacing="0"/>
              <w:ind w:firstLine="703"/>
              <w:jc w:val="both"/>
            </w:pPr>
            <w:r w:rsidRPr="005743E1">
              <w:t>K</w:t>
            </w:r>
            <w:r w:rsidR="004B7F9D" w:rsidRPr="005743E1">
              <w:t>onceptuāli</w:t>
            </w:r>
            <w:r w:rsidR="003A2435" w:rsidRPr="005743E1">
              <w:t xml:space="preserve"> tika</w:t>
            </w:r>
            <w:r w:rsidR="004B7F9D" w:rsidRPr="005743E1">
              <w:t xml:space="preserve"> at</w:t>
            </w:r>
            <w:r w:rsidR="003A2435" w:rsidRPr="005743E1">
              <w:t>b</w:t>
            </w:r>
            <w:r w:rsidR="004B7F9D" w:rsidRPr="005743E1">
              <w:t>alstīti šādi pasākumi</w:t>
            </w:r>
            <w:r w:rsidR="003A2435" w:rsidRPr="005743E1">
              <w:t>, kuri vērsti uz amatpersonu veselības aprūpes pakalpojumu pieejamības paaugstināšanu un veselības aprūpes uzlabošanu: plānveida operāciju, kuras saistītas ar nelaimes gadījumu darbā, apmaksu; obligāto veselības pārbaužu apmaksu; kompensējamo maksas medicīnisko pakalpojumu limitu palielināšanu no 50 līdz 75 latiem gadā 2014.gadā</w:t>
            </w:r>
            <w:r w:rsidR="00887EC6" w:rsidRPr="005743E1">
              <w:t xml:space="preserve"> un līdz 100 latiem gadā,  sākot no 2015.gada</w:t>
            </w:r>
            <w:r w:rsidR="003A2435" w:rsidRPr="005743E1">
              <w:t xml:space="preserve">; vakcinācijas izdevumu pret </w:t>
            </w:r>
            <w:proofErr w:type="spellStart"/>
            <w:r w:rsidR="003A2435" w:rsidRPr="005743E1">
              <w:t>vakcīnregulējamām</w:t>
            </w:r>
            <w:proofErr w:type="spellEnd"/>
            <w:r w:rsidR="003A2435" w:rsidRPr="005743E1">
              <w:t xml:space="preserve"> slimībām bez limita ierobežojuma kompensēšanu; medicīniskās rehabilitācijas kursa vienu reizi gadā pēc nelaimes gadījumiem darbā</w:t>
            </w:r>
            <w:r w:rsidR="008E5A83" w:rsidRPr="005743E1">
              <w:t xml:space="preserve">, pārciestas traumas vai  veiktas ķirurģiskas  operācijas </w:t>
            </w:r>
            <w:r w:rsidR="003A2435" w:rsidRPr="005743E1">
              <w:t>apmaksu; psiholoģiskā atbalsta dienesta izveidošanu psiholoģiskās palīdzības saņemšanai pēc krīzes situācijām un, nepieciešamības gadījumā, speciālistu izbraukumu uz notikuma vietām nodrošināšanai; veselības aprūpes izdevumu apmaksu bijušajām amatpersonām, kuras no dienesta atvaļinātas veselības stāvokļa dēļ un kuras veselības bojājumus guvušas, pildot dienesta pienākumus; zobārstniecības izdevumu kompensēšanu ar limitu līdz 50 latiem gadā, kā arī medikamentu iegādes izdevumu kompensēšanu līdz 30 latiem gadā.</w:t>
            </w:r>
            <w:r w:rsidR="00291B2F" w:rsidRPr="005743E1">
              <w:t xml:space="preserve"> </w:t>
            </w:r>
          </w:p>
          <w:p w:rsidR="00206D30" w:rsidRDefault="00206D30" w:rsidP="00291B2F">
            <w:pPr>
              <w:pStyle w:val="tv213"/>
              <w:spacing w:before="0" w:beforeAutospacing="0" w:after="0" w:afterAutospacing="0"/>
              <w:ind w:firstLine="703"/>
              <w:jc w:val="both"/>
            </w:pPr>
          </w:p>
          <w:p w:rsidR="00291B2F" w:rsidRPr="005743E1" w:rsidRDefault="001C501E" w:rsidP="00291B2F">
            <w:pPr>
              <w:pStyle w:val="tv213"/>
              <w:spacing w:before="0" w:beforeAutospacing="0" w:after="0" w:afterAutospacing="0"/>
              <w:ind w:firstLine="703"/>
              <w:jc w:val="both"/>
            </w:pPr>
            <w:r w:rsidRPr="005743E1">
              <w:lastRenderedPageBreak/>
              <w:t>Minētā</w:t>
            </w:r>
            <w:r w:rsidR="00043518" w:rsidRPr="005743E1">
              <w:t>s Ministru kabineta sēdes</w:t>
            </w:r>
            <w:r w:rsidRPr="005743E1">
              <w:t xml:space="preserve"> protokola </w:t>
            </w:r>
            <w:r w:rsidR="00C11164" w:rsidRPr="005743E1">
              <w:t>5.</w:t>
            </w:r>
            <w:r w:rsidR="00291B2F" w:rsidRPr="005743E1">
              <w:t>1.apakšpunktā noteik</w:t>
            </w:r>
            <w:r w:rsidR="00043518" w:rsidRPr="005743E1">
              <w:t>t</w:t>
            </w:r>
            <w:r w:rsidR="00291B2F" w:rsidRPr="005743E1">
              <w:t>s, ka, j</w:t>
            </w:r>
            <w:r w:rsidR="00C11164" w:rsidRPr="005743E1">
              <w:t>a likumprojekta "Par vidēja termiņa budžeta ietvaru 2014., 2015. un 2016.gadam" sagatavošanas procesā tiek atbalstīts</w:t>
            </w:r>
            <w:r w:rsidR="00291B2F" w:rsidRPr="005743E1">
              <w:t xml:space="preserve"> </w:t>
            </w:r>
            <w:r w:rsidR="00C11164" w:rsidRPr="005743E1">
              <w:t xml:space="preserve">šī </w:t>
            </w:r>
            <w:proofErr w:type="spellStart"/>
            <w:r w:rsidR="00C11164" w:rsidRPr="005743E1">
              <w:t>protokollēmuma</w:t>
            </w:r>
            <w:proofErr w:type="spellEnd"/>
            <w:r w:rsidR="00C11164" w:rsidRPr="005743E1">
              <w:t xml:space="preserve"> 2.1.apakšpunktā minētā pasākuma finansējums, Iekšlietu ministrijai izstrādāt un iesniegt izskatīšanai Ministru kabinetā attiecīgus grozījumus Ministru kabineta 2010.gada 21.jūnija noteikumos Nr.569 "Kārtība, kādā Iekšlietu ministrijas sistēmas iestāžu un Ieslodzījuma vietu pārvaldes amatpersona ar speciālo dienesta pakāpi saņem apmaksātus </w:t>
            </w:r>
            <w:r w:rsidR="00291B2F" w:rsidRPr="005743E1">
              <w:t>veselības aprūpes pakalpojumus".</w:t>
            </w:r>
          </w:p>
          <w:p w:rsidR="00EB175D" w:rsidRPr="005743E1" w:rsidRDefault="00EB175D" w:rsidP="00291B2F">
            <w:pPr>
              <w:pStyle w:val="tv213"/>
              <w:spacing w:before="0" w:beforeAutospacing="0" w:after="0" w:afterAutospacing="0"/>
              <w:ind w:firstLine="703"/>
              <w:jc w:val="both"/>
            </w:pPr>
            <w:r w:rsidRPr="005743E1">
              <w:t xml:space="preserve">Iekšlietu ministrija, atbilstoši </w:t>
            </w:r>
            <w:r w:rsidR="008E5A83" w:rsidRPr="005743E1">
              <w:t xml:space="preserve">Ministru kabineta 2012.gada 11.decembra noteikumiem Nr.867 „Kārtība, kādā nosakāms maksimāli pieļaujamais valsts budžeta izdevumu kopapjoms un maksimāli pieļaujamais valsts budžeta izdevumu kopējais apjoms katrai ministrijai un citām centrālajām valsts iestādēm vidējam termiņam” </w:t>
            </w:r>
            <w:r w:rsidRPr="005743E1">
              <w:t>izstrādāja jaunās politikas iniciatīvas.</w:t>
            </w:r>
          </w:p>
          <w:p w:rsidR="00EB175D" w:rsidRPr="005743E1" w:rsidRDefault="006002A2" w:rsidP="00291B2F">
            <w:pPr>
              <w:pStyle w:val="tv213"/>
              <w:spacing w:before="0" w:beforeAutospacing="0" w:after="0" w:afterAutospacing="0"/>
              <w:ind w:firstLine="703"/>
              <w:jc w:val="both"/>
            </w:pPr>
            <w:r w:rsidRPr="005743E1">
              <w:t>Ministru kabineta 2013.gada 27.augusta sēdē</w:t>
            </w:r>
            <w:r w:rsidR="007E455D" w:rsidRPr="005743E1">
              <w:t xml:space="preserve"> (</w:t>
            </w:r>
            <w:r w:rsidR="007E455D" w:rsidRPr="005743E1">
              <w:rPr>
                <w:rFonts w:eastAsia="Calibri"/>
              </w:rPr>
              <w:t>prot.Nr.46, 102.§ 1.p.)</w:t>
            </w:r>
            <w:r w:rsidRPr="005743E1">
              <w:rPr>
                <w:color w:val="FF0000"/>
              </w:rPr>
              <w:t xml:space="preserve"> </w:t>
            </w:r>
            <w:r w:rsidRPr="005743E1">
              <w:t>pamatā tika</w:t>
            </w:r>
            <w:r w:rsidRPr="005743E1">
              <w:rPr>
                <w:color w:val="2A2A2A"/>
                <w:shd w:val="clear" w:color="auto" w:fill="FFFFFF"/>
              </w:rPr>
              <w:t xml:space="preserve"> </w:t>
            </w:r>
            <w:r w:rsidRPr="005743E1">
              <w:t>atbalstīta valsts budžeta līdzekļu novirzīšana jaunajām politikas iniciatīvām 2014., 2015. un 2016.gadā saskaņā ar iesniegto informāciju „Par valsts budžeta jaunajām politikas iniciatīvām 2014., 2015. un 2016.gadam”</w:t>
            </w:r>
            <w:r w:rsidR="007E455D" w:rsidRPr="005743E1">
              <w:t xml:space="preserve"> tostarp Iekšlietu ministrijas jaunajai politikas iniciatīvai „</w:t>
            </w:r>
            <w:r w:rsidR="007E455D" w:rsidRPr="005743E1">
              <w:rPr>
                <w:rFonts w:eastAsia="Calibri"/>
              </w:rPr>
              <w:t>Veselības aprūpes pakalpojumu pieejamības paaugstināšana Iekšlietu ministrijas padotības iestāžu un Ieslodzījuma vietu pārvaldes amatpersonām ar speciālajām dienesta pakāpēm”</w:t>
            </w:r>
            <w:r w:rsidRPr="005743E1">
              <w:t>.</w:t>
            </w:r>
          </w:p>
          <w:p w:rsidR="00624660" w:rsidRDefault="00EB175D" w:rsidP="00624660">
            <w:pPr>
              <w:pStyle w:val="tv213"/>
              <w:spacing w:before="0" w:beforeAutospacing="0" w:after="0" w:afterAutospacing="0"/>
              <w:ind w:firstLine="703"/>
              <w:jc w:val="both"/>
            </w:pPr>
            <w:r w:rsidRPr="005743E1">
              <w:t xml:space="preserve">Ņemot vērā minēto, ir nepieciešami grozījumi Ministru kabineta </w:t>
            </w:r>
            <w:r w:rsidR="00AB3E3D" w:rsidRPr="005743E1">
              <w:t xml:space="preserve">2010.gada 21.jūnija noteikumos Nr.569 „Kārtība, kādā Iekšlietu ministrijas sistēmas iestāžu un Ieslodzījuma vietu pārvaldes amatpersona ar speciālo dienesta pakāpi saņem apmaksātus </w:t>
            </w:r>
            <w:r w:rsidR="00092AF6" w:rsidRPr="005743E1">
              <w:t>veselības aprūpes pakalpojumus” un ir izstrādāts Ministru kabineta noteikumu projekts „Grozījum</w:t>
            </w:r>
            <w:r w:rsidR="005743E1" w:rsidRPr="005743E1">
              <w:t>i</w:t>
            </w:r>
            <w:r w:rsidR="00092AF6" w:rsidRPr="005743E1">
              <w:rPr>
                <w:color w:val="000000"/>
              </w:rPr>
              <w:t xml:space="preserve"> Ministru kabineta </w:t>
            </w:r>
            <w:r w:rsidR="00092AF6" w:rsidRPr="005743E1">
              <w:t xml:space="preserve">2010.gada 21.jūnija </w:t>
            </w:r>
            <w:r w:rsidR="00092AF6" w:rsidRPr="005743E1">
              <w:rPr>
                <w:color w:val="000000"/>
              </w:rPr>
              <w:t>noteikumos Nr.569</w:t>
            </w:r>
            <w:r w:rsidR="00092AF6" w:rsidRPr="005743E1">
              <w:rPr>
                <w:bCs/>
              </w:rPr>
              <w:t xml:space="preserve"> „</w:t>
            </w:r>
            <w:r w:rsidR="00092AF6" w:rsidRPr="005743E1">
              <w:t>Kārtība, kādā Iekšlietu ministrijas sistēmas iestāžu un Ieslodzījuma vietu pārvaldes amatpersona ar speciālo dienesta pakāpi saņem apmaksātus veselības aprūpes pakalpojumus”” (turpmāk – Projekts).</w:t>
            </w:r>
            <w:r w:rsidR="00F93A0F" w:rsidRPr="005743E1">
              <w:t xml:space="preserve">   </w:t>
            </w:r>
          </w:p>
          <w:p w:rsidR="0011564D" w:rsidRPr="00BF7D95" w:rsidRDefault="00504573" w:rsidP="00624660">
            <w:pPr>
              <w:pStyle w:val="tv213"/>
              <w:spacing w:before="0" w:beforeAutospacing="0" w:after="0" w:afterAutospacing="0"/>
              <w:ind w:firstLine="703"/>
              <w:jc w:val="both"/>
            </w:pPr>
            <w:r w:rsidRPr="00454D32">
              <w:t xml:space="preserve">Šobrīd Ministru kabineta 2010.gada 21.jūnija </w:t>
            </w:r>
            <w:r w:rsidRPr="000C1EC5">
              <w:t xml:space="preserve">noteikumu Nr.569 „Kārtība, kādā Iekšlietu ministrijas sistēmas iestāžu un Ieslodzījuma vietu pārvaldes amatpersona ar speciālo dienesta pakāpi saņem apmaksātus veselības aprūpes pakalpojumus” 2.5.apakšpunkts paredz kompensēt amatpersonai </w:t>
            </w:r>
            <w:r w:rsidRPr="000C1EC5">
              <w:lastRenderedPageBreak/>
              <w:t xml:space="preserve">medicīniskās rehabilitācijas kursu, ne ilgāku par divām nedēļām, viena gada laikā pēc nelaimes gadījuma, ja tas nepieciešams amatpersonai, kura, pildot dienesta pienākumus, ir cietusi nelaimes gadījumā un guvusi smagu vai vidēji smagu veselības bojājumu.  </w:t>
            </w:r>
            <w:r w:rsidR="0011564D" w:rsidRPr="000C1EC5">
              <w:t>Ministru kabinets konceptuāli atbalstīja medicīniskā rehabilitācijas kursa</w:t>
            </w:r>
            <w:r w:rsidRPr="000C1EC5">
              <w:t xml:space="preserve"> apmaksu</w:t>
            </w:r>
            <w:r w:rsidR="0011564D" w:rsidRPr="000C1EC5">
              <w:t xml:space="preserve"> vienu reizi gadā</w:t>
            </w:r>
            <w:r w:rsidRPr="000C1EC5">
              <w:t xml:space="preserve"> ne tikai </w:t>
            </w:r>
            <w:r w:rsidR="0011564D" w:rsidRPr="000C1EC5">
              <w:t>pēc nelaimes gadījumiem darbā,</w:t>
            </w:r>
            <w:r w:rsidRPr="000C1EC5">
              <w:t xml:space="preserve"> bet arī pēc</w:t>
            </w:r>
            <w:r w:rsidR="0011564D" w:rsidRPr="000C1EC5">
              <w:t xml:space="preserve"> pārciestas traumas vai veiktas ķirurģiskas oper</w:t>
            </w:r>
            <w:r w:rsidRPr="000C1EC5">
              <w:t>ācijas. T</w:t>
            </w:r>
            <w:r w:rsidR="0011564D" w:rsidRPr="000C1EC5">
              <w:t xml:space="preserve">ādējādi nepieciešams izteikt jaunā redakcijā </w:t>
            </w:r>
            <w:r w:rsidRPr="000C1EC5">
              <w:t>Ministru kabineta 2010.gada 21.jūnija noteikumos Nr.569 „Kārtība, kādā Iekšlietu ministrijas sistēmas iestāžu un Ieslodzījuma vietu pārvaldes amatpersona ar speciālo dienesta pakāpi saņem apmaksātus veselības aprūpes pakalpojumus” 2.5.apakšpunktu. Minētais regulējums nodrošinās ātrāku un efektīvāku amatp</w:t>
            </w:r>
            <w:r w:rsidR="003F2247">
              <w:t xml:space="preserve">ersonu darba spēju </w:t>
            </w:r>
            <w:r w:rsidR="003F2247" w:rsidRPr="00BF7D95">
              <w:t xml:space="preserve">atjaunošanos. </w:t>
            </w:r>
          </w:p>
          <w:p w:rsidR="00624660" w:rsidRPr="000C1EC5" w:rsidRDefault="00624660" w:rsidP="00624660">
            <w:pPr>
              <w:ind w:firstLine="559"/>
              <w:jc w:val="both"/>
            </w:pPr>
            <w:r w:rsidRPr="00BF7D95">
              <w:t>Ministru kabinets</w:t>
            </w:r>
            <w:r w:rsidRPr="000C1EC5">
              <w:t xml:space="preserve"> konceptuāli atbalstīja kompensējamo maksas medicīnisko pakalpojumu limitu palielināšanu no 50 līdz 75 latiem gadā 2014.gadā. </w:t>
            </w:r>
            <w:r w:rsidR="00920105" w:rsidRPr="000C1EC5">
              <w:t xml:space="preserve">Atbilstoši Ministru kabineta 2012.gada 27.jūnija rīkojuma Nr.282 „Par ”Koncepciju par normatīvo aktu sakārtošanu saistībā ar eiro ieviešanu Latvijā”” 1.1.2.apakšpunktam normatīvos aktus, kuros minētas latos izteiktas naudas summas, ir jākonvertē uz </w:t>
            </w:r>
            <w:proofErr w:type="spellStart"/>
            <w:r w:rsidR="00920105" w:rsidRPr="000C1EC5">
              <w:rPr>
                <w:i/>
                <w:iCs/>
              </w:rPr>
              <w:t>euro</w:t>
            </w:r>
            <w:proofErr w:type="spellEnd"/>
            <w:r w:rsidR="00920105" w:rsidRPr="000C1EC5">
              <w:t xml:space="preserve"> līdz 2014.gada 1.janvārim, līdz ar to nepieciešams projekta </w:t>
            </w:r>
            <w:r w:rsidR="0011564D" w:rsidRPr="000C1EC5">
              <w:t>4</w:t>
            </w:r>
            <w:r w:rsidR="00920105" w:rsidRPr="000C1EC5">
              <w:t xml:space="preserve">.3.apakšpunktā paredzēto amatpersonu izdevumu kompensēšanu noteikt </w:t>
            </w:r>
            <w:proofErr w:type="spellStart"/>
            <w:r w:rsidR="00920105" w:rsidRPr="000C1EC5">
              <w:rPr>
                <w:i/>
              </w:rPr>
              <w:t>euro</w:t>
            </w:r>
            <w:proofErr w:type="spellEnd"/>
            <w:r w:rsidR="00920105" w:rsidRPr="000C1EC5">
              <w:t xml:space="preserve">. </w:t>
            </w:r>
            <w:r w:rsidRPr="000C1EC5">
              <w:t xml:space="preserve">Grozījumi sagatavoti atbilstoši </w:t>
            </w:r>
            <w:proofErr w:type="spellStart"/>
            <w:r w:rsidRPr="000C1EC5">
              <w:rPr>
                <w:i/>
              </w:rPr>
              <w:t>Euro</w:t>
            </w:r>
            <w:proofErr w:type="spellEnd"/>
            <w:r w:rsidRPr="000C1EC5">
              <w:rPr>
                <w:i/>
              </w:rPr>
              <w:t xml:space="preserve"> </w:t>
            </w:r>
            <w:r w:rsidRPr="000C1EC5">
              <w:t>ieviešanas kārtības likuma 32.panta otrajai daļai.</w:t>
            </w:r>
          </w:p>
          <w:p w:rsidR="00821279" w:rsidRPr="000C1EC5" w:rsidRDefault="00624660" w:rsidP="00821279">
            <w:pPr>
              <w:pStyle w:val="tv213"/>
              <w:spacing w:before="0" w:beforeAutospacing="0" w:after="0" w:afterAutospacing="0"/>
              <w:ind w:firstLine="703"/>
              <w:jc w:val="both"/>
            </w:pPr>
            <w:r w:rsidRPr="000C1EC5">
              <w:t>Aprēķins veikts, izmantojot kursu EUR 1 = LVL 0,702804.</w:t>
            </w:r>
            <w:r w:rsidR="00821279" w:rsidRPr="000C1EC5">
              <w:t xml:space="preserve"> </w:t>
            </w:r>
          </w:p>
          <w:p w:rsidR="00866858" w:rsidRPr="00E33643" w:rsidRDefault="00821279" w:rsidP="005743E1">
            <w:pPr>
              <w:pStyle w:val="tv213"/>
              <w:spacing w:before="0" w:beforeAutospacing="0" w:after="0" w:afterAutospacing="0"/>
              <w:ind w:firstLine="703"/>
              <w:jc w:val="both"/>
              <w:rPr>
                <w:color w:val="000000" w:themeColor="text1"/>
              </w:rPr>
            </w:pPr>
            <w:r w:rsidRPr="000C1EC5">
              <w:t xml:space="preserve">Ministru kabineta 2010.gada 21.jūnija noteikumos Nr.569 „Kārtība, kādā Iekšlietu ministrijas sistēmas iestāžu un Ieslodzījuma vietu pārvaldes amatpersona ar speciālo dienesta pakāpi saņem apmaksātus veselības aprūpes pakalpojumus” noteikts, ka ķirurģisko operāciju apmaksu Iekšlietu ministrijas veselības un sporta centrs garantē ārstniecības iestādei, kura saskaņā ar normatīvajiem aktiem par veselības aprūpes organizēšanas un finansēšanas kārtību ir iekļauta to ārstniecības iestāžu sarakstā, kuras sniedz stacionāros sekundāros un terciāros veselības aprūpes pakalpojumus. Šīs ārstniecības iestādes ir minētas Ministru kabineta 2006.gada 19.decembra noteikumu  Nr. 1046 „Veselības aprūpes organizēšanas </w:t>
            </w:r>
            <w:r w:rsidRPr="00E03670">
              <w:t xml:space="preserve">un finansēšanas kārtība” 24.pielikumā  </w:t>
            </w:r>
            <w:bookmarkStart w:id="0" w:name="455955"/>
            <w:bookmarkEnd w:id="0"/>
            <w:r w:rsidRPr="00E03670">
              <w:t>„</w:t>
            </w:r>
            <w:r w:rsidRPr="00E03670">
              <w:rPr>
                <w:bCs/>
              </w:rPr>
              <w:t xml:space="preserve">Slimnīcas, kuras sniedz valsts apmaksātos veselības aprūpes </w:t>
            </w:r>
            <w:r w:rsidRPr="00E03670">
              <w:rPr>
                <w:bCs/>
              </w:rPr>
              <w:lastRenderedPageBreak/>
              <w:t>pakalpojumus, un valsts pārvaldes iestādes, kuras sniedz veselības aprūpes pakalpojumus”. Esošā redakcija ietver š</w:t>
            </w:r>
            <w:r w:rsidR="00EF6287" w:rsidRPr="00E03670">
              <w:rPr>
                <w:bCs/>
              </w:rPr>
              <w:t>o noteikumu</w:t>
            </w:r>
            <w:r w:rsidRPr="00E03670">
              <w:rPr>
                <w:bCs/>
              </w:rPr>
              <w:t xml:space="preserve"> </w:t>
            </w:r>
            <w:r w:rsidR="00EA67A5">
              <w:rPr>
                <w:bCs/>
              </w:rPr>
              <w:t>24.</w:t>
            </w:r>
            <w:r w:rsidRPr="00E03670">
              <w:rPr>
                <w:bCs/>
              </w:rPr>
              <w:t>pielikuma 1.punktā minētās</w:t>
            </w:r>
            <w:r w:rsidR="00EF6287" w:rsidRPr="00E03670">
              <w:rPr>
                <w:bCs/>
              </w:rPr>
              <w:t xml:space="preserve"> ārstniecības iestādes</w:t>
            </w:r>
            <w:r w:rsidRPr="00E03670">
              <w:rPr>
                <w:bCs/>
              </w:rPr>
              <w:t>, bet neietver citas ārstniecības iestādes (dienas stacionārus), kurās arī var veikt amatpersonai nepieciešamo ārstēšanos</w:t>
            </w:r>
            <w:r w:rsidR="00EF6287" w:rsidRPr="00E03670">
              <w:rPr>
                <w:bCs/>
              </w:rPr>
              <w:t xml:space="preserve"> un, kuros </w:t>
            </w:r>
            <w:r w:rsidR="00E33643">
              <w:rPr>
                <w:bCs/>
              </w:rPr>
              <w:t xml:space="preserve">iespējamas mazākas </w:t>
            </w:r>
            <w:r w:rsidR="00EF6287" w:rsidRPr="00E03670">
              <w:rPr>
                <w:bCs/>
              </w:rPr>
              <w:t>izmaksas</w:t>
            </w:r>
            <w:r w:rsidRPr="00E33643">
              <w:rPr>
                <w:color w:val="000000" w:themeColor="text1"/>
              </w:rPr>
              <w:t xml:space="preserve">.  </w:t>
            </w:r>
            <w:r w:rsidR="00866858" w:rsidRPr="00E33643">
              <w:rPr>
                <w:color w:val="000000" w:themeColor="text1"/>
              </w:rPr>
              <w:t>Amatpersonām, kur</w:t>
            </w:r>
            <w:r w:rsidR="00E33643" w:rsidRPr="00E33643">
              <w:rPr>
                <w:color w:val="000000" w:themeColor="text1"/>
              </w:rPr>
              <w:t>ām</w:t>
            </w:r>
            <w:r w:rsidR="00866858" w:rsidRPr="00E33643">
              <w:rPr>
                <w:color w:val="000000" w:themeColor="text1"/>
              </w:rPr>
              <w:t xml:space="preserve"> </w:t>
            </w:r>
            <w:r w:rsidR="00E33643" w:rsidRPr="00E33643">
              <w:rPr>
                <w:color w:val="000000" w:themeColor="text1"/>
              </w:rPr>
              <w:t>ieteikta</w:t>
            </w:r>
            <w:r w:rsidR="00BF3320" w:rsidRPr="00E33643">
              <w:rPr>
                <w:color w:val="000000" w:themeColor="text1"/>
              </w:rPr>
              <w:t xml:space="preserve"> </w:t>
            </w:r>
            <w:r w:rsidR="00866858" w:rsidRPr="00E33643">
              <w:rPr>
                <w:color w:val="000000" w:themeColor="text1"/>
              </w:rPr>
              <w:t>ārstē</w:t>
            </w:r>
            <w:r w:rsidR="00E33643" w:rsidRPr="00E33643">
              <w:rPr>
                <w:color w:val="000000" w:themeColor="text1"/>
              </w:rPr>
              <w:t>šanās</w:t>
            </w:r>
            <w:r w:rsidR="00BF3320" w:rsidRPr="00E33643">
              <w:rPr>
                <w:color w:val="000000" w:themeColor="text1"/>
              </w:rPr>
              <w:t xml:space="preserve"> </w:t>
            </w:r>
            <w:r w:rsidR="00866858" w:rsidRPr="00E33643">
              <w:rPr>
                <w:color w:val="000000" w:themeColor="text1"/>
              </w:rPr>
              <w:t>pie speciālistiem</w:t>
            </w:r>
            <w:r w:rsidR="000C1EC5" w:rsidRPr="00E33643">
              <w:rPr>
                <w:color w:val="000000" w:themeColor="text1"/>
              </w:rPr>
              <w:t>, kuri specializējušies sporta traumu ārstēšanā</w:t>
            </w:r>
            <w:r w:rsidR="00866858" w:rsidRPr="00E33643">
              <w:rPr>
                <w:color w:val="000000" w:themeColor="text1"/>
              </w:rPr>
              <w:t>,</w:t>
            </w:r>
            <w:r w:rsidR="00BF3320" w:rsidRPr="00E33643">
              <w:rPr>
                <w:color w:val="000000" w:themeColor="text1"/>
              </w:rPr>
              <w:t xml:space="preserve"> Iekšlietu ministrijas veselības un sporta centrs</w:t>
            </w:r>
            <w:r w:rsidR="00866858" w:rsidRPr="00E33643">
              <w:rPr>
                <w:color w:val="000000" w:themeColor="text1"/>
              </w:rPr>
              <w:t xml:space="preserve"> nevar nodrošināt ārstēšanās apmaksu, jo šīs ārstniecības iestādes nav Nacionālā  veselības dienesta </w:t>
            </w:r>
            <w:proofErr w:type="spellStart"/>
            <w:r w:rsidR="00866858" w:rsidRPr="00E33643">
              <w:rPr>
                <w:color w:val="000000" w:themeColor="text1"/>
              </w:rPr>
              <w:t>līgumiestāžu</w:t>
            </w:r>
            <w:proofErr w:type="spellEnd"/>
            <w:r w:rsidR="00866858" w:rsidRPr="00E33643">
              <w:rPr>
                <w:color w:val="000000" w:themeColor="text1"/>
              </w:rPr>
              <w:t xml:space="preserve"> sarakstā.</w:t>
            </w:r>
          </w:p>
          <w:p w:rsidR="00EC79E8" w:rsidRPr="00112843" w:rsidRDefault="00866858" w:rsidP="005743E1">
            <w:pPr>
              <w:pStyle w:val="tv213"/>
              <w:spacing w:before="0" w:beforeAutospacing="0" w:after="0" w:afterAutospacing="0"/>
              <w:ind w:firstLine="703"/>
              <w:jc w:val="both"/>
              <w:rPr>
                <w:sz w:val="28"/>
                <w:szCs w:val="28"/>
              </w:rPr>
            </w:pPr>
            <w:r>
              <w:t xml:space="preserve"> </w:t>
            </w:r>
            <w:r w:rsidR="00EF6287" w:rsidRPr="00E03670">
              <w:t xml:space="preserve">Tādējādi ir nepieciešams izteikt jaunā redakcijā </w:t>
            </w:r>
            <w:r w:rsidR="00EF6287" w:rsidRPr="005743E1">
              <w:t>Ministru kabineta 2010.gada 21.jūnija noteikumos Nr.569 „Kārtība, kādā Iekšlietu ministrijas sistēmas iestāžu un Ieslodzījuma vietu pārvaldes amatpersona ar speciālo dienesta pakāpi saņem apmaksātus veselības aprūpes pakalpojumus” 8.punkta pēdējo teikumu.</w:t>
            </w:r>
            <w:r w:rsidR="00EF6287" w:rsidRPr="005743E1">
              <w:rPr>
                <w:color w:val="FF0000"/>
              </w:rPr>
              <w:t xml:space="preserve"> </w:t>
            </w:r>
          </w:p>
        </w:tc>
      </w:tr>
      <w:tr w:rsidR="00616AA6" w:rsidRPr="00762374" w:rsidTr="00FF063B">
        <w:trPr>
          <w:gridBefore w:val="1"/>
          <w:wBefore w:w="137" w:type="dxa"/>
        </w:trPr>
        <w:tc>
          <w:tcPr>
            <w:tcW w:w="1003" w:type="dxa"/>
          </w:tcPr>
          <w:p w:rsidR="00616AA6" w:rsidRPr="00762374" w:rsidRDefault="006002A2" w:rsidP="006F255D">
            <w:pPr>
              <w:jc w:val="center"/>
              <w:rPr>
                <w:sz w:val="26"/>
                <w:szCs w:val="26"/>
              </w:rPr>
            </w:pPr>
            <w:r>
              <w:rPr>
                <w:sz w:val="26"/>
                <w:szCs w:val="26"/>
              </w:rPr>
              <w:lastRenderedPageBreak/>
              <w:t>3.</w:t>
            </w:r>
          </w:p>
        </w:tc>
        <w:tc>
          <w:tcPr>
            <w:tcW w:w="2850" w:type="dxa"/>
            <w:gridSpan w:val="2"/>
          </w:tcPr>
          <w:p w:rsidR="00616AA6" w:rsidRPr="00762374" w:rsidRDefault="00616AA6" w:rsidP="006F255D">
            <w:pPr>
              <w:rPr>
                <w:sz w:val="26"/>
                <w:szCs w:val="26"/>
              </w:rPr>
            </w:pPr>
            <w:r w:rsidRPr="00762374">
              <w:rPr>
                <w:sz w:val="26"/>
                <w:szCs w:val="26"/>
              </w:rPr>
              <w:t>Saistītie politikas ietekmes novērtējumi un pētījumi</w:t>
            </w:r>
          </w:p>
        </w:tc>
        <w:tc>
          <w:tcPr>
            <w:tcW w:w="5550" w:type="dxa"/>
          </w:tcPr>
          <w:p w:rsidR="00616AA6" w:rsidRPr="005743E1" w:rsidRDefault="00A22401" w:rsidP="000C3782">
            <w:pPr>
              <w:tabs>
                <w:tab w:val="left" w:pos="5279"/>
              </w:tabs>
              <w:ind w:right="31"/>
              <w:jc w:val="both"/>
            </w:pPr>
            <w:r w:rsidRPr="005743E1">
              <w:t>Ar Iekšlietu ministrijas 2011.gada 29.jūnija rīkojumu Nr.1010 izveidotās darba grupas ziņojums „Par priekšlikumiem sociālo garantiju sistēmas pilnveidošanai Iekšlietu ministrijas sistēmas iestāžu un Ieslodzījuma vietu pārvaldes amatpersonām ar speciālajām dienesta pakāpēm”. Ar Finanšu ministrijas 2012.gada 22.maija rīkojumu Nr.257 izveidotās starpinstitūciju darba grupas</w:t>
            </w:r>
            <w:r w:rsidR="00026386" w:rsidRPr="005743E1">
              <w:t xml:space="preserve"> </w:t>
            </w:r>
            <w:r w:rsidR="000C3782" w:rsidRPr="005743E1">
              <w:t>ietvaros</w:t>
            </w:r>
            <w:r w:rsidR="00026386" w:rsidRPr="005743E1">
              <w:t xml:space="preserve"> veiktie pēt</w:t>
            </w:r>
            <w:r w:rsidR="000C3782" w:rsidRPr="005743E1">
              <w:t xml:space="preserve">ījumi un tās darbības rezultātā tapušais informatīvais ziņojums  </w:t>
            </w:r>
            <w:r w:rsidR="000C3782" w:rsidRPr="005743E1">
              <w:rPr>
                <w:lang w:eastAsia="lv-LV"/>
              </w:rPr>
              <w:t>"Priekšlikumi par normatīvajos aktos noteikto sociālo garantiju karavīriem un amatpersonām ar speciālajām dienesta pa</w:t>
            </w:r>
            <w:r w:rsidR="000C3782" w:rsidRPr="005743E1">
              <w:t>kāpēm iespējamu pilnveidošanu"</w:t>
            </w:r>
          </w:p>
        </w:tc>
      </w:tr>
      <w:tr w:rsidR="00616AA6" w:rsidRPr="00762374" w:rsidTr="00FF063B">
        <w:trPr>
          <w:gridBefore w:val="1"/>
          <w:wBefore w:w="137" w:type="dxa"/>
        </w:trPr>
        <w:tc>
          <w:tcPr>
            <w:tcW w:w="1003" w:type="dxa"/>
          </w:tcPr>
          <w:p w:rsidR="00616AA6" w:rsidRPr="00762374" w:rsidRDefault="00616AA6" w:rsidP="006F255D">
            <w:pPr>
              <w:jc w:val="center"/>
              <w:rPr>
                <w:sz w:val="26"/>
                <w:szCs w:val="26"/>
              </w:rPr>
            </w:pPr>
            <w:r w:rsidRPr="00762374">
              <w:rPr>
                <w:sz w:val="26"/>
                <w:szCs w:val="26"/>
              </w:rPr>
              <w:t>4.</w:t>
            </w:r>
          </w:p>
        </w:tc>
        <w:tc>
          <w:tcPr>
            <w:tcW w:w="2850" w:type="dxa"/>
            <w:gridSpan w:val="2"/>
          </w:tcPr>
          <w:p w:rsidR="00616AA6" w:rsidRPr="00762374" w:rsidRDefault="00616AA6" w:rsidP="006F255D">
            <w:pPr>
              <w:rPr>
                <w:sz w:val="26"/>
                <w:szCs w:val="26"/>
              </w:rPr>
            </w:pPr>
            <w:r w:rsidRPr="00762374">
              <w:rPr>
                <w:sz w:val="26"/>
                <w:szCs w:val="26"/>
              </w:rPr>
              <w:t>Tiesiskā regulējuma mērķis un būtība</w:t>
            </w:r>
          </w:p>
        </w:tc>
        <w:tc>
          <w:tcPr>
            <w:tcW w:w="5550" w:type="dxa"/>
          </w:tcPr>
          <w:p w:rsidR="00092AF6" w:rsidRPr="005743E1" w:rsidRDefault="00EF52C1" w:rsidP="005651F4">
            <w:pPr>
              <w:ind w:firstLine="559"/>
              <w:jc w:val="both"/>
            </w:pPr>
            <w:r w:rsidRPr="005743E1">
              <w:t>Projekta mērķis ir pilnveidot</w:t>
            </w:r>
            <w:r w:rsidR="00BC004A" w:rsidRPr="005743E1">
              <w:t xml:space="preserve"> </w:t>
            </w:r>
            <w:r w:rsidR="009033B1" w:rsidRPr="005743E1">
              <w:t>amatperson</w:t>
            </w:r>
            <w:r w:rsidR="00092AF6" w:rsidRPr="005743E1">
              <w:t>u</w:t>
            </w:r>
            <w:r w:rsidRPr="005743E1">
              <w:t xml:space="preserve"> sociālo garantiju sistēmu</w:t>
            </w:r>
            <w:r w:rsidR="00BC004A" w:rsidRPr="005743E1">
              <w:t>,</w:t>
            </w:r>
            <w:r w:rsidR="00BC004A" w:rsidRPr="005743E1">
              <w:rPr>
                <w:color w:val="FF0000"/>
                <w:lang w:eastAsia="lo-LA" w:bidi="lo-LA"/>
              </w:rPr>
              <w:t xml:space="preserve"> </w:t>
            </w:r>
            <w:r w:rsidR="00BC004A" w:rsidRPr="00E03670">
              <w:rPr>
                <w:lang w:eastAsia="lo-LA" w:bidi="lo-LA"/>
              </w:rPr>
              <w:t>uzlabojot un paplašinot amatpersonām nepieciešamās apmaksātās veselības aprūpes apjomu</w:t>
            </w:r>
            <w:r w:rsidRPr="005743E1">
              <w:t xml:space="preserve">, lai nodrošinātu motivāciju uzsākt un turpināt dienestu. </w:t>
            </w:r>
          </w:p>
          <w:p w:rsidR="00BC004A" w:rsidRPr="00E03670" w:rsidRDefault="00BC004A" w:rsidP="00BC004A">
            <w:pPr>
              <w:ind w:left="75"/>
              <w:jc w:val="both"/>
              <w:rPr>
                <w:lang w:eastAsia="lo-LA" w:bidi="lo-LA"/>
              </w:rPr>
            </w:pPr>
            <w:r w:rsidRPr="00E03670">
              <w:rPr>
                <w:lang w:eastAsia="lo-LA" w:bidi="lo-LA"/>
              </w:rPr>
              <w:t>Projekts  paredz:</w:t>
            </w:r>
          </w:p>
          <w:p w:rsidR="00BC004A" w:rsidRPr="00E03670" w:rsidRDefault="00BC004A" w:rsidP="00BC004A">
            <w:pPr>
              <w:numPr>
                <w:ilvl w:val="0"/>
                <w:numId w:val="4"/>
              </w:numPr>
              <w:suppressAutoHyphens/>
              <w:ind w:left="364" w:hanging="284"/>
              <w:jc w:val="both"/>
            </w:pPr>
            <w:r w:rsidRPr="00E03670">
              <w:rPr>
                <w:lang w:eastAsia="lv-LV"/>
              </w:rPr>
              <w:t xml:space="preserve">apmaksātu medicīniskās rehabilitācijas kursu, ne ilgāku par divām nedēļām  viena gada laikā pēc nelaimes gadījumā darbā, pārciestas traumas vai  veiktas ķirurģiskas  operācijas. </w:t>
            </w:r>
          </w:p>
          <w:p w:rsidR="00BC004A" w:rsidRPr="00E03670" w:rsidRDefault="00BC004A" w:rsidP="00BC004A">
            <w:pPr>
              <w:numPr>
                <w:ilvl w:val="0"/>
                <w:numId w:val="4"/>
              </w:numPr>
              <w:suppressAutoHyphens/>
              <w:ind w:left="364" w:hanging="284"/>
              <w:jc w:val="both"/>
            </w:pPr>
            <w:r w:rsidRPr="00E03670">
              <w:t>iespēju veikt apmaksātus augstu tehnoloģiju diagnostiskos izmeklējumus, ja tādi nepieciešami diagnozes precizēšanai un amatpersonas veselības stāvokļa izvērtēšanai. Šo izmeklējumu apmaksu ārstniecības iestādei Iekšlietu ministrijas veselības un sporta centrs garantēs ar samaksas garantijas vēstuli.</w:t>
            </w:r>
          </w:p>
          <w:p w:rsidR="00BC004A" w:rsidRPr="00E03670" w:rsidRDefault="00BC004A" w:rsidP="00BC004A">
            <w:pPr>
              <w:pStyle w:val="NoSpacing"/>
              <w:numPr>
                <w:ilvl w:val="0"/>
                <w:numId w:val="4"/>
              </w:numPr>
              <w:ind w:left="364" w:hanging="284"/>
              <w:jc w:val="both"/>
            </w:pPr>
            <w:r w:rsidRPr="00E03670">
              <w:lastRenderedPageBreak/>
              <w:t xml:space="preserve">palielinātu  kompensējamo izdevumu apjomu, (no 2014.gada 1.janvāra līdz 107 </w:t>
            </w:r>
            <w:proofErr w:type="spellStart"/>
            <w:r w:rsidRPr="00E03670">
              <w:rPr>
                <w:i/>
              </w:rPr>
              <w:t>euro</w:t>
            </w:r>
            <w:proofErr w:type="spellEnd"/>
            <w:r w:rsidRPr="00E03670">
              <w:t xml:space="preserve">) par veselības aprūpes pakalpojumiem, kuru izdevumus  amatpersona ir apmaksājusi no saviem finanšu līdzekļiem. </w:t>
            </w:r>
          </w:p>
          <w:p w:rsidR="00866858" w:rsidRDefault="00BC004A" w:rsidP="00866858">
            <w:pPr>
              <w:pStyle w:val="NoSpacing"/>
              <w:numPr>
                <w:ilvl w:val="0"/>
                <w:numId w:val="4"/>
              </w:numPr>
              <w:ind w:left="364" w:hanging="284"/>
              <w:jc w:val="both"/>
            </w:pPr>
            <w:r w:rsidRPr="00E03670">
              <w:t>kompensāciju par vakcināciju pret infekcijas slimībām, ar kurām amatpersona var inficēties, pildot dienesta pienākumus (B hepatītu, ērču encefalītu</w:t>
            </w:r>
            <w:r w:rsidR="00E00393" w:rsidRPr="00E03670">
              <w:t xml:space="preserve">, </w:t>
            </w:r>
            <w:r w:rsidR="00EF2537" w:rsidRPr="00205838">
              <w:rPr>
                <w:szCs w:val="28"/>
              </w:rPr>
              <w:t xml:space="preserve">bet amatpersonām, kuras piedalās starptautiskajās glābšanas operācijās, misijās vai dodas komandējumā uz  ārvalstīm, arī izdevumus par </w:t>
            </w:r>
            <w:r w:rsidR="00EF2537" w:rsidRPr="00205838">
              <w:t>nepieciešamajām papildu obligātām vakcinācijām</w:t>
            </w:r>
            <w:r w:rsidRPr="00E03670">
              <w:t>). Šie izdevumi amatpersonai tiks kompensēti papildus  noteiktajam</w:t>
            </w:r>
            <w:r w:rsidR="00E03670">
              <w:t xml:space="preserve"> </w:t>
            </w:r>
            <w:r w:rsidRPr="00E03670">
              <w:t xml:space="preserve">kompensējamo izdevumu par veselības aprūpes pakalpojumiem limitam.  </w:t>
            </w:r>
          </w:p>
          <w:p w:rsidR="00BC004A" w:rsidRPr="005A7073" w:rsidRDefault="00201FF6" w:rsidP="0019074A">
            <w:pPr>
              <w:pStyle w:val="NoSpacing"/>
              <w:numPr>
                <w:ilvl w:val="0"/>
                <w:numId w:val="6"/>
              </w:numPr>
              <w:ind w:left="364" w:hanging="284"/>
              <w:jc w:val="both"/>
            </w:pPr>
            <w:r w:rsidRPr="005A7073">
              <w:rPr>
                <w:lang w:eastAsia="en-US"/>
              </w:rPr>
              <w:t>paplašināt ārstniecības iestā</w:t>
            </w:r>
            <w:r w:rsidR="00680FBF" w:rsidRPr="005A7073">
              <w:rPr>
                <w:lang w:eastAsia="en-US"/>
              </w:rPr>
              <w:t>žu loku, nosakot, ka</w:t>
            </w:r>
            <w:r w:rsidRPr="005A7073">
              <w:rPr>
                <w:lang w:eastAsia="en-US"/>
              </w:rPr>
              <w:t xml:space="preserve"> amatpersonām ir </w:t>
            </w:r>
            <w:r w:rsidR="00BC004A" w:rsidRPr="005A7073">
              <w:rPr>
                <w:lang w:eastAsia="en-US"/>
              </w:rPr>
              <w:t>iespēj</w:t>
            </w:r>
            <w:r w:rsidRPr="005A7073">
              <w:rPr>
                <w:lang w:eastAsia="en-US"/>
              </w:rPr>
              <w:t>a</w:t>
            </w:r>
            <w:r w:rsidR="00BC004A" w:rsidRPr="005A7073">
              <w:rPr>
                <w:lang w:eastAsia="en-US"/>
              </w:rPr>
              <w:t xml:space="preserve"> </w:t>
            </w:r>
            <w:r w:rsidRPr="005A7073">
              <w:rPr>
                <w:lang w:eastAsia="en-US"/>
              </w:rPr>
              <w:t>saņemt</w:t>
            </w:r>
            <w:r w:rsidR="00BC004A" w:rsidRPr="005A7073">
              <w:rPr>
                <w:lang w:eastAsia="en-US"/>
              </w:rPr>
              <w:t xml:space="preserve">  apmaksātu ārstēšanos ārstniecības iestādēs,  kur</w:t>
            </w:r>
            <w:r w:rsidR="002B1CD9" w:rsidRPr="005A7073">
              <w:rPr>
                <w:lang w:eastAsia="en-US"/>
              </w:rPr>
              <w:t>as</w:t>
            </w:r>
            <w:r w:rsidR="00BC004A" w:rsidRPr="005A7073">
              <w:rPr>
                <w:lang w:eastAsia="en-US"/>
              </w:rPr>
              <w:t xml:space="preserve"> </w:t>
            </w:r>
            <w:r w:rsidR="002B1CD9" w:rsidRPr="005A7073">
              <w:rPr>
                <w:lang w:eastAsia="en-US"/>
              </w:rPr>
              <w:t>sniedz</w:t>
            </w:r>
            <w:r w:rsidR="00BC004A" w:rsidRPr="005A7073">
              <w:rPr>
                <w:lang w:eastAsia="en-US"/>
              </w:rPr>
              <w:t xml:space="preserve"> </w:t>
            </w:r>
            <w:r w:rsidR="00680FBF" w:rsidRPr="005A7073">
              <w:rPr>
                <w:szCs w:val="28"/>
              </w:rPr>
              <w:t>valsts apmaksātu</w:t>
            </w:r>
            <w:r w:rsidR="002B1CD9" w:rsidRPr="005A7073">
              <w:rPr>
                <w:szCs w:val="28"/>
              </w:rPr>
              <w:t>s</w:t>
            </w:r>
            <w:r w:rsidR="00680FBF" w:rsidRPr="005A7073">
              <w:rPr>
                <w:color w:val="FF0000"/>
                <w:szCs w:val="28"/>
              </w:rPr>
              <w:t xml:space="preserve"> </w:t>
            </w:r>
            <w:r w:rsidR="00680FBF" w:rsidRPr="005A7073">
              <w:rPr>
                <w:szCs w:val="28"/>
              </w:rPr>
              <w:t>veselības aprūpes pakalpojumu</w:t>
            </w:r>
            <w:r w:rsidR="002B1CD9" w:rsidRPr="005A7073">
              <w:rPr>
                <w:szCs w:val="28"/>
              </w:rPr>
              <w:t>s</w:t>
            </w:r>
            <w:r w:rsidR="00BC004A" w:rsidRPr="005A7073">
              <w:rPr>
                <w:lang w:eastAsia="en-US"/>
              </w:rPr>
              <w:t>, vai iestādē, kas specializējusies sporta traumu ārstēšanā</w:t>
            </w:r>
            <w:r w:rsidR="002B1CD9" w:rsidRPr="005A7073">
              <w:rPr>
                <w:lang w:eastAsia="en-US"/>
              </w:rPr>
              <w:t>.</w:t>
            </w:r>
          </w:p>
          <w:p w:rsidR="00A95A55" w:rsidRPr="005A7073" w:rsidRDefault="001A5F69" w:rsidP="0019074A">
            <w:pPr>
              <w:pStyle w:val="NoSpacing"/>
              <w:numPr>
                <w:ilvl w:val="0"/>
                <w:numId w:val="6"/>
              </w:numPr>
              <w:ind w:left="364" w:hanging="284"/>
              <w:jc w:val="both"/>
            </w:pPr>
            <w:r w:rsidRPr="005A7073">
              <w:t xml:space="preserve">apmaksāt amatpersonai zobārstniecības un zobu higiēnas pakalpojumus, nosakot, ka </w:t>
            </w:r>
            <w:r w:rsidRPr="005A7073">
              <w:rPr>
                <w:szCs w:val="28"/>
              </w:rPr>
              <w:t xml:space="preserve">minētos pakalpojumus apmaksā, kompensējot amatpersonām to izdevumus 50% apmērā, bet kopumā ne vairāk kā 72 </w:t>
            </w:r>
            <w:proofErr w:type="spellStart"/>
            <w:r w:rsidRPr="005A7073">
              <w:rPr>
                <w:i/>
                <w:szCs w:val="28"/>
              </w:rPr>
              <w:t>euro</w:t>
            </w:r>
            <w:proofErr w:type="spellEnd"/>
            <w:r w:rsidRPr="005A7073">
              <w:rPr>
                <w:szCs w:val="28"/>
              </w:rPr>
              <w:t xml:space="preserve"> apmērā kalendāra gadā katrai amatpersonai. Zobārstniecības pakalpojumi ietver – zobu labošanu, nepieciešamos diagnostiskos izmeklējumus</w:t>
            </w:r>
            <w:r w:rsidR="00FF063B" w:rsidRPr="005A7073">
              <w:rPr>
                <w:szCs w:val="28"/>
              </w:rPr>
              <w:t>, zobu ek</w:t>
            </w:r>
            <w:r w:rsidR="005A7073" w:rsidRPr="005A7073">
              <w:rPr>
                <w:szCs w:val="28"/>
              </w:rPr>
              <w:t>strakciju</w:t>
            </w:r>
            <w:r w:rsidR="00E33643">
              <w:rPr>
                <w:szCs w:val="28"/>
              </w:rPr>
              <w:t xml:space="preserve"> un nepieciešamo anestēziju</w:t>
            </w:r>
            <w:r w:rsidR="00A01464" w:rsidRPr="005A7073">
              <w:rPr>
                <w:szCs w:val="28"/>
              </w:rPr>
              <w:t>.</w:t>
            </w:r>
          </w:p>
          <w:p w:rsidR="00A01464" w:rsidRDefault="00A01464" w:rsidP="0019074A">
            <w:pPr>
              <w:pStyle w:val="NoSpacing"/>
              <w:numPr>
                <w:ilvl w:val="0"/>
                <w:numId w:val="6"/>
              </w:numPr>
              <w:ind w:left="364" w:hanging="284"/>
              <w:jc w:val="both"/>
            </w:pPr>
            <w:r w:rsidRPr="005A7073">
              <w:rPr>
                <w:szCs w:val="28"/>
              </w:rPr>
              <w:t xml:space="preserve">apmaksāt </w:t>
            </w:r>
            <w:r w:rsidRPr="005A7073">
              <w:t xml:space="preserve">ārstniecības personas nozīmētu medikamentu iegādi, nosakot, ka minētos pakalpojumus apmaksā, kompensējot amatpersonām to izdevumus 50 % apmērā, bet kopumā ne vairāk kā 43 </w:t>
            </w:r>
            <w:proofErr w:type="spellStart"/>
            <w:r w:rsidRPr="005A7073">
              <w:rPr>
                <w:i/>
              </w:rPr>
              <w:t>euro</w:t>
            </w:r>
            <w:proofErr w:type="spellEnd"/>
            <w:r w:rsidRPr="005A7073">
              <w:t xml:space="preserve"> apmērā kalendāra gadā katrai amatpersonai. Ar medikamentiem tiek saprastas - zāles, kas sagatavotas noteiktam ievadīšanas veidam konkrētā formā un kas tiek izplatītas ar konkrētu nosaukumu konkrētā iepakojumā.</w:t>
            </w:r>
          </w:p>
          <w:p w:rsidR="00F919BB" w:rsidRPr="00BF7D95" w:rsidRDefault="00AF287B" w:rsidP="0019074A">
            <w:pPr>
              <w:pStyle w:val="NoSpacing"/>
              <w:numPr>
                <w:ilvl w:val="0"/>
                <w:numId w:val="6"/>
              </w:numPr>
              <w:ind w:left="364" w:hanging="284"/>
              <w:jc w:val="both"/>
            </w:pPr>
            <w:r>
              <w:t>noteikt</w:t>
            </w:r>
            <w:r w:rsidR="00F919BB" w:rsidRPr="00BF7D95">
              <w:t xml:space="preserve"> ambulatori veicamās injekcijas un fizikālās medicīnas pakalpojumus kā izņēmumu </w:t>
            </w:r>
            <w:r w:rsidR="003F2247" w:rsidRPr="00BF7D95">
              <w:t xml:space="preserve">neapmaksājamo un nekompensējamo </w:t>
            </w:r>
            <w:r w:rsidR="00F919BB" w:rsidRPr="00BF7D95">
              <w:t>pakalpojumu uzskaitījumā.</w:t>
            </w:r>
          </w:p>
          <w:p w:rsidR="00206D30" w:rsidRDefault="00206D30" w:rsidP="00BC004A">
            <w:pPr>
              <w:pStyle w:val="NoSpacing"/>
              <w:jc w:val="both"/>
            </w:pPr>
          </w:p>
          <w:p w:rsidR="00C23A44" w:rsidRPr="005743E1" w:rsidRDefault="00092AF6" w:rsidP="00BC004A">
            <w:pPr>
              <w:pStyle w:val="NoSpacing"/>
              <w:jc w:val="both"/>
            </w:pPr>
            <w:r w:rsidRPr="005A7073">
              <w:t xml:space="preserve">Projekts pilnībā atrisina anotācijas </w:t>
            </w:r>
            <w:r w:rsidR="008256AD" w:rsidRPr="002B1CD9">
              <w:t>1.</w:t>
            </w:r>
            <w:r w:rsidRPr="002B1CD9">
              <w:t>sadaļas 2.punktā minētās problēmas.</w:t>
            </w:r>
            <w:r w:rsidRPr="005743E1">
              <w:t xml:space="preserve"> </w:t>
            </w:r>
          </w:p>
        </w:tc>
      </w:tr>
      <w:tr w:rsidR="00616AA6" w:rsidRPr="00762374" w:rsidTr="00FF063B">
        <w:trPr>
          <w:gridBefore w:val="1"/>
          <w:wBefore w:w="137" w:type="dxa"/>
        </w:trPr>
        <w:tc>
          <w:tcPr>
            <w:tcW w:w="1003" w:type="dxa"/>
          </w:tcPr>
          <w:p w:rsidR="00616AA6" w:rsidRPr="00762374" w:rsidRDefault="00616AA6" w:rsidP="006F255D">
            <w:pPr>
              <w:jc w:val="center"/>
              <w:rPr>
                <w:sz w:val="26"/>
                <w:szCs w:val="26"/>
              </w:rPr>
            </w:pPr>
            <w:r w:rsidRPr="00762374">
              <w:rPr>
                <w:sz w:val="26"/>
                <w:szCs w:val="26"/>
              </w:rPr>
              <w:lastRenderedPageBreak/>
              <w:t>5.</w:t>
            </w:r>
          </w:p>
        </w:tc>
        <w:tc>
          <w:tcPr>
            <w:tcW w:w="2850" w:type="dxa"/>
            <w:gridSpan w:val="2"/>
          </w:tcPr>
          <w:p w:rsidR="00616AA6" w:rsidRPr="00762374" w:rsidRDefault="00616AA6" w:rsidP="006F255D">
            <w:pPr>
              <w:rPr>
                <w:sz w:val="26"/>
                <w:szCs w:val="26"/>
              </w:rPr>
            </w:pPr>
            <w:r w:rsidRPr="00762374">
              <w:rPr>
                <w:sz w:val="26"/>
                <w:szCs w:val="26"/>
              </w:rPr>
              <w:t>Projekta izstrādē iesaistītās institūcijas</w:t>
            </w:r>
          </w:p>
        </w:tc>
        <w:tc>
          <w:tcPr>
            <w:tcW w:w="5550" w:type="dxa"/>
          </w:tcPr>
          <w:p w:rsidR="00616AA6" w:rsidRPr="005743E1" w:rsidRDefault="00B9098B" w:rsidP="006F255D">
            <w:pPr>
              <w:tabs>
                <w:tab w:val="left" w:pos="5279"/>
              </w:tabs>
              <w:ind w:right="31"/>
              <w:jc w:val="both"/>
            </w:pPr>
            <w:r w:rsidRPr="005743E1">
              <w:rPr>
                <w:bCs/>
              </w:rPr>
              <w:t>Projekts šo jomu neskar.</w:t>
            </w:r>
          </w:p>
        </w:tc>
      </w:tr>
      <w:tr w:rsidR="00616AA6" w:rsidRPr="00762374" w:rsidTr="00FF063B">
        <w:trPr>
          <w:gridBefore w:val="1"/>
          <w:wBefore w:w="137" w:type="dxa"/>
          <w:cantSplit/>
          <w:trHeight w:val="989"/>
        </w:trPr>
        <w:tc>
          <w:tcPr>
            <w:tcW w:w="1003" w:type="dxa"/>
          </w:tcPr>
          <w:p w:rsidR="00616AA6" w:rsidRPr="00762374" w:rsidRDefault="00616AA6" w:rsidP="006F255D">
            <w:pPr>
              <w:jc w:val="center"/>
              <w:rPr>
                <w:sz w:val="26"/>
                <w:szCs w:val="26"/>
              </w:rPr>
            </w:pPr>
            <w:r w:rsidRPr="00762374">
              <w:rPr>
                <w:sz w:val="26"/>
                <w:szCs w:val="26"/>
              </w:rPr>
              <w:t>6.</w:t>
            </w:r>
          </w:p>
        </w:tc>
        <w:tc>
          <w:tcPr>
            <w:tcW w:w="2850" w:type="dxa"/>
            <w:gridSpan w:val="2"/>
          </w:tcPr>
          <w:p w:rsidR="00616AA6" w:rsidRPr="00762374" w:rsidRDefault="00616AA6" w:rsidP="006F255D">
            <w:pPr>
              <w:rPr>
                <w:sz w:val="26"/>
                <w:szCs w:val="26"/>
              </w:rPr>
            </w:pPr>
            <w:r w:rsidRPr="00762374">
              <w:rPr>
                <w:sz w:val="26"/>
                <w:szCs w:val="26"/>
              </w:rPr>
              <w:t>Iemesli, kādēļ netika nodrošināta sabiedrības līdzdalība</w:t>
            </w:r>
          </w:p>
        </w:tc>
        <w:tc>
          <w:tcPr>
            <w:tcW w:w="5550" w:type="dxa"/>
          </w:tcPr>
          <w:p w:rsidR="000C3782" w:rsidRPr="005743E1" w:rsidRDefault="00030E1C" w:rsidP="00030E1C">
            <w:pPr>
              <w:spacing w:before="100" w:beforeAutospacing="1" w:after="100" w:afterAutospacing="1"/>
              <w:jc w:val="both"/>
              <w:rPr>
                <w:color w:val="000000"/>
              </w:rPr>
            </w:pPr>
            <w:r w:rsidRPr="005743E1">
              <w:t>A</w:t>
            </w:r>
            <w:r w:rsidR="000C3782" w:rsidRPr="005743E1">
              <w:t>r Iekšlietu ministrijas 2011.gada 29.jūnija rīkojumu Nr.1010 izveidotā darba grupā tika pieaicināti sociālie partneri – Latvijas apvienoto policistu arodbiedrības, Neatkarīgās policistu arodbiedrības, Latvijas Iekšlietu darbinieku arodbiedrības, Latvijas Policistu arodbiedrības, Latvijas Juristu apvienības, Latvijas Robežsargu asociācijas, Latvijas Brīvo arodbiedrību savienības un arodbiedrības „LABA” deleģētie pārstāvji.</w:t>
            </w:r>
            <w:r w:rsidRPr="005743E1">
              <w:t xml:space="preserve"> </w:t>
            </w:r>
          </w:p>
        </w:tc>
      </w:tr>
      <w:tr w:rsidR="00616AA6" w:rsidRPr="00762374" w:rsidTr="00FF063B">
        <w:trPr>
          <w:gridBefore w:val="1"/>
          <w:wBefore w:w="137" w:type="dxa"/>
          <w:trHeight w:val="894"/>
        </w:trPr>
        <w:tc>
          <w:tcPr>
            <w:tcW w:w="1003" w:type="dxa"/>
          </w:tcPr>
          <w:p w:rsidR="00616AA6" w:rsidRPr="00762374" w:rsidRDefault="00616AA6" w:rsidP="006F255D">
            <w:pPr>
              <w:jc w:val="center"/>
              <w:rPr>
                <w:sz w:val="26"/>
                <w:szCs w:val="26"/>
              </w:rPr>
            </w:pPr>
            <w:r w:rsidRPr="00762374">
              <w:rPr>
                <w:sz w:val="26"/>
                <w:szCs w:val="26"/>
              </w:rPr>
              <w:t>7.</w:t>
            </w:r>
          </w:p>
        </w:tc>
        <w:tc>
          <w:tcPr>
            <w:tcW w:w="2850" w:type="dxa"/>
            <w:gridSpan w:val="2"/>
          </w:tcPr>
          <w:p w:rsidR="00616AA6" w:rsidRPr="00762374" w:rsidRDefault="00616AA6" w:rsidP="006F255D">
            <w:pPr>
              <w:rPr>
                <w:sz w:val="26"/>
                <w:szCs w:val="26"/>
              </w:rPr>
            </w:pPr>
            <w:r w:rsidRPr="00762374">
              <w:rPr>
                <w:sz w:val="26"/>
                <w:szCs w:val="26"/>
              </w:rPr>
              <w:t> Cita informācija</w:t>
            </w:r>
          </w:p>
        </w:tc>
        <w:tc>
          <w:tcPr>
            <w:tcW w:w="5550" w:type="dxa"/>
          </w:tcPr>
          <w:p w:rsidR="00616AA6" w:rsidRPr="005743E1" w:rsidRDefault="00384EDD" w:rsidP="00026386">
            <w:pPr>
              <w:pStyle w:val="naiskr"/>
              <w:spacing w:before="0" w:after="0"/>
              <w:ind w:firstLine="385"/>
              <w:jc w:val="both"/>
            </w:pPr>
            <w:r w:rsidRPr="005743E1">
              <w:t>Nav.</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9403" w:type="dxa"/>
            <w:gridSpan w:val="4"/>
            <w:tcBorders>
              <w:top w:val="single" w:sz="1" w:space="0" w:color="000000"/>
              <w:left w:val="single" w:sz="1" w:space="0" w:color="000000"/>
              <w:bottom w:val="single" w:sz="1" w:space="0" w:color="000000"/>
              <w:right w:val="single" w:sz="1" w:space="0" w:color="000000"/>
            </w:tcBorders>
          </w:tcPr>
          <w:p w:rsidR="00092AF6" w:rsidRPr="004F3EBA" w:rsidRDefault="00092AF6" w:rsidP="00FE029B">
            <w:pPr>
              <w:pStyle w:val="TableContents"/>
              <w:snapToGrid w:val="0"/>
              <w:jc w:val="center"/>
              <w:rPr>
                <w:b/>
                <w:bCs/>
              </w:rPr>
            </w:pPr>
            <w:r w:rsidRPr="004F3EBA">
              <w:rPr>
                <w:b/>
                <w:bCs/>
              </w:rPr>
              <w:t>II. Tiesību akta projekta ietekme uz sabiedrību</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3341" w:type="dxa"/>
            <w:gridSpan w:val="2"/>
            <w:tcBorders>
              <w:top w:val="single" w:sz="4" w:space="0" w:color="auto"/>
              <w:left w:val="single" w:sz="4" w:space="0" w:color="auto"/>
              <w:bottom w:val="single" w:sz="4" w:space="0" w:color="auto"/>
              <w:right w:val="single" w:sz="4" w:space="0" w:color="auto"/>
            </w:tcBorders>
          </w:tcPr>
          <w:p w:rsidR="00092AF6" w:rsidRPr="004F3EBA" w:rsidRDefault="00092AF6" w:rsidP="00FE029B">
            <w:pPr>
              <w:pStyle w:val="TableContents"/>
              <w:snapToGrid w:val="0"/>
            </w:pPr>
            <w:r w:rsidRPr="004F3EBA">
              <w:t>1. Sabiedrības mērķgrupa</w:t>
            </w:r>
          </w:p>
        </w:tc>
        <w:tc>
          <w:tcPr>
            <w:tcW w:w="6062" w:type="dxa"/>
            <w:gridSpan w:val="2"/>
            <w:tcBorders>
              <w:top w:val="single" w:sz="4" w:space="0" w:color="auto"/>
              <w:left w:val="single" w:sz="4" w:space="0" w:color="auto"/>
              <w:bottom w:val="single" w:sz="4" w:space="0" w:color="auto"/>
              <w:right w:val="single" w:sz="4" w:space="0" w:color="auto"/>
            </w:tcBorders>
          </w:tcPr>
          <w:p w:rsidR="00BF3320" w:rsidRDefault="00092AF6" w:rsidP="00FE029B">
            <w:pPr>
              <w:snapToGrid w:val="0"/>
              <w:ind w:left="75" w:firstLine="295"/>
              <w:jc w:val="both"/>
            </w:pPr>
            <w:r>
              <w:t>Amatpersonas ar speciālajām dienesta pakāpēm</w:t>
            </w:r>
            <w:r w:rsidR="00BF3320">
              <w:t>:</w:t>
            </w:r>
          </w:p>
          <w:p w:rsidR="00BF3320" w:rsidRDefault="00BF3320" w:rsidP="00FE029B">
            <w:pPr>
              <w:snapToGrid w:val="0"/>
              <w:ind w:left="75" w:firstLine="295"/>
              <w:jc w:val="both"/>
            </w:pPr>
            <w:r>
              <w:t>Iekšlietu ministrijas sistēmas iestādēs – 12000,</w:t>
            </w:r>
          </w:p>
          <w:p w:rsidR="00092AF6" w:rsidRPr="004F3EBA" w:rsidRDefault="00BF3320" w:rsidP="00FE029B">
            <w:pPr>
              <w:snapToGrid w:val="0"/>
              <w:ind w:left="75" w:firstLine="295"/>
              <w:jc w:val="both"/>
            </w:pPr>
            <w:r>
              <w:t>Ieslodzījuma vietu pārvaldē - 2500</w:t>
            </w:r>
            <w:r w:rsidR="00092AF6">
              <w:t>.</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3341" w:type="dxa"/>
            <w:gridSpan w:val="2"/>
            <w:tcBorders>
              <w:top w:val="single" w:sz="4" w:space="0" w:color="auto"/>
              <w:left w:val="single" w:sz="4" w:space="0" w:color="000000"/>
              <w:bottom w:val="single" w:sz="4" w:space="0" w:color="000000"/>
            </w:tcBorders>
          </w:tcPr>
          <w:p w:rsidR="00092AF6" w:rsidRPr="004F3EBA" w:rsidRDefault="00092AF6" w:rsidP="00FE029B">
            <w:pPr>
              <w:pStyle w:val="TableContents"/>
              <w:snapToGrid w:val="0"/>
            </w:pPr>
            <w:r w:rsidRPr="004F3EBA">
              <w:t>2. Citas sabiedrības grupas (bez mērķgrupas), kuras tiesiskais regulējums arī ietekmē vai varētu ietekmēt</w:t>
            </w:r>
          </w:p>
        </w:tc>
        <w:tc>
          <w:tcPr>
            <w:tcW w:w="6062" w:type="dxa"/>
            <w:gridSpan w:val="2"/>
            <w:tcBorders>
              <w:top w:val="single" w:sz="4" w:space="0" w:color="000000"/>
              <w:left w:val="single" w:sz="4" w:space="0" w:color="000000"/>
              <w:bottom w:val="single" w:sz="4" w:space="0" w:color="000000"/>
              <w:right w:val="single" w:sz="4" w:space="0" w:color="000000"/>
            </w:tcBorders>
          </w:tcPr>
          <w:p w:rsidR="00092AF6" w:rsidRPr="004F3EBA" w:rsidRDefault="00092AF6" w:rsidP="00FE029B">
            <w:pPr>
              <w:snapToGrid w:val="0"/>
              <w:jc w:val="both"/>
              <w:rPr>
                <w:rFonts w:eastAsia="EUAlbertina_Bold"/>
              </w:rPr>
            </w:pPr>
            <w:r>
              <w:rPr>
                <w:rFonts w:eastAsia="EUAlbertina_Bold"/>
              </w:rPr>
              <w:t>Projekts šo jomu neskar</w:t>
            </w:r>
            <w:r w:rsidRPr="004F3EBA">
              <w:rPr>
                <w:rFonts w:eastAsia="EUAlbertina_Bold"/>
              </w:rPr>
              <w:t>.</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3341" w:type="dxa"/>
            <w:gridSpan w:val="2"/>
            <w:tcBorders>
              <w:top w:val="single" w:sz="4" w:space="0" w:color="000000"/>
              <w:left w:val="single" w:sz="4" w:space="0" w:color="000000"/>
              <w:bottom w:val="single" w:sz="4" w:space="0" w:color="000000"/>
            </w:tcBorders>
          </w:tcPr>
          <w:p w:rsidR="00092AF6" w:rsidRPr="004F3EBA" w:rsidRDefault="00092AF6" w:rsidP="00FE029B">
            <w:pPr>
              <w:pStyle w:val="TableContents"/>
              <w:snapToGrid w:val="0"/>
            </w:pPr>
            <w:r w:rsidRPr="004F3EBA">
              <w:t>3. Tiesiskā regulējuma finansiālā ietekme</w:t>
            </w:r>
          </w:p>
        </w:tc>
        <w:tc>
          <w:tcPr>
            <w:tcW w:w="6062" w:type="dxa"/>
            <w:gridSpan w:val="2"/>
            <w:tcBorders>
              <w:top w:val="single" w:sz="4" w:space="0" w:color="000000"/>
              <w:left w:val="single" w:sz="4" w:space="0" w:color="000000"/>
              <w:bottom w:val="single" w:sz="4" w:space="0" w:color="000000"/>
              <w:right w:val="single" w:sz="4" w:space="0" w:color="000000"/>
            </w:tcBorders>
          </w:tcPr>
          <w:p w:rsidR="00092AF6" w:rsidRPr="00854C8F" w:rsidRDefault="00AE709C" w:rsidP="00FE029B">
            <w:pPr>
              <w:snapToGrid w:val="0"/>
              <w:jc w:val="both"/>
              <w:rPr>
                <w:rFonts w:eastAsia="EUAlbertina_Bold"/>
              </w:rPr>
            </w:pPr>
            <w:r>
              <w:rPr>
                <w:rFonts w:eastAsia="EUAlbertina_Bold"/>
              </w:rPr>
              <w:t>Projekts šo jomu neskar.</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3341" w:type="dxa"/>
            <w:gridSpan w:val="2"/>
            <w:tcBorders>
              <w:top w:val="single" w:sz="4" w:space="0" w:color="000000"/>
              <w:left w:val="single" w:sz="1" w:space="0" w:color="000000"/>
              <w:bottom w:val="single" w:sz="1" w:space="0" w:color="000000"/>
            </w:tcBorders>
          </w:tcPr>
          <w:p w:rsidR="00092AF6" w:rsidRPr="004F3EBA" w:rsidRDefault="00092AF6" w:rsidP="00FE029B">
            <w:pPr>
              <w:pStyle w:val="TableContents"/>
              <w:snapToGrid w:val="0"/>
            </w:pPr>
            <w:r w:rsidRPr="004F3EBA">
              <w:t>4. Tiesiskā regulējuma nefinansiālā ietekme</w:t>
            </w:r>
          </w:p>
        </w:tc>
        <w:tc>
          <w:tcPr>
            <w:tcW w:w="6062" w:type="dxa"/>
            <w:gridSpan w:val="2"/>
            <w:tcBorders>
              <w:top w:val="single" w:sz="4" w:space="0" w:color="000000"/>
              <w:left w:val="single" w:sz="1" w:space="0" w:color="000000"/>
              <w:bottom w:val="single" w:sz="1" w:space="0" w:color="000000"/>
              <w:right w:val="single" w:sz="1" w:space="0" w:color="000000"/>
            </w:tcBorders>
          </w:tcPr>
          <w:p w:rsidR="00092AF6" w:rsidRPr="004F3EBA" w:rsidRDefault="00092AF6" w:rsidP="00FE029B">
            <w:pPr>
              <w:snapToGrid w:val="0"/>
              <w:jc w:val="both"/>
              <w:rPr>
                <w:rFonts w:eastAsia="EUAlbertina_Bold"/>
              </w:rPr>
            </w:pPr>
            <w:r>
              <w:rPr>
                <w:rFonts w:eastAsia="EUAlbertina_Bold"/>
              </w:rPr>
              <w:t>Projekts šo jomu neskar</w:t>
            </w:r>
            <w:r w:rsidRPr="004F3EBA">
              <w:rPr>
                <w:rFonts w:eastAsia="EUAlbertina_Bold"/>
              </w:rPr>
              <w:t>.</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3341" w:type="dxa"/>
            <w:gridSpan w:val="2"/>
            <w:tcBorders>
              <w:left w:val="single" w:sz="1" w:space="0" w:color="000000"/>
              <w:bottom w:val="single" w:sz="1" w:space="0" w:color="000000"/>
            </w:tcBorders>
          </w:tcPr>
          <w:p w:rsidR="00092AF6" w:rsidRPr="004F3EBA" w:rsidRDefault="00092AF6" w:rsidP="00FE029B">
            <w:pPr>
              <w:pStyle w:val="TableContents"/>
              <w:snapToGrid w:val="0"/>
            </w:pPr>
            <w:r w:rsidRPr="004F3EBA">
              <w:t>5. Administratīvās procedūras raksturojums</w:t>
            </w:r>
          </w:p>
        </w:tc>
        <w:tc>
          <w:tcPr>
            <w:tcW w:w="6062" w:type="dxa"/>
            <w:gridSpan w:val="2"/>
            <w:tcBorders>
              <w:left w:val="single" w:sz="1" w:space="0" w:color="000000"/>
              <w:bottom w:val="single" w:sz="1" w:space="0" w:color="000000"/>
              <w:right w:val="single" w:sz="1" w:space="0" w:color="000000"/>
            </w:tcBorders>
          </w:tcPr>
          <w:p w:rsidR="00092AF6" w:rsidRPr="004F3EBA" w:rsidRDefault="00092AF6" w:rsidP="00FE029B">
            <w:pPr>
              <w:snapToGrid w:val="0"/>
              <w:jc w:val="both"/>
              <w:rPr>
                <w:rFonts w:eastAsia="EUAlbertina_Bold"/>
              </w:rPr>
            </w:pPr>
            <w:r>
              <w:rPr>
                <w:rFonts w:eastAsia="EUAlbertina_Bold"/>
              </w:rPr>
              <w:t>Projekts šo jomu neskar</w:t>
            </w:r>
            <w:r w:rsidRPr="004F3EBA">
              <w:rPr>
                <w:rFonts w:eastAsia="EUAlbertina_Bold"/>
              </w:rPr>
              <w:t>.</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3341" w:type="dxa"/>
            <w:gridSpan w:val="2"/>
            <w:tcBorders>
              <w:left w:val="single" w:sz="1" w:space="0" w:color="000000"/>
              <w:bottom w:val="single" w:sz="1" w:space="0" w:color="000000"/>
            </w:tcBorders>
          </w:tcPr>
          <w:p w:rsidR="00092AF6" w:rsidRPr="004F3EBA" w:rsidRDefault="00092AF6" w:rsidP="00FE029B">
            <w:pPr>
              <w:pStyle w:val="TableContents"/>
              <w:snapToGrid w:val="0"/>
            </w:pPr>
            <w:r w:rsidRPr="004F3EBA">
              <w:t>6. Administratīvo izmaksu monetārs novērtējums</w:t>
            </w:r>
          </w:p>
        </w:tc>
        <w:tc>
          <w:tcPr>
            <w:tcW w:w="6062" w:type="dxa"/>
            <w:gridSpan w:val="2"/>
            <w:tcBorders>
              <w:left w:val="single" w:sz="1" w:space="0" w:color="000000"/>
              <w:bottom w:val="single" w:sz="1" w:space="0" w:color="000000"/>
              <w:right w:val="single" w:sz="1" w:space="0" w:color="000000"/>
            </w:tcBorders>
          </w:tcPr>
          <w:p w:rsidR="00092AF6" w:rsidRPr="004F3EBA" w:rsidRDefault="00092AF6" w:rsidP="00FE029B">
            <w:pPr>
              <w:snapToGrid w:val="0"/>
              <w:jc w:val="both"/>
              <w:rPr>
                <w:rFonts w:eastAsia="EUAlbertina_Bold"/>
              </w:rPr>
            </w:pPr>
            <w:r>
              <w:rPr>
                <w:rFonts w:eastAsia="EUAlbertina_Bold"/>
              </w:rPr>
              <w:t>Projekts šo jomu neskar</w:t>
            </w:r>
            <w:r w:rsidRPr="004F3EBA">
              <w:rPr>
                <w:rFonts w:eastAsia="EUAlbertina_Bold"/>
              </w:rPr>
              <w:t>.</w:t>
            </w:r>
          </w:p>
        </w:tc>
      </w:tr>
      <w:tr w:rsidR="00092AF6" w:rsidRPr="004F3EBA" w:rsidTr="00FF0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137" w:type="dxa"/>
        </w:trPr>
        <w:tc>
          <w:tcPr>
            <w:tcW w:w="3341" w:type="dxa"/>
            <w:gridSpan w:val="2"/>
            <w:tcBorders>
              <w:left w:val="single" w:sz="1" w:space="0" w:color="000000"/>
              <w:bottom w:val="single" w:sz="1" w:space="0" w:color="000000"/>
            </w:tcBorders>
          </w:tcPr>
          <w:p w:rsidR="00092AF6" w:rsidRPr="004F3EBA" w:rsidRDefault="00092AF6" w:rsidP="00FE029B">
            <w:pPr>
              <w:pStyle w:val="TableContents"/>
              <w:snapToGrid w:val="0"/>
            </w:pPr>
            <w:r w:rsidRPr="004F3EBA">
              <w:t>7. Cita informācija</w:t>
            </w:r>
          </w:p>
        </w:tc>
        <w:tc>
          <w:tcPr>
            <w:tcW w:w="6062" w:type="dxa"/>
            <w:gridSpan w:val="2"/>
            <w:tcBorders>
              <w:left w:val="single" w:sz="1" w:space="0" w:color="000000"/>
              <w:bottom w:val="single" w:sz="1" w:space="0" w:color="000000"/>
              <w:right w:val="single" w:sz="1" w:space="0" w:color="000000"/>
            </w:tcBorders>
          </w:tcPr>
          <w:p w:rsidR="00092AF6" w:rsidRPr="004F3EBA" w:rsidRDefault="00092AF6" w:rsidP="00FE029B">
            <w:pPr>
              <w:snapToGrid w:val="0"/>
              <w:jc w:val="both"/>
              <w:rPr>
                <w:rFonts w:eastAsia="EUAlbertina_Bold"/>
              </w:rPr>
            </w:pPr>
            <w:r w:rsidRPr="004F3EBA">
              <w:rPr>
                <w:rFonts w:eastAsia="EUAlbertina_Bold"/>
              </w:rPr>
              <w:t>Nav.</w:t>
            </w:r>
          </w:p>
        </w:tc>
      </w:tr>
      <w:tr w:rsidR="006515D1" w:rsidRPr="005A3C61" w:rsidTr="00FF063B">
        <w:tblPrEx>
          <w:jc w:val="center"/>
          <w:tblInd w:w="0" w:type="dxa"/>
          <w:tblLook w:val="01E0" w:firstRow="1" w:lastRow="1" w:firstColumn="1" w:lastColumn="1" w:noHBand="0" w:noVBand="0"/>
        </w:tblPrEx>
        <w:trPr>
          <w:trHeight w:val="652"/>
          <w:jc w:val="center"/>
        </w:trPr>
        <w:tc>
          <w:tcPr>
            <w:tcW w:w="9540" w:type="dxa"/>
            <w:gridSpan w:val="5"/>
            <w:tcBorders>
              <w:left w:val="nil"/>
              <w:right w:val="nil"/>
            </w:tcBorders>
          </w:tcPr>
          <w:p w:rsidR="00FF063B" w:rsidRPr="00E21062" w:rsidRDefault="00FF063B" w:rsidP="00FF063B"/>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256"/>
              <w:gridCol w:w="1326"/>
              <w:gridCol w:w="1392"/>
              <w:gridCol w:w="1392"/>
              <w:gridCol w:w="1340"/>
            </w:tblGrid>
            <w:tr w:rsidR="00FF063B" w:rsidRPr="00E21062" w:rsidTr="00934865">
              <w:trPr>
                <w:trHeight w:val="652"/>
                <w:jc w:val="center"/>
              </w:trPr>
              <w:tc>
                <w:tcPr>
                  <w:tcW w:w="9314" w:type="dxa"/>
                  <w:gridSpan w:val="6"/>
                </w:tcPr>
                <w:p w:rsidR="00FF063B" w:rsidRPr="00E21062" w:rsidRDefault="00FF063B" w:rsidP="00934865">
                  <w:pPr>
                    <w:pStyle w:val="naisnod"/>
                    <w:spacing w:before="0" w:after="0"/>
                    <w:rPr>
                      <w:i/>
                      <w:color w:val="000000" w:themeColor="text1"/>
                      <w:sz w:val="26"/>
                      <w:szCs w:val="26"/>
                    </w:rPr>
                  </w:pPr>
                  <w:r w:rsidRPr="00E21062">
                    <w:rPr>
                      <w:color w:val="000000" w:themeColor="text1"/>
                      <w:sz w:val="26"/>
                      <w:szCs w:val="26"/>
                    </w:rPr>
                    <w:br w:type="page"/>
                    <w:t>III. Tiesību akta projekta ietekme uz valsts budžetu un pašvaldību budžetiem</w:t>
                  </w:r>
                </w:p>
              </w:tc>
            </w:tr>
            <w:tr w:rsidR="00FF063B" w:rsidRPr="00E21062" w:rsidTr="00934865">
              <w:trPr>
                <w:jc w:val="center"/>
              </w:trPr>
              <w:tc>
                <w:tcPr>
                  <w:tcW w:w="2608" w:type="dxa"/>
                  <w:vMerge w:val="restart"/>
                  <w:vAlign w:val="center"/>
                </w:tcPr>
                <w:p w:rsidR="00FF063B" w:rsidRPr="00E21062" w:rsidRDefault="00FF063B" w:rsidP="00934865">
                  <w:pPr>
                    <w:pStyle w:val="naisf"/>
                    <w:spacing w:before="0" w:after="0"/>
                    <w:ind w:firstLine="0"/>
                    <w:jc w:val="center"/>
                    <w:rPr>
                      <w:color w:val="000000" w:themeColor="text1"/>
                      <w:sz w:val="26"/>
                      <w:szCs w:val="26"/>
                    </w:rPr>
                  </w:pPr>
                  <w:r w:rsidRPr="00E21062">
                    <w:rPr>
                      <w:color w:val="000000" w:themeColor="text1"/>
                      <w:sz w:val="26"/>
                      <w:szCs w:val="26"/>
                    </w:rPr>
                    <w:t>Rādītāji</w:t>
                  </w:r>
                </w:p>
              </w:tc>
              <w:tc>
                <w:tcPr>
                  <w:tcW w:w="2582" w:type="dxa"/>
                  <w:gridSpan w:val="2"/>
                  <w:vMerge w:val="restart"/>
                  <w:vAlign w:val="center"/>
                </w:tcPr>
                <w:p w:rsidR="00FF063B" w:rsidRPr="00E21062" w:rsidRDefault="00FF063B" w:rsidP="00934865">
                  <w:pPr>
                    <w:pStyle w:val="naisf"/>
                    <w:spacing w:before="0" w:after="0"/>
                    <w:ind w:firstLine="0"/>
                    <w:jc w:val="center"/>
                    <w:rPr>
                      <w:color w:val="000000" w:themeColor="text1"/>
                      <w:sz w:val="26"/>
                      <w:szCs w:val="26"/>
                    </w:rPr>
                  </w:pPr>
                  <w:r w:rsidRPr="00E21062">
                    <w:rPr>
                      <w:color w:val="000000" w:themeColor="text1"/>
                      <w:sz w:val="26"/>
                      <w:szCs w:val="26"/>
                    </w:rPr>
                    <w:t>2013.gads</w:t>
                  </w:r>
                </w:p>
              </w:tc>
              <w:tc>
                <w:tcPr>
                  <w:tcW w:w="4124" w:type="dxa"/>
                  <w:gridSpan w:val="3"/>
                  <w:vAlign w:val="center"/>
                </w:tcPr>
                <w:p w:rsidR="00FF063B" w:rsidRPr="00E21062" w:rsidRDefault="00FF063B" w:rsidP="00934865">
                  <w:pPr>
                    <w:pStyle w:val="naisf"/>
                    <w:spacing w:before="0" w:after="0"/>
                    <w:ind w:firstLine="0"/>
                    <w:jc w:val="center"/>
                    <w:rPr>
                      <w:b/>
                      <w:i/>
                      <w:color w:val="000000" w:themeColor="text1"/>
                      <w:sz w:val="26"/>
                      <w:szCs w:val="26"/>
                    </w:rPr>
                  </w:pPr>
                  <w:r w:rsidRPr="00E21062">
                    <w:rPr>
                      <w:color w:val="000000" w:themeColor="text1"/>
                      <w:sz w:val="26"/>
                      <w:szCs w:val="26"/>
                    </w:rPr>
                    <w:t xml:space="preserve">Turpmākie trīs gadi (tūkst. </w:t>
                  </w:r>
                  <w:proofErr w:type="spellStart"/>
                  <w:r w:rsidRPr="00E21062">
                    <w:rPr>
                      <w:i/>
                      <w:color w:val="000000" w:themeColor="text1"/>
                      <w:sz w:val="26"/>
                      <w:szCs w:val="26"/>
                    </w:rPr>
                    <w:t>euro</w:t>
                  </w:r>
                  <w:proofErr w:type="spellEnd"/>
                  <w:r w:rsidRPr="00E21062">
                    <w:rPr>
                      <w:color w:val="000000" w:themeColor="text1"/>
                      <w:sz w:val="26"/>
                      <w:szCs w:val="26"/>
                    </w:rPr>
                    <w:t>)</w:t>
                  </w:r>
                </w:p>
              </w:tc>
            </w:tr>
            <w:tr w:rsidR="00FF063B" w:rsidRPr="00E21062" w:rsidTr="00934865">
              <w:trPr>
                <w:jc w:val="center"/>
              </w:trPr>
              <w:tc>
                <w:tcPr>
                  <w:tcW w:w="2608" w:type="dxa"/>
                  <w:vMerge/>
                  <w:vAlign w:val="center"/>
                </w:tcPr>
                <w:p w:rsidR="00FF063B" w:rsidRPr="00E21062" w:rsidRDefault="00FF063B" w:rsidP="00934865">
                  <w:pPr>
                    <w:pStyle w:val="naisf"/>
                    <w:spacing w:before="0" w:after="0"/>
                    <w:ind w:firstLine="0"/>
                    <w:jc w:val="center"/>
                    <w:rPr>
                      <w:b/>
                      <w:i/>
                      <w:color w:val="000000" w:themeColor="text1"/>
                      <w:sz w:val="26"/>
                      <w:szCs w:val="26"/>
                    </w:rPr>
                  </w:pPr>
                </w:p>
              </w:tc>
              <w:tc>
                <w:tcPr>
                  <w:tcW w:w="2582" w:type="dxa"/>
                  <w:gridSpan w:val="2"/>
                  <w:vMerge/>
                  <w:vAlign w:val="center"/>
                </w:tcPr>
                <w:p w:rsidR="00FF063B" w:rsidRPr="00E21062" w:rsidRDefault="00FF063B" w:rsidP="00934865">
                  <w:pPr>
                    <w:pStyle w:val="naisf"/>
                    <w:spacing w:before="0" w:after="0"/>
                    <w:ind w:firstLine="0"/>
                    <w:jc w:val="center"/>
                    <w:rPr>
                      <w:b/>
                      <w:i/>
                      <w:color w:val="000000" w:themeColor="text1"/>
                      <w:sz w:val="26"/>
                      <w:szCs w:val="26"/>
                    </w:rPr>
                  </w:pPr>
                </w:p>
              </w:tc>
              <w:tc>
                <w:tcPr>
                  <w:tcW w:w="1392" w:type="dxa"/>
                  <w:vAlign w:val="center"/>
                </w:tcPr>
                <w:p w:rsidR="00FF063B" w:rsidRPr="00E21062" w:rsidRDefault="00FF063B" w:rsidP="00934865">
                  <w:pPr>
                    <w:pStyle w:val="naisf"/>
                    <w:spacing w:before="0" w:after="0"/>
                    <w:ind w:firstLine="0"/>
                    <w:jc w:val="center"/>
                    <w:rPr>
                      <w:i/>
                      <w:color w:val="000000" w:themeColor="text1"/>
                      <w:sz w:val="26"/>
                      <w:szCs w:val="26"/>
                    </w:rPr>
                  </w:pPr>
                  <w:r w:rsidRPr="00E21062">
                    <w:rPr>
                      <w:color w:val="000000" w:themeColor="text1"/>
                      <w:sz w:val="26"/>
                      <w:szCs w:val="26"/>
                    </w:rPr>
                    <w:t>2014.gads</w:t>
                  </w:r>
                </w:p>
              </w:tc>
              <w:tc>
                <w:tcPr>
                  <w:tcW w:w="1392" w:type="dxa"/>
                  <w:vAlign w:val="center"/>
                </w:tcPr>
                <w:p w:rsidR="00FF063B" w:rsidRPr="00E21062" w:rsidRDefault="00FF063B" w:rsidP="00934865">
                  <w:pPr>
                    <w:pStyle w:val="naisf"/>
                    <w:spacing w:before="0" w:after="0"/>
                    <w:ind w:firstLine="0"/>
                    <w:jc w:val="center"/>
                    <w:rPr>
                      <w:i/>
                      <w:color w:val="000000" w:themeColor="text1"/>
                      <w:sz w:val="26"/>
                      <w:szCs w:val="26"/>
                    </w:rPr>
                  </w:pPr>
                  <w:r w:rsidRPr="00E21062">
                    <w:rPr>
                      <w:color w:val="000000" w:themeColor="text1"/>
                      <w:sz w:val="26"/>
                      <w:szCs w:val="26"/>
                    </w:rPr>
                    <w:t>2015.gads</w:t>
                  </w:r>
                </w:p>
              </w:tc>
              <w:tc>
                <w:tcPr>
                  <w:tcW w:w="1340" w:type="dxa"/>
                  <w:vAlign w:val="center"/>
                </w:tcPr>
                <w:p w:rsidR="00FF063B" w:rsidRPr="00E21062" w:rsidRDefault="00FF063B" w:rsidP="00934865">
                  <w:pPr>
                    <w:pStyle w:val="naisf"/>
                    <w:spacing w:before="0" w:after="0"/>
                    <w:ind w:firstLine="0"/>
                    <w:jc w:val="center"/>
                    <w:rPr>
                      <w:i/>
                      <w:color w:val="000000" w:themeColor="text1"/>
                      <w:sz w:val="26"/>
                      <w:szCs w:val="26"/>
                    </w:rPr>
                  </w:pPr>
                  <w:r w:rsidRPr="00E21062">
                    <w:rPr>
                      <w:color w:val="000000" w:themeColor="text1"/>
                      <w:sz w:val="26"/>
                      <w:szCs w:val="26"/>
                    </w:rPr>
                    <w:t>2016.gads</w:t>
                  </w:r>
                </w:p>
              </w:tc>
            </w:tr>
            <w:tr w:rsidR="00FF063B" w:rsidRPr="00E21062" w:rsidTr="00934865">
              <w:trPr>
                <w:jc w:val="center"/>
              </w:trPr>
              <w:tc>
                <w:tcPr>
                  <w:tcW w:w="2608" w:type="dxa"/>
                  <w:vMerge/>
                  <w:vAlign w:val="center"/>
                </w:tcPr>
                <w:p w:rsidR="00FF063B" w:rsidRPr="00E21062" w:rsidRDefault="00FF063B" w:rsidP="00934865">
                  <w:pPr>
                    <w:pStyle w:val="naisf"/>
                    <w:spacing w:before="0" w:after="0"/>
                    <w:ind w:firstLine="0"/>
                    <w:jc w:val="center"/>
                    <w:rPr>
                      <w:b/>
                      <w:i/>
                      <w:color w:val="000000" w:themeColor="text1"/>
                      <w:sz w:val="26"/>
                      <w:szCs w:val="26"/>
                    </w:rPr>
                  </w:pPr>
                </w:p>
              </w:tc>
              <w:tc>
                <w:tcPr>
                  <w:tcW w:w="1256" w:type="dxa"/>
                  <w:vAlign w:val="center"/>
                </w:tcPr>
                <w:p w:rsidR="00FF063B" w:rsidRPr="00E21062" w:rsidRDefault="00FF063B" w:rsidP="00934865">
                  <w:pPr>
                    <w:pStyle w:val="naisf"/>
                    <w:spacing w:before="0" w:after="0"/>
                    <w:ind w:firstLine="0"/>
                    <w:jc w:val="center"/>
                    <w:rPr>
                      <w:b/>
                      <w:i/>
                      <w:color w:val="000000" w:themeColor="text1"/>
                      <w:sz w:val="26"/>
                      <w:szCs w:val="26"/>
                    </w:rPr>
                  </w:pPr>
                  <w:r w:rsidRPr="00E21062">
                    <w:rPr>
                      <w:color w:val="000000" w:themeColor="text1"/>
                      <w:sz w:val="26"/>
                      <w:szCs w:val="26"/>
                    </w:rPr>
                    <w:t>Saskaņā ar valsts budžetu kārtējam gadam</w:t>
                  </w:r>
                </w:p>
              </w:tc>
              <w:tc>
                <w:tcPr>
                  <w:tcW w:w="1326" w:type="dxa"/>
                  <w:vAlign w:val="center"/>
                </w:tcPr>
                <w:p w:rsidR="00FF063B" w:rsidRPr="00E21062" w:rsidRDefault="00FF063B" w:rsidP="00934865">
                  <w:pPr>
                    <w:pStyle w:val="naisf"/>
                    <w:spacing w:before="0" w:after="0"/>
                    <w:ind w:firstLine="0"/>
                    <w:jc w:val="center"/>
                    <w:rPr>
                      <w:b/>
                      <w:i/>
                      <w:color w:val="000000" w:themeColor="text1"/>
                      <w:sz w:val="26"/>
                      <w:szCs w:val="26"/>
                    </w:rPr>
                  </w:pPr>
                  <w:r w:rsidRPr="00E21062">
                    <w:rPr>
                      <w:color w:val="000000" w:themeColor="text1"/>
                      <w:sz w:val="26"/>
                      <w:szCs w:val="26"/>
                    </w:rPr>
                    <w:t xml:space="preserve">Izmaiņas kārtējā gadā, salīdzinot ar budžetu </w:t>
                  </w:r>
                  <w:r w:rsidRPr="00E21062">
                    <w:rPr>
                      <w:color w:val="000000" w:themeColor="text1"/>
                      <w:sz w:val="26"/>
                      <w:szCs w:val="26"/>
                    </w:rPr>
                    <w:lastRenderedPageBreak/>
                    <w:t>kārtējam gadam</w:t>
                  </w:r>
                </w:p>
              </w:tc>
              <w:tc>
                <w:tcPr>
                  <w:tcW w:w="1392" w:type="dxa"/>
                  <w:vAlign w:val="center"/>
                </w:tcPr>
                <w:p w:rsidR="00FF063B" w:rsidRPr="00E21062" w:rsidRDefault="00FF063B" w:rsidP="00934865">
                  <w:pPr>
                    <w:pStyle w:val="naisf"/>
                    <w:spacing w:before="0" w:after="0"/>
                    <w:ind w:firstLine="0"/>
                    <w:jc w:val="center"/>
                    <w:rPr>
                      <w:b/>
                      <w:i/>
                      <w:color w:val="000000" w:themeColor="text1"/>
                      <w:sz w:val="26"/>
                      <w:szCs w:val="26"/>
                    </w:rPr>
                  </w:pPr>
                  <w:r w:rsidRPr="00E21062">
                    <w:rPr>
                      <w:color w:val="000000" w:themeColor="text1"/>
                      <w:sz w:val="26"/>
                      <w:szCs w:val="26"/>
                    </w:rPr>
                    <w:lastRenderedPageBreak/>
                    <w:t>Izmaiņas, salīdzinot ar kārtējo 2013.gadu</w:t>
                  </w:r>
                </w:p>
              </w:tc>
              <w:tc>
                <w:tcPr>
                  <w:tcW w:w="1392" w:type="dxa"/>
                  <w:vAlign w:val="center"/>
                </w:tcPr>
                <w:p w:rsidR="00FF063B" w:rsidRPr="00E21062" w:rsidRDefault="00FF063B" w:rsidP="00934865">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2013.gadu</w:t>
                  </w:r>
                </w:p>
              </w:tc>
              <w:tc>
                <w:tcPr>
                  <w:tcW w:w="1340" w:type="dxa"/>
                  <w:vAlign w:val="center"/>
                </w:tcPr>
                <w:p w:rsidR="00FF063B" w:rsidRPr="00E21062" w:rsidRDefault="00FF063B" w:rsidP="00934865">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2013.gadu</w:t>
                  </w:r>
                </w:p>
              </w:tc>
            </w:tr>
            <w:tr w:rsidR="00FF063B" w:rsidRPr="00E21062" w:rsidTr="00934865">
              <w:trPr>
                <w:jc w:val="center"/>
              </w:trPr>
              <w:tc>
                <w:tcPr>
                  <w:tcW w:w="2608" w:type="dxa"/>
                  <w:vAlign w:val="center"/>
                </w:tcPr>
                <w:p w:rsidR="00FF063B" w:rsidRPr="00E21062" w:rsidRDefault="00FF063B" w:rsidP="00934865">
                  <w:pPr>
                    <w:pStyle w:val="naisf"/>
                    <w:spacing w:before="0" w:after="0"/>
                    <w:ind w:firstLine="0"/>
                    <w:jc w:val="center"/>
                    <w:rPr>
                      <w:bCs/>
                      <w:color w:val="000000" w:themeColor="text1"/>
                      <w:sz w:val="26"/>
                      <w:szCs w:val="26"/>
                    </w:rPr>
                  </w:pPr>
                  <w:r w:rsidRPr="00E21062">
                    <w:rPr>
                      <w:bCs/>
                      <w:color w:val="000000" w:themeColor="text1"/>
                      <w:sz w:val="26"/>
                      <w:szCs w:val="26"/>
                    </w:rPr>
                    <w:lastRenderedPageBreak/>
                    <w:t>1</w:t>
                  </w:r>
                </w:p>
              </w:tc>
              <w:tc>
                <w:tcPr>
                  <w:tcW w:w="1256" w:type="dxa"/>
                  <w:vAlign w:val="center"/>
                </w:tcPr>
                <w:p w:rsidR="00FF063B" w:rsidRPr="00E21062" w:rsidRDefault="00FF063B" w:rsidP="00934865">
                  <w:pPr>
                    <w:pStyle w:val="naisf"/>
                    <w:spacing w:before="0" w:after="0"/>
                    <w:ind w:firstLine="0"/>
                    <w:jc w:val="center"/>
                    <w:rPr>
                      <w:bCs/>
                      <w:color w:val="000000" w:themeColor="text1"/>
                      <w:sz w:val="26"/>
                      <w:szCs w:val="26"/>
                    </w:rPr>
                  </w:pPr>
                  <w:r w:rsidRPr="00E21062">
                    <w:rPr>
                      <w:bCs/>
                      <w:color w:val="000000" w:themeColor="text1"/>
                      <w:sz w:val="26"/>
                      <w:szCs w:val="26"/>
                    </w:rPr>
                    <w:t>2</w:t>
                  </w:r>
                </w:p>
              </w:tc>
              <w:tc>
                <w:tcPr>
                  <w:tcW w:w="1326" w:type="dxa"/>
                  <w:vAlign w:val="center"/>
                </w:tcPr>
                <w:p w:rsidR="00FF063B" w:rsidRPr="00E21062" w:rsidRDefault="00FF063B" w:rsidP="00934865">
                  <w:pPr>
                    <w:pStyle w:val="naisf"/>
                    <w:spacing w:before="0" w:after="0"/>
                    <w:ind w:firstLine="0"/>
                    <w:jc w:val="center"/>
                    <w:rPr>
                      <w:bCs/>
                      <w:color w:val="000000" w:themeColor="text1"/>
                      <w:sz w:val="26"/>
                      <w:szCs w:val="26"/>
                    </w:rPr>
                  </w:pPr>
                  <w:r w:rsidRPr="00E21062">
                    <w:rPr>
                      <w:bCs/>
                      <w:color w:val="000000" w:themeColor="text1"/>
                      <w:sz w:val="26"/>
                      <w:szCs w:val="26"/>
                    </w:rPr>
                    <w:t>3</w:t>
                  </w:r>
                </w:p>
              </w:tc>
              <w:tc>
                <w:tcPr>
                  <w:tcW w:w="1392" w:type="dxa"/>
                  <w:vAlign w:val="center"/>
                </w:tcPr>
                <w:p w:rsidR="00FF063B" w:rsidRPr="00E21062" w:rsidRDefault="00FF063B" w:rsidP="00934865">
                  <w:pPr>
                    <w:pStyle w:val="naisf"/>
                    <w:spacing w:before="0" w:after="0"/>
                    <w:ind w:firstLine="0"/>
                    <w:jc w:val="center"/>
                    <w:rPr>
                      <w:bCs/>
                      <w:color w:val="000000" w:themeColor="text1"/>
                      <w:sz w:val="26"/>
                      <w:szCs w:val="26"/>
                    </w:rPr>
                  </w:pPr>
                  <w:r w:rsidRPr="00E21062">
                    <w:rPr>
                      <w:bCs/>
                      <w:color w:val="000000" w:themeColor="text1"/>
                      <w:sz w:val="26"/>
                      <w:szCs w:val="26"/>
                    </w:rPr>
                    <w:t>4</w:t>
                  </w:r>
                </w:p>
              </w:tc>
              <w:tc>
                <w:tcPr>
                  <w:tcW w:w="1392" w:type="dxa"/>
                  <w:vAlign w:val="center"/>
                </w:tcPr>
                <w:p w:rsidR="00FF063B" w:rsidRPr="00E21062" w:rsidRDefault="00FF063B" w:rsidP="00934865">
                  <w:pPr>
                    <w:pStyle w:val="naisf"/>
                    <w:spacing w:before="0" w:after="0"/>
                    <w:ind w:firstLine="0"/>
                    <w:jc w:val="center"/>
                    <w:rPr>
                      <w:bCs/>
                      <w:color w:val="000000" w:themeColor="text1"/>
                      <w:sz w:val="26"/>
                      <w:szCs w:val="26"/>
                    </w:rPr>
                  </w:pPr>
                  <w:r w:rsidRPr="00E21062">
                    <w:rPr>
                      <w:bCs/>
                      <w:color w:val="000000" w:themeColor="text1"/>
                      <w:sz w:val="26"/>
                      <w:szCs w:val="26"/>
                    </w:rPr>
                    <w:t>5</w:t>
                  </w:r>
                </w:p>
              </w:tc>
              <w:tc>
                <w:tcPr>
                  <w:tcW w:w="1340" w:type="dxa"/>
                  <w:vAlign w:val="center"/>
                </w:tcPr>
                <w:p w:rsidR="00FF063B" w:rsidRPr="00E21062" w:rsidRDefault="00FF063B" w:rsidP="00934865">
                  <w:pPr>
                    <w:pStyle w:val="naisf"/>
                    <w:spacing w:before="0" w:after="0"/>
                    <w:ind w:firstLine="0"/>
                    <w:jc w:val="center"/>
                    <w:rPr>
                      <w:bCs/>
                      <w:color w:val="000000" w:themeColor="text1"/>
                      <w:sz w:val="26"/>
                      <w:szCs w:val="26"/>
                    </w:rPr>
                  </w:pPr>
                  <w:r w:rsidRPr="00E21062">
                    <w:rPr>
                      <w:bCs/>
                      <w:color w:val="000000" w:themeColor="text1"/>
                      <w:sz w:val="26"/>
                      <w:szCs w:val="26"/>
                    </w:rPr>
                    <w:t>6</w:t>
                  </w:r>
                </w:p>
              </w:tc>
            </w:tr>
            <w:tr w:rsidR="00B462A2" w:rsidRPr="00E21062" w:rsidTr="00934865">
              <w:trPr>
                <w:jc w:val="center"/>
              </w:trPr>
              <w:tc>
                <w:tcPr>
                  <w:tcW w:w="2608" w:type="dxa"/>
                </w:tcPr>
                <w:p w:rsidR="00B462A2" w:rsidRPr="00E21062" w:rsidRDefault="00B462A2" w:rsidP="00B462A2">
                  <w:pPr>
                    <w:pStyle w:val="naisf"/>
                    <w:spacing w:before="0" w:after="0"/>
                    <w:ind w:firstLine="0"/>
                    <w:rPr>
                      <w:i/>
                      <w:color w:val="000000" w:themeColor="text1"/>
                      <w:sz w:val="26"/>
                      <w:szCs w:val="26"/>
                    </w:rPr>
                  </w:pPr>
                  <w:r w:rsidRPr="00E21062">
                    <w:rPr>
                      <w:color w:val="000000" w:themeColor="text1"/>
                      <w:sz w:val="26"/>
                      <w:szCs w:val="26"/>
                    </w:rPr>
                    <w:t>1. Budžeta ieņēmumi:</w:t>
                  </w:r>
                </w:p>
              </w:tc>
              <w:tc>
                <w:tcPr>
                  <w:tcW w:w="1256" w:type="dxa"/>
                </w:tcPr>
                <w:p w:rsidR="00B462A2" w:rsidRPr="00E21062" w:rsidRDefault="00B462A2" w:rsidP="00B462A2">
                  <w:pPr>
                    <w:pStyle w:val="naisf"/>
                    <w:spacing w:before="0" w:after="0"/>
                    <w:ind w:firstLine="0"/>
                    <w:jc w:val="center"/>
                    <w:rPr>
                      <w:color w:val="000000" w:themeColor="text1"/>
                    </w:rPr>
                  </w:pPr>
                  <w:r w:rsidRPr="00E21062">
                    <w:rPr>
                      <w:color w:val="000000" w:themeColor="text1"/>
                    </w:rPr>
                    <w:t>668,6</w:t>
                  </w:r>
                </w:p>
              </w:tc>
              <w:tc>
                <w:tcPr>
                  <w:tcW w:w="1326" w:type="dxa"/>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92" w:type="dxa"/>
                </w:tcPr>
                <w:p w:rsidR="00B462A2" w:rsidRPr="00E21062" w:rsidRDefault="00B462A2" w:rsidP="00B462A2">
                  <w:pPr>
                    <w:pStyle w:val="naisf"/>
                    <w:spacing w:before="0" w:after="0"/>
                    <w:ind w:firstLine="0"/>
                    <w:jc w:val="center"/>
                    <w:rPr>
                      <w:color w:val="000000" w:themeColor="text1"/>
                    </w:rPr>
                  </w:pPr>
                  <w:r w:rsidRPr="00E21062">
                    <w:rPr>
                      <w:color w:val="000000" w:themeColor="text1"/>
                    </w:rPr>
                    <w:t>284,3</w:t>
                  </w:r>
                </w:p>
              </w:tc>
              <w:tc>
                <w:tcPr>
                  <w:tcW w:w="1392" w:type="dxa"/>
                </w:tcPr>
                <w:p w:rsidR="00B462A2" w:rsidRPr="00E21062" w:rsidRDefault="00B462A2" w:rsidP="00B462A2">
                  <w:pPr>
                    <w:jc w:val="center"/>
                  </w:pPr>
                  <w:r w:rsidRPr="00E21062">
                    <w:rPr>
                      <w:color w:val="000000" w:themeColor="text1"/>
                    </w:rPr>
                    <w:t>312,7</w:t>
                  </w:r>
                </w:p>
              </w:tc>
              <w:tc>
                <w:tcPr>
                  <w:tcW w:w="1340" w:type="dxa"/>
                </w:tcPr>
                <w:p w:rsidR="00B462A2" w:rsidRPr="00E21062" w:rsidRDefault="00B462A2" w:rsidP="00B462A2">
                  <w:pPr>
                    <w:jc w:val="center"/>
                  </w:pPr>
                  <w:r w:rsidRPr="00E21062">
                    <w:rPr>
                      <w:color w:val="000000" w:themeColor="text1"/>
                    </w:rPr>
                    <w:t>792,9</w:t>
                  </w:r>
                </w:p>
              </w:tc>
            </w:tr>
            <w:tr w:rsidR="00B462A2" w:rsidRPr="00E21062" w:rsidTr="00934865">
              <w:trPr>
                <w:jc w:val="center"/>
              </w:trPr>
              <w:tc>
                <w:tcPr>
                  <w:tcW w:w="2608" w:type="dxa"/>
                </w:tcPr>
                <w:p w:rsidR="00B462A2" w:rsidRPr="00E21062" w:rsidRDefault="00B462A2" w:rsidP="00B462A2">
                  <w:pPr>
                    <w:pStyle w:val="naisf"/>
                    <w:spacing w:before="0" w:after="0"/>
                    <w:ind w:firstLine="0"/>
                    <w:rPr>
                      <w:i/>
                      <w:color w:val="000000" w:themeColor="text1"/>
                      <w:sz w:val="26"/>
                      <w:szCs w:val="26"/>
                    </w:rPr>
                  </w:pPr>
                  <w:r w:rsidRPr="00E21062">
                    <w:rPr>
                      <w:color w:val="000000" w:themeColor="text1"/>
                      <w:sz w:val="26"/>
                      <w:szCs w:val="26"/>
                    </w:rPr>
                    <w:t>1.1. valsts pamatbudžets, tai skaitā ieņēmumi no maksas pakalpojumiem un citi pašu ieņēmumi</w:t>
                  </w:r>
                </w:p>
              </w:tc>
              <w:tc>
                <w:tcPr>
                  <w:tcW w:w="1256" w:type="dxa"/>
                </w:tcPr>
                <w:p w:rsidR="00B462A2" w:rsidRPr="00E21062" w:rsidRDefault="00B462A2" w:rsidP="00B462A2">
                  <w:pPr>
                    <w:pStyle w:val="naisf"/>
                    <w:spacing w:before="0" w:after="0"/>
                    <w:ind w:firstLine="0"/>
                    <w:jc w:val="center"/>
                    <w:rPr>
                      <w:color w:val="000000" w:themeColor="text1"/>
                    </w:rPr>
                  </w:pPr>
                  <w:r w:rsidRPr="00E21062">
                    <w:rPr>
                      <w:color w:val="000000" w:themeColor="text1"/>
                    </w:rPr>
                    <w:t>668,6</w:t>
                  </w:r>
                </w:p>
              </w:tc>
              <w:tc>
                <w:tcPr>
                  <w:tcW w:w="1326" w:type="dxa"/>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92" w:type="dxa"/>
                </w:tcPr>
                <w:p w:rsidR="00B462A2" w:rsidRPr="00E21062" w:rsidRDefault="00B462A2" w:rsidP="00B462A2">
                  <w:pPr>
                    <w:pStyle w:val="naisf"/>
                    <w:spacing w:before="0" w:after="0"/>
                    <w:ind w:firstLine="0"/>
                    <w:jc w:val="center"/>
                    <w:rPr>
                      <w:color w:val="000000" w:themeColor="text1"/>
                    </w:rPr>
                  </w:pPr>
                  <w:r w:rsidRPr="00E21062">
                    <w:rPr>
                      <w:color w:val="000000" w:themeColor="text1"/>
                    </w:rPr>
                    <w:t>284,3</w:t>
                  </w:r>
                </w:p>
              </w:tc>
              <w:tc>
                <w:tcPr>
                  <w:tcW w:w="1392" w:type="dxa"/>
                </w:tcPr>
                <w:p w:rsidR="00B462A2" w:rsidRPr="00E21062" w:rsidRDefault="00B462A2" w:rsidP="00B462A2">
                  <w:pPr>
                    <w:jc w:val="center"/>
                  </w:pPr>
                  <w:r w:rsidRPr="00E21062">
                    <w:rPr>
                      <w:color w:val="000000" w:themeColor="text1"/>
                    </w:rPr>
                    <w:t>312,7</w:t>
                  </w:r>
                </w:p>
              </w:tc>
              <w:tc>
                <w:tcPr>
                  <w:tcW w:w="1340" w:type="dxa"/>
                </w:tcPr>
                <w:p w:rsidR="00B462A2" w:rsidRPr="00E21062" w:rsidRDefault="00B462A2" w:rsidP="00B462A2">
                  <w:pPr>
                    <w:jc w:val="center"/>
                  </w:pPr>
                  <w:r w:rsidRPr="00E21062">
                    <w:rPr>
                      <w:color w:val="000000" w:themeColor="text1"/>
                    </w:rPr>
                    <w:t>792,9</w:t>
                  </w:r>
                </w:p>
              </w:tc>
            </w:tr>
            <w:tr w:rsidR="00FF063B" w:rsidRPr="00E21062" w:rsidTr="00934865">
              <w:trPr>
                <w:jc w:val="center"/>
              </w:trPr>
              <w:tc>
                <w:tcPr>
                  <w:tcW w:w="2608" w:type="dxa"/>
                </w:tcPr>
                <w:p w:rsidR="00FF063B" w:rsidRPr="00E21062" w:rsidRDefault="00FF063B" w:rsidP="00934865">
                  <w:pPr>
                    <w:pStyle w:val="naisf"/>
                    <w:spacing w:before="0" w:after="0"/>
                    <w:ind w:firstLine="0"/>
                    <w:rPr>
                      <w:i/>
                      <w:color w:val="000000" w:themeColor="text1"/>
                      <w:sz w:val="26"/>
                      <w:szCs w:val="26"/>
                    </w:rPr>
                  </w:pPr>
                  <w:r w:rsidRPr="00E21062">
                    <w:rPr>
                      <w:color w:val="000000" w:themeColor="text1"/>
                      <w:sz w:val="26"/>
                      <w:szCs w:val="26"/>
                    </w:rPr>
                    <w:t>1.2. valsts speciālais budžets</w:t>
                  </w:r>
                </w:p>
              </w:tc>
              <w:tc>
                <w:tcPr>
                  <w:tcW w:w="125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Pr>
                <w:p w:rsidR="00FF063B" w:rsidRPr="00E21062" w:rsidRDefault="00FF063B" w:rsidP="00934865">
                  <w:pPr>
                    <w:pStyle w:val="naisf"/>
                    <w:spacing w:before="0" w:after="0"/>
                    <w:ind w:firstLine="0"/>
                    <w:jc w:val="left"/>
                    <w:rPr>
                      <w:i/>
                      <w:color w:val="000000" w:themeColor="text1"/>
                      <w:sz w:val="26"/>
                      <w:szCs w:val="26"/>
                    </w:rPr>
                  </w:pPr>
                  <w:r w:rsidRPr="00E21062">
                    <w:rPr>
                      <w:color w:val="000000" w:themeColor="text1"/>
                      <w:sz w:val="26"/>
                      <w:szCs w:val="26"/>
                    </w:rPr>
                    <w:t>1.3. pašvaldību budžets</w:t>
                  </w:r>
                </w:p>
              </w:tc>
              <w:tc>
                <w:tcPr>
                  <w:tcW w:w="125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Pr>
                <w:p w:rsidR="00FF063B" w:rsidRPr="00E21062" w:rsidRDefault="00FF063B" w:rsidP="00934865">
                  <w:pPr>
                    <w:jc w:val="both"/>
                    <w:rPr>
                      <w:color w:val="000000" w:themeColor="text1"/>
                      <w:sz w:val="26"/>
                      <w:szCs w:val="26"/>
                    </w:rPr>
                  </w:pPr>
                  <w:r w:rsidRPr="00E21062">
                    <w:rPr>
                      <w:color w:val="000000" w:themeColor="text1"/>
                      <w:sz w:val="26"/>
                      <w:szCs w:val="26"/>
                    </w:rPr>
                    <w:t>2. Budžeta izdevumi:</w:t>
                  </w:r>
                </w:p>
              </w:tc>
              <w:tc>
                <w:tcPr>
                  <w:tcW w:w="125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668,6</w:t>
                  </w:r>
                </w:p>
              </w:tc>
              <w:tc>
                <w:tcPr>
                  <w:tcW w:w="132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284,3</w:t>
                  </w:r>
                </w:p>
              </w:tc>
              <w:tc>
                <w:tcPr>
                  <w:tcW w:w="1392" w:type="dxa"/>
                </w:tcPr>
                <w:p w:rsidR="00FF063B" w:rsidRPr="00E21062" w:rsidRDefault="00FF063B" w:rsidP="00934865">
                  <w:pPr>
                    <w:jc w:val="center"/>
                  </w:pPr>
                  <w:r w:rsidRPr="00E21062">
                    <w:rPr>
                      <w:color w:val="000000" w:themeColor="text1"/>
                    </w:rPr>
                    <w:t>312,7</w:t>
                  </w:r>
                </w:p>
              </w:tc>
              <w:tc>
                <w:tcPr>
                  <w:tcW w:w="1340" w:type="dxa"/>
                </w:tcPr>
                <w:p w:rsidR="00FF063B" w:rsidRPr="00E21062" w:rsidRDefault="00FF063B" w:rsidP="00934865">
                  <w:pPr>
                    <w:jc w:val="center"/>
                  </w:pPr>
                  <w:r w:rsidRPr="00E21062">
                    <w:rPr>
                      <w:color w:val="000000" w:themeColor="text1"/>
                    </w:rPr>
                    <w:t>792,9</w:t>
                  </w:r>
                </w:p>
              </w:tc>
            </w:tr>
            <w:tr w:rsidR="00FF063B" w:rsidRPr="00E21062" w:rsidTr="00934865">
              <w:trPr>
                <w:jc w:val="center"/>
              </w:trPr>
              <w:tc>
                <w:tcPr>
                  <w:tcW w:w="2608" w:type="dxa"/>
                </w:tcPr>
                <w:p w:rsidR="00FF063B" w:rsidRPr="00E21062" w:rsidRDefault="00FF063B" w:rsidP="00934865">
                  <w:pPr>
                    <w:rPr>
                      <w:color w:val="000000" w:themeColor="text1"/>
                      <w:sz w:val="26"/>
                      <w:szCs w:val="26"/>
                    </w:rPr>
                  </w:pPr>
                  <w:r w:rsidRPr="00E21062">
                    <w:rPr>
                      <w:color w:val="000000" w:themeColor="text1"/>
                      <w:sz w:val="26"/>
                      <w:szCs w:val="26"/>
                    </w:rPr>
                    <w:t>2.1. valsts pamatbudžets</w:t>
                  </w:r>
                </w:p>
              </w:tc>
              <w:tc>
                <w:tcPr>
                  <w:tcW w:w="125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668,6</w:t>
                  </w:r>
                </w:p>
              </w:tc>
              <w:tc>
                <w:tcPr>
                  <w:tcW w:w="1326" w:type="dxa"/>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Pr>
                <w:p w:rsidR="00FF063B" w:rsidRPr="00E21062" w:rsidRDefault="00FF063B" w:rsidP="00934865">
                  <w:pPr>
                    <w:jc w:val="center"/>
                  </w:pPr>
                  <w:r w:rsidRPr="00E21062">
                    <w:rPr>
                      <w:color w:val="000000" w:themeColor="text1"/>
                    </w:rPr>
                    <w:t>284,3</w:t>
                  </w:r>
                </w:p>
              </w:tc>
              <w:tc>
                <w:tcPr>
                  <w:tcW w:w="1392" w:type="dxa"/>
                </w:tcPr>
                <w:p w:rsidR="00FF063B" w:rsidRPr="00E21062" w:rsidRDefault="00FF063B" w:rsidP="00934865">
                  <w:pPr>
                    <w:jc w:val="center"/>
                  </w:pPr>
                  <w:r w:rsidRPr="00E21062">
                    <w:rPr>
                      <w:color w:val="000000" w:themeColor="text1"/>
                    </w:rPr>
                    <w:t>312,7</w:t>
                  </w:r>
                </w:p>
              </w:tc>
              <w:tc>
                <w:tcPr>
                  <w:tcW w:w="1340" w:type="dxa"/>
                </w:tcPr>
                <w:p w:rsidR="00FF063B" w:rsidRPr="00E21062" w:rsidRDefault="00FF063B" w:rsidP="00934865">
                  <w:pPr>
                    <w:jc w:val="center"/>
                  </w:pPr>
                  <w:r w:rsidRPr="00E21062">
                    <w:rPr>
                      <w:color w:val="000000" w:themeColor="text1"/>
                    </w:rPr>
                    <w:t>792,9</w:t>
                  </w:r>
                </w:p>
              </w:tc>
            </w:tr>
            <w:tr w:rsidR="00FF063B" w:rsidRPr="00E21062" w:rsidTr="00934865">
              <w:trPr>
                <w:jc w:val="center"/>
              </w:trPr>
              <w:tc>
                <w:tcPr>
                  <w:tcW w:w="2608" w:type="dxa"/>
                  <w:tcBorders>
                    <w:bottom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2.2. valsts speciālais budžets</w:t>
                  </w:r>
                </w:p>
              </w:tc>
              <w:tc>
                <w:tcPr>
                  <w:tcW w:w="1256" w:type="dxa"/>
                  <w:tcBorders>
                    <w:bottom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Borders>
                    <w:bottom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bottom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bottom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bottom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rPr>
                      <w:color w:val="000000" w:themeColor="text1"/>
                      <w:sz w:val="26"/>
                      <w:szCs w:val="26"/>
                    </w:rPr>
                  </w:pPr>
                  <w:r w:rsidRPr="00E21062">
                    <w:rPr>
                      <w:color w:val="000000" w:themeColor="text1"/>
                      <w:sz w:val="26"/>
                      <w:szCs w:val="26"/>
                    </w:rPr>
                    <w:t xml:space="preserve">2.3. pašvaldību budžets </w:t>
                  </w:r>
                </w:p>
              </w:tc>
              <w:tc>
                <w:tcPr>
                  <w:tcW w:w="125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3.Finansiālā ietekme:</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B462A2" w:rsidP="00934865">
                  <w:pPr>
                    <w:pStyle w:val="naisf"/>
                    <w:spacing w:before="0" w:after="0"/>
                    <w:ind w:firstLine="0"/>
                    <w:jc w:val="center"/>
                    <w:rPr>
                      <w:color w:val="000000" w:themeColor="text1"/>
                    </w:rPr>
                  </w:pPr>
                  <w:r>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B462A2" w:rsidP="00934865">
                  <w:pPr>
                    <w:jc w:val="center"/>
                  </w:pPr>
                  <w:r>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B462A2" w:rsidP="00B462A2">
                  <w:pPr>
                    <w:jc w:val="center"/>
                  </w:pPr>
                  <w:r>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3.1.valsts pamatbudžets</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B462A2" w:rsidP="00934865">
                  <w:pPr>
                    <w:jc w:val="center"/>
                  </w:pPr>
                  <w:r>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B462A2" w:rsidP="00934865">
                  <w:pPr>
                    <w:jc w:val="center"/>
                  </w:pPr>
                  <w:r>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B462A2" w:rsidP="00934865">
                  <w:pPr>
                    <w:jc w:val="center"/>
                  </w:pPr>
                  <w:r>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3.2.speciālais budžets</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 xml:space="preserve">3.3.pašvaldību budžets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vMerge w:val="restart"/>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4. Finanšu līdzekļi papildu izde</w:t>
                  </w:r>
                  <w:r w:rsidRPr="00E21062">
                    <w:rPr>
                      <w:color w:val="000000" w:themeColor="text1"/>
                      <w:sz w:val="26"/>
                      <w:szCs w:val="26"/>
                    </w:rPr>
                    <w:softHyphen/>
                    <w:t>vumu finansēšanai (kompensējošu izdevumu samazinājumu norāda ar "+" zīmi)</w:t>
                  </w:r>
                </w:p>
              </w:tc>
              <w:tc>
                <w:tcPr>
                  <w:tcW w:w="1256" w:type="dxa"/>
                  <w:vMerge w:val="restart"/>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X</w:t>
                  </w: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vMerge/>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p>
              </w:tc>
              <w:tc>
                <w:tcPr>
                  <w:tcW w:w="1256" w:type="dxa"/>
                  <w:vMerge/>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vMerge/>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p>
              </w:tc>
              <w:tc>
                <w:tcPr>
                  <w:tcW w:w="1256" w:type="dxa"/>
                  <w:vMerge/>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B462A2"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jc w:val="both"/>
                    <w:rPr>
                      <w:color w:val="000000" w:themeColor="text1"/>
                      <w:sz w:val="26"/>
                      <w:szCs w:val="26"/>
                    </w:rPr>
                  </w:pPr>
                  <w:r w:rsidRPr="00E21062">
                    <w:rPr>
                      <w:color w:val="000000" w:themeColor="text1"/>
                      <w:sz w:val="26"/>
                      <w:szCs w:val="26"/>
                    </w:rPr>
                    <w:t>5.Precizēta finansiālā ietekme:</w:t>
                  </w:r>
                </w:p>
              </w:tc>
              <w:tc>
                <w:tcPr>
                  <w:tcW w:w="1256" w:type="dxa"/>
                  <w:vMerge w:val="restart"/>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X</w:t>
                  </w:r>
                </w:p>
              </w:tc>
              <w:tc>
                <w:tcPr>
                  <w:tcW w:w="1326"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r>
            <w:tr w:rsidR="00B462A2"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jc w:val="both"/>
                    <w:rPr>
                      <w:color w:val="000000" w:themeColor="text1"/>
                      <w:sz w:val="26"/>
                      <w:szCs w:val="26"/>
                    </w:rPr>
                  </w:pPr>
                  <w:r w:rsidRPr="00E21062">
                    <w:rPr>
                      <w:color w:val="000000" w:themeColor="text1"/>
                      <w:sz w:val="26"/>
                      <w:szCs w:val="26"/>
                    </w:rPr>
                    <w:t>5.1.valsts pamatbudžets</w:t>
                  </w:r>
                </w:p>
              </w:tc>
              <w:tc>
                <w:tcPr>
                  <w:tcW w:w="1256" w:type="dxa"/>
                  <w:vMerge/>
                  <w:tcBorders>
                    <w:top w:val="single" w:sz="4" w:space="0" w:color="auto"/>
                    <w:left w:val="single" w:sz="4" w:space="0" w:color="auto"/>
                    <w:bottom w:val="single" w:sz="4" w:space="0" w:color="auto"/>
                    <w:right w:val="single" w:sz="4" w:space="0" w:color="auto"/>
                  </w:tcBorders>
                  <w:vAlign w:val="center"/>
                </w:tcPr>
                <w:p w:rsidR="00B462A2" w:rsidRPr="00E21062" w:rsidRDefault="00B462A2" w:rsidP="00B462A2">
                  <w:pPr>
                    <w:pStyle w:val="naisf"/>
                    <w:spacing w:before="0" w:after="0"/>
                    <w:ind w:firstLine="0"/>
                    <w:jc w:val="center"/>
                    <w:rPr>
                      <w:color w:val="000000" w:themeColor="text1"/>
                    </w:rPr>
                  </w:pPr>
                </w:p>
              </w:tc>
              <w:tc>
                <w:tcPr>
                  <w:tcW w:w="1326"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B462A2" w:rsidRPr="00E21062" w:rsidRDefault="00B462A2" w:rsidP="00B462A2">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5.2.speciālais budžets</w:t>
                  </w:r>
                </w:p>
              </w:tc>
              <w:tc>
                <w:tcPr>
                  <w:tcW w:w="1256" w:type="dxa"/>
                  <w:vMerge/>
                  <w:tcBorders>
                    <w:top w:val="single" w:sz="4" w:space="0" w:color="auto"/>
                    <w:left w:val="single" w:sz="4" w:space="0" w:color="auto"/>
                    <w:bottom w:val="single" w:sz="4" w:space="0" w:color="auto"/>
                    <w:right w:val="single" w:sz="4" w:space="0" w:color="auto"/>
                  </w:tcBorders>
                  <w:vAlign w:val="center"/>
                </w:tcPr>
                <w:p w:rsidR="00FF063B" w:rsidRPr="00E21062" w:rsidRDefault="00FF063B" w:rsidP="00934865">
                  <w:pPr>
                    <w:pStyle w:val="naisf"/>
                    <w:spacing w:before="0" w:after="0"/>
                    <w:ind w:firstLine="0"/>
                    <w:jc w:val="center"/>
                    <w:rPr>
                      <w:color w:val="000000" w:themeColor="text1"/>
                    </w:rPr>
                  </w:pP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 xml:space="preserve">5.3.pašvaldību budžets </w:t>
                  </w:r>
                </w:p>
              </w:tc>
              <w:tc>
                <w:tcPr>
                  <w:tcW w:w="1256" w:type="dxa"/>
                  <w:vMerge/>
                  <w:tcBorders>
                    <w:top w:val="single" w:sz="4" w:space="0" w:color="auto"/>
                    <w:left w:val="single" w:sz="4" w:space="0" w:color="auto"/>
                    <w:bottom w:val="single" w:sz="4" w:space="0" w:color="auto"/>
                    <w:right w:val="single" w:sz="4" w:space="0" w:color="auto"/>
                  </w:tcBorders>
                  <w:vAlign w:val="center"/>
                </w:tcPr>
                <w:p w:rsidR="00FF063B" w:rsidRPr="00E21062" w:rsidRDefault="00FF063B" w:rsidP="00934865">
                  <w:pPr>
                    <w:pStyle w:val="naisf"/>
                    <w:spacing w:before="0" w:after="0"/>
                    <w:ind w:firstLine="0"/>
                    <w:jc w:val="center"/>
                    <w:rPr>
                      <w:color w:val="000000" w:themeColor="text1"/>
                    </w:rPr>
                  </w:pPr>
                </w:p>
              </w:tc>
              <w:tc>
                <w:tcPr>
                  <w:tcW w:w="1326"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92"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c>
                <w:tcPr>
                  <w:tcW w:w="1340"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0"/>
                    <w:jc w:val="center"/>
                    <w:rPr>
                      <w:color w:val="000000" w:themeColor="text1"/>
                    </w:rPr>
                  </w:pPr>
                  <w:r w:rsidRPr="00E21062">
                    <w:rPr>
                      <w:color w:val="000000" w:themeColor="text1"/>
                    </w:rPr>
                    <w:t>0</w:t>
                  </w:r>
                </w:p>
              </w:tc>
            </w:tr>
            <w:tr w:rsidR="00FF063B" w:rsidRPr="00E21062" w:rsidTr="00934865">
              <w:trPr>
                <w:jc w:val="center"/>
              </w:trPr>
              <w:tc>
                <w:tcPr>
                  <w:tcW w:w="2608" w:type="dxa"/>
                  <w:tcBorders>
                    <w:top w:val="single" w:sz="4" w:space="0" w:color="auto"/>
                    <w:left w:val="single" w:sz="4" w:space="0" w:color="auto"/>
                    <w:bottom w:val="single" w:sz="4" w:space="0" w:color="auto"/>
                    <w:right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t>6.Detalizēts ieņēmumu un izdevu</w:t>
                  </w:r>
                  <w:r w:rsidRPr="00E21062">
                    <w:rPr>
                      <w:color w:val="000000" w:themeColor="text1"/>
                      <w:sz w:val="26"/>
                      <w:szCs w:val="26"/>
                    </w:rPr>
                    <w:softHyphen/>
                    <w:t xml:space="preserve">mu aprēķins (ja nepieciešams, detalizētu ieņēmumu </w:t>
                  </w:r>
                  <w:r w:rsidRPr="00E21062">
                    <w:rPr>
                      <w:color w:val="000000" w:themeColor="text1"/>
                      <w:sz w:val="26"/>
                      <w:szCs w:val="26"/>
                    </w:rPr>
                    <w:lastRenderedPageBreak/>
                    <w:t>un izdevumu aprēķinu var pievienot anotācijas pielikumā):</w:t>
                  </w:r>
                </w:p>
              </w:tc>
              <w:tc>
                <w:tcPr>
                  <w:tcW w:w="6706" w:type="dxa"/>
                  <w:gridSpan w:val="5"/>
                  <w:vMerge w:val="restart"/>
                  <w:tcBorders>
                    <w:top w:val="single" w:sz="4" w:space="0" w:color="auto"/>
                    <w:left w:val="single" w:sz="4" w:space="0" w:color="auto"/>
                    <w:bottom w:val="single" w:sz="4" w:space="0" w:color="auto"/>
                    <w:right w:val="single" w:sz="4" w:space="0" w:color="auto"/>
                  </w:tcBorders>
                </w:tcPr>
                <w:p w:rsidR="00FF063B" w:rsidRPr="00E21062" w:rsidRDefault="00FF063B" w:rsidP="00934865">
                  <w:pPr>
                    <w:pStyle w:val="naisf"/>
                    <w:spacing w:before="0" w:after="0"/>
                    <w:ind w:firstLine="452"/>
                    <w:rPr>
                      <w:color w:val="000000" w:themeColor="text1"/>
                    </w:rPr>
                  </w:pPr>
                  <w:r w:rsidRPr="00E21062">
                    <w:rPr>
                      <w:color w:val="000000" w:themeColor="text1"/>
                    </w:rPr>
                    <w:lastRenderedPageBreak/>
                    <w:t>Projekts paredz valsts pamatbudžeta izdevumu palielinājumu:</w:t>
                  </w:r>
                </w:p>
                <w:p w:rsidR="00FF063B" w:rsidRPr="00E21062" w:rsidRDefault="00FF063B" w:rsidP="00FF063B">
                  <w:pPr>
                    <w:pStyle w:val="naisf"/>
                    <w:numPr>
                      <w:ilvl w:val="0"/>
                      <w:numId w:val="7"/>
                    </w:numPr>
                    <w:spacing w:before="0" w:after="0"/>
                    <w:ind w:left="1190"/>
                    <w:rPr>
                      <w:color w:val="000000" w:themeColor="text1"/>
                    </w:rPr>
                  </w:pPr>
                  <w:r w:rsidRPr="00E21062">
                    <w:rPr>
                      <w:color w:val="000000" w:themeColor="text1"/>
                    </w:rPr>
                    <w:t xml:space="preserve">2014.gadā – 199 780 latu (284 261 </w:t>
                  </w:r>
                  <w:proofErr w:type="spellStart"/>
                  <w:r w:rsidRPr="00E21062">
                    <w:rPr>
                      <w:i/>
                      <w:color w:val="000000" w:themeColor="text1"/>
                    </w:rPr>
                    <w:t>euro</w:t>
                  </w:r>
                  <w:proofErr w:type="spellEnd"/>
                  <w:r w:rsidRPr="00E21062">
                    <w:rPr>
                      <w:color w:val="000000" w:themeColor="text1"/>
                    </w:rPr>
                    <w:t>) apmērā;</w:t>
                  </w:r>
                </w:p>
                <w:p w:rsidR="00FF063B" w:rsidRPr="00E21062" w:rsidRDefault="00FF063B" w:rsidP="00FF063B">
                  <w:pPr>
                    <w:pStyle w:val="naisf"/>
                    <w:numPr>
                      <w:ilvl w:val="0"/>
                      <w:numId w:val="7"/>
                    </w:numPr>
                    <w:spacing w:before="0" w:after="0"/>
                    <w:ind w:left="1190"/>
                    <w:rPr>
                      <w:color w:val="000000" w:themeColor="text1"/>
                    </w:rPr>
                  </w:pPr>
                  <w:r w:rsidRPr="00E21062">
                    <w:rPr>
                      <w:color w:val="000000" w:themeColor="text1"/>
                    </w:rPr>
                    <w:t xml:space="preserve">2015.gadā – 219 780 latu (312 719 </w:t>
                  </w:r>
                  <w:proofErr w:type="spellStart"/>
                  <w:r w:rsidRPr="00E21062">
                    <w:rPr>
                      <w:i/>
                      <w:color w:val="000000" w:themeColor="text1"/>
                    </w:rPr>
                    <w:t>euro</w:t>
                  </w:r>
                  <w:proofErr w:type="spellEnd"/>
                  <w:r w:rsidRPr="00E21062">
                    <w:rPr>
                      <w:color w:val="000000" w:themeColor="text1"/>
                    </w:rPr>
                    <w:t>) apmērā;</w:t>
                  </w:r>
                </w:p>
                <w:p w:rsidR="00FF063B" w:rsidRPr="00E21062" w:rsidRDefault="00FF063B" w:rsidP="00FF063B">
                  <w:pPr>
                    <w:pStyle w:val="naisf"/>
                    <w:numPr>
                      <w:ilvl w:val="0"/>
                      <w:numId w:val="7"/>
                    </w:numPr>
                    <w:spacing w:before="0" w:after="0"/>
                    <w:ind w:left="1190"/>
                    <w:rPr>
                      <w:color w:val="000000" w:themeColor="text1"/>
                    </w:rPr>
                  </w:pPr>
                  <w:r w:rsidRPr="00E21062">
                    <w:rPr>
                      <w:color w:val="000000" w:themeColor="text1"/>
                    </w:rPr>
                    <w:lastRenderedPageBreak/>
                    <w:t xml:space="preserve">2016.gadā un turpmāk katru gadu – 557 280 latu (792 938 </w:t>
                  </w:r>
                  <w:proofErr w:type="spellStart"/>
                  <w:r w:rsidRPr="00E21062">
                    <w:rPr>
                      <w:i/>
                      <w:color w:val="000000" w:themeColor="text1"/>
                    </w:rPr>
                    <w:t>euro</w:t>
                  </w:r>
                  <w:proofErr w:type="spellEnd"/>
                  <w:r w:rsidRPr="00E21062">
                    <w:rPr>
                      <w:color w:val="000000" w:themeColor="text1"/>
                    </w:rPr>
                    <w:t>) apmērā.</w:t>
                  </w:r>
                </w:p>
                <w:p w:rsidR="00FF063B" w:rsidRPr="00E21062" w:rsidRDefault="00FF063B" w:rsidP="00934865">
                  <w:pPr>
                    <w:pStyle w:val="naisf"/>
                    <w:spacing w:before="0" w:after="0"/>
                    <w:ind w:left="198" w:firstLine="284"/>
                    <w:rPr>
                      <w:color w:val="000000" w:themeColor="text1"/>
                    </w:rPr>
                  </w:pPr>
                  <w:r w:rsidRPr="00E21062">
                    <w:rPr>
                      <w:color w:val="000000" w:themeColor="text1"/>
                    </w:rPr>
                    <w:t xml:space="preserve"> Izdevumu palielinājums </w:t>
                  </w:r>
                  <w:r>
                    <w:rPr>
                      <w:color w:val="000000" w:themeColor="text1"/>
                    </w:rPr>
                    <w:t>paredzēts</w:t>
                  </w:r>
                  <w:r w:rsidRPr="00E21062">
                    <w:rPr>
                      <w:color w:val="000000" w:themeColor="text1"/>
                    </w:rPr>
                    <w:t xml:space="preserve"> šādiem veselības aprūpes pakalpojumu pieejamības uzlabošanas pasākumiem:</w:t>
                  </w:r>
                </w:p>
                <w:p w:rsidR="00FF063B" w:rsidRPr="00E21062" w:rsidRDefault="00FF063B" w:rsidP="00FF063B">
                  <w:pPr>
                    <w:pStyle w:val="naisf"/>
                    <w:numPr>
                      <w:ilvl w:val="0"/>
                      <w:numId w:val="3"/>
                    </w:numPr>
                    <w:tabs>
                      <w:tab w:val="left" w:pos="448"/>
                    </w:tabs>
                    <w:ind w:left="165" w:firstLine="0"/>
                    <w:rPr>
                      <w:color w:val="000000" w:themeColor="text1"/>
                    </w:rPr>
                  </w:pPr>
                  <w:r w:rsidRPr="00E21062">
                    <w:rPr>
                      <w:color w:val="000000" w:themeColor="text1"/>
                    </w:rPr>
                    <w:t xml:space="preserve">Izdevumi kompensāciju par veikto vakcināciju izmaksas nodrošināšanai 2014.gadā un turpmāk katru gadu 109 780 latu (156 203 </w:t>
                  </w:r>
                  <w:proofErr w:type="spellStart"/>
                  <w:r w:rsidRPr="00E21062">
                    <w:rPr>
                      <w:i/>
                      <w:color w:val="000000" w:themeColor="text1"/>
                    </w:rPr>
                    <w:t>euro</w:t>
                  </w:r>
                  <w:proofErr w:type="spellEnd"/>
                  <w:r w:rsidRPr="00E21062">
                    <w:rPr>
                      <w:color w:val="000000" w:themeColor="text1"/>
                    </w:rPr>
                    <w:t xml:space="preserve">) apmērā (IKK 1228), kas paredz kompensēt veiktos izdevumus par vakcināciju pret ērču encefalītu un B-hepatītu (bet amatpersonām, kuras piedalās starptautiskajās glābšanas misijās vai dodas komandējumā uz ārvalstīm, arī izdevumus par nepieciešamajām papildu obligātajām vakcinācijām) bez limita ierobežojuma amatpersonām, kurām, pildot dienesta pienākumus, pastāv risks inficēties ar šādām slimībām. </w:t>
                  </w:r>
                </w:p>
                <w:p w:rsidR="00FF063B" w:rsidRPr="00E21062" w:rsidRDefault="00FF063B" w:rsidP="00934865">
                  <w:pPr>
                    <w:pStyle w:val="naisf"/>
                    <w:tabs>
                      <w:tab w:val="left" w:pos="448"/>
                    </w:tabs>
                    <w:ind w:left="165"/>
                    <w:rPr>
                      <w:i/>
                      <w:color w:val="000000" w:themeColor="text1"/>
                      <w:u w:val="single"/>
                    </w:rPr>
                  </w:pPr>
                  <w:r w:rsidRPr="00E21062">
                    <w:rPr>
                      <w:i/>
                      <w:color w:val="000000" w:themeColor="text1"/>
                      <w:u w:val="single"/>
                    </w:rPr>
                    <w:t xml:space="preserve">Vakcinācijai pret ērču encefalītu:  </w:t>
                  </w:r>
                </w:p>
                <w:p w:rsidR="00FF063B" w:rsidRPr="00E21062" w:rsidRDefault="00FF063B" w:rsidP="00934865">
                  <w:pPr>
                    <w:pStyle w:val="naisf"/>
                    <w:tabs>
                      <w:tab w:val="left" w:pos="448"/>
                    </w:tabs>
                    <w:ind w:left="165" w:firstLine="0"/>
                    <w:rPr>
                      <w:i/>
                      <w:color w:val="000000" w:themeColor="text1"/>
                    </w:rPr>
                  </w:pPr>
                  <w:r w:rsidRPr="00E21062">
                    <w:rPr>
                      <w:i/>
                      <w:color w:val="000000" w:themeColor="text1"/>
                    </w:rPr>
                    <w:t xml:space="preserve">vidējā vakcīnas cena (2012.gada pavasarī) Ls 18 (25,61 </w:t>
                  </w:r>
                  <w:proofErr w:type="spellStart"/>
                  <w:r w:rsidRPr="00E21062">
                    <w:rPr>
                      <w:i/>
                      <w:color w:val="000000" w:themeColor="text1"/>
                    </w:rPr>
                    <w:t>euro</w:t>
                  </w:r>
                  <w:proofErr w:type="spellEnd"/>
                  <w:r w:rsidRPr="00E21062">
                    <w:rPr>
                      <w:i/>
                      <w:color w:val="000000" w:themeColor="text1"/>
                    </w:rPr>
                    <w:t xml:space="preserve">) x prognozējamais personu skaits gadā, kurām izmaksā kompensācijas par veiktajām vakcinācijām 4 950 = Ls 89 100  (126 778 </w:t>
                  </w:r>
                  <w:proofErr w:type="spellStart"/>
                  <w:r w:rsidRPr="00E21062">
                    <w:rPr>
                      <w:i/>
                      <w:color w:val="000000" w:themeColor="text1"/>
                    </w:rPr>
                    <w:t>euro</w:t>
                  </w:r>
                  <w:proofErr w:type="spellEnd"/>
                  <w:r w:rsidRPr="00E21062">
                    <w:rPr>
                      <w:i/>
                      <w:color w:val="000000" w:themeColor="text1"/>
                    </w:rPr>
                    <w:t xml:space="preserve">)                                                                       </w:t>
                  </w:r>
                </w:p>
                <w:p w:rsidR="00FF063B" w:rsidRPr="00E21062" w:rsidRDefault="00FF063B" w:rsidP="00934865">
                  <w:pPr>
                    <w:pStyle w:val="naisf"/>
                    <w:tabs>
                      <w:tab w:val="left" w:pos="448"/>
                    </w:tabs>
                    <w:ind w:left="165" w:firstLine="452"/>
                    <w:rPr>
                      <w:i/>
                      <w:color w:val="000000" w:themeColor="text1"/>
                      <w:u w:val="single"/>
                    </w:rPr>
                  </w:pPr>
                  <w:r w:rsidRPr="00E21062">
                    <w:rPr>
                      <w:i/>
                      <w:color w:val="000000" w:themeColor="text1"/>
                      <w:u w:val="single"/>
                    </w:rPr>
                    <w:t>Vakcinācijai pret B-hepatītu:</w:t>
                  </w:r>
                </w:p>
                <w:p w:rsidR="00FF063B" w:rsidRPr="00E21062" w:rsidRDefault="00FF063B" w:rsidP="00934865">
                  <w:pPr>
                    <w:pStyle w:val="naisf"/>
                    <w:tabs>
                      <w:tab w:val="left" w:pos="448"/>
                    </w:tabs>
                    <w:spacing w:before="0" w:after="0"/>
                    <w:ind w:left="165" w:firstLine="0"/>
                    <w:rPr>
                      <w:i/>
                      <w:color w:val="000000" w:themeColor="text1"/>
                    </w:rPr>
                  </w:pPr>
                  <w:r w:rsidRPr="00E21062">
                    <w:rPr>
                      <w:i/>
                      <w:color w:val="000000" w:themeColor="text1"/>
                    </w:rPr>
                    <w:t xml:space="preserve">vidējā vakcīnas cena (2012.gada pavasarī) Ls 11 (15,65 </w:t>
                  </w:r>
                  <w:proofErr w:type="spellStart"/>
                  <w:r w:rsidRPr="00E21062">
                    <w:rPr>
                      <w:i/>
                      <w:color w:val="000000" w:themeColor="text1"/>
                    </w:rPr>
                    <w:t>euro</w:t>
                  </w:r>
                  <w:proofErr w:type="spellEnd"/>
                  <w:r w:rsidRPr="00E21062">
                    <w:rPr>
                      <w:i/>
                      <w:color w:val="000000" w:themeColor="text1"/>
                    </w:rPr>
                    <w:t xml:space="preserve">) x prognozējamais personu skaits gadā, kurām izmaksā kompensācijas par veiktajām vakcinācijām 1 880 = Ls 20 680 (29 425 </w:t>
                  </w:r>
                  <w:proofErr w:type="spellStart"/>
                  <w:r w:rsidRPr="00E21062">
                    <w:rPr>
                      <w:i/>
                      <w:color w:val="000000" w:themeColor="text1"/>
                    </w:rPr>
                    <w:t>euro</w:t>
                  </w:r>
                  <w:proofErr w:type="spellEnd"/>
                  <w:r w:rsidRPr="00E21062">
                    <w:rPr>
                      <w:i/>
                      <w:color w:val="000000" w:themeColor="text1"/>
                    </w:rPr>
                    <w:t>)</w:t>
                  </w:r>
                </w:p>
                <w:p w:rsidR="00FF063B" w:rsidRPr="00E21062" w:rsidRDefault="00FF063B" w:rsidP="00934865">
                  <w:pPr>
                    <w:pStyle w:val="naisf"/>
                    <w:tabs>
                      <w:tab w:val="left" w:pos="448"/>
                    </w:tabs>
                    <w:spacing w:before="0" w:after="0"/>
                    <w:ind w:left="165" w:firstLine="0"/>
                    <w:rPr>
                      <w:color w:val="000000" w:themeColor="text1"/>
                    </w:rPr>
                  </w:pPr>
                </w:p>
                <w:p w:rsidR="00FF063B" w:rsidRPr="00E21062" w:rsidRDefault="00FF063B" w:rsidP="00FF063B">
                  <w:pPr>
                    <w:pStyle w:val="naisf"/>
                    <w:numPr>
                      <w:ilvl w:val="0"/>
                      <w:numId w:val="3"/>
                    </w:numPr>
                    <w:tabs>
                      <w:tab w:val="left" w:pos="448"/>
                    </w:tabs>
                    <w:spacing w:before="0" w:after="0"/>
                    <w:ind w:left="165" w:firstLine="0"/>
                    <w:rPr>
                      <w:color w:val="000000" w:themeColor="text1"/>
                    </w:rPr>
                  </w:pPr>
                  <w:r w:rsidRPr="00E21062">
                    <w:rPr>
                      <w:color w:val="000000" w:themeColor="text1"/>
                    </w:rPr>
                    <w:t xml:space="preserve">Izdevumi kompensāciju par veselības aprūpei izlietoto līdzekļu limita paaugstināšanu no 50 latiem  (71,14 </w:t>
                  </w:r>
                  <w:proofErr w:type="spellStart"/>
                  <w:r w:rsidRPr="00E21062">
                    <w:rPr>
                      <w:i/>
                      <w:color w:val="000000" w:themeColor="text1"/>
                    </w:rPr>
                    <w:t>euro</w:t>
                  </w:r>
                  <w:proofErr w:type="spellEnd"/>
                  <w:r w:rsidRPr="00E21062">
                    <w:rPr>
                      <w:color w:val="000000" w:themeColor="text1"/>
                    </w:rPr>
                    <w:t xml:space="preserve">) līdz 75,20 latiem (107 </w:t>
                  </w:r>
                  <w:proofErr w:type="spellStart"/>
                  <w:r w:rsidRPr="00E21062">
                    <w:rPr>
                      <w:i/>
                      <w:color w:val="000000" w:themeColor="text1"/>
                    </w:rPr>
                    <w:t>euro</w:t>
                  </w:r>
                  <w:proofErr w:type="spellEnd"/>
                  <w:r w:rsidRPr="00E21062">
                    <w:rPr>
                      <w:color w:val="000000" w:themeColor="text1"/>
                    </w:rPr>
                    <w:t xml:space="preserve">) izmaksas nodrošināšanai 2014.gadā 20 000 latu (28 457 </w:t>
                  </w:r>
                  <w:proofErr w:type="spellStart"/>
                  <w:r w:rsidRPr="00E21062">
                    <w:rPr>
                      <w:i/>
                      <w:color w:val="000000" w:themeColor="text1"/>
                    </w:rPr>
                    <w:t>euro</w:t>
                  </w:r>
                  <w:proofErr w:type="spellEnd"/>
                  <w:r w:rsidRPr="00E21062">
                    <w:rPr>
                      <w:color w:val="000000" w:themeColor="text1"/>
                    </w:rPr>
                    <w:t xml:space="preserve">) apmērā un 2015.gadā un turpmāk katru gadu limita paaugstināšanai līdz 100,50 latiem (143 </w:t>
                  </w:r>
                  <w:proofErr w:type="spellStart"/>
                  <w:r w:rsidRPr="00E21062">
                    <w:rPr>
                      <w:i/>
                      <w:color w:val="000000" w:themeColor="text1"/>
                    </w:rPr>
                    <w:t>euro</w:t>
                  </w:r>
                  <w:proofErr w:type="spellEnd"/>
                  <w:r w:rsidRPr="00E21062">
                    <w:rPr>
                      <w:color w:val="000000" w:themeColor="text1"/>
                    </w:rPr>
                    <w:t xml:space="preserve">) izmaksas nodrošināšanai 40 000 latu (56 915 </w:t>
                  </w:r>
                  <w:proofErr w:type="spellStart"/>
                  <w:r w:rsidRPr="00E21062">
                    <w:rPr>
                      <w:i/>
                      <w:color w:val="000000" w:themeColor="text1"/>
                    </w:rPr>
                    <w:t>euro</w:t>
                  </w:r>
                  <w:proofErr w:type="spellEnd"/>
                  <w:r w:rsidRPr="00E21062">
                    <w:rPr>
                      <w:color w:val="000000" w:themeColor="text1"/>
                    </w:rPr>
                    <w:t>) apmērā (IKK 1228).</w:t>
                  </w:r>
                </w:p>
                <w:p w:rsidR="00FF063B" w:rsidRPr="00E21062" w:rsidRDefault="00FF063B" w:rsidP="00934865">
                  <w:pPr>
                    <w:pStyle w:val="naisf"/>
                    <w:tabs>
                      <w:tab w:val="left" w:pos="448"/>
                    </w:tabs>
                    <w:ind w:left="165"/>
                    <w:rPr>
                      <w:i/>
                      <w:color w:val="000000" w:themeColor="text1"/>
                    </w:rPr>
                  </w:pPr>
                  <w:r w:rsidRPr="00E21062">
                    <w:rPr>
                      <w:i/>
                      <w:color w:val="000000" w:themeColor="text1"/>
                    </w:rPr>
                    <w:t xml:space="preserve">No statistikas datiem par 2010.-2012.gadu izriet, ka vidējais izmaksātās kompensācijas apmērs 2010.-2012.gadā sastāda 47,25% no šobrīd spēkā esošā maksimālā kompensācijas apmēra, t.i., 50 latiem (71,14 </w:t>
                  </w:r>
                  <w:proofErr w:type="spellStart"/>
                  <w:r w:rsidRPr="00E21062">
                    <w:rPr>
                      <w:i/>
                      <w:color w:val="000000" w:themeColor="text1"/>
                    </w:rPr>
                    <w:t>euro</w:t>
                  </w:r>
                  <w:proofErr w:type="spellEnd"/>
                  <w:r w:rsidRPr="00E21062">
                    <w:rPr>
                      <w:i/>
                      <w:color w:val="000000" w:themeColor="text1"/>
                    </w:rPr>
                    <w:t xml:space="preserve">) gadā. </w:t>
                  </w:r>
                </w:p>
                <w:p w:rsidR="00FF063B" w:rsidRPr="00E21062" w:rsidRDefault="00FF063B" w:rsidP="00934865">
                  <w:pPr>
                    <w:pStyle w:val="naisf"/>
                    <w:tabs>
                      <w:tab w:val="left" w:pos="448"/>
                    </w:tabs>
                    <w:ind w:left="165"/>
                    <w:rPr>
                      <w:i/>
                      <w:color w:val="000000" w:themeColor="text1"/>
                    </w:rPr>
                  </w:pPr>
                  <w:r w:rsidRPr="00E21062">
                    <w:rPr>
                      <w:i/>
                      <w:color w:val="000000" w:themeColor="text1"/>
                    </w:rPr>
                    <w:t xml:space="preserve">Pieņemot, ka izmaksāto kompensāciju vidējais skaits paliek nemainīgs, bet kompensācijas vidējais apmērs ir 47,25 % no maksimālā kompensācijas apmēra, papildus nepieciešamais finansējums 2014.gadā kompensējamā limita palielinājumam no Ls 50 (71,14 </w:t>
                  </w:r>
                  <w:proofErr w:type="spellStart"/>
                  <w:r w:rsidRPr="00E21062">
                    <w:rPr>
                      <w:i/>
                      <w:color w:val="000000" w:themeColor="text1"/>
                    </w:rPr>
                    <w:t>euro</w:t>
                  </w:r>
                  <w:proofErr w:type="spellEnd"/>
                  <w:r w:rsidRPr="00E21062">
                    <w:rPr>
                      <w:i/>
                      <w:color w:val="000000" w:themeColor="text1"/>
                    </w:rPr>
                    <w:t xml:space="preserve">) līdz Ls 75,20 (107 </w:t>
                  </w:r>
                  <w:proofErr w:type="spellStart"/>
                  <w:r w:rsidRPr="00E21062">
                    <w:rPr>
                      <w:i/>
                      <w:color w:val="000000" w:themeColor="text1"/>
                    </w:rPr>
                    <w:t>euro</w:t>
                  </w:r>
                  <w:proofErr w:type="spellEnd"/>
                  <w:r w:rsidRPr="00E21062">
                    <w:rPr>
                      <w:i/>
                      <w:color w:val="000000" w:themeColor="text1"/>
                    </w:rPr>
                    <w:t xml:space="preserve">) gadā ir 20 000 latu (28 457 </w:t>
                  </w:r>
                  <w:proofErr w:type="spellStart"/>
                  <w:r w:rsidRPr="00E21062">
                    <w:rPr>
                      <w:i/>
                      <w:color w:val="000000" w:themeColor="text1"/>
                    </w:rPr>
                    <w:t>euro</w:t>
                  </w:r>
                  <w:proofErr w:type="spellEnd"/>
                  <w:r w:rsidRPr="00E21062">
                    <w:rPr>
                      <w:i/>
                      <w:color w:val="000000" w:themeColor="text1"/>
                    </w:rPr>
                    <w:t>):</w:t>
                  </w:r>
                </w:p>
                <w:p w:rsidR="00FF063B" w:rsidRPr="00E21062" w:rsidRDefault="00FF063B" w:rsidP="00934865">
                  <w:pPr>
                    <w:pStyle w:val="naisf"/>
                    <w:tabs>
                      <w:tab w:val="left" w:pos="448"/>
                    </w:tabs>
                    <w:spacing w:before="0" w:after="0"/>
                    <w:ind w:left="165"/>
                    <w:rPr>
                      <w:i/>
                      <w:color w:val="000000" w:themeColor="text1"/>
                    </w:rPr>
                  </w:pPr>
                  <w:r w:rsidRPr="00E21062">
                    <w:rPr>
                      <w:i/>
                      <w:color w:val="000000" w:themeColor="text1"/>
                    </w:rPr>
                    <w:t>3057</w:t>
                  </w:r>
                  <w:r w:rsidRPr="00E21062">
                    <w:rPr>
                      <w:i/>
                      <w:color w:val="000000" w:themeColor="text1"/>
                      <w:vertAlign w:val="superscript"/>
                    </w:rPr>
                    <w:t>1</w:t>
                  </w:r>
                  <w:r w:rsidRPr="00E21062">
                    <w:rPr>
                      <w:i/>
                      <w:color w:val="000000" w:themeColor="text1"/>
                    </w:rPr>
                    <w:t xml:space="preserve"> x Ls 35,44</w:t>
                  </w:r>
                  <w:r w:rsidRPr="00E21062">
                    <w:rPr>
                      <w:i/>
                      <w:color w:val="000000" w:themeColor="text1"/>
                      <w:vertAlign w:val="superscript"/>
                    </w:rPr>
                    <w:t>2</w:t>
                  </w:r>
                  <w:r w:rsidRPr="00E21062">
                    <w:rPr>
                      <w:i/>
                      <w:color w:val="000000" w:themeColor="text1"/>
                    </w:rPr>
                    <w:t xml:space="preserve"> – Ls 88 340</w:t>
                  </w:r>
                  <w:r w:rsidRPr="00E21062">
                    <w:rPr>
                      <w:i/>
                      <w:color w:val="000000" w:themeColor="text1"/>
                      <w:vertAlign w:val="superscript"/>
                    </w:rPr>
                    <w:t>3</w:t>
                  </w:r>
                  <w:r w:rsidRPr="00E21062">
                    <w:rPr>
                      <w:i/>
                      <w:color w:val="000000" w:themeColor="text1"/>
                    </w:rPr>
                    <w:t xml:space="preserve"> = Ls 20 000 (28 457 </w:t>
                  </w:r>
                  <w:proofErr w:type="spellStart"/>
                  <w:r w:rsidRPr="00E21062">
                    <w:rPr>
                      <w:i/>
                      <w:color w:val="000000" w:themeColor="text1"/>
                    </w:rPr>
                    <w:t>euro</w:t>
                  </w:r>
                  <w:proofErr w:type="spellEnd"/>
                  <w:r w:rsidRPr="00E21062">
                    <w:rPr>
                      <w:i/>
                      <w:color w:val="000000" w:themeColor="text1"/>
                    </w:rPr>
                    <w:t>),</w:t>
                  </w:r>
                </w:p>
                <w:p w:rsidR="00FF063B" w:rsidRPr="00E21062" w:rsidRDefault="00FF063B" w:rsidP="00934865">
                  <w:pPr>
                    <w:pStyle w:val="naisf"/>
                    <w:tabs>
                      <w:tab w:val="left" w:pos="448"/>
                    </w:tabs>
                    <w:spacing w:before="0" w:after="0"/>
                    <w:ind w:left="165"/>
                    <w:rPr>
                      <w:i/>
                      <w:color w:val="000000" w:themeColor="text1"/>
                    </w:rPr>
                  </w:pPr>
                  <w:r w:rsidRPr="00E21062">
                    <w:rPr>
                      <w:i/>
                      <w:color w:val="000000" w:themeColor="text1"/>
                    </w:rPr>
                    <w:t>kur</w:t>
                  </w:r>
                </w:p>
                <w:p w:rsidR="00FF063B" w:rsidRPr="00E21062" w:rsidRDefault="00FF063B" w:rsidP="00934865">
                  <w:pPr>
                    <w:pStyle w:val="naisf"/>
                    <w:tabs>
                      <w:tab w:val="left" w:pos="448"/>
                    </w:tabs>
                    <w:spacing w:before="0" w:after="0"/>
                    <w:ind w:left="164" w:firstLine="91"/>
                    <w:rPr>
                      <w:i/>
                      <w:color w:val="000000" w:themeColor="text1"/>
                    </w:rPr>
                  </w:pPr>
                  <w:r w:rsidRPr="00E21062">
                    <w:rPr>
                      <w:i/>
                      <w:color w:val="000000" w:themeColor="text1"/>
                      <w:vertAlign w:val="superscript"/>
                    </w:rPr>
                    <w:t>1</w:t>
                  </w:r>
                  <w:r w:rsidRPr="00E21062">
                    <w:rPr>
                      <w:i/>
                      <w:color w:val="000000" w:themeColor="text1"/>
                    </w:rPr>
                    <w:t>- vidējais izmaksāto kompensāciju skaits;</w:t>
                  </w:r>
                </w:p>
                <w:p w:rsidR="00FF063B" w:rsidRPr="00E21062" w:rsidRDefault="00FF063B" w:rsidP="00934865">
                  <w:pPr>
                    <w:pStyle w:val="naisf"/>
                    <w:tabs>
                      <w:tab w:val="left" w:pos="448"/>
                    </w:tabs>
                    <w:spacing w:before="0" w:after="0"/>
                    <w:ind w:left="164" w:firstLine="91"/>
                    <w:rPr>
                      <w:i/>
                      <w:color w:val="000000" w:themeColor="text1"/>
                    </w:rPr>
                  </w:pPr>
                  <w:r w:rsidRPr="00E21062">
                    <w:rPr>
                      <w:i/>
                      <w:color w:val="000000" w:themeColor="text1"/>
                      <w:vertAlign w:val="superscript"/>
                    </w:rPr>
                    <w:t>2</w:t>
                  </w:r>
                  <w:r w:rsidRPr="00E21062">
                    <w:rPr>
                      <w:i/>
                      <w:color w:val="000000" w:themeColor="text1"/>
                    </w:rPr>
                    <w:t xml:space="preserve">- vidējais kompensācijas apmērs 47,25 % no Ls 75;    </w:t>
                  </w:r>
                </w:p>
                <w:p w:rsidR="00FF063B" w:rsidRPr="00E21062" w:rsidRDefault="00FF063B" w:rsidP="00934865">
                  <w:pPr>
                    <w:pStyle w:val="naisf"/>
                    <w:tabs>
                      <w:tab w:val="left" w:pos="448"/>
                    </w:tabs>
                    <w:spacing w:before="0" w:after="0"/>
                    <w:ind w:left="164" w:firstLine="91"/>
                    <w:rPr>
                      <w:i/>
                      <w:color w:val="000000" w:themeColor="text1"/>
                    </w:rPr>
                  </w:pPr>
                  <w:r w:rsidRPr="00E21062">
                    <w:rPr>
                      <w:i/>
                      <w:color w:val="000000" w:themeColor="text1"/>
                      <w:vertAlign w:val="superscript"/>
                    </w:rPr>
                    <w:t>3</w:t>
                  </w:r>
                  <w:r w:rsidRPr="00E21062">
                    <w:rPr>
                      <w:i/>
                      <w:color w:val="000000" w:themeColor="text1"/>
                    </w:rPr>
                    <w:t>- 2012.gadā faktiski izlietotā summa kompensāciju izmaksai.</w:t>
                  </w:r>
                </w:p>
                <w:p w:rsidR="00FF063B" w:rsidRPr="00E21062" w:rsidRDefault="00FF063B" w:rsidP="00934865">
                  <w:pPr>
                    <w:pStyle w:val="naisf"/>
                    <w:tabs>
                      <w:tab w:val="left" w:pos="448"/>
                    </w:tabs>
                    <w:spacing w:before="0" w:after="0"/>
                    <w:ind w:left="164" w:firstLine="91"/>
                    <w:rPr>
                      <w:i/>
                      <w:color w:val="000000" w:themeColor="text1"/>
                    </w:rPr>
                  </w:pPr>
                </w:p>
                <w:p w:rsidR="00FF063B" w:rsidRPr="00E21062" w:rsidRDefault="00FF063B" w:rsidP="00FF063B">
                  <w:pPr>
                    <w:pStyle w:val="naisf"/>
                    <w:numPr>
                      <w:ilvl w:val="0"/>
                      <w:numId w:val="3"/>
                    </w:numPr>
                    <w:tabs>
                      <w:tab w:val="left" w:pos="448"/>
                    </w:tabs>
                    <w:spacing w:before="0" w:after="0"/>
                    <w:ind w:left="165" w:firstLine="0"/>
                    <w:rPr>
                      <w:color w:val="000000" w:themeColor="text1"/>
                    </w:rPr>
                  </w:pPr>
                  <w:r w:rsidRPr="00E21062">
                    <w:rPr>
                      <w:color w:val="000000" w:themeColor="text1"/>
                    </w:rPr>
                    <w:t xml:space="preserve">Izdevumi medicīniskās rehabilitācijas kursa apmaksai 2014.gadā un turpmāk katru gadu 70 000 latu (99 601 </w:t>
                  </w:r>
                  <w:proofErr w:type="spellStart"/>
                  <w:r w:rsidRPr="00E21062">
                    <w:rPr>
                      <w:i/>
                      <w:color w:val="000000" w:themeColor="text1"/>
                    </w:rPr>
                    <w:t>euro</w:t>
                  </w:r>
                  <w:proofErr w:type="spellEnd"/>
                  <w:r w:rsidRPr="00E21062">
                    <w:rPr>
                      <w:color w:val="000000" w:themeColor="text1"/>
                    </w:rPr>
                    <w:t>) apmērā (IKK 2234), kas paredz apmaksāt amatpersonām rehabilitācijas kursu līdz divām nedēļām vienu reizi gadā pēc nelaimes gadījuma darbā, pārciestas traumas un veiktas ķirurģiskas operācijas.</w:t>
                  </w:r>
                </w:p>
                <w:p w:rsidR="00FF063B" w:rsidRPr="00E21062" w:rsidRDefault="00FF063B" w:rsidP="00934865">
                  <w:pPr>
                    <w:pStyle w:val="naisf"/>
                    <w:tabs>
                      <w:tab w:val="left" w:pos="448"/>
                    </w:tabs>
                    <w:spacing w:before="0" w:after="0"/>
                    <w:ind w:left="165" w:firstLine="0"/>
                    <w:rPr>
                      <w:i/>
                      <w:color w:val="000000" w:themeColor="text1"/>
                    </w:rPr>
                  </w:pPr>
                  <w:r w:rsidRPr="00E21062">
                    <w:rPr>
                      <w:i/>
                      <w:color w:val="000000" w:themeColor="text1"/>
                    </w:rPr>
                    <w:t xml:space="preserve">Plānotais apmaksāto rehabilitācijas kursu skaits gadā 200 x vidējā rehabilitācijas kursa cena Ls 350 (498 </w:t>
                  </w:r>
                  <w:proofErr w:type="spellStart"/>
                  <w:r w:rsidRPr="00E21062">
                    <w:rPr>
                      <w:i/>
                      <w:color w:val="000000" w:themeColor="text1"/>
                    </w:rPr>
                    <w:t>euro</w:t>
                  </w:r>
                  <w:proofErr w:type="spellEnd"/>
                  <w:r w:rsidRPr="00E21062">
                    <w:rPr>
                      <w:i/>
                      <w:color w:val="000000" w:themeColor="text1"/>
                    </w:rPr>
                    <w:t xml:space="preserve">) =  Ls 70 000 (99 601 </w:t>
                  </w:r>
                  <w:proofErr w:type="spellStart"/>
                  <w:r w:rsidRPr="00E21062">
                    <w:rPr>
                      <w:i/>
                      <w:color w:val="000000" w:themeColor="text1"/>
                    </w:rPr>
                    <w:t>euro</w:t>
                  </w:r>
                  <w:proofErr w:type="spellEnd"/>
                  <w:r w:rsidRPr="00E21062">
                    <w:rPr>
                      <w:i/>
                      <w:color w:val="000000" w:themeColor="text1"/>
                    </w:rPr>
                    <w:t>).</w:t>
                  </w:r>
                </w:p>
                <w:p w:rsidR="00FF063B" w:rsidRPr="00E21062" w:rsidRDefault="00FF063B" w:rsidP="00934865">
                  <w:pPr>
                    <w:pStyle w:val="naisf"/>
                    <w:tabs>
                      <w:tab w:val="left" w:pos="448"/>
                    </w:tabs>
                    <w:spacing w:before="0" w:after="0"/>
                    <w:ind w:left="165" w:firstLine="0"/>
                    <w:rPr>
                      <w:color w:val="000000" w:themeColor="text1"/>
                    </w:rPr>
                  </w:pPr>
                </w:p>
                <w:p w:rsidR="00FF063B" w:rsidRPr="00E21062" w:rsidRDefault="00FF063B" w:rsidP="00FF063B">
                  <w:pPr>
                    <w:pStyle w:val="naisf"/>
                    <w:numPr>
                      <w:ilvl w:val="0"/>
                      <w:numId w:val="3"/>
                    </w:numPr>
                    <w:tabs>
                      <w:tab w:val="left" w:pos="448"/>
                    </w:tabs>
                    <w:spacing w:before="0" w:after="0"/>
                    <w:ind w:left="165" w:firstLine="0"/>
                    <w:rPr>
                      <w:color w:val="000000" w:themeColor="text1"/>
                    </w:rPr>
                  </w:pPr>
                  <w:r w:rsidRPr="00E21062">
                    <w:rPr>
                      <w:color w:val="000000" w:themeColor="text1"/>
                    </w:rPr>
                    <w:t xml:space="preserve">Izdevumi zobārstniecības izdevumu kompensēšanai 2016.gadā un turpmāk katru gadu 225 000 latu (320 146 </w:t>
                  </w:r>
                  <w:proofErr w:type="spellStart"/>
                  <w:r w:rsidRPr="00E21062">
                    <w:rPr>
                      <w:i/>
                      <w:color w:val="000000" w:themeColor="text1"/>
                    </w:rPr>
                    <w:t>euro</w:t>
                  </w:r>
                  <w:proofErr w:type="spellEnd"/>
                  <w:r w:rsidRPr="00E21062">
                    <w:rPr>
                      <w:color w:val="000000" w:themeColor="text1"/>
                    </w:rPr>
                    <w:t xml:space="preserve">) apmērā (IKK 1228), kas paredz kompensēt veiktos izdevumus par </w:t>
                  </w:r>
                  <w:r w:rsidR="005A7073">
                    <w:rPr>
                      <w:color w:val="000000" w:themeColor="text1"/>
                    </w:rPr>
                    <w:t xml:space="preserve">zobārstniecības un zobu higiēnas </w:t>
                  </w:r>
                  <w:r w:rsidRPr="00E21062">
                    <w:rPr>
                      <w:color w:val="000000" w:themeColor="text1"/>
                    </w:rPr>
                    <w:t xml:space="preserve">pakalpojumiem, bet kopumā ne vairāk kā 72 </w:t>
                  </w:r>
                  <w:proofErr w:type="spellStart"/>
                  <w:r w:rsidRPr="00E21062">
                    <w:rPr>
                      <w:i/>
                      <w:color w:val="000000" w:themeColor="text1"/>
                    </w:rPr>
                    <w:t>euro</w:t>
                  </w:r>
                  <w:proofErr w:type="spellEnd"/>
                  <w:r w:rsidRPr="00E21062">
                    <w:rPr>
                      <w:color w:val="000000" w:themeColor="text1"/>
                    </w:rPr>
                    <w:t xml:space="preserve"> apmērā kalendāra gadā katrai amatpersonai.</w:t>
                  </w:r>
                </w:p>
                <w:p w:rsidR="00FF063B" w:rsidRPr="00E21062" w:rsidRDefault="00FF063B" w:rsidP="00934865">
                  <w:pPr>
                    <w:pStyle w:val="naisf"/>
                    <w:tabs>
                      <w:tab w:val="left" w:pos="448"/>
                    </w:tabs>
                    <w:spacing w:before="0" w:after="0"/>
                    <w:ind w:left="165" w:firstLine="0"/>
                    <w:rPr>
                      <w:i/>
                      <w:color w:val="000000" w:themeColor="text1"/>
                    </w:rPr>
                  </w:pPr>
                  <w:r w:rsidRPr="00E21062">
                    <w:rPr>
                      <w:i/>
                      <w:color w:val="000000" w:themeColor="text1"/>
                    </w:rPr>
                    <w:t xml:space="preserve">Plānotais izmaksāto kompensāciju skaits 4500 x  kompensācijas apmērs Ls 50 (71,14 </w:t>
                  </w:r>
                  <w:proofErr w:type="spellStart"/>
                  <w:r w:rsidRPr="00E21062">
                    <w:rPr>
                      <w:i/>
                      <w:color w:val="000000" w:themeColor="text1"/>
                    </w:rPr>
                    <w:t>euro</w:t>
                  </w:r>
                  <w:proofErr w:type="spellEnd"/>
                  <w:r w:rsidRPr="00E21062">
                    <w:rPr>
                      <w:i/>
                      <w:color w:val="000000" w:themeColor="text1"/>
                    </w:rPr>
                    <w:t xml:space="preserve">) = Ls 225 000 (320 146 </w:t>
                  </w:r>
                  <w:proofErr w:type="spellStart"/>
                  <w:r w:rsidRPr="00E21062">
                    <w:rPr>
                      <w:i/>
                      <w:color w:val="000000" w:themeColor="text1"/>
                    </w:rPr>
                    <w:t>euro</w:t>
                  </w:r>
                  <w:proofErr w:type="spellEnd"/>
                  <w:r w:rsidRPr="00E21062">
                    <w:rPr>
                      <w:i/>
                      <w:color w:val="000000" w:themeColor="text1"/>
                    </w:rPr>
                    <w:t>).</w:t>
                  </w:r>
                </w:p>
                <w:p w:rsidR="00FF063B" w:rsidRPr="00E21062" w:rsidRDefault="00FF063B" w:rsidP="00934865">
                  <w:pPr>
                    <w:pStyle w:val="naisf"/>
                    <w:tabs>
                      <w:tab w:val="left" w:pos="448"/>
                    </w:tabs>
                    <w:spacing w:before="0" w:after="0"/>
                    <w:ind w:left="165" w:firstLine="0"/>
                    <w:rPr>
                      <w:color w:val="000000" w:themeColor="text1"/>
                    </w:rPr>
                  </w:pPr>
                </w:p>
                <w:p w:rsidR="00FF063B" w:rsidRPr="00E21062" w:rsidRDefault="00FF063B" w:rsidP="00FF063B">
                  <w:pPr>
                    <w:pStyle w:val="naisf"/>
                    <w:numPr>
                      <w:ilvl w:val="0"/>
                      <w:numId w:val="3"/>
                    </w:numPr>
                    <w:tabs>
                      <w:tab w:val="left" w:pos="448"/>
                    </w:tabs>
                    <w:spacing w:before="0" w:after="0"/>
                    <w:ind w:left="165" w:firstLine="0"/>
                    <w:rPr>
                      <w:color w:val="000000" w:themeColor="text1"/>
                    </w:rPr>
                  </w:pPr>
                  <w:r w:rsidRPr="00E21062">
                    <w:rPr>
                      <w:color w:val="000000" w:themeColor="text1"/>
                    </w:rPr>
                    <w:t xml:space="preserve">Izdevumi medikamentu iegādes izdevumu kompensēšanai 2016.gadā un turpmāk katru gadu 112 500 latu (160 073 </w:t>
                  </w:r>
                  <w:proofErr w:type="spellStart"/>
                  <w:r w:rsidRPr="00E21062">
                    <w:rPr>
                      <w:i/>
                      <w:color w:val="000000" w:themeColor="text1"/>
                    </w:rPr>
                    <w:t>euro</w:t>
                  </w:r>
                  <w:proofErr w:type="spellEnd"/>
                  <w:r w:rsidRPr="00E21062">
                    <w:rPr>
                      <w:color w:val="000000" w:themeColor="text1"/>
                    </w:rPr>
                    <w:t xml:space="preserve">) apmērā (IKK 1228), kas paredz kompensēt veiktos izdevumus par </w:t>
                  </w:r>
                  <w:r w:rsidR="003A7372">
                    <w:rPr>
                      <w:color w:val="000000" w:themeColor="text1"/>
                    </w:rPr>
                    <w:t xml:space="preserve">ārstniecības personas nozīmētu </w:t>
                  </w:r>
                  <w:r w:rsidRPr="00E21062">
                    <w:rPr>
                      <w:color w:val="000000" w:themeColor="text1"/>
                    </w:rPr>
                    <w:t xml:space="preserve">medikamentu iegādi, bet kopumā ne vairāk kā 43 </w:t>
                  </w:r>
                  <w:proofErr w:type="spellStart"/>
                  <w:r w:rsidRPr="00E21062">
                    <w:rPr>
                      <w:i/>
                      <w:color w:val="000000" w:themeColor="text1"/>
                    </w:rPr>
                    <w:t>euro</w:t>
                  </w:r>
                  <w:proofErr w:type="spellEnd"/>
                  <w:r w:rsidRPr="00E21062">
                    <w:rPr>
                      <w:color w:val="000000" w:themeColor="text1"/>
                    </w:rPr>
                    <w:t xml:space="preserve"> apmērā kalendāra gadā katrai amatpersonai.</w:t>
                  </w:r>
                </w:p>
                <w:p w:rsidR="00FF063B" w:rsidRPr="00E21062" w:rsidRDefault="00FF063B" w:rsidP="00934865">
                  <w:pPr>
                    <w:pStyle w:val="naisf"/>
                    <w:tabs>
                      <w:tab w:val="left" w:pos="448"/>
                    </w:tabs>
                    <w:spacing w:before="0" w:after="0"/>
                    <w:ind w:left="165" w:firstLine="0"/>
                    <w:rPr>
                      <w:i/>
                      <w:color w:val="000000" w:themeColor="text1"/>
                    </w:rPr>
                  </w:pPr>
                  <w:r w:rsidRPr="00E21062">
                    <w:rPr>
                      <w:i/>
                      <w:color w:val="000000" w:themeColor="text1"/>
                    </w:rPr>
                    <w:t xml:space="preserve">Plānotais izmaksāto kompensāciju skaits 3750 x kompensācijas apmērs Ls 30 (43 </w:t>
                  </w:r>
                  <w:proofErr w:type="spellStart"/>
                  <w:r w:rsidRPr="00E21062">
                    <w:rPr>
                      <w:i/>
                      <w:color w:val="000000" w:themeColor="text1"/>
                    </w:rPr>
                    <w:t>euro</w:t>
                  </w:r>
                  <w:proofErr w:type="spellEnd"/>
                  <w:r w:rsidRPr="00E21062">
                    <w:rPr>
                      <w:i/>
                      <w:color w:val="000000" w:themeColor="text1"/>
                    </w:rPr>
                    <w:t xml:space="preserve">) = Ls 112 500 (160 073 </w:t>
                  </w:r>
                  <w:proofErr w:type="spellStart"/>
                  <w:r w:rsidRPr="00E21062">
                    <w:rPr>
                      <w:i/>
                      <w:color w:val="000000" w:themeColor="text1"/>
                    </w:rPr>
                    <w:t>euro</w:t>
                  </w:r>
                  <w:proofErr w:type="spellEnd"/>
                  <w:r w:rsidRPr="00E21062">
                    <w:rPr>
                      <w:i/>
                      <w:color w:val="000000" w:themeColor="text1"/>
                    </w:rPr>
                    <w:t>).</w:t>
                  </w:r>
                </w:p>
              </w:tc>
            </w:tr>
            <w:tr w:rsidR="00FF063B" w:rsidRPr="00E21062" w:rsidTr="00934865">
              <w:trPr>
                <w:jc w:val="center"/>
              </w:trPr>
              <w:tc>
                <w:tcPr>
                  <w:tcW w:w="2608" w:type="dxa"/>
                  <w:tcBorders>
                    <w:top w:val="single" w:sz="4" w:space="0" w:color="auto"/>
                  </w:tcBorders>
                </w:tcPr>
                <w:p w:rsidR="00FF063B" w:rsidRPr="00E21062" w:rsidRDefault="00FF063B" w:rsidP="00934865">
                  <w:pPr>
                    <w:jc w:val="both"/>
                    <w:rPr>
                      <w:color w:val="000000" w:themeColor="text1"/>
                      <w:sz w:val="26"/>
                      <w:szCs w:val="26"/>
                    </w:rPr>
                  </w:pPr>
                  <w:r w:rsidRPr="00E21062">
                    <w:rPr>
                      <w:color w:val="000000" w:themeColor="text1"/>
                      <w:sz w:val="26"/>
                      <w:szCs w:val="26"/>
                    </w:rPr>
                    <w:lastRenderedPageBreak/>
                    <w:t>6.1. detalizēts ieņēmumu aprēķins</w:t>
                  </w:r>
                </w:p>
              </w:tc>
              <w:tc>
                <w:tcPr>
                  <w:tcW w:w="6706" w:type="dxa"/>
                  <w:gridSpan w:val="5"/>
                  <w:vMerge/>
                  <w:tcBorders>
                    <w:top w:val="single" w:sz="4" w:space="0" w:color="auto"/>
                  </w:tcBorders>
                </w:tcPr>
                <w:p w:rsidR="00FF063B" w:rsidRPr="00E21062" w:rsidRDefault="00FF063B" w:rsidP="00934865">
                  <w:pPr>
                    <w:pStyle w:val="naisf"/>
                    <w:spacing w:before="0" w:after="0"/>
                    <w:ind w:firstLine="0"/>
                    <w:rPr>
                      <w:b/>
                      <w:i/>
                      <w:color w:val="000000" w:themeColor="text1"/>
                      <w:sz w:val="26"/>
                      <w:szCs w:val="26"/>
                    </w:rPr>
                  </w:pPr>
                </w:p>
              </w:tc>
            </w:tr>
            <w:tr w:rsidR="00FF063B" w:rsidRPr="00E21062" w:rsidTr="00934865">
              <w:trPr>
                <w:jc w:val="center"/>
              </w:trPr>
              <w:tc>
                <w:tcPr>
                  <w:tcW w:w="2608" w:type="dxa"/>
                </w:tcPr>
                <w:p w:rsidR="00FF063B" w:rsidRPr="00E21062" w:rsidRDefault="00FF063B" w:rsidP="00934865">
                  <w:pPr>
                    <w:jc w:val="both"/>
                    <w:rPr>
                      <w:color w:val="000000" w:themeColor="text1"/>
                      <w:sz w:val="26"/>
                      <w:szCs w:val="26"/>
                    </w:rPr>
                  </w:pPr>
                  <w:r w:rsidRPr="00E21062">
                    <w:rPr>
                      <w:color w:val="000000" w:themeColor="text1"/>
                      <w:sz w:val="26"/>
                      <w:szCs w:val="26"/>
                    </w:rPr>
                    <w:t>6.2.detalizēts izdevumu aprēķins</w:t>
                  </w:r>
                </w:p>
              </w:tc>
              <w:tc>
                <w:tcPr>
                  <w:tcW w:w="6706" w:type="dxa"/>
                  <w:gridSpan w:val="5"/>
                  <w:vMerge/>
                </w:tcPr>
                <w:p w:rsidR="00FF063B" w:rsidRPr="00E21062" w:rsidRDefault="00FF063B" w:rsidP="00934865">
                  <w:pPr>
                    <w:pStyle w:val="naisf"/>
                    <w:spacing w:before="0" w:after="0"/>
                    <w:ind w:firstLine="0"/>
                    <w:rPr>
                      <w:b/>
                      <w:i/>
                      <w:color w:val="000000" w:themeColor="text1"/>
                      <w:sz w:val="26"/>
                      <w:szCs w:val="26"/>
                    </w:rPr>
                  </w:pPr>
                </w:p>
              </w:tc>
            </w:tr>
            <w:tr w:rsidR="00FF063B" w:rsidRPr="005A3C61" w:rsidTr="00934865">
              <w:trPr>
                <w:jc w:val="center"/>
              </w:trPr>
              <w:tc>
                <w:tcPr>
                  <w:tcW w:w="2608" w:type="dxa"/>
                </w:tcPr>
                <w:p w:rsidR="00FF063B" w:rsidRPr="00E21062" w:rsidRDefault="00FF063B" w:rsidP="00934865">
                  <w:pPr>
                    <w:jc w:val="both"/>
                    <w:rPr>
                      <w:color w:val="000000" w:themeColor="text1"/>
                      <w:sz w:val="26"/>
                      <w:szCs w:val="26"/>
                    </w:rPr>
                  </w:pPr>
                  <w:r w:rsidRPr="00E21062">
                    <w:rPr>
                      <w:color w:val="000000" w:themeColor="text1"/>
                      <w:sz w:val="26"/>
                      <w:szCs w:val="26"/>
                    </w:rPr>
                    <w:lastRenderedPageBreak/>
                    <w:t>7. Cita informācija</w:t>
                  </w:r>
                </w:p>
              </w:tc>
              <w:tc>
                <w:tcPr>
                  <w:tcW w:w="6706" w:type="dxa"/>
                  <w:gridSpan w:val="5"/>
                </w:tcPr>
                <w:p w:rsidR="00FF063B" w:rsidRPr="00E21062" w:rsidRDefault="00FF063B" w:rsidP="00934865">
                  <w:pPr>
                    <w:pStyle w:val="naisf"/>
                    <w:spacing w:before="0" w:after="0"/>
                    <w:ind w:firstLine="356"/>
                    <w:rPr>
                      <w:color w:val="000000" w:themeColor="text1"/>
                    </w:rPr>
                  </w:pPr>
                  <w:r w:rsidRPr="00E21062">
                    <w:rPr>
                      <w:color w:val="000000" w:themeColor="text1"/>
                    </w:rPr>
                    <w:t>Izdevumi plānoti Iekšlietu ministrijas budžeta apakšprogrammā 38.05.00 „Veselības aprūpe un fiziskā sagatavotība”.</w:t>
                  </w:r>
                </w:p>
                <w:p w:rsidR="00FF063B" w:rsidRPr="000920E2" w:rsidRDefault="00FF063B" w:rsidP="00B462A2">
                  <w:pPr>
                    <w:pStyle w:val="naisf"/>
                    <w:spacing w:before="0" w:after="0"/>
                    <w:ind w:firstLine="356"/>
                    <w:rPr>
                      <w:color w:val="000000" w:themeColor="text1"/>
                    </w:rPr>
                  </w:pPr>
                  <w:r w:rsidRPr="00E21062">
                    <w:rPr>
                      <w:color w:val="000000" w:themeColor="text1"/>
                    </w:rPr>
                    <w:t>Izdevumi pa pasākumiem un izdevumu klasifikācijas kodiem var tikt precizēti atbilstoši faktiskajai situācijai.</w:t>
                  </w:r>
                </w:p>
              </w:tc>
            </w:tr>
          </w:tbl>
          <w:p w:rsidR="00092AF6" w:rsidRPr="00762374" w:rsidRDefault="00092AF6" w:rsidP="00092AF6">
            <w:pPr>
              <w:pStyle w:val="naisnod"/>
              <w:spacing w:before="0" w:after="0"/>
              <w:jc w:val="left"/>
              <w:rPr>
                <w:color w:val="000000" w:themeColor="text1"/>
                <w:sz w:val="26"/>
                <w:szCs w:val="26"/>
              </w:rPr>
            </w:pPr>
          </w:p>
        </w:tc>
      </w:tr>
    </w:tbl>
    <w:p w:rsidR="00C453F6" w:rsidRPr="00F51382" w:rsidRDefault="00C453F6" w:rsidP="00C453F6">
      <w:pPr>
        <w:pStyle w:val="naisf"/>
        <w:spacing w:before="0" w:after="0"/>
        <w:ind w:firstLine="0"/>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9"/>
        <w:gridCol w:w="3964"/>
        <w:gridCol w:w="4683"/>
      </w:tblGrid>
      <w:tr w:rsidR="00C453F6" w:rsidRPr="00F51382" w:rsidTr="00BF7D95">
        <w:tc>
          <w:tcPr>
            <w:tcW w:w="9356" w:type="dxa"/>
            <w:gridSpan w:val="3"/>
            <w:tcBorders>
              <w:top w:val="single" w:sz="4" w:space="0" w:color="auto"/>
            </w:tcBorders>
          </w:tcPr>
          <w:p w:rsidR="00C453F6" w:rsidRPr="00F51382" w:rsidRDefault="00C453F6" w:rsidP="00FE029B">
            <w:pPr>
              <w:pStyle w:val="naisnod"/>
              <w:spacing w:before="0" w:after="0"/>
              <w:ind w:left="57" w:right="57"/>
            </w:pPr>
            <w:r w:rsidRPr="00F51382">
              <w:t>VII. Tiesību akta projekta izpildes nodrošināšana un tās ietekme uz institūcijām</w:t>
            </w:r>
          </w:p>
        </w:tc>
      </w:tr>
      <w:tr w:rsidR="00C453F6" w:rsidRPr="00F51382" w:rsidTr="00BF7D95">
        <w:trPr>
          <w:trHeight w:val="427"/>
        </w:trPr>
        <w:tc>
          <w:tcPr>
            <w:tcW w:w="709" w:type="dxa"/>
          </w:tcPr>
          <w:p w:rsidR="00C453F6" w:rsidRPr="00F51382" w:rsidRDefault="00C453F6" w:rsidP="00FE029B">
            <w:pPr>
              <w:pStyle w:val="naisnod"/>
              <w:spacing w:before="0" w:after="0"/>
              <w:ind w:left="57" w:right="57"/>
              <w:jc w:val="left"/>
              <w:rPr>
                <w:b w:val="0"/>
              </w:rPr>
            </w:pPr>
            <w:r w:rsidRPr="00F51382">
              <w:rPr>
                <w:b w:val="0"/>
              </w:rPr>
              <w:t>1.</w:t>
            </w:r>
          </w:p>
        </w:tc>
        <w:tc>
          <w:tcPr>
            <w:tcW w:w="3964" w:type="dxa"/>
          </w:tcPr>
          <w:p w:rsidR="00C453F6" w:rsidRPr="00F51382" w:rsidRDefault="00C453F6" w:rsidP="00FE029B">
            <w:pPr>
              <w:pStyle w:val="naisf"/>
              <w:spacing w:before="0" w:after="0"/>
              <w:ind w:left="57" w:right="57" w:firstLine="0"/>
              <w:jc w:val="left"/>
            </w:pPr>
            <w:r w:rsidRPr="00F51382">
              <w:t xml:space="preserve">Projekta izpildē iesaistītās institūcijas </w:t>
            </w:r>
          </w:p>
        </w:tc>
        <w:tc>
          <w:tcPr>
            <w:tcW w:w="4683" w:type="dxa"/>
          </w:tcPr>
          <w:p w:rsidR="00C453F6" w:rsidRPr="00F51382" w:rsidRDefault="005A5638" w:rsidP="00FE029B">
            <w:pPr>
              <w:pStyle w:val="naisnod"/>
              <w:spacing w:before="0" w:after="0"/>
              <w:ind w:left="57" w:right="57"/>
              <w:jc w:val="left"/>
              <w:rPr>
                <w:b w:val="0"/>
              </w:rPr>
            </w:pPr>
            <w:r>
              <w:rPr>
                <w:rFonts w:eastAsia="Calibri"/>
                <w:b w:val="0"/>
              </w:rPr>
              <w:t>Iekšlietu ministrijas veselības un sporta centrs.</w:t>
            </w:r>
          </w:p>
        </w:tc>
      </w:tr>
      <w:tr w:rsidR="005A5638" w:rsidRPr="00F51382" w:rsidTr="00BF7D95">
        <w:trPr>
          <w:trHeight w:val="463"/>
        </w:trPr>
        <w:tc>
          <w:tcPr>
            <w:tcW w:w="709" w:type="dxa"/>
          </w:tcPr>
          <w:p w:rsidR="005A5638" w:rsidRPr="00F51382" w:rsidRDefault="005A5638" w:rsidP="005A5638">
            <w:pPr>
              <w:pStyle w:val="naisnod"/>
              <w:spacing w:before="0" w:after="0"/>
              <w:ind w:left="57" w:right="57"/>
              <w:jc w:val="left"/>
              <w:rPr>
                <w:b w:val="0"/>
              </w:rPr>
            </w:pPr>
            <w:r w:rsidRPr="00F51382">
              <w:rPr>
                <w:b w:val="0"/>
              </w:rPr>
              <w:t>2.</w:t>
            </w:r>
          </w:p>
        </w:tc>
        <w:tc>
          <w:tcPr>
            <w:tcW w:w="3964" w:type="dxa"/>
          </w:tcPr>
          <w:p w:rsidR="005A5638" w:rsidRPr="00F51382" w:rsidRDefault="005A5638" w:rsidP="005A5638">
            <w:pPr>
              <w:pStyle w:val="naisf"/>
              <w:spacing w:before="0" w:after="0"/>
              <w:ind w:left="57" w:right="57" w:firstLine="0"/>
              <w:jc w:val="left"/>
            </w:pPr>
            <w:r w:rsidRPr="00F51382">
              <w:t xml:space="preserve">Projekta izpildes ietekme uz pārvaldes funkcijām </w:t>
            </w:r>
          </w:p>
        </w:tc>
        <w:tc>
          <w:tcPr>
            <w:tcW w:w="4683" w:type="dxa"/>
            <w:vAlign w:val="center"/>
          </w:tcPr>
          <w:p w:rsidR="005A5638" w:rsidRPr="002E3AE0" w:rsidRDefault="005A5638" w:rsidP="005A5638">
            <w:r w:rsidRPr="002E3AE0">
              <w:t>Netiek paplašinātas esošo institūciju funkcijas.</w:t>
            </w:r>
          </w:p>
        </w:tc>
      </w:tr>
      <w:tr w:rsidR="005A5638" w:rsidRPr="00F51382" w:rsidTr="00BF7D95">
        <w:trPr>
          <w:trHeight w:val="725"/>
        </w:trPr>
        <w:tc>
          <w:tcPr>
            <w:tcW w:w="709" w:type="dxa"/>
          </w:tcPr>
          <w:p w:rsidR="005A5638" w:rsidRPr="00F51382" w:rsidRDefault="005A5638" w:rsidP="005A5638">
            <w:pPr>
              <w:pStyle w:val="naisnod"/>
              <w:spacing w:before="0" w:after="0"/>
              <w:ind w:left="57" w:right="57"/>
              <w:jc w:val="left"/>
              <w:rPr>
                <w:b w:val="0"/>
              </w:rPr>
            </w:pPr>
            <w:r w:rsidRPr="00F51382">
              <w:rPr>
                <w:b w:val="0"/>
              </w:rPr>
              <w:t>3.</w:t>
            </w:r>
          </w:p>
        </w:tc>
        <w:tc>
          <w:tcPr>
            <w:tcW w:w="3964" w:type="dxa"/>
          </w:tcPr>
          <w:p w:rsidR="005A5638" w:rsidRPr="00F51382" w:rsidRDefault="005A5638" w:rsidP="005A5638">
            <w:pPr>
              <w:pStyle w:val="naisf"/>
              <w:spacing w:before="0" w:after="0"/>
              <w:ind w:left="57" w:right="57" w:firstLine="0"/>
              <w:jc w:val="left"/>
            </w:pPr>
            <w:r w:rsidRPr="00F51382">
              <w:t>Projekta izpildes ietekme uz pārvaldes institucionālo struktūru.</w:t>
            </w:r>
          </w:p>
          <w:p w:rsidR="005A5638" w:rsidRPr="00F51382" w:rsidRDefault="005A5638" w:rsidP="005A5638">
            <w:pPr>
              <w:pStyle w:val="naisf"/>
              <w:spacing w:before="0" w:after="0"/>
              <w:ind w:left="57" w:right="57" w:firstLine="0"/>
              <w:jc w:val="left"/>
            </w:pPr>
            <w:r w:rsidRPr="00F51382">
              <w:t>Jaunu institūciju izveide</w:t>
            </w:r>
          </w:p>
        </w:tc>
        <w:tc>
          <w:tcPr>
            <w:tcW w:w="4683" w:type="dxa"/>
          </w:tcPr>
          <w:p w:rsidR="005A5638" w:rsidRPr="00F51382" w:rsidRDefault="005A5638" w:rsidP="005A5638">
            <w:pPr>
              <w:pStyle w:val="naisnod"/>
              <w:spacing w:before="0" w:after="0"/>
              <w:ind w:left="57" w:right="57"/>
              <w:jc w:val="both"/>
              <w:rPr>
                <w:b w:val="0"/>
              </w:rPr>
            </w:pPr>
            <w:r w:rsidRPr="00F51382">
              <w:rPr>
                <w:b w:val="0"/>
              </w:rPr>
              <w:t>Projekta izpildes rezultātā nav nepieciešams veidot jaunas institūcijas.</w:t>
            </w:r>
          </w:p>
        </w:tc>
      </w:tr>
      <w:tr w:rsidR="005A5638" w:rsidRPr="00F51382" w:rsidTr="00BF7D95">
        <w:trPr>
          <w:trHeight w:val="780"/>
        </w:trPr>
        <w:tc>
          <w:tcPr>
            <w:tcW w:w="709" w:type="dxa"/>
          </w:tcPr>
          <w:p w:rsidR="005A5638" w:rsidRPr="00F51382" w:rsidRDefault="005A5638" w:rsidP="005A5638">
            <w:pPr>
              <w:pStyle w:val="naisnod"/>
              <w:spacing w:before="0" w:after="0"/>
              <w:ind w:left="57" w:right="57"/>
              <w:jc w:val="left"/>
              <w:rPr>
                <w:b w:val="0"/>
              </w:rPr>
            </w:pPr>
            <w:r w:rsidRPr="00F51382">
              <w:rPr>
                <w:b w:val="0"/>
              </w:rPr>
              <w:t>4.</w:t>
            </w:r>
          </w:p>
        </w:tc>
        <w:tc>
          <w:tcPr>
            <w:tcW w:w="3964" w:type="dxa"/>
          </w:tcPr>
          <w:p w:rsidR="005A5638" w:rsidRPr="00F51382" w:rsidRDefault="005A5638" w:rsidP="005A5638">
            <w:pPr>
              <w:pStyle w:val="naisf"/>
              <w:spacing w:before="0" w:after="0"/>
              <w:ind w:left="57" w:right="57" w:firstLine="0"/>
              <w:jc w:val="left"/>
            </w:pPr>
            <w:r w:rsidRPr="00F51382">
              <w:t>Projekta izpildes ietekme uz pārvaldes institucionālo struktūru.</w:t>
            </w:r>
          </w:p>
          <w:p w:rsidR="005A5638" w:rsidRPr="00F51382" w:rsidRDefault="005A5638" w:rsidP="005A5638">
            <w:pPr>
              <w:pStyle w:val="naisf"/>
              <w:spacing w:before="0" w:after="0"/>
              <w:ind w:left="57" w:right="57" w:firstLine="0"/>
              <w:jc w:val="left"/>
            </w:pPr>
            <w:r w:rsidRPr="00F51382">
              <w:t>Esošu institūciju likvidācija</w:t>
            </w:r>
          </w:p>
        </w:tc>
        <w:tc>
          <w:tcPr>
            <w:tcW w:w="4683" w:type="dxa"/>
          </w:tcPr>
          <w:p w:rsidR="005A5638" w:rsidRPr="00F51382" w:rsidRDefault="005A5638" w:rsidP="005A5638">
            <w:pPr>
              <w:pStyle w:val="naisnod"/>
              <w:spacing w:before="0" w:after="0"/>
              <w:ind w:left="57" w:right="57"/>
              <w:jc w:val="both"/>
              <w:rPr>
                <w:b w:val="0"/>
              </w:rPr>
            </w:pPr>
            <w:r w:rsidRPr="00F51382">
              <w:rPr>
                <w:b w:val="0"/>
              </w:rPr>
              <w:t>Projekta izpildes rezultātā nav plānots likvidēt kādu esošu institūciju.</w:t>
            </w:r>
          </w:p>
        </w:tc>
      </w:tr>
      <w:tr w:rsidR="005A5638" w:rsidRPr="00F51382" w:rsidTr="00BF7D95">
        <w:trPr>
          <w:trHeight w:val="703"/>
        </w:trPr>
        <w:tc>
          <w:tcPr>
            <w:tcW w:w="709" w:type="dxa"/>
          </w:tcPr>
          <w:p w:rsidR="005A5638" w:rsidRPr="00F51382" w:rsidRDefault="005A5638" w:rsidP="005A5638">
            <w:pPr>
              <w:pStyle w:val="naisnod"/>
              <w:spacing w:before="0" w:after="0"/>
              <w:ind w:left="57" w:right="57"/>
              <w:jc w:val="left"/>
              <w:rPr>
                <w:b w:val="0"/>
              </w:rPr>
            </w:pPr>
            <w:r w:rsidRPr="00F51382">
              <w:rPr>
                <w:b w:val="0"/>
              </w:rPr>
              <w:t>5.</w:t>
            </w:r>
          </w:p>
        </w:tc>
        <w:tc>
          <w:tcPr>
            <w:tcW w:w="3964" w:type="dxa"/>
          </w:tcPr>
          <w:p w:rsidR="005A5638" w:rsidRPr="00F51382" w:rsidRDefault="005A5638" w:rsidP="005A5638">
            <w:pPr>
              <w:pStyle w:val="naisf"/>
              <w:spacing w:before="0" w:after="0"/>
              <w:ind w:left="57" w:right="57" w:firstLine="0"/>
              <w:jc w:val="left"/>
            </w:pPr>
            <w:r w:rsidRPr="00F51382">
              <w:t>Projekta izpildes ietekme uz pārvaldes institucionālo struktūru.</w:t>
            </w:r>
          </w:p>
          <w:p w:rsidR="005A5638" w:rsidRPr="00F51382" w:rsidRDefault="005A5638" w:rsidP="005A5638">
            <w:pPr>
              <w:pStyle w:val="naisf"/>
              <w:spacing w:before="0" w:after="0"/>
              <w:ind w:left="57" w:right="57" w:firstLine="0"/>
              <w:jc w:val="left"/>
            </w:pPr>
            <w:r w:rsidRPr="00F51382">
              <w:t>Esošu institūciju reorganizācija</w:t>
            </w:r>
          </w:p>
        </w:tc>
        <w:tc>
          <w:tcPr>
            <w:tcW w:w="4683" w:type="dxa"/>
          </w:tcPr>
          <w:p w:rsidR="005A5638" w:rsidRPr="00F51382" w:rsidRDefault="005A5638" w:rsidP="005A5638">
            <w:pPr>
              <w:pStyle w:val="naisnod"/>
              <w:spacing w:before="0" w:after="0"/>
              <w:ind w:left="57" w:right="57"/>
              <w:jc w:val="both"/>
              <w:rPr>
                <w:b w:val="0"/>
              </w:rPr>
            </w:pPr>
            <w:r w:rsidRPr="00F51382">
              <w:rPr>
                <w:b w:val="0"/>
              </w:rPr>
              <w:t>Projekta izpildes rezultātā nav plānots reorganizēt esošu institūciju vai arī apvienot esošas institūcijas.</w:t>
            </w:r>
          </w:p>
        </w:tc>
      </w:tr>
      <w:tr w:rsidR="005A5638" w:rsidRPr="00F51382" w:rsidTr="00BF7D95">
        <w:trPr>
          <w:trHeight w:val="476"/>
        </w:trPr>
        <w:tc>
          <w:tcPr>
            <w:tcW w:w="709" w:type="dxa"/>
          </w:tcPr>
          <w:p w:rsidR="005A5638" w:rsidRPr="00F51382" w:rsidRDefault="005A5638" w:rsidP="005A5638">
            <w:pPr>
              <w:pStyle w:val="naiskr"/>
              <w:spacing w:before="0" w:after="0"/>
              <w:ind w:left="57" w:right="57"/>
            </w:pPr>
            <w:r w:rsidRPr="00F51382">
              <w:t>6.</w:t>
            </w:r>
          </w:p>
        </w:tc>
        <w:tc>
          <w:tcPr>
            <w:tcW w:w="3964" w:type="dxa"/>
          </w:tcPr>
          <w:p w:rsidR="005A5638" w:rsidRPr="00F51382" w:rsidRDefault="005A5638" w:rsidP="005A5638">
            <w:pPr>
              <w:pStyle w:val="naiskr"/>
              <w:spacing w:before="0" w:after="0"/>
              <w:ind w:left="57" w:right="57"/>
            </w:pPr>
            <w:r w:rsidRPr="00F51382">
              <w:t>Cita informācija</w:t>
            </w:r>
          </w:p>
        </w:tc>
        <w:tc>
          <w:tcPr>
            <w:tcW w:w="4683" w:type="dxa"/>
          </w:tcPr>
          <w:p w:rsidR="005A5638" w:rsidRPr="00F51382" w:rsidRDefault="005A5638" w:rsidP="005A5638">
            <w:pPr>
              <w:pStyle w:val="naiskr"/>
              <w:spacing w:before="0" w:after="0"/>
              <w:ind w:left="57" w:right="57"/>
            </w:pPr>
            <w:r w:rsidRPr="00F51382">
              <w:t>Nav.</w:t>
            </w:r>
          </w:p>
        </w:tc>
      </w:tr>
    </w:tbl>
    <w:p w:rsidR="00C453F6" w:rsidRDefault="00C453F6" w:rsidP="00616AA6">
      <w:pPr>
        <w:rPr>
          <w:sz w:val="28"/>
          <w:szCs w:val="28"/>
          <w:lang w:eastAsia="lv-LV"/>
        </w:rPr>
      </w:pPr>
    </w:p>
    <w:p w:rsidR="00616AA6" w:rsidRPr="00BA5E65" w:rsidRDefault="00616AA6" w:rsidP="00616AA6">
      <w:pPr>
        <w:rPr>
          <w:sz w:val="28"/>
          <w:szCs w:val="28"/>
          <w:lang w:eastAsia="lv-LV"/>
        </w:rPr>
      </w:pPr>
      <w:r w:rsidRPr="00BA5E65">
        <w:rPr>
          <w:sz w:val="28"/>
          <w:szCs w:val="28"/>
          <w:lang w:eastAsia="lv-LV"/>
        </w:rPr>
        <w:t>Anotācijas</w:t>
      </w:r>
      <w:r>
        <w:rPr>
          <w:sz w:val="28"/>
          <w:szCs w:val="28"/>
          <w:lang w:eastAsia="lv-LV"/>
        </w:rPr>
        <w:t xml:space="preserve"> </w:t>
      </w:r>
      <w:r w:rsidRPr="00BA5E65">
        <w:rPr>
          <w:sz w:val="28"/>
          <w:szCs w:val="28"/>
          <w:lang w:eastAsia="lv-LV"/>
        </w:rPr>
        <w:t>IV, V</w:t>
      </w:r>
      <w:r>
        <w:rPr>
          <w:sz w:val="28"/>
          <w:szCs w:val="28"/>
          <w:lang w:eastAsia="lv-LV"/>
        </w:rPr>
        <w:t xml:space="preserve">, un </w:t>
      </w:r>
      <w:r w:rsidR="00030E1C" w:rsidRPr="00BA5E65">
        <w:rPr>
          <w:sz w:val="28"/>
          <w:szCs w:val="28"/>
          <w:lang w:eastAsia="lv-LV"/>
        </w:rPr>
        <w:t xml:space="preserve">VI </w:t>
      </w:r>
      <w:r w:rsidRPr="00BA5E65">
        <w:rPr>
          <w:sz w:val="28"/>
          <w:szCs w:val="28"/>
          <w:lang w:eastAsia="lv-LV"/>
        </w:rPr>
        <w:t xml:space="preserve">sadaļa –projekts šīs jomas neskar. </w:t>
      </w:r>
    </w:p>
    <w:p w:rsidR="00616AA6" w:rsidRDefault="00616AA6" w:rsidP="00616AA6">
      <w:pPr>
        <w:rPr>
          <w:sz w:val="28"/>
          <w:szCs w:val="28"/>
          <w:lang w:eastAsia="lv-LV"/>
        </w:rPr>
      </w:pPr>
    </w:p>
    <w:p w:rsidR="00F919BB" w:rsidRDefault="00F919BB" w:rsidP="00616AA6">
      <w:pPr>
        <w:rPr>
          <w:sz w:val="28"/>
          <w:szCs w:val="28"/>
          <w:lang w:eastAsia="lv-LV"/>
        </w:rPr>
      </w:pPr>
    </w:p>
    <w:p w:rsidR="00F919BB" w:rsidRPr="00BA5E65" w:rsidRDefault="00F919BB" w:rsidP="00616AA6">
      <w:pPr>
        <w:rPr>
          <w:vanish/>
          <w:sz w:val="28"/>
          <w:szCs w:val="28"/>
          <w:lang w:eastAsia="lv-LV"/>
        </w:rPr>
      </w:pPr>
    </w:p>
    <w:p w:rsidR="00616AA6" w:rsidRPr="00BA5E65" w:rsidRDefault="00616AA6" w:rsidP="00616AA6">
      <w:pPr>
        <w:rPr>
          <w:sz w:val="28"/>
          <w:szCs w:val="28"/>
        </w:rPr>
      </w:pPr>
    </w:p>
    <w:p w:rsidR="00616AA6" w:rsidRPr="00BA5E65" w:rsidRDefault="00616AA6" w:rsidP="00616AA6">
      <w:pPr>
        <w:ind w:firstLine="720"/>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t>R. Kozlovskis</w:t>
      </w:r>
    </w:p>
    <w:p w:rsidR="00616AA6" w:rsidRPr="00BA5E65" w:rsidRDefault="00616AA6" w:rsidP="00616AA6">
      <w:pPr>
        <w:pStyle w:val="naisf"/>
        <w:rPr>
          <w:sz w:val="28"/>
          <w:szCs w:val="28"/>
        </w:rPr>
      </w:pPr>
      <w:r w:rsidRPr="00BA5E65">
        <w:rPr>
          <w:sz w:val="28"/>
          <w:szCs w:val="28"/>
        </w:rPr>
        <w:tab/>
      </w:r>
    </w:p>
    <w:p w:rsidR="00616AA6" w:rsidRPr="00BA5E65" w:rsidRDefault="00616AA6" w:rsidP="00616AA6">
      <w:pPr>
        <w:pStyle w:val="naisf"/>
        <w:ind w:left="720"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t>I.Pētersone-Godmane</w:t>
      </w:r>
    </w:p>
    <w:p w:rsidR="008803A3" w:rsidRDefault="008803A3" w:rsidP="005651F4">
      <w:pPr>
        <w:rPr>
          <w:color w:val="000000"/>
          <w:sz w:val="20"/>
          <w:szCs w:val="20"/>
        </w:rPr>
      </w:pPr>
    </w:p>
    <w:p w:rsidR="008803A3" w:rsidRDefault="008803A3" w:rsidP="005651F4">
      <w:pPr>
        <w:rPr>
          <w:color w:val="000000"/>
          <w:sz w:val="20"/>
          <w:szCs w:val="20"/>
        </w:rPr>
      </w:pPr>
    </w:p>
    <w:p w:rsidR="00E03670" w:rsidRDefault="00E03670" w:rsidP="005651F4">
      <w:pPr>
        <w:rPr>
          <w:color w:val="000000"/>
          <w:sz w:val="20"/>
          <w:szCs w:val="20"/>
        </w:rPr>
      </w:pPr>
    </w:p>
    <w:p w:rsidR="00E03670" w:rsidRDefault="00E03670" w:rsidP="005651F4">
      <w:pPr>
        <w:rPr>
          <w:color w:val="000000"/>
          <w:sz w:val="20"/>
          <w:szCs w:val="20"/>
        </w:rPr>
      </w:pPr>
    </w:p>
    <w:p w:rsidR="00E03670" w:rsidRDefault="00E03670" w:rsidP="005651F4">
      <w:pPr>
        <w:rPr>
          <w:color w:val="000000"/>
          <w:sz w:val="20"/>
          <w:szCs w:val="20"/>
        </w:rPr>
      </w:pPr>
    </w:p>
    <w:p w:rsidR="00E03670" w:rsidRDefault="00E03670" w:rsidP="005651F4">
      <w:pPr>
        <w:rPr>
          <w:color w:val="000000"/>
          <w:sz w:val="20"/>
          <w:szCs w:val="20"/>
        </w:rPr>
      </w:pPr>
    </w:p>
    <w:p w:rsidR="00E03670" w:rsidRDefault="00E03670" w:rsidP="005651F4">
      <w:pPr>
        <w:rPr>
          <w:color w:val="000000"/>
          <w:sz w:val="20"/>
          <w:szCs w:val="20"/>
        </w:rPr>
      </w:pPr>
    </w:p>
    <w:p w:rsidR="00E03670" w:rsidRDefault="00E03670" w:rsidP="005651F4">
      <w:pPr>
        <w:rPr>
          <w:color w:val="000000"/>
          <w:sz w:val="20"/>
          <w:szCs w:val="20"/>
        </w:rPr>
      </w:pPr>
    </w:p>
    <w:p w:rsidR="00E03670" w:rsidRDefault="00E03670" w:rsidP="005651F4">
      <w:pPr>
        <w:rPr>
          <w:color w:val="000000"/>
          <w:sz w:val="20"/>
          <w:szCs w:val="20"/>
        </w:rPr>
      </w:pPr>
    </w:p>
    <w:p w:rsidR="00E03670" w:rsidRDefault="00E03670" w:rsidP="005651F4">
      <w:pPr>
        <w:rPr>
          <w:color w:val="000000"/>
          <w:sz w:val="20"/>
          <w:szCs w:val="20"/>
        </w:rPr>
      </w:pPr>
    </w:p>
    <w:p w:rsidR="002121BA" w:rsidRDefault="002121BA" w:rsidP="005651F4">
      <w:pPr>
        <w:rPr>
          <w:color w:val="000000"/>
          <w:sz w:val="20"/>
          <w:szCs w:val="20"/>
        </w:rPr>
      </w:pPr>
    </w:p>
    <w:p w:rsidR="002121BA" w:rsidRDefault="002121BA" w:rsidP="005651F4">
      <w:pPr>
        <w:rPr>
          <w:color w:val="000000"/>
          <w:sz w:val="20"/>
          <w:szCs w:val="20"/>
        </w:rPr>
      </w:pPr>
    </w:p>
    <w:p w:rsidR="002121BA" w:rsidRDefault="002121BA" w:rsidP="005651F4">
      <w:pPr>
        <w:rPr>
          <w:color w:val="000000"/>
          <w:sz w:val="20"/>
          <w:szCs w:val="20"/>
        </w:rPr>
      </w:pPr>
    </w:p>
    <w:p w:rsidR="00F919BB" w:rsidRDefault="00F919BB" w:rsidP="005651F4">
      <w:pPr>
        <w:rPr>
          <w:color w:val="000000"/>
          <w:sz w:val="20"/>
          <w:szCs w:val="20"/>
        </w:rPr>
      </w:pPr>
    </w:p>
    <w:p w:rsidR="002121BA" w:rsidRDefault="002121BA" w:rsidP="005651F4">
      <w:pPr>
        <w:rPr>
          <w:color w:val="000000"/>
          <w:sz w:val="20"/>
          <w:szCs w:val="20"/>
        </w:rPr>
      </w:pPr>
    </w:p>
    <w:p w:rsidR="00AF287B" w:rsidRDefault="00AF287B" w:rsidP="005651F4">
      <w:pPr>
        <w:rPr>
          <w:color w:val="000000"/>
          <w:sz w:val="20"/>
          <w:szCs w:val="20"/>
        </w:rPr>
      </w:pPr>
    </w:p>
    <w:p w:rsidR="00206D30" w:rsidRDefault="00206D30" w:rsidP="005651F4">
      <w:pPr>
        <w:rPr>
          <w:color w:val="000000"/>
          <w:sz w:val="20"/>
          <w:szCs w:val="20"/>
        </w:rPr>
      </w:pPr>
    </w:p>
    <w:p w:rsidR="00206D30" w:rsidRDefault="00206D30" w:rsidP="005651F4">
      <w:pPr>
        <w:rPr>
          <w:color w:val="000000"/>
          <w:sz w:val="20"/>
          <w:szCs w:val="20"/>
        </w:rPr>
      </w:pPr>
    </w:p>
    <w:p w:rsidR="00206D30" w:rsidRDefault="00206D30" w:rsidP="005651F4">
      <w:pPr>
        <w:rPr>
          <w:color w:val="000000"/>
          <w:sz w:val="20"/>
          <w:szCs w:val="20"/>
        </w:rPr>
      </w:pPr>
    </w:p>
    <w:p w:rsidR="00206D30" w:rsidRDefault="00206D30" w:rsidP="005651F4">
      <w:pPr>
        <w:rPr>
          <w:color w:val="000000"/>
          <w:sz w:val="20"/>
          <w:szCs w:val="20"/>
        </w:rPr>
      </w:pPr>
    </w:p>
    <w:p w:rsidR="00206D30" w:rsidRDefault="00206D30" w:rsidP="005651F4">
      <w:pPr>
        <w:rPr>
          <w:color w:val="000000"/>
          <w:sz w:val="20"/>
          <w:szCs w:val="20"/>
        </w:rPr>
      </w:pPr>
    </w:p>
    <w:p w:rsidR="00206D30" w:rsidRDefault="00206D30" w:rsidP="005651F4">
      <w:pPr>
        <w:rPr>
          <w:color w:val="000000"/>
          <w:sz w:val="20"/>
          <w:szCs w:val="20"/>
        </w:rPr>
      </w:pPr>
      <w:bookmarkStart w:id="1" w:name="_GoBack"/>
      <w:bookmarkEnd w:id="1"/>
    </w:p>
    <w:p w:rsidR="00206D30" w:rsidRDefault="00206D30" w:rsidP="005651F4">
      <w:pPr>
        <w:rPr>
          <w:color w:val="000000"/>
          <w:sz w:val="20"/>
          <w:szCs w:val="20"/>
        </w:rPr>
      </w:pPr>
    </w:p>
    <w:p w:rsidR="00206D30" w:rsidRDefault="00206D30" w:rsidP="005651F4">
      <w:pPr>
        <w:rPr>
          <w:color w:val="000000"/>
          <w:sz w:val="20"/>
          <w:szCs w:val="20"/>
        </w:rPr>
      </w:pPr>
    </w:p>
    <w:p w:rsidR="00AF287B" w:rsidRDefault="00AF287B" w:rsidP="005651F4">
      <w:pPr>
        <w:rPr>
          <w:color w:val="000000"/>
          <w:sz w:val="20"/>
          <w:szCs w:val="20"/>
        </w:rPr>
      </w:pPr>
    </w:p>
    <w:p w:rsidR="00AF287B" w:rsidRDefault="00AF287B" w:rsidP="005651F4">
      <w:pPr>
        <w:rPr>
          <w:color w:val="000000"/>
          <w:sz w:val="20"/>
          <w:szCs w:val="20"/>
        </w:rPr>
      </w:pPr>
    </w:p>
    <w:p w:rsidR="002121BA" w:rsidRDefault="002121BA" w:rsidP="005651F4">
      <w:pPr>
        <w:rPr>
          <w:color w:val="000000"/>
          <w:sz w:val="20"/>
          <w:szCs w:val="20"/>
        </w:rPr>
      </w:pPr>
    </w:p>
    <w:p w:rsidR="006B079F" w:rsidRDefault="006B079F" w:rsidP="005651F4">
      <w:pPr>
        <w:rPr>
          <w:color w:val="000000"/>
          <w:sz w:val="20"/>
          <w:szCs w:val="20"/>
        </w:rPr>
      </w:pPr>
    </w:p>
    <w:p w:rsidR="008803A3" w:rsidRDefault="008803A3" w:rsidP="005651F4">
      <w:pPr>
        <w:rPr>
          <w:color w:val="000000"/>
          <w:sz w:val="20"/>
          <w:szCs w:val="20"/>
        </w:rPr>
      </w:pPr>
    </w:p>
    <w:p w:rsidR="005651F4" w:rsidRPr="00A73F74" w:rsidRDefault="00206D30" w:rsidP="005651F4">
      <w:pPr>
        <w:rPr>
          <w:color w:val="000000"/>
          <w:sz w:val="20"/>
          <w:szCs w:val="20"/>
        </w:rPr>
      </w:pPr>
      <w:r>
        <w:rPr>
          <w:color w:val="000000"/>
          <w:sz w:val="20"/>
          <w:szCs w:val="20"/>
        </w:rPr>
        <w:t>05</w:t>
      </w:r>
      <w:r w:rsidR="005651F4" w:rsidRPr="00A73F74">
        <w:rPr>
          <w:color w:val="000000"/>
          <w:sz w:val="20"/>
          <w:szCs w:val="20"/>
        </w:rPr>
        <w:t>.</w:t>
      </w:r>
      <w:r w:rsidR="006B079F">
        <w:rPr>
          <w:color w:val="000000"/>
          <w:sz w:val="20"/>
          <w:szCs w:val="20"/>
        </w:rPr>
        <w:t>1</w:t>
      </w:r>
      <w:r>
        <w:rPr>
          <w:color w:val="000000"/>
          <w:sz w:val="20"/>
          <w:szCs w:val="20"/>
        </w:rPr>
        <w:t>2</w:t>
      </w:r>
      <w:r w:rsidR="00F919BB">
        <w:rPr>
          <w:color w:val="000000"/>
          <w:sz w:val="20"/>
          <w:szCs w:val="20"/>
        </w:rPr>
        <w:t>.</w:t>
      </w:r>
      <w:r w:rsidR="005651F4" w:rsidRPr="00A73F74">
        <w:rPr>
          <w:color w:val="000000"/>
          <w:sz w:val="20"/>
          <w:szCs w:val="20"/>
        </w:rPr>
        <w:t>2013.</w:t>
      </w:r>
      <w:r w:rsidR="00222492">
        <w:rPr>
          <w:color w:val="000000"/>
          <w:sz w:val="20"/>
          <w:szCs w:val="20"/>
        </w:rPr>
        <w:t>14</w:t>
      </w:r>
      <w:r w:rsidR="00B35CBA">
        <w:rPr>
          <w:color w:val="000000"/>
          <w:sz w:val="20"/>
          <w:szCs w:val="20"/>
        </w:rPr>
        <w:t>:</w:t>
      </w:r>
      <w:r w:rsidR="00222492">
        <w:rPr>
          <w:color w:val="000000"/>
          <w:sz w:val="20"/>
          <w:szCs w:val="20"/>
        </w:rPr>
        <w:t>4</w:t>
      </w:r>
      <w:r w:rsidR="002121BA">
        <w:rPr>
          <w:color w:val="000000"/>
          <w:sz w:val="20"/>
          <w:szCs w:val="20"/>
        </w:rPr>
        <w:t>5</w:t>
      </w:r>
    </w:p>
    <w:p w:rsidR="005651F4" w:rsidRPr="00A73F74" w:rsidRDefault="005C217E" w:rsidP="005651F4">
      <w:pPr>
        <w:rPr>
          <w:color w:val="000000"/>
          <w:sz w:val="20"/>
          <w:szCs w:val="20"/>
        </w:rPr>
      </w:pPr>
      <w:r>
        <w:rPr>
          <w:color w:val="000000"/>
          <w:sz w:val="20"/>
          <w:szCs w:val="20"/>
        </w:rPr>
        <w:t>2</w:t>
      </w:r>
      <w:r w:rsidR="002121BA">
        <w:rPr>
          <w:color w:val="000000"/>
          <w:sz w:val="20"/>
          <w:szCs w:val="20"/>
        </w:rPr>
        <w:t>6</w:t>
      </w:r>
      <w:r w:rsidR="00271362">
        <w:rPr>
          <w:color w:val="000000"/>
          <w:sz w:val="20"/>
          <w:szCs w:val="20"/>
        </w:rPr>
        <w:t>2</w:t>
      </w:r>
      <w:r w:rsidR="00FD2A6E">
        <w:rPr>
          <w:color w:val="000000"/>
          <w:sz w:val="20"/>
          <w:szCs w:val="20"/>
        </w:rPr>
        <w:t>3</w:t>
      </w:r>
    </w:p>
    <w:p w:rsidR="008825C4" w:rsidRPr="008825C4" w:rsidRDefault="008825C4" w:rsidP="008825C4">
      <w:pPr>
        <w:rPr>
          <w:color w:val="000000"/>
          <w:sz w:val="20"/>
          <w:szCs w:val="20"/>
        </w:rPr>
      </w:pPr>
      <w:r w:rsidRPr="008825C4">
        <w:rPr>
          <w:color w:val="000000"/>
          <w:sz w:val="20"/>
          <w:szCs w:val="20"/>
        </w:rPr>
        <w:t xml:space="preserve">Iekšlietu ministrijas veselības un </w:t>
      </w:r>
    </w:p>
    <w:p w:rsidR="008825C4" w:rsidRPr="008825C4" w:rsidRDefault="008825C4" w:rsidP="008825C4">
      <w:pPr>
        <w:rPr>
          <w:color w:val="000000"/>
          <w:sz w:val="20"/>
          <w:szCs w:val="20"/>
        </w:rPr>
      </w:pPr>
      <w:r w:rsidRPr="008825C4">
        <w:rPr>
          <w:color w:val="000000"/>
          <w:sz w:val="20"/>
          <w:szCs w:val="20"/>
        </w:rPr>
        <w:t>sporta centra direktors</w:t>
      </w:r>
    </w:p>
    <w:p w:rsidR="008825C4" w:rsidRPr="008825C4" w:rsidRDefault="008825C4" w:rsidP="008825C4">
      <w:pPr>
        <w:rPr>
          <w:color w:val="000000"/>
          <w:sz w:val="20"/>
          <w:szCs w:val="20"/>
        </w:rPr>
      </w:pPr>
      <w:r w:rsidRPr="008825C4">
        <w:rPr>
          <w:color w:val="000000"/>
          <w:sz w:val="20"/>
          <w:szCs w:val="20"/>
        </w:rPr>
        <w:t>U.Iskrovs</w:t>
      </w:r>
    </w:p>
    <w:p w:rsidR="005651F4" w:rsidRPr="00A73F74" w:rsidRDefault="008825C4" w:rsidP="008825C4">
      <w:pPr>
        <w:rPr>
          <w:iCs/>
          <w:sz w:val="20"/>
          <w:szCs w:val="20"/>
        </w:rPr>
      </w:pPr>
      <w:r w:rsidRPr="008825C4">
        <w:rPr>
          <w:color w:val="000000"/>
          <w:sz w:val="20"/>
          <w:szCs w:val="20"/>
        </w:rPr>
        <w:t xml:space="preserve">67829851, </w:t>
      </w:r>
      <w:hyperlink r:id="rId8" w:history="1">
        <w:r w:rsidRPr="00697B64">
          <w:rPr>
            <w:rStyle w:val="Hyperlink"/>
            <w:sz w:val="20"/>
            <w:szCs w:val="20"/>
          </w:rPr>
          <w:t>ugis.iskrovs@iem.gov.lv</w:t>
        </w:r>
      </w:hyperlink>
      <w:r>
        <w:rPr>
          <w:color w:val="000000"/>
          <w:sz w:val="20"/>
          <w:szCs w:val="20"/>
        </w:rPr>
        <w:t xml:space="preserve"> </w:t>
      </w:r>
      <w:r w:rsidRPr="008825C4">
        <w:rPr>
          <w:color w:val="000000"/>
          <w:sz w:val="20"/>
          <w:szCs w:val="20"/>
        </w:rPr>
        <w:t xml:space="preserve">     </w:t>
      </w:r>
      <w:r w:rsidR="005651F4" w:rsidRPr="00A73F74">
        <w:rPr>
          <w:sz w:val="20"/>
          <w:szCs w:val="20"/>
        </w:rPr>
        <w:t xml:space="preserve">                                                                                                                                         </w:t>
      </w:r>
    </w:p>
    <w:p w:rsidR="00616AA6" w:rsidRDefault="00616AA6" w:rsidP="00616AA6">
      <w:pPr>
        <w:rPr>
          <w:color w:val="000000"/>
          <w:sz w:val="20"/>
          <w:szCs w:val="20"/>
        </w:rPr>
      </w:pPr>
    </w:p>
    <w:sectPr w:rsidR="00616AA6" w:rsidSect="0027136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27C" w:rsidRDefault="004F327C" w:rsidP="00616AA6">
      <w:r>
        <w:separator/>
      </w:r>
    </w:p>
  </w:endnote>
  <w:endnote w:type="continuationSeparator" w:id="0">
    <w:p w:rsidR="004F327C" w:rsidRDefault="004F327C"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A6" w:rsidRPr="00CE3A3B" w:rsidRDefault="00616AA6" w:rsidP="00616AA6">
    <w:pPr>
      <w:jc w:val="both"/>
      <w:rPr>
        <w:color w:val="000000"/>
        <w:sz w:val="20"/>
        <w:szCs w:val="20"/>
      </w:rPr>
    </w:pPr>
    <w:r w:rsidRPr="00A301A8">
      <w:rPr>
        <w:sz w:val="20"/>
        <w:szCs w:val="20"/>
      </w:rPr>
      <w:t>IEM</w:t>
    </w:r>
    <w:r>
      <w:rPr>
        <w:sz w:val="20"/>
        <w:szCs w:val="20"/>
      </w:rPr>
      <w:t>Anot</w:t>
    </w:r>
    <w:r w:rsidRPr="00A301A8">
      <w:rPr>
        <w:sz w:val="20"/>
        <w:szCs w:val="20"/>
      </w:rPr>
      <w:t>_</w:t>
    </w:r>
    <w:r w:rsidR="00206D30">
      <w:rPr>
        <w:sz w:val="20"/>
        <w:szCs w:val="20"/>
      </w:rPr>
      <w:t>05</w:t>
    </w:r>
    <w:r w:rsidR="00AF287B">
      <w:rPr>
        <w:sz w:val="20"/>
        <w:szCs w:val="20"/>
      </w:rPr>
      <w:t>1</w:t>
    </w:r>
    <w:r w:rsidR="00206D30">
      <w:rPr>
        <w:sz w:val="20"/>
        <w:szCs w:val="20"/>
      </w:rPr>
      <w:t>2</w:t>
    </w:r>
    <w:r w:rsidRPr="00A301A8">
      <w:rPr>
        <w:sz w:val="20"/>
        <w:szCs w:val="20"/>
      </w:rPr>
      <w:t>2013</w:t>
    </w:r>
    <w:r>
      <w:rPr>
        <w:sz w:val="20"/>
      </w:rPr>
      <w:t>.doc</w:t>
    </w:r>
    <w:r w:rsidRPr="00A301A8">
      <w:rPr>
        <w:sz w:val="20"/>
        <w:szCs w:val="20"/>
      </w:rPr>
      <w:t xml:space="preserve">; Ministru kabineta noteikumu projekts </w:t>
    </w:r>
    <w:r>
      <w:rPr>
        <w:sz w:val="20"/>
      </w:rPr>
      <w:t>„</w:t>
    </w:r>
    <w:r w:rsidR="00633D20" w:rsidRPr="00A301A8">
      <w:rPr>
        <w:sz w:val="20"/>
      </w:rPr>
      <w:t>Grozījum</w:t>
    </w:r>
    <w:r w:rsidR="007902B1">
      <w:rPr>
        <w:sz w:val="20"/>
      </w:rPr>
      <w:t>i</w:t>
    </w:r>
    <w:r w:rsidR="00633D20" w:rsidRPr="00A301A8">
      <w:rPr>
        <w:color w:val="000000"/>
        <w:sz w:val="20"/>
      </w:rPr>
      <w:t xml:space="preserve"> Ministru kabineta </w:t>
    </w:r>
    <w:r w:rsidR="00633D20" w:rsidRPr="00A301A8">
      <w:rPr>
        <w:sz w:val="20"/>
      </w:rPr>
      <w:t xml:space="preserve">2010.gada </w:t>
    </w:r>
    <w:r w:rsidR="00633D20">
      <w:rPr>
        <w:sz w:val="20"/>
      </w:rPr>
      <w:t>21.jūnija</w:t>
    </w:r>
    <w:r w:rsidR="00633D20" w:rsidRPr="00A301A8">
      <w:rPr>
        <w:sz w:val="20"/>
      </w:rPr>
      <w:t xml:space="preserve"> </w:t>
    </w:r>
    <w:r w:rsidR="00633D20" w:rsidRPr="00A301A8">
      <w:rPr>
        <w:color w:val="000000"/>
        <w:sz w:val="20"/>
      </w:rPr>
      <w:t>noteikumos Nr.</w:t>
    </w:r>
    <w:r w:rsidR="00633D20">
      <w:rPr>
        <w:color w:val="000000"/>
        <w:sz w:val="20"/>
      </w:rPr>
      <w:t>569</w:t>
    </w:r>
    <w:r w:rsidR="00633D20" w:rsidRPr="00A301A8">
      <w:rPr>
        <w:bCs/>
        <w:sz w:val="20"/>
      </w:rPr>
      <w:t xml:space="preserve"> </w:t>
    </w:r>
    <w:r w:rsidR="00633D20">
      <w:rPr>
        <w:bCs/>
        <w:sz w:val="20"/>
      </w:rPr>
      <w:t>„Kārtība, kādā Iekšlietu ministrijas sistēmas iestāžu un Ieslodzījuma vietu pārvaldes amatpersona ar speciālo dienesta pakāpi saņem apmaksātus veselības aprūpes pakalpojumus”</w:t>
    </w:r>
    <w:r>
      <w:rPr>
        <w:sz w:val="20"/>
      </w:rPr>
      <w:t>”</w:t>
    </w:r>
    <w:r w:rsidR="00633D20">
      <w:rPr>
        <w:sz w:val="20"/>
      </w:rPr>
      <w:t xml:space="preserve"> </w:t>
    </w:r>
    <w:r w:rsidRPr="00F42004">
      <w:rPr>
        <w:sz w:val="20"/>
        <w:szCs w:val="20"/>
      </w:rPr>
      <w:t xml:space="preserve">sākotnējās ietekmes novērtējuma </w:t>
    </w:r>
    <w:smartTag w:uri="schemas-tilde-lv/tildestengine" w:element="veidnes">
      <w:smartTagPr>
        <w:attr w:name="id" w:val="-1"/>
        <w:attr w:name="baseform" w:val="ziņojums"/>
        <w:attr w:name="text" w:val="ziņojums"/>
      </w:smartTagPr>
      <w:r w:rsidRPr="00F42004">
        <w:rPr>
          <w:sz w:val="20"/>
          <w:szCs w:val="20"/>
        </w:rPr>
        <w:t>ziņojums</w:t>
      </w:r>
    </w:smartTag>
    <w:r>
      <w:rPr>
        <w:sz w:val="20"/>
        <w:szCs w:val="20"/>
      </w:rPr>
      <w:t xml:space="preserve"> (anotācija)</w:t>
    </w:r>
  </w:p>
  <w:p w:rsidR="00616AA6" w:rsidRPr="00F42004" w:rsidRDefault="00616AA6" w:rsidP="00616AA6">
    <w:pPr>
      <w:pStyle w:val="Footer"/>
      <w:jc w:val="both"/>
      <w:rPr>
        <w:sz w:val="20"/>
        <w:szCs w:val="20"/>
      </w:rPr>
    </w:pPr>
  </w:p>
  <w:p w:rsidR="006811D5" w:rsidRPr="00361E9B" w:rsidRDefault="004F327C" w:rsidP="006811D5">
    <w:pPr>
      <w:pStyle w:val="Footer"/>
    </w:pPr>
  </w:p>
  <w:p w:rsidR="00476475" w:rsidRPr="006811D5" w:rsidRDefault="004F327C" w:rsidP="00681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D5" w:rsidRPr="00CE3A3B" w:rsidRDefault="005B2CE7" w:rsidP="006811D5">
    <w:pPr>
      <w:jc w:val="both"/>
      <w:rPr>
        <w:color w:val="000000"/>
        <w:sz w:val="20"/>
        <w:szCs w:val="20"/>
      </w:rPr>
    </w:pPr>
    <w:r w:rsidRPr="00A301A8">
      <w:rPr>
        <w:sz w:val="20"/>
        <w:szCs w:val="20"/>
      </w:rPr>
      <w:t>IEM</w:t>
    </w:r>
    <w:r>
      <w:rPr>
        <w:sz w:val="20"/>
        <w:szCs w:val="20"/>
      </w:rPr>
      <w:t>Anot</w:t>
    </w:r>
    <w:r w:rsidRPr="00A301A8">
      <w:rPr>
        <w:sz w:val="20"/>
        <w:szCs w:val="20"/>
      </w:rPr>
      <w:t>_</w:t>
    </w:r>
    <w:r w:rsidR="00206D30">
      <w:rPr>
        <w:sz w:val="20"/>
        <w:szCs w:val="20"/>
      </w:rPr>
      <w:t>05</w:t>
    </w:r>
    <w:r w:rsidR="00DB7641">
      <w:rPr>
        <w:sz w:val="20"/>
        <w:szCs w:val="20"/>
      </w:rPr>
      <w:t>1</w:t>
    </w:r>
    <w:r w:rsidR="00206D30">
      <w:rPr>
        <w:sz w:val="20"/>
        <w:szCs w:val="20"/>
      </w:rPr>
      <w:t>2</w:t>
    </w:r>
    <w:r w:rsidRPr="00A301A8">
      <w:rPr>
        <w:sz w:val="20"/>
        <w:szCs w:val="20"/>
      </w:rPr>
      <w:t>2013</w:t>
    </w:r>
    <w:r>
      <w:rPr>
        <w:sz w:val="20"/>
      </w:rPr>
      <w:t>.doc</w:t>
    </w:r>
    <w:r w:rsidRPr="00A301A8">
      <w:rPr>
        <w:sz w:val="20"/>
        <w:szCs w:val="20"/>
      </w:rPr>
      <w:t xml:space="preserve">; Ministru kabineta noteikumu projekts </w:t>
    </w:r>
    <w:r>
      <w:rPr>
        <w:sz w:val="20"/>
      </w:rPr>
      <w:t>„</w:t>
    </w:r>
    <w:r w:rsidR="00633D20" w:rsidRPr="00A301A8">
      <w:rPr>
        <w:sz w:val="20"/>
      </w:rPr>
      <w:t>Grozījum</w:t>
    </w:r>
    <w:r w:rsidR="007902B1">
      <w:rPr>
        <w:sz w:val="20"/>
      </w:rPr>
      <w:t>i</w:t>
    </w:r>
    <w:r w:rsidR="00633D20" w:rsidRPr="00A301A8">
      <w:rPr>
        <w:color w:val="000000"/>
        <w:sz w:val="20"/>
      </w:rPr>
      <w:t xml:space="preserve"> Ministru kabineta </w:t>
    </w:r>
    <w:r w:rsidR="00633D20" w:rsidRPr="00A301A8">
      <w:rPr>
        <w:sz w:val="20"/>
      </w:rPr>
      <w:t xml:space="preserve">2010.gada </w:t>
    </w:r>
    <w:r w:rsidR="00633D20">
      <w:rPr>
        <w:sz w:val="20"/>
      </w:rPr>
      <w:t>21.jūnija</w:t>
    </w:r>
    <w:r w:rsidR="00633D20" w:rsidRPr="00A301A8">
      <w:rPr>
        <w:sz w:val="20"/>
      </w:rPr>
      <w:t xml:space="preserve"> </w:t>
    </w:r>
    <w:r w:rsidR="00633D20" w:rsidRPr="00A301A8">
      <w:rPr>
        <w:color w:val="000000"/>
        <w:sz w:val="20"/>
      </w:rPr>
      <w:t>noteikumos Nr.</w:t>
    </w:r>
    <w:r w:rsidR="00633D20">
      <w:rPr>
        <w:color w:val="000000"/>
        <w:sz w:val="20"/>
      </w:rPr>
      <w:t>569</w:t>
    </w:r>
    <w:r w:rsidR="00633D20" w:rsidRPr="00A301A8">
      <w:rPr>
        <w:bCs/>
        <w:sz w:val="20"/>
      </w:rPr>
      <w:t xml:space="preserve"> </w:t>
    </w:r>
    <w:r w:rsidR="00633D20">
      <w:rPr>
        <w:bCs/>
        <w:sz w:val="20"/>
      </w:rPr>
      <w:t>„Kārtība, kādā Iekšlietu ministrijas sistēmas iestāžu un Ieslodzījuma vietu pārvaldes amatpersona ar speciālo dienesta pakāpi saņem apmaksātus veselības aprūpes pakalpojumus”</w:t>
    </w:r>
    <w:r>
      <w:rPr>
        <w:sz w:val="20"/>
      </w:rPr>
      <w:t>”</w:t>
    </w:r>
    <w:r w:rsidR="00CE36C0">
      <w:rPr>
        <w:sz w:val="20"/>
      </w:rPr>
      <w:t xml:space="preserve"> </w:t>
    </w:r>
    <w:r w:rsidRPr="00F42004">
      <w:rPr>
        <w:sz w:val="20"/>
        <w:szCs w:val="20"/>
      </w:rPr>
      <w:t xml:space="preserve">sākotnējās ietekmes novērtējuma </w:t>
    </w:r>
    <w:smartTag w:uri="schemas-tilde-lv/tildestengine" w:element="veidnes">
      <w:smartTagPr>
        <w:attr w:name="id" w:val="-1"/>
        <w:attr w:name="baseform" w:val="ziņojums"/>
        <w:attr w:name="text" w:val="ziņojums"/>
      </w:smartTagPr>
      <w:r w:rsidRPr="00F42004">
        <w:rPr>
          <w:sz w:val="20"/>
          <w:szCs w:val="20"/>
        </w:rPr>
        <w:t>ziņojums</w:t>
      </w:r>
    </w:smartTag>
    <w:r>
      <w:rPr>
        <w:sz w:val="20"/>
        <w:szCs w:val="20"/>
      </w:rPr>
      <w:t xml:space="preserve"> (anotācija)</w:t>
    </w:r>
  </w:p>
  <w:p w:rsidR="006811D5" w:rsidRPr="00F42004" w:rsidRDefault="004F327C" w:rsidP="006811D5">
    <w:pPr>
      <w:pStyle w:val="Footer"/>
      <w:jc w:val="both"/>
      <w:rPr>
        <w:sz w:val="20"/>
        <w:szCs w:val="20"/>
      </w:rPr>
    </w:pPr>
  </w:p>
  <w:p w:rsidR="006811D5" w:rsidRPr="00361E9B" w:rsidRDefault="004F327C" w:rsidP="006811D5">
    <w:pPr>
      <w:pStyle w:val="Footer"/>
    </w:pPr>
  </w:p>
  <w:p w:rsidR="00476475" w:rsidRPr="00361E9B" w:rsidRDefault="004F327C"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27C" w:rsidRDefault="004F327C" w:rsidP="00616AA6">
      <w:r>
        <w:separator/>
      </w:r>
    </w:p>
  </w:footnote>
  <w:footnote w:type="continuationSeparator" w:id="0">
    <w:p w:rsidR="004F327C" w:rsidRDefault="004F327C"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475" w:rsidRDefault="004F3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A6E">
      <w:rPr>
        <w:rStyle w:val="PageNumber"/>
        <w:noProof/>
      </w:rPr>
      <w:t>10</w:t>
    </w:r>
    <w:r>
      <w:rPr>
        <w:rStyle w:val="PageNumber"/>
      </w:rPr>
      <w:fldChar w:fldCharType="end"/>
    </w:r>
  </w:p>
  <w:p w:rsidR="00476475" w:rsidRDefault="004F3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0AC3"/>
    <w:multiLevelType w:val="hybridMultilevel"/>
    <w:tmpl w:val="BC3A9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2">
    <w:nsid w:val="1D550037"/>
    <w:multiLevelType w:val="hybridMultilevel"/>
    <w:tmpl w:val="750CB73A"/>
    <w:lvl w:ilvl="0" w:tplc="D56888FC">
      <w:start w:val="1"/>
      <w:numFmt w:val="decimal"/>
      <w:lvlText w:val="%1."/>
      <w:lvlJc w:val="left"/>
      <w:pPr>
        <w:ind w:left="785"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4775C0"/>
    <w:multiLevelType w:val="hybridMultilevel"/>
    <w:tmpl w:val="22DCCB8E"/>
    <w:lvl w:ilvl="0" w:tplc="D32CD2EC">
      <w:start w:val="1"/>
      <w:numFmt w:val="decimal"/>
      <w:lvlText w:val="%1."/>
      <w:lvlJc w:val="left"/>
      <w:pPr>
        <w:ind w:left="812" w:hanging="360"/>
      </w:pPr>
      <w:rPr>
        <w:rFonts w:hint="default"/>
      </w:rPr>
    </w:lvl>
    <w:lvl w:ilvl="1" w:tplc="04260019" w:tentative="1">
      <w:start w:val="1"/>
      <w:numFmt w:val="lowerLetter"/>
      <w:lvlText w:val="%2."/>
      <w:lvlJc w:val="left"/>
      <w:pPr>
        <w:ind w:left="1532" w:hanging="360"/>
      </w:pPr>
    </w:lvl>
    <w:lvl w:ilvl="2" w:tplc="0426001B" w:tentative="1">
      <w:start w:val="1"/>
      <w:numFmt w:val="lowerRoman"/>
      <w:lvlText w:val="%3."/>
      <w:lvlJc w:val="right"/>
      <w:pPr>
        <w:ind w:left="2252" w:hanging="180"/>
      </w:pPr>
    </w:lvl>
    <w:lvl w:ilvl="3" w:tplc="0426000F" w:tentative="1">
      <w:start w:val="1"/>
      <w:numFmt w:val="decimal"/>
      <w:lvlText w:val="%4."/>
      <w:lvlJc w:val="left"/>
      <w:pPr>
        <w:ind w:left="2972" w:hanging="360"/>
      </w:pPr>
    </w:lvl>
    <w:lvl w:ilvl="4" w:tplc="04260019" w:tentative="1">
      <w:start w:val="1"/>
      <w:numFmt w:val="lowerLetter"/>
      <w:lvlText w:val="%5."/>
      <w:lvlJc w:val="left"/>
      <w:pPr>
        <w:ind w:left="3692" w:hanging="360"/>
      </w:pPr>
    </w:lvl>
    <w:lvl w:ilvl="5" w:tplc="0426001B" w:tentative="1">
      <w:start w:val="1"/>
      <w:numFmt w:val="lowerRoman"/>
      <w:lvlText w:val="%6."/>
      <w:lvlJc w:val="right"/>
      <w:pPr>
        <w:ind w:left="4412" w:hanging="180"/>
      </w:pPr>
    </w:lvl>
    <w:lvl w:ilvl="6" w:tplc="0426000F" w:tentative="1">
      <w:start w:val="1"/>
      <w:numFmt w:val="decimal"/>
      <w:lvlText w:val="%7."/>
      <w:lvlJc w:val="left"/>
      <w:pPr>
        <w:ind w:left="5132" w:hanging="360"/>
      </w:pPr>
    </w:lvl>
    <w:lvl w:ilvl="7" w:tplc="04260019" w:tentative="1">
      <w:start w:val="1"/>
      <w:numFmt w:val="lowerLetter"/>
      <w:lvlText w:val="%8."/>
      <w:lvlJc w:val="left"/>
      <w:pPr>
        <w:ind w:left="5852" w:hanging="360"/>
      </w:pPr>
    </w:lvl>
    <w:lvl w:ilvl="8" w:tplc="0426001B" w:tentative="1">
      <w:start w:val="1"/>
      <w:numFmt w:val="lowerRoman"/>
      <w:lvlText w:val="%9."/>
      <w:lvlJc w:val="right"/>
      <w:pPr>
        <w:ind w:left="6572" w:hanging="180"/>
      </w:pPr>
    </w:lvl>
  </w:abstractNum>
  <w:abstractNum w:abstractNumId="4">
    <w:nsid w:val="3B3D6106"/>
    <w:multiLevelType w:val="hybridMultilevel"/>
    <w:tmpl w:val="9954D0B2"/>
    <w:lvl w:ilvl="0" w:tplc="4CE43584">
      <w:start w:val="1"/>
      <w:numFmt w:val="decimal"/>
      <w:lvlText w:val="%1)"/>
      <w:lvlJc w:val="left"/>
      <w:pPr>
        <w:ind w:left="919" w:hanging="360"/>
      </w:pPr>
      <w:rPr>
        <w:rFonts w:hint="default"/>
      </w:rPr>
    </w:lvl>
    <w:lvl w:ilvl="1" w:tplc="04260019" w:tentative="1">
      <w:start w:val="1"/>
      <w:numFmt w:val="lowerLetter"/>
      <w:lvlText w:val="%2."/>
      <w:lvlJc w:val="left"/>
      <w:pPr>
        <w:ind w:left="1639" w:hanging="360"/>
      </w:pPr>
    </w:lvl>
    <w:lvl w:ilvl="2" w:tplc="0426001B" w:tentative="1">
      <w:start w:val="1"/>
      <w:numFmt w:val="lowerRoman"/>
      <w:lvlText w:val="%3."/>
      <w:lvlJc w:val="right"/>
      <w:pPr>
        <w:ind w:left="2359" w:hanging="180"/>
      </w:pPr>
    </w:lvl>
    <w:lvl w:ilvl="3" w:tplc="0426000F" w:tentative="1">
      <w:start w:val="1"/>
      <w:numFmt w:val="decimal"/>
      <w:lvlText w:val="%4."/>
      <w:lvlJc w:val="left"/>
      <w:pPr>
        <w:ind w:left="3079" w:hanging="360"/>
      </w:pPr>
    </w:lvl>
    <w:lvl w:ilvl="4" w:tplc="04260019" w:tentative="1">
      <w:start w:val="1"/>
      <w:numFmt w:val="lowerLetter"/>
      <w:lvlText w:val="%5."/>
      <w:lvlJc w:val="left"/>
      <w:pPr>
        <w:ind w:left="3799" w:hanging="360"/>
      </w:pPr>
    </w:lvl>
    <w:lvl w:ilvl="5" w:tplc="0426001B" w:tentative="1">
      <w:start w:val="1"/>
      <w:numFmt w:val="lowerRoman"/>
      <w:lvlText w:val="%6."/>
      <w:lvlJc w:val="right"/>
      <w:pPr>
        <w:ind w:left="4519" w:hanging="180"/>
      </w:pPr>
    </w:lvl>
    <w:lvl w:ilvl="6" w:tplc="0426000F" w:tentative="1">
      <w:start w:val="1"/>
      <w:numFmt w:val="decimal"/>
      <w:lvlText w:val="%7."/>
      <w:lvlJc w:val="left"/>
      <w:pPr>
        <w:ind w:left="5239" w:hanging="360"/>
      </w:pPr>
    </w:lvl>
    <w:lvl w:ilvl="7" w:tplc="04260019" w:tentative="1">
      <w:start w:val="1"/>
      <w:numFmt w:val="lowerLetter"/>
      <w:lvlText w:val="%8."/>
      <w:lvlJc w:val="left"/>
      <w:pPr>
        <w:ind w:left="5959" w:hanging="360"/>
      </w:pPr>
    </w:lvl>
    <w:lvl w:ilvl="8" w:tplc="0426001B" w:tentative="1">
      <w:start w:val="1"/>
      <w:numFmt w:val="lowerRoman"/>
      <w:lvlText w:val="%9."/>
      <w:lvlJc w:val="right"/>
      <w:pPr>
        <w:ind w:left="6679" w:hanging="180"/>
      </w:pPr>
    </w:lvl>
  </w:abstractNum>
  <w:abstractNum w:abstractNumId="5">
    <w:nsid w:val="42B85ABA"/>
    <w:multiLevelType w:val="hybridMultilevel"/>
    <w:tmpl w:val="9C829A1A"/>
    <w:lvl w:ilvl="0" w:tplc="71EA8AC2">
      <w:start w:val="5"/>
      <w:numFmt w:val="decimal"/>
      <w:lvlText w:val="%1."/>
      <w:lvlJc w:val="left"/>
      <w:pPr>
        <w:ind w:left="1145" w:hanging="360"/>
      </w:pPr>
      <w:rPr>
        <w:rFonts w:hint="default"/>
        <w:color w:val="auto"/>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6">
    <w:nsid w:val="468A56D1"/>
    <w:multiLevelType w:val="hybridMultilevel"/>
    <w:tmpl w:val="750CB73A"/>
    <w:lvl w:ilvl="0" w:tplc="D56888FC">
      <w:start w:val="1"/>
      <w:numFmt w:val="decimal"/>
      <w:lvlText w:val="%1."/>
      <w:lvlJc w:val="left"/>
      <w:pPr>
        <w:ind w:left="785"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078"/>
    <w:rsid w:val="0002334F"/>
    <w:rsid w:val="00026386"/>
    <w:rsid w:val="0003050E"/>
    <w:rsid w:val="00030E1C"/>
    <w:rsid w:val="00043518"/>
    <w:rsid w:val="000448EE"/>
    <w:rsid w:val="00052BBA"/>
    <w:rsid w:val="00054408"/>
    <w:rsid w:val="00083C88"/>
    <w:rsid w:val="0008645B"/>
    <w:rsid w:val="00092AF6"/>
    <w:rsid w:val="0009462C"/>
    <w:rsid w:val="000B1F5B"/>
    <w:rsid w:val="000B244F"/>
    <w:rsid w:val="000B70F5"/>
    <w:rsid w:val="000C0324"/>
    <w:rsid w:val="000C1EC5"/>
    <w:rsid w:val="000C3782"/>
    <w:rsid w:val="000F3262"/>
    <w:rsid w:val="001105F0"/>
    <w:rsid w:val="00112843"/>
    <w:rsid w:val="0011564D"/>
    <w:rsid w:val="00141855"/>
    <w:rsid w:val="0015209D"/>
    <w:rsid w:val="001627B3"/>
    <w:rsid w:val="0019074A"/>
    <w:rsid w:val="001931FA"/>
    <w:rsid w:val="001A5F69"/>
    <w:rsid w:val="001C501E"/>
    <w:rsid w:val="001D349F"/>
    <w:rsid w:val="00201FF6"/>
    <w:rsid w:val="00206D30"/>
    <w:rsid w:val="002121BA"/>
    <w:rsid w:val="00222492"/>
    <w:rsid w:val="00271362"/>
    <w:rsid w:val="0028690C"/>
    <w:rsid w:val="00291B2F"/>
    <w:rsid w:val="00295352"/>
    <w:rsid w:val="002A635C"/>
    <w:rsid w:val="002B1CD9"/>
    <w:rsid w:val="002B2B21"/>
    <w:rsid w:val="002D4714"/>
    <w:rsid w:val="003021FA"/>
    <w:rsid w:val="00316F50"/>
    <w:rsid w:val="0033668C"/>
    <w:rsid w:val="00384EDD"/>
    <w:rsid w:val="003930C2"/>
    <w:rsid w:val="003A2435"/>
    <w:rsid w:val="003A7372"/>
    <w:rsid w:val="003C5634"/>
    <w:rsid w:val="003E23C2"/>
    <w:rsid w:val="003F2247"/>
    <w:rsid w:val="003F38A6"/>
    <w:rsid w:val="004024FC"/>
    <w:rsid w:val="00410369"/>
    <w:rsid w:val="0041134A"/>
    <w:rsid w:val="00412A9D"/>
    <w:rsid w:val="00413FFD"/>
    <w:rsid w:val="00454D32"/>
    <w:rsid w:val="00467278"/>
    <w:rsid w:val="004819C5"/>
    <w:rsid w:val="00492CB5"/>
    <w:rsid w:val="004B0C54"/>
    <w:rsid w:val="004B7F9D"/>
    <w:rsid w:val="004C712D"/>
    <w:rsid w:val="004D55CD"/>
    <w:rsid w:val="004F327C"/>
    <w:rsid w:val="00503982"/>
    <w:rsid w:val="00504573"/>
    <w:rsid w:val="005065CD"/>
    <w:rsid w:val="00513C62"/>
    <w:rsid w:val="0052315C"/>
    <w:rsid w:val="005651F4"/>
    <w:rsid w:val="00571266"/>
    <w:rsid w:val="00571CF9"/>
    <w:rsid w:val="005722B8"/>
    <w:rsid w:val="005743E1"/>
    <w:rsid w:val="00574BE6"/>
    <w:rsid w:val="005839D4"/>
    <w:rsid w:val="005A5638"/>
    <w:rsid w:val="005A7073"/>
    <w:rsid w:val="005A72A0"/>
    <w:rsid w:val="005B2CE7"/>
    <w:rsid w:val="005B3296"/>
    <w:rsid w:val="005C217E"/>
    <w:rsid w:val="005E7668"/>
    <w:rsid w:val="005F6C19"/>
    <w:rsid w:val="006002A2"/>
    <w:rsid w:val="00616AA6"/>
    <w:rsid w:val="00624660"/>
    <w:rsid w:val="00633977"/>
    <w:rsid w:val="00633D20"/>
    <w:rsid w:val="006515D1"/>
    <w:rsid w:val="00680FBF"/>
    <w:rsid w:val="006A7F31"/>
    <w:rsid w:val="006B079F"/>
    <w:rsid w:val="006B476F"/>
    <w:rsid w:val="006D53F6"/>
    <w:rsid w:val="006D6036"/>
    <w:rsid w:val="0070492E"/>
    <w:rsid w:val="00712637"/>
    <w:rsid w:val="0072444E"/>
    <w:rsid w:val="00737ACF"/>
    <w:rsid w:val="007403B1"/>
    <w:rsid w:val="00762374"/>
    <w:rsid w:val="007902B1"/>
    <w:rsid w:val="007906FF"/>
    <w:rsid w:val="007E3D88"/>
    <w:rsid w:val="007E455D"/>
    <w:rsid w:val="007F466C"/>
    <w:rsid w:val="00821279"/>
    <w:rsid w:val="008256AD"/>
    <w:rsid w:val="00854CC3"/>
    <w:rsid w:val="00866858"/>
    <w:rsid w:val="008803A3"/>
    <w:rsid w:val="008825C4"/>
    <w:rsid w:val="00887EC6"/>
    <w:rsid w:val="008A3CB9"/>
    <w:rsid w:val="008C275E"/>
    <w:rsid w:val="008E5A83"/>
    <w:rsid w:val="008F05BF"/>
    <w:rsid w:val="009033B1"/>
    <w:rsid w:val="0090744A"/>
    <w:rsid w:val="00920105"/>
    <w:rsid w:val="009376A2"/>
    <w:rsid w:val="009470B6"/>
    <w:rsid w:val="00963119"/>
    <w:rsid w:val="00965CE0"/>
    <w:rsid w:val="00967501"/>
    <w:rsid w:val="009A1649"/>
    <w:rsid w:val="009A3BAA"/>
    <w:rsid w:val="00A01464"/>
    <w:rsid w:val="00A17028"/>
    <w:rsid w:val="00A22401"/>
    <w:rsid w:val="00A279BD"/>
    <w:rsid w:val="00A456E3"/>
    <w:rsid w:val="00A543B7"/>
    <w:rsid w:val="00A77DDE"/>
    <w:rsid w:val="00A91DA0"/>
    <w:rsid w:val="00A95A55"/>
    <w:rsid w:val="00AB3E3D"/>
    <w:rsid w:val="00AC5D0B"/>
    <w:rsid w:val="00AE709C"/>
    <w:rsid w:val="00AF287B"/>
    <w:rsid w:val="00B35CBA"/>
    <w:rsid w:val="00B42C75"/>
    <w:rsid w:val="00B4329A"/>
    <w:rsid w:val="00B462A2"/>
    <w:rsid w:val="00B55E0D"/>
    <w:rsid w:val="00B9098B"/>
    <w:rsid w:val="00B91A60"/>
    <w:rsid w:val="00BC004A"/>
    <w:rsid w:val="00BC6A25"/>
    <w:rsid w:val="00BF0C00"/>
    <w:rsid w:val="00BF3320"/>
    <w:rsid w:val="00BF7D95"/>
    <w:rsid w:val="00C014A1"/>
    <w:rsid w:val="00C04DBE"/>
    <w:rsid w:val="00C10708"/>
    <w:rsid w:val="00C11164"/>
    <w:rsid w:val="00C23A44"/>
    <w:rsid w:val="00C453F6"/>
    <w:rsid w:val="00C604A2"/>
    <w:rsid w:val="00C657C0"/>
    <w:rsid w:val="00C82AE8"/>
    <w:rsid w:val="00CA26C4"/>
    <w:rsid w:val="00CA4260"/>
    <w:rsid w:val="00CD54B5"/>
    <w:rsid w:val="00CE032B"/>
    <w:rsid w:val="00CE36C0"/>
    <w:rsid w:val="00CE512C"/>
    <w:rsid w:val="00D0103F"/>
    <w:rsid w:val="00D14DF1"/>
    <w:rsid w:val="00D22685"/>
    <w:rsid w:val="00D2780C"/>
    <w:rsid w:val="00D4126B"/>
    <w:rsid w:val="00D42DFF"/>
    <w:rsid w:val="00D55C36"/>
    <w:rsid w:val="00DB7641"/>
    <w:rsid w:val="00DD1016"/>
    <w:rsid w:val="00E00393"/>
    <w:rsid w:val="00E03670"/>
    <w:rsid w:val="00E0414C"/>
    <w:rsid w:val="00E33643"/>
    <w:rsid w:val="00E46E18"/>
    <w:rsid w:val="00E877E8"/>
    <w:rsid w:val="00EA3D6D"/>
    <w:rsid w:val="00EA67A5"/>
    <w:rsid w:val="00EB175D"/>
    <w:rsid w:val="00EB334B"/>
    <w:rsid w:val="00EC79E8"/>
    <w:rsid w:val="00ED4840"/>
    <w:rsid w:val="00EF2537"/>
    <w:rsid w:val="00EF363E"/>
    <w:rsid w:val="00EF52C1"/>
    <w:rsid w:val="00EF6287"/>
    <w:rsid w:val="00F423F5"/>
    <w:rsid w:val="00F56C0F"/>
    <w:rsid w:val="00F66F4E"/>
    <w:rsid w:val="00F919BB"/>
    <w:rsid w:val="00F93A0F"/>
    <w:rsid w:val="00FA7053"/>
    <w:rsid w:val="00FC4F56"/>
    <w:rsid w:val="00FD2A6E"/>
    <w:rsid w:val="00FF0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15E8171A-B424-4C78-B76D-A7FF5546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rsid w:val="00616AA6"/>
    <w:pPr>
      <w:tabs>
        <w:tab w:val="center" w:pos="4153"/>
        <w:tab w:val="right" w:pos="8306"/>
      </w:tabs>
    </w:pPr>
    <w:rPr>
      <w:lang w:eastAsia="lv-LV"/>
    </w:rPr>
  </w:style>
  <w:style w:type="character" w:customStyle="1" w:styleId="FooterChar">
    <w:name w:val="Footer Char"/>
    <w:basedOn w:val="DefaultParagraphFont"/>
    <w:link w:val="Footer"/>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unhideWhenUsed/>
    <w:rsid w:val="00FA7053"/>
    <w:rPr>
      <w:strike w:val="0"/>
      <w:dstrike w:val="0"/>
      <w:color w:val="40407C"/>
      <w:u w:val="none"/>
      <w:effect w:val="none"/>
    </w:rPr>
  </w:style>
  <w:style w:type="paragraph" w:styleId="FootnoteText">
    <w:name w:val="footnote text"/>
    <w:basedOn w:val="Normal"/>
    <w:link w:val="FootnoteTextChar"/>
    <w:unhideWhenUsed/>
    <w:rsid w:val="009A3BAA"/>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9A3BAA"/>
    <w:rPr>
      <w:rFonts w:ascii="Calibri" w:eastAsia="Calibri" w:hAnsi="Calibri" w:cs="Times New Roman"/>
      <w:sz w:val="20"/>
      <w:szCs w:val="20"/>
    </w:rPr>
  </w:style>
  <w:style w:type="character" w:styleId="FootnoteReference">
    <w:name w:val="footnote reference"/>
    <w:uiPriority w:val="99"/>
    <w:semiHidden/>
    <w:unhideWhenUsed/>
    <w:rsid w:val="009A3BAA"/>
    <w:rPr>
      <w:vertAlign w:val="superscript"/>
    </w:rPr>
  </w:style>
  <w:style w:type="paragraph" w:customStyle="1" w:styleId="naiskr">
    <w:name w:val="naiskr"/>
    <w:basedOn w:val="Normal"/>
    <w:rsid w:val="009A3BAA"/>
    <w:pPr>
      <w:spacing w:before="75" w:after="75"/>
    </w:pPr>
    <w:rPr>
      <w:lang w:eastAsia="lv-LV"/>
    </w:rPr>
  </w:style>
  <w:style w:type="paragraph" w:styleId="BalloonText">
    <w:name w:val="Balloon Text"/>
    <w:basedOn w:val="Normal"/>
    <w:link w:val="BalloonTextChar"/>
    <w:uiPriority w:val="99"/>
    <w:semiHidden/>
    <w:unhideWhenUsed/>
    <w:rsid w:val="006D53F6"/>
    <w:rPr>
      <w:rFonts w:ascii="Tahoma" w:hAnsi="Tahoma" w:cs="Tahoma"/>
      <w:sz w:val="16"/>
      <w:szCs w:val="16"/>
    </w:rPr>
  </w:style>
  <w:style w:type="character" w:customStyle="1" w:styleId="BalloonTextChar">
    <w:name w:val="Balloon Text Char"/>
    <w:basedOn w:val="DefaultParagraphFont"/>
    <w:link w:val="BalloonText"/>
    <w:uiPriority w:val="99"/>
    <w:semiHidden/>
    <w:rsid w:val="006D53F6"/>
    <w:rPr>
      <w:rFonts w:ascii="Tahoma" w:eastAsia="Times New Roman" w:hAnsi="Tahoma" w:cs="Tahoma"/>
      <w:sz w:val="16"/>
      <w:szCs w:val="16"/>
    </w:rPr>
  </w:style>
  <w:style w:type="paragraph" w:customStyle="1" w:styleId="naisnod">
    <w:name w:val="naisnod"/>
    <w:basedOn w:val="Normal"/>
    <w:rsid w:val="006D53F6"/>
    <w:pPr>
      <w:spacing w:before="150" w:after="150"/>
      <w:jc w:val="center"/>
    </w:pPr>
    <w:rPr>
      <w:b/>
      <w:bCs/>
      <w:lang w:eastAsia="lv-LV"/>
    </w:rPr>
  </w:style>
  <w:style w:type="paragraph" w:styleId="ListParagraph">
    <w:name w:val="List Paragraph"/>
    <w:basedOn w:val="Normal"/>
    <w:uiPriority w:val="34"/>
    <w:qFormat/>
    <w:rsid w:val="00092AF6"/>
    <w:pPr>
      <w:ind w:left="720"/>
      <w:contextualSpacing/>
    </w:pPr>
  </w:style>
  <w:style w:type="paragraph" w:customStyle="1" w:styleId="TableContents">
    <w:name w:val="Table Contents"/>
    <w:basedOn w:val="Normal"/>
    <w:rsid w:val="00092AF6"/>
    <w:pPr>
      <w:widowControl w:val="0"/>
      <w:suppressLineNumbers/>
      <w:suppressAutoHyphens/>
    </w:pPr>
    <w:rPr>
      <w:rFonts w:eastAsia="Lucida Sans Unicode"/>
      <w:kern w:val="1"/>
      <w:lang w:eastAsia="ar-SA"/>
    </w:rPr>
  </w:style>
  <w:style w:type="paragraph" w:styleId="NoSpacing">
    <w:name w:val="No Spacing"/>
    <w:uiPriority w:val="1"/>
    <w:qFormat/>
    <w:rsid w:val="00BC004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2290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iskrov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BC08-AA9E-477F-9DB8-18CB03D4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13678</Words>
  <Characters>7797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„Grozījumi Ministru kabineta 2010.gada 21.jūnija noteikumos Nr.569 „Kārtība, kādā Iekšlietu ministrijas sistēmas iestāžu un Ieslodzījuma vietu pārvaldes amatpersona ar speciālo dienesta pakāpi saņem apmaksātus veselības aprūpes pakalpojumus”</vt:lpstr>
    </vt:vector>
  </TitlesOfParts>
  <Company>IeM</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21.jūnija noteikumos Nr.569 „Kārtība, kādā Iekšlietu ministrijas sistēmas iestāžu un Ieslodzījuma vietu pārvaldes amatpersona ar speciālo dienesta pakāpi saņem apmaksātus veselības aprūpes pakalpojumus”</dc:title>
  <dc:subject>Sākotnējās ietekmes novērtējuma ziņojums(anotācija)</dc:subject>
  <dc:creator>U.Iskrovs</dc:creator>
  <cp:keywords/>
  <dc:description>ugis.iskrovs@iem.gov.lv
67829850 fakss</dc:description>
  <cp:lastModifiedBy>Irena</cp:lastModifiedBy>
  <cp:revision>5</cp:revision>
  <cp:lastPrinted>2013-12-05T13:49:00Z</cp:lastPrinted>
  <dcterms:created xsi:type="dcterms:W3CDTF">2013-12-06T09:30:00Z</dcterms:created>
  <dcterms:modified xsi:type="dcterms:W3CDTF">2013-12-06T13:29:00Z</dcterms:modified>
</cp:coreProperties>
</file>