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AA6" w:rsidRPr="00D65D1A" w:rsidRDefault="00616AA6" w:rsidP="00116D23">
      <w:pPr>
        <w:jc w:val="center"/>
        <w:rPr>
          <w:b/>
          <w:color w:val="000000"/>
          <w:sz w:val="28"/>
          <w:szCs w:val="28"/>
        </w:rPr>
      </w:pPr>
      <w:bookmarkStart w:id="0" w:name="_GoBack"/>
      <w:bookmarkEnd w:id="0"/>
      <w:r w:rsidRPr="00D65D1A">
        <w:rPr>
          <w:b/>
          <w:sz w:val="28"/>
          <w:szCs w:val="28"/>
        </w:rPr>
        <w:t xml:space="preserve">Ministru kabineta noteikumu projekta </w:t>
      </w:r>
      <w:r w:rsidR="00687963" w:rsidRPr="00BA5E65">
        <w:rPr>
          <w:b/>
          <w:sz w:val="28"/>
          <w:szCs w:val="28"/>
        </w:rPr>
        <w:t>„</w:t>
      </w:r>
      <w:r w:rsidR="00687963" w:rsidRPr="001A0999">
        <w:rPr>
          <w:b/>
          <w:bCs/>
          <w:sz w:val="28"/>
          <w:szCs w:val="28"/>
        </w:rPr>
        <w:t>Kārtība, kādā Iekšlietu ministrijas sistēmas iestāžu un Ieslodzījuma vietu pārvaldes amatpersona ar speciālo dienesta pakāpi</w:t>
      </w:r>
      <w:r w:rsidR="00687963" w:rsidRPr="001A0999">
        <w:rPr>
          <w:b/>
          <w:sz w:val="28"/>
          <w:szCs w:val="28"/>
        </w:rPr>
        <w:t xml:space="preserve">, kura atvaļināta no dienesta sakarā ar noteiktajām prasībām neatbilstošu veselības stāvokli, </w:t>
      </w:r>
      <w:r w:rsidR="00687963" w:rsidRPr="00141574">
        <w:rPr>
          <w:b/>
          <w:bCs/>
          <w:sz w:val="28"/>
          <w:szCs w:val="28"/>
        </w:rPr>
        <w:t>saņem apmaksātus veselības aprūpes pakalpojumus</w:t>
      </w:r>
      <w:r w:rsidR="00687963">
        <w:rPr>
          <w:b/>
          <w:bCs/>
          <w:sz w:val="28"/>
          <w:szCs w:val="28"/>
        </w:rPr>
        <w:t>”</w:t>
      </w:r>
      <w:r w:rsidR="00116D23" w:rsidRPr="00D65D1A">
        <w:rPr>
          <w:b/>
          <w:color w:val="000000"/>
          <w:sz w:val="28"/>
          <w:szCs w:val="28"/>
        </w:rPr>
        <w:t xml:space="preserve"> </w:t>
      </w:r>
      <w:r w:rsidRPr="00D65D1A">
        <w:rPr>
          <w:b/>
          <w:sz w:val="28"/>
          <w:szCs w:val="28"/>
        </w:rPr>
        <w:t>sākotnējās ietekmes novērtējuma ziņojums</w:t>
      </w:r>
      <w:r w:rsidR="00CC496E" w:rsidRPr="00D65D1A">
        <w:rPr>
          <w:b/>
          <w:sz w:val="28"/>
          <w:szCs w:val="28"/>
        </w:rPr>
        <w:t xml:space="preserve"> </w:t>
      </w:r>
      <w:r w:rsidRPr="00D65D1A">
        <w:rPr>
          <w:b/>
          <w:sz w:val="28"/>
          <w:szCs w:val="28"/>
        </w:rPr>
        <w:t>(anotācija)</w:t>
      </w:r>
    </w:p>
    <w:p w:rsidR="00616AA6" w:rsidRDefault="00616AA6" w:rsidP="00616AA6">
      <w:pPr>
        <w:pStyle w:val="BodyText"/>
        <w:rPr>
          <w:szCs w:val="28"/>
        </w:rPr>
      </w:pPr>
    </w:p>
    <w:tbl>
      <w:tblPr>
        <w:tblStyle w:val="TableGrid"/>
        <w:tblW w:w="9209" w:type="dxa"/>
        <w:tblLayout w:type="fixed"/>
        <w:tblLook w:val="04A0" w:firstRow="1" w:lastRow="0" w:firstColumn="1" w:lastColumn="0" w:noHBand="0" w:noVBand="1"/>
      </w:tblPr>
      <w:tblGrid>
        <w:gridCol w:w="562"/>
        <w:gridCol w:w="2268"/>
        <w:gridCol w:w="261"/>
        <w:gridCol w:w="873"/>
        <w:gridCol w:w="993"/>
        <w:gridCol w:w="254"/>
        <w:gridCol w:w="1307"/>
        <w:gridCol w:w="1384"/>
        <w:gridCol w:w="1307"/>
      </w:tblGrid>
      <w:tr w:rsidR="00616AA6" w:rsidRPr="00D65D1A" w:rsidTr="006B32AA">
        <w:tc>
          <w:tcPr>
            <w:tcW w:w="9209" w:type="dxa"/>
            <w:gridSpan w:val="9"/>
          </w:tcPr>
          <w:p w:rsidR="00616AA6" w:rsidRPr="00D65D1A" w:rsidRDefault="00616AA6" w:rsidP="00710EAA">
            <w:pPr>
              <w:pStyle w:val="BodyText"/>
              <w:spacing w:before="60" w:after="60"/>
              <w:rPr>
                <w:szCs w:val="28"/>
              </w:rPr>
            </w:pPr>
            <w:r w:rsidRPr="00D65D1A">
              <w:rPr>
                <w:szCs w:val="28"/>
              </w:rPr>
              <w:t>I. Tiesību akta projekta izstrādes nepieciešamība</w:t>
            </w:r>
          </w:p>
        </w:tc>
      </w:tr>
      <w:tr w:rsidR="00616AA6" w:rsidRPr="00D65D1A" w:rsidTr="006B32AA">
        <w:tc>
          <w:tcPr>
            <w:tcW w:w="562" w:type="dxa"/>
          </w:tcPr>
          <w:p w:rsidR="00616AA6" w:rsidRPr="006B32AA" w:rsidRDefault="00616AA6" w:rsidP="00710EAA">
            <w:pPr>
              <w:spacing w:before="60"/>
              <w:rPr>
                <w:sz w:val="26"/>
                <w:szCs w:val="26"/>
              </w:rPr>
            </w:pPr>
            <w:r w:rsidRPr="006B32AA">
              <w:rPr>
                <w:sz w:val="26"/>
                <w:szCs w:val="26"/>
              </w:rPr>
              <w:t>1.</w:t>
            </w:r>
          </w:p>
        </w:tc>
        <w:tc>
          <w:tcPr>
            <w:tcW w:w="2529" w:type="dxa"/>
            <w:gridSpan w:val="2"/>
          </w:tcPr>
          <w:p w:rsidR="00616AA6" w:rsidRPr="006B32AA" w:rsidRDefault="00616AA6" w:rsidP="00710EAA">
            <w:pPr>
              <w:spacing w:before="60"/>
              <w:rPr>
                <w:sz w:val="26"/>
                <w:szCs w:val="26"/>
              </w:rPr>
            </w:pPr>
            <w:r w:rsidRPr="006B32AA">
              <w:rPr>
                <w:sz w:val="26"/>
                <w:szCs w:val="26"/>
              </w:rPr>
              <w:t>Pamatojums</w:t>
            </w:r>
          </w:p>
        </w:tc>
        <w:tc>
          <w:tcPr>
            <w:tcW w:w="6118" w:type="dxa"/>
            <w:gridSpan w:val="6"/>
          </w:tcPr>
          <w:p w:rsidR="002B5B67" w:rsidRPr="006B32AA" w:rsidRDefault="00687963" w:rsidP="007702EA">
            <w:pPr>
              <w:spacing w:before="60"/>
              <w:jc w:val="both"/>
              <w:rPr>
                <w:sz w:val="26"/>
                <w:szCs w:val="26"/>
              </w:rPr>
            </w:pPr>
            <w:r w:rsidRPr="006B32AA">
              <w:rPr>
                <w:sz w:val="26"/>
                <w:szCs w:val="26"/>
              </w:rPr>
              <w:t>Ministru kabineta noteikumu projekts „</w:t>
            </w:r>
            <w:r w:rsidRPr="006B32AA">
              <w:rPr>
                <w:bCs/>
                <w:sz w:val="26"/>
                <w:szCs w:val="26"/>
              </w:rPr>
              <w:t>Kārtība, kādā Iekšlietu ministrijas sistēmas iestāžu un Ieslodzījuma vietu pārvaldes amatpersona ar speciālo dienesta pakāpi</w:t>
            </w:r>
            <w:r w:rsidRPr="006B32AA">
              <w:rPr>
                <w:sz w:val="26"/>
                <w:szCs w:val="26"/>
              </w:rPr>
              <w:t xml:space="preserve">, kura atvaļināta no dienesta sakarā ar noteiktajām prasībām neatbilstošu veselības stāvokli, </w:t>
            </w:r>
            <w:r w:rsidRPr="006B32AA">
              <w:rPr>
                <w:bCs/>
                <w:sz w:val="26"/>
                <w:szCs w:val="26"/>
              </w:rPr>
              <w:t>saņem apmaksātus veselības aprūpes pakalpojumus”</w:t>
            </w:r>
            <w:r w:rsidRPr="006B32AA">
              <w:rPr>
                <w:sz w:val="26"/>
                <w:szCs w:val="26"/>
              </w:rPr>
              <w:t xml:space="preserve"> (turpmāk – projekts)</w:t>
            </w:r>
            <w:r w:rsidRPr="006B32AA">
              <w:rPr>
                <w:sz w:val="26"/>
                <w:szCs w:val="26"/>
                <w:lang w:eastAsia="lv-LV"/>
              </w:rPr>
              <w:t xml:space="preserve"> izstrādāt</w:t>
            </w:r>
            <w:r w:rsidRPr="006B32AA">
              <w:rPr>
                <w:sz w:val="26"/>
                <w:szCs w:val="26"/>
              </w:rPr>
              <w:t>s</w:t>
            </w:r>
            <w:r w:rsidRPr="006B32AA">
              <w:rPr>
                <w:sz w:val="26"/>
                <w:szCs w:val="26"/>
                <w:lang w:eastAsia="lv-LV"/>
              </w:rPr>
              <w:t xml:space="preserve"> saskaņā ar Latvijas Republikas </w:t>
            </w:r>
            <w:r w:rsidRPr="006B32AA">
              <w:rPr>
                <w:sz w:val="26"/>
                <w:szCs w:val="26"/>
              </w:rPr>
              <w:t>Saeimas 2013.gada 19.decembrī pieņemto likumu „</w:t>
            </w:r>
            <w:r w:rsidRPr="006B32AA">
              <w:rPr>
                <w:bCs/>
                <w:sz w:val="26"/>
                <w:szCs w:val="26"/>
              </w:rPr>
              <w:t>Grozījumi Valsts un pašvaldību institūciju amatpersonu un darbinieku atlīdzības likumā</w:t>
            </w:r>
            <w:r w:rsidRPr="006B32AA">
              <w:rPr>
                <w:sz w:val="26"/>
                <w:szCs w:val="26"/>
              </w:rPr>
              <w:t>”.</w:t>
            </w:r>
          </w:p>
        </w:tc>
      </w:tr>
      <w:tr w:rsidR="00616AA6" w:rsidRPr="00BA5E65" w:rsidTr="006B32AA">
        <w:tc>
          <w:tcPr>
            <w:tcW w:w="562" w:type="dxa"/>
          </w:tcPr>
          <w:p w:rsidR="00616AA6" w:rsidRPr="006B32AA" w:rsidRDefault="00616AA6" w:rsidP="00710EAA">
            <w:pPr>
              <w:spacing w:before="60" w:line="720" w:lineRule="auto"/>
              <w:rPr>
                <w:sz w:val="26"/>
                <w:szCs w:val="26"/>
              </w:rPr>
            </w:pPr>
            <w:r w:rsidRPr="006B32AA">
              <w:rPr>
                <w:sz w:val="26"/>
                <w:szCs w:val="26"/>
              </w:rPr>
              <w:t>2.</w:t>
            </w:r>
          </w:p>
        </w:tc>
        <w:tc>
          <w:tcPr>
            <w:tcW w:w="2529" w:type="dxa"/>
            <w:gridSpan w:val="2"/>
          </w:tcPr>
          <w:p w:rsidR="00616AA6" w:rsidRPr="006B32AA" w:rsidRDefault="00616AA6" w:rsidP="00710EAA">
            <w:pPr>
              <w:spacing w:before="60"/>
              <w:rPr>
                <w:sz w:val="26"/>
                <w:szCs w:val="26"/>
              </w:rPr>
            </w:pPr>
            <w:r w:rsidRPr="006B32AA">
              <w:rPr>
                <w:sz w:val="26"/>
                <w:szCs w:val="26"/>
              </w:rPr>
              <w:t>Pašreizējā situācija un problēmas</w:t>
            </w:r>
            <w:r w:rsidR="000F2F91" w:rsidRPr="006B32AA">
              <w:rPr>
                <w:sz w:val="26"/>
                <w:szCs w:val="26"/>
              </w:rPr>
              <w:t>, kuru risināšanai tiesību akta projekts izstrādāts, tiesiskā regulējuma mērķis un būtība</w:t>
            </w:r>
          </w:p>
        </w:tc>
        <w:tc>
          <w:tcPr>
            <w:tcW w:w="6118" w:type="dxa"/>
            <w:gridSpan w:val="6"/>
          </w:tcPr>
          <w:p w:rsidR="000C75A6" w:rsidRPr="006B32AA" w:rsidRDefault="00755684" w:rsidP="00687963">
            <w:pPr>
              <w:ind w:firstLine="720"/>
              <w:jc w:val="both"/>
              <w:rPr>
                <w:sz w:val="26"/>
                <w:szCs w:val="26"/>
              </w:rPr>
            </w:pPr>
            <w:r w:rsidRPr="006B32AA">
              <w:rPr>
                <w:sz w:val="26"/>
                <w:szCs w:val="26"/>
              </w:rPr>
              <w:t xml:space="preserve">Saskaņā ar </w:t>
            </w:r>
            <w:r w:rsidR="007702EA" w:rsidRPr="006B32AA">
              <w:rPr>
                <w:sz w:val="26"/>
                <w:szCs w:val="26"/>
              </w:rPr>
              <w:t>2013.gada 19.decembrī pieņemto likumu „</w:t>
            </w:r>
            <w:r w:rsidR="007702EA" w:rsidRPr="006B32AA">
              <w:rPr>
                <w:bCs/>
                <w:sz w:val="26"/>
                <w:szCs w:val="26"/>
              </w:rPr>
              <w:t>Grozījumi Valsts un pašvaldību institūciju amatpersonu un darbinieku atlīdzības likumā</w:t>
            </w:r>
            <w:r w:rsidR="007702EA" w:rsidRPr="006B32AA">
              <w:rPr>
                <w:sz w:val="26"/>
                <w:szCs w:val="26"/>
              </w:rPr>
              <w:t xml:space="preserve">” </w:t>
            </w:r>
            <w:r w:rsidR="00361CA0" w:rsidRPr="006B32AA">
              <w:rPr>
                <w:sz w:val="26"/>
                <w:szCs w:val="26"/>
              </w:rPr>
              <w:t>ar</w:t>
            </w:r>
            <w:r w:rsidRPr="006B32AA">
              <w:rPr>
                <w:sz w:val="26"/>
                <w:szCs w:val="26"/>
              </w:rPr>
              <w:t xml:space="preserve"> 2014.gada 1.janvār</w:t>
            </w:r>
            <w:r w:rsidR="00361CA0" w:rsidRPr="006B32AA">
              <w:rPr>
                <w:sz w:val="26"/>
                <w:szCs w:val="26"/>
              </w:rPr>
              <w:t xml:space="preserve">i </w:t>
            </w:r>
            <w:r w:rsidR="00361CA0" w:rsidRPr="006B32AA">
              <w:rPr>
                <w:bCs/>
                <w:sz w:val="26"/>
                <w:szCs w:val="26"/>
              </w:rPr>
              <w:t xml:space="preserve">Valsts un pašvaldību institūciju amatpersonu un darbinieku atlīdzības </w:t>
            </w:r>
            <w:r w:rsidR="00361CA0" w:rsidRPr="006B32AA">
              <w:rPr>
                <w:sz w:val="26"/>
                <w:szCs w:val="26"/>
              </w:rPr>
              <w:t>likum</w:t>
            </w:r>
            <w:r w:rsidR="007702EA" w:rsidRPr="006B32AA">
              <w:rPr>
                <w:sz w:val="26"/>
                <w:szCs w:val="26"/>
              </w:rPr>
              <w:t>a 39.pants ir papildināts ar otro daļu, kas paredz, ka atvaļinātajām Iekšlietu ministrijas sistēmas iestāžu un Ieslodzījuma vietu pārvaldes amatpersonām ar speciālajām dienesta pakāpēm tiesības saņemt apmaksātu veselības aprūpi, ja attiecīgā amatpersona ir atvaļināta no dienesta sakarā ar noteiktajām prasībām neatbilstošu veselības stāvokli, kam par iemeslu ir ievainojums vai sakropļojums, vai citāds veselības kaitējums (izņemot arodslimību), kas gūts ar dienesta pienākumu pildīšanu saistīta nelaimes gadījuma rezultātā.</w:t>
            </w:r>
          </w:p>
          <w:p w:rsidR="00F55478" w:rsidRPr="006B32AA" w:rsidRDefault="00F55478" w:rsidP="00F55478">
            <w:pPr>
              <w:ind w:firstLine="720"/>
              <w:jc w:val="both"/>
              <w:rPr>
                <w:bCs/>
                <w:sz w:val="26"/>
                <w:szCs w:val="26"/>
              </w:rPr>
            </w:pPr>
            <w:r w:rsidRPr="006B32AA">
              <w:rPr>
                <w:sz w:val="26"/>
                <w:szCs w:val="26"/>
              </w:rPr>
              <w:t xml:space="preserve">Vienlaikus likuma Pārejas noteikumos tika paredzēts, ka </w:t>
            </w:r>
            <w:r w:rsidRPr="006B32AA">
              <w:rPr>
                <w:bCs/>
                <w:sz w:val="26"/>
                <w:szCs w:val="26"/>
              </w:rPr>
              <w:t>likuma </w:t>
            </w:r>
            <w:hyperlink r:id="rId9" w:anchor="p39" w:history="1">
              <w:r w:rsidRPr="006B32AA">
                <w:rPr>
                  <w:bCs/>
                  <w:sz w:val="26"/>
                  <w:szCs w:val="26"/>
                </w:rPr>
                <w:t>39.panta</w:t>
              </w:r>
            </w:hyperlink>
            <w:r w:rsidRPr="006B32AA">
              <w:rPr>
                <w:bCs/>
                <w:sz w:val="26"/>
                <w:szCs w:val="26"/>
              </w:rPr>
              <w:t xml:space="preserve"> otrajā daļā noteiktā apmaksātā veselības aprūpe attiecas uz veselības aprūpes pakalpojumiem, kas tiks sniegti pēc 2014.gada 1.janvāra, un piemērojama arī Latvijas Republikas iekšlietu sistēmas iestāžu un Ieslodzījuma vietu pārvaldes darbiniekiem ar speciālajām dienesta pakāpēm (tai skaitā specializētā valsts civildienesta ierēdņiem), kas atvaļināti no dienesta sakarā ar noteiktajām prasībām neatbilstošu veselības stāvokli, kam par iemeslu ir ievainojums vai sakropļojums, vai </w:t>
            </w:r>
            <w:r w:rsidRPr="006B32AA">
              <w:rPr>
                <w:bCs/>
                <w:sz w:val="26"/>
                <w:szCs w:val="26"/>
              </w:rPr>
              <w:lastRenderedPageBreak/>
              <w:t>citāds veselības kaitējums (izņemot arodslimību), kas gūts pēc 1990.gada 4.maija ar dienesta pienākumu pildīšanu saistīta nelaimes gadījuma rezultātā.</w:t>
            </w:r>
          </w:p>
          <w:p w:rsidR="00687963" w:rsidRPr="006B32AA" w:rsidRDefault="000C75A6" w:rsidP="00D42003">
            <w:pPr>
              <w:ind w:firstLine="720"/>
              <w:jc w:val="both"/>
              <w:rPr>
                <w:bCs/>
                <w:sz w:val="26"/>
                <w:szCs w:val="26"/>
              </w:rPr>
            </w:pPr>
            <w:r w:rsidRPr="006B32AA">
              <w:rPr>
                <w:sz w:val="26"/>
                <w:szCs w:val="26"/>
              </w:rPr>
              <w:t>Atbilstoši likumā noteiktajam</w:t>
            </w:r>
            <w:r w:rsidR="00E411B7" w:rsidRPr="006B32AA">
              <w:rPr>
                <w:sz w:val="26"/>
                <w:szCs w:val="26"/>
              </w:rPr>
              <w:t>,</w:t>
            </w:r>
            <w:r w:rsidR="007702EA" w:rsidRPr="006B32AA">
              <w:rPr>
                <w:sz w:val="26"/>
                <w:szCs w:val="26"/>
              </w:rPr>
              <w:t xml:space="preserve"> </w:t>
            </w:r>
            <w:r w:rsidRPr="006B32AA">
              <w:rPr>
                <w:sz w:val="26"/>
                <w:szCs w:val="26"/>
              </w:rPr>
              <w:t>a</w:t>
            </w:r>
            <w:r w:rsidR="007702EA" w:rsidRPr="006B32AA">
              <w:rPr>
                <w:sz w:val="26"/>
                <w:szCs w:val="26"/>
              </w:rPr>
              <w:t xml:space="preserve">pmaksātās veselības aprūpes saņemšanas nosacījumus atvaļinātajām Iekšlietu ministrijas sistēmas iestāžu un Ieslodzījuma vietu pārvaldes amatpersonām ar speciālajām dienesta pakāpēm, apmaksājamo veselības pakalpojumu veidus un apmaksas kārtību, kā arī veselības aprūpes pakalpojumus un izdevumus, kuri netiek apmaksāti, nosaka Ministru kabinets. </w:t>
            </w:r>
            <w:r w:rsidRPr="006B32AA">
              <w:rPr>
                <w:sz w:val="26"/>
                <w:szCs w:val="26"/>
              </w:rPr>
              <w:t>Pirms 2013.gada 19.decembrī pieņemtā likuma „</w:t>
            </w:r>
            <w:r w:rsidRPr="006B32AA">
              <w:rPr>
                <w:bCs/>
                <w:sz w:val="26"/>
                <w:szCs w:val="26"/>
              </w:rPr>
              <w:t>Grozījumi Valsts un pašvaldību institūciju amatpersonu un darbinieku atlīdzības likumā</w:t>
            </w:r>
            <w:r w:rsidRPr="006B32AA">
              <w:rPr>
                <w:sz w:val="26"/>
                <w:szCs w:val="26"/>
              </w:rPr>
              <w:t xml:space="preserve">” atvaļinātām Iekšlietu ministrijas </w:t>
            </w:r>
            <w:r w:rsidRPr="006B32AA">
              <w:rPr>
                <w:bCs/>
                <w:sz w:val="26"/>
                <w:szCs w:val="26"/>
              </w:rPr>
              <w:t>sistēmas iestāžu un Ieslodzījuma vietu pārvaldes amatperson</w:t>
            </w:r>
            <w:r w:rsidR="00D42003" w:rsidRPr="006B32AA">
              <w:rPr>
                <w:bCs/>
                <w:sz w:val="26"/>
                <w:szCs w:val="26"/>
              </w:rPr>
              <w:t>ām</w:t>
            </w:r>
            <w:r w:rsidRPr="006B32AA">
              <w:rPr>
                <w:bCs/>
                <w:sz w:val="26"/>
                <w:szCs w:val="26"/>
              </w:rPr>
              <w:t xml:space="preserve"> ar speciālo dienesta pakāpi</w:t>
            </w:r>
            <w:r w:rsidR="00D42003" w:rsidRPr="006B32AA">
              <w:rPr>
                <w:bCs/>
                <w:sz w:val="26"/>
                <w:szCs w:val="26"/>
              </w:rPr>
              <w:t xml:space="preserve"> netika paredzēta apmaksātu veselības aprūpes pakalpojumu saņemšana papildus regulējumam, kas noteikts </w:t>
            </w:r>
            <w:r w:rsidR="00D42003" w:rsidRPr="006B32AA">
              <w:rPr>
                <w:sz w:val="26"/>
                <w:szCs w:val="26"/>
              </w:rPr>
              <w:t>normatīvajos aktos par veselības aprūpes organizēšanu un finansēšanu un valsts sociālo apdrošināšanu</w:t>
            </w:r>
            <w:r w:rsidRPr="006B32AA">
              <w:rPr>
                <w:sz w:val="26"/>
                <w:szCs w:val="26"/>
              </w:rPr>
              <w:t>.</w:t>
            </w:r>
          </w:p>
          <w:p w:rsidR="000C75A6" w:rsidRPr="006B32AA" w:rsidRDefault="000C75A6" w:rsidP="000C75A6">
            <w:pPr>
              <w:ind w:firstLine="720"/>
              <w:jc w:val="both"/>
              <w:rPr>
                <w:sz w:val="26"/>
                <w:szCs w:val="26"/>
              </w:rPr>
            </w:pPr>
            <w:r w:rsidRPr="006B32AA">
              <w:rPr>
                <w:sz w:val="26"/>
                <w:szCs w:val="26"/>
              </w:rPr>
              <w:t>Ņemot vērā minēto, p</w:t>
            </w:r>
            <w:r w:rsidR="009E4FD6" w:rsidRPr="006B32AA">
              <w:rPr>
                <w:sz w:val="26"/>
                <w:szCs w:val="26"/>
              </w:rPr>
              <w:t xml:space="preserve">rojekta mērķis </w:t>
            </w:r>
            <w:r w:rsidR="002C7006" w:rsidRPr="006B32AA">
              <w:rPr>
                <w:sz w:val="26"/>
                <w:szCs w:val="26"/>
              </w:rPr>
              <w:t xml:space="preserve">ir </w:t>
            </w:r>
            <w:r w:rsidR="007702EA" w:rsidRPr="006B32AA">
              <w:rPr>
                <w:sz w:val="26"/>
                <w:szCs w:val="26"/>
              </w:rPr>
              <w:t xml:space="preserve">atbilstoši likuma deleģējumam papildināt </w:t>
            </w:r>
            <w:r w:rsidR="002C7006" w:rsidRPr="006B32AA">
              <w:rPr>
                <w:sz w:val="26"/>
                <w:szCs w:val="26"/>
              </w:rPr>
              <w:t>normatīvo</w:t>
            </w:r>
            <w:r w:rsidR="007702EA" w:rsidRPr="006B32AA">
              <w:rPr>
                <w:sz w:val="26"/>
                <w:szCs w:val="26"/>
              </w:rPr>
              <w:t xml:space="preserve"> aktu</w:t>
            </w:r>
            <w:r w:rsidR="002C7006" w:rsidRPr="006B32AA">
              <w:rPr>
                <w:sz w:val="26"/>
                <w:szCs w:val="26"/>
              </w:rPr>
              <w:t xml:space="preserve"> regulējumu</w:t>
            </w:r>
            <w:r w:rsidRPr="006B32AA">
              <w:rPr>
                <w:sz w:val="26"/>
                <w:szCs w:val="26"/>
              </w:rPr>
              <w:t>.</w:t>
            </w:r>
          </w:p>
          <w:p w:rsidR="000C75A6" w:rsidRDefault="000C75A6" w:rsidP="000C75A6">
            <w:pPr>
              <w:ind w:firstLine="720"/>
              <w:jc w:val="both"/>
              <w:rPr>
                <w:sz w:val="26"/>
                <w:szCs w:val="26"/>
              </w:rPr>
            </w:pPr>
            <w:r w:rsidRPr="006B32AA">
              <w:rPr>
                <w:sz w:val="26"/>
                <w:szCs w:val="26"/>
              </w:rPr>
              <w:t>P</w:t>
            </w:r>
            <w:r w:rsidR="007702EA" w:rsidRPr="006B32AA">
              <w:rPr>
                <w:sz w:val="26"/>
                <w:szCs w:val="26"/>
              </w:rPr>
              <w:t>rojekts paredz, ka</w:t>
            </w:r>
            <w:r w:rsidR="00FA18B8" w:rsidRPr="006B32AA">
              <w:rPr>
                <w:sz w:val="26"/>
                <w:szCs w:val="26"/>
              </w:rPr>
              <w:t>,</w:t>
            </w:r>
            <w:r w:rsidR="007702EA" w:rsidRPr="006B32AA">
              <w:rPr>
                <w:sz w:val="26"/>
                <w:szCs w:val="26"/>
              </w:rPr>
              <w:t xml:space="preserve"> lai atvaļināta amatpersona saskaņā ar noteikumiem saņemtu apmaksātas veselības aprūpes pakalpojumus, tai jābūt atvaļinātai no dienesta sakarā ar noteiktajām prasībām neatbilstošu veselības stāvokli, kam par iemeslu ir nelaimes gadījuma, </w:t>
            </w:r>
            <w:r w:rsidR="00042BA1" w:rsidRPr="006B32AA">
              <w:rPr>
                <w:sz w:val="26"/>
                <w:szCs w:val="26"/>
              </w:rPr>
              <w:t xml:space="preserve">pildot dienesta pienākumus, </w:t>
            </w:r>
            <w:r w:rsidR="007702EA" w:rsidRPr="006B32AA">
              <w:rPr>
                <w:sz w:val="26"/>
                <w:szCs w:val="26"/>
              </w:rPr>
              <w:t>kas noticis pēc 1990.gada 4.maija, rezultātā, gūtais ievainojums vai sakropļojums, vai citāds veselības kaitējums (izņemot arodslimību). Nelaimes gadījuma saistību ar dienesta pienākumu izpildi apliecina normatīvajos aktos noteiktajā kārtībā sastādīts akts par nelaimes gadījumu darbā</w:t>
            </w:r>
            <w:r w:rsidRPr="006B32AA">
              <w:rPr>
                <w:sz w:val="26"/>
                <w:szCs w:val="26"/>
              </w:rPr>
              <w:t xml:space="preserve">. </w:t>
            </w:r>
          </w:p>
          <w:p w:rsidR="0095755C" w:rsidRPr="00C60D64" w:rsidRDefault="0007528A" w:rsidP="0095755C">
            <w:pPr>
              <w:ind w:firstLine="720"/>
              <w:jc w:val="both"/>
              <w:rPr>
                <w:sz w:val="26"/>
                <w:szCs w:val="26"/>
              </w:rPr>
            </w:pPr>
            <w:r w:rsidRPr="00C60D64">
              <w:rPr>
                <w:sz w:val="26"/>
                <w:szCs w:val="26"/>
              </w:rPr>
              <w:t xml:space="preserve">Noteikumu projektā paredzēts, ka, ja centram nav iespējas iegūt savā rīcībā pietiekamu medicīnisko dokumentāciju par amatpersonas veselības stāvokli un ar to saistīto atvaļināšanu, tas saņemtos dokumentus iesniedz Iekšlietu ministrijas Centrālās medicīniskās ekspertīzes komisijai atzinuma sniegšanai centram par amatpersonas veselības stāvokli atvaļināšanas laikā. </w:t>
            </w:r>
            <w:r w:rsidR="0095755C" w:rsidRPr="00C60D64">
              <w:rPr>
                <w:sz w:val="26"/>
                <w:szCs w:val="26"/>
              </w:rPr>
              <w:t xml:space="preserve">Centrālās medicīniskās ekspertīzes komisijas atzinums ir </w:t>
            </w:r>
            <w:proofErr w:type="spellStart"/>
            <w:r w:rsidR="0095755C" w:rsidRPr="00C60D64">
              <w:rPr>
                <w:sz w:val="26"/>
                <w:szCs w:val="26"/>
              </w:rPr>
              <w:t>starplēmums</w:t>
            </w:r>
            <w:proofErr w:type="spellEnd"/>
            <w:r w:rsidR="0095755C" w:rsidRPr="00C60D64">
              <w:rPr>
                <w:sz w:val="26"/>
                <w:szCs w:val="26"/>
              </w:rPr>
              <w:t xml:space="preserve"> centra administratīvā akta izdošanas procesā.</w:t>
            </w:r>
          </w:p>
          <w:p w:rsidR="000C75A6" w:rsidRPr="006B32AA" w:rsidRDefault="000C75A6" w:rsidP="000C75A6">
            <w:pPr>
              <w:ind w:firstLine="720"/>
              <w:jc w:val="both"/>
              <w:rPr>
                <w:sz w:val="26"/>
                <w:szCs w:val="26"/>
              </w:rPr>
            </w:pPr>
            <w:r w:rsidRPr="006B32AA">
              <w:rPr>
                <w:sz w:val="26"/>
                <w:szCs w:val="26"/>
              </w:rPr>
              <w:lastRenderedPageBreak/>
              <w:t>Saskaņā ar projektu atvaļinātai amatpersonai plānots segt šādus ar veselības aprūpes pakalpojumiem saistītus izdevumus:</w:t>
            </w:r>
          </w:p>
          <w:p w:rsidR="000C75A6" w:rsidRPr="006B32AA" w:rsidRDefault="000C75A6" w:rsidP="000C75A6">
            <w:pPr>
              <w:jc w:val="both"/>
              <w:rPr>
                <w:sz w:val="26"/>
                <w:szCs w:val="26"/>
              </w:rPr>
            </w:pPr>
            <w:r w:rsidRPr="006B32AA">
              <w:rPr>
                <w:sz w:val="26"/>
                <w:szCs w:val="26"/>
              </w:rPr>
              <w:t xml:space="preserve">1.pacienta iemaksas un </w:t>
            </w:r>
            <w:proofErr w:type="spellStart"/>
            <w:r w:rsidRPr="006B32AA">
              <w:rPr>
                <w:sz w:val="26"/>
                <w:szCs w:val="26"/>
              </w:rPr>
              <w:t>līdzmaksājumus</w:t>
            </w:r>
            <w:proofErr w:type="spellEnd"/>
            <w:r w:rsidRPr="006B32AA">
              <w:rPr>
                <w:sz w:val="26"/>
                <w:szCs w:val="26"/>
              </w:rPr>
              <w:t>, kas noteikti saskaņā ar normatīvajiem aktiem par veselības aprūpes organizēšanu un finansēšanu;</w:t>
            </w:r>
          </w:p>
          <w:p w:rsidR="000C75A6" w:rsidRPr="006B32AA" w:rsidRDefault="000C75A6" w:rsidP="000C75A6">
            <w:pPr>
              <w:jc w:val="both"/>
              <w:rPr>
                <w:sz w:val="26"/>
                <w:szCs w:val="26"/>
              </w:rPr>
            </w:pPr>
            <w:r w:rsidRPr="006B32AA">
              <w:rPr>
                <w:sz w:val="26"/>
                <w:szCs w:val="26"/>
              </w:rPr>
              <w:t xml:space="preserve">2. veselības aprūpes pakalpojumus, kas netiek segti no veselības aprūpei paredzētajiem valsts budžeta līdzekļiem vai saņemti ārpus rindas, kopumā ne vairāk kā 215 </w:t>
            </w:r>
            <w:proofErr w:type="spellStart"/>
            <w:r w:rsidRPr="006B32AA">
              <w:rPr>
                <w:i/>
                <w:sz w:val="26"/>
                <w:szCs w:val="26"/>
              </w:rPr>
              <w:t>euro</w:t>
            </w:r>
            <w:proofErr w:type="spellEnd"/>
            <w:r w:rsidRPr="006B32AA">
              <w:rPr>
                <w:sz w:val="26"/>
                <w:szCs w:val="26"/>
              </w:rPr>
              <w:t xml:space="preserve"> kalendāra gadā katrai amatpersonai;</w:t>
            </w:r>
          </w:p>
          <w:p w:rsidR="000C75A6" w:rsidRPr="006B32AA" w:rsidRDefault="000C75A6" w:rsidP="000C75A6">
            <w:pPr>
              <w:jc w:val="both"/>
              <w:rPr>
                <w:sz w:val="26"/>
                <w:szCs w:val="26"/>
              </w:rPr>
            </w:pPr>
            <w:r w:rsidRPr="006B32AA">
              <w:rPr>
                <w:sz w:val="26"/>
                <w:szCs w:val="26"/>
              </w:rPr>
              <w:t>3. plānveida ķirurģiskās operācijas un izmeklējumus, kas nepieciešami nelaimes gadījumā gūto ievainojuma vai sakropļojuma seku izvērtēšanai un ārstēšanai. Šie pakalpojumi tiek</w:t>
            </w:r>
            <w:proofErr w:type="gramStart"/>
            <w:r w:rsidRPr="006B32AA">
              <w:rPr>
                <w:sz w:val="26"/>
                <w:szCs w:val="26"/>
              </w:rPr>
              <w:t xml:space="preserve">  </w:t>
            </w:r>
            <w:proofErr w:type="gramEnd"/>
            <w:r w:rsidRPr="006B32AA">
              <w:rPr>
                <w:sz w:val="26"/>
                <w:szCs w:val="26"/>
              </w:rPr>
              <w:t xml:space="preserve">apmaksāti pamatojoties uz Iekšlietu ministrijas veselības un sporta centra vai Iekšlietu ministrijas Centrālās medicīniskās ekspertīzes komisijas atzinumu, ka plānveida ķirurģiskā operācija vai izmeklējums ir nepieciešams nelaimes gadījumā gūto ievainojumu vai sakropļojuma seku izvērtēšanai vai ārstēšanai; </w:t>
            </w:r>
          </w:p>
          <w:p w:rsidR="000C75A6" w:rsidRPr="006B32AA" w:rsidRDefault="000C75A6" w:rsidP="000C75A6">
            <w:pPr>
              <w:jc w:val="both"/>
              <w:rPr>
                <w:sz w:val="26"/>
                <w:szCs w:val="26"/>
              </w:rPr>
            </w:pPr>
            <w:r w:rsidRPr="006B32AA">
              <w:rPr>
                <w:sz w:val="26"/>
                <w:szCs w:val="26"/>
              </w:rPr>
              <w:t xml:space="preserve">4. ārstniecības personas izrakstītu medikamentu, kuri iekļauti Latvijas Republikas zāļu reģistrā, iegādi, kompensējot atvaļinātai amatpersonai to izdevumus </w:t>
            </w:r>
            <w:r w:rsidR="00042BA1" w:rsidRPr="006B32AA">
              <w:rPr>
                <w:sz w:val="26"/>
                <w:szCs w:val="26"/>
              </w:rPr>
              <w:t>75</w:t>
            </w:r>
            <w:r w:rsidRPr="006B32AA">
              <w:rPr>
                <w:sz w:val="26"/>
                <w:szCs w:val="26"/>
              </w:rPr>
              <w:t xml:space="preserve">% apmērā, bet kopumā ne vairāk kā 75 </w:t>
            </w:r>
            <w:proofErr w:type="spellStart"/>
            <w:r w:rsidRPr="006B32AA">
              <w:rPr>
                <w:i/>
                <w:sz w:val="26"/>
                <w:szCs w:val="26"/>
              </w:rPr>
              <w:t>euro</w:t>
            </w:r>
            <w:proofErr w:type="spellEnd"/>
            <w:r w:rsidRPr="006B32AA">
              <w:rPr>
                <w:sz w:val="26"/>
                <w:szCs w:val="26"/>
              </w:rPr>
              <w:t xml:space="preserve"> apmērā</w:t>
            </w:r>
            <w:r w:rsidRPr="006B32AA">
              <w:rPr>
                <w:i/>
                <w:sz w:val="26"/>
                <w:szCs w:val="26"/>
              </w:rPr>
              <w:t xml:space="preserve"> </w:t>
            </w:r>
            <w:r w:rsidRPr="006B32AA">
              <w:rPr>
                <w:sz w:val="26"/>
                <w:szCs w:val="26"/>
              </w:rPr>
              <w:t>kalendāra gadā katrai amatpersonai;</w:t>
            </w:r>
          </w:p>
          <w:p w:rsidR="000C75A6" w:rsidRPr="006B32AA" w:rsidRDefault="000C75A6" w:rsidP="000C75A6">
            <w:pPr>
              <w:jc w:val="both"/>
              <w:rPr>
                <w:sz w:val="26"/>
                <w:szCs w:val="26"/>
              </w:rPr>
            </w:pPr>
            <w:r w:rsidRPr="006B32AA">
              <w:rPr>
                <w:sz w:val="26"/>
                <w:szCs w:val="26"/>
              </w:rPr>
              <w:t>5. medicīniskās rehabilitācijas kursu vienu reizi kalendārā gada laikā, kopumā ne vairāk kā 500 </w:t>
            </w:r>
            <w:r w:rsidRPr="006B32AA">
              <w:rPr>
                <w:i/>
                <w:sz w:val="26"/>
                <w:szCs w:val="26"/>
              </w:rPr>
              <w:t>euro</w:t>
            </w:r>
            <w:r w:rsidRPr="006B32AA">
              <w:rPr>
                <w:sz w:val="26"/>
                <w:szCs w:val="26"/>
              </w:rPr>
              <w:t xml:space="preserve"> apmērā katrai amatpersonai; </w:t>
            </w:r>
          </w:p>
          <w:p w:rsidR="000F1582" w:rsidRPr="006B32AA" w:rsidRDefault="000C75A6" w:rsidP="000C75A6">
            <w:pPr>
              <w:jc w:val="both"/>
              <w:rPr>
                <w:sz w:val="26"/>
                <w:szCs w:val="26"/>
              </w:rPr>
            </w:pPr>
            <w:r w:rsidRPr="006B32AA">
              <w:rPr>
                <w:sz w:val="26"/>
                <w:szCs w:val="26"/>
              </w:rPr>
              <w:t xml:space="preserve">6. zobārstniecības un zobu higiēnas pakalpojumus, kompensējot atvaļinātai amatpersonai to izdevumus, bet kopumā ne vairāk kā 145 </w:t>
            </w:r>
            <w:proofErr w:type="spellStart"/>
            <w:r w:rsidRPr="006B32AA">
              <w:rPr>
                <w:i/>
                <w:sz w:val="26"/>
                <w:szCs w:val="26"/>
              </w:rPr>
              <w:t>euro</w:t>
            </w:r>
            <w:proofErr w:type="spellEnd"/>
            <w:r w:rsidRPr="006B32AA">
              <w:rPr>
                <w:sz w:val="26"/>
                <w:szCs w:val="26"/>
              </w:rPr>
              <w:t xml:space="preserve"> apmērā kalendāra gadā katrai amatpersonai.</w:t>
            </w:r>
          </w:p>
          <w:p w:rsidR="0005756D" w:rsidRDefault="00DB0ED4" w:rsidP="00DB0ED4">
            <w:pPr>
              <w:jc w:val="both"/>
              <w:rPr>
                <w:sz w:val="26"/>
                <w:szCs w:val="26"/>
              </w:rPr>
            </w:pPr>
            <w:r w:rsidRPr="006B32AA">
              <w:rPr>
                <w:sz w:val="26"/>
                <w:szCs w:val="26"/>
              </w:rPr>
              <w:t>Atbilstoši katram pakalpojumu veidam (pakalpojuma apmaksa vai kompensācija par pakalpojumu) projektā noteikti iesniedzamie dokumenti, kā arī Iekšlietu ministrijas veselības un sporta centra tālākā rīcība.</w:t>
            </w:r>
            <w:r w:rsidR="004C5F57">
              <w:rPr>
                <w:sz w:val="26"/>
                <w:szCs w:val="26"/>
              </w:rPr>
              <w:t xml:space="preserve"> P</w:t>
            </w:r>
            <w:r w:rsidRPr="006B32AA">
              <w:rPr>
                <w:sz w:val="26"/>
                <w:szCs w:val="26"/>
              </w:rPr>
              <w:t xml:space="preserve">rojektā noteikti </w:t>
            </w:r>
            <w:r w:rsidR="004C5F57">
              <w:rPr>
                <w:sz w:val="26"/>
                <w:szCs w:val="26"/>
              </w:rPr>
              <w:t xml:space="preserve">arī </w:t>
            </w:r>
            <w:r w:rsidRPr="006B32AA">
              <w:rPr>
                <w:sz w:val="26"/>
                <w:szCs w:val="26"/>
              </w:rPr>
              <w:t xml:space="preserve">veselības aprūpes pakalpojumi, kuri netiek apmaksāti vai kompensēti. </w:t>
            </w:r>
          </w:p>
          <w:p w:rsidR="0007528A" w:rsidRPr="00C60D64" w:rsidRDefault="0005756D" w:rsidP="00DB0ED4">
            <w:pPr>
              <w:jc w:val="both"/>
              <w:rPr>
                <w:sz w:val="26"/>
                <w:szCs w:val="26"/>
              </w:rPr>
            </w:pPr>
            <w:r w:rsidRPr="00C60D64">
              <w:rPr>
                <w:sz w:val="26"/>
                <w:szCs w:val="26"/>
              </w:rPr>
              <w:t xml:space="preserve">Projekta 10.punkts paredz personai iespēju iesniegt maksājumu apliecinošus dokumentus gan par kārtējo, gan iepriekšējo gadu, bet, projektam stājoties spēkā, persona saņems kompensāciju tikai par veselības aprūpes pakalpojumiem, kas sniegti pēc 2014.gada 1.janvāra, jo </w:t>
            </w:r>
            <w:r w:rsidRPr="00C60D64">
              <w:rPr>
                <w:bCs/>
                <w:sz w:val="26"/>
                <w:szCs w:val="26"/>
              </w:rPr>
              <w:t xml:space="preserve">Valsts un pašvaldību institūciju amatpersonu un darbinieku atlīdzības likuma Pārejas </w:t>
            </w:r>
            <w:r w:rsidRPr="00C60D64">
              <w:rPr>
                <w:bCs/>
                <w:sz w:val="26"/>
                <w:szCs w:val="26"/>
              </w:rPr>
              <w:lastRenderedPageBreak/>
              <w:t xml:space="preserve">noteikumu 25.punkts paredz, ka </w:t>
            </w:r>
            <w:r w:rsidR="0007528A" w:rsidRPr="00C60D64">
              <w:rPr>
                <w:sz w:val="26"/>
                <w:szCs w:val="26"/>
              </w:rPr>
              <w:t xml:space="preserve">likuma </w:t>
            </w:r>
            <w:hyperlink r:id="rId10" w:anchor="p39" w:history="1">
              <w:r w:rsidR="0007528A" w:rsidRPr="00C60D64">
                <w:rPr>
                  <w:sz w:val="26"/>
                  <w:szCs w:val="26"/>
                </w:rPr>
                <w:t>39.panta</w:t>
              </w:r>
            </w:hyperlink>
            <w:r w:rsidR="0007528A" w:rsidRPr="00C60D64">
              <w:rPr>
                <w:sz w:val="26"/>
                <w:szCs w:val="26"/>
              </w:rPr>
              <w:t xml:space="preserve"> otrajā daļā noteiktā apmaksātā veselības aprūpe attiecas uz veselības aprūpes pakalpojumiem, kas tiks sniegti pēc 2014.gada 1.janvāra</w:t>
            </w:r>
            <w:r w:rsidRPr="00C60D64">
              <w:rPr>
                <w:sz w:val="26"/>
                <w:szCs w:val="26"/>
              </w:rPr>
              <w:t xml:space="preserve">. </w:t>
            </w:r>
          </w:p>
          <w:p w:rsidR="00C152B1" w:rsidRPr="006B32AA" w:rsidRDefault="00C152B1" w:rsidP="00DB0ED4">
            <w:pPr>
              <w:jc w:val="both"/>
              <w:rPr>
                <w:sz w:val="26"/>
                <w:szCs w:val="26"/>
              </w:rPr>
            </w:pPr>
            <w:r w:rsidRPr="006B32AA">
              <w:rPr>
                <w:sz w:val="26"/>
                <w:szCs w:val="26"/>
              </w:rPr>
              <w:t xml:space="preserve">Ņemot vērā minēto, projekts atbilst </w:t>
            </w:r>
            <w:r w:rsidRPr="006B32AA">
              <w:rPr>
                <w:bCs/>
                <w:sz w:val="26"/>
                <w:szCs w:val="26"/>
              </w:rPr>
              <w:t>Valsts un pašvaldību institūciju amatpersonu un darbinieku atlīdzības likuma 39.panta otrajā daļā paredzētajam deleģējumam.</w:t>
            </w:r>
            <w:r w:rsidRPr="006B32AA">
              <w:rPr>
                <w:sz w:val="26"/>
                <w:szCs w:val="26"/>
              </w:rPr>
              <w:t xml:space="preserve"> </w:t>
            </w:r>
          </w:p>
        </w:tc>
      </w:tr>
      <w:tr w:rsidR="00616AA6" w:rsidRPr="00BA5E65" w:rsidTr="006B32AA">
        <w:tc>
          <w:tcPr>
            <w:tcW w:w="562" w:type="dxa"/>
          </w:tcPr>
          <w:p w:rsidR="00616AA6" w:rsidRPr="006B32AA" w:rsidRDefault="00616AA6" w:rsidP="00710EAA">
            <w:pPr>
              <w:spacing w:before="60"/>
              <w:rPr>
                <w:sz w:val="26"/>
                <w:szCs w:val="26"/>
              </w:rPr>
            </w:pPr>
            <w:r w:rsidRPr="006B32AA">
              <w:rPr>
                <w:sz w:val="26"/>
                <w:szCs w:val="26"/>
              </w:rPr>
              <w:lastRenderedPageBreak/>
              <w:t>3.</w:t>
            </w:r>
          </w:p>
        </w:tc>
        <w:tc>
          <w:tcPr>
            <w:tcW w:w="2529" w:type="dxa"/>
            <w:gridSpan w:val="2"/>
          </w:tcPr>
          <w:p w:rsidR="00616AA6" w:rsidRPr="006B32AA" w:rsidRDefault="008C47BE" w:rsidP="00710EAA">
            <w:pPr>
              <w:spacing w:before="60" w:after="60"/>
              <w:rPr>
                <w:sz w:val="26"/>
                <w:szCs w:val="26"/>
              </w:rPr>
            </w:pPr>
            <w:r w:rsidRPr="006B32AA">
              <w:rPr>
                <w:sz w:val="26"/>
                <w:szCs w:val="26"/>
              </w:rPr>
              <w:t>Projekta izstrādē iesaistītās institūcijas</w:t>
            </w:r>
          </w:p>
        </w:tc>
        <w:tc>
          <w:tcPr>
            <w:tcW w:w="6118" w:type="dxa"/>
            <w:gridSpan w:val="6"/>
          </w:tcPr>
          <w:p w:rsidR="00616AA6" w:rsidRPr="006B32AA" w:rsidRDefault="00295022" w:rsidP="00710EAA">
            <w:pPr>
              <w:autoSpaceDE w:val="0"/>
              <w:autoSpaceDN w:val="0"/>
              <w:adjustRightInd w:val="0"/>
              <w:spacing w:before="60" w:after="60"/>
              <w:jc w:val="both"/>
              <w:rPr>
                <w:sz w:val="26"/>
                <w:szCs w:val="26"/>
              </w:rPr>
            </w:pPr>
            <w:r>
              <w:rPr>
                <w:sz w:val="26"/>
                <w:szCs w:val="26"/>
              </w:rPr>
              <w:t>Iekšlietu ministrijas veselības un sporta centrs.</w:t>
            </w:r>
          </w:p>
        </w:tc>
      </w:tr>
      <w:tr w:rsidR="00616AA6" w:rsidRPr="00BA5E65" w:rsidTr="006B32AA">
        <w:tc>
          <w:tcPr>
            <w:tcW w:w="562" w:type="dxa"/>
          </w:tcPr>
          <w:p w:rsidR="00616AA6" w:rsidRPr="006B32AA" w:rsidRDefault="00616AA6" w:rsidP="00710EAA">
            <w:pPr>
              <w:spacing w:before="60"/>
              <w:rPr>
                <w:sz w:val="26"/>
                <w:szCs w:val="26"/>
              </w:rPr>
            </w:pPr>
            <w:r w:rsidRPr="006B32AA">
              <w:rPr>
                <w:sz w:val="26"/>
                <w:szCs w:val="26"/>
              </w:rPr>
              <w:t>4.</w:t>
            </w:r>
          </w:p>
        </w:tc>
        <w:tc>
          <w:tcPr>
            <w:tcW w:w="2529" w:type="dxa"/>
            <w:gridSpan w:val="2"/>
          </w:tcPr>
          <w:p w:rsidR="00616AA6" w:rsidRPr="006B32AA" w:rsidRDefault="008C47BE" w:rsidP="00710EAA">
            <w:pPr>
              <w:spacing w:before="60" w:after="60"/>
              <w:rPr>
                <w:sz w:val="26"/>
                <w:szCs w:val="26"/>
              </w:rPr>
            </w:pPr>
            <w:r w:rsidRPr="006B32AA">
              <w:rPr>
                <w:sz w:val="26"/>
                <w:szCs w:val="26"/>
              </w:rPr>
              <w:t xml:space="preserve">Cita informācija </w:t>
            </w:r>
          </w:p>
        </w:tc>
        <w:tc>
          <w:tcPr>
            <w:tcW w:w="6118" w:type="dxa"/>
            <w:gridSpan w:val="6"/>
          </w:tcPr>
          <w:p w:rsidR="00E06CCE" w:rsidRPr="006B32AA" w:rsidRDefault="00C21897" w:rsidP="00710EAA">
            <w:pPr>
              <w:spacing w:before="60" w:after="60"/>
              <w:jc w:val="both"/>
              <w:rPr>
                <w:sz w:val="26"/>
                <w:szCs w:val="26"/>
              </w:rPr>
            </w:pPr>
            <w:r w:rsidRPr="006B32AA">
              <w:rPr>
                <w:sz w:val="26"/>
                <w:szCs w:val="26"/>
              </w:rPr>
              <w:t>Nav.</w:t>
            </w:r>
          </w:p>
        </w:tc>
      </w:tr>
      <w:tr w:rsidR="00E86D2D" w:rsidRPr="00BA5E65" w:rsidTr="006B32AA">
        <w:tc>
          <w:tcPr>
            <w:tcW w:w="9209" w:type="dxa"/>
            <w:gridSpan w:val="9"/>
          </w:tcPr>
          <w:p w:rsidR="00E86D2D" w:rsidRPr="006B32AA" w:rsidRDefault="00E86D2D" w:rsidP="00710EAA">
            <w:pPr>
              <w:spacing w:before="60" w:after="60"/>
              <w:jc w:val="center"/>
              <w:rPr>
                <w:sz w:val="26"/>
                <w:szCs w:val="26"/>
              </w:rPr>
            </w:pPr>
            <w:r w:rsidRPr="006B32AA">
              <w:rPr>
                <w:b/>
                <w:sz w:val="26"/>
                <w:szCs w:val="26"/>
              </w:rPr>
              <w:t>II. Tiesību akta projekta ietekme uz sabiedrību, tautsaimniecības attīstību un administratīvo slogu</w:t>
            </w:r>
          </w:p>
        </w:tc>
      </w:tr>
      <w:tr w:rsidR="00E86D2D" w:rsidRPr="00BA5E65" w:rsidTr="006B32AA">
        <w:tc>
          <w:tcPr>
            <w:tcW w:w="562" w:type="dxa"/>
          </w:tcPr>
          <w:p w:rsidR="00E86D2D" w:rsidRPr="006B32AA" w:rsidRDefault="00E86D2D" w:rsidP="00953A72">
            <w:pPr>
              <w:rPr>
                <w:sz w:val="26"/>
                <w:szCs w:val="26"/>
              </w:rPr>
            </w:pPr>
            <w:r w:rsidRPr="006B32AA">
              <w:rPr>
                <w:sz w:val="26"/>
                <w:szCs w:val="26"/>
              </w:rPr>
              <w:t xml:space="preserve">1. </w:t>
            </w:r>
          </w:p>
        </w:tc>
        <w:tc>
          <w:tcPr>
            <w:tcW w:w="2529" w:type="dxa"/>
            <w:gridSpan w:val="2"/>
          </w:tcPr>
          <w:p w:rsidR="00E86D2D" w:rsidRPr="006B32AA" w:rsidRDefault="00E86D2D" w:rsidP="00710EAA">
            <w:pPr>
              <w:spacing w:before="60" w:after="60"/>
              <w:rPr>
                <w:sz w:val="26"/>
                <w:szCs w:val="26"/>
              </w:rPr>
            </w:pPr>
            <w:r w:rsidRPr="006B32AA">
              <w:rPr>
                <w:sz w:val="26"/>
                <w:szCs w:val="26"/>
              </w:rPr>
              <w:t>Sabiedrības mērķgrupas, kuras tiesiskais regulējums ietekmē vai varētu ietekmēt</w:t>
            </w:r>
          </w:p>
        </w:tc>
        <w:tc>
          <w:tcPr>
            <w:tcW w:w="6118" w:type="dxa"/>
            <w:gridSpan w:val="6"/>
          </w:tcPr>
          <w:p w:rsidR="00E86D2D" w:rsidRPr="006B32AA" w:rsidRDefault="00E86D2D" w:rsidP="0044178F">
            <w:pPr>
              <w:spacing w:before="60" w:after="60"/>
              <w:jc w:val="both"/>
              <w:rPr>
                <w:sz w:val="26"/>
                <w:szCs w:val="26"/>
              </w:rPr>
            </w:pPr>
            <w:r w:rsidRPr="006B32AA">
              <w:rPr>
                <w:sz w:val="26"/>
                <w:szCs w:val="26"/>
              </w:rPr>
              <w:t xml:space="preserve">Iekšlietu ministrijas sistēmas iestāžu un Ieslodzījuma vietu pārvaldes amatpersonas ar speciālajām dienesta </w:t>
            </w:r>
            <w:r w:rsidRPr="0044178F">
              <w:rPr>
                <w:sz w:val="26"/>
                <w:szCs w:val="26"/>
              </w:rPr>
              <w:t>pakāpēm</w:t>
            </w:r>
            <w:r w:rsidR="009B766D" w:rsidRPr="0044178F">
              <w:rPr>
                <w:sz w:val="26"/>
                <w:szCs w:val="26"/>
              </w:rPr>
              <w:t>, kuras atvaļinātas no dienesta sakarā ar noteiktajām prasībām neatbilstošu veselības stāvokli</w:t>
            </w:r>
            <w:r w:rsidR="0044178F">
              <w:rPr>
                <w:sz w:val="26"/>
                <w:szCs w:val="26"/>
              </w:rPr>
              <w:t>,</w:t>
            </w:r>
            <w:r w:rsidR="009B766D" w:rsidRPr="0044178F">
              <w:rPr>
                <w:sz w:val="26"/>
                <w:szCs w:val="26"/>
              </w:rPr>
              <w:t xml:space="preserve"> kam par iemeslu ir nelaimes gadījuma, kas noticis pēc 1990.gada 4.maija, rezultātā, pildot dienesta pienākumus (turpmāk – nelaimes gadījums), gūtais ievainojums vai sakropļojums, vai citāds veselības kaitējums (izņemot arodslimību)</w:t>
            </w:r>
            <w:r w:rsidRPr="0044178F">
              <w:rPr>
                <w:sz w:val="26"/>
                <w:szCs w:val="26"/>
              </w:rPr>
              <w:t>.</w:t>
            </w:r>
          </w:p>
        </w:tc>
      </w:tr>
      <w:tr w:rsidR="00E86D2D" w:rsidRPr="00BA5E65" w:rsidTr="006B32AA">
        <w:tc>
          <w:tcPr>
            <w:tcW w:w="562" w:type="dxa"/>
          </w:tcPr>
          <w:p w:rsidR="00E86D2D" w:rsidRPr="006B32AA" w:rsidRDefault="00E86D2D" w:rsidP="00953A72">
            <w:pPr>
              <w:rPr>
                <w:sz w:val="26"/>
                <w:szCs w:val="26"/>
              </w:rPr>
            </w:pPr>
            <w:r w:rsidRPr="006B32AA">
              <w:rPr>
                <w:sz w:val="26"/>
                <w:szCs w:val="26"/>
              </w:rPr>
              <w:t>2.</w:t>
            </w:r>
          </w:p>
        </w:tc>
        <w:tc>
          <w:tcPr>
            <w:tcW w:w="2529" w:type="dxa"/>
            <w:gridSpan w:val="2"/>
          </w:tcPr>
          <w:p w:rsidR="00E86D2D" w:rsidRPr="006B32AA" w:rsidRDefault="00E86D2D" w:rsidP="00710EAA">
            <w:pPr>
              <w:spacing w:before="60" w:after="60"/>
              <w:rPr>
                <w:sz w:val="26"/>
                <w:szCs w:val="26"/>
              </w:rPr>
            </w:pPr>
            <w:r w:rsidRPr="006B32AA">
              <w:rPr>
                <w:sz w:val="26"/>
                <w:szCs w:val="26"/>
              </w:rPr>
              <w:t>Tiesiskā regulējuma ietekme uz tautsaimniecību un administratīvo slogu</w:t>
            </w:r>
          </w:p>
        </w:tc>
        <w:tc>
          <w:tcPr>
            <w:tcW w:w="6118" w:type="dxa"/>
            <w:gridSpan w:val="6"/>
          </w:tcPr>
          <w:p w:rsidR="00E86D2D" w:rsidRPr="006B32AA" w:rsidRDefault="00E86D2D" w:rsidP="00710EAA">
            <w:pPr>
              <w:spacing w:before="60" w:after="60"/>
              <w:jc w:val="both"/>
              <w:rPr>
                <w:sz w:val="26"/>
                <w:szCs w:val="26"/>
              </w:rPr>
            </w:pPr>
            <w:r w:rsidRPr="006B32AA">
              <w:rPr>
                <w:sz w:val="26"/>
                <w:szCs w:val="26"/>
              </w:rPr>
              <w:t>Sabiedrības grupām un institūcijām projekta tiesiskais regulējums nemaina tiesības un pienākumus, kā arī veicamās darbības.</w:t>
            </w:r>
          </w:p>
        </w:tc>
      </w:tr>
      <w:tr w:rsidR="00E86D2D" w:rsidRPr="00BA5E65" w:rsidTr="006B32AA">
        <w:tc>
          <w:tcPr>
            <w:tcW w:w="562" w:type="dxa"/>
          </w:tcPr>
          <w:p w:rsidR="00E86D2D" w:rsidRPr="006B32AA" w:rsidRDefault="00E86D2D" w:rsidP="00953A72">
            <w:pPr>
              <w:rPr>
                <w:sz w:val="26"/>
                <w:szCs w:val="26"/>
              </w:rPr>
            </w:pPr>
            <w:r w:rsidRPr="006B32AA">
              <w:rPr>
                <w:sz w:val="26"/>
                <w:szCs w:val="26"/>
              </w:rPr>
              <w:t>3.</w:t>
            </w:r>
          </w:p>
        </w:tc>
        <w:tc>
          <w:tcPr>
            <w:tcW w:w="2529" w:type="dxa"/>
            <w:gridSpan w:val="2"/>
          </w:tcPr>
          <w:p w:rsidR="00E86D2D" w:rsidRPr="006B32AA" w:rsidRDefault="00E86D2D" w:rsidP="00710EAA">
            <w:pPr>
              <w:spacing w:before="60" w:after="60"/>
              <w:rPr>
                <w:sz w:val="26"/>
                <w:szCs w:val="26"/>
              </w:rPr>
            </w:pPr>
            <w:r w:rsidRPr="006B32AA">
              <w:rPr>
                <w:sz w:val="26"/>
                <w:szCs w:val="26"/>
              </w:rPr>
              <w:t>Administratīvo izmaksu monetārs novērtējums</w:t>
            </w:r>
          </w:p>
        </w:tc>
        <w:tc>
          <w:tcPr>
            <w:tcW w:w="6118" w:type="dxa"/>
            <w:gridSpan w:val="6"/>
          </w:tcPr>
          <w:p w:rsidR="00E86D2D" w:rsidRPr="006B32AA" w:rsidRDefault="00E86D2D" w:rsidP="00710EAA">
            <w:pPr>
              <w:spacing w:before="60" w:after="60"/>
              <w:jc w:val="both"/>
              <w:rPr>
                <w:sz w:val="26"/>
                <w:szCs w:val="26"/>
              </w:rPr>
            </w:pPr>
            <w:r w:rsidRPr="006B32AA">
              <w:rPr>
                <w:sz w:val="26"/>
                <w:szCs w:val="26"/>
              </w:rPr>
              <w:t>Projekts šo jomu neskar.</w:t>
            </w:r>
          </w:p>
        </w:tc>
      </w:tr>
      <w:tr w:rsidR="00E86D2D" w:rsidRPr="00BA5E65" w:rsidTr="006B32AA">
        <w:tc>
          <w:tcPr>
            <w:tcW w:w="562" w:type="dxa"/>
          </w:tcPr>
          <w:p w:rsidR="00E86D2D" w:rsidRPr="006B32AA" w:rsidRDefault="00E86D2D" w:rsidP="00953A72">
            <w:pPr>
              <w:rPr>
                <w:sz w:val="26"/>
                <w:szCs w:val="26"/>
              </w:rPr>
            </w:pPr>
            <w:r w:rsidRPr="006B32AA">
              <w:rPr>
                <w:sz w:val="26"/>
                <w:szCs w:val="26"/>
              </w:rPr>
              <w:t>4.</w:t>
            </w:r>
          </w:p>
        </w:tc>
        <w:tc>
          <w:tcPr>
            <w:tcW w:w="2529" w:type="dxa"/>
            <w:gridSpan w:val="2"/>
          </w:tcPr>
          <w:p w:rsidR="00E86D2D" w:rsidRPr="006B32AA" w:rsidRDefault="00E86D2D" w:rsidP="00710EAA">
            <w:pPr>
              <w:spacing w:before="60" w:after="60"/>
              <w:rPr>
                <w:sz w:val="26"/>
                <w:szCs w:val="26"/>
              </w:rPr>
            </w:pPr>
            <w:r w:rsidRPr="006B32AA">
              <w:rPr>
                <w:sz w:val="26"/>
                <w:szCs w:val="26"/>
              </w:rPr>
              <w:t>Cita informācija</w:t>
            </w:r>
          </w:p>
        </w:tc>
        <w:tc>
          <w:tcPr>
            <w:tcW w:w="6118" w:type="dxa"/>
            <w:gridSpan w:val="6"/>
          </w:tcPr>
          <w:p w:rsidR="00E86D2D" w:rsidRPr="006B32AA" w:rsidRDefault="00E86D2D" w:rsidP="00710EAA">
            <w:pPr>
              <w:spacing w:before="60" w:after="60"/>
              <w:jc w:val="both"/>
              <w:rPr>
                <w:sz w:val="26"/>
                <w:szCs w:val="26"/>
              </w:rPr>
            </w:pPr>
            <w:r w:rsidRPr="006B32AA">
              <w:rPr>
                <w:sz w:val="26"/>
                <w:szCs w:val="26"/>
              </w:rPr>
              <w:t>Nav.</w:t>
            </w:r>
          </w:p>
        </w:tc>
      </w:tr>
      <w:tr w:rsidR="00687963" w:rsidRPr="00E21062" w:rsidTr="006B32AA">
        <w:tc>
          <w:tcPr>
            <w:tcW w:w="9209" w:type="dxa"/>
            <w:gridSpan w:val="9"/>
          </w:tcPr>
          <w:p w:rsidR="00687963" w:rsidRPr="00687963" w:rsidRDefault="00687963" w:rsidP="00905D10">
            <w:pPr>
              <w:pStyle w:val="naisf"/>
              <w:spacing w:before="0" w:after="0"/>
              <w:ind w:firstLine="0"/>
              <w:jc w:val="center"/>
              <w:rPr>
                <w:b/>
                <w:color w:val="000000" w:themeColor="text1"/>
                <w:sz w:val="28"/>
                <w:szCs w:val="28"/>
              </w:rPr>
            </w:pPr>
            <w:r w:rsidRPr="00687963">
              <w:rPr>
                <w:b/>
                <w:color w:val="000000" w:themeColor="text1"/>
                <w:sz w:val="28"/>
                <w:szCs w:val="28"/>
              </w:rPr>
              <w:t>III. Tiesību akta projekta ietekme uz valsts budžetu un pašvaldību budžetiem</w:t>
            </w:r>
          </w:p>
        </w:tc>
      </w:tr>
      <w:tr w:rsidR="00687963" w:rsidRPr="00E21062" w:rsidTr="006B32AA">
        <w:tc>
          <w:tcPr>
            <w:tcW w:w="2830" w:type="dxa"/>
            <w:gridSpan w:val="2"/>
            <w:vMerge w:val="restart"/>
          </w:tcPr>
          <w:p w:rsidR="00687963" w:rsidRPr="00E21062" w:rsidRDefault="00687963" w:rsidP="00905D10">
            <w:pPr>
              <w:pStyle w:val="naisf"/>
              <w:spacing w:before="0" w:after="0"/>
              <w:ind w:firstLine="0"/>
              <w:jc w:val="center"/>
              <w:rPr>
                <w:color w:val="000000" w:themeColor="text1"/>
                <w:sz w:val="26"/>
                <w:szCs w:val="26"/>
              </w:rPr>
            </w:pPr>
            <w:r w:rsidRPr="00E21062">
              <w:rPr>
                <w:color w:val="000000" w:themeColor="text1"/>
                <w:sz w:val="26"/>
                <w:szCs w:val="26"/>
              </w:rPr>
              <w:t>Rādītāji</w:t>
            </w:r>
          </w:p>
        </w:tc>
        <w:tc>
          <w:tcPr>
            <w:tcW w:w="2381" w:type="dxa"/>
            <w:gridSpan w:val="4"/>
            <w:vMerge w:val="restart"/>
          </w:tcPr>
          <w:p w:rsidR="00687963" w:rsidRPr="00E21062" w:rsidRDefault="00687963" w:rsidP="00905D10">
            <w:pPr>
              <w:pStyle w:val="naisf"/>
              <w:spacing w:before="0" w:after="0"/>
              <w:ind w:firstLine="0"/>
              <w:jc w:val="center"/>
              <w:rPr>
                <w:color w:val="000000" w:themeColor="text1"/>
                <w:sz w:val="26"/>
                <w:szCs w:val="26"/>
              </w:rPr>
            </w:pPr>
            <w:r w:rsidRPr="00E21062">
              <w:rPr>
                <w:color w:val="000000" w:themeColor="text1"/>
                <w:sz w:val="26"/>
                <w:szCs w:val="26"/>
              </w:rPr>
              <w:t>201</w:t>
            </w:r>
            <w:r>
              <w:rPr>
                <w:color w:val="000000" w:themeColor="text1"/>
                <w:sz w:val="26"/>
                <w:szCs w:val="26"/>
              </w:rPr>
              <w:t>4</w:t>
            </w:r>
            <w:r w:rsidRPr="00E21062">
              <w:rPr>
                <w:color w:val="000000" w:themeColor="text1"/>
                <w:sz w:val="26"/>
                <w:szCs w:val="26"/>
              </w:rPr>
              <w:t>.gads</w:t>
            </w:r>
          </w:p>
        </w:tc>
        <w:tc>
          <w:tcPr>
            <w:tcW w:w="3998" w:type="dxa"/>
            <w:gridSpan w:val="3"/>
          </w:tcPr>
          <w:p w:rsidR="00687963" w:rsidRPr="00E21062" w:rsidRDefault="00687963" w:rsidP="006B32AA">
            <w:pPr>
              <w:pStyle w:val="naisf"/>
              <w:spacing w:before="0" w:after="0"/>
              <w:ind w:firstLine="0"/>
              <w:jc w:val="center"/>
              <w:rPr>
                <w:b/>
                <w:i/>
                <w:color w:val="000000" w:themeColor="text1"/>
                <w:sz w:val="26"/>
                <w:szCs w:val="26"/>
              </w:rPr>
            </w:pPr>
            <w:r w:rsidRPr="00E21062">
              <w:rPr>
                <w:color w:val="000000" w:themeColor="text1"/>
                <w:sz w:val="26"/>
                <w:szCs w:val="26"/>
              </w:rPr>
              <w:t>Turpmākie trīs gadi (</w:t>
            </w:r>
            <w:proofErr w:type="spellStart"/>
            <w:r w:rsidRPr="00E21062">
              <w:rPr>
                <w:i/>
                <w:color w:val="000000" w:themeColor="text1"/>
                <w:sz w:val="26"/>
                <w:szCs w:val="26"/>
              </w:rPr>
              <w:t>euro</w:t>
            </w:r>
            <w:proofErr w:type="spellEnd"/>
            <w:r w:rsidRPr="00E21062">
              <w:rPr>
                <w:color w:val="000000" w:themeColor="text1"/>
                <w:sz w:val="26"/>
                <w:szCs w:val="26"/>
              </w:rPr>
              <w:t>)</w:t>
            </w:r>
          </w:p>
        </w:tc>
      </w:tr>
      <w:tr w:rsidR="00687963" w:rsidRPr="00E21062" w:rsidTr="006B32AA">
        <w:tc>
          <w:tcPr>
            <w:tcW w:w="2830" w:type="dxa"/>
            <w:gridSpan w:val="2"/>
            <w:vMerge/>
          </w:tcPr>
          <w:p w:rsidR="00687963" w:rsidRPr="00E21062" w:rsidRDefault="00687963" w:rsidP="00905D10">
            <w:pPr>
              <w:pStyle w:val="naisf"/>
              <w:spacing w:before="0" w:after="0"/>
              <w:ind w:firstLine="0"/>
              <w:jc w:val="center"/>
              <w:rPr>
                <w:b/>
                <w:i/>
                <w:color w:val="000000" w:themeColor="text1"/>
                <w:sz w:val="26"/>
                <w:szCs w:val="26"/>
              </w:rPr>
            </w:pPr>
          </w:p>
        </w:tc>
        <w:tc>
          <w:tcPr>
            <w:tcW w:w="2381" w:type="dxa"/>
            <w:gridSpan w:val="4"/>
            <w:vMerge/>
          </w:tcPr>
          <w:p w:rsidR="00687963" w:rsidRPr="00E21062" w:rsidRDefault="00687963" w:rsidP="00905D10">
            <w:pPr>
              <w:pStyle w:val="naisf"/>
              <w:spacing w:before="0" w:after="0"/>
              <w:ind w:firstLine="0"/>
              <w:jc w:val="center"/>
              <w:rPr>
                <w:b/>
                <w:i/>
                <w:color w:val="000000" w:themeColor="text1"/>
                <w:sz w:val="26"/>
                <w:szCs w:val="26"/>
              </w:rPr>
            </w:pPr>
          </w:p>
        </w:tc>
        <w:tc>
          <w:tcPr>
            <w:tcW w:w="1307" w:type="dxa"/>
          </w:tcPr>
          <w:p w:rsidR="00687963" w:rsidRPr="00E21062" w:rsidRDefault="00687963" w:rsidP="00905D10">
            <w:pPr>
              <w:pStyle w:val="naisf"/>
              <w:spacing w:before="0" w:after="0"/>
              <w:ind w:firstLine="0"/>
              <w:jc w:val="center"/>
              <w:rPr>
                <w:i/>
                <w:color w:val="000000" w:themeColor="text1"/>
                <w:sz w:val="26"/>
                <w:szCs w:val="26"/>
              </w:rPr>
            </w:pPr>
            <w:r w:rsidRPr="00E21062">
              <w:rPr>
                <w:color w:val="000000" w:themeColor="text1"/>
                <w:sz w:val="26"/>
                <w:szCs w:val="26"/>
              </w:rPr>
              <w:t>201</w:t>
            </w:r>
            <w:r>
              <w:rPr>
                <w:color w:val="000000" w:themeColor="text1"/>
                <w:sz w:val="26"/>
                <w:szCs w:val="26"/>
              </w:rPr>
              <w:t>5</w:t>
            </w:r>
            <w:r w:rsidRPr="00E21062">
              <w:rPr>
                <w:color w:val="000000" w:themeColor="text1"/>
                <w:sz w:val="26"/>
                <w:szCs w:val="26"/>
              </w:rPr>
              <w:t>.gads</w:t>
            </w:r>
          </w:p>
        </w:tc>
        <w:tc>
          <w:tcPr>
            <w:tcW w:w="1384" w:type="dxa"/>
          </w:tcPr>
          <w:p w:rsidR="00687963" w:rsidRPr="00E21062" w:rsidRDefault="00687963" w:rsidP="00905D10">
            <w:pPr>
              <w:pStyle w:val="naisf"/>
              <w:spacing w:before="0" w:after="0"/>
              <w:ind w:firstLine="0"/>
              <w:jc w:val="center"/>
              <w:rPr>
                <w:i/>
                <w:color w:val="000000" w:themeColor="text1"/>
                <w:sz w:val="26"/>
                <w:szCs w:val="26"/>
              </w:rPr>
            </w:pPr>
            <w:r w:rsidRPr="00E21062">
              <w:rPr>
                <w:color w:val="000000" w:themeColor="text1"/>
                <w:sz w:val="26"/>
                <w:szCs w:val="26"/>
              </w:rPr>
              <w:t>201</w:t>
            </w:r>
            <w:r>
              <w:rPr>
                <w:color w:val="000000" w:themeColor="text1"/>
                <w:sz w:val="26"/>
                <w:szCs w:val="26"/>
              </w:rPr>
              <w:t>6</w:t>
            </w:r>
            <w:r w:rsidRPr="00E21062">
              <w:rPr>
                <w:color w:val="000000" w:themeColor="text1"/>
                <w:sz w:val="26"/>
                <w:szCs w:val="26"/>
              </w:rPr>
              <w:t>.gads</w:t>
            </w:r>
          </w:p>
        </w:tc>
        <w:tc>
          <w:tcPr>
            <w:tcW w:w="1307" w:type="dxa"/>
          </w:tcPr>
          <w:p w:rsidR="00687963" w:rsidRPr="00E21062" w:rsidRDefault="00687963" w:rsidP="00905D10">
            <w:pPr>
              <w:pStyle w:val="naisf"/>
              <w:spacing w:before="0" w:after="0"/>
              <w:ind w:firstLine="0"/>
              <w:jc w:val="center"/>
              <w:rPr>
                <w:i/>
                <w:color w:val="000000" w:themeColor="text1"/>
                <w:sz w:val="26"/>
                <w:szCs w:val="26"/>
              </w:rPr>
            </w:pPr>
            <w:r w:rsidRPr="00E21062">
              <w:rPr>
                <w:color w:val="000000" w:themeColor="text1"/>
                <w:sz w:val="26"/>
                <w:szCs w:val="26"/>
              </w:rPr>
              <w:t>201</w:t>
            </w:r>
            <w:r>
              <w:rPr>
                <w:color w:val="000000" w:themeColor="text1"/>
                <w:sz w:val="26"/>
                <w:szCs w:val="26"/>
              </w:rPr>
              <w:t>7</w:t>
            </w:r>
            <w:r w:rsidRPr="00E21062">
              <w:rPr>
                <w:color w:val="000000" w:themeColor="text1"/>
                <w:sz w:val="26"/>
                <w:szCs w:val="26"/>
              </w:rPr>
              <w:t>.gads</w:t>
            </w:r>
          </w:p>
        </w:tc>
      </w:tr>
      <w:tr w:rsidR="00687963" w:rsidRPr="00E21062" w:rsidTr="006B32AA">
        <w:tc>
          <w:tcPr>
            <w:tcW w:w="2830" w:type="dxa"/>
            <w:gridSpan w:val="2"/>
            <w:vMerge/>
          </w:tcPr>
          <w:p w:rsidR="00687963" w:rsidRPr="00E21062" w:rsidRDefault="00687963" w:rsidP="00905D10">
            <w:pPr>
              <w:pStyle w:val="naisf"/>
              <w:spacing w:before="0" w:after="0"/>
              <w:ind w:firstLine="0"/>
              <w:jc w:val="center"/>
              <w:rPr>
                <w:b/>
                <w:i/>
                <w:color w:val="000000" w:themeColor="text1"/>
                <w:sz w:val="26"/>
                <w:szCs w:val="26"/>
              </w:rPr>
            </w:pPr>
          </w:p>
        </w:tc>
        <w:tc>
          <w:tcPr>
            <w:tcW w:w="1134" w:type="dxa"/>
            <w:gridSpan w:val="2"/>
          </w:tcPr>
          <w:p w:rsidR="00687963" w:rsidRPr="00E21062" w:rsidRDefault="00687963" w:rsidP="00905D10">
            <w:pPr>
              <w:pStyle w:val="naisf"/>
              <w:spacing w:before="0" w:after="0"/>
              <w:ind w:firstLine="0"/>
              <w:jc w:val="center"/>
              <w:rPr>
                <w:b/>
                <w:i/>
                <w:color w:val="000000" w:themeColor="text1"/>
                <w:sz w:val="26"/>
                <w:szCs w:val="26"/>
              </w:rPr>
            </w:pPr>
            <w:r w:rsidRPr="00E21062">
              <w:rPr>
                <w:color w:val="000000" w:themeColor="text1"/>
                <w:sz w:val="26"/>
                <w:szCs w:val="26"/>
              </w:rPr>
              <w:t>Saskaņā ar valsts budžetu kārtējam gadam</w:t>
            </w:r>
          </w:p>
        </w:tc>
        <w:tc>
          <w:tcPr>
            <w:tcW w:w="1247" w:type="dxa"/>
            <w:gridSpan w:val="2"/>
          </w:tcPr>
          <w:p w:rsidR="00687963" w:rsidRPr="00E21062" w:rsidRDefault="00687963" w:rsidP="00905D10">
            <w:pPr>
              <w:pStyle w:val="naisf"/>
              <w:spacing w:before="0" w:after="0"/>
              <w:ind w:firstLine="0"/>
              <w:jc w:val="center"/>
              <w:rPr>
                <w:b/>
                <w:i/>
                <w:color w:val="000000" w:themeColor="text1"/>
                <w:sz w:val="26"/>
                <w:szCs w:val="26"/>
              </w:rPr>
            </w:pPr>
            <w:r w:rsidRPr="00E21062">
              <w:rPr>
                <w:color w:val="000000" w:themeColor="text1"/>
                <w:sz w:val="26"/>
                <w:szCs w:val="26"/>
              </w:rPr>
              <w:t>Izmaiņas kārtējā gadā, salīdzinot ar budžetu kārtējam gadam</w:t>
            </w:r>
          </w:p>
        </w:tc>
        <w:tc>
          <w:tcPr>
            <w:tcW w:w="1307" w:type="dxa"/>
          </w:tcPr>
          <w:p w:rsidR="00687963" w:rsidRPr="00E21062" w:rsidRDefault="00687963" w:rsidP="00905D10">
            <w:pPr>
              <w:pStyle w:val="naisf"/>
              <w:spacing w:before="0" w:after="0"/>
              <w:ind w:firstLine="0"/>
              <w:jc w:val="center"/>
              <w:rPr>
                <w:b/>
                <w:i/>
                <w:color w:val="000000" w:themeColor="text1"/>
                <w:sz w:val="26"/>
                <w:szCs w:val="26"/>
              </w:rPr>
            </w:pPr>
            <w:r w:rsidRPr="00E21062">
              <w:rPr>
                <w:color w:val="000000" w:themeColor="text1"/>
                <w:sz w:val="26"/>
                <w:szCs w:val="26"/>
              </w:rPr>
              <w:t>Izmaiņas, salīdzinot ar kārtējo 201</w:t>
            </w:r>
            <w:r>
              <w:rPr>
                <w:color w:val="000000" w:themeColor="text1"/>
                <w:sz w:val="26"/>
                <w:szCs w:val="26"/>
              </w:rPr>
              <w:t>4</w:t>
            </w:r>
            <w:r w:rsidRPr="00E21062">
              <w:rPr>
                <w:color w:val="000000" w:themeColor="text1"/>
                <w:sz w:val="26"/>
                <w:szCs w:val="26"/>
              </w:rPr>
              <w:t>.gadu</w:t>
            </w:r>
          </w:p>
        </w:tc>
        <w:tc>
          <w:tcPr>
            <w:tcW w:w="1384" w:type="dxa"/>
          </w:tcPr>
          <w:p w:rsidR="00687963" w:rsidRPr="00E21062" w:rsidRDefault="00687963" w:rsidP="00905D10">
            <w:pPr>
              <w:pStyle w:val="naisf"/>
              <w:spacing w:before="0" w:after="0"/>
              <w:ind w:firstLine="0"/>
              <w:jc w:val="center"/>
              <w:rPr>
                <w:b/>
                <w:i/>
                <w:color w:val="000000" w:themeColor="text1"/>
                <w:sz w:val="26"/>
                <w:szCs w:val="26"/>
              </w:rPr>
            </w:pPr>
            <w:r w:rsidRPr="00E21062">
              <w:rPr>
                <w:color w:val="000000" w:themeColor="text1"/>
                <w:sz w:val="26"/>
                <w:szCs w:val="26"/>
              </w:rPr>
              <w:t>Izmaiņas, salīdzinot ar kārtējo 201</w:t>
            </w:r>
            <w:r>
              <w:rPr>
                <w:color w:val="000000" w:themeColor="text1"/>
                <w:sz w:val="26"/>
                <w:szCs w:val="26"/>
              </w:rPr>
              <w:t>4</w:t>
            </w:r>
            <w:r w:rsidRPr="00E21062">
              <w:rPr>
                <w:color w:val="000000" w:themeColor="text1"/>
                <w:sz w:val="26"/>
                <w:szCs w:val="26"/>
              </w:rPr>
              <w:t>.gadu</w:t>
            </w:r>
          </w:p>
        </w:tc>
        <w:tc>
          <w:tcPr>
            <w:tcW w:w="1307" w:type="dxa"/>
          </w:tcPr>
          <w:p w:rsidR="00687963" w:rsidRPr="00E21062" w:rsidRDefault="00687963" w:rsidP="00905D10">
            <w:pPr>
              <w:pStyle w:val="naisf"/>
              <w:spacing w:before="0" w:after="0"/>
              <w:ind w:firstLine="0"/>
              <w:jc w:val="center"/>
              <w:rPr>
                <w:b/>
                <w:i/>
                <w:color w:val="000000" w:themeColor="text1"/>
                <w:sz w:val="26"/>
                <w:szCs w:val="26"/>
              </w:rPr>
            </w:pPr>
            <w:r w:rsidRPr="00E21062">
              <w:rPr>
                <w:color w:val="000000" w:themeColor="text1"/>
                <w:sz w:val="26"/>
                <w:szCs w:val="26"/>
              </w:rPr>
              <w:t>Izmaiņas, salīdzinot ar kārtējo 201</w:t>
            </w:r>
            <w:r>
              <w:rPr>
                <w:color w:val="000000" w:themeColor="text1"/>
                <w:sz w:val="26"/>
                <w:szCs w:val="26"/>
              </w:rPr>
              <w:t>4</w:t>
            </w:r>
            <w:r w:rsidRPr="00E21062">
              <w:rPr>
                <w:color w:val="000000" w:themeColor="text1"/>
                <w:sz w:val="26"/>
                <w:szCs w:val="26"/>
              </w:rPr>
              <w:t>.gadu</w:t>
            </w:r>
          </w:p>
        </w:tc>
      </w:tr>
      <w:tr w:rsidR="00687963" w:rsidRPr="00E21062" w:rsidTr="006B32AA">
        <w:tc>
          <w:tcPr>
            <w:tcW w:w="2830" w:type="dxa"/>
            <w:gridSpan w:val="2"/>
          </w:tcPr>
          <w:p w:rsidR="00687963" w:rsidRPr="00E21062" w:rsidRDefault="00687963" w:rsidP="00905D10">
            <w:pPr>
              <w:pStyle w:val="naisf"/>
              <w:spacing w:before="0" w:after="0"/>
              <w:ind w:firstLine="0"/>
              <w:jc w:val="center"/>
              <w:rPr>
                <w:bCs/>
                <w:color w:val="000000" w:themeColor="text1"/>
                <w:sz w:val="26"/>
                <w:szCs w:val="26"/>
              </w:rPr>
            </w:pPr>
            <w:r w:rsidRPr="00E21062">
              <w:rPr>
                <w:bCs/>
                <w:color w:val="000000" w:themeColor="text1"/>
                <w:sz w:val="26"/>
                <w:szCs w:val="26"/>
              </w:rPr>
              <w:lastRenderedPageBreak/>
              <w:t>1</w:t>
            </w:r>
          </w:p>
        </w:tc>
        <w:tc>
          <w:tcPr>
            <w:tcW w:w="1134" w:type="dxa"/>
            <w:gridSpan w:val="2"/>
          </w:tcPr>
          <w:p w:rsidR="00687963" w:rsidRPr="00E21062" w:rsidRDefault="00687963" w:rsidP="00905D10">
            <w:pPr>
              <w:pStyle w:val="naisf"/>
              <w:spacing w:before="0" w:after="0"/>
              <w:ind w:firstLine="0"/>
              <w:jc w:val="center"/>
              <w:rPr>
                <w:bCs/>
                <w:color w:val="000000" w:themeColor="text1"/>
                <w:sz w:val="26"/>
                <w:szCs w:val="26"/>
              </w:rPr>
            </w:pPr>
            <w:r w:rsidRPr="00E21062">
              <w:rPr>
                <w:bCs/>
                <w:color w:val="000000" w:themeColor="text1"/>
                <w:sz w:val="26"/>
                <w:szCs w:val="26"/>
              </w:rPr>
              <w:t>2</w:t>
            </w:r>
          </w:p>
        </w:tc>
        <w:tc>
          <w:tcPr>
            <w:tcW w:w="1247" w:type="dxa"/>
            <w:gridSpan w:val="2"/>
          </w:tcPr>
          <w:p w:rsidR="00687963" w:rsidRPr="00E21062" w:rsidRDefault="00687963" w:rsidP="00905D10">
            <w:pPr>
              <w:pStyle w:val="naisf"/>
              <w:spacing w:before="0" w:after="0"/>
              <w:ind w:firstLine="0"/>
              <w:jc w:val="center"/>
              <w:rPr>
                <w:bCs/>
                <w:color w:val="000000" w:themeColor="text1"/>
                <w:sz w:val="26"/>
                <w:szCs w:val="26"/>
              </w:rPr>
            </w:pPr>
            <w:r w:rsidRPr="00E21062">
              <w:rPr>
                <w:bCs/>
                <w:color w:val="000000" w:themeColor="text1"/>
                <w:sz w:val="26"/>
                <w:szCs w:val="26"/>
              </w:rPr>
              <w:t>3</w:t>
            </w:r>
          </w:p>
        </w:tc>
        <w:tc>
          <w:tcPr>
            <w:tcW w:w="1307" w:type="dxa"/>
          </w:tcPr>
          <w:p w:rsidR="00687963" w:rsidRPr="00E21062" w:rsidRDefault="00687963" w:rsidP="00905D10">
            <w:pPr>
              <w:pStyle w:val="naisf"/>
              <w:spacing w:before="0" w:after="0"/>
              <w:ind w:firstLine="0"/>
              <w:jc w:val="center"/>
              <w:rPr>
                <w:bCs/>
                <w:color w:val="000000" w:themeColor="text1"/>
                <w:sz w:val="26"/>
                <w:szCs w:val="26"/>
              </w:rPr>
            </w:pPr>
            <w:r w:rsidRPr="00E21062">
              <w:rPr>
                <w:bCs/>
                <w:color w:val="000000" w:themeColor="text1"/>
                <w:sz w:val="26"/>
                <w:szCs w:val="26"/>
              </w:rPr>
              <w:t>4</w:t>
            </w:r>
          </w:p>
        </w:tc>
        <w:tc>
          <w:tcPr>
            <w:tcW w:w="1384" w:type="dxa"/>
          </w:tcPr>
          <w:p w:rsidR="00687963" w:rsidRPr="00E21062" w:rsidRDefault="00687963" w:rsidP="00905D10">
            <w:pPr>
              <w:pStyle w:val="naisf"/>
              <w:spacing w:before="0" w:after="0"/>
              <w:ind w:firstLine="0"/>
              <w:jc w:val="center"/>
              <w:rPr>
                <w:bCs/>
                <w:color w:val="000000" w:themeColor="text1"/>
                <w:sz w:val="26"/>
                <w:szCs w:val="26"/>
              </w:rPr>
            </w:pPr>
            <w:r w:rsidRPr="00E21062">
              <w:rPr>
                <w:bCs/>
                <w:color w:val="000000" w:themeColor="text1"/>
                <w:sz w:val="26"/>
                <w:szCs w:val="26"/>
              </w:rPr>
              <w:t>5</w:t>
            </w:r>
          </w:p>
        </w:tc>
        <w:tc>
          <w:tcPr>
            <w:tcW w:w="1307" w:type="dxa"/>
          </w:tcPr>
          <w:p w:rsidR="00687963" w:rsidRPr="00E21062" w:rsidRDefault="00687963" w:rsidP="00905D10">
            <w:pPr>
              <w:pStyle w:val="naisf"/>
              <w:spacing w:before="0" w:after="0"/>
              <w:ind w:firstLine="0"/>
              <w:jc w:val="center"/>
              <w:rPr>
                <w:bCs/>
                <w:color w:val="000000" w:themeColor="text1"/>
                <w:sz w:val="26"/>
                <w:szCs w:val="26"/>
              </w:rPr>
            </w:pPr>
            <w:r w:rsidRPr="00E21062">
              <w:rPr>
                <w:bCs/>
                <w:color w:val="000000" w:themeColor="text1"/>
                <w:sz w:val="26"/>
                <w:szCs w:val="26"/>
              </w:rPr>
              <w:t>6</w:t>
            </w:r>
          </w:p>
        </w:tc>
      </w:tr>
      <w:tr w:rsidR="00687963" w:rsidRPr="00E21062" w:rsidTr="006B32AA">
        <w:tc>
          <w:tcPr>
            <w:tcW w:w="2830" w:type="dxa"/>
            <w:gridSpan w:val="2"/>
          </w:tcPr>
          <w:p w:rsidR="00687963" w:rsidRPr="00E21062" w:rsidRDefault="00687963" w:rsidP="00905D10">
            <w:pPr>
              <w:pStyle w:val="naisf"/>
              <w:spacing w:before="0" w:after="0"/>
              <w:ind w:firstLine="0"/>
              <w:rPr>
                <w:i/>
                <w:color w:val="000000" w:themeColor="text1"/>
                <w:sz w:val="26"/>
                <w:szCs w:val="26"/>
              </w:rPr>
            </w:pPr>
            <w:r w:rsidRPr="00E21062">
              <w:rPr>
                <w:color w:val="000000" w:themeColor="text1"/>
                <w:sz w:val="26"/>
                <w:szCs w:val="26"/>
              </w:rPr>
              <w:t>1. Budžeta ieņēmumi:</w:t>
            </w:r>
          </w:p>
        </w:tc>
        <w:tc>
          <w:tcPr>
            <w:tcW w:w="1134" w:type="dxa"/>
            <w:gridSpan w:val="2"/>
          </w:tcPr>
          <w:p w:rsidR="00687963" w:rsidRDefault="00687963" w:rsidP="00905D10">
            <w:r w:rsidRPr="00057EB8">
              <w:rPr>
                <w:color w:val="000000"/>
              </w:rPr>
              <w:t>0</w:t>
            </w:r>
          </w:p>
        </w:tc>
        <w:tc>
          <w:tcPr>
            <w:tcW w:w="1247" w:type="dxa"/>
            <w:gridSpan w:val="2"/>
          </w:tcPr>
          <w:p w:rsidR="00687963" w:rsidRPr="000F0406" w:rsidRDefault="00687963" w:rsidP="00905D10">
            <w:pPr>
              <w:jc w:val="center"/>
              <w:rPr>
                <w:color w:val="000000"/>
                <w:lang w:eastAsia="lv-LV"/>
              </w:rPr>
            </w:pPr>
            <w:r w:rsidRPr="000F0406">
              <w:rPr>
                <w:color w:val="000000"/>
                <w:lang w:eastAsia="lv-LV"/>
              </w:rPr>
              <w:t>0</w:t>
            </w:r>
          </w:p>
        </w:tc>
        <w:tc>
          <w:tcPr>
            <w:tcW w:w="1307" w:type="dxa"/>
          </w:tcPr>
          <w:p w:rsidR="00687963" w:rsidRPr="000F0406" w:rsidRDefault="00687963" w:rsidP="00905D10">
            <w:pPr>
              <w:jc w:val="center"/>
              <w:rPr>
                <w:color w:val="000000"/>
                <w:lang w:eastAsia="lv-LV"/>
              </w:rPr>
            </w:pPr>
            <w:r w:rsidRPr="000F0406">
              <w:rPr>
                <w:color w:val="000000"/>
                <w:lang w:eastAsia="lv-LV"/>
              </w:rPr>
              <w:t>0</w:t>
            </w:r>
          </w:p>
        </w:tc>
        <w:tc>
          <w:tcPr>
            <w:tcW w:w="1384" w:type="dxa"/>
          </w:tcPr>
          <w:p w:rsidR="00687963" w:rsidRPr="000F0406" w:rsidRDefault="00687963" w:rsidP="00905D10">
            <w:pPr>
              <w:jc w:val="center"/>
              <w:rPr>
                <w:color w:val="000000"/>
                <w:lang w:eastAsia="lv-LV"/>
              </w:rPr>
            </w:pPr>
            <w:r w:rsidRPr="000F0406">
              <w:rPr>
                <w:color w:val="000000"/>
                <w:lang w:eastAsia="lv-LV"/>
              </w:rPr>
              <w:t>0</w:t>
            </w:r>
          </w:p>
        </w:tc>
        <w:tc>
          <w:tcPr>
            <w:tcW w:w="1307" w:type="dxa"/>
          </w:tcPr>
          <w:p w:rsidR="00687963" w:rsidRPr="000F0406" w:rsidRDefault="00687963" w:rsidP="00905D10">
            <w:pPr>
              <w:jc w:val="center"/>
              <w:rPr>
                <w:color w:val="000000"/>
                <w:lang w:eastAsia="lv-LV"/>
              </w:rPr>
            </w:pPr>
            <w:r w:rsidRPr="000F0406">
              <w:rPr>
                <w:color w:val="000000"/>
                <w:lang w:eastAsia="lv-LV"/>
              </w:rPr>
              <w:t>0</w:t>
            </w:r>
          </w:p>
        </w:tc>
      </w:tr>
      <w:tr w:rsidR="00687963" w:rsidRPr="00E21062" w:rsidTr="006B32AA">
        <w:tc>
          <w:tcPr>
            <w:tcW w:w="2830" w:type="dxa"/>
            <w:gridSpan w:val="2"/>
          </w:tcPr>
          <w:p w:rsidR="00687963" w:rsidRPr="00E21062" w:rsidRDefault="00687963" w:rsidP="00905D10">
            <w:pPr>
              <w:pStyle w:val="naisf"/>
              <w:spacing w:before="0" w:after="0"/>
              <w:ind w:firstLine="0"/>
              <w:rPr>
                <w:i/>
                <w:color w:val="000000" w:themeColor="text1"/>
                <w:sz w:val="26"/>
                <w:szCs w:val="26"/>
              </w:rPr>
            </w:pPr>
            <w:r w:rsidRPr="00E21062">
              <w:rPr>
                <w:color w:val="000000" w:themeColor="text1"/>
                <w:sz w:val="26"/>
                <w:szCs w:val="26"/>
              </w:rPr>
              <w:t>1.1. valsts pamatbudžets, tai skaitā ieņēmumi no maksas pakalpojumiem un citi pašu ieņēmumi</w:t>
            </w:r>
          </w:p>
        </w:tc>
        <w:tc>
          <w:tcPr>
            <w:tcW w:w="1134" w:type="dxa"/>
            <w:gridSpan w:val="2"/>
          </w:tcPr>
          <w:p w:rsidR="00687963" w:rsidRDefault="00687963" w:rsidP="00905D10">
            <w:r w:rsidRPr="00057EB8">
              <w:rPr>
                <w:color w:val="000000"/>
              </w:rPr>
              <w:t>0</w:t>
            </w:r>
          </w:p>
        </w:tc>
        <w:tc>
          <w:tcPr>
            <w:tcW w:w="1247" w:type="dxa"/>
            <w:gridSpan w:val="2"/>
          </w:tcPr>
          <w:p w:rsidR="00687963" w:rsidRPr="000F0406" w:rsidRDefault="00687963" w:rsidP="00905D10">
            <w:pPr>
              <w:jc w:val="center"/>
              <w:rPr>
                <w:color w:val="000000"/>
                <w:lang w:eastAsia="lv-LV"/>
              </w:rPr>
            </w:pPr>
            <w:r w:rsidRPr="000F0406">
              <w:rPr>
                <w:color w:val="000000"/>
                <w:lang w:eastAsia="lv-LV"/>
              </w:rPr>
              <w:t>0</w:t>
            </w:r>
          </w:p>
        </w:tc>
        <w:tc>
          <w:tcPr>
            <w:tcW w:w="1307" w:type="dxa"/>
          </w:tcPr>
          <w:p w:rsidR="00687963" w:rsidRPr="000F0406" w:rsidRDefault="00687963" w:rsidP="00905D10">
            <w:pPr>
              <w:jc w:val="center"/>
              <w:rPr>
                <w:color w:val="000000"/>
                <w:lang w:eastAsia="lv-LV"/>
              </w:rPr>
            </w:pPr>
            <w:r w:rsidRPr="000F0406">
              <w:rPr>
                <w:color w:val="000000"/>
                <w:lang w:eastAsia="lv-LV"/>
              </w:rPr>
              <w:t>0</w:t>
            </w:r>
          </w:p>
        </w:tc>
        <w:tc>
          <w:tcPr>
            <w:tcW w:w="1384" w:type="dxa"/>
          </w:tcPr>
          <w:p w:rsidR="00687963" w:rsidRPr="000F0406" w:rsidRDefault="00687963" w:rsidP="00905D10">
            <w:pPr>
              <w:jc w:val="center"/>
              <w:rPr>
                <w:color w:val="000000"/>
                <w:lang w:eastAsia="lv-LV"/>
              </w:rPr>
            </w:pPr>
            <w:r w:rsidRPr="000F0406">
              <w:rPr>
                <w:color w:val="000000"/>
                <w:lang w:eastAsia="lv-LV"/>
              </w:rPr>
              <w:t>0</w:t>
            </w:r>
          </w:p>
        </w:tc>
        <w:tc>
          <w:tcPr>
            <w:tcW w:w="1307" w:type="dxa"/>
          </w:tcPr>
          <w:p w:rsidR="00687963" w:rsidRPr="000F0406" w:rsidRDefault="00687963" w:rsidP="00905D10">
            <w:pPr>
              <w:jc w:val="center"/>
              <w:rPr>
                <w:color w:val="000000"/>
                <w:lang w:eastAsia="lv-LV"/>
              </w:rPr>
            </w:pPr>
            <w:r w:rsidRPr="000F0406">
              <w:rPr>
                <w:color w:val="000000"/>
                <w:lang w:eastAsia="lv-LV"/>
              </w:rPr>
              <w:t>0</w:t>
            </w:r>
          </w:p>
        </w:tc>
      </w:tr>
      <w:tr w:rsidR="00687963" w:rsidRPr="00E21062" w:rsidTr="006B32AA">
        <w:tc>
          <w:tcPr>
            <w:tcW w:w="2830" w:type="dxa"/>
            <w:gridSpan w:val="2"/>
          </w:tcPr>
          <w:p w:rsidR="00687963" w:rsidRPr="00E21062" w:rsidRDefault="00687963" w:rsidP="00905D10">
            <w:pPr>
              <w:pStyle w:val="naisf"/>
              <w:spacing w:before="0" w:after="0"/>
              <w:ind w:firstLine="0"/>
              <w:rPr>
                <w:i/>
                <w:color w:val="000000" w:themeColor="text1"/>
                <w:sz w:val="26"/>
                <w:szCs w:val="26"/>
              </w:rPr>
            </w:pPr>
            <w:r w:rsidRPr="00E21062">
              <w:rPr>
                <w:color w:val="000000" w:themeColor="text1"/>
                <w:sz w:val="26"/>
                <w:szCs w:val="26"/>
              </w:rPr>
              <w:t>1.2. valsts speciālais budžets</w:t>
            </w:r>
          </w:p>
        </w:tc>
        <w:tc>
          <w:tcPr>
            <w:tcW w:w="1134" w:type="dxa"/>
            <w:gridSpan w:val="2"/>
          </w:tcPr>
          <w:p w:rsidR="00687963" w:rsidRPr="001F365E" w:rsidRDefault="00687963" w:rsidP="00905D10">
            <w:r w:rsidRPr="001F365E">
              <w:rPr>
                <w:color w:val="000000"/>
              </w:rPr>
              <w:t>0</w:t>
            </w:r>
          </w:p>
        </w:tc>
        <w:tc>
          <w:tcPr>
            <w:tcW w:w="1247" w:type="dxa"/>
            <w:gridSpan w:val="2"/>
          </w:tcPr>
          <w:p w:rsidR="00687963" w:rsidRPr="001F365E" w:rsidRDefault="00687963" w:rsidP="00905D10">
            <w:r w:rsidRPr="001F365E">
              <w:rPr>
                <w:color w:val="000000"/>
              </w:rPr>
              <w:t>0</w:t>
            </w:r>
          </w:p>
        </w:tc>
        <w:tc>
          <w:tcPr>
            <w:tcW w:w="1307" w:type="dxa"/>
          </w:tcPr>
          <w:p w:rsidR="00687963" w:rsidRPr="001F365E" w:rsidRDefault="00687963" w:rsidP="00905D10">
            <w:r w:rsidRPr="001F365E">
              <w:rPr>
                <w:color w:val="000000"/>
              </w:rPr>
              <w:t>0</w:t>
            </w:r>
          </w:p>
        </w:tc>
        <w:tc>
          <w:tcPr>
            <w:tcW w:w="1384" w:type="dxa"/>
          </w:tcPr>
          <w:p w:rsidR="00687963" w:rsidRPr="001F365E" w:rsidRDefault="00687963" w:rsidP="00905D10">
            <w:r w:rsidRPr="001F365E">
              <w:rPr>
                <w:color w:val="000000"/>
              </w:rPr>
              <w:t>0</w:t>
            </w:r>
          </w:p>
        </w:tc>
        <w:tc>
          <w:tcPr>
            <w:tcW w:w="1307" w:type="dxa"/>
          </w:tcPr>
          <w:p w:rsidR="00687963" w:rsidRPr="001F365E" w:rsidRDefault="00687963" w:rsidP="00905D10">
            <w:r w:rsidRPr="001F365E">
              <w:rPr>
                <w:color w:val="000000"/>
              </w:rPr>
              <w:t>0</w:t>
            </w:r>
          </w:p>
        </w:tc>
      </w:tr>
      <w:tr w:rsidR="00687963" w:rsidRPr="00E21062" w:rsidTr="006B32AA">
        <w:tc>
          <w:tcPr>
            <w:tcW w:w="2830" w:type="dxa"/>
            <w:gridSpan w:val="2"/>
          </w:tcPr>
          <w:p w:rsidR="00687963" w:rsidRPr="00E21062" w:rsidRDefault="00687963" w:rsidP="00905D10">
            <w:pPr>
              <w:pStyle w:val="naisf"/>
              <w:spacing w:before="0" w:after="0"/>
              <w:ind w:firstLine="0"/>
              <w:jc w:val="left"/>
              <w:rPr>
                <w:i/>
                <w:color w:val="000000" w:themeColor="text1"/>
                <w:sz w:val="26"/>
                <w:szCs w:val="26"/>
              </w:rPr>
            </w:pPr>
            <w:r w:rsidRPr="00E21062">
              <w:rPr>
                <w:color w:val="000000" w:themeColor="text1"/>
                <w:sz w:val="26"/>
                <w:szCs w:val="26"/>
              </w:rPr>
              <w:t>1.3. pašvaldību budžets</w:t>
            </w:r>
          </w:p>
        </w:tc>
        <w:tc>
          <w:tcPr>
            <w:tcW w:w="1134" w:type="dxa"/>
            <w:gridSpan w:val="2"/>
          </w:tcPr>
          <w:p w:rsidR="00687963" w:rsidRPr="001F365E" w:rsidRDefault="00687963" w:rsidP="00905D10">
            <w:r w:rsidRPr="001F365E">
              <w:rPr>
                <w:color w:val="000000"/>
              </w:rPr>
              <w:t>0</w:t>
            </w:r>
          </w:p>
        </w:tc>
        <w:tc>
          <w:tcPr>
            <w:tcW w:w="1247" w:type="dxa"/>
            <w:gridSpan w:val="2"/>
          </w:tcPr>
          <w:p w:rsidR="00687963" w:rsidRPr="001F365E" w:rsidRDefault="00687963" w:rsidP="00905D10">
            <w:r w:rsidRPr="001F365E">
              <w:rPr>
                <w:color w:val="000000"/>
              </w:rPr>
              <w:t>0</w:t>
            </w:r>
          </w:p>
        </w:tc>
        <w:tc>
          <w:tcPr>
            <w:tcW w:w="1307" w:type="dxa"/>
          </w:tcPr>
          <w:p w:rsidR="00687963" w:rsidRPr="001F365E" w:rsidRDefault="00687963" w:rsidP="00905D10">
            <w:r w:rsidRPr="001F365E">
              <w:rPr>
                <w:color w:val="000000"/>
              </w:rPr>
              <w:t>0</w:t>
            </w:r>
          </w:p>
        </w:tc>
        <w:tc>
          <w:tcPr>
            <w:tcW w:w="1384" w:type="dxa"/>
          </w:tcPr>
          <w:p w:rsidR="00687963" w:rsidRPr="001F365E" w:rsidRDefault="00687963" w:rsidP="00905D10">
            <w:r w:rsidRPr="001F365E">
              <w:rPr>
                <w:color w:val="000000"/>
              </w:rPr>
              <w:t>0</w:t>
            </w:r>
          </w:p>
        </w:tc>
        <w:tc>
          <w:tcPr>
            <w:tcW w:w="1307" w:type="dxa"/>
          </w:tcPr>
          <w:p w:rsidR="00687963" w:rsidRPr="001F365E" w:rsidRDefault="00687963" w:rsidP="00905D10">
            <w:r w:rsidRPr="001F365E">
              <w:rPr>
                <w:color w:val="000000"/>
              </w:rPr>
              <w:t>0</w:t>
            </w:r>
          </w:p>
        </w:tc>
      </w:tr>
      <w:tr w:rsidR="006B32AA" w:rsidRPr="00E21062" w:rsidTr="006B32AA">
        <w:tc>
          <w:tcPr>
            <w:tcW w:w="2830" w:type="dxa"/>
            <w:gridSpan w:val="2"/>
          </w:tcPr>
          <w:p w:rsidR="006B32AA" w:rsidRPr="00E21062" w:rsidRDefault="006B32AA" w:rsidP="006B32AA">
            <w:pPr>
              <w:jc w:val="both"/>
              <w:rPr>
                <w:color w:val="000000" w:themeColor="text1"/>
                <w:sz w:val="26"/>
                <w:szCs w:val="26"/>
              </w:rPr>
            </w:pPr>
            <w:r w:rsidRPr="00E21062">
              <w:rPr>
                <w:color w:val="000000" w:themeColor="text1"/>
                <w:sz w:val="26"/>
                <w:szCs w:val="26"/>
              </w:rPr>
              <w:t>2. Budžeta izdevumi:</w:t>
            </w:r>
          </w:p>
        </w:tc>
        <w:tc>
          <w:tcPr>
            <w:tcW w:w="1134" w:type="dxa"/>
            <w:gridSpan w:val="2"/>
          </w:tcPr>
          <w:p w:rsidR="006B32AA" w:rsidRDefault="006B32AA" w:rsidP="006B32AA">
            <w:r w:rsidRPr="00BA0001">
              <w:rPr>
                <w:color w:val="000000"/>
              </w:rPr>
              <w:t>0</w:t>
            </w:r>
          </w:p>
        </w:tc>
        <w:tc>
          <w:tcPr>
            <w:tcW w:w="1247" w:type="dxa"/>
            <w:gridSpan w:val="2"/>
          </w:tcPr>
          <w:p w:rsidR="006B32AA" w:rsidRDefault="006B32AA" w:rsidP="006B32AA">
            <w:r w:rsidRPr="00576F4E">
              <w:rPr>
                <w:color w:val="000000" w:themeColor="text1"/>
              </w:rPr>
              <w:t xml:space="preserve">346 472 </w:t>
            </w:r>
          </w:p>
        </w:tc>
        <w:tc>
          <w:tcPr>
            <w:tcW w:w="1307" w:type="dxa"/>
          </w:tcPr>
          <w:p w:rsidR="006B32AA" w:rsidRDefault="006B32AA" w:rsidP="006B32AA">
            <w:r w:rsidRPr="00576F4E">
              <w:rPr>
                <w:color w:val="000000" w:themeColor="text1"/>
              </w:rPr>
              <w:t xml:space="preserve">346 472 </w:t>
            </w:r>
          </w:p>
        </w:tc>
        <w:tc>
          <w:tcPr>
            <w:tcW w:w="1384" w:type="dxa"/>
          </w:tcPr>
          <w:p w:rsidR="006B32AA" w:rsidRDefault="006B32AA" w:rsidP="006B32AA">
            <w:r w:rsidRPr="00995F66">
              <w:rPr>
                <w:color w:val="000000" w:themeColor="text1"/>
              </w:rPr>
              <w:t xml:space="preserve">133 041 </w:t>
            </w:r>
          </w:p>
        </w:tc>
        <w:tc>
          <w:tcPr>
            <w:tcW w:w="1307" w:type="dxa"/>
          </w:tcPr>
          <w:p w:rsidR="006B32AA" w:rsidRDefault="006B32AA" w:rsidP="006B32AA">
            <w:r w:rsidRPr="00995F66">
              <w:rPr>
                <w:color w:val="000000" w:themeColor="text1"/>
              </w:rPr>
              <w:t xml:space="preserve">133 041 </w:t>
            </w:r>
          </w:p>
        </w:tc>
      </w:tr>
      <w:tr w:rsidR="006B32AA" w:rsidRPr="00E21062" w:rsidTr="006B32AA">
        <w:tc>
          <w:tcPr>
            <w:tcW w:w="2830" w:type="dxa"/>
            <w:gridSpan w:val="2"/>
          </w:tcPr>
          <w:p w:rsidR="006B32AA" w:rsidRPr="00E21062" w:rsidRDefault="006B32AA" w:rsidP="006B32AA">
            <w:pPr>
              <w:rPr>
                <w:color w:val="000000" w:themeColor="text1"/>
                <w:sz w:val="26"/>
                <w:szCs w:val="26"/>
              </w:rPr>
            </w:pPr>
            <w:r w:rsidRPr="00E21062">
              <w:rPr>
                <w:color w:val="000000" w:themeColor="text1"/>
                <w:sz w:val="26"/>
                <w:szCs w:val="26"/>
              </w:rPr>
              <w:t>2.1. valsts pamatbudžets</w:t>
            </w:r>
          </w:p>
        </w:tc>
        <w:tc>
          <w:tcPr>
            <w:tcW w:w="1134" w:type="dxa"/>
            <w:gridSpan w:val="2"/>
          </w:tcPr>
          <w:p w:rsidR="006B32AA" w:rsidRDefault="006B32AA" w:rsidP="006B32AA">
            <w:r w:rsidRPr="00BA0001">
              <w:rPr>
                <w:color w:val="000000"/>
              </w:rPr>
              <w:t>0</w:t>
            </w:r>
          </w:p>
        </w:tc>
        <w:tc>
          <w:tcPr>
            <w:tcW w:w="1247" w:type="dxa"/>
            <w:gridSpan w:val="2"/>
          </w:tcPr>
          <w:p w:rsidR="006B32AA" w:rsidRDefault="006B32AA" w:rsidP="006B32AA">
            <w:r w:rsidRPr="00E45D98">
              <w:rPr>
                <w:color w:val="000000" w:themeColor="text1"/>
              </w:rPr>
              <w:t xml:space="preserve">346 472 </w:t>
            </w:r>
          </w:p>
        </w:tc>
        <w:tc>
          <w:tcPr>
            <w:tcW w:w="1307" w:type="dxa"/>
          </w:tcPr>
          <w:p w:rsidR="006B32AA" w:rsidRDefault="006B32AA" w:rsidP="006B32AA">
            <w:r w:rsidRPr="00E45D98">
              <w:rPr>
                <w:color w:val="000000" w:themeColor="text1"/>
              </w:rPr>
              <w:t xml:space="preserve">346 472 </w:t>
            </w:r>
          </w:p>
        </w:tc>
        <w:tc>
          <w:tcPr>
            <w:tcW w:w="1384" w:type="dxa"/>
          </w:tcPr>
          <w:p w:rsidR="006B32AA" w:rsidRDefault="006B32AA" w:rsidP="006B32AA">
            <w:r w:rsidRPr="00995F66">
              <w:rPr>
                <w:color w:val="000000" w:themeColor="text1"/>
              </w:rPr>
              <w:t xml:space="preserve">133 041 </w:t>
            </w:r>
          </w:p>
        </w:tc>
        <w:tc>
          <w:tcPr>
            <w:tcW w:w="1307" w:type="dxa"/>
          </w:tcPr>
          <w:p w:rsidR="006B32AA" w:rsidRDefault="006B32AA" w:rsidP="006B32AA">
            <w:r w:rsidRPr="00995F66">
              <w:rPr>
                <w:color w:val="000000" w:themeColor="text1"/>
              </w:rPr>
              <w:t xml:space="preserve">133 041 </w:t>
            </w:r>
          </w:p>
        </w:tc>
      </w:tr>
      <w:tr w:rsidR="00687963" w:rsidRPr="00E21062" w:rsidTr="006B32AA">
        <w:tc>
          <w:tcPr>
            <w:tcW w:w="2830" w:type="dxa"/>
            <w:gridSpan w:val="2"/>
          </w:tcPr>
          <w:p w:rsidR="00687963" w:rsidRPr="00E21062" w:rsidRDefault="00687963" w:rsidP="00905D10">
            <w:pPr>
              <w:jc w:val="both"/>
              <w:rPr>
                <w:color w:val="000000" w:themeColor="text1"/>
                <w:sz w:val="26"/>
                <w:szCs w:val="26"/>
              </w:rPr>
            </w:pPr>
            <w:r w:rsidRPr="00E21062">
              <w:rPr>
                <w:color w:val="000000" w:themeColor="text1"/>
                <w:sz w:val="26"/>
                <w:szCs w:val="26"/>
              </w:rPr>
              <w:t>2.2. valsts speciālais budžets</w:t>
            </w:r>
          </w:p>
        </w:tc>
        <w:tc>
          <w:tcPr>
            <w:tcW w:w="1134" w:type="dxa"/>
            <w:gridSpan w:val="2"/>
          </w:tcPr>
          <w:p w:rsidR="00687963" w:rsidRPr="001F365E" w:rsidRDefault="00687963" w:rsidP="00905D10">
            <w:r w:rsidRPr="001F365E">
              <w:rPr>
                <w:color w:val="000000"/>
              </w:rPr>
              <w:t>0</w:t>
            </w:r>
          </w:p>
        </w:tc>
        <w:tc>
          <w:tcPr>
            <w:tcW w:w="1247" w:type="dxa"/>
            <w:gridSpan w:val="2"/>
          </w:tcPr>
          <w:p w:rsidR="00687963" w:rsidRPr="001F365E" w:rsidRDefault="00687963" w:rsidP="00905D10">
            <w:r w:rsidRPr="001F365E">
              <w:rPr>
                <w:color w:val="000000"/>
              </w:rPr>
              <w:t>0</w:t>
            </w:r>
          </w:p>
        </w:tc>
        <w:tc>
          <w:tcPr>
            <w:tcW w:w="1307" w:type="dxa"/>
          </w:tcPr>
          <w:p w:rsidR="00687963" w:rsidRPr="001F365E" w:rsidRDefault="00687963" w:rsidP="00905D10">
            <w:r w:rsidRPr="001F365E">
              <w:rPr>
                <w:color w:val="000000"/>
              </w:rPr>
              <w:t>0</w:t>
            </w:r>
          </w:p>
        </w:tc>
        <w:tc>
          <w:tcPr>
            <w:tcW w:w="1384" w:type="dxa"/>
          </w:tcPr>
          <w:p w:rsidR="00687963" w:rsidRPr="001F365E" w:rsidRDefault="00687963" w:rsidP="00905D10">
            <w:r w:rsidRPr="001F365E">
              <w:rPr>
                <w:color w:val="000000"/>
              </w:rPr>
              <w:t>0</w:t>
            </w:r>
          </w:p>
        </w:tc>
        <w:tc>
          <w:tcPr>
            <w:tcW w:w="1307" w:type="dxa"/>
          </w:tcPr>
          <w:p w:rsidR="00687963" w:rsidRPr="001F365E" w:rsidRDefault="00687963" w:rsidP="00905D10">
            <w:r w:rsidRPr="001F365E">
              <w:rPr>
                <w:color w:val="000000"/>
              </w:rPr>
              <w:t>0</w:t>
            </w:r>
          </w:p>
        </w:tc>
      </w:tr>
      <w:tr w:rsidR="00687963" w:rsidRPr="00E21062" w:rsidTr="006B32AA">
        <w:tc>
          <w:tcPr>
            <w:tcW w:w="2830" w:type="dxa"/>
            <w:gridSpan w:val="2"/>
          </w:tcPr>
          <w:p w:rsidR="00687963" w:rsidRPr="00E21062" w:rsidRDefault="00687963" w:rsidP="00905D10">
            <w:pPr>
              <w:rPr>
                <w:color w:val="000000" w:themeColor="text1"/>
                <w:sz w:val="26"/>
                <w:szCs w:val="26"/>
              </w:rPr>
            </w:pPr>
            <w:r w:rsidRPr="00E21062">
              <w:rPr>
                <w:color w:val="000000" w:themeColor="text1"/>
                <w:sz w:val="26"/>
                <w:szCs w:val="26"/>
              </w:rPr>
              <w:t xml:space="preserve">2.3. pašvaldību budžets </w:t>
            </w:r>
          </w:p>
        </w:tc>
        <w:tc>
          <w:tcPr>
            <w:tcW w:w="1134" w:type="dxa"/>
            <w:gridSpan w:val="2"/>
          </w:tcPr>
          <w:p w:rsidR="00687963" w:rsidRPr="001F365E" w:rsidRDefault="00687963" w:rsidP="00905D10">
            <w:r w:rsidRPr="001F365E">
              <w:rPr>
                <w:color w:val="000000"/>
              </w:rPr>
              <w:t>0</w:t>
            </w:r>
          </w:p>
        </w:tc>
        <w:tc>
          <w:tcPr>
            <w:tcW w:w="1247" w:type="dxa"/>
            <w:gridSpan w:val="2"/>
          </w:tcPr>
          <w:p w:rsidR="00687963" w:rsidRPr="001F365E" w:rsidRDefault="00687963" w:rsidP="00905D10">
            <w:r w:rsidRPr="001F365E">
              <w:rPr>
                <w:color w:val="000000"/>
              </w:rPr>
              <w:t>0</w:t>
            </w:r>
          </w:p>
        </w:tc>
        <w:tc>
          <w:tcPr>
            <w:tcW w:w="1307" w:type="dxa"/>
          </w:tcPr>
          <w:p w:rsidR="00687963" w:rsidRPr="001F365E" w:rsidRDefault="00687963" w:rsidP="00905D10">
            <w:r w:rsidRPr="001F365E">
              <w:rPr>
                <w:color w:val="000000"/>
              </w:rPr>
              <w:t>0</w:t>
            </w:r>
          </w:p>
        </w:tc>
        <w:tc>
          <w:tcPr>
            <w:tcW w:w="1384" w:type="dxa"/>
          </w:tcPr>
          <w:p w:rsidR="00687963" w:rsidRPr="001F365E" w:rsidRDefault="00687963" w:rsidP="00905D10">
            <w:r w:rsidRPr="001F365E">
              <w:rPr>
                <w:color w:val="000000"/>
              </w:rPr>
              <w:t>0</w:t>
            </w:r>
          </w:p>
        </w:tc>
        <w:tc>
          <w:tcPr>
            <w:tcW w:w="1307" w:type="dxa"/>
          </w:tcPr>
          <w:p w:rsidR="00687963" w:rsidRPr="001F365E" w:rsidRDefault="00687963" w:rsidP="00905D10">
            <w:r w:rsidRPr="001F365E">
              <w:rPr>
                <w:color w:val="000000"/>
              </w:rPr>
              <w:t>0</w:t>
            </w:r>
          </w:p>
        </w:tc>
      </w:tr>
      <w:tr w:rsidR="006B32AA" w:rsidRPr="00E21062" w:rsidTr="006B32AA">
        <w:tc>
          <w:tcPr>
            <w:tcW w:w="2830" w:type="dxa"/>
            <w:gridSpan w:val="2"/>
          </w:tcPr>
          <w:p w:rsidR="006B32AA" w:rsidRPr="00E21062" w:rsidRDefault="006B32AA" w:rsidP="006B32AA">
            <w:pPr>
              <w:jc w:val="both"/>
              <w:rPr>
                <w:color w:val="000000" w:themeColor="text1"/>
                <w:sz w:val="26"/>
                <w:szCs w:val="26"/>
              </w:rPr>
            </w:pPr>
            <w:r w:rsidRPr="00E21062">
              <w:rPr>
                <w:color w:val="000000" w:themeColor="text1"/>
                <w:sz w:val="26"/>
                <w:szCs w:val="26"/>
              </w:rPr>
              <w:t>3.Finansiālā ietekme:</w:t>
            </w:r>
          </w:p>
        </w:tc>
        <w:tc>
          <w:tcPr>
            <w:tcW w:w="1134" w:type="dxa"/>
            <w:gridSpan w:val="2"/>
          </w:tcPr>
          <w:p w:rsidR="006B32AA" w:rsidRPr="001F365E" w:rsidRDefault="006B32AA" w:rsidP="006B32AA">
            <w:r w:rsidRPr="001F365E">
              <w:rPr>
                <w:color w:val="000000"/>
              </w:rPr>
              <w:t>0</w:t>
            </w:r>
          </w:p>
        </w:tc>
        <w:tc>
          <w:tcPr>
            <w:tcW w:w="1247" w:type="dxa"/>
            <w:gridSpan w:val="2"/>
          </w:tcPr>
          <w:p w:rsidR="006B32AA" w:rsidRDefault="006B32AA" w:rsidP="006B32AA">
            <w:r>
              <w:rPr>
                <w:color w:val="000000" w:themeColor="text1"/>
              </w:rPr>
              <w:t>-</w:t>
            </w:r>
            <w:r w:rsidRPr="00BA740E">
              <w:rPr>
                <w:color w:val="000000" w:themeColor="text1"/>
              </w:rPr>
              <w:t xml:space="preserve">346 472 </w:t>
            </w:r>
          </w:p>
        </w:tc>
        <w:tc>
          <w:tcPr>
            <w:tcW w:w="1307" w:type="dxa"/>
          </w:tcPr>
          <w:p w:rsidR="006B32AA" w:rsidRDefault="006B32AA" w:rsidP="006B32AA">
            <w:r>
              <w:rPr>
                <w:color w:val="000000" w:themeColor="text1"/>
              </w:rPr>
              <w:t>-</w:t>
            </w:r>
            <w:r w:rsidRPr="00BA740E">
              <w:rPr>
                <w:color w:val="000000" w:themeColor="text1"/>
              </w:rPr>
              <w:t xml:space="preserve">346 472 </w:t>
            </w:r>
          </w:p>
        </w:tc>
        <w:tc>
          <w:tcPr>
            <w:tcW w:w="1384" w:type="dxa"/>
          </w:tcPr>
          <w:p w:rsidR="006B32AA" w:rsidRDefault="006B32AA" w:rsidP="006B32AA">
            <w:r>
              <w:rPr>
                <w:color w:val="000000" w:themeColor="text1"/>
              </w:rPr>
              <w:t>-</w:t>
            </w:r>
            <w:r w:rsidRPr="00995F66">
              <w:rPr>
                <w:color w:val="000000" w:themeColor="text1"/>
              </w:rPr>
              <w:t xml:space="preserve">133 041 </w:t>
            </w:r>
          </w:p>
        </w:tc>
        <w:tc>
          <w:tcPr>
            <w:tcW w:w="1307" w:type="dxa"/>
          </w:tcPr>
          <w:p w:rsidR="006B32AA" w:rsidRDefault="006B32AA" w:rsidP="006B32AA">
            <w:r>
              <w:rPr>
                <w:color w:val="000000" w:themeColor="text1"/>
              </w:rPr>
              <w:t>-</w:t>
            </w:r>
            <w:r w:rsidRPr="00995F66">
              <w:rPr>
                <w:color w:val="000000" w:themeColor="text1"/>
              </w:rPr>
              <w:t xml:space="preserve">133 041 </w:t>
            </w:r>
          </w:p>
        </w:tc>
      </w:tr>
      <w:tr w:rsidR="006B32AA" w:rsidRPr="00E21062" w:rsidTr="006B32AA">
        <w:tc>
          <w:tcPr>
            <w:tcW w:w="2830" w:type="dxa"/>
            <w:gridSpan w:val="2"/>
          </w:tcPr>
          <w:p w:rsidR="006B32AA" w:rsidRPr="00E21062" w:rsidRDefault="006B32AA" w:rsidP="006B32AA">
            <w:pPr>
              <w:jc w:val="both"/>
              <w:rPr>
                <w:color w:val="000000" w:themeColor="text1"/>
                <w:sz w:val="26"/>
                <w:szCs w:val="26"/>
              </w:rPr>
            </w:pPr>
            <w:r w:rsidRPr="00E21062">
              <w:rPr>
                <w:color w:val="000000" w:themeColor="text1"/>
                <w:sz w:val="26"/>
                <w:szCs w:val="26"/>
              </w:rPr>
              <w:t>3.1.valsts pamatbudžets</w:t>
            </w:r>
          </w:p>
        </w:tc>
        <w:tc>
          <w:tcPr>
            <w:tcW w:w="1134" w:type="dxa"/>
            <w:gridSpan w:val="2"/>
          </w:tcPr>
          <w:p w:rsidR="006B32AA" w:rsidRPr="001F365E" w:rsidRDefault="006B32AA" w:rsidP="006B32AA">
            <w:r w:rsidRPr="001F365E">
              <w:rPr>
                <w:color w:val="000000"/>
              </w:rPr>
              <w:t>0</w:t>
            </w:r>
          </w:p>
        </w:tc>
        <w:tc>
          <w:tcPr>
            <w:tcW w:w="1247" w:type="dxa"/>
            <w:gridSpan w:val="2"/>
          </w:tcPr>
          <w:p w:rsidR="006B32AA" w:rsidRDefault="006B32AA" w:rsidP="006B32AA">
            <w:r>
              <w:rPr>
                <w:color w:val="000000" w:themeColor="text1"/>
              </w:rPr>
              <w:t>-</w:t>
            </w:r>
            <w:r w:rsidRPr="00BA740E">
              <w:rPr>
                <w:color w:val="000000" w:themeColor="text1"/>
              </w:rPr>
              <w:t xml:space="preserve">346 472 </w:t>
            </w:r>
          </w:p>
        </w:tc>
        <w:tc>
          <w:tcPr>
            <w:tcW w:w="1307" w:type="dxa"/>
          </w:tcPr>
          <w:p w:rsidR="006B32AA" w:rsidRDefault="006B32AA" w:rsidP="006B32AA">
            <w:r>
              <w:rPr>
                <w:color w:val="000000" w:themeColor="text1"/>
              </w:rPr>
              <w:t>-</w:t>
            </w:r>
            <w:r w:rsidRPr="00BA740E">
              <w:rPr>
                <w:color w:val="000000" w:themeColor="text1"/>
              </w:rPr>
              <w:t xml:space="preserve">346 472 </w:t>
            </w:r>
          </w:p>
        </w:tc>
        <w:tc>
          <w:tcPr>
            <w:tcW w:w="1384" w:type="dxa"/>
          </w:tcPr>
          <w:p w:rsidR="006B32AA" w:rsidRDefault="006B32AA" w:rsidP="006B32AA">
            <w:r>
              <w:rPr>
                <w:color w:val="000000" w:themeColor="text1"/>
              </w:rPr>
              <w:t>-</w:t>
            </w:r>
            <w:r w:rsidRPr="00995F66">
              <w:rPr>
                <w:color w:val="000000" w:themeColor="text1"/>
              </w:rPr>
              <w:t xml:space="preserve">133 041 </w:t>
            </w:r>
          </w:p>
        </w:tc>
        <w:tc>
          <w:tcPr>
            <w:tcW w:w="1307" w:type="dxa"/>
          </w:tcPr>
          <w:p w:rsidR="006B32AA" w:rsidRDefault="006B32AA" w:rsidP="006B32AA">
            <w:r>
              <w:rPr>
                <w:color w:val="000000" w:themeColor="text1"/>
              </w:rPr>
              <w:t>-</w:t>
            </w:r>
            <w:r w:rsidRPr="00995F66">
              <w:rPr>
                <w:color w:val="000000" w:themeColor="text1"/>
              </w:rPr>
              <w:t xml:space="preserve">133 041 </w:t>
            </w:r>
          </w:p>
        </w:tc>
      </w:tr>
      <w:tr w:rsidR="00687963" w:rsidRPr="00E21062" w:rsidTr="006B32AA">
        <w:tc>
          <w:tcPr>
            <w:tcW w:w="2830" w:type="dxa"/>
            <w:gridSpan w:val="2"/>
          </w:tcPr>
          <w:p w:rsidR="00687963" w:rsidRPr="00E21062" w:rsidRDefault="00687963" w:rsidP="00905D10">
            <w:pPr>
              <w:jc w:val="both"/>
              <w:rPr>
                <w:color w:val="000000" w:themeColor="text1"/>
                <w:sz w:val="26"/>
                <w:szCs w:val="26"/>
              </w:rPr>
            </w:pPr>
            <w:r w:rsidRPr="00E21062">
              <w:rPr>
                <w:color w:val="000000" w:themeColor="text1"/>
                <w:sz w:val="26"/>
                <w:szCs w:val="26"/>
              </w:rPr>
              <w:t>3.2.speciālais budžets</w:t>
            </w:r>
          </w:p>
        </w:tc>
        <w:tc>
          <w:tcPr>
            <w:tcW w:w="1134" w:type="dxa"/>
            <w:gridSpan w:val="2"/>
          </w:tcPr>
          <w:p w:rsidR="00687963" w:rsidRPr="001F365E" w:rsidRDefault="00687963" w:rsidP="00905D10">
            <w:r w:rsidRPr="001F365E">
              <w:rPr>
                <w:color w:val="000000"/>
              </w:rPr>
              <w:t>0</w:t>
            </w:r>
          </w:p>
        </w:tc>
        <w:tc>
          <w:tcPr>
            <w:tcW w:w="1247" w:type="dxa"/>
            <w:gridSpan w:val="2"/>
          </w:tcPr>
          <w:p w:rsidR="00687963" w:rsidRPr="001F365E" w:rsidRDefault="00687963" w:rsidP="00905D10">
            <w:r w:rsidRPr="001F365E">
              <w:rPr>
                <w:color w:val="000000"/>
              </w:rPr>
              <w:t>0</w:t>
            </w:r>
          </w:p>
        </w:tc>
        <w:tc>
          <w:tcPr>
            <w:tcW w:w="1307" w:type="dxa"/>
          </w:tcPr>
          <w:p w:rsidR="00687963" w:rsidRPr="001F365E" w:rsidRDefault="00687963" w:rsidP="00905D10">
            <w:r w:rsidRPr="001F365E">
              <w:rPr>
                <w:color w:val="000000"/>
              </w:rPr>
              <w:t>0</w:t>
            </w:r>
          </w:p>
        </w:tc>
        <w:tc>
          <w:tcPr>
            <w:tcW w:w="1384" w:type="dxa"/>
          </w:tcPr>
          <w:p w:rsidR="00687963" w:rsidRPr="001F365E" w:rsidRDefault="00687963" w:rsidP="00905D10">
            <w:r w:rsidRPr="001F365E">
              <w:rPr>
                <w:color w:val="000000"/>
              </w:rPr>
              <w:t>0</w:t>
            </w:r>
          </w:p>
        </w:tc>
        <w:tc>
          <w:tcPr>
            <w:tcW w:w="1307" w:type="dxa"/>
          </w:tcPr>
          <w:p w:rsidR="00687963" w:rsidRPr="001F365E" w:rsidRDefault="00687963" w:rsidP="00905D10">
            <w:r w:rsidRPr="001F365E">
              <w:rPr>
                <w:color w:val="000000"/>
              </w:rPr>
              <w:t>0</w:t>
            </w:r>
          </w:p>
        </w:tc>
      </w:tr>
      <w:tr w:rsidR="00687963" w:rsidRPr="00E21062" w:rsidTr="006B32AA">
        <w:tc>
          <w:tcPr>
            <w:tcW w:w="2830" w:type="dxa"/>
            <w:gridSpan w:val="2"/>
          </w:tcPr>
          <w:p w:rsidR="00687963" w:rsidRPr="00E21062" w:rsidRDefault="00687963" w:rsidP="00905D10">
            <w:pPr>
              <w:jc w:val="both"/>
              <w:rPr>
                <w:color w:val="000000" w:themeColor="text1"/>
                <w:sz w:val="26"/>
                <w:szCs w:val="26"/>
              </w:rPr>
            </w:pPr>
            <w:r w:rsidRPr="00E21062">
              <w:rPr>
                <w:color w:val="000000" w:themeColor="text1"/>
                <w:sz w:val="26"/>
                <w:szCs w:val="26"/>
              </w:rPr>
              <w:t xml:space="preserve">3.3.pašvaldību budžets </w:t>
            </w:r>
          </w:p>
        </w:tc>
        <w:tc>
          <w:tcPr>
            <w:tcW w:w="1134" w:type="dxa"/>
            <w:gridSpan w:val="2"/>
          </w:tcPr>
          <w:p w:rsidR="00687963" w:rsidRPr="001F365E" w:rsidRDefault="00687963" w:rsidP="00905D10">
            <w:r w:rsidRPr="001F365E">
              <w:rPr>
                <w:color w:val="000000"/>
              </w:rPr>
              <w:t>0</w:t>
            </w:r>
          </w:p>
        </w:tc>
        <w:tc>
          <w:tcPr>
            <w:tcW w:w="1247" w:type="dxa"/>
            <w:gridSpan w:val="2"/>
          </w:tcPr>
          <w:p w:rsidR="00687963" w:rsidRPr="001F365E" w:rsidRDefault="00687963" w:rsidP="00905D10">
            <w:r w:rsidRPr="001F365E">
              <w:rPr>
                <w:color w:val="000000"/>
              </w:rPr>
              <w:t>0</w:t>
            </w:r>
          </w:p>
        </w:tc>
        <w:tc>
          <w:tcPr>
            <w:tcW w:w="1307" w:type="dxa"/>
          </w:tcPr>
          <w:p w:rsidR="00687963" w:rsidRPr="001F365E" w:rsidRDefault="00687963" w:rsidP="00905D10">
            <w:r w:rsidRPr="001F365E">
              <w:rPr>
                <w:color w:val="000000"/>
              </w:rPr>
              <w:t>0</w:t>
            </w:r>
          </w:p>
        </w:tc>
        <w:tc>
          <w:tcPr>
            <w:tcW w:w="1384" w:type="dxa"/>
          </w:tcPr>
          <w:p w:rsidR="00687963" w:rsidRPr="001F365E" w:rsidRDefault="00687963" w:rsidP="00905D10">
            <w:r w:rsidRPr="001F365E">
              <w:rPr>
                <w:color w:val="000000"/>
              </w:rPr>
              <w:t>0</w:t>
            </w:r>
          </w:p>
        </w:tc>
        <w:tc>
          <w:tcPr>
            <w:tcW w:w="1307" w:type="dxa"/>
          </w:tcPr>
          <w:p w:rsidR="00687963" w:rsidRPr="001F365E" w:rsidRDefault="00687963" w:rsidP="00905D10">
            <w:r w:rsidRPr="001F365E">
              <w:rPr>
                <w:color w:val="000000"/>
              </w:rPr>
              <w:t>0</w:t>
            </w:r>
          </w:p>
        </w:tc>
      </w:tr>
      <w:tr w:rsidR="00687963" w:rsidRPr="00E21062" w:rsidTr="006B32AA">
        <w:trPr>
          <w:trHeight w:val="983"/>
        </w:trPr>
        <w:tc>
          <w:tcPr>
            <w:tcW w:w="2830" w:type="dxa"/>
            <w:gridSpan w:val="2"/>
          </w:tcPr>
          <w:p w:rsidR="00687963" w:rsidRPr="00E21062" w:rsidRDefault="00687963" w:rsidP="00905D10">
            <w:pPr>
              <w:jc w:val="both"/>
              <w:rPr>
                <w:color w:val="000000" w:themeColor="text1"/>
                <w:sz w:val="26"/>
                <w:szCs w:val="26"/>
              </w:rPr>
            </w:pPr>
            <w:r w:rsidRPr="00E21062">
              <w:rPr>
                <w:color w:val="000000" w:themeColor="text1"/>
                <w:sz w:val="26"/>
                <w:szCs w:val="26"/>
              </w:rPr>
              <w:t>4. Finanšu līdzekļi papildu izde</w:t>
            </w:r>
            <w:r w:rsidRPr="00E21062">
              <w:rPr>
                <w:color w:val="000000" w:themeColor="text1"/>
                <w:sz w:val="26"/>
                <w:szCs w:val="26"/>
              </w:rPr>
              <w:softHyphen/>
              <w:t>vumu finansēšanai (kompensējošu izdevumu samazinājumu norāda ar "+" zīmi)</w:t>
            </w:r>
          </w:p>
        </w:tc>
        <w:tc>
          <w:tcPr>
            <w:tcW w:w="1134" w:type="dxa"/>
            <w:gridSpan w:val="2"/>
          </w:tcPr>
          <w:p w:rsidR="00687963" w:rsidRPr="00E21062" w:rsidRDefault="00687963" w:rsidP="00905D10">
            <w:pPr>
              <w:pStyle w:val="naisf"/>
              <w:spacing w:before="0" w:after="0"/>
              <w:ind w:firstLine="0"/>
              <w:jc w:val="center"/>
              <w:rPr>
                <w:color w:val="000000" w:themeColor="text1"/>
              </w:rPr>
            </w:pPr>
            <w:r w:rsidRPr="00E21062">
              <w:rPr>
                <w:color w:val="000000" w:themeColor="text1"/>
              </w:rPr>
              <w:t>X</w:t>
            </w:r>
          </w:p>
        </w:tc>
        <w:tc>
          <w:tcPr>
            <w:tcW w:w="1247" w:type="dxa"/>
            <w:gridSpan w:val="2"/>
          </w:tcPr>
          <w:p w:rsidR="00687963" w:rsidRPr="00E21062" w:rsidRDefault="006B32AA" w:rsidP="00905D10">
            <w:pPr>
              <w:pStyle w:val="naisf"/>
              <w:spacing w:before="0" w:after="0"/>
              <w:ind w:firstLine="0"/>
              <w:jc w:val="center"/>
              <w:rPr>
                <w:color w:val="000000" w:themeColor="text1"/>
              </w:rPr>
            </w:pPr>
            <w:r>
              <w:rPr>
                <w:color w:val="000000" w:themeColor="text1"/>
              </w:rPr>
              <w:t>346 472</w:t>
            </w:r>
          </w:p>
        </w:tc>
        <w:tc>
          <w:tcPr>
            <w:tcW w:w="1307" w:type="dxa"/>
          </w:tcPr>
          <w:p w:rsidR="00687963" w:rsidRPr="00E21062" w:rsidRDefault="00687963" w:rsidP="00905D10">
            <w:pPr>
              <w:pStyle w:val="naisf"/>
              <w:spacing w:before="0" w:after="0"/>
              <w:ind w:firstLine="0"/>
              <w:jc w:val="center"/>
              <w:rPr>
                <w:color w:val="000000" w:themeColor="text1"/>
              </w:rPr>
            </w:pPr>
            <w:r w:rsidRPr="00E21062">
              <w:rPr>
                <w:color w:val="000000" w:themeColor="text1"/>
              </w:rPr>
              <w:t>0</w:t>
            </w:r>
          </w:p>
        </w:tc>
        <w:tc>
          <w:tcPr>
            <w:tcW w:w="1384" w:type="dxa"/>
          </w:tcPr>
          <w:p w:rsidR="00687963" w:rsidRPr="00E21062" w:rsidRDefault="00687963" w:rsidP="00905D10">
            <w:pPr>
              <w:pStyle w:val="naisf"/>
              <w:spacing w:before="0" w:after="0"/>
              <w:ind w:firstLine="0"/>
              <w:jc w:val="center"/>
              <w:rPr>
                <w:color w:val="000000" w:themeColor="text1"/>
              </w:rPr>
            </w:pPr>
            <w:r w:rsidRPr="00E21062">
              <w:rPr>
                <w:color w:val="000000" w:themeColor="text1"/>
              </w:rPr>
              <w:t>0</w:t>
            </w:r>
          </w:p>
        </w:tc>
        <w:tc>
          <w:tcPr>
            <w:tcW w:w="1307" w:type="dxa"/>
          </w:tcPr>
          <w:p w:rsidR="00687963" w:rsidRPr="00E21062" w:rsidRDefault="00687963" w:rsidP="00905D10">
            <w:pPr>
              <w:pStyle w:val="naisf"/>
              <w:spacing w:before="0" w:after="0"/>
              <w:ind w:firstLine="0"/>
              <w:jc w:val="center"/>
              <w:rPr>
                <w:color w:val="000000" w:themeColor="text1"/>
              </w:rPr>
            </w:pPr>
            <w:r w:rsidRPr="00E21062">
              <w:rPr>
                <w:color w:val="000000" w:themeColor="text1"/>
              </w:rPr>
              <w:t>0</w:t>
            </w:r>
          </w:p>
        </w:tc>
      </w:tr>
      <w:tr w:rsidR="006B32AA" w:rsidRPr="00E21062" w:rsidTr="006B32AA">
        <w:tc>
          <w:tcPr>
            <w:tcW w:w="2830" w:type="dxa"/>
            <w:gridSpan w:val="2"/>
          </w:tcPr>
          <w:p w:rsidR="006B32AA" w:rsidRPr="00E21062" w:rsidRDefault="006B32AA" w:rsidP="006B32AA">
            <w:pPr>
              <w:jc w:val="both"/>
              <w:rPr>
                <w:color w:val="000000" w:themeColor="text1"/>
                <w:sz w:val="26"/>
                <w:szCs w:val="26"/>
              </w:rPr>
            </w:pPr>
            <w:r w:rsidRPr="00E21062">
              <w:rPr>
                <w:color w:val="000000" w:themeColor="text1"/>
                <w:sz w:val="26"/>
                <w:szCs w:val="26"/>
              </w:rPr>
              <w:t>5.Precizēta finansiālā ietekme:</w:t>
            </w:r>
          </w:p>
        </w:tc>
        <w:tc>
          <w:tcPr>
            <w:tcW w:w="1134" w:type="dxa"/>
            <w:gridSpan w:val="2"/>
            <w:vMerge w:val="restart"/>
          </w:tcPr>
          <w:p w:rsidR="006B32AA" w:rsidRPr="001F365E" w:rsidRDefault="006B32AA" w:rsidP="006B32AA">
            <w:pPr>
              <w:jc w:val="center"/>
            </w:pPr>
            <w:r w:rsidRPr="00E21062">
              <w:rPr>
                <w:color w:val="000000" w:themeColor="text1"/>
              </w:rPr>
              <w:t>X</w:t>
            </w:r>
          </w:p>
        </w:tc>
        <w:tc>
          <w:tcPr>
            <w:tcW w:w="1247" w:type="dxa"/>
            <w:gridSpan w:val="2"/>
          </w:tcPr>
          <w:p w:rsidR="006B32AA" w:rsidRDefault="006B32AA" w:rsidP="006B32AA">
            <w:pPr>
              <w:jc w:val="center"/>
            </w:pPr>
            <w:r>
              <w:rPr>
                <w:color w:val="000000" w:themeColor="text1"/>
              </w:rPr>
              <w:t>0</w:t>
            </w:r>
          </w:p>
        </w:tc>
        <w:tc>
          <w:tcPr>
            <w:tcW w:w="1307" w:type="dxa"/>
          </w:tcPr>
          <w:p w:rsidR="006B32AA" w:rsidRDefault="006B32AA" w:rsidP="006B32AA">
            <w:r>
              <w:rPr>
                <w:color w:val="000000" w:themeColor="text1"/>
              </w:rPr>
              <w:t>-</w:t>
            </w:r>
            <w:r w:rsidRPr="00BA740E">
              <w:rPr>
                <w:color w:val="000000" w:themeColor="text1"/>
              </w:rPr>
              <w:t xml:space="preserve">346 472 </w:t>
            </w:r>
          </w:p>
        </w:tc>
        <w:tc>
          <w:tcPr>
            <w:tcW w:w="1384" w:type="dxa"/>
          </w:tcPr>
          <w:p w:rsidR="006B32AA" w:rsidRDefault="006B32AA" w:rsidP="006B32AA">
            <w:r>
              <w:rPr>
                <w:color w:val="000000" w:themeColor="text1"/>
              </w:rPr>
              <w:t>-</w:t>
            </w:r>
            <w:r w:rsidRPr="00995F66">
              <w:rPr>
                <w:color w:val="000000" w:themeColor="text1"/>
              </w:rPr>
              <w:t xml:space="preserve">133 041 </w:t>
            </w:r>
          </w:p>
        </w:tc>
        <w:tc>
          <w:tcPr>
            <w:tcW w:w="1307" w:type="dxa"/>
          </w:tcPr>
          <w:p w:rsidR="006B32AA" w:rsidRDefault="006B32AA" w:rsidP="006B32AA">
            <w:r>
              <w:rPr>
                <w:color w:val="000000" w:themeColor="text1"/>
              </w:rPr>
              <w:t>-</w:t>
            </w:r>
            <w:r w:rsidRPr="00995F66">
              <w:rPr>
                <w:color w:val="000000" w:themeColor="text1"/>
              </w:rPr>
              <w:t xml:space="preserve">133 041 </w:t>
            </w:r>
          </w:p>
        </w:tc>
      </w:tr>
      <w:tr w:rsidR="006B32AA" w:rsidRPr="00E21062" w:rsidTr="006B32AA">
        <w:tc>
          <w:tcPr>
            <w:tcW w:w="2830" w:type="dxa"/>
            <w:gridSpan w:val="2"/>
          </w:tcPr>
          <w:p w:rsidR="006B32AA" w:rsidRPr="00E21062" w:rsidRDefault="006B32AA" w:rsidP="006B32AA">
            <w:pPr>
              <w:jc w:val="both"/>
              <w:rPr>
                <w:color w:val="000000" w:themeColor="text1"/>
                <w:sz w:val="26"/>
                <w:szCs w:val="26"/>
              </w:rPr>
            </w:pPr>
            <w:r w:rsidRPr="00E21062">
              <w:rPr>
                <w:color w:val="000000" w:themeColor="text1"/>
                <w:sz w:val="26"/>
                <w:szCs w:val="26"/>
              </w:rPr>
              <w:t>5.1.valsts pamatbudžets</w:t>
            </w:r>
          </w:p>
        </w:tc>
        <w:tc>
          <w:tcPr>
            <w:tcW w:w="1134" w:type="dxa"/>
            <w:gridSpan w:val="2"/>
            <w:vMerge/>
          </w:tcPr>
          <w:p w:rsidR="006B32AA" w:rsidRPr="00E21062" w:rsidRDefault="006B32AA" w:rsidP="006B32AA">
            <w:pPr>
              <w:pStyle w:val="naisf"/>
              <w:spacing w:before="0" w:after="0"/>
              <w:ind w:firstLine="0"/>
              <w:jc w:val="center"/>
              <w:rPr>
                <w:color w:val="000000" w:themeColor="text1"/>
              </w:rPr>
            </w:pPr>
          </w:p>
        </w:tc>
        <w:tc>
          <w:tcPr>
            <w:tcW w:w="1247" w:type="dxa"/>
            <w:gridSpan w:val="2"/>
          </w:tcPr>
          <w:p w:rsidR="006B32AA" w:rsidRDefault="006B32AA" w:rsidP="006B32AA">
            <w:pPr>
              <w:jc w:val="center"/>
            </w:pPr>
            <w:r>
              <w:rPr>
                <w:color w:val="000000" w:themeColor="text1"/>
              </w:rPr>
              <w:t>0</w:t>
            </w:r>
          </w:p>
        </w:tc>
        <w:tc>
          <w:tcPr>
            <w:tcW w:w="1307" w:type="dxa"/>
          </w:tcPr>
          <w:p w:rsidR="006B32AA" w:rsidRDefault="006B32AA" w:rsidP="006B32AA">
            <w:r>
              <w:rPr>
                <w:color w:val="000000" w:themeColor="text1"/>
              </w:rPr>
              <w:t>-</w:t>
            </w:r>
            <w:r w:rsidRPr="00BA740E">
              <w:rPr>
                <w:color w:val="000000" w:themeColor="text1"/>
              </w:rPr>
              <w:t xml:space="preserve">346 472 </w:t>
            </w:r>
          </w:p>
        </w:tc>
        <w:tc>
          <w:tcPr>
            <w:tcW w:w="1384" w:type="dxa"/>
          </w:tcPr>
          <w:p w:rsidR="006B32AA" w:rsidRDefault="006B32AA" w:rsidP="006B32AA">
            <w:r>
              <w:rPr>
                <w:color w:val="000000" w:themeColor="text1"/>
              </w:rPr>
              <w:t>-</w:t>
            </w:r>
            <w:r w:rsidRPr="00995F66">
              <w:rPr>
                <w:color w:val="000000" w:themeColor="text1"/>
              </w:rPr>
              <w:t xml:space="preserve">133 041 </w:t>
            </w:r>
          </w:p>
        </w:tc>
        <w:tc>
          <w:tcPr>
            <w:tcW w:w="1307" w:type="dxa"/>
          </w:tcPr>
          <w:p w:rsidR="006B32AA" w:rsidRDefault="006B32AA" w:rsidP="006B32AA">
            <w:r>
              <w:rPr>
                <w:color w:val="000000" w:themeColor="text1"/>
              </w:rPr>
              <w:t>-</w:t>
            </w:r>
            <w:r w:rsidRPr="00995F66">
              <w:rPr>
                <w:color w:val="000000" w:themeColor="text1"/>
              </w:rPr>
              <w:t xml:space="preserve">133 041 </w:t>
            </w:r>
          </w:p>
        </w:tc>
      </w:tr>
      <w:tr w:rsidR="00687963" w:rsidRPr="00E21062" w:rsidTr="006B32AA">
        <w:tc>
          <w:tcPr>
            <w:tcW w:w="2830" w:type="dxa"/>
            <w:gridSpan w:val="2"/>
          </w:tcPr>
          <w:p w:rsidR="00687963" w:rsidRPr="00E21062" w:rsidRDefault="00687963" w:rsidP="00905D10">
            <w:pPr>
              <w:jc w:val="both"/>
              <w:rPr>
                <w:color w:val="000000" w:themeColor="text1"/>
                <w:sz w:val="26"/>
                <w:szCs w:val="26"/>
              </w:rPr>
            </w:pPr>
            <w:r w:rsidRPr="00E21062">
              <w:rPr>
                <w:color w:val="000000" w:themeColor="text1"/>
                <w:sz w:val="26"/>
                <w:szCs w:val="26"/>
              </w:rPr>
              <w:t>5.2.speciālais budžets</w:t>
            </w:r>
          </w:p>
        </w:tc>
        <w:tc>
          <w:tcPr>
            <w:tcW w:w="1134" w:type="dxa"/>
            <w:gridSpan w:val="2"/>
            <w:vMerge/>
          </w:tcPr>
          <w:p w:rsidR="00687963" w:rsidRPr="00E21062" w:rsidRDefault="00687963" w:rsidP="00905D10">
            <w:pPr>
              <w:pStyle w:val="naisf"/>
              <w:spacing w:before="0" w:after="0"/>
              <w:ind w:firstLine="0"/>
              <w:jc w:val="center"/>
              <w:rPr>
                <w:color w:val="000000" w:themeColor="text1"/>
              </w:rPr>
            </w:pPr>
          </w:p>
        </w:tc>
        <w:tc>
          <w:tcPr>
            <w:tcW w:w="1247" w:type="dxa"/>
            <w:gridSpan w:val="2"/>
          </w:tcPr>
          <w:p w:rsidR="00687963" w:rsidRPr="00E21062" w:rsidRDefault="00687963" w:rsidP="00905D10">
            <w:pPr>
              <w:pStyle w:val="naisf"/>
              <w:spacing w:before="0" w:after="0"/>
              <w:ind w:firstLine="0"/>
              <w:jc w:val="center"/>
              <w:rPr>
                <w:color w:val="000000" w:themeColor="text1"/>
              </w:rPr>
            </w:pPr>
            <w:r w:rsidRPr="000F0406">
              <w:rPr>
                <w:color w:val="000000"/>
              </w:rPr>
              <w:t>0</w:t>
            </w:r>
          </w:p>
        </w:tc>
        <w:tc>
          <w:tcPr>
            <w:tcW w:w="1307" w:type="dxa"/>
          </w:tcPr>
          <w:p w:rsidR="00687963" w:rsidRPr="00E21062" w:rsidRDefault="00687963" w:rsidP="00905D10">
            <w:pPr>
              <w:pStyle w:val="naisf"/>
              <w:spacing w:before="0" w:after="0"/>
              <w:ind w:firstLine="0"/>
              <w:jc w:val="center"/>
              <w:rPr>
                <w:color w:val="000000" w:themeColor="text1"/>
              </w:rPr>
            </w:pPr>
            <w:r w:rsidRPr="000F0406">
              <w:rPr>
                <w:color w:val="000000"/>
              </w:rPr>
              <w:t>0</w:t>
            </w:r>
          </w:p>
        </w:tc>
        <w:tc>
          <w:tcPr>
            <w:tcW w:w="1384" w:type="dxa"/>
          </w:tcPr>
          <w:p w:rsidR="00687963" w:rsidRPr="00E21062" w:rsidRDefault="00687963" w:rsidP="00905D10">
            <w:pPr>
              <w:pStyle w:val="naisf"/>
              <w:spacing w:before="0" w:after="0"/>
              <w:ind w:firstLine="0"/>
              <w:jc w:val="center"/>
              <w:rPr>
                <w:color w:val="000000" w:themeColor="text1"/>
              </w:rPr>
            </w:pPr>
            <w:r w:rsidRPr="000F0406">
              <w:rPr>
                <w:color w:val="000000"/>
              </w:rPr>
              <w:t>0</w:t>
            </w:r>
          </w:p>
        </w:tc>
        <w:tc>
          <w:tcPr>
            <w:tcW w:w="1307" w:type="dxa"/>
          </w:tcPr>
          <w:p w:rsidR="00687963" w:rsidRPr="00E21062" w:rsidRDefault="00687963" w:rsidP="00905D10">
            <w:pPr>
              <w:pStyle w:val="naisf"/>
              <w:spacing w:before="0" w:after="0"/>
              <w:ind w:firstLine="0"/>
              <w:jc w:val="center"/>
              <w:rPr>
                <w:color w:val="000000" w:themeColor="text1"/>
              </w:rPr>
            </w:pPr>
            <w:r w:rsidRPr="000F0406">
              <w:rPr>
                <w:color w:val="000000"/>
              </w:rPr>
              <w:t>0</w:t>
            </w:r>
          </w:p>
        </w:tc>
      </w:tr>
      <w:tr w:rsidR="00687963" w:rsidRPr="00E21062" w:rsidTr="006B32AA">
        <w:tc>
          <w:tcPr>
            <w:tcW w:w="2830" w:type="dxa"/>
            <w:gridSpan w:val="2"/>
          </w:tcPr>
          <w:p w:rsidR="00687963" w:rsidRPr="00E21062" w:rsidRDefault="00687963" w:rsidP="00905D10">
            <w:pPr>
              <w:jc w:val="both"/>
              <w:rPr>
                <w:color w:val="000000" w:themeColor="text1"/>
                <w:sz w:val="26"/>
                <w:szCs w:val="26"/>
              </w:rPr>
            </w:pPr>
            <w:r w:rsidRPr="00E21062">
              <w:rPr>
                <w:color w:val="000000" w:themeColor="text1"/>
                <w:sz w:val="26"/>
                <w:szCs w:val="26"/>
              </w:rPr>
              <w:t xml:space="preserve">5.3.pašvaldību budžets </w:t>
            </w:r>
          </w:p>
        </w:tc>
        <w:tc>
          <w:tcPr>
            <w:tcW w:w="1134" w:type="dxa"/>
            <w:gridSpan w:val="2"/>
            <w:vMerge/>
          </w:tcPr>
          <w:p w:rsidR="00687963" w:rsidRPr="00E21062" w:rsidRDefault="00687963" w:rsidP="00905D10">
            <w:pPr>
              <w:pStyle w:val="naisf"/>
              <w:spacing w:before="0" w:after="0"/>
              <w:ind w:firstLine="0"/>
              <w:jc w:val="center"/>
              <w:rPr>
                <w:color w:val="000000" w:themeColor="text1"/>
              </w:rPr>
            </w:pPr>
          </w:p>
        </w:tc>
        <w:tc>
          <w:tcPr>
            <w:tcW w:w="1247" w:type="dxa"/>
            <w:gridSpan w:val="2"/>
          </w:tcPr>
          <w:p w:rsidR="00687963" w:rsidRPr="00E21062" w:rsidRDefault="00687963" w:rsidP="00905D10">
            <w:pPr>
              <w:pStyle w:val="naisf"/>
              <w:spacing w:before="0" w:after="0"/>
              <w:ind w:firstLine="0"/>
              <w:jc w:val="center"/>
              <w:rPr>
                <w:color w:val="000000" w:themeColor="text1"/>
              </w:rPr>
            </w:pPr>
            <w:r w:rsidRPr="000F0406">
              <w:rPr>
                <w:color w:val="000000"/>
              </w:rPr>
              <w:t>0</w:t>
            </w:r>
          </w:p>
        </w:tc>
        <w:tc>
          <w:tcPr>
            <w:tcW w:w="1307" w:type="dxa"/>
          </w:tcPr>
          <w:p w:rsidR="00687963" w:rsidRPr="00E21062" w:rsidRDefault="00687963" w:rsidP="00905D10">
            <w:pPr>
              <w:pStyle w:val="naisf"/>
              <w:spacing w:before="0" w:after="0"/>
              <w:ind w:firstLine="0"/>
              <w:jc w:val="center"/>
              <w:rPr>
                <w:color w:val="000000" w:themeColor="text1"/>
              </w:rPr>
            </w:pPr>
            <w:r w:rsidRPr="000F0406">
              <w:rPr>
                <w:color w:val="000000"/>
              </w:rPr>
              <w:t>0</w:t>
            </w:r>
          </w:p>
        </w:tc>
        <w:tc>
          <w:tcPr>
            <w:tcW w:w="1384" w:type="dxa"/>
          </w:tcPr>
          <w:p w:rsidR="00687963" w:rsidRPr="00E21062" w:rsidRDefault="00687963" w:rsidP="00905D10">
            <w:pPr>
              <w:pStyle w:val="naisf"/>
              <w:spacing w:before="0" w:after="0"/>
              <w:ind w:firstLine="0"/>
              <w:jc w:val="center"/>
              <w:rPr>
                <w:color w:val="000000" w:themeColor="text1"/>
              </w:rPr>
            </w:pPr>
            <w:r w:rsidRPr="000F0406">
              <w:rPr>
                <w:color w:val="000000"/>
              </w:rPr>
              <w:t>0</w:t>
            </w:r>
          </w:p>
        </w:tc>
        <w:tc>
          <w:tcPr>
            <w:tcW w:w="1307" w:type="dxa"/>
          </w:tcPr>
          <w:p w:rsidR="00687963" w:rsidRPr="00E21062" w:rsidRDefault="00687963" w:rsidP="00905D10">
            <w:pPr>
              <w:pStyle w:val="naisf"/>
              <w:spacing w:before="0" w:after="0"/>
              <w:ind w:firstLine="0"/>
              <w:jc w:val="center"/>
              <w:rPr>
                <w:color w:val="000000" w:themeColor="text1"/>
              </w:rPr>
            </w:pPr>
            <w:r w:rsidRPr="000F0406">
              <w:rPr>
                <w:color w:val="000000"/>
              </w:rPr>
              <w:t>0</w:t>
            </w:r>
          </w:p>
        </w:tc>
      </w:tr>
      <w:tr w:rsidR="00687963" w:rsidRPr="00E21062" w:rsidTr="006B32AA">
        <w:tc>
          <w:tcPr>
            <w:tcW w:w="2830" w:type="dxa"/>
            <w:gridSpan w:val="2"/>
          </w:tcPr>
          <w:p w:rsidR="00687963" w:rsidRPr="00E21062" w:rsidRDefault="00687963" w:rsidP="00905D10">
            <w:pPr>
              <w:jc w:val="both"/>
              <w:rPr>
                <w:color w:val="000000" w:themeColor="text1"/>
                <w:sz w:val="26"/>
                <w:szCs w:val="26"/>
              </w:rPr>
            </w:pPr>
            <w:r w:rsidRPr="00E21062">
              <w:rPr>
                <w:color w:val="000000" w:themeColor="text1"/>
                <w:sz w:val="26"/>
                <w:szCs w:val="26"/>
              </w:rPr>
              <w:t>6.Detalizēts ieņēmumu un izdevu</w:t>
            </w:r>
            <w:r w:rsidRPr="00E21062">
              <w:rPr>
                <w:color w:val="000000" w:themeColor="text1"/>
                <w:sz w:val="26"/>
                <w:szCs w:val="26"/>
              </w:rPr>
              <w:softHyphen/>
              <w:t>mu aprēķins (ja nepieciešams, detalizētu ieņēmumu un izdevumu aprēķinu var pievienot anotācijas pielikumā):</w:t>
            </w:r>
          </w:p>
        </w:tc>
        <w:tc>
          <w:tcPr>
            <w:tcW w:w="6379" w:type="dxa"/>
            <w:gridSpan w:val="7"/>
            <w:vMerge w:val="restart"/>
          </w:tcPr>
          <w:p w:rsidR="00687963" w:rsidRPr="001F365E" w:rsidRDefault="00687963" w:rsidP="00905D10">
            <w:pPr>
              <w:rPr>
                <w:u w:val="single"/>
              </w:rPr>
            </w:pPr>
            <w:r w:rsidRPr="001F365E">
              <w:rPr>
                <w:u w:val="single"/>
              </w:rPr>
              <w:t>Detalizēts izdevumu aprēķins</w:t>
            </w:r>
          </w:p>
          <w:p w:rsidR="00687963" w:rsidRPr="001F365E" w:rsidRDefault="00687963" w:rsidP="00905D10">
            <w:pPr>
              <w:rPr>
                <w:u w:val="single"/>
              </w:rPr>
            </w:pPr>
            <w:r w:rsidRPr="001F365E">
              <w:rPr>
                <w:u w:val="single"/>
              </w:rPr>
              <w:t>Iekšlietu ministrija (budžeta apakšprogramma 38.05.00 „Veselības aprūpe un fiziskā sagatavotība”)</w:t>
            </w:r>
          </w:p>
          <w:p w:rsidR="00687963" w:rsidRPr="00E21062" w:rsidRDefault="00687963" w:rsidP="00905D10">
            <w:pPr>
              <w:pStyle w:val="naisf"/>
              <w:spacing w:before="0" w:after="0"/>
              <w:ind w:firstLine="452"/>
              <w:rPr>
                <w:color w:val="000000" w:themeColor="text1"/>
              </w:rPr>
            </w:pPr>
            <w:r w:rsidRPr="00E21062">
              <w:rPr>
                <w:color w:val="000000" w:themeColor="text1"/>
              </w:rPr>
              <w:t>Projekts paredz valsts pamatbudžeta izdevumu palielinājumu:</w:t>
            </w:r>
          </w:p>
          <w:p w:rsidR="00687963" w:rsidRPr="00E21062" w:rsidRDefault="00687963" w:rsidP="00687963">
            <w:pPr>
              <w:pStyle w:val="naisf"/>
              <w:numPr>
                <w:ilvl w:val="0"/>
                <w:numId w:val="9"/>
              </w:numPr>
              <w:spacing w:before="0" w:after="0"/>
              <w:ind w:left="1190"/>
              <w:rPr>
                <w:color w:val="000000" w:themeColor="text1"/>
              </w:rPr>
            </w:pPr>
            <w:r w:rsidRPr="00E21062">
              <w:rPr>
                <w:color w:val="000000" w:themeColor="text1"/>
              </w:rPr>
              <w:t xml:space="preserve">2014.gadā – </w:t>
            </w:r>
            <w:r>
              <w:rPr>
                <w:color w:val="000000" w:themeColor="text1"/>
              </w:rPr>
              <w:t>346 472</w:t>
            </w:r>
            <w:r w:rsidRPr="00E21062">
              <w:rPr>
                <w:color w:val="000000" w:themeColor="text1"/>
              </w:rPr>
              <w:t xml:space="preserve"> </w:t>
            </w:r>
            <w:proofErr w:type="spellStart"/>
            <w:r w:rsidRPr="00145EDE">
              <w:rPr>
                <w:i/>
                <w:color w:val="000000" w:themeColor="text1"/>
              </w:rPr>
              <w:t>euro</w:t>
            </w:r>
            <w:proofErr w:type="spellEnd"/>
            <w:r w:rsidRPr="00E21062">
              <w:rPr>
                <w:color w:val="000000" w:themeColor="text1"/>
              </w:rPr>
              <w:t xml:space="preserve"> apmērā;</w:t>
            </w:r>
          </w:p>
          <w:p w:rsidR="00687963" w:rsidRPr="00E21062" w:rsidRDefault="00687963" w:rsidP="00687963">
            <w:pPr>
              <w:pStyle w:val="naisf"/>
              <w:numPr>
                <w:ilvl w:val="0"/>
                <w:numId w:val="9"/>
              </w:numPr>
              <w:spacing w:before="0" w:after="0"/>
              <w:ind w:left="1190"/>
              <w:rPr>
                <w:color w:val="000000" w:themeColor="text1"/>
              </w:rPr>
            </w:pPr>
            <w:r w:rsidRPr="00E21062">
              <w:rPr>
                <w:color w:val="000000" w:themeColor="text1"/>
              </w:rPr>
              <w:t>2015.gadā –</w:t>
            </w:r>
            <w:r>
              <w:rPr>
                <w:color w:val="000000" w:themeColor="text1"/>
              </w:rPr>
              <w:t xml:space="preserve">346 472 </w:t>
            </w:r>
            <w:proofErr w:type="spellStart"/>
            <w:r w:rsidRPr="00E21062">
              <w:rPr>
                <w:i/>
                <w:color w:val="000000" w:themeColor="text1"/>
              </w:rPr>
              <w:t>euro</w:t>
            </w:r>
            <w:proofErr w:type="spellEnd"/>
            <w:r w:rsidRPr="00E21062">
              <w:rPr>
                <w:color w:val="000000" w:themeColor="text1"/>
              </w:rPr>
              <w:t xml:space="preserve"> apmērā;</w:t>
            </w:r>
          </w:p>
          <w:p w:rsidR="00687963" w:rsidRDefault="00687963" w:rsidP="00687963">
            <w:pPr>
              <w:pStyle w:val="naisf"/>
              <w:numPr>
                <w:ilvl w:val="0"/>
                <w:numId w:val="9"/>
              </w:numPr>
              <w:spacing w:before="0" w:after="0"/>
              <w:ind w:left="1190"/>
              <w:rPr>
                <w:color w:val="000000" w:themeColor="text1"/>
              </w:rPr>
            </w:pPr>
            <w:r w:rsidRPr="00E21062">
              <w:rPr>
                <w:color w:val="000000" w:themeColor="text1"/>
              </w:rPr>
              <w:t xml:space="preserve">2016.gadā un turpmāk katru gadu – </w:t>
            </w:r>
            <w:r>
              <w:rPr>
                <w:color w:val="000000" w:themeColor="text1"/>
              </w:rPr>
              <w:t>133 041</w:t>
            </w:r>
            <w:r w:rsidRPr="00E21062">
              <w:rPr>
                <w:color w:val="000000" w:themeColor="text1"/>
              </w:rPr>
              <w:t xml:space="preserve"> </w:t>
            </w:r>
            <w:proofErr w:type="spellStart"/>
            <w:r w:rsidRPr="00E21062">
              <w:rPr>
                <w:i/>
                <w:color w:val="000000" w:themeColor="text1"/>
              </w:rPr>
              <w:t>euro</w:t>
            </w:r>
            <w:proofErr w:type="spellEnd"/>
            <w:r w:rsidRPr="00E21062">
              <w:rPr>
                <w:color w:val="000000" w:themeColor="text1"/>
              </w:rPr>
              <w:t xml:space="preserve"> apmērā.</w:t>
            </w:r>
          </w:p>
          <w:p w:rsidR="00687963" w:rsidRPr="001F365E" w:rsidRDefault="00687963" w:rsidP="00905D10">
            <w:pPr>
              <w:jc w:val="both"/>
              <w:rPr>
                <w:color w:val="000000"/>
              </w:rPr>
            </w:pPr>
            <w:r w:rsidRPr="001F365E">
              <w:rPr>
                <w:color w:val="000000"/>
              </w:rPr>
              <w:t xml:space="preserve">Likumā „Par valsts budžetu 2014.gadam” apstiprinātie izdevumi plānotajiem </w:t>
            </w:r>
            <w:r>
              <w:rPr>
                <w:color w:val="000000"/>
              </w:rPr>
              <w:t xml:space="preserve">apmaksātas </w:t>
            </w:r>
            <w:r w:rsidRPr="001F365E">
              <w:rPr>
                <w:color w:val="000000"/>
              </w:rPr>
              <w:t xml:space="preserve">veselības aprūpes </w:t>
            </w:r>
            <w:r>
              <w:rPr>
                <w:color w:val="000000"/>
              </w:rPr>
              <w:t>ieviešanas</w:t>
            </w:r>
            <w:r w:rsidRPr="001F365E">
              <w:t xml:space="preserve"> </w:t>
            </w:r>
            <w:r w:rsidRPr="001F365E">
              <w:rPr>
                <w:color w:val="000000"/>
              </w:rPr>
              <w:t xml:space="preserve">pasākumiem </w:t>
            </w:r>
            <w:r>
              <w:rPr>
                <w:color w:val="000000"/>
              </w:rPr>
              <w:t>atvaļinātajām amatpersonām nav plānoti</w:t>
            </w:r>
            <w:r w:rsidRPr="001F365E">
              <w:rPr>
                <w:b/>
                <w:i/>
                <w:color w:val="000000"/>
              </w:rPr>
              <w:t xml:space="preserve"> </w:t>
            </w:r>
            <w:r w:rsidRPr="001F365E">
              <w:rPr>
                <w:color w:val="000000"/>
              </w:rPr>
              <w:t>(2016.gadā</w:t>
            </w:r>
            <w:r>
              <w:rPr>
                <w:color w:val="000000"/>
              </w:rPr>
              <w:t xml:space="preserve"> plānots finansējums –</w:t>
            </w:r>
            <w:r w:rsidRPr="001F365E">
              <w:rPr>
                <w:color w:val="000000"/>
              </w:rPr>
              <w:t xml:space="preserve"> </w:t>
            </w:r>
            <w:r>
              <w:rPr>
                <w:color w:val="000000"/>
              </w:rPr>
              <w:t>213 431</w:t>
            </w:r>
            <w:r w:rsidRPr="001F365E">
              <w:rPr>
                <w:color w:val="000000"/>
              </w:rPr>
              <w:t xml:space="preserve"> </w:t>
            </w:r>
            <w:proofErr w:type="spellStart"/>
            <w:r w:rsidRPr="001F365E">
              <w:rPr>
                <w:i/>
                <w:color w:val="000000"/>
              </w:rPr>
              <w:t>euro</w:t>
            </w:r>
            <w:proofErr w:type="spellEnd"/>
            <w:r w:rsidRPr="001F365E">
              <w:rPr>
                <w:color w:val="000000"/>
              </w:rPr>
              <w:t>).</w:t>
            </w:r>
          </w:p>
          <w:p w:rsidR="00687963" w:rsidRPr="001F365E" w:rsidRDefault="00687963" w:rsidP="00905D10">
            <w:pPr>
              <w:rPr>
                <w:b/>
                <w:i/>
                <w:color w:val="000000"/>
              </w:rPr>
            </w:pPr>
            <w:r w:rsidRPr="001F365E">
              <w:rPr>
                <w:color w:val="000000"/>
              </w:rPr>
              <w:t xml:space="preserve">Prognozētais papildu nepieciešamais finansējums – </w:t>
            </w:r>
            <w:r>
              <w:rPr>
                <w:b/>
              </w:rPr>
              <w:t>346 472</w:t>
            </w:r>
            <w:r w:rsidRPr="001F365E">
              <w:rPr>
                <w:b/>
                <w:i/>
                <w:color w:val="000000"/>
              </w:rPr>
              <w:t xml:space="preserve"> </w:t>
            </w:r>
            <w:proofErr w:type="spellStart"/>
            <w:r w:rsidRPr="001F365E">
              <w:rPr>
                <w:b/>
                <w:i/>
                <w:color w:val="000000"/>
              </w:rPr>
              <w:t>euro</w:t>
            </w:r>
            <w:proofErr w:type="spellEnd"/>
          </w:p>
          <w:p w:rsidR="00687963" w:rsidRPr="001F365E" w:rsidRDefault="00687963" w:rsidP="00905D10">
            <w:r w:rsidRPr="001F365E">
              <w:t xml:space="preserve">Veselības aprūpe no dienesta atvaļinātajām amatpersonām ar speciālajām dienesta pakāpēm </w:t>
            </w:r>
          </w:p>
          <w:p w:rsidR="00687963" w:rsidRPr="001F365E" w:rsidRDefault="00687963" w:rsidP="00905D10">
            <w:pPr>
              <w:ind w:left="720"/>
            </w:pPr>
            <w:r w:rsidRPr="001F365E">
              <w:rPr>
                <w:color w:val="000000"/>
              </w:rPr>
              <w:lastRenderedPageBreak/>
              <w:t xml:space="preserve">Izdevumi – kopā </w:t>
            </w:r>
            <w:r w:rsidRPr="001F365E">
              <w:rPr>
                <w:b/>
                <w:color w:val="000000"/>
              </w:rPr>
              <w:t>346 472</w:t>
            </w:r>
            <w:r w:rsidRPr="001F365E">
              <w:rPr>
                <w:b/>
                <w:i/>
                <w:color w:val="000000"/>
              </w:rPr>
              <w:t xml:space="preserve"> </w:t>
            </w:r>
            <w:proofErr w:type="spellStart"/>
            <w:r w:rsidRPr="001F365E">
              <w:rPr>
                <w:b/>
                <w:i/>
                <w:color w:val="000000"/>
              </w:rPr>
              <w:t>euro</w:t>
            </w:r>
            <w:proofErr w:type="spellEnd"/>
            <w:r w:rsidRPr="001F365E">
              <w:rPr>
                <w:b/>
                <w:i/>
                <w:color w:val="000000"/>
              </w:rPr>
              <w:t xml:space="preserve">, </w:t>
            </w:r>
            <w:r w:rsidRPr="001F365E">
              <w:rPr>
                <w:color w:val="000000"/>
              </w:rPr>
              <w:t>tajā skaitā:</w:t>
            </w:r>
          </w:p>
          <w:p w:rsidR="00687963" w:rsidRPr="001F365E" w:rsidRDefault="00687963" w:rsidP="00905D10">
            <w:pPr>
              <w:numPr>
                <w:ilvl w:val="0"/>
                <w:numId w:val="10"/>
              </w:numPr>
            </w:pPr>
            <w:r w:rsidRPr="001F365E">
              <w:t>Atvaļinātajām amatpersonām sniegto veselības aprūpes pakalpojumu apmaksa ārstniecības iestādēm</w:t>
            </w:r>
            <w:r w:rsidR="006B32AA">
              <w:t xml:space="preserve"> (izdevumu KK 2234)</w:t>
            </w:r>
          </w:p>
          <w:p w:rsidR="00687963" w:rsidRPr="001F365E" w:rsidRDefault="00687963" w:rsidP="00905D10">
            <w:pPr>
              <w:ind w:left="1080"/>
            </w:pPr>
            <w:r w:rsidRPr="001F365E">
              <w:t>161</w:t>
            </w:r>
            <w:r w:rsidRPr="001F365E">
              <w:rPr>
                <w:vertAlign w:val="superscript"/>
              </w:rPr>
              <w:footnoteReference w:id="1"/>
            </w:r>
            <w:r w:rsidRPr="001F365E">
              <w:t xml:space="preserve"> x 1 682</w:t>
            </w:r>
            <w:r w:rsidRPr="001F365E">
              <w:rPr>
                <w:vertAlign w:val="superscript"/>
              </w:rPr>
              <w:footnoteReference w:id="2"/>
            </w:r>
            <w:r w:rsidRPr="001F365E">
              <w:rPr>
                <w:vertAlign w:val="superscript"/>
              </w:rPr>
              <w:t xml:space="preserve"> </w:t>
            </w:r>
            <w:proofErr w:type="spellStart"/>
            <w:r w:rsidRPr="001F365E">
              <w:rPr>
                <w:i/>
              </w:rPr>
              <w:t>euro</w:t>
            </w:r>
            <w:proofErr w:type="spellEnd"/>
            <w:r w:rsidRPr="001F365E">
              <w:t xml:space="preserve"> = </w:t>
            </w:r>
            <w:r w:rsidRPr="001F365E">
              <w:rPr>
                <w:b/>
              </w:rPr>
              <w:t xml:space="preserve">270 802 </w:t>
            </w:r>
            <w:proofErr w:type="spellStart"/>
            <w:r w:rsidRPr="001F365E">
              <w:rPr>
                <w:b/>
                <w:i/>
              </w:rPr>
              <w:t>euro</w:t>
            </w:r>
            <w:proofErr w:type="spellEnd"/>
            <w:r w:rsidRPr="001F365E">
              <w:t xml:space="preserve"> </w:t>
            </w:r>
          </w:p>
          <w:p w:rsidR="00687963" w:rsidRPr="001F365E" w:rsidRDefault="00687963" w:rsidP="00905D10">
            <w:pPr>
              <w:numPr>
                <w:ilvl w:val="0"/>
                <w:numId w:val="10"/>
              </w:numPr>
            </w:pPr>
            <w:r w:rsidRPr="001F365E">
              <w:t>Kompensāciju izmaksa atvaļinātajām amatpersonām par veselības aprūpei izlietotajiem līdzekļiem</w:t>
            </w:r>
            <w:r w:rsidR="006B32AA">
              <w:t xml:space="preserve"> (izdevumu KK 6299)</w:t>
            </w:r>
          </w:p>
          <w:p w:rsidR="00687963" w:rsidRPr="00145EDE" w:rsidRDefault="00687963" w:rsidP="00295022">
            <w:pPr>
              <w:pStyle w:val="naisf"/>
              <w:numPr>
                <w:ilvl w:val="0"/>
                <w:numId w:val="9"/>
              </w:numPr>
              <w:spacing w:before="0" w:after="0"/>
              <w:ind w:left="1190"/>
              <w:rPr>
                <w:color w:val="000000" w:themeColor="text1"/>
              </w:rPr>
            </w:pPr>
            <w:r w:rsidRPr="001F365E">
              <w:t>161</w:t>
            </w:r>
            <w:r>
              <w:rPr>
                <w:vertAlign w:val="superscript"/>
              </w:rPr>
              <w:t>1</w:t>
            </w:r>
            <w:r w:rsidRPr="001F365E">
              <w:t xml:space="preserve"> x  470</w:t>
            </w:r>
            <w:r w:rsidRPr="001F365E">
              <w:rPr>
                <w:vertAlign w:val="superscript"/>
              </w:rPr>
              <w:footnoteReference w:id="3"/>
            </w:r>
            <w:r w:rsidRPr="001F365E">
              <w:t xml:space="preserve"> </w:t>
            </w:r>
            <w:proofErr w:type="spellStart"/>
            <w:r w:rsidRPr="001F365E">
              <w:rPr>
                <w:i/>
              </w:rPr>
              <w:t>euro</w:t>
            </w:r>
            <w:proofErr w:type="spellEnd"/>
            <w:r w:rsidRPr="001F365E">
              <w:t xml:space="preserve"> = </w:t>
            </w:r>
            <w:r w:rsidRPr="001F365E">
              <w:rPr>
                <w:b/>
              </w:rPr>
              <w:t xml:space="preserve">75 670 </w:t>
            </w:r>
            <w:proofErr w:type="spellStart"/>
            <w:r w:rsidRPr="001F365E">
              <w:rPr>
                <w:b/>
                <w:i/>
              </w:rPr>
              <w:t>euro</w:t>
            </w:r>
            <w:proofErr w:type="spellEnd"/>
            <w:r w:rsidRPr="00E21062">
              <w:rPr>
                <w:color w:val="000000" w:themeColor="text1"/>
              </w:rPr>
              <w:t xml:space="preserve"> </w:t>
            </w:r>
          </w:p>
        </w:tc>
      </w:tr>
      <w:tr w:rsidR="00687963" w:rsidRPr="00E21062" w:rsidTr="006B32AA">
        <w:tc>
          <w:tcPr>
            <w:tcW w:w="2830" w:type="dxa"/>
            <w:gridSpan w:val="2"/>
          </w:tcPr>
          <w:p w:rsidR="00687963" w:rsidRPr="00E21062" w:rsidRDefault="00687963" w:rsidP="00905D10">
            <w:pPr>
              <w:jc w:val="both"/>
              <w:rPr>
                <w:color w:val="000000" w:themeColor="text1"/>
                <w:sz w:val="26"/>
                <w:szCs w:val="26"/>
              </w:rPr>
            </w:pPr>
            <w:r w:rsidRPr="00E21062">
              <w:rPr>
                <w:color w:val="000000" w:themeColor="text1"/>
                <w:sz w:val="26"/>
                <w:szCs w:val="26"/>
              </w:rPr>
              <w:t>6.1. detalizēts ieņēmumu aprēķins</w:t>
            </w:r>
          </w:p>
        </w:tc>
        <w:tc>
          <w:tcPr>
            <w:tcW w:w="6379" w:type="dxa"/>
            <w:gridSpan w:val="7"/>
            <w:vMerge/>
          </w:tcPr>
          <w:p w:rsidR="00687963" w:rsidRPr="00E21062" w:rsidRDefault="00687963" w:rsidP="00905D10">
            <w:pPr>
              <w:pStyle w:val="naisf"/>
              <w:spacing w:before="0" w:after="0"/>
              <w:ind w:firstLine="0"/>
              <w:rPr>
                <w:b/>
                <w:i/>
                <w:color w:val="000000" w:themeColor="text1"/>
                <w:sz w:val="26"/>
                <w:szCs w:val="26"/>
              </w:rPr>
            </w:pPr>
          </w:p>
        </w:tc>
      </w:tr>
      <w:tr w:rsidR="00687963" w:rsidRPr="00E21062" w:rsidTr="006B32AA">
        <w:tc>
          <w:tcPr>
            <w:tcW w:w="2830" w:type="dxa"/>
            <w:gridSpan w:val="2"/>
          </w:tcPr>
          <w:p w:rsidR="00687963" w:rsidRPr="00E21062" w:rsidRDefault="00687963" w:rsidP="00905D10">
            <w:pPr>
              <w:jc w:val="both"/>
              <w:rPr>
                <w:color w:val="000000" w:themeColor="text1"/>
                <w:sz w:val="26"/>
                <w:szCs w:val="26"/>
              </w:rPr>
            </w:pPr>
            <w:r w:rsidRPr="00E21062">
              <w:rPr>
                <w:color w:val="000000" w:themeColor="text1"/>
                <w:sz w:val="26"/>
                <w:szCs w:val="26"/>
              </w:rPr>
              <w:t>6.2.detalizēts izdevumu aprēķins</w:t>
            </w:r>
          </w:p>
        </w:tc>
        <w:tc>
          <w:tcPr>
            <w:tcW w:w="6379" w:type="dxa"/>
            <w:gridSpan w:val="7"/>
            <w:vMerge/>
          </w:tcPr>
          <w:p w:rsidR="00687963" w:rsidRPr="00E21062" w:rsidRDefault="00687963" w:rsidP="00905D10">
            <w:pPr>
              <w:pStyle w:val="naisf"/>
              <w:spacing w:before="0" w:after="0"/>
              <w:ind w:firstLine="0"/>
              <w:rPr>
                <w:b/>
                <w:i/>
                <w:color w:val="000000" w:themeColor="text1"/>
                <w:sz w:val="26"/>
                <w:szCs w:val="26"/>
              </w:rPr>
            </w:pPr>
          </w:p>
        </w:tc>
      </w:tr>
      <w:tr w:rsidR="00687963" w:rsidRPr="005A3C61" w:rsidTr="006B32AA">
        <w:tc>
          <w:tcPr>
            <w:tcW w:w="2830" w:type="dxa"/>
            <w:gridSpan w:val="2"/>
          </w:tcPr>
          <w:p w:rsidR="00687963" w:rsidRPr="006B32AA" w:rsidRDefault="00687963" w:rsidP="00905D10">
            <w:pPr>
              <w:jc w:val="both"/>
              <w:rPr>
                <w:color w:val="000000" w:themeColor="text1"/>
                <w:sz w:val="26"/>
                <w:szCs w:val="26"/>
              </w:rPr>
            </w:pPr>
            <w:r w:rsidRPr="006B32AA">
              <w:rPr>
                <w:color w:val="000000" w:themeColor="text1"/>
                <w:sz w:val="26"/>
                <w:szCs w:val="26"/>
              </w:rPr>
              <w:lastRenderedPageBreak/>
              <w:t>7. Cita informācija</w:t>
            </w:r>
          </w:p>
        </w:tc>
        <w:tc>
          <w:tcPr>
            <w:tcW w:w="6379" w:type="dxa"/>
            <w:gridSpan w:val="7"/>
          </w:tcPr>
          <w:p w:rsidR="00687963" w:rsidRPr="006B32AA" w:rsidRDefault="00687963" w:rsidP="00905D10">
            <w:pPr>
              <w:pStyle w:val="naisf"/>
              <w:spacing w:before="0" w:after="0"/>
              <w:ind w:firstLine="356"/>
              <w:rPr>
                <w:color w:val="000000" w:themeColor="text1"/>
                <w:sz w:val="26"/>
                <w:szCs w:val="26"/>
              </w:rPr>
            </w:pPr>
            <w:r w:rsidRPr="006B32AA">
              <w:rPr>
                <w:color w:val="000000" w:themeColor="text1"/>
                <w:sz w:val="26"/>
                <w:szCs w:val="26"/>
              </w:rPr>
              <w:t>Izdevumi plānoti Iekšlietu ministrijas budžeta apakšprogrammā 38.05.00 „Veselības aprūpe un fiziskā sagatavotība”.</w:t>
            </w:r>
          </w:p>
          <w:p w:rsidR="00687963" w:rsidRPr="006B32AA" w:rsidRDefault="00687963" w:rsidP="00905D10">
            <w:pPr>
              <w:pStyle w:val="naisf"/>
              <w:spacing w:before="0" w:after="0"/>
              <w:ind w:firstLine="356"/>
              <w:rPr>
                <w:color w:val="000000" w:themeColor="text1"/>
                <w:sz w:val="26"/>
                <w:szCs w:val="26"/>
              </w:rPr>
            </w:pPr>
            <w:r w:rsidRPr="006B32AA">
              <w:rPr>
                <w:color w:val="000000" w:themeColor="text1"/>
                <w:sz w:val="26"/>
                <w:szCs w:val="26"/>
              </w:rPr>
              <w:t>Izdevumi pa pasākumiem un izdevumu klasifikācijas kodiem var tikt precizēti atbilstoši faktiskajai situācijai.</w:t>
            </w:r>
          </w:p>
          <w:p w:rsidR="0007285A" w:rsidRDefault="0007285A" w:rsidP="00905D10">
            <w:pPr>
              <w:pStyle w:val="naisf"/>
              <w:spacing w:before="0" w:after="0"/>
              <w:ind w:firstLine="356"/>
              <w:rPr>
                <w:sz w:val="26"/>
                <w:szCs w:val="26"/>
                <w:lang w:eastAsia="en-US"/>
              </w:rPr>
            </w:pPr>
            <w:r w:rsidRPr="006B32AA">
              <w:rPr>
                <w:bCs/>
                <w:sz w:val="26"/>
                <w:szCs w:val="26"/>
              </w:rPr>
              <w:t>Sas</w:t>
            </w:r>
            <w:r w:rsidRPr="006B32AA">
              <w:rPr>
                <w:sz w:val="26"/>
                <w:szCs w:val="26"/>
                <w:lang w:eastAsia="en-US"/>
              </w:rPr>
              <w:t>kaņā ar Valsts un pašvaldību institūciju amatpersonu un darbinieku atlīdzības likum</w:t>
            </w:r>
            <w:r w:rsidR="000766CF" w:rsidRPr="006B32AA">
              <w:rPr>
                <w:sz w:val="26"/>
                <w:szCs w:val="26"/>
                <w:lang w:eastAsia="en-US"/>
              </w:rPr>
              <w:t>a Pārejas noteikumu 28.punktu, l</w:t>
            </w:r>
            <w:r w:rsidRPr="006B32AA">
              <w:rPr>
                <w:sz w:val="26"/>
                <w:szCs w:val="26"/>
                <w:lang w:eastAsia="en-US"/>
              </w:rPr>
              <w:t>ai no 2014.gada 1.janvāra nodrošinātu šā likuma </w:t>
            </w:r>
            <w:hyperlink r:id="rId11" w:anchor="p39" w:history="1">
              <w:r w:rsidRPr="006B32AA">
                <w:rPr>
                  <w:sz w:val="26"/>
                  <w:szCs w:val="26"/>
                  <w:lang w:eastAsia="en-US"/>
                </w:rPr>
                <w:t>39.panta</w:t>
              </w:r>
            </w:hyperlink>
            <w:r w:rsidRPr="006B32AA">
              <w:rPr>
                <w:sz w:val="26"/>
                <w:szCs w:val="26"/>
                <w:lang w:eastAsia="en-US"/>
              </w:rPr>
              <w:t> otrajā daļā un pārejas noteikumu</w:t>
            </w:r>
            <w:hyperlink r:id="rId12" w:anchor="pn26" w:history="1">
              <w:r w:rsidRPr="006B32AA">
                <w:rPr>
                  <w:sz w:val="26"/>
                  <w:szCs w:val="26"/>
                  <w:lang w:eastAsia="en-US"/>
                </w:rPr>
                <w:t>26.punktā</w:t>
              </w:r>
            </w:hyperlink>
            <w:r w:rsidRPr="006B32AA">
              <w:rPr>
                <w:sz w:val="26"/>
                <w:szCs w:val="26"/>
                <w:lang w:eastAsia="en-US"/>
              </w:rPr>
              <w:t> minēto noteikumu izpildi, nepieciešamie papildu izdevumi tiek segti no valsts budžeta 74.resora "Gadskārtējā valsts budžeta izpildes procesā pārdalāmais finansējums" programmas 02.00.00 "Līdzekļi neparedzētiem gadījumiem".</w:t>
            </w:r>
          </w:p>
          <w:p w:rsidR="009B766D" w:rsidRPr="006B32AA" w:rsidRDefault="009B766D" w:rsidP="00905D10">
            <w:pPr>
              <w:pStyle w:val="naisf"/>
              <w:spacing w:before="0" w:after="0"/>
              <w:ind w:firstLine="356"/>
              <w:rPr>
                <w:color w:val="000000" w:themeColor="text1"/>
                <w:sz w:val="26"/>
                <w:szCs w:val="26"/>
              </w:rPr>
            </w:pPr>
            <w:r>
              <w:rPr>
                <w:sz w:val="26"/>
                <w:szCs w:val="26"/>
                <w:lang w:eastAsia="en-US"/>
              </w:rPr>
              <w:t xml:space="preserve">2015.gadam un turpmākajiem gadiem nepieciešamais papildu finansējums paredzams Iekšlietu ministrijas bāzes izdevumos. Projektam pievienotais Ministru kabineta </w:t>
            </w:r>
            <w:proofErr w:type="spellStart"/>
            <w:r>
              <w:rPr>
                <w:sz w:val="26"/>
                <w:szCs w:val="26"/>
                <w:lang w:eastAsia="en-US"/>
              </w:rPr>
              <w:t>protokollēmuma</w:t>
            </w:r>
            <w:proofErr w:type="spellEnd"/>
            <w:r>
              <w:rPr>
                <w:sz w:val="26"/>
                <w:szCs w:val="26"/>
                <w:lang w:eastAsia="en-US"/>
              </w:rPr>
              <w:t xml:space="preserve"> projekts paredz attiecīgu uzdevumu Iekšlietu ministrijai.</w:t>
            </w:r>
          </w:p>
        </w:tc>
      </w:tr>
      <w:tr w:rsidR="00F03184" w:rsidRPr="005A3C61" w:rsidTr="006B32AA">
        <w:tc>
          <w:tcPr>
            <w:tcW w:w="9209" w:type="dxa"/>
            <w:gridSpan w:val="9"/>
          </w:tcPr>
          <w:p w:rsidR="00F03184" w:rsidRPr="00F03184" w:rsidRDefault="00F03184" w:rsidP="008A4EEF">
            <w:pPr>
              <w:pStyle w:val="naisf"/>
              <w:spacing w:before="60" w:after="60"/>
              <w:ind w:firstLine="357"/>
              <w:jc w:val="center"/>
              <w:rPr>
                <w:b/>
                <w:color w:val="000000" w:themeColor="text1"/>
                <w:sz w:val="28"/>
                <w:szCs w:val="26"/>
              </w:rPr>
            </w:pPr>
            <w:r w:rsidRPr="00F03184">
              <w:rPr>
                <w:b/>
                <w:sz w:val="28"/>
              </w:rPr>
              <w:t>VII</w:t>
            </w:r>
            <w:r w:rsidR="00237C20">
              <w:rPr>
                <w:b/>
                <w:sz w:val="28"/>
              </w:rPr>
              <w:t>.</w:t>
            </w:r>
            <w:r w:rsidRPr="00F03184">
              <w:rPr>
                <w:b/>
                <w:sz w:val="28"/>
              </w:rPr>
              <w:t xml:space="preserve"> Tiesību akta projekta izpildes nodrošināšana un tās ietekme uz institūcijām</w:t>
            </w:r>
          </w:p>
        </w:tc>
      </w:tr>
      <w:tr w:rsidR="00F03184" w:rsidTr="009B766D">
        <w:tc>
          <w:tcPr>
            <w:tcW w:w="562" w:type="dxa"/>
          </w:tcPr>
          <w:p w:rsidR="00F03184" w:rsidRDefault="00F03184" w:rsidP="008A4EEF">
            <w:pPr>
              <w:rPr>
                <w:iCs/>
                <w:sz w:val="28"/>
                <w:szCs w:val="28"/>
                <w:lang w:eastAsia="lv-LV"/>
              </w:rPr>
            </w:pPr>
            <w:r>
              <w:rPr>
                <w:iCs/>
                <w:sz w:val="28"/>
                <w:szCs w:val="28"/>
                <w:lang w:eastAsia="lv-LV"/>
              </w:rPr>
              <w:t>1.</w:t>
            </w:r>
          </w:p>
        </w:tc>
        <w:tc>
          <w:tcPr>
            <w:tcW w:w="4395" w:type="dxa"/>
            <w:gridSpan w:val="4"/>
          </w:tcPr>
          <w:p w:rsidR="00F03184" w:rsidRPr="006B32AA" w:rsidRDefault="00F03184" w:rsidP="008A4EEF">
            <w:pPr>
              <w:spacing w:before="60" w:after="60"/>
              <w:rPr>
                <w:iCs/>
                <w:sz w:val="26"/>
                <w:szCs w:val="26"/>
                <w:lang w:eastAsia="lv-LV"/>
              </w:rPr>
            </w:pPr>
            <w:r w:rsidRPr="006B32AA">
              <w:rPr>
                <w:sz w:val="26"/>
                <w:szCs w:val="26"/>
              </w:rPr>
              <w:t>Projekta izpildē iesaistītās institūcijas</w:t>
            </w:r>
          </w:p>
        </w:tc>
        <w:tc>
          <w:tcPr>
            <w:tcW w:w="4252" w:type="dxa"/>
            <w:gridSpan w:val="4"/>
            <w:vAlign w:val="center"/>
          </w:tcPr>
          <w:p w:rsidR="00F03184" w:rsidRPr="006B32AA" w:rsidRDefault="009B766D" w:rsidP="008A4EEF">
            <w:pPr>
              <w:spacing w:before="60" w:after="60"/>
              <w:rPr>
                <w:iCs/>
                <w:sz w:val="26"/>
                <w:szCs w:val="26"/>
                <w:lang w:eastAsia="lv-LV"/>
              </w:rPr>
            </w:pPr>
            <w:r>
              <w:rPr>
                <w:sz w:val="26"/>
                <w:szCs w:val="26"/>
              </w:rPr>
              <w:t>Iekšlietu ministrijas veselības un sporta centrs</w:t>
            </w:r>
          </w:p>
        </w:tc>
      </w:tr>
      <w:tr w:rsidR="00F03184" w:rsidTr="009B766D">
        <w:tc>
          <w:tcPr>
            <w:tcW w:w="562" w:type="dxa"/>
          </w:tcPr>
          <w:p w:rsidR="00F03184" w:rsidRDefault="00F03184" w:rsidP="008A4EEF">
            <w:pPr>
              <w:rPr>
                <w:iCs/>
                <w:sz w:val="28"/>
                <w:szCs w:val="28"/>
                <w:lang w:eastAsia="lv-LV"/>
              </w:rPr>
            </w:pPr>
            <w:r>
              <w:rPr>
                <w:iCs/>
                <w:sz w:val="28"/>
                <w:szCs w:val="28"/>
                <w:lang w:eastAsia="lv-LV"/>
              </w:rPr>
              <w:t>2.</w:t>
            </w:r>
          </w:p>
        </w:tc>
        <w:tc>
          <w:tcPr>
            <w:tcW w:w="4395" w:type="dxa"/>
            <w:gridSpan w:val="4"/>
          </w:tcPr>
          <w:p w:rsidR="00F03184" w:rsidRPr="006B32AA" w:rsidRDefault="00F03184" w:rsidP="008A4EEF">
            <w:pPr>
              <w:spacing w:before="60" w:after="60"/>
              <w:rPr>
                <w:iCs/>
                <w:sz w:val="26"/>
                <w:szCs w:val="26"/>
                <w:lang w:eastAsia="lv-LV"/>
              </w:rPr>
            </w:pPr>
            <w:r w:rsidRPr="006B32AA">
              <w:rPr>
                <w:sz w:val="26"/>
                <w:szCs w:val="26"/>
              </w:rPr>
              <w:t>Projekta izpildes ietekme uz pārvaldes funkcijām un institucionālo struktūru. Jaunu institūciju izveide, esošu institūciju likvidācija vai reorganizācija, to ietekme uz institūcijas cilvēkresursiem</w:t>
            </w:r>
          </w:p>
        </w:tc>
        <w:tc>
          <w:tcPr>
            <w:tcW w:w="4252" w:type="dxa"/>
            <w:gridSpan w:val="4"/>
          </w:tcPr>
          <w:p w:rsidR="00F03184" w:rsidRPr="006B32AA" w:rsidRDefault="00F03184" w:rsidP="008A4EEF">
            <w:pPr>
              <w:spacing w:before="60"/>
              <w:rPr>
                <w:iCs/>
                <w:sz w:val="26"/>
                <w:szCs w:val="26"/>
                <w:lang w:eastAsia="lv-LV"/>
              </w:rPr>
            </w:pPr>
            <w:r w:rsidRPr="006B32AA">
              <w:rPr>
                <w:sz w:val="26"/>
                <w:szCs w:val="26"/>
              </w:rPr>
              <w:t>Saistībā ar projekta izpildi nav nepieciešams veidot jaunas institūcijas, likvidēt vai reorganizēt esošās.</w:t>
            </w:r>
          </w:p>
        </w:tc>
      </w:tr>
      <w:tr w:rsidR="00F03184" w:rsidTr="009B766D">
        <w:tc>
          <w:tcPr>
            <w:tcW w:w="562" w:type="dxa"/>
          </w:tcPr>
          <w:p w:rsidR="00F03184" w:rsidRDefault="00F03184" w:rsidP="008A4EEF">
            <w:pPr>
              <w:rPr>
                <w:iCs/>
                <w:sz w:val="28"/>
                <w:szCs w:val="28"/>
                <w:lang w:eastAsia="lv-LV"/>
              </w:rPr>
            </w:pPr>
            <w:r>
              <w:rPr>
                <w:iCs/>
                <w:sz w:val="28"/>
                <w:szCs w:val="28"/>
                <w:lang w:eastAsia="lv-LV"/>
              </w:rPr>
              <w:lastRenderedPageBreak/>
              <w:t>3.</w:t>
            </w:r>
          </w:p>
        </w:tc>
        <w:tc>
          <w:tcPr>
            <w:tcW w:w="4395" w:type="dxa"/>
            <w:gridSpan w:val="4"/>
          </w:tcPr>
          <w:p w:rsidR="00F03184" w:rsidRPr="006B32AA" w:rsidRDefault="008A4EEF" w:rsidP="008A4EEF">
            <w:pPr>
              <w:spacing w:before="60" w:after="60"/>
              <w:rPr>
                <w:iCs/>
                <w:sz w:val="26"/>
                <w:szCs w:val="26"/>
                <w:lang w:eastAsia="lv-LV"/>
              </w:rPr>
            </w:pPr>
            <w:r w:rsidRPr="006B32AA">
              <w:rPr>
                <w:iCs/>
                <w:sz w:val="26"/>
                <w:szCs w:val="26"/>
                <w:lang w:eastAsia="lv-LV"/>
              </w:rPr>
              <w:t>Cita informācija</w:t>
            </w:r>
          </w:p>
        </w:tc>
        <w:tc>
          <w:tcPr>
            <w:tcW w:w="4252" w:type="dxa"/>
            <w:gridSpan w:val="4"/>
            <w:vAlign w:val="center"/>
          </w:tcPr>
          <w:p w:rsidR="00F03184" w:rsidRPr="006B32AA" w:rsidRDefault="00F03184" w:rsidP="008A4EEF">
            <w:pPr>
              <w:spacing w:before="60" w:after="60"/>
              <w:rPr>
                <w:iCs/>
                <w:sz w:val="26"/>
                <w:szCs w:val="26"/>
                <w:lang w:eastAsia="lv-LV"/>
              </w:rPr>
            </w:pPr>
            <w:r w:rsidRPr="006B32AA">
              <w:rPr>
                <w:sz w:val="26"/>
                <w:szCs w:val="26"/>
              </w:rPr>
              <w:t>Nav.</w:t>
            </w:r>
          </w:p>
        </w:tc>
      </w:tr>
    </w:tbl>
    <w:p w:rsidR="00ED6A06" w:rsidRDefault="00ED6A06" w:rsidP="0007077C">
      <w:pPr>
        <w:rPr>
          <w:iCs/>
          <w:sz w:val="28"/>
          <w:szCs w:val="28"/>
          <w:lang w:eastAsia="lv-LV"/>
        </w:rPr>
      </w:pPr>
    </w:p>
    <w:p w:rsidR="003B20DC" w:rsidRDefault="003B20DC" w:rsidP="0007077C">
      <w:pPr>
        <w:rPr>
          <w:iCs/>
          <w:sz w:val="28"/>
          <w:szCs w:val="28"/>
          <w:lang w:eastAsia="lv-LV"/>
        </w:rPr>
      </w:pPr>
    </w:p>
    <w:p w:rsidR="0007077C" w:rsidRPr="00A63E6C" w:rsidRDefault="008D5F20" w:rsidP="0007077C">
      <w:pPr>
        <w:rPr>
          <w:sz w:val="28"/>
          <w:szCs w:val="28"/>
          <w:lang w:eastAsia="lv-LV"/>
        </w:rPr>
      </w:pPr>
      <w:r>
        <w:rPr>
          <w:iCs/>
          <w:sz w:val="28"/>
          <w:szCs w:val="28"/>
          <w:lang w:eastAsia="lv-LV"/>
        </w:rPr>
        <w:t xml:space="preserve">Anotācijas </w:t>
      </w:r>
      <w:r w:rsidR="0007077C" w:rsidRPr="00A63E6C">
        <w:rPr>
          <w:iCs/>
          <w:sz w:val="28"/>
          <w:szCs w:val="28"/>
          <w:lang w:eastAsia="lv-LV"/>
        </w:rPr>
        <w:t>IV, V</w:t>
      </w:r>
      <w:r w:rsidR="00AF1B96">
        <w:rPr>
          <w:iCs/>
          <w:sz w:val="28"/>
          <w:szCs w:val="28"/>
          <w:lang w:eastAsia="lv-LV"/>
        </w:rPr>
        <w:t xml:space="preserve"> un</w:t>
      </w:r>
      <w:r w:rsidR="0007077C" w:rsidRPr="00A63E6C">
        <w:rPr>
          <w:iCs/>
          <w:sz w:val="28"/>
          <w:szCs w:val="28"/>
          <w:lang w:eastAsia="lv-LV"/>
        </w:rPr>
        <w:t xml:space="preserve"> VI</w:t>
      </w:r>
      <w:r>
        <w:rPr>
          <w:iCs/>
          <w:sz w:val="28"/>
          <w:szCs w:val="28"/>
          <w:lang w:eastAsia="lv-LV"/>
        </w:rPr>
        <w:t xml:space="preserve"> </w:t>
      </w:r>
      <w:r w:rsidR="0007077C" w:rsidRPr="00A63E6C">
        <w:rPr>
          <w:iCs/>
          <w:sz w:val="28"/>
          <w:szCs w:val="28"/>
          <w:lang w:eastAsia="lv-LV"/>
        </w:rPr>
        <w:t>sadaļa</w:t>
      </w:r>
      <w:r w:rsidR="002A6197">
        <w:rPr>
          <w:iCs/>
          <w:sz w:val="28"/>
          <w:szCs w:val="28"/>
          <w:lang w:eastAsia="lv-LV"/>
        </w:rPr>
        <w:t xml:space="preserve"> –</w:t>
      </w:r>
      <w:r w:rsidR="0007077C" w:rsidRPr="00A63E6C">
        <w:rPr>
          <w:iCs/>
          <w:sz w:val="28"/>
          <w:szCs w:val="28"/>
          <w:lang w:eastAsia="lv-LV"/>
        </w:rPr>
        <w:t xml:space="preserve"> </w:t>
      </w:r>
      <w:r w:rsidR="0007077C" w:rsidRPr="00A63E6C">
        <w:rPr>
          <w:sz w:val="28"/>
          <w:szCs w:val="28"/>
          <w:lang w:eastAsia="lv-LV"/>
        </w:rPr>
        <w:t>projekts šo jomu neskar.</w:t>
      </w:r>
    </w:p>
    <w:p w:rsidR="00AF1B96" w:rsidRDefault="00AF1B96" w:rsidP="00C338A6">
      <w:pPr>
        <w:jc w:val="both"/>
        <w:rPr>
          <w:sz w:val="28"/>
          <w:szCs w:val="28"/>
          <w:lang w:val="de-DE"/>
        </w:rPr>
      </w:pPr>
    </w:p>
    <w:p w:rsidR="003B20DC" w:rsidRDefault="003B20DC" w:rsidP="00C338A6">
      <w:pPr>
        <w:jc w:val="both"/>
        <w:rPr>
          <w:sz w:val="28"/>
          <w:szCs w:val="28"/>
          <w:lang w:val="de-DE"/>
        </w:rPr>
      </w:pPr>
    </w:p>
    <w:p w:rsidR="003B20DC" w:rsidRDefault="003B20DC" w:rsidP="00C338A6">
      <w:pPr>
        <w:jc w:val="both"/>
        <w:rPr>
          <w:sz w:val="28"/>
          <w:szCs w:val="28"/>
          <w:lang w:val="de-DE"/>
        </w:rPr>
      </w:pPr>
    </w:p>
    <w:p w:rsidR="003B20DC" w:rsidRDefault="003B20DC" w:rsidP="00C338A6">
      <w:pPr>
        <w:jc w:val="both"/>
        <w:rPr>
          <w:sz w:val="28"/>
          <w:szCs w:val="28"/>
          <w:lang w:val="de-DE"/>
        </w:rPr>
      </w:pPr>
    </w:p>
    <w:p w:rsidR="00616AA6" w:rsidRDefault="00616AA6" w:rsidP="00C338A6">
      <w:pPr>
        <w:jc w:val="both"/>
        <w:rPr>
          <w:sz w:val="28"/>
          <w:szCs w:val="28"/>
          <w:lang w:val="de-DE"/>
        </w:rPr>
      </w:pPr>
      <w:r w:rsidRPr="00D1252E">
        <w:rPr>
          <w:sz w:val="28"/>
          <w:szCs w:val="28"/>
          <w:lang w:val="de-DE"/>
        </w:rPr>
        <w:t>Iekšlietu ministrs</w:t>
      </w:r>
      <w:r w:rsidRPr="00D1252E">
        <w:rPr>
          <w:sz w:val="28"/>
          <w:szCs w:val="28"/>
          <w:lang w:val="de-DE"/>
        </w:rPr>
        <w:tab/>
      </w:r>
      <w:r w:rsidRPr="00D1252E">
        <w:rPr>
          <w:sz w:val="28"/>
          <w:szCs w:val="28"/>
          <w:lang w:val="de-DE"/>
        </w:rPr>
        <w:tab/>
      </w:r>
      <w:r w:rsidRPr="00D1252E">
        <w:rPr>
          <w:sz w:val="28"/>
          <w:szCs w:val="28"/>
          <w:lang w:val="de-DE"/>
        </w:rPr>
        <w:tab/>
      </w:r>
      <w:r w:rsidRPr="00D1252E">
        <w:rPr>
          <w:sz w:val="28"/>
          <w:szCs w:val="28"/>
          <w:lang w:val="de-DE"/>
        </w:rPr>
        <w:tab/>
      </w:r>
      <w:r w:rsidRPr="00D1252E">
        <w:rPr>
          <w:sz w:val="28"/>
          <w:szCs w:val="28"/>
          <w:lang w:val="de-DE"/>
        </w:rPr>
        <w:tab/>
      </w:r>
      <w:r w:rsidR="00A217E7" w:rsidRPr="00D1252E">
        <w:rPr>
          <w:sz w:val="28"/>
          <w:szCs w:val="28"/>
          <w:lang w:val="de-DE"/>
        </w:rPr>
        <w:t xml:space="preserve">             </w:t>
      </w:r>
      <w:r w:rsidRPr="00D1252E">
        <w:rPr>
          <w:sz w:val="28"/>
          <w:szCs w:val="28"/>
          <w:lang w:val="de-DE"/>
        </w:rPr>
        <w:t>R. Kozlovskis</w:t>
      </w:r>
    </w:p>
    <w:p w:rsidR="00DB0ED4" w:rsidRDefault="00DB0ED4" w:rsidP="00C338A6">
      <w:pPr>
        <w:jc w:val="both"/>
        <w:rPr>
          <w:sz w:val="28"/>
          <w:szCs w:val="28"/>
          <w:lang w:val="de-DE"/>
        </w:rPr>
      </w:pPr>
    </w:p>
    <w:p w:rsidR="002720A2" w:rsidRDefault="00616AA6" w:rsidP="00C338A6">
      <w:pPr>
        <w:pStyle w:val="naisf"/>
        <w:ind w:firstLine="0"/>
        <w:rPr>
          <w:color w:val="000000"/>
          <w:sz w:val="20"/>
          <w:szCs w:val="20"/>
        </w:rPr>
      </w:pPr>
      <w:r w:rsidRPr="00D1252E">
        <w:rPr>
          <w:sz w:val="28"/>
          <w:szCs w:val="28"/>
        </w:rPr>
        <w:t>Vīza: valsts sekretāre</w:t>
      </w:r>
      <w:r w:rsidRPr="00D1252E">
        <w:rPr>
          <w:sz w:val="28"/>
          <w:szCs w:val="28"/>
        </w:rPr>
        <w:tab/>
      </w:r>
      <w:r w:rsidRPr="00D1252E">
        <w:rPr>
          <w:sz w:val="28"/>
          <w:szCs w:val="28"/>
        </w:rPr>
        <w:tab/>
      </w:r>
      <w:r w:rsidRPr="00D1252E">
        <w:rPr>
          <w:sz w:val="28"/>
          <w:szCs w:val="28"/>
        </w:rPr>
        <w:tab/>
      </w:r>
      <w:r w:rsidRPr="00D1252E">
        <w:rPr>
          <w:sz w:val="28"/>
          <w:szCs w:val="28"/>
        </w:rPr>
        <w:tab/>
      </w:r>
      <w:r w:rsidR="00502E7D" w:rsidRPr="00D1252E">
        <w:rPr>
          <w:sz w:val="28"/>
          <w:szCs w:val="28"/>
        </w:rPr>
        <w:t xml:space="preserve"> </w:t>
      </w:r>
      <w:r w:rsidRPr="00D1252E">
        <w:rPr>
          <w:sz w:val="28"/>
          <w:szCs w:val="28"/>
        </w:rPr>
        <w:t>I.Pētersone</w:t>
      </w:r>
      <w:r w:rsidR="00B74BDF" w:rsidRPr="00D1252E">
        <w:rPr>
          <w:sz w:val="28"/>
          <w:szCs w:val="28"/>
        </w:rPr>
        <w:t>–</w:t>
      </w:r>
      <w:r w:rsidRPr="00D1252E">
        <w:rPr>
          <w:sz w:val="28"/>
          <w:szCs w:val="28"/>
        </w:rPr>
        <w:t>Godmane</w:t>
      </w:r>
    </w:p>
    <w:p w:rsidR="00AF1B96" w:rsidRDefault="00AF1B96"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3B20DC" w:rsidRDefault="003B20DC" w:rsidP="00D539DB">
      <w:pPr>
        <w:rPr>
          <w:color w:val="000000"/>
          <w:sz w:val="20"/>
          <w:szCs w:val="20"/>
        </w:rPr>
      </w:pPr>
    </w:p>
    <w:p w:rsidR="00DB0ED4" w:rsidRDefault="00DB0ED4" w:rsidP="00DB0ED4">
      <w:pPr>
        <w:rPr>
          <w:color w:val="000000"/>
          <w:sz w:val="20"/>
          <w:szCs w:val="20"/>
        </w:rPr>
      </w:pPr>
      <w:r>
        <w:rPr>
          <w:color w:val="000000"/>
          <w:sz w:val="20"/>
          <w:szCs w:val="20"/>
        </w:rPr>
        <w:fldChar w:fldCharType="begin"/>
      </w:r>
      <w:r>
        <w:rPr>
          <w:color w:val="000000"/>
          <w:sz w:val="20"/>
          <w:szCs w:val="20"/>
        </w:rPr>
        <w:instrText xml:space="preserve"> TIME \@ "dd.MM.yyyy H:mm" </w:instrText>
      </w:r>
      <w:r>
        <w:rPr>
          <w:color w:val="000000"/>
          <w:sz w:val="20"/>
          <w:szCs w:val="20"/>
        </w:rPr>
        <w:fldChar w:fldCharType="separate"/>
      </w:r>
      <w:r w:rsidR="000F45FA">
        <w:rPr>
          <w:noProof/>
          <w:color w:val="000000"/>
          <w:sz w:val="20"/>
          <w:szCs w:val="20"/>
        </w:rPr>
        <w:t>06.02.2014 9:54</w:t>
      </w:r>
      <w:r>
        <w:rPr>
          <w:color w:val="000000"/>
          <w:sz w:val="20"/>
          <w:szCs w:val="20"/>
        </w:rPr>
        <w:fldChar w:fldCharType="end"/>
      </w:r>
    </w:p>
    <w:p w:rsidR="00DB0ED4" w:rsidRPr="00A73F74" w:rsidRDefault="00295022" w:rsidP="00DB0ED4">
      <w:pPr>
        <w:rPr>
          <w:color w:val="000000"/>
          <w:sz w:val="20"/>
          <w:szCs w:val="20"/>
        </w:rPr>
      </w:pPr>
      <w:r>
        <w:rPr>
          <w:color w:val="000000"/>
          <w:sz w:val="20"/>
          <w:szCs w:val="20"/>
        </w:rPr>
        <w:t>1</w:t>
      </w:r>
      <w:r w:rsidR="003B20DC">
        <w:rPr>
          <w:color w:val="000000"/>
          <w:sz w:val="20"/>
          <w:szCs w:val="20"/>
        </w:rPr>
        <w:t>621</w:t>
      </w:r>
    </w:p>
    <w:p w:rsidR="00DB0ED4" w:rsidRPr="008825C4" w:rsidRDefault="00DB0ED4" w:rsidP="00DB0ED4">
      <w:pPr>
        <w:rPr>
          <w:color w:val="000000"/>
          <w:sz w:val="20"/>
          <w:szCs w:val="20"/>
        </w:rPr>
      </w:pPr>
      <w:r w:rsidRPr="008825C4">
        <w:rPr>
          <w:color w:val="000000"/>
          <w:sz w:val="20"/>
          <w:szCs w:val="20"/>
        </w:rPr>
        <w:t xml:space="preserve">Iekšlietu ministrijas veselības un </w:t>
      </w:r>
    </w:p>
    <w:p w:rsidR="00DB0ED4" w:rsidRPr="008825C4" w:rsidRDefault="00DB0ED4" w:rsidP="00DB0ED4">
      <w:pPr>
        <w:rPr>
          <w:color w:val="000000"/>
          <w:sz w:val="20"/>
          <w:szCs w:val="20"/>
        </w:rPr>
      </w:pPr>
      <w:r w:rsidRPr="008825C4">
        <w:rPr>
          <w:color w:val="000000"/>
          <w:sz w:val="20"/>
          <w:szCs w:val="20"/>
        </w:rPr>
        <w:t>sporta centra direktors</w:t>
      </w:r>
    </w:p>
    <w:p w:rsidR="00DB0ED4" w:rsidRPr="008825C4" w:rsidRDefault="00DB0ED4" w:rsidP="00DB0ED4">
      <w:pPr>
        <w:rPr>
          <w:color w:val="000000"/>
          <w:sz w:val="20"/>
          <w:szCs w:val="20"/>
        </w:rPr>
      </w:pPr>
      <w:r w:rsidRPr="008825C4">
        <w:rPr>
          <w:color w:val="000000"/>
          <w:sz w:val="20"/>
          <w:szCs w:val="20"/>
        </w:rPr>
        <w:t>U.Iskrovs</w:t>
      </w:r>
    </w:p>
    <w:p w:rsidR="00D1252E" w:rsidRDefault="00DB0ED4" w:rsidP="00D539DB">
      <w:pPr>
        <w:rPr>
          <w:color w:val="000000"/>
          <w:sz w:val="20"/>
          <w:szCs w:val="20"/>
        </w:rPr>
      </w:pPr>
      <w:r w:rsidRPr="008825C4">
        <w:rPr>
          <w:color w:val="000000"/>
          <w:sz w:val="20"/>
          <w:szCs w:val="20"/>
        </w:rPr>
        <w:t xml:space="preserve">67829851, </w:t>
      </w:r>
      <w:hyperlink r:id="rId13" w:history="1">
        <w:r w:rsidRPr="00697B64">
          <w:rPr>
            <w:rStyle w:val="Hyperlink"/>
            <w:sz w:val="20"/>
            <w:szCs w:val="20"/>
          </w:rPr>
          <w:t>ugis.iskrovs@iem.gov.lv</w:t>
        </w:r>
      </w:hyperlink>
    </w:p>
    <w:p w:rsidR="00D1252E" w:rsidRDefault="00D1252E" w:rsidP="00D539DB">
      <w:pPr>
        <w:rPr>
          <w:color w:val="000000"/>
          <w:sz w:val="20"/>
          <w:szCs w:val="20"/>
        </w:rPr>
      </w:pPr>
    </w:p>
    <w:sectPr w:rsidR="00D1252E" w:rsidSect="00542E31">
      <w:headerReference w:type="even" r:id="rId14"/>
      <w:headerReference w:type="default" r:id="rId15"/>
      <w:footerReference w:type="default" r:id="rId16"/>
      <w:footerReference w:type="first" r:id="rId17"/>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668" w:rsidRDefault="009C3668" w:rsidP="00616AA6">
      <w:r>
        <w:separator/>
      </w:r>
    </w:p>
  </w:endnote>
  <w:endnote w:type="continuationSeparator" w:id="0">
    <w:p w:rsidR="009C3668" w:rsidRDefault="009C3668" w:rsidP="0061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Dutch TL">
    <w:panose1 w:val="02020503060505020304"/>
    <w:charset w:val="BA"/>
    <w:family w:val="roman"/>
    <w:pitch w:val="variable"/>
    <w:sig w:usb0="800002AF" w:usb1="5000204A"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9A" w:rsidRPr="00E94311" w:rsidRDefault="00E94311" w:rsidP="00E94311">
    <w:pPr>
      <w:jc w:val="both"/>
      <w:rPr>
        <w:color w:val="000000"/>
        <w:sz w:val="20"/>
        <w:szCs w:val="20"/>
      </w:rPr>
    </w:pPr>
    <w:r w:rsidRPr="00D65D1A">
      <w:rPr>
        <w:sz w:val="20"/>
        <w:szCs w:val="20"/>
      </w:rPr>
      <w:t>IEMAnot_</w:t>
    </w:r>
    <w:r w:rsidR="0044178F">
      <w:rPr>
        <w:sz w:val="20"/>
        <w:szCs w:val="20"/>
      </w:rPr>
      <w:t>0</w:t>
    </w:r>
    <w:r w:rsidR="00F7104D">
      <w:rPr>
        <w:sz w:val="20"/>
        <w:szCs w:val="20"/>
      </w:rPr>
      <w:t>6</w:t>
    </w:r>
    <w:r>
      <w:rPr>
        <w:sz w:val="20"/>
        <w:szCs w:val="20"/>
      </w:rPr>
      <w:t>0</w:t>
    </w:r>
    <w:r w:rsidR="003B20DC">
      <w:rPr>
        <w:sz w:val="20"/>
        <w:szCs w:val="20"/>
      </w:rPr>
      <w:t>2</w:t>
    </w:r>
    <w:r>
      <w:rPr>
        <w:sz w:val="20"/>
        <w:szCs w:val="20"/>
      </w:rPr>
      <w:t>14</w:t>
    </w:r>
    <w:r w:rsidRPr="00D65D1A">
      <w:rPr>
        <w:sz w:val="20"/>
      </w:rPr>
      <w:t>_</w:t>
    </w:r>
    <w:r>
      <w:rPr>
        <w:sz w:val="20"/>
      </w:rPr>
      <w:t>atv.ves.doc</w:t>
    </w:r>
    <w:r w:rsidRPr="00D65D1A">
      <w:rPr>
        <w:sz w:val="20"/>
        <w:szCs w:val="20"/>
      </w:rPr>
      <w:t>; Ministru kabineta noteikumu projekta „</w:t>
    </w:r>
    <w:r w:rsidRPr="00DB0ED4">
      <w:rPr>
        <w:sz w:val="20"/>
        <w:szCs w:val="20"/>
      </w:rPr>
      <w:t>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proofErr w:type="gramStart"/>
    <w:r w:rsidRPr="00DB0ED4">
      <w:rPr>
        <w:sz w:val="20"/>
        <w:szCs w:val="20"/>
      </w:rPr>
      <w:t xml:space="preserve">  </w:t>
    </w:r>
    <w:proofErr w:type="gramEnd"/>
    <w:r w:rsidRPr="00D65D1A">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9A" w:rsidRPr="003B20DC" w:rsidRDefault="003B20DC" w:rsidP="003B20DC">
    <w:pPr>
      <w:jc w:val="both"/>
      <w:rPr>
        <w:color w:val="000000"/>
        <w:sz w:val="20"/>
        <w:szCs w:val="20"/>
      </w:rPr>
    </w:pPr>
    <w:r w:rsidRPr="00D65D1A">
      <w:rPr>
        <w:sz w:val="20"/>
        <w:szCs w:val="20"/>
      </w:rPr>
      <w:t>IEMAnot_</w:t>
    </w:r>
    <w:r>
      <w:rPr>
        <w:sz w:val="20"/>
        <w:szCs w:val="20"/>
      </w:rPr>
      <w:t>0</w:t>
    </w:r>
    <w:r w:rsidR="00F7104D">
      <w:rPr>
        <w:sz w:val="20"/>
        <w:szCs w:val="20"/>
      </w:rPr>
      <w:t>6</w:t>
    </w:r>
    <w:r>
      <w:rPr>
        <w:sz w:val="20"/>
        <w:szCs w:val="20"/>
      </w:rPr>
      <w:t>0214</w:t>
    </w:r>
    <w:r w:rsidRPr="00D65D1A">
      <w:rPr>
        <w:sz w:val="20"/>
      </w:rPr>
      <w:t>_</w:t>
    </w:r>
    <w:r>
      <w:rPr>
        <w:sz w:val="20"/>
      </w:rPr>
      <w:t>atv.ves.doc</w:t>
    </w:r>
    <w:r w:rsidRPr="00D65D1A">
      <w:rPr>
        <w:sz w:val="20"/>
        <w:szCs w:val="20"/>
      </w:rPr>
      <w:t>; Ministru kabineta noteikumu projekta „</w:t>
    </w:r>
    <w:r w:rsidRPr="00DB0ED4">
      <w:rPr>
        <w:sz w:val="20"/>
        <w:szCs w:val="20"/>
      </w:rPr>
      <w:t>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proofErr w:type="gramStart"/>
    <w:r w:rsidRPr="00DB0ED4">
      <w:rPr>
        <w:sz w:val="20"/>
        <w:szCs w:val="20"/>
      </w:rPr>
      <w:t xml:space="preserve">  </w:t>
    </w:r>
    <w:proofErr w:type="gramEnd"/>
    <w:r w:rsidRPr="00D65D1A">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668" w:rsidRDefault="009C3668" w:rsidP="00616AA6">
      <w:r>
        <w:separator/>
      </w:r>
    </w:p>
  </w:footnote>
  <w:footnote w:type="continuationSeparator" w:id="0">
    <w:p w:rsidR="009C3668" w:rsidRDefault="009C3668" w:rsidP="00616AA6">
      <w:r>
        <w:continuationSeparator/>
      </w:r>
    </w:p>
  </w:footnote>
  <w:footnote w:id="1">
    <w:p w:rsidR="00687963" w:rsidRPr="003215F3" w:rsidRDefault="00687963" w:rsidP="00687963">
      <w:pPr>
        <w:pStyle w:val="FootnoteText"/>
      </w:pPr>
      <w:r w:rsidRPr="003215F3">
        <w:rPr>
          <w:rStyle w:val="FootnoteReference"/>
        </w:rPr>
        <w:footnoteRef/>
      </w:r>
      <w:r w:rsidRPr="003215F3">
        <w:t xml:space="preserve"> Plānotais atvaļināto amatpersonu skaits, kurām ir tiesības uz apmaksātu veselības aprūpi</w:t>
      </w:r>
    </w:p>
  </w:footnote>
  <w:footnote w:id="2">
    <w:p w:rsidR="00687963" w:rsidRPr="003215F3" w:rsidRDefault="00687963" w:rsidP="00687963">
      <w:pPr>
        <w:pStyle w:val="FootnoteText"/>
      </w:pPr>
      <w:r w:rsidRPr="003215F3">
        <w:rPr>
          <w:rStyle w:val="FootnoteReference"/>
        </w:rPr>
        <w:footnoteRef/>
      </w:r>
      <w:r w:rsidRPr="003215F3">
        <w:t xml:space="preserve"> Vidējie izdevumi uz vienu personu ietver rehabilitācijas kursu vienu reizi gadā 500 </w:t>
      </w:r>
      <w:proofErr w:type="spellStart"/>
      <w:r w:rsidRPr="003215F3">
        <w:rPr>
          <w:i/>
        </w:rPr>
        <w:t>euro</w:t>
      </w:r>
      <w:proofErr w:type="spellEnd"/>
      <w:r w:rsidRPr="003215F3">
        <w:rPr>
          <w:i/>
        </w:rPr>
        <w:t xml:space="preserve"> </w:t>
      </w:r>
      <w:r w:rsidRPr="003215F3">
        <w:t xml:space="preserve">apmērā, pacientu iemaksas un </w:t>
      </w:r>
      <w:proofErr w:type="spellStart"/>
      <w:r w:rsidRPr="003215F3">
        <w:t>līdzmaksājumus</w:t>
      </w:r>
      <w:proofErr w:type="spellEnd"/>
      <w:r w:rsidRPr="003215F3">
        <w:t xml:space="preserve"> 567 </w:t>
      </w:r>
      <w:proofErr w:type="spellStart"/>
      <w:r w:rsidRPr="003215F3">
        <w:rPr>
          <w:i/>
        </w:rPr>
        <w:t>euro</w:t>
      </w:r>
      <w:proofErr w:type="spellEnd"/>
      <w:r w:rsidRPr="003215F3">
        <w:t xml:space="preserve">, izmeklējumus 115 </w:t>
      </w:r>
      <w:proofErr w:type="spellStart"/>
      <w:r w:rsidRPr="003215F3">
        <w:rPr>
          <w:i/>
        </w:rPr>
        <w:t>euro</w:t>
      </w:r>
      <w:proofErr w:type="spellEnd"/>
      <w:r w:rsidRPr="003215F3">
        <w:t xml:space="preserve"> un plānveida operāciju apmaksu 500 </w:t>
      </w:r>
      <w:proofErr w:type="spellStart"/>
      <w:r w:rsidRPr="003215F3">
        <w:rPr>
          <w:i/>
        </w:rPr>
        <w:t>euro</w:t>
      </w:r>
      <w:proofErr w:type="spellEnd"/>
    </w:p>
  </w:footnote>
  <w:footnote w:id="3">
    <w:p w:rsidR="00687963" w:rsidRPr="003215F3" w:rsidRDefault="00687963" w:rsidP="00687963">
      <w:pPr>
        <w:pStyle w:val="FootnoteText"/>
      </w:pPr>
      <w:r w:rsidRPr="003215F3">
        <w:rPr>
          <w:rStyle w:val="FootnoteReference"/>
        </w:rPr>
        <w:footnoteRef/>
      </w:r>
      <w:r w:rsidRPr="003215F3">
        <w:t xml:space="preserve"> Kompensācijas apmērs 470 </w:t>
      </w:r>
      <w:proofErr w:type="spellStart"/>
      <w:r w:rsidRPr="003215F3">
        <w:rPr>
          <w:i/>
        </w:rPr>
        <w:t>euro</w:t>
      </w:r>
      <w:proofErr w:type="spellEnd"/>
      <w:r w:rsidRPr="003215F3">
        <w:t xml:space="preserve"> ietver kompensāciju par </w:t>
      </w:r>
      <w:r w:rsidR="006B32AA">
        <w:t>maksas medicīniskajiem</w:t>
      </w:r>
      <w:r w:rsidRPr="003215F3">
        <w:t xml:space="preserve"> pakalpojumiem 215 </w:t>
      </w:r>
      <w:proofErr w:type="spellStart"/>
      <w:r w:rsidRPr="003215F3">
        <w:rPr>
          <w:i/>
        </w:rPr>
        <w:t>euro</w:t>
      </w:r>
      <w:proofErr w:type="spellEnd"/>
      <w:r w:rsidRPr="003215F3">
        <w:t xml:space="preserve">, kompensāciju par zobārstniecības izdevumiem 145 </w:t>
      </w:r>
      <w:proofErr w:type="spellStart"/>
      <w:r w:rsidRPr="003215F3">
        <w:rPr>
          <w:i/>
        </w:rPr>
        <w:t>euro</w:t>
      </w:r>
      <w:proofErr w:type="spellEnd"/>
      <w:r w:rsidRPr="003215F3">
        <w:t xml:space="preserve">, kompensāciju par medikamentu iegādi 75 </w:t>
      </w:r>
      <w:proofErr w:type="spellStart"/>
      <w:r w:rsidRPr="003215F3">
        <w:rPr>
          <w:i/>
        </w:rPr>
        <w:t>euro</w:t>
      </w:r>
      <w:proofErr w:type="spellEnd"/>
      <w:r w:rsidRPr="003215F3">
        <w:t xml:space="preserve"> un vidējos izdevumus par pacientu iemaksām un </w:t>
      </w:r>
      <w:proofErr w:type="spellStart"/>
      <w:r w:rsidRPr="003215F3">
        <w:t>līdzmaksājumiem</w:t>
      </w:r>
      <w:proofErr w:type="spellEnd"/>
      <w:r w:rsidRPr="003215F3">
        <w:t xml:space="preserve"> ārstniecības iestādēs, ar kurām Iekšlietu ministrijas veselības un sporta centram nav līgumattiecību 35 </w:t>
      </w:r>
      <w:proofErr w:type="spellStart"/>
      <w:r w:rsidRPr="003215F3">
        <w:rPr>
          <w:i/>
        </w:rPr>
        <w:t>euro</w:t>
      </w:r>
      <w:proofErr w:type="spellEnd"/>
      <w:r w:rsidRPr="003215F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9A" w:rsidRDefault="00E9479A"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479A" w:rsidRDefault="00E94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79A" w:rsidRDefault="00E9479A" w:rsidP="00E9479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45FA">
      <w:rPr>
        <w:rStyle w:val="PageNumber"/>
        <w:noProof/>
      </w:rPr>
      <w:t>2</w:t>
    </w:r>
    <w:r>
      <w:rPr>
        <w:rStyle w:val="PageNumber"/>
      </w:rPr>
      <w:fldChar w:fldCharType="end"/>
    </w:r>
  </w:p>
  <w:p w:rsidR="00E9479A" w:rsidRDefault="00E947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3F4"/>
    <w:multiLevelType w:val="hybridMultilevel"/>
    <w:tmpl w:val="66EE0DAA"/>
    <w:lvl w:ilvl="0" w:tplc="5DAC1A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9061FA"/>
    <w:multiLevelType w:val="hybridMultilevel"/>
    <w:tmpl w:val="347E3092"/>
    <w:lvl w:ilvl="0" w:tplc="04260001">
      <w:start w:val="1"/>
      <w:numFmt w:val="bullet"/>
      <w:lvlText w:val=""/>
      <w:lvlJc w:val="left"/>
      <w:pPr>
        <w:ind w:left="812" w:hanging="360"/>
      </w:pPr>
      <w:rPr>
        <w:rFonts w:ascii="Symbol" w:hAnsi="Symbol" w:hint="default"/>
      </w:rPr>
    </w:lvl>
    <w:lvl w:ilvl="1" w:tplc="04260003" w:tentative="1">
      <w:start w:val="1"/>
      <w:numFmt w:val="bullet"/>
      <w:lvlText w:val="o"/>
      <w:lvlJc w:val="left"/>
      <w:pPr>
        <w:ind w:left="1532" w:hanging="360"/>
      </w:pPr>
      <w:rPr>
        <w:rFonts w:ascii="Courier New" w:hAnsi="Courier New" w:cs="Courier New" w:hint="default"/>
      </w:rPr>
    </w:lvl>
    <w:lvl w:ilvl="2" w:tplc="04260005" w:tentative="1">
      <w:start w:val="1"/>
      <w:numFmt w:val="bullet"/>
      <w:lvlText w:val=""/>
      <w:lvlJc w:val="left"/>
      <w:pPr>
        <w:ind w:left="2252" w:hanging="360"/>
      </w:pPr>
      <w:rPr>
        <w:rFonts w:ascii="Wingdings" w:hAnsi="Wingdings" w:hint="default"/>
      </w:rPr>
    </w:lvl>
    <w:lvl w:ilvl="3" w:tplc="04260001" w:tentative="1">
      <w:start w:val="1"/>
      <w:numFmt w:val="bullet"/>
      <w:lvlText w:val=""/>
      <w:lvlJc w:val="left"/>
      <w:pPr>
        <w:ind w:left="2972" w:hanging="360"/>
      </w:pPr>
      <w:rPr>
        <w:rFonts w:ascii="Symbol" w:hAnsi="Symbol" w:hint="default"/>
      </w:rPr>
    </w:lvl>
    <w:lvl w:ilvl="4" w:tplc="04260003" w:tentative="1">
      <w:start w:val="1"/>
      <w:numFmt w:val="bullet"/>
      <w:lvlText w:val="o"/>
      <w:lvlJc w:val="left"/>
      <w:pPr>
        <w:ind w:left="3692" w:hanging="360"/>
      </w:pPr>
      <w:rPr>
        <w:rFonts w:ascii="Courier New" w:hAnsi="Courier New" w:cs="Courier New" w:hint="default"/>
      </w:rPr>
    </w:lvl>
    <w:lvl w:ilvl="5" w:tplc="04260005" w:tentative="1">
      <w:start w:val="1"/>
      <w:numFmt w:val="bullet"/>
      <w:lvlText w:val=""/>
      <w:lvlJc w:val="left"/>
      <w:pPr>
        <w:ind w:left="4412" w:hanging="360"/>
      </w:pPr>
      <w:rPr>
        <w:rFonts w:ascii="Wingdings" w:hAnsi="Wingdings" w:hint="default"/>
      </w:rPr>
    </w:lvl>
    <w:lvl w:ilvl="6" w:tplc="04260001" w:tentative="1">
      <w:start w:val="1"/>
      <w:numFmt w:val="bullet"/>
      <w:lvlText w:val=""/>
      <w:lvlJc w:val="left"/>
      <w:pPr>
        <w:ind w:left="5132" w:hanging="360"/>
      </w:pPr>
      <w:rPr>
        <w:rFonts w:ascii="Symbol" w:hAnsi="Symbol" w:hint="default"/>
      </w:rPr>
    </w:lvl>
    <w:lvl w:ilvl="7" w:tplc="04260003" w:tentative="1">
      <w:start w:val="1"/>
      <w:numFmt w:val="bullet"/>
      <w:lvlText w:val="o"/>
      <w:lvlJc w:val="left"/>
      <w:pPr>
        <w:ind w:left="5852" w:hanging="360"/>
      </w:pPr>
      <w:rPr>
        <w:rFonts w:ascii="Courier New" w:hAnsi="Courier New" w:cs="Courier New" w:hint="default"/>
      </w:rPr>
    </w:lvl>
    <w:lvl w:ilvl="8" w:tplc="04260005" w:tentative="1">
      <w:start w:val="1"/>
      <w:numFmt w:val="bullet"/>
      <w:lvlText w:val=""/>
      <w:lvlJc w:val="left"/>
      <w:pPr>
        <w:ind w:left="6572" w:hanging="360"/>
      </w:pPr>
      <w:rPr>
        <w:rFonts w:ascii="Wingdings" w:hAnsi="Wingdings" w:hint="default"/>
      </w:rPr>
    </w:lvl>
  </w:abstractNum>
  <w:abstractNum w:abstractNumId="2">
    <w:nsid w:val="387C3588"/>
    <w:multiLevelType w:val="hybridMultilevel"/>
    <w:tmpl w:val="33D24DB6"/>
    <w:lvl w:ilvl="0" w:tplc="2C58B31E">
      <w:start w:val="1"/>
      <w:numFmt w:val="decimal"/>
      <w:lvlText w:val="%1."/>
      <w:lvlJc w:val="left"/>
      <w:pPr>
        <w:ind w:left="530" w:hanging="360"/>
      </w:pPr>
      <w:rPr>
        <w:rFonts w:hint="default"/>
      </w:rPr>
    </w:lvl>
    <w:lvl w:ilvl="1" w:tplc="04260019" w:tentative="1">
      <w:start w:val="1"/>
      <w:numFmt w:val="lowerLetter"/>
      <w:lvlText w:val="%2."/>
      <w:lvlJc w:val="left"/>
      <w:pPr>
        <w:ind w:left="1250" w:hanging="360"/>
      </w:pPr>
    </w:lvl>
    <w:lvl w:ilvl="2" w:tplc="0426001B" w:tentative="1">
      <w:start w:val="1"/>
      <w:numFmt w:val="lowerRoman"/>
      <w:lvlText w:val="%3."/>
      <w:lvlJc w:val="right"/>
      <w:pPr>
        <w:ind w:left="1970" w:hanging="180"/>
      </w:pPr>
    </w:lvl>
    <w:lvl w:ilvl="3" w:tplc="0426000F" w:tentative="1">
      <w:start w:val="1"/>
      <w:numFmt w:val="decimal"/>
      <w:lvlText w:val="%4."/>
      <w:lvlJc w:val="left"/>
      <w:pPr>
        <w:ind w:left="2690" w:hanging="360"/>
      </w:pPr>
    </w:lvl>
    <w:lvl w:ilvl="4" w:tplc="04260019" w:tentative="1">
      <w:start w:val="1"/>
      <w:numFmt w:val="lowerLetter"/>
      <w:lvlText w:val="%5."/>
      <w:lvlJc w:val="left"/>
      <w:pPr>
        <w:ind w:left="3410" w:hanging="360"/>
      </w:pPr>
    </w:lvl>
    <w:lvl w:ilvl="5" w:tplc="0426001B" w:tentative="1">
      <w:start w:val="1"/>
      <w:numFmt w:val="lowerRoman"/>
      <w:lvlText w:val="%6."/>
      <w:lvlJc w:val="right"/>
      <w:pPr>
        <w:ind w:left="4130" w:hanging="180"/>
      </w:pPr>
    </w:lvl>
    <w:lvl w:ilvl="6" w:tplc="0426000F" w:tentative="1">
      <w:start w:val="1"/>
      <w:numFmt w:val="decimal"/>
      <w:lvlText w:val="%7."/>
      <w:lvlJc w:val="left"/>
      <w:pPr>
        <w:ind w:left="4850" w:hanging="360"/>
      </w:pPr>
    </w:lvl>
    <w:lvl w:ilvl="7" w:tplc="04260019" w:tentative="1">
      <w:start w:val="1"/>
      <w:numFmt w:val="lowerLetter"/>
      <w:lvlText w:val="%8."/>
      <w:lvlJc w:val="left"/>
      <w:pPr>
        <w:ind w:left="5570" w:hanging="360"/>
      </w:pPr>
    </w:lvl>
    <w:lvl w:ilvl="8" w:tplc="0426001B" w:tentative="1">
      <w:start w:val="1"/>
      <w:numFmt w:val="lowerRoman"/>
      <w:lvlText w:val="%9."/>
      <w:lvlJc w:val="right"/>
      <w:pPr>
        <w:ind w:left="6290" w:hanging="180"/>
      </w:pPr>
    </w:lvl>
  </w:abstractNum>
  <w:abstractNum w:abstractNumId="3">
    <w:nsid w:val="45C1369C"/>
    <w:multiLevelType w:val="multilevel"/>
    <w:tmpl w:val="50403740"/>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6100F84"/>
    <w:multiLevelType w:val="hybridMultilevel"/>
    <w:tmpl w:val="162AB26A"/>
    <w:lvl w:ilvl="0" w:tplc="FFF04D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4AD47460"/>
    <w:multiLevelType w:val="hybridMultilevel"/>
    <w:tmpl w:val="5C1275BC"/>
    <w:lvl w:ilvl="0" w:tplc="6214104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3C02BF4"/>
    <w:multiLevelType w:val="hybridMultilevel"/>
    <w:tmpl w:val="7ABE3916"/>
    <w:lvl w:ilvl="0" w:tplc="F25EA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3F066F0"/>
    <w:multiLevelType w:val="hybridMultilevel"/>
    <w:tmpl w:val="1CE61D66"/>
    <w:lvl w:ilvl="0" w:tplc="AB58D7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B7552E8"/>
    <w:multiLevelType w:val="hybridMultilevel"/>
    <w:tmpl w:val="36F6F89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6C029F7"/>
    <w:multiLevelType w:val="hybridMultilevel"/>
    <w:tmpl w:val="4956F116"/>
    <w:lvl w:ilvl="0" w:tplc="19426CC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99C2A30"/>
    <w:multiLevelType w:val="hybridMultilevel"/>
    <w:tmpl w:val="D5444D38"/>
    <w:lvl w:ilvl="0" w:tplc="2072213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10"/>
  </w:num>
  <w:num w:numId="2">
    <w:abstractNumId w:val="9"/>
  </w:num>
  <w:num w:numId="3">
    <w:abstractNumId w:val="5"/>
  </w:num>
  <w:num w:numId="4">
    <w:abstractNumId w:val="0"/>
  </w:num>
  <w:num w:numId="5">
    <w:abstractNumId w:val="6"/>
  </w:num>
  <w:num w:numId="6">
    <w:abstractNumId w:val="2"/>
  </w:num>
  <w:num w:numId="7">
    <w:abstractNumId w:val="8"/>
  </w:num>
  <w:num w:numId="8">
    <w:abstractNumId w:val="7"/>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A6"/>
    <w:rsid w:val="00000A7A"/>
    <w:rsid w:val="0002334F"/>
    <w:rsid w:val="00027C37"/>
    <w:rsid w:val="00042BA1"/>
    <w:rsid w:val="0005756D"/>
    <w:rsid w:val="00057968"/>
    <w:rsid w:val="0007077C"/>
    <w:rsid w:val="00070AA3"/>
    <w:rsid w:val="0007285A"/>
    <w:rsid w:val="0007528A"/>
    <w:rsid w:val="000757EC"/>
    <w:rsid w:val="000766CF"/>
    <w:rsid w:val="00080BAA"/>
    <w:rsid w:val="000A06FD"/>
    <w:rsid w:val="000A7F51"/>
    <w:rsid w:val="000C75A6"/>
    <w:rsid w:val="000F1582"/>
    <w:rsid w:val="000F2F91"/>
    <w:rsid w:val="000F4156"/>
    <w:rsid w:val="000F45FA"/>
    <w:rsid w:val="001106A5"/>
    <w:rsid w:val="00116D23"/>
    <w:rsid w:val="00127E4B"/>
    <w:rsid w:val="00132192"/>
    <w:rsid w:val="001403DC"/>
    <w:rsid w:val="00144CAD"/>
    <w:rsid w:val="001548CC"/>
    <w:rsid w:val="00166FDD"/>
    <w:rsid w:val="0017581A"/>
    <w:rsid w:val="00186EFA"/>
    <w:rsid w:val="00193A8B"/>
    <w:rsid w:val="00197C43"/>
    <w:rsid w:val="001B30CD"/>
    <w:rsid w:val="001B3EBE"/>
    <w:rsid w:val="001D078B"/>
    <w:rsid w:val="001D349F"/>
    <w:rsid w:val="001E3E86"/>
    <w:rsid w:val="001F4C14"/>
    <w:rsid w:val="00201BD9"/>
    <w:rsid w:val="002055CE"/>
    <w:rsid w:val="00221979"/>
    <w:rsid w:val="00223E3D"/>
    <w:rsid w:val="00237C20"/>
    <w:rsid w:val="002447E8"/>
    <w:rsid w:val="00246FDC"/>
    <w:rsid w:val="002554BA"/>
    <w:rsid w:val="00257716"/>
    <w:rsid w:val="002720A2"/>
    <w:rsid w:val="00273A9F"/>
    <w:rsid w:val="00275C6D"/>
    <w:rsid w:val="0029110D"/>
    <w:rsid w:val="002926D3"/>
    <w:rsid w:val="002940CD"/>
    <w:rsid w:val="00295022"/>
    <w:rsid w:val="002960EA"/>
    <w:rsid w:val="002A6197"/>
    <w:rsid w:val="002A7573"/>
    <w:rsid w:val="002B10A1"/>
    <w:rsid w:val="002B4610"/>
    <w:rsid w:val="002B5B67"/>
    <w:rsid w:val="002C58A7"/>
    <w:rsid w:val="002C7006"/>
    <w:rsid w:val="002E6C12"/>
    <w:rsid w:val="003019EE"/>
    <w:rsid w:val="0030306E"/>
    <w:rsid w:val="00311674"/>
    <w:rsid w:val="003126D5"/>
    <w:rsid w:val="003317B9"/>
    <w:rsid w:val="0035487B"/>
    <w:rsid w:val="00361CA0"/>
    <w:rsid w:val="00373890"/>
    <w:rsid w:val="00374F27"/>
    <w:rsid w:val="00375FAB"/>
    <w:rsid w:val="0038231F"/>
    <w:rsid w:val="003B10C2"/>
    <w:rsid w:val="003B20DC"/>
    <w:rsid w:val="003C5BC9"/>
    <w:rsid w:val="003C6387"/>
    <w:rsid w:val="003D1339"/>
    <w:rsid w:val="003D1A40"/>
    <w:rsid w:val="00403411"/>
    <w:rsid w:val="004034E0"/>
    <w:rsid w:val="00410DE6"/>
    <w:rsid w:val="004130AE"/>
    <w:rsid w:val="004139D6"/>
    <w:rsid w:val="004175B1"/>
    <w:rsid w:val="004262C0"/>
    <w:rsid w:val="004327F8"/>
    <w:rsid w:val="00437542"/>
    <w:rsid w:val="0044178F"/>
    <w:rsid w:val="004430F1"/>
    <w:rsid w:val="004519E2"/>
    <w:rsid w:val="004545E7"/>
    <w:rsid w:val="004676D7"/>
    <w:rsid w:val="004705F1"/>
    <w:rsid w:val="004767AF"/>
    <w:rsid w:val="004854D4"/>
    <w:rsid w:val="004A11F7"/>
    <w:rsid w:val="004C51BE"/>
    <w:rsid w:val="004C5F57"/>
    <w:rsid w:val="004C669F"/>
    <w:rsid w:val="004D1FCD"/>
    <w:rsid w:val="004D4483"/>
    <w:rsid w:val="00500381"/>
    <w:rsid w:val="00502E7D"/>
    <w:rsid w:val="00527A75"/>
    <w:rsid w:val="00527E3D"/>
    <w:rsid w:val="0053087D"/>
    <w:rsid w:val="00542E31"/>
    <w:rsid w:val="00545E70"/>
    <w:rsid w:val="005651F4"/>
    <w:rsid w:val="005731A8"/>
    <w:rsid w:val="00581CD9"/>
    <w:rsid w:val="005847E2"/>
    <w:rsid w:val="00593AC8"/>
    <w:rsid w:val="005B2CE7"/>
    <w:rsid w:val="005C3D9C"/>
    <w:rsid w:val="00612D7E"/>
    <w:rsid w:val="00616AA6"/>
    <w:rsid w:val="006329F8"/>
    <w:rsid w:val="00633D6B"/>
    <w:rsid w:val="00664FC6"/>
    <w:rsid w:val="00687963"/>
    <w:rsid w:val="006A0DA7"/>
    <w:rsid w:val="006B32AA"/>
    <w:rsid w:val="006C55ED"/>
    <w:rsid w:val="006E3688"/>
    <w:rsid w:val="006E480C"/>
    <w:rsid w:val="006E54AA"/>
    <w:rsid w:val="006E76B7"/>
    <w:rsid w:val="006F73BC"/>
    <w:rsid w:val="0070343E"/>
    <w:rsid w:val="00710EAA"/>
    <w:rsid w:val="00725865"/>
    <w:rsid w:val="00730E41"/>
    <w:rsid w:val="00732C68"/>
    <w:rsid w:val="00736938"/>
    <w:rsid w:val="00747C51"/>
    <w:rsid w:val="007528E2"/>
    <w:rsid w:val="00753535"/>
    <w:rsid w:val="00755684"/>
    <w:rsid w:val="007610E4"/>
    <w:rsid w:val="00765A92"/>
    <w:rsid w:val="007702EA"/>
    <w:rsid w:val="0077070F"/>
    <w:rsid w:val="00772A46"/>
    <w:rsid w:val="00784CED"/>
    <w:rsid w:val="00794E6B"/>
    <w:rsid w:val="007B0C0C"/>
    <w:rsid w:val="007B5718"/>
    <w:rsid w:val="007D3FD0"/>
    <w:rsid w:val="007D4C86"/>
    <w:rsid w:val="007D783D"/>
    <w:rsid w:val="007F4918"/>
    <w:rsid w:val="00805D9E"/>
    <w:rsid w:val="0080751B"/>
    <w:rsid w:val="00816363"/>
    <w:rsid w:val="008167ED"/>
    <w:rsid w:val="00822A14"/>
    <w:rsid w:val="00834ED9"/>
    <w:rsid w:val="008372E7"/>
    <w:rsid w:val="00837BD6"/>
    <w:rsid w:val="0084798E"/>
    <w:rsid w:val="008605D0"/>
    <w:rsid w:val="00863DB5"/>
    <w:rsid w:val="00866E6B"/>
    <w:rsid w:val="00874E35"/>
    <w:rsid w:val="008907B1"/>
    <w:rsid w:val="008936BC"/>
    <w:rsid w:val="008A023A"/>
    <w:rsid w:val="008A4EEF"/>
    <w:rsid w:val="008C2585"/>
    <w:rsid w:val="008C2D66"/>
    <w:rsid w:val="008C47BE"/>
    <w:rsid w:val="008C6FC8"/>
    <w:rsid w:val="008D5F20"/>
    <w:rsid w:val="008F2ACB"/>
    <w:rsid w:val="0090153F"/>
    <w:rsid w:val="009114A0"/>
    <w:rsid w:val="00921B1A"/>
    <w:rsid w:val="00927C25"/>
    <w:rsid w:val="009304C8"/>
    <w:rsid w:val="00947830"/>
    <w:rsid w:val="00953A72"/>
    <w:rsid w:val="0095755C"/>
    <w:rsid w:val="00963119"/>
    <w:rsid w:val="009652EF"/>
    <w:rsid w:val="00977B2E"/>
    <w:rsid w:val="0098089E"/>
    <w:rsid w:val="0098181D"/>
    <w:rsid w:val="009860E6"/>
    <w:rsid w:val="0099042F"/>
    <w:rsid w:val="00990B02"/>
    <w:rsid w:val="00991ED2"/>
    <w:rsid w:val="00997FA9"/>
    <w:rsid w:val="009A1D77"/>
    <w:rsid w:val="009A64DE"/>
    <w:rsid w:val="009A6FC2"/>
    <w:rsid w:val="009B1BDE"/>
    <w:rsid w:val="009B766D"/>
    <w:rsid w:val="009B7E5E"/>
    <w:rsid w:val="009C3026"/>
    <w:rsid w:val="009C3668"/>
    <w:rsid w:val="009D1066"/>
    <w:rsid w:val="009D62F6"/>
    <w:rsid w:val="009E0671"/>
    <w:rsid w:val="009E4FD6"/>
    <w:rsid w:val="009F0229"/>
    <w:rsid w:val="00A074A5"/>
    <w:rsid w:val="00A07F4E"/>
    <w:rsid w:val="00A102C0"/>
    <w:rsid w:val="00A105D7"/>
    <w:rsid w:val="00A217E7"/>
    <w:rsid w:val="00A244EA"/>
    <w:rsid w:val="00A329B2"/>
    <w:rsid w:val="00A55FEA"/>
    <w:rsid w:val="00A63E6C"/>
    <w:rsid w:val="00A6421B"/>
    <w:rsid w:val="00A81223"/>
    <w:rsid w:val="00A84C26"/>
    <w:rsid w:val="00A91B2A"/>
    <w:rsid w:val="00A9333D"/>
    <w:rsid w:val="00A959EC"/>
    <w:rsid w:val="00A965F1"/>
    <w:rsid w:val="00AB0063"/>
    <w:rsid w:val="00AB3C41"/>
    <w:rsid w:val="00AC1E3B"/>
    <w:rsid w:val="00AE4367"/>
    <w:rsid w:val="00AE608F"/>
    <w:rsid w:val="00AE70EE"/>
    <w:rsid w:val="00AF000F"/>
    <w:rsid w:val="00AF1B96"/>
    <w:rsid w:val="00AF352B"/>
    <w:rsid w:val="00AF666E"/>
    <w:rsid w:val="00B01423"/>
    <w:rsid w:val="00B0227E"/>
    <w:rsid w:val="00B03005"/>
    <w:rsid w:val="00B069C2"/>
    <w:rsid w:val="00B06A93"/>
    <w:rsid w:val="00B14E57"/>
    <w:rsid w:val="00B313A5"/>
    <w:rsid w:val="00B31A7F"/>
    <w:rsid w:val="00B55E0D"/>
    <w:rsid w:val="00B73EF6"/>
    <w:rsid w:val="00B74BDF"/>
    <w:rsid w:val="00B8301F"/>
    <w:rsid w:val="00B85665"/>
    <w:rsid w:val="00B8615D"/>
    <w:rsid w:val="00B9098B"/>
    <w:rsid w:val="00B93F08"/>
    <w:rsid w:val="00B945D8"/>
    <w:rsid w:val="00BC1C4E"/>
    <w:rsid w:val="00BD6300"/>
    <w:rsid w:val="00BE2989"/>
    <w:rsid w:val="00BE31A9"/>
    <w:rsid w:val="00C10320"/>
    <w:rsid w:val="00C152B1"/>
    <w:rsid w:val="00C215E5"/>
    <w:rsid w:val="00C21897"/>
    <w:rsid w:val="00C22E09"/>
    <w:rsid w:val="00C338A6"/>
    <w:rsid w:val="00C40B1A"/>
    <w:rsid w:val="00C435E9"/>
    <w:rsid w:val="00C47791"/>
    <w:rsid w:val="00C477D5"/>
    <w:rsid w:val="00C51910"/>
    <w:rsid w:val="00C555E0"/>
    <w:rsid w:val="00C56A76"/>
    <w:rsid w:val="00C60D64"/>
    <w:rsid w:val="00C657C0"/>
    <w:rsid w:val="00C66F33"/>
    <w:rsid w:val="00C67515"/>
    <w:rsid w:val="00C67B32"/>
    <w:rsid w:val="00C70E01"/>
    <w:rsid w:val="00C772F4"/>
    <w:rsid w:val="00C82AE8"/>
    <w:rsid w:val="00C82F00"/>
    <w:rsid w:val="00C971D2"/>
    <w:rsid w:val="00CB37D3"/>
    <w:rsid w:val="00CB4634"/>
    <w:rsid w:val="00CB62A9"/>
    <w:rsid w:val="00CB661F"/>
    <w:rsid w:val="00CC35CF"/>
    <w:rsid w:val="00CC4638"/>
    <w:rsid w:val="00CC496E"/>
    <w:rsid w:val="00CC7EB6"/>
    <w:rsid w:val="00CD54B5"/>
    <w:rsid w:val="00CE3660"/>
    <w:rsid w:val="00CE36C0"/>
    <w:rsid w:val="00CE417F"/>
    <w:rsid w:val="00D01F6B"/>
    <w:rsid w:val="00D1252E"/>
    <w:rsid w:val="00D12B8D"/>
    <w:rsid w:val="00D22685"/>
    <w:rsid w:val="00D23903"/>
    <w:rsid w:val="00D27291"/>
    <w:rsid w:val="00D34670"/>
    <w:rsid w:val="00D346C9"/>
    <w:rsid w:val="00D4062C"/>
    <w:rsid w:val="00D42003"/>
    <w:rsid w:val="00D42BC2"/>
    <w:rsid w:val="00D430F0"/>
    <w:rsid w:val="00D43746"/>
    <w:rsid w:val="00D45A48"/>
    <w:rsid w:val="00D539DB"/>
    <w:rsid w:val="00D556A2"/>
    <w:rsid w:val="00D5707B"/>
    <w:rsid w:val="00D65488"/>
    <w:rsid w:val="00D65D1A"/>
    <w:rsid w:val="00D80896"/>
    <w:rsid w:val="00D8120A"/>
    <w:rsid w:val="00D915CC"/>
    <w:rsid w:val="00D94C4E"/>
    <w:rsid w:val="00DB0ED4"/>
    <w:rsid w:val="00DB313F"/>
    <w:rsid w:val="00DB3BC6"/>
    <w:rsid w:val="00DC152F"/>
    <w:rsid w:val="00DC287F"/>
    <w:rsid w:val="00DC5725"/>
    <w:rsid w:val="00DD02FF"/>
    <w:rsid w:val="00DE03B5"/>
    <w:rsid w:val="00DE0EDD"/>
    <w:rsid w:val="00DE5A66"/>
    <w:rsid w:val="00DF2B43"/>
    <w:rsid w:val="00DF3A97"/>
    <w:rsid w:val="00DF45E9"/>
    <w:rsid w:val="00E06CCE"/>
    <w:rsid w:val="00E07EB8"/>
    <w:rsid w:val="00E150BC"/>
    <w:rsid w:val="00E249A5"/>
    <w:rsid w:val="00E27051"/>
    <w:rsid w:val="00E411B7"/>
    <w:rsid w:val="00E568D4"/>
    <w:rsid w:val="00E7262B"/>
    <w:rsid w:val="00E75E5B"/>
    <w:rsid w:val="00E80593"/>
    <w:rsid w:val="00E86D2D"/>
    <w:rsid w:val="00E94311"/>
    <w:rsid w:val="00E9479A"/>
    <w:rsid w:val="00EA3691"/>
    <w:rsid w:val="00EA526B"/>
    <w:rsid w:val="00EA55BE"/>
    <w:rsid w:val="00EA7D81"/>
    <w:rsid w:val="00EC51E6"/>
    <w:rsid w:val="00ED2217"/>
    <w:rsid w:val="00ED3E5A"/>
    <w:rsid w:val="00ED6A06"/>
    <w:rsid w:val="00ED7568"/>
    <w:rsid w:val="00EE0C0F"/>
    <w:rsid w:val="00EE4A6F"/>
    <w:rsid w:val="00EE501B"/>
    <w:rsid w:val="00EE55CF"/>
    <w:rsid w:val="00EF30AD"/>
    <w:rsid w:val="00EF75F9"/>
    <w:rsid w:val="00F02DB5"/>
    <w:rsid w:val="00F03184"/>
    <w:rsid w:val="00F0543C"/>
    <w:rsid w:val="00F11BBB"/>
    <w:rsid w:val="00F129F4"/>
    <w:rsid w:val="00F13B40"/>
    <w:rsid w:val="00F153B3"/>
    <w:rsid w:val="00F16489"/>
    <w:rsid w:val="00F17318"/>
    <w:rsid w:val="00F22CE0"/>
    <w:rsid w:val="00F31085"/>
    <w:rsid w:val="00F44595"/>
    <w:rsid w:val="00F506A2"/>
    <w:rsid w:val="00F55478"/>
    <w:rsid w:val="00F602CC"/>
    <w:rsid w:val="00F66B7E"/>
    <w:rsid w:val="00F7104D"/>
    <w:rsid w:val="00F9365C"/>
    <w:rsid w:val="00FA18B8"/>
    <w:rsid w:val="00FA6074"/>
    <w:rsid w:val="00FB0D6A"/>
    <w:rsid w:val="00FC116E"/>
    <w:rsid w:val="00FC26F8"/>
    <w:rsid w:val="00FC2F9C"/>
    <w:rsid w:val="00FC538E"/>
    <w:rsid w:val="00FD1BF2"/>
    <w:rsid w:val="00FD2175"/>
    <w:rsid w:val="00FD5FE7"/>
    <w:rsid w:val="00FE11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unhideWhenUsed/>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rsid w:val="00F44595"/>
    <w:rPr>
      <w:rFonts w:ascii="Tahoma" w:eastAsia="Times New Roman" w:hAnsi="Tahoma" w:cs="Tahoma"/>
      <w:sz w:val="16"/>
      <w:szCs w:val="16"/>
    </w:rPr>
  </w:style>
  <w:style w:type="paragraph" w:customStyle="1" w:styleId="naisnod">
    <w:name w:val="naisnod"/>
    <w:basedOn w:val="Normal"/>
    <w:rsid w:val="002926D3"/>
    <w:pPr>
      <w:suppressAutoHyphens/>
      <w:spacing w:before="150" w:after="150"/>
      <w:jc w:val="center"/>
    </w:pPr>
    <w:rPr>
      <w:b/>
      <w:bCs/>
      <w:lang w:eastAsia="ar-SA"/>
    </w:rPr>
  </w:style>
  <w:style w:type="paragraph" w:customStyle="1" w:styleId="naiskr">
    <w:name w:val="naiskr"/>
    <w:basedOn w:val="Normal"/>
    <w:rsid w:val="002926D3"/>
    <w:pPr>
      <w:suppressAutoHyphens/>
      <w:spacing w:before="75" w:after="75"/>
    </w:pPr>
    <w:rPr>
      <w:lang w:eastAsia="ar-SA"/>
    </w:rPr>
  </w:style>
  <w:style w:type="paragraph" w:customStyle="1" w:styleId="CharCharCharChar">
    <w:name w:val="Char Char Char Char"/>
    <w:basedOn w:val="Normal"/>
    <w:rsid w:val="00FE110A"/>
    <w:pPr>
      <w:spacing w:after="160" w:line="240" w:lineRule="exact"/>
    </w:pPr>
    <w:rPr>
      <w:rFonts w:ascii="Dutch TL" w:hAnsi="Dutch TL"/>
      <w:sz w:val="28"/>
      <w:szCs w:val="20"/>
      <w:lang w:eastAsia="zh-TW"/>
    </w:rPr>
  </w:style>
  <w:style w:type="paragraph" w:styleId="ListParagraph">
    <w:name w:val="List Paragraph"/>
    <w:basedOn w:val="Normal"/>
    <w:uiPriority w:val="34"/>
    <w:qFormat/>
    <w:rsid w:val="00B8615D"/>
    <w:pPr>
      <w:ind w:left="720"/>
      <w:contextualSpacing/>
    </w:pPr>
  </w:style>
  <w:style w:type="paragraph" w:styleId="NoSpacing">
    <w:name w:val="No Spacing"/>
    <w:uiPriority w:val="1"/>
    <w:qFormat/>
    <w:rsid w:val="00FD1BF2"/>
    <w:pPr>
      <w:spacing w:after="0" w:line="240" w:lineRule="auto"/>
    </w:pPr>
  </w:style>
  <w:style w:type="paragraph" w:styleId="FootnoteText">
    <w:name w:val="footnote text"/>
    <w:basedOn w:val="Normal"/>
    <w:link w:val="FootnoteTextChar"/>
    <w:rsid w:val="00ED6A06"/>
    <w:rPr>
      <w:sz w:val="20"/>
      <w:szCs w:val="20"/>
      <w:lang w:eastAsia="lv-LV"/>
    </w:rPr>
  </w:style>
  <w:style w:type="character" w:customStyle="1" w:styleId="FootnoteTextChar">
    <w:name w:val="Footnote Text Char"/>
    <w:basedOn w:val="DefaultParagraphFont"/>
    <w:link w:val="FootnoteText"/>
    <w:rsid w:val="00ED6A06"/>
    <w:rPr>
      <w:rFonts w:ascii="Times New Roman" w:eastAsia="Times New Roman" w:hAnsi="Times New Roman" w:cs="Times New Roman"/>
      <w:sz w:val="20"/>
      <w:szCs w:val="20"/>
      <w:lang w:eastAsia="lv-LV"/>
    </w:rPr>
  </w:style>
  <w:style w:type="character" w:styleId="FootnoteReference">
    <w:name w:val="footnote reference"/>
    <w:semiHidden/>
    <w:rsid w:val="00ED6A06"/>
    <w:rPr>
      <w:vertAlign w:val="superscript"/>
    </w:rPr>
  </w:style>
  <w:style w:type="table" w:styleId="TableGrid">
    <w:name w:val="Table Grid"/>
    <w:basedOn w:val="TableNormal"/>
    <w:uiPriority w:val="59"/>
    <w:rsid w:val="00F03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41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AA6"/>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616AA6"/>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AA6"/>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616AA6"/>
    <w:pPr>
      <w:jc w:val="center"/>
    </w:pPr>
    <w:rPr>
      <w:b/>
      <w:bCs/>
      <w:sz w:val="28"/>
    </w:rPr>
  </w:style>
  <w:style w:type="character" w:customStyle="1" w:styleId="BodyTextChar">
    <w:name w:val="Body Text Char"/>
    <w:basedOn w:val="DefaultParagraphFont"/>
    <w:link w:val="BodyText"/>
    <w:rsid w:val="00616AA6"/>
    <w:rPr>
      <w:rFonts w:ascii="Times New Roman" w:eastAsia="Times New Roman" w:hAnsi="Times New Roman" w:cs="Times New Roman"/>
      <w:b/>
      <w:bCs/>
      <w:sz w:val="28"/>
      <w:szCs w:val="24"/>
    </w:rPr>
  </w:style>
  <w:style w:type="paragraph" w:customStyle="1" w:styleId="naisf">
    <w:name w:val="naisf"/>
    <w:basedOn w:val="Normal"/>
    <w:rsid w:val="00616AA6"/>
    <w:pPr>
      <w:spacing w:before="75" w:after="75"/>
      <w:ind w:firstLine="375"/>
      <w:jc w:val="both"/>
    </w:pPr>
    <w:rPr>
      <w:lang w:eastAsia="lv-LV"/>
    </w:rPr>
  </w:style>
  <w:style w:type="paragraph" w:styleId="Header">
    <w:name w:val="header"/>
    <w:basedOn w:val="Normal"/>
    <w:link w:val="HeaderChar"/>
    <w:rsid w:val="00616AA6"/>
    <w:pPr>
      <w:tabs>
        <w:tab w:val="center" w:pos="4153"/>
        <w:tab w:val="right" w:pos="8306"/>
      </w:tabs>
    </w:pPr>
    <w:rPr>
      <w:lang w:eastAsia="lv-LV"/>
    </w:rPr>
  </w:style>
  <w:style w:type="character" w:customStyle="1" w:styleId="HeaderChar">
    <w:name w:val="Header Char"/>
    <w:basedOn w:val="DefaultParagraphFont"/>
    <w:link w:val="Header"/>
    <w:rsid w:val="00616AA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616AA6"/>
    <w:pPr>
      <w:tabs>
        <w:tab w:val="center" w:pos="4153"/>
        <w:tab w:val="right" w:pos="8306"/>
      </w:tabs>
    </w:pPr>
    <w:rPr>
      <w:lang w:eastAsia="lv-LV"/>
    </w:rPr>
  </w:style>
  <w:style w:type="character" w:customStyle="1" w:styleId="FooterChar">
    <w:name w:val="Footer Char"/>
    <w:basedOn w:val="DefaultParagraphFont"/>
    <w:link w:val="Footer"/>
    <w:uiPriority w:val="99"/>
    <w:rsid w:val="00616AA6"/>
    <w:rPr>
      <w:rFonts w:ascii="Times New Roman" w:eastAsia="Times New Roman" w:hAnsi="Times New Roman" w:cs="Times New Roman"/>
      <w:sz w:val="24"/>
      <w:szCs w:val="24"/>
      <w:lang w:eastAsia="lv-LV"/>
    </w:rPr>
  </w:style>
  <w:style w:type="character" w:styleId="PageNumber">
    <w:name w:val="page number"/>
    <w:basedOn w:val="DefaultParagraphFont"/>
    <w:rsid w:val="00616AA6"/>
  </w:style>
  <w:style w:type="paragraph" w:customStyle="1" w:styleId="tv213">
    <w:name w:val="tv213"/>
    <w:basedOn w:val="Normal"/>
    <w:rsid w:val="005651F4"/>
    <w:pPr>
      <w:spacing w:before="100" w:beforeAutospacing="1" w:after="100" w:afterAutospacing="1"/>
    </w:pPr>
    <w:rPr>
      <w:lang w:eastAsia="lv-LV"/>
    </w:rPr>
  </w:style>
  <w:style w:type="character" w:styleId="Hyperlink">
    <w:name w:val="Hyperlink"/>
    <w:basedOn w:val="DefaultParagraphFont"/>
    <w:uiPriority w:val="99"/>
    <w:rsid w:val="00D539DB"/>
    <w:rPr>
      <w:rFonts w:cs="Times New Roman"/>
      <w:color w:val="0000FF"/>
      <w:u w:val="single"/>
    </w:rPr>
  </w:style>
  <w:style w:type="paragraph" w:styleId="BalloonText">
    <w:name w:val="Balloon Text"/>
    <w:basedOn w:val="Normal"/>
    <w:link w:val="BalloonTextChar"/>
    <w:uiPriority w:val="99"/>
    <w:semiHidden/>
    <w:unhideWhenUsed/>
    <w:rsid w:val="00F44595"/>
    <w:rPr>
      <w:rFonts w:ascii="Tahoma" w:hAnsi="Tahoma" w:cs="Tahoma"/>
      <w:sz w:val="16"/>
      <w:szCs w:val="16"/>
    </w:rPr>
  </w:style>
  <w:style w:type="character" w:customStyle="1" w:styleId="BalloonTextChar">
    <w:name w:val="Balloon Text Char"/>
    <w:basedOn w:val="DefaultParagraphFont"/>
    <w:link w:val="BalloonText"/>
    <w:uiPriority w:val="99"/>
    <w:semiHidden/>
    <w:rsid w:val="00F44595"/>
    <w:rPr>
      <w:rFonts w:ascii="Tahoma" w:eastAsia="Times New Roman" w:hAnsi="Tahoma" w:cs="Tahoma"/>
      <w:sz w:val="16"/>
      <w:szCs w:val="16"/>
    </w:rPr>
  </w:style>
  <w:style w:type="paragraph" w:customStyle="1" w:styleId="naisnod">
    <w:name w:val="naisnod"/>
    <w:basedOn w:val="Normal"/>
    <w:rsid w:val="002926D3"/>
    <w:pPr>
      <w:suppressAutoHyphens/>
      <w:spacing w:before="150" w:after="150"/>
      <w:jc w:val="center"/>
    </w:pPr>
    <w:rPr>
      <w:b/>
      <w:bCs/>
      <w:lang w:eastAsia="ar-SA"/>
    </w:rPr>
  </w:style>
  <w:style w:type="paragraph" w:customStyle="1" w:styleId="naiskr">
    <w:name w:val="naiskr"/>
    <w:basedOn w:val="Normal"/>
    <w:rsid w:val="002926D3"/>
    <w:pPr>
      <w:suppressAutoHyphens/>
      <w:spacing w:before="75" w:after="75"/>
    </w:pPr>
    <w:rPr>
      <w:lang w:eastAsia="ar-SA"/>
    </w:rPr>
  </w:style>
  <w:style w:type="paragraph" w:customStyle="1" w:styleId="CharCharCharChar">
    <w:name w:val="Char Char Char Char"/>
    <w:basedOn w:val="Normal"/>
    <w:rsid w:val="00FE110A"/>
    <w:pPr>
      <w:spacing w:after="160" w:line="240" w:lineRule="exact"/>
    </w:pPr>
    <w:rPr>
      <w:rFonts w:ascii="Dutch TL" w:hAnsi="Dutch TL"/>
      <w:sz w:val="28"/>
      <w:szCs w:val="20"/>
      <w:lang w:eastAsia="zh-TW"/>
    </w:rPr>
  </w:style>
  <w:style w:type="paragraph" w:styleId="ListParagraph">
    <w:name w:val="List Paragraph"/>
    <w:basedOn w:val="Normal"/>
    <w:uiPriority w:val="34"/>
    <w:qFormat/>
    <w:rsid w:val="00B8615D"/>
    <w:pPr>
      <w:ind w:left="720"/>
      <w:contextualSpacing/>
    </w:pPr>
  </w:style>
  <w:style w:type="paragraph" w:styleId="NoSpacing">
    <w:name w:val="No Spacing"/>
    <w:uiPriority w:val="1"/>
    <w:qFormat/>
    <w:rsid w:val="00FD1BF2"/>
    <w:pPr>
      <w:spacing w:after="0" w:line="240" w:lineRule="auto"/>
    </w:pPr>
  </w:style>
  <w:style w:type="paragraph" w:styleId="FootnoteText">
    <w:name w:val="footnote text"/>
    <w:basedOn w:val="Normal"/>
    <w:link w:val="FootnoteTextChar"/>
    <w:rsid w:val="00ED6A06"/>
    <w:rPr>
      <w:sz w:val="20"/>
      <w:szCs w:val="20"/>
      <w:lang w:eastAsia="lv-LV"/>
    </w:rPr>
  </w:style>
  <w:style w:type="character" w:customStyle="1" w:styleId="FootnoteTextChar">
    <w:name w:val="Footnote Text Char"/>
    <w:basedOn w:val="DefaultParagraphFont"/>
    <w:link w:val="FootnoteText"/>
    <w:rsid w:val="00ED6A06"/>
    <w:rPr>
      <w:rFonts w:ascii="Times New Roman" w:eastAsia="Times New Roman" w:hAnsi="Times New Roman" w:cs="Times New Roman"/>
      <w:sz w:val="20"/>
      <w:szCs w:val="20"/>
      <w:lang w:eastAsia="lv-LV"/>
    </w:rPr>
  </w:style>
  <w:style w:type="character" w:styleId="FootnoteReference">
    <w:name w:val="footnote reference"/>
    <w:semiHidden/>
    <w:rsid w:val="00ED6A06"/>
    <w:rPr>
      <w:vertAlign w:val="superscript"/>
    </w:rPr>
  </w:style>
  <w:style w:type="table" w:styleId="TableGrid">
    <w:name w:val="Table Grid"/>
    <w:basedOn w:val="TableNormal"/>
    <w:uiPriority w:val="59"/>
    <w:rsid w:val="00F03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41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134">
      <w:bodyDiv w:val="1"/>
      <w:marLeft w:val="0"/>
      <w:marRight w:val="0"/>
      <w:marTop w:val="0"/>
      <w:marBottom w:val="0"/>
      <w:divBdr>
        <w:top w:val="none" w:sz="0" w:space="0" w:color="auto"/>
        <w:left w:val="none" w:sz="0" w:space="0" w:color="auto"/>
        <w:bottom w:val="none" w:sz="0" w:space="0" w:color="auto"/>
        <w:right w:val="none" w:sz="0" w:space="0" w:color="auto"/>
      </w:divBdr>
    </w:div>
    <w:div w:id="579025058">
      <w:bodyDiv w:val="1"/>
      <w:marLeft w:val="0"/>
      <w:marRight w:val="0"/>
      <w:marTop w:val="0"/>
      <w:marBottom w:val="0"/>
      <w:divBdr>
        <w:top w:val="none" w:sz="0" w:space="0" w:color="auto"/>
        <w:left w:val="none" w:sz="0" w:space="0" w:color="auto"/>
        <w:bottom w:val="none" w:sz="0" w:space="0" w:color="auto"/>
        <w:right w:val="none" w:sz="0" w:space="0" w:color="auto"/>
      </w:divBdr>
    </w:div>
    <w:div w:id="1009867744">
      <w:bodyDiv w:val="1"/>
      <w:marLeft w:val="0"/>
      <w:marRight w:val="0"/>
      <w:marTop w:val="0"/>
      <w:marBottom w:val="0"/>
      <w:divBdr>
        <w:top w:val="none" w:sz="0" w:space="0" w:color="auto"/>
        <w:left w:val="none" w:sz="0" w:space="0" w:color="auto"/>
        <w:bottom w:val="none" w:sz="0" w:space="0" w:color="auto"/>
        <w:right w:val="none" w:sz="0" w:space="0" w:color="auto"/>
      </w:divBdr>
    </w:div>
    <w:div w:id="1288003351">
      <w:bodyDiv w:val="1"/>
      <w:marLeft w:val="0"/>
      <w:marRight w:val="0"/>
      <w:marTop w:val="0"/>
      <w:marBottom w:val="0"/>
      <w:divBdr>
        <w:top w:val="none" w:sz="0" w:space="0" w:color="auto"/>
        <w:left w:val="none" w:sz="0" w:space="0" w:color="auto"/>
        <w:bottom w:val="none" w:sz="0" w:space="0" w:color="auto"/>
        <w:right w:val="none" w:sz="0" w:space="0" w:color="auto"/>
      </w:divBdr>
    </w:div>
    <w:div w:id="1492066999">
      <w:bodyDiv w:val="1"/>
      <w:marLeft w:val="0"/>
      <w:marRight w:val="0"/>
      <w:marTop w:val="0"/>
      <w:marBottom w:val="0"/>
      <w:divBdr>
        <w:top w:val="none" w:sz="0" w:space="0" w:color="auto"/>
        <w:left w:val="none" w:sz="0" w:space="0" w:color="auto"/>
        <w:bottom w:val="none" w:sz="0" w:space="0" w:color="auto"/>
        <w:right w:val="none" w:sz="0" w:space="0" w:color="auto"/>
      </w:divBdr>
    </w:div>
    <w:div w:id="1588614595">
      <w:bodyDiv w:val="1"/>
      <w:marLeft w:val="0"/>
      <w:marRight w:val="0"/>
      <w:marTop w:val="0"/>
      <w:marBottom w:val="0"/>
      <w:divBdr>
        <w:top w:val="none" w:sz="0" w:space="0" w:color="auto"/>
        <w:left w:val="none" w:sz="0" w:space="0" w:color="auto"/>
        <w:bottom w:val="none" w:sz="0" w:space="0" w:color="auto"/>
        <w:right w:val="none" w:sz="0" w:space="0" w:color="auto"/>
      </w:divBdr>
    </w:div>
    <w:div w:id="211563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gis.iskrovs@ie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20227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202273"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ikumi.lv/doc.php?id=20227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ikumi.lv/doc.php?id=20227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547B5-D16A-4610-85A7-17DC61C2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8078</Words>
  <Characters>4605</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Manager>U.Iskrovs 67829851</Manager>
  <Company>IeM</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projektam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dc:title>
  <dc:subject>IEMAnoMinistru kabineta noteikumu projekta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  sākotnējās ietekmes novērtējuma ziņojums (anotācija)</dc:subject>
  <dc:creator>U.Iskrovs</dc:creator>
  <dc:description>67829851 ugis.iskrovs@iem.gov.lv</dc:description>
  <cp:lastModifiedBy>Linda Kārkliņa</cp:lastModifiedBy>
  <cp:revision>5</cp:revision>
  <cp:lastPrinted>2014-02-06T06:29:00Z</cp:lastPrinted>
  <dcterms:created xsi:type="dcterms:W3CDTF">2014-02-05T11:10:00Z</dcterms:created>
  <dcterms:modified xsi:type="dcterms:W3CDTF">2014-02-06T07:55:00Z</dcterms:modified>
</cp:coreProperties>
</file>