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EC5" w:rsidRDefault="00626EC5" w:rsidP="00534988">
      <w:pPr>
        <w:jc w:val="center"/>
        <w:rPr>
          <w:b/>
          <w:sz w:val="28"/>
          <w:szCs w:val="28"/>
        </w:rPr>
      </w:pPr>
      <w:bookmarkStart w:id="0" w:name="_GoBack"/>
      <w:bookmarkEnd w:id="0"/>
    </w:p>
    <w:p w:rsidR="00534988" w:rsidRPr="00BA5E65" w:rsidRDefault="00534988" w:rsidP="00534988">
      <w:pPr>
        <w:jc w:val="center"/>
        <w:rPr>
          <w:b/>
          <w:color w:val="000000"/>
          <w:sz w:val="28"/>
          <w:szCs w:val="28"/>
        </w:rPr>
      </w:pPr>
      <w:r w:rsidRPr="00BA5E65">
        <w:rPr>
          <w:b/>
          <w:sz w:val="28"/>
          <w:szCs w:val="28"/>
        </w:rPr>
        <w:t>Ministru kabineta noteikumu projekta „Grozījum</w:t>
      </w:r>
      <w:r w:rsidR="00450FAD">
        <w:rPr>
          <w:b/>
          <w:sz w:val="28"/>
          <w:szCs w:val="28"/>
        </w:rPr>
        <w:t>i</w:t>
      </w:r>
      <w:r w:rsidRPr="00BA5E65">
        <w:rPr>
          <w:b/>
          <w:color w:val="000000"/>
          <w:sz w:val="28"/>
          <w:szCs w:val="28"/>
        </w:rPr>
        <w:t xml:space="preserve"> Ministru kabineta </w:t>
      </w:r>
      <w:r w:rsidRPr="00BA5E65">
        <w:rPr>
          <w:b/>
          <w:sz w:val="28"/>
          <w:szCs w:val="28"/>
        </w:rPr>
        <w:t xml:space="preserve">2010.gada 1.jūnija </w:t>
      </w:r>
      <w:r w:rsidRPr="00BA5E65">
        <w:rPr>
          <w:b/>
          <w:color w:val="000000"/>
          <w:sz w:val="28"/>
          <w:szCs w:val="28"/>
        </w:rPr>
        <w:t>noteikumos Nr.</w:t>
      </w:r>
      <w:r w:rsidRPr="00BA5E65">
        <w:rPr>
          <w:b/>
          <w:bCs/>
          <w:sz w:val="28"/>
          <w:szCs w:val="28"/>
        </w:rPr>
        <w:t>496 „</w:t>
      </w:r>
      <w:r w:rsidRPr="00BA5E65">
        <w:rPr>
          <w:b/>
          <w:sz w:val="28"/>
          <w:szCs w:val="28"/>
        </w:rPr>
        <w:t xml:space="preserve">Kritiskās infrastruktūras, tajā skaitā Eiropas kritiskās infrastruktūras, apzināšanas un drošības pasākumu plānošanas un īstenošanas kārtība”” sākotnējās ietekmes novērtējuma </w:t>
      </w:r>
      <w:smartTag w:uri="schemas-tilde-lv/tildestengine" w:element="veidnes">
        <w:smartTagPr>
          <w:attr w:name="id" w:val="-1"/>
          <w:attr w:name="baseform" w:val="ziņojums"/>
          <w:attr w:name="text" w:val="ziņojums"/>
        </w:smartTagPr>
        <w:r w:rsidRPr="00BA5E65">
          <w:rPr>
            <w:b/>
            <w:sz w:val="28"/>
            <w:szCs w:val="28"/>
          </w:rPr>
          <w:t>ziņojums</w:t>
        </w:r>
      </w:smartTag>
    </w:p>
    <w:p w:rsidR="00534988" w:rsidRPr="00BA5E65" w:rsidRDefault="00534988" w:rsidP="00534988">
      <w:pPr>
        <w:pStyle w:val="Footer"/>
        <w:jc w:val="center"/>
        <w:rPr>
          <w:b/>
          <w:sz w:val="28"/>
          <w:szCs w:val="28"/>
        </w:rPr>
      </w:pPr>
      <w:r w:rsidRPr="00BA5E65">
        <w:rPr>
          <w:b/>
          <w:sz w:val="28"/>
          <w:szCs w:val="28"/>
        </w:rPr>
        <w:t>(anotācija)</w:t>
      </w:r>
    </w:p>
    <w:p w:rsidR="00D16979" w:rsidRPr="00BA5E65" w:rsidRDefault="00D16979" w:rsidP="00534988">
      <w:pPr>
        <w:pStyle w:val="Footer"/>
        <w:jc w:val="center"/>
        <w:rPr>
          <w:b/>
          <w:sz w:val="28"/>
          <w:szCs w:val="28"/>
        </w:rPr>
      </w:pPr>
    </w:p>
    <w:p w:rsidR="00534988" w:rsidRPr="00BA5E65" w:rsidRDefault="00534988" w:rsidP="00534988">
      <w:pPr>
        <w:pStyle w:val="BodyText"/>
        <w:rPr>
          <w:szCs w:val="28"/>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7"/>
        <w:gridCol w:w="2642"/>
        <w:gridCol w:w="7"/>
        <w:gridCol w:w="5367"/>
      </w:tblGrid>
      <w:tr w:rsidR="00534988" w:rsidRPr="00BA5E65" w:rsidTr="00ED26B0">
        <w:tc>
          <w:tcPr>
            <w:tcW w:w="9061" w:type="dxa"/>
            <w:gridSpan w:val="5"/>
          </w:tcPr>
          <w:p w:rsidR="00534988" w:rsidRPr="00BA5E65" w:rsidRDefault="00534988" w:rsidP="00ED26B0">
            <w:pPr>
              <w:pStyle w:val="BodyText"/>
              <w:rPr>
                <w:szCs w:val="28"/>
              </w:rPr>
            </w:pPr>
            <w:r w:rsidRPr="00BA5E65">
              <w:rPr>
                <w:szCs w:val="28"/>
              </w:rPr>
              <w:t>I. Tiesību akta projekta izstrādes nepieciešamība</w:t>
            </w:r>
          </w:p>
        </w:tc>
      </w:tr>
      <w:tr w:rsidR="00534988" w:rsidRPr="00BA5E65" w:rsidTr="00ED26B0">
        <w:tc>
          <w:tcPr>
            <w:tcW w:w="1045" w:type="dxa"/>
            <w:gridSpan w:val="2"/>
          </w:tcPr>
          <w:p w:rsidR="00534988" w:rsidRPr="00BA5E65" w:rsidRDefault="00534988" w:rsidP="00ED26B0">
            <w:pPr>
              <w:jc w:val="center"/>
              <w:rPr>
                <w:sz w:val="28"/>
                <w:szCs w:val="28"/>
              </w:rPr>
            </w:pPr>
            <w:r w:rsidRPr="00BA5E65">
              <w:rPr>
                <w:sz w:val="28"/>
                <w:szCs w:val="28"/>
              </w:rPr>
              <w:t>1.</w:t>
            </w:r>
          </w:p>
        </w:tc>
        <w:tc>
          <w:tcPr>
            <w:tcW w:w="2649" w:type="dxa"/>
            <w:gridSpan w:val="2"/>
          </w:tcPr>
          <w:p w:rsidR="00534988" w:rsidRPr="00BA5E65" w:rsidRDefault="00534988" w:rsidP="00ED26B0">
            <w:pPr>
              <w:rPr>
                <w:sz w:val="28"/>
                <w:szCs w:val="28"/>
              </w:rPr>
            </w:pPr>
            <w:r w:rsidRPr="00BA5E65">
              <w:rPr>
                <w:sz w:val="28"/>
                <w:szCs w:val="28"/>
              </w:rPr>
              <w:t>Pamatojums</w:t>
            </w:r>
          </w:p>
        </w:tc>
        <w:tc>
          <w:tcPr>
            <w:tcW w:w="5367" w:type="dxa"/>
          </w:tcPr>
          <w:p w:rsidR="00534988" w:rsidRPr="00BA5E65" w:rsidRDefault="00DE2A37" w:rsidP="00DE2A37">
            <w:pPr>
              <w:ind w:firstLine="720"/>
              <w:jc w:val="both"/>
              <w:rPr>
                <w:sz w:val="28"/>
                <w:szCs w:val="28"/>
              </w:rPr>
            </w:pPr>
            <w:r w:rsidRPr="00BA5E65">
              <w:rPr>
                <w:sz w:val="28"/>
                <w:szCs w:val="28"/>
              </w:rPr>
              <w:t>Saskaņā ar 2012.gada 10.aprīļa Ministru kabineta sēdē (prot.Nr.19, 39.§, 2.p.) nolemto, lai ieviestu tiesisko regulējumu visos normatīvajos aktos atbilstoši Ministru kabineta 2011.gada 15.novembra sēdē atbalstītajos likumprojektos "Grozījumi Civillikumā", "Grozījumi Civilprocesa likumā" un "Grozījumi Bāriņtiesu likumā (prot. Nr.67 45., 46. un 47.§) paredzētajām izmaiņām rīcības spējas tiesiskajā regulējumā, kā arī Apvienoto Nāciju Organizācijas Konvencijai par personu ar invaliditāti tiesībām, visām ministrijām atbilstoši to kompetencei sešu mēnešu laikā no likumprojektu stāšanās spēkā uzdots sagatavot un iesniegt noteiktā kārtībā Ministru kabinetā attiecīgus normatīvo aktu projektus.</w:t>
            </w:r>
          </w:p>
        </w:tc>
      </w:tr>
      <w:tr w:rsidR="00534988" w:rsidRPr="00301D66" w:rsidTr="00ED26B0">
        <w:tc>
          <w:tcPr>
            <w:tcW w:w="1045" w:type="dxa"/>
            <w:gridSpan w:val="2"/>
          </w:tcPr>
          <w:p w:rsidR="00534988" w:rsidRPr="00BA5E65" w:rsidRDefault="00534988" w:rsidP="00ED26B0">
            <w:pPr>
              <w:jc w:val="center"/>
              <w:rPr>
                <w:sz w:val="28"/>
                <w:szCs w:val="28"/>
              </w:rPr>
            </w:pPr>
            <w:r w:rsidRPr="00BA5E65">
              <w:rPr>
                <w:sz w:val="28"/>
                <w:szCs w:val="28"/>
              </w:rPr>
              <w:t>2.</w:t>
            </w:r>
          </w:p>
        </w:tc>
        <w:tc>
          <w:tcPr>
            <w:tcW w:w="2649" w:type="dxa"/>
            <w:gridSpan w:val="2"/>
          </w:tcPr>
          <w:p w:rsidR="00534988" w:rsidRPr="00BA5E65" w:rsidRDefault="00534988" w:rsidP="00ED26B0">
            <w:pPr>
              <w:rPr>
                <w:sz w:val="28"/>
                <w:szCs w:val="28"/>
              </w:rPr>
            </w:pPr>
            <w:r w:rsidRPr="00BA5E65">
              <w:rPr>
                <w:sz w:val="28"/>
                <w:szCs w:val="28"/>
              </w:rPr>
              <w:t>Pašreizējā situācija un problēmas</w:t>
            </w:r>
          </w:p>
        </w:tc>
        <w:tc>
          <w:tcPr>
            <w:tcW w:w="5367" w:type="dxa"/>
          </w:tcPr>
          <w:p w:rsidR="00D104D0" w:rsidRPr="00301D66" w:rsidRDefault="00D104D0" w:rsidP="000272A1">
            <w:pPr>
              <w:ind w:firstLine="720"/>
              <w:jc w:val="both"/>
              <w:rPr>
                <w:sz w:val="28"/>
                <w:szCs w:val="28"/>
              </w:rPr>
            </w:pPr>
            <w:r w:rsidRPr="00301D66">
              <w:rPr>
                <w:sz w:val="28"/>
                <w:szCs w:val="28"/>
              </w:rPr>
              <w:t xml:space="preserve">Atbilstoši Nacionālās drošības likuma </w:t>
            </w:r>
            <w:r w:rsidRPr="00301D66">
              <w:rPr>
                <w:bCs/>
                <w:sz w:val="28"/>
                <w:szCs w:val="28"/>
              </w:rPr>
              <w:t>22.</w:t>
            </w:r>
            <w:r w:rsidRPr="00301D66">
              <w:rPr>
                <w:bCs/>
                <w:sz w:val="28"/>
                <w:szCs w:val="28"/>
                <w:vertAlign w:val="superscript"/>
              </w:rPr>
              <w:t>2</w:t>
            </w:r>
            <w:r w:rsidRPr="00301D66">
              <w:rPr>
                <w:bCs/>
                <w:sz w:val="28"/>
                <w:szCs w:val="28"/>
              </w:rPr>
              <w:t xml:space="preserve"> pantam, k</w:t>
            </w:r>
            <w:r w:rsidRPr="00301D66">
              <w:rPr>
                <w:sz w:val="28"/>
                <w:szCs w:val="28"/>
              </w:rPr>
              <w:t>ritiskā infrastruktūra ir Latvijas Republikā izvietoti objekti, sistēmas vai to daļas, kuras ir būtiskas svarīgu sabiedrības funkciju īstenošanas, kā arī cilvēku veselības aizsardzības, drošības, ekonomiskās vai sociālās labklājības nodrošināšanai un kuru iznīcināšana vai darbības traucējumi būtiski ietekmētu valsts funkciju īstenošanu.</w:t>
            </w:r>
          </w:p>
          <w:p w:rsidR="00D104D0" w:rsidRPr="00301D66" w:rsidRDefault="00DE2A37" w:rsidP="000272A1">
            <w:pPr>
              <w:ind w:firstLine="720"/>
              <w:jc w:val="both"/>
              <w:rPr>
                <w:sz w:val="28"/>
                <w:szCs w:val="28"/>
              </w:rPr>
            </w:pPr>
            <w:r w:rsidRPr="00301D66">
              <w:rPr>
                <w:sz w:val="28"/>
                <w:szCs w:val="28"/>
              </w:rPr>
              <w:t xml:space="preserve">Ministru kabineta 2010.gada 1.jūnija noteikumu Nr.496 „Kritiskās infrastruktūras, </w:t>
            </w:r>
            <w:r w:rsidRPr="00301D66">
              <w:rPr>
                <w:sz w:val="28"/>
                <w:szCs w:val="28"/>
              </w:rPr>
              <w:lastRenderedPageBreak/>
              <w:t>tajā skaitā Eiropas kritiskās infrastruktūras, apzināšanas un drošības pasākumu plānošanas un īstenošanas kārtība”</w:t>
            </w:r>
            <w:r w:rsidR="00D104D0" w:rsidRPr="00301D66">
              <w:rPr>
                <w:sz w:val="28"/>
                <w:szCs w:val="28"/>
              </w:rPr>
              <w:t xml:space="preserve"> (turpmāk – noteikumi Nr.496)</w:t>
            </w:r>
            <w:r w:rsidR="006F4939" w:rsidRPr="00301D66">
              <w:rPr>
                <w:sz w:val="28"/>
                <w:szCs w:val="28"/>
              </w:rPr>
              <w:t xml:space="preserve"> 25.punkts nosaka, ka kritiskās infrastruktūras vai Eiropas kritiskās infrastruktūras īpašnieks vai tiesiskais valdītājs norīko par infrastruktūras drošību atbildīgo amatpersonu un nosaka tās uzdevumus. Minēto noteikumu 26.punkts nosaka, kādām prasībām ir jāatbilst par kritiskās infrastruktūras vai Eiropas kritiskās infrastruktūras drošību atbildīgajai amatpersonai, un 26.5.apakšpunkts paredz, ka par kritiskās infrastruktūras vai Eiropas kritiskās infrastruktūras drošības atbildīgo personu var būt persona, kura nav atzīta par rīcībnespējīgu likumā noteiktajā kārtībā. </w:t>
            </w:r>
          </w:p>
          <w:p w:rsidR="00E90EC8" w:rsidRPr="00301D66" w:rsidRDefault="00D104D0" w:rsidP="000272A1">
            <w:pPr>
              <w:ind w:firstLine="720"/>
              <w:jc w:val="both"/>
              <w:rPr>
                <w:sz w:val="28"/>
                <w:szCs w:val="28"/>
              </w:rPr>
            </w:pPr>
            <w:r w:rsidRPr="00301D66">
              <w:rPr>
                <w:sz w:val="28"/>
                <w:szCs w:val="28"/>
              </w:rPr>
              <w:t>Par kritiskās infrastruktūras vai Eiropas kritiskās infrastruktūras drošību atbildīgā amatperso</w:t>
            </w:r>
            <w:r w:rsidR="00E90EC8" w:rsidRPr="00301D66">
              <w:rPr>
                <w:sz w:val="28"/>
                <w:szCs w:val="28"/>
              </w:rPr>
              <w:t xml:space="preserve">na </w:t>
            </w:r>
            <w:r w:rsidRPr="00301D66">
              <w:rPr>
                <w:sz w:val="28"/>
                <w:szCs w:val="28"/>
              </w:rPr>
              <w:t>plāno kritiskās infrastruktūras vai Eiropas kritiskās infr</w:t>
            </w:r>
            <w:r w:rsidR="00E90EC8" w:rsidRPr="00301D66">
              <w:rPr>
                <w:sz w:val="28"/>
                <w:szCs w:val="28"/>
              </w:rPr>
              <w:t xml:space="preserve">astruktūras drošības pasākumus un </w:t>
            </w:r>
            <w:r w:rsidRPr="00301D66">
              <w:rPr>
                <w:sz w:val="28"/>
                <w:szCs w:val="28"/>
              </w:rPr>
              <w:t>izstrādā un saskaņo kritiskās infrastruktūras civilās aizsardzības plānu atbilstoši normatīvajiem aktiem par civilās aizsardzības plāna izstrādāšanu</w:t>
            </w:r>
            <w:r w:rsidR="00E90EC8" w:rsidRPr="00301D66">
              <w:rPr>
                <w:sz w:val="28"/>
                <w:szCs w:val="28"/>
              </w:rPr>
              <w:t xml:space="preserve"> atbilstoši noteikumu Nr.496 29.punktam. Nacionālās drošības likuma </w:t>
            </w:r>
            <w:r w:rsidR="00E90EC8" w:rsidRPr="00301D66">
              <w:rPr>
                <w:bCs/>
                <w:sz w:val="28"/>
                <w:szCs w:val="28"/>
              </w:rPr>
              <w:t>22.</w:t>
            </w:r>
            <w:r w:rsidR="00E90EC8" w:rsidRPr="00301D66">
              <w:rPr>
                <w:bCs/>
                <w:sz w:val="28"/>
                <w:szCs w:val="28"/>
                <w:vertAlign w:val="superscript"/>
              </w:rPr>
              <w:t>2</w:t>
            </w:r>
            <w:r w:rsidR="00E90EC8" w:rsidRPr="00301D66">
              <w:rPr>
                <w:bCs/>
                <w:sz w:val="28"/>
                <w:szCs w:val="28"/>
              </w:rPr>
              <w:t xml:space="preserve"> panta ceturtā un piektā daļa nosaka, ka k</w:t>
            </w:r>
            <w:r w:rsidR="00E90EC8" w:rsidRPr="00301D66">
              <w:rPr>
                <w:sz w:val="28"/>
                <w:szCs w:val="28"/>
              </w:rPr>
              <w:t xml:space="preserve">ritiskās infrastruktūras, tajā skaitā Eiropas kritiskās infrastruktūras, īpašnieks vai tiesiskais valdītājs nodrošina drošības pasākumu plānošanu un īstenošanu un nosaka iekšējiem drošības pasākumus reglamentējošiem dokumentiem ierobežotas pieejamības informācijas statusu. Noteikumu Nr.496 </w:t>
            </w:r>
            <w:r w:rsidR="00A147C3" w:rsidRPr="00301D66">
              <w:rPr>
                <w:sz w:val="28"/>
                <w:szCs w:val="28"/>
              </w:rPr>
              <w:t xml:space="preserve">pielikums </w:t>
            </w:r>
            <w:r w:rsidR="00E90EC8" w:rsidRPr="00301D66">
              <w:rPr>
                <w:sz w:val="28"/>
                <w:szCs w:val="28"/>
              </w:rPr>
              <w:t xml:space="preserve">nosaka kritiskās infrastruktūras vai Eiropas kritiskās infrastruktūras drošības pasākumus reglamentējošajos dokumentos obligāti </w:t>
            </w:r>
            <w:r w:rsidR="00E90EC8" w:rsidRPr="00301D66">
              <w:rPr>
                <w:sz w:val="28"/>
                <w:szCs w:val="28"/>
              </w:rPr>
              <w:lastRenderedPageBreak/>
              <w:t xml:space="preserve">iekļaujamo informāciju, piemēram, </w:t>
            </w:r>
            <w:r w:rsidR="00EA4CBA" w:rsidRPr="00301D66">
              <w:rPr>
                <w:sz w:val="28"/>
                <w:szCs w:val="28"/>
              </w:rPr>
              <w:t xml:space="preserve">informācija par </w:t>
            </w:r>
            <w:r w:rsidR="00E90EC8" w:rsidRPr="00301D66">
              <w:rPr>
                <w:sz w:val="28"/>
                <w:szCs w:val="28"/>
              </w:rPr>
              <w:t>ārējā perimetra aizsardzīb</w:t>
            </w:r>
            <w:r w:rsidR="00EA4CBA" w:rsidRPr="00301D66">
              <w:rPr>
                <w:sz w:val="28"/>
                <w:szCs w:val="28"/>
              </w:rPr>
              <w:t>u</w:t>
            </w:r>
            <w:r w:rsidR="00E90EC8" w:rsidRPr="00301D66">
              <w:rPr>
                <w:sz w:val="28"/>
                <w:szCs w:val="28"/>
              </w:rPr>
              <w:t>, i</w:t>
            </w:r>
            <w:r w:rsidR="00EA4CBA" w:rsidRPr="00301D66">
              <w:rPr>
                <w:sz w:val="28"/>
                <w:szCs w:val="28"/>
              </w:rPr>
              <w:t>ekļūšanas kontroli</w:t>
            </w:r>
            <w:r w:rsidR="00E90EC8" w:rsidRPr="00301D66">
              <w:rPr>
                <w:sz w:val="28"/>
                <w:szCs w:val="28"/>
              </w:rPr>
              <w:t xml:space="preserve"> kritiskajā infrastruktūrā vai Eiropas kritiskajā infrastruktūrā vai tās teritorijā, </w:t>
            </w:r>
            <w:r w:rsidR="00EA4CBA" w:rsidRPr="00301D66">
              <w:rPr>
                <w:sz w:val="28"/>
                <w:szCs w:val="28"/>
              </w:rPr>
              <w:t>i</w:t>
            </w:r>
            <w:r w:rsidR="00E90EC8" w:rsidRPr="00301D66">
              <w:rPr>
                <w:sz w:val="28"/>
                <w:szCs w:val="28"/>
              </w:rPr>
              <w:t xml:space="preserve">erobežotas piekļuves </w:t>
            </w:r>
            <w:r w:rsidR="00EA4CBA" w:rsidRPr="00301D66">
              <w:rPr>
                <w:sz w:val="28"/>
                <w:szCs w:val="28"/>
              </w:rPr>
              <w:t>zonām, apsardzes personāla funkcijām, videonovērošanas un signalizācijas sistēmām.</w:t>
            </w:r>
          </w:p>
          <w:p w:rsidR="005F2B9C" w:rsidRDefault="002C51CD" w:rsidP="005F2B9C">
            <w:pPr>
              <w:ind w:firstLine="720"/>
              <w:jc w:val="both"/>
              <w:rPr>
                <w:sz w:val="28"/>
                <w:szCs w:val="28"/>
              </w:rPr>
            </w:pPr>
            <w:r w:rsidRPr="00301D66">
              <w:rPr>
                <w:sz w:val="28"/>
                <w:szCs w:val="28"/>
              </w:rPr>
              <w:t>Atbilstoši Informācijas atklātīb</w:t>
            </w:r>
            <w:r w:rsidR="00815E7C">
              <w:rPr>
                <w:sz w:val="28"/>
                <w:szCs w:val="28"/>
              </w:rPr>
              <w:t>as</w:t>
            </w:r>
            <w:r w:rsidRPr="00301D66">
              <w:rPr>
                <w:sz w:val="28"/>
                <w:szCs w:val="28"/>
              </w:rPr>
              <w:t xml:space="preserve"> likuma 5.panta pirmajai daļai, ierobežotas pieejamības informācija ir tāda informācija, kura ir paredzēta ierobežotam personu lokam sakarā ar darba vai dienesta pienākumu veikšanu un kuras izpaušana vai nozaudēšana šīs informācijas rakstura un satura dēļ apgrūtina vai var apgrūtināt iestādes darbību, nodara vai var nodarīt kaitējumu personu likumiskajām interesēm.</w:t>
            </w:r>
          </w:p>
          <w:p w:rsidR="005F2B9C" w:rsidRDefault="00D16979" w:rsidP="005F2B9C">
            <w:pPr>
              <w:ind w:firstLine="720"/>
              <w:jc w:val="both"/>
              <w:rPr>
                <w:sz w:val="28"/>
                <w:szCs w:val="28"/>
              </w:rPr>
            </w:pPr>
            <w:r w:rsidRPr="005F2B9C">
              <w:rPr>
                <w:sz w:val="28"/>
                <w:szCs w:val="28"/>
              </w:rPr>
              <w:t>2013.gada 1.janvārī stājās spēkā grozījumi Civillikumā, kuri vairs neparedz iespēju noteikt personai pilnu rīcībnespēju, bet gan noteikt personai ierobežotu rīcībspēju.</w:t>
            </w:r>
            <w:r w:rsidR="005F2B9C" w:rsidRPr="005F2B9C">
              <w:rPr>
                <w:sz w:val="28"/>
                <w:szCs w:val="28"/>
              </w:rPr>
              <w:t xml:space="preserve"> Civillikuma 217.panta otrās daļas 1., 1.</w:t>
            </w:r>
            <w:r w:rsidR="005F2B9C" w:rsidRPr="005F2B9C">
              <w:rPr>
                <w:sz w:val="28"/>
                <w:szCs w:val="28"/>
                <w:vertAlign w:val="superscript"/>
              </w:rPr>
              <w:t>1</w:t>
            </w:r>
            <w:r w:rsidR="005F2B9C" w:rsidRPr="005F2B9C">
              <w:rPr>
                <w:sz w:val="28"/>
                <w:szCs w:val="28"/>
              </w:rPr>
              <w:t xml:space="preserve"> un 2.punkts nosaka, ka aizgādnību nodibina </w:t>
            </w:r>
            <w:r w:rsidR="005F2B9C" w:rsidRPr="005F2B9C">
              <w:rPr>
                <w:sz w:val="28"/>
                <w:szCs w:val="28"/>
                <w:lang w:eastAsia="lv-LV"/>
              </w:rPr>
              <w:t>pār personām ar garīga rakstura vai citiem veselības traucējumiem, kur</w:t>
            </w:r>
            <w:r w:rsidR="005F2B9C" w:rsidRPr="005F2B9C">
              <w:rPr>
                <w:sz w:val="28"/>
                <w:szCs w:val="28"/>
              </w:rPr>
              <w:t xml:space="preserve">u rīcībspēju ierobežojusi tiesa, </w:t>
            </w:r>
            <w:r w:rsidR="005F2B9C" w:rsidRPr="005F2B9C">
              <w:rPr>
                <w:sz w:val="28"/>
                <w:szCs w:val="28"/>
                <w:lang w:eastAsia="lv-LV"/>
              </w:rPr>
              <w:t xml:space="preserve">pār personām ar garīga rakstura vai citiem veselības traucējumiem steidzamos gadījumos bez rīcībspējas ierobežošanas </w:t>
            </w:r>
            <w:r w:rsidR="005F2B9C" w:rsidRPr="005F2B9C">
              <w:rPr>
                <w:sz w:val="28"/>
                <w:szCs w:val="28"/>
              </w:rPr>
              <w:t xml:space="preserve">un </w:t>
            </w:r>
            <w:r w:rsidR="005F2B9C" w:rsidRPr="005F2B9C">
              <w:rPr>
                <w:sz w:val="28"/>
                <w:szCs w:val="28"/>
                <w:lang w:eastAsia="lv-LV"/>
              </w:rPr>
              <w:t>pār personām izlaidīgas vai izšķērdīgas dzīves dēļ vai pār personām, kuras alkohola vai citu apreibinošo vielu pārmērīgas lietošanas dēļ draud novest sevi vai savu ģimeni trūkumā vai nabadzībā un kur</w:t>
            </w:r>
            <w:r w:rsidR="005F2B9C">
              <w:rPr>
                <w:sz w:val="28"/>
                <w:szCs w:val="28"/>
                <w:lang w:eastAsia="lv-LV"/>
              </w:rPr>
              <w:t>u rīcībspēju ierobežojusi tiesa.</w:t>
            </w:r>
          </w:p>
          <w:p w:rsidR="00C96269" w:rsidRPr="00301D66" w:rsidRDefault="002C51CD" w:rsidP="005F2B9C">
            <w:pPr>
              <w:ind w:firstLine="720"/>
              <w:jc w:val="both"/>
              <w:rPr>
                <w:sz w:val="28"/>
                <w:szCs w:val="28"/>
              </w:rPr>
            </w:pPr>
            <w:r w:rsidRPr="00301D66">
              <w:rPr>
                <w:sz w:val="28"/>
                <w:szCs w:val="28"/>
              </w:rPr>
              <w:t xml:space="preserve">Ņemot vērā </w:t>
            </w:r>
            <w:r w:rsidR="00EC136D" w:rsidRPr="00301D66">
              <w:rPr>
                <w:sz w:val="28"/>
                <w:szCs w:val="28"/>
              </w:rPr>
              <w:t xml:space="preserve">Nacionālās drošības likuma 3.panta otrās daļas 1.punktā noteikto nacionālās drošības sistēmas uzdevumu savlaicīgi prognozēt un novērst valsts iekšējo un ārējo apdraudējumu, garantēt valsts </w:t>
            </w:r>
            <w:r w:rsidR="00EC136D" w:rsidRPr="00301D66">
              <w:rPr>
                <w:sz w:val="28"/>
                <w:szCs w:val="28"/>
              </w:rPr>
              <w:lastRenderedPageBreak/>
              <w:t xml:space="preserve">aizsardzību, sabiedrības drošību un tās demokrātisku attīstību, nepieciešams noteikumu Nr.496 26.5.apakšpunktā noteikt, ka par kritiskās infrastruktūras vai Eiropas kritiskās infrastruktūras drošību atbildīgā amatpersona var būt persona, </w:t>
            </w:r>
            <w:r w:rsidR="005F2B9C">
              <w:rPr>
                <w:sz w:val="28"/>
                <w:szCs w:val="28"/>
              </w:rPr>
              <w:t>pār kuru</w:t>
            </w:r>
            <w:r w:rsidR="00EC136D" w:rsidRPr="00301D66">
              <w:rPr>
                <w:sz w:val="28"/>
                <w:szCs w:val="28"/>
                <w:lang w:eastAsia="lv-LV"/>
              </w:rPr>
              <w:t xml:space="preserve"> </w:t>
            </w:r>
            <w:r w:rsidR="005F2B9C">
              <w:rPr>
                <w:sz w:val="28"/>
                <w:szCs w:val="28"/>
                <w:lang w:eastAsia="lv-LV"/>
              </w:rPr>
              <w:t xml:space="preserve">nav nodibināta aizgādnība. </w:t>
            </w:r>
            <w:r w:rsidR="00EC136D" w:rsidRPr="00301D66">
              <w:rPr>
                <w:sz w:val="28"/>
                <w:szCs w:val="28"/>
                <w:lang w:eastAsia="lv-LV"/>
              </w:rPr>
              <w:t xml:space="preserve">Izvērtējot, vai </w:t>
            </w:r>
            <w:r w:rsidR="005F2B9C">
              <w:rPr>
                <w:sz w:val="28"/>
                <w:szCs w:val="28"/>
                <w:lang w:eastAsia="lv-LV"/>
              </w:rPr>
              <w:t>personai, pār kuru ir nodibināta aizgādnība,</w:t>
            </w:r>
            <w:r w:rsidR="00EC136D" w:rsidRPr="00301D66">
              <w:rPr>
                <w:sz w:val="28"/>
                <w:szCs w:val="28"/>
                <w:lang w:eastAsia="lv-LV"/>
              </w:rPr>
              <w:t xml:space="preserve"> uzliktais ierobežojums ir samērīgs ar leģitīmo mērķi, kuru valsts vēlas sasniegt, uzliekot ierobežojumus, jānorāda, ka </w:t>
            </w:r>
            <w:r w:rsidR="00F55675" w:rsidRPr="00301D66">
              <w:rPr>
                <w:sz w:val="28"/>
                <w:szCs w:val="28"/>
                <w:lang w:eastAsia="lv-LV"/>
              </w:rPr>
              <w:t>likumdevējam ir plaša rīcības brīvība izvēloties mehānismu, lai nodrošinātu valsts noslēpumu vai citas klasificētas informācijas aizsardzību (Lietuvas konstitucionālās tiesas 2007.gada 15.maija spriedums lietā Nr.</w:t>
            </w:r>
            <w:r w:rsidR="00F55675" w:rsidRPr="00301D66">
              <w:rPr>
                <w:rFonts w:cs="Arial"/>
                <w:sz w:val="28"/>
                <w:szCs w:val="28"/>
              </w:rPr>
              <w:t>7/04-8/04). Tādējādi valstij ir tiesības</w:t>
            </w:r>
            <w:r w:rsidR="009A107A" w:rsidRPr="00301D66">
              <w:rPr>
                <w:rFonts w:cs="Arial"/>
                <w:sz w:val="28"/>
                <w:szCs w:val="28"/>
              </w:rPr>
              <w:t>,</w:t>
            </w:r>
            <w:r w:rsidR="00F55675" w:rsidRPr="00301D66">
              <w:rPr>
                <w:rFonts w:cs="Arial"/>
                <w:sz w:val="28"/>
                <w:szCs w:val="28"/>
              </w:rPr>
              <w:t xml:space="preserve"> izvirz</w:t>
            </w:r>
            <w:r w:rsidR="009A107A" w:rsidRPr="00301D66">
              <w:rPr>
                <w:rFonts w:cs="Arial"/>
                <w:sz w:val="28"/>
                <w:szCs w:val="28"/>
              </w:rPr>
              <w:t>o</w:t>
            </w:r>
            <w:r w:rsidR="00F55675" w:rsidRPr="00301D66">
              <w:rPr>
                <w:rFonts w:cs="Arial"/>
                <w:sz w:val="28"/>
                <w:szCs w:val="28"/>
              </w:rPr>
              <w:t>t attiecīg</w:t>
            </w:r>
            <w:r w:rsidR="009A107A" w:rsidRPr="00301D66">
              <w:rPr>
                <w:rFonts w:cs="Arial"/>
                <w:sz w:val="28"/>
                <w:szCs w:val="28"/>
              </w:rPr>
              <w:t>ās</w:t>
            </w:r>
            <w:r w:rsidR="00F55675" w:rsidRPr="00301D66">
              <w:rPr>
                <w:rFonts w:cs="Arial"/>
                <w:sz w:val="28"/>
                <w:szCs w:val="28"/>
              </w:rPr>
              <w:t xml:space="preserve"> prasības personai, kura strādā ar ierobežotas pieejamības informāciju</w:t>
            </w:r>
            <w:r w:rsidR="009A107A" w:rsidRPr="00301D66">
              <w:rPr>
                <w:rFonts w:cs="Arial"/>
                <w:sz w:val="28"/>
                <w:szCs w:val="28"/>
              </w:rPr>
              <w:t xml:space="preserve">, ņemt vērā ne tikai personas lojalitāti pret valsti, bet arī uzticamību un attiecīgi vērtēt personas īpašības. Valstij ir jāizvērtē, vai ir pamats neuzticēties personai, un vai pastāv risks, ka persona var prettiesiski izpaust ierobežotas pieejamības informāciju, tādējādi radot draudus </w:t>
            </w:r>
            <w:r w:rsidR="009A107A" w:rsidRPr="00301D66">
              <w:rPr>
                <w:sz w:val="28"/>
                <w:szCs w:val="28"/>
              </w:rPr>
              <w:t xml:space="preserve">valsts neatkarībai, tās konstitucionālajai iekārtai un teritoriālajai integritātei, sabiedrības brīvas attīstības perspektīvām, labklājībai un stabilitātei. </w:t>
            </w:r>
            <w:r w:rsidR="000272A1" w:rsidRPr="00301D66">
              <w:rPr>
                <w:sz w:val="28"/>
                <w:szCs w:val="28"/>
              </w:rPr>
              <w:t>Lai neradītu draudus nacionālajai drošībai, strādāt ar ierobežotas</w:t>
            </w:r>
            <w:r w:rsidR="00A147C3" w:rsidRPr="00301D66">
              <w:rPr>
                <w:sz w:val="28"/>
                <w:szCs w:val="28"/>
              </w:rPr>
              <w:t xml:space="preserve"> pieejamības</w:t>
            </w:r>
            <w:r w:rsidR="000272A1" w:rsidRPr="00301D66">
              <w:rPr>
                <w:sz w:val="28"/>
                <w:szCs w:val="28"/>
              </w:rPr>
              <w:t xml:space="preserve"> informāciju saistībā ar kritisko infrastruktūru</w:t>
            </w:r>
            <w:r w:rsidR="00A147C3" w:rsidRPr="00301D66">
              <w:rPr>
                <w:sz w:val="28"/>
                <w:szCs w:val="28"/>
              </w:rPr>
              <w:t>,</w:t>
            </w:r>
            <w:r w:rsidR="000272A1" w:rsidRPr="00301D66">
              <w:rPr>
                <w:sz w:val="28"/>
                <w:szCs w:val="28"/>
              </w:rPr>
              <w:t xml:space="preserve"> jāatļauj tikai tām personām, kuru personiskās īpašības nepieļautu risku, ka ierobežotas pieejamības informācija varētu tikt izpausta. Vienlaikus Latvijas Satversmes tiesa 2005.gada 17.oktobra spriedumā Nr.2005-07-01 norādīja, ka starptautiskajās vienošanās ir noteikts, ka personāla atlases process jāplāno </w:t>
            </w:r>
            <w:r w:rsidR="000272A1" w:rsidRPr="00301D66">
              <w:rPr>
                <w:sz w:val="28"/>
                <w:szCs w:val="28"/>
              </w:rPr>
              <w:lastRenderedPageBreak/>
              <w:t xml:space="preserve">tā, lai varētu izvērtēt, vai konkrētai personai – ņemot vērā tās lojalitāti un uzticamību – var piešķirt tiesības uz sākotnēju un arī ilgstošu piekļūšanu klasificētai informācijai. Citādi var rasties nevajadzīgs risks. </w:t>
            </w:r>
          </w:p>
          <w:p w:rsidR="00C3356E" w:rsidRPr="00301D66" w:rsidRDefault="006811D5" w:rsidP="00C3356E">
            <w:pPr>
              <w:ind w:firstLine="720"/>
              <w:jc w:val="both"/>
              <w:rPr>
                <w:sz w:val="28"/>
                <w:szCs w:val="28"/>
              </w:rPr>
            </w:pPr>
            <w:r w:rsidRPr="00301D66">
              <w:rPr>
                <w:sz w:val="28"/>
                <w:szCs w:val="28"/>
              </w:rPr>
              <w:t>N</w:t>
            </w:r>
            <w:r w:rsidR="00C3356E" w:rsidRPr="00301D66">
              <w:rPr>
                <w:sz w:val="28"/>
                <w:szCs w:val="28"/>
              </w:rPr>
              <w:t xml:space="preserve">oteikumu Nr.496 3.punkts nosaka, lai izvērtētu un pilnveidotu kritiskās infrastruktūras, tajā skaitā Eiropas kritiskās infrastruktūras, sistēmu un drošības pasākumu kopumu, Ministru kabinets izveido </w:t>
            </w:r>
            <w:r w:rsidR="008C4239" w:rsidRPr="008C4239">
              <w:rPr>
                <w:sz w:val="28"/>
                <w:szCs w:val="28"/>
              </w:rPr>
              <w:t>nacionālās drošības starpinstitūciju komisiju</w:t>
            </w:r>
            <w:r w:rsidR="008C4239">
              <w:rPr>
                <w:sz w:val="28"/>
                <w:szCs w:val="28"/>
              </w:rPr>
              <w:t xml:space="preserve"> (turpmāk – komisija)</w:t>
            </w:r>
            <w:r w:rsidR="00C3356E" w:rsidRPr="00301D66">
              <w:rPr>
                <w:sz w:val="28"/>
                <w:szCs w:val="28"/>
              </w:rPr>
              <w:t>.</w:t>
            </w:r>
            <w:r w:rsidR="00F633A7">
              <w:rPr>
                <w:sz w:val="28"/>
                <w:szCs w:val="28"/>
              </w:rPr>
              <w:t xml:space="preserve"> </w:t>
            </w:r>
            <w:r w:rsidR="00C3356E" w:rsidRPr="00301D66">
              <w:rPr>
                <w:sz w:val="28"/>
                <w:szCs w:val="28"/>
              </w:rPr>
              <w:t xml:space="preserve">Minēto noteikumu 6.punkts uzskaita tās institūcijas, no kurām pilnvaro amatpersonas dalībai komisijā. </w:t>
            </w:r>
          </w:p>
          <w:p w:rsidR="00C3356E" w:rsidRPr="00301D66" w:rsidRDefault="00C3356E" w:rsidP="00815E7C">
            <w:pPr>
              <w:ind w:firstLine="720"/>
              <w:jc w:val="both"/>
              <w:rPr>
                <w:sz w:val="28"/>
                <w:szCs w:val="28"/>
              </w:rPr>
            </w:pPr>
            <w:r w:rsidRPr="00301D66">
              <w:rPr>
                <w:sz w:val="28"/>
                <w:szCs w:val="28"/>
              </w:rPr>
              <w:t xml:space="preserve">Atbilstoši Informācijas tehnoloģiju drošības likumam Latvijā galvenā institūcija, kas darbojas informācijas tehnoloģiju drošības jomā ir Informācijas tehnoloģiju drošības incidentu novēršanas institūcija, kuras kompetencē </w:t>
            </w:r>
            <w:r w:rsidR="006811D5" w:rsidRPr="00301D66">
              <w:rPr>
                <w:sz w:val="28"/>
                <w:szCs w:val="28"/>
              </w:rPr>
              <w:t xml:space="preserve">ir </w:t>
            </w:r>
            <w:r w:rsidRPr="00301D66">
              <w:rPr>
                <w:sz w:val="28"/>
                <w:szCs w:val="28"/>
              </w:rPr>
              <w:t>arī noteikts jautājumu loks attiecībā uz informācijas tehnoloģiju kritisko infrastruktūru.</w:t>
            </w:r>
            <w:r w:rsidR="003E6DAD" w:rsidRPr="00301D66">
              <w:rPr>
                <w:sz w:val="28"/>
                <w:szCs w:val="28"/>
              </w:rPr>
              <w:t xml:space="preserve"> Papildus jānorāda, ka nereti komisijā deleģētās institūcijas vēlas nomainīt tajā pilnvarotās amatpersonas, līdz ar to, lai nodrošinātu vienkāršāku minētās komisijas administrēšanu</w:t>
            </w:r>
            <w:r w:rsidR="00F633A7">
              <w:rPr>
                <w:sz w:val="28"/>
                <w:szCs w:val="28"/>
              </w:rPr>
              <w:t xml:space="preserve"> un atslogotu Ministru kabinetu</w:t>
            </w:r>
            <w:r w:rsidR="003E6DAD" w:rsidRPr="00301D66">
              <w:rPr>
                <w:sz w:val="28"/>
                <w:szCs w:val="28"/>
              </w:rPr>
              <w:t xml:space="preserve">, nepieciešams noteikt, ka iekšlietu ministrs </w:t>
            </w:r>
            <w:r w:rsidR="00815E7C">
              <w:rPr>
                <w:sz w:val="28"/>
                <w:szCs w:val="28"/>
              </w:rPr>
              <w:t>apstiprina komisijas sastāvu</w:t>
            </w:r>
            <w:r w:rsidR="003E6DAD" w:rsidRPr="00301D66">
              <w:rPr>
                <w:sz w:val="28"/>
                <w:szCs w:val="28"/>
              </w:rPr>
              <w:t>.</w:t>
            </w:r>
            <w:r w:rsidR="006811D5" w:rsidRPr="00301D66">
              <w:rPr>
                <w:sz w:val="28"/>
                <w:szCs w:val="28"/>
              </w:rPr>
              <w:t xml:space="preserve"> </w:t>
            </w:r>
            <w:r w:rsidR="00F633A7">
              <w:rPr>
                <w:sz w:val="28"/>
                <w:szCs w:val="28"/>
              </w:rPr>
              <w:t xml:space="preserve">Turklāt noteikumi Nr.496 jau pašreiz nosaka, ka </w:t>
            </w:r>
            <w:r w:rsidR="00F633A7" w:rsidRPr="00F633A7">
              <w:rPr>
                <w:sz w:val="28"/>
                <w:szCs w:val="28"/>
              </w:rPr>
              <w:t>komisijas priekšsēdētājs</w:t>
            </w:r>
            <w:r w:rsidR="00664C65">
              <w:rPr>
                <w:sz w:val="28"/>
                <w:szCs w:val="28"/>
              </w:rPr>
              <w:t xml:space="preserve"> un sekretārs</w:t>
            </w:r>
            <w:r w:rsidR="00F633A7" w:rsidRPr="00F633A7">
              <w:rPr>
                <w:sz w:val="28"/>
                <w:szCs w:val="28"/>
              </w:rPr>
              <w:t xml:space="preserve"> ir Iekšlietu ministrijas pilnvarota amatpersona, bet priekšsēdētāja vietnieks ir Drošības policijas pilnvarota amatpersona. </w:t>
            </w:r>
            <w:r w:rsidR="006811D5" w:rsidRPr="00F633A7">
              <w:rPr>
                <w:sz w:val="28"/>
                <w:szCs w:val="28"/>
              </w:rPr>
              <w:t>Ņemot vērā</w:t>
            </w:r>
            <w:r w:rsidR="003E6DAD" w:rsidRPr="00F633A7">
              <w:rPr>
                <w:sz w:val="28"/>
                <w:szCs w:val="28"/>
              </w:rPr>
              <w:t xml:space="preserve"> minēto, nepieciešams attiecīgi precizēt noteikumu</w:t>
            </w:r>
            <w:r w:rsidR="005F2B9C">
              <w:rPr>
                <w:sz w:val="28"/>
                <w:szCs w:val="28"/>
              </w:rPr>
              <w:t>s Nr.496.</w:t>
            </w:r>
          </w:p>
        </w:tc>
      </w:tr>
      <w:tr w:rsidR="00534988" w:rsidRPr="00301D66" w:rsidTr="00ED26B0">
        <w:tc>
          <w:tcPr>
            <w:tcW w:w="1045" w:type="dxa"/>
            <w:gridSpan w:val="2"/>
          </w:tcPr>
          <w:p w:rsidR="00534988" w:rsidRPr="00BA5E65" w:rsidRDefault="00534988" w:rsidP="00ED26B0">
            <w:pPr>
              <w:jc w:val="center"/>
              <w:rPr>
                <w:sz w:val="28"/>
                <w:szCs w:val="28"/>
              </w:rPr>
            </w:pPr>
            <w:r w:rsidRPr="00BA5E65">
              <w:rPr>
                <w:sz w:val="28"/>
                <w:szCs w:val="28"/>
              </w:rPr>
              <w:lastRenderedPageBreak/>
              <w:t>3.</w:t>
            </w:r>
          </w:p>
        </w:tc>
        <w:tc>
          <w:tcPr>
            <w:tcW w:w="2649" w:type="dxa"/>
            <w:gridSpan w:val="2"/>
          </w:tcPr>
          <w:p w:rsidR="00534988" w:rsidRPr="00BA5E65" w:rsidRDefault="00534988" w:rsidP="00ED26B0">
            <w:pPr>
              <w:rPr>
                <w:sz w:val="28"/>
                <w:szCs w:val="28"/>
              </w:rPr>
            </w:pPr>
            <w:r w:rsidRPr="00BA5E65">
              <w:rPr>
                <w:sz w:val="28"/>
                <w:szCs w:val="28"/>
              </w:rPr>
              <w:t>Saistītie politikas ietekmes novērtējumi un pētījumi</w:t>
            </w:r>
          </w:p>
        </w:tc>
        <w:tc>
          <w:tcPr>
            <w:tcW w:w="5367" w:type="dxa"/>
          </w:tcPr>
          <w:p w:rsidR="00534988" w:rsidRPr="00301D66" w:rsidRDefault="00534988" w:rsidP="00CE3A3B">
            <w:pPr>
              <w:tabs>
                <w:tab w:val="left" w:pos="5279"/>
              </w:tabs>
              <w:ind w:right="31"/>
              <w:jc w:val="both"/>
              <w:rPr>
                <w:sz w:val="28"/>
                <w:szCs w:val="28"/>
              </w:rPr>
            </w:pPr>
            <w:r w:rsidRPr="00301D66">
              <w:rPr>
                <w:bCs/>
                <w:sz w:val="28"/>
                <w:szCs w:val="28"/>
              </w:rPr>
              <w:t>Projekts šo jomu neskar.</w:t>
            </w:r>
          </w:p>
        </w:tc>
      </w:tr>
      <w:tr w:rsidR="00534988" w:rsidRPr="00301D66" w:rsidTr="00ED26B0">
        <w:tc>
          <w:tcPr>
            <w:tcW w:w="1045" w:type="dxa"/>
            <w:gridSpan w:val="2"/>
          </w:tcPr>
          <w:p w:rsidR="00534988" w:rsidRPr="00BA5E65" w:rsidRDefault="00534988" w:rsidP="00ED26B0">
            <w:pPr>
              <w:jc w:val="center"/>
              <w:rPr>
                <w:sz w:val="28"/>
                <w:szCs w:val="28"/>
              </w:rPr>
            </w:pPr>
            <w:r w:rsidRPr="00BA5E65">
              <w:rPr>
                <w:sz w:val="28"/>
                <w:szCs w:val="28"/>
              </w:rPr>
              <w:t>4.</w:t>
            </w:r>
          </w:p>
        </w:tc>
        <w:tc>
          <w:tcPr>
            <w:tcW w:w="2649" w:type="dxa"/>
            <w:gridSpan w:val="2"/>
          </w:tcPr>
          <w:p w:rsidR="00534988" w:rsidRPr="00BA5E65" w:rsidRDefault="00534988" w:rsidP="00ED26B0">
            <w:pPr>
              <w:rPr>
                <w:sz w:val="28"/>
                <w:szCs w:val="28"/>
              </w:rPr>
            </w:pPr>
            <w:r w:rsidRPr="00BA5E65">
              <w:rPr>
                <w:sz w:val="28"/>
                <w:szCs w:val="28"/>
              </w:rPr>
              <w:t xml:space="preserve">Tiesiskā regulējuma </w:t>
            </w:r>
            <w:r w:rsidRPr="00BA5E65">
              <w:rPr>
                <w:sz w:val="28"/>
                <w:szCs w:val="28"/>
              </w:rPr>
              <w:lastRenderedPageBreak/>
              <w:t>mērķis un būtība</w:t>
            </w:r>
          </w:p>
        </w:tc>
        <w:tc>
          <w:tcPr>
            <w:tcW w:w="5367" w:type="dxa"/>
          </w:tcPr>
          <w:p w:rsidR="005F2B9C" w:rsidRDefault="005F2B9C" w:rsidP="006811D5">
            <w:pPr>
              <w:ind w:firstLine="559"/>
              <w:jc w:val="both"/>
              <w:rPr>
                <w:sz w:val="28"/>
                <w:szCs w:val="28"/>
              </w:rPr>
            </w:pPr>
            <w:r>
              <w:rPr>
                <w:sz w:val="28"/>
                <w:szCs w:val="28"/>
              </w:rPr>
              <w:lastRenderedPageBreak/>
              <w:t>P</w:t>
            </w:r>
            <w:r w:rsidRPr="005F2B9C">
              <w:rPr>
                <w:sz w:val="28"/>
                <w:szCs w:val="28"/>
              </w:rPr>
              <w:t xml:space="preserve">rojektā ir noteikts, ka </w:t>
            </w:r>
            <w:r w:rsidRPr="005F2B9C">
              <w:rPr>
                <w:sz w:val="28"/>
                <w:szCs w:val="28"/>
                <w:lang w:eastAsia="lv-LV"/>
              </w:rPr>
              <w:t xml:space="preserve">komisija ir </w:t>
            </w:r>
            <w:r w:rsidRPr="005F2B9C">
              <w:rPr>
                <w:sz w:val="28"/>
                <w:szCs w:val="28"/>
                <w:lang w:eastAsia="lv-LV"/>
              </w:rPr>
              <w:lastRenderedPageBreak/>
              <w:t xml:space="preserve">koleģiāla konsultatīva institūcija, kura </w:t>
            </w:r>
            <w:r w:rsidRPr="005F2B9C">
              <w:rPr>
                <w:sz w:val="28"/>
                <w:szCs w:val="28"/>
              </w:rPr>
              <w:t xml:space="preserve">izvērtē un pilnveido kritiskās infrastruktūras, tajā skaitā Eiropas kritiskās infrastruktūras, sistēmu un drošības pasākumu kopumu, un tās sastāvu apstiprina iekšlietu ministrs. </w:t>
            </w:r>
            <w:r>
              <w:rPr>
                <w:sz w:val="28"/>
                <w:szCs w:val="28"/>
              </w:rPr>
              <w:t>Vienlaikus projekts paredz</w:t>
            </w:r>
            <w:r w:rsidRPr="005F2B9C">
              <w:rPr>
                <w:sz w:val="28"/>
                <w:szCs w:val="28"/>
              </w:rPr>
              <w:t>, ka dalībai minētajā komisijā nepieciešams pilnvarot amatpersonu no Informācijas tehnoloģiju drošības incidentu novēršanas institūcijas.</w:t>
            </w:r>
          </w:p>
          <w:p w:rsidR="00534988" w:rsidRPr="005F2B9C" w:rsidRDefault="005F2B9C" w:rsidP="005F2B9C">
            <w:pPr>
              <w:ind w:firstLine="559"/>
              <w:jc w:val="both"/>
              <w:rPr>
                <w:sz w:val="28"/>
                <w:szCs w:val="28"/>
                <w:lang w:eastAsia="lv-LV"/>
              </w:rPr>
            </w:pPr>
            <w:r>
              <w:rPr>
                <w:sz w:val="28"/>
                <w:szCs w:val="28"/>
              </w:rPr>
              <w:t>Papildus p</w:t>
            </w:r>
            <w:r w:rsidR="00534988" w:rsidRPr="005F2B9C">
              <w:rPr>
                <w:sz w:val="28"/>
                <w:szCs w:val="28"/>
              </w:rPr>
              <w:t>rojekt</w:t>
            </w:r>
            <w:r>
              <w:rPr>
                <w:sz w:val="28"/>
                <w:szCs w:val="28"/>
              </w:rPr>
              <w:t>ā ir noteikts</w:t>
            </w:r>
            <w:r w:rsidR="00121F3D" w:rsidRPr="005F2B9C">
              <w:rPr>
                <w:sz w:val="28"/>
                <w:szCs w:val="28"/>
              </w:rPr>
              <w:t>, ka par kritiskās infrastruktūras vai Eiropas kritiskās infrastruktūras drošību atbildīg</w:t>
            </w:r>
            <w:r w:rsidR="00CE3A3B" w:rsidRPr="005F2B9C">
              <w:rPr>
                <w:sz w:val="28"/>
                <w:szCs w:val="28"/>
              </w:rPr>
              <w:t>o</w:t>
            </w:r>
            <w:r w:rsidR="00121F3D" w:rsidRPr="005F2B9C">
              <w:rPr>
                <w:sz w:val="28"/>
                <w:szCs w:val="28"/>
              </w:rPr>
              <w:t xml:space="preserve"> amatperson</w:t>
            </w:r>
            <w:r w:rsidR="00CE3A3B" w:rsidRPr="005F2B9C">
              <w:rPr>
                <w:sz w:val="28"/>
                <w:szCs w:val="28"/>
              </w:rPr>
              <w:t>u</w:t>
            </w:r>
            <w:r w:rsidR="00121F3D" w:rsidRPr="005F2B9C">
              <w:rPr>
                <w:sz w:val="28"/>
                <w:szCs w:val="28"/>
              </w:rPr>
              <w:t xml:space="preserve"> var būt persona, </w:t>
            </w:r>
            <w:r w:rsidRPr="005F2B9C">
              <w:rPr>
                <w:sz w:val="28"/>
                <w:szCs w:val="28"/>
              </w:rPr>
              <w:t>pār kuru nav nodibināta aizgādnība.</w:t>
            </w:r>
          </w:p>
        </w:tc>
      </w:tr>
      <w:tr w:rsidR="00534988" w:rsidRPr="00BA5E65" w:rsidTr="00ED26B0">
        <w:tc>
          <w:tcPr>
            <w:tcW w:w="1045" w:type="dxa"/>
            <w:gridSpan w:val="2"/>
          </w:tcPr>
          <w:p w:rsidR="00534988" w:rsidRPr="00BA5E65" w:rsidRDefault="00534988" w:rsidP="00ED26B0">
            <w:pPr>
              <w:jc w:val="center"/>
              <w:rPr>
                <w:sz w:val="28"/>
                <w:szCs w:val="28"/>
              </w:rPr>
            </w:pPr>
            <w:r w:rsidRPr="00BA5E65">
              <w:rPr>
                <w:sz w:val="28"/>
                <w:szCs w:val="28"/>
              </w:rPr>
              <w:lastRenderedPageBreak/>
              <w:t>5.</w:t>
            </w:r>
          </w:p>
        </w:tc>
        <w:tc>
          <w:tcPr>
            <w:tcW w:w="2649" w:type="dxa"/>
            <w:gridSpan w:val="2"/>
          </w:tcPr>
          <w:p w:rsidR="00534988" w:rsidRPr="00BA5E65" w:rsidRDefault="00534988" w:rsidP="00ED26B0">
            <w:pPr>
              <w:rPr>
                <w:sz w:val="28"/>
                <w:szCs w:val="28"/>
              </w:rPr>
            </w:pPr>
            <w:r w:rsidRPr="00BA5E65">
              <w:rPr>
                <w:sz w:val="28"/>
                <w:szCs w:val="28"/>
              </w:rPr>
              <w:t>Projekta izstrādē iesaistītās institūcijas</w:t>
            </w:r>
          </w:p>
        </w:tc>
        <w:tc>
          <w:tcPr>
            <w:tcW w:w="5367" w:type="dxa"/>
          </w:tcPr>
          <w:p w:rsidR="00534988" w:rsidRPr="00BA5E65" w:rsidRDefault="005F2B9C" w:rsidP="00CE3A3B">
            <w:pPr>
              <w:tabs>
                <w:tab w:val="left" w:pos="5279"/>
              </w:tabs>
              <w:ind w:right="31"/>
              <w:jc w:val="both"/>
              <w:rPr>
                <w:sz w:val="28"/>
                <w:szCs w:val="28"/>
              </w:rPr>
            </w:pPr>
            <w:r w:rsidRPr="00BA5E65">
              <w:rPr>
                <w:sz w:val="28"/>
                <w:szCs w:val="28"/>
              </w:rPr>
              <w:t>Projekts šo jomu neskar.</w:t>
            </w:r>
          </w:p>
        </w:tc>
      </w:tr>
      <w:tr w:rsidR="00534988" w:rsidRPr="00BA5E65" w:rsidTr="00ED26B0">
        <w:trPr>
          <w:cantSplit/>
          <w:trHeight w:val="989"/>
        </w:trPr>
        <w:tc>
          <w:tcPr>
            <w:tcW w:w="1045" w:type="dxa"/>
            <w:gridSpan w:val="2"/>
          </w:tcPr>
          <w:p w:rsidR="00534988" w:rsidRPr="00BA5E65" w:rsidRDefault="00534988" w:rsidP="00ED26B0">
            <w:pPr>
              <w:jc w:val="center"/>
              <w:rPr>
                <w:sz w:val="28"/>
                <w:szCs w:val="28"/>
              </w:rPr>
            </w:pPr>
            <w:r w:rsidRPr="00BA5E65">
              <w:rPr>
                <w:sz w:val="28"/>
                <w:szCs w:val="28"/>
              </w:rPr>
              <w:t>6.</w:t>
            </w:r>
          </w:p>
        </w:tc>
        <w:tc>
          <w:tcPr>
            <w:tcW w:w="2649" w:type="dxa"/>
            <w:gridSpan w:val="2"/>
          </w:tcPr>
          <w:p w:rsidR="00534988" w:rsidRPr="00BA5E65" w:rsidRDefault="00534988" w:rsidP="00ED26B0">
            <w:pPr>
              <w:rPr>
                <w:sz w:val="28"/>
                <w:szCs w:val="28"/>
              </w:rPr>
            </w:pPr>
            <w:r w:rsidRPr="00BA5E65">
              <w:rPr>
                <w:sz w:val="28"/>
                <w:szCs w:val="28"/>
              </w:rPr>
              <w:t>Iemesli, kādēļ netika nodrošināta sabiedrības līdzdalība</w:t>
            </w:r>
          </w:p>
        </w:tc>
        <w:tc>
          <w:tcPr>
            <w:tcW w:w="5367" w:type="dxa"/>
          </w:tcPr>
          <w:p w:rsidR="00534988" w:rsidRPr="00BA5E65" w:rsidRDefault="005F2B9C" w:rsidP="00CE3A3B">
            <w:pPr>
              <w:spacing w:before="100" w:beforeAutospacing="1" w:after="100" w:afterAutospacing="1"/>
              <w:jc w:val="both"/>
              <w:rPr>
                <w:color w:val="000000"/>
                <w:sz w:val="28"/>
                <w:szCs w:val="28"/>
              </w:rPr>
            </w:pPr>
            <w:r w:rsidRPr="00BA5E65">
              <w:rPr>
                <w:sz w:val="28"/>
                <w:szCs w:val="28"/>
              </w:rPr>
              <w:t>Projekts šo jomu neskar.</w:t>
            </w:r>
          </w:p>
        </w:tc>
      </w:tr>
      <w:tr w:rsidR="00534988" w:rsidRPr="00BA5E65" w:rsidTr="00ED26B0">
        <w:tc>
          <w:tcPr>
            <w:tcW w:w="1045" w:type="dxa"/>
            <w:gridSpan w:val="2"/>
          </w:tcPr>
          <w:p w:rsidR="00534988" w:rsidRPr="00BA5E65" w:rsidRDefault="00534988" w:rsidP="00ED26B0">
            <w:pPr>
              <w:jc w:val="center"/>
              <w:rPr>
                <w:sz w:val="28"/>
                <w:szCs w:val="28"/>
              </w:rPr>
            </w:pPr>
            <w:r w:rsidRPr="00BA5E65">
              <w:rPr>
                <w:sz w:val="28"/>
                <w:szCs w:val="28"/>
              </w:rPr>
              <w:t>7.</w:t>
            </w:r>
          </w:p>
        </w:tc>
        <w:tc>
          <w:tcPr>
            <w:tcW w:w="2649" w:type="dxa"/>
            <w:gridSpan w:val="2"/>
          </w:tcPr>
          <w:p w:rsidR="00534988" w:rsidRPr="00BA5E65" w:rsidRDefault="00534988" w:rsidP="00ED26B0">
            <w:pPr>
              <w:rPr>
                <w:sz w:val="28"/>
                <w:szCs w:val="28"/>
              </w:rPr>
            </w:pPr>
            <w:r w:rsidRPr="00BA5E65">
              <w:rPr>
                <w:sz w:val="28"/>
                <w:szCs w:val="28"/>
              </w:rPr>
              <w:t> Cita informācija</w:t>
            </w:r>
          </w:p>
        </w:tc>
        <w:tc>
          <w:tcPr>
            <w:tcW w:w="5367" w:type="dxa"/>
          </w:tcPr>
          <w:p w:rsidR="00534988" w:rsidRPr="00BA5E65" w:rsidRDefault="00534988" w:rsidP="00ED26B0">
            <w:pPr>
              <w:tabs>
                <w:tab w:val="left" w:pos="5279"/>
              </w:tabs>
              <w:ind w:left="34" w:right="31" w:firstLine="318"/>
              <w:jc w:val="both"/>
              <w:rPr>
                <w:sz w:val="28"/>
                <w:szCs w:val="28"/>
              </w:rPr>
            </w:pPr>
            <w:r w:rsidRPr="00BA5E65">
              <w:rPr>
                <w:sz w:val="28"/>
                <w:szCs w:val="28"/>
              </w:rPr>
              <w:t>Nav</w:t>
            </w:r>
          </w:p>
        </w:tc>
      </w:tr>
      <w:tr w:rsidR="00534988" w:rsidRPr="00BA5E65" w:rsidTr="00ED26B0">
        <w:tblPrEx>
          <w:tblLook w:val="01E0" w:firstRow="1" w:lastRow="1" w:firstColumn="1" w:lastColumn="1" w:noHBand="0" w:noVBand="0"/>
        </w:tblPrEx>
        <w:tc>
          <w:tcPr>
            <w:tcW w:w="9061" w:type="dxa"/>
            <w:gridSpan w:val="5"/>
          </w:tcPr>
          <w:p w:rsidR="00534988" w:rsidRPr="00BA5E65" w:rsidRDefault="00534988" w:rsidP="005F2B9C">
            <w:pPr>
              <w:jc w:val="center"/>
              <w:rPr>
                <w:b/>
                <w:sz w:val="28"/>
                <w:szCs w:val="28"/>
              </w:rPr>
            </w:pPr>
            <w:r w:rsidRPr="00BA5E65">
              <w:rPr>
                <w:b/>
                <w:sz w:val="28"/>
                <w:szCs w:val="28"/>
              </w:rPr>
              <w:t>II. Tiesību akta projekta ietekme uz sabiedrību</w:t>
            </w:r>
          </w:p>
        </w:tc>
      </w:tr>
      <w:tr w:rsidR="00534988" w:rsidRPr="00BA5E65" w:rsidTr="00ED26B0">
        <w:tblPrEx>
          <w:tblLook w:val="01E0" w:firstRow="1" w:lastRow="1" w:firstColumn="1" w:lastColumn="1" w:noHBand="0" w:noVBand="0"/>
        </w:tblPrEx>
        <w:tc>
          <w:tcPr>
            <w:tcW w:w="1038" w:type="dxa"/>
          </w:tcPr>
          <w:p w:rsidR="00534988" w:rsidRPr="00BA5E65" w:rsidRDefault="00534988" w:rsidP="00ED26B0">
            <w:pPr>
              <w:pStyle w:val="naislab"/>
              <w:spacing w:before="0" w:after="0"/>
              <w:jc w:val="center"/>
              <w:outlineLvl w:val="0"/>
              <w:rPr>
                <w:sz w:val="28"/>
                <w:szCs w:val="28"/>
              </w:rPr>
            </w:pPr>
            <w:r w:rsidRPr="00BA5E65">
              <w:rPr>
                <w:sz w:val="28"/>
                <w:szCs w:val="28"/>
              </w:rPr>
              <w:t>1.</w:t>
            </w:r>
          </w:p>
        </w:tc>
        <w:tc>
          <w:tcPr>
            <w:tcW w:w="2649" w:type="dxa"/>
            <w:gridSpan w:val="2"/>
          </w:tcPr>
          <w:p w:rsidR="00534988" w:rsidRPr="00BA5E65" w:rsidRDefault="00534988" w:rsidP="00ED26B0">
            <w:pPr>
              <w:pStyle w:val="naislab"/>
              <w:spacing w:before="0" w:after="0"/>
              <w:jc w:val="left"/>
              <w:outlineLvl w:val="0"/>
              <w:rPr>
                <w:sz w:val="28"/>
                <w:szCs w:val="28"/>
              </w:rPr>
            </w:pPr>
            <w:r w:rsidRPr="00BA5E65">
              <w:rPr>
                <w:sz w:val="28"/>
                <w:szCs w:val="28"/>
              </w:rPr>
              <w:t>Sabiedrības mērķgrupa</w:t>
            </w:r>
          </w:p>
        </w:tc>
        <w:tc>
          <w:tcPr>
            <w:tcW w:w="5374" w:type="dxa"/>
            <w:gridSpan w:val="2"/>
          </w:tcPr>
          <w:p w:rsidR="00534988" w:rsidRPr="00BA5E65" w:rsidRDefault="00534988" w:rsidP="005F2B9C">
            <w:pPr>
              <w:ind w:firstLine="720"/>
              <w:jc w:val="both"/>
              <w:rPr>
                <w:sz w:val="28"/>
                <w:szCs w:val="28"/>
              </w:rPr>
            </w:pPr>
            <w:r w:rsidRPr="00BA5E65">
              <w:rPr>
                <w:sz w:val="28"/>
                <w:szCs w:val="28"/>
              </w:rPr>
              <w:t xml:space="preserve">Sabiedrības mērķgrupa ir </w:t>
            </w:r>
            <w:r w:rsidR="005F2B9C">
              <w:rPr>
                <w:sz w:val="28"/>
                <w:szCs w:val="28"/>
              </w:rPr>
              <w:t>personas, pār kurām ir nodibināta aizgādnība.</w:t>
            </w:r>
          </w:p>
        </w:tc>
      </w:tr>
      <w:tr w:rsidR="00534988" w:rsidRPr="00BA5E65" w:rsidTr="00ED26B0">
        <w:tblPrEx>
          <w:tblLook w:val="01E0" w:firstRow="1" w:lastRow="1" w:firstColumn="1" w:lastColumn="1" w:noHBand="0" w:noVBand="0"/>
        </w:tblPrEx>
        <w:trPr>
          <w:trHeight w:val="1046"/>
        </w:trPr>
        <w:tc>
          <w:tcPr>
            <w:tcW w:w="1038" w:type="dxa"/>
          </w:tcPr>
          <w:p w:rsidR="00534988" w:rsidRPr="00BA5E65" w:rsidRDefault="00534988" w:rsidP="00ED26B0">
            <w:pPr>
              <w:pStyle w:val="naislab"/>
              <w:spacing w:before="0" w:after="0"/>
              <w:jc w:val="center"/>
              <w:outlineLvl w:val="0"/>
              <w:rPr>
                <w:sz w:val="28"/>
                <w:szCs w:val="28"/>
              </w:rPr>
            </w:pPr>
            <w:r w:rsidRPr="00BA5E65">
              <w:rPr>
                <w:sz w:val="28"/>
                <w:szCs w:val="28"/>
              </w:rPr>
              <w:t>2.</w:t>
            </w:r>
          </w:p>
        </w:tc>
        <w:tc>
          <w:tcPr>
            <w:tcW w:w="2649" w:type="dxa"/>
            <w:gridSpan w:val="2"/>
          </w:tcPr>
          <w:p w:rsidR="00534988" w:rsidRPr="00BA5E65" w:rsidRDefault="00534988" w:rsidP="00ED26B0">
            <w:pPr>
              <w:pStyle w:val="naislab"/>
              <w:spacing w:before="0" w:after="0"/>
              <w:jc w:val="left"/>
              <w:outlineLvl w:val="0"/>
              <w:rPr>
                <w:sz w:val="28"/>
                <w:szCs w:val="28"/>
              </w:rPr>
            </w:pPr>
            <w:r w:rsidRPr="00BA5E65">
              <w:rPr>
                <w:sz w:val="28"/>
                <w:szCs w:val="28"/>
              </w:rPr>
              <w:t>Citas sabiedrības grupas (bez mērķgrupas), kuras tiesiskais regulējums arī ietekmē vai varētu ietekmēt</w:t>
            </w:r>
          </w:p>
        </w:tc>
        <w:tc>
          <w:tcPr>
            <w:tcW w:w="5374" w:type="dxa"/>
            <w:gridSpan w:val="2"/>
          </w:tcPr>
          <w:p w:rsidR="00534988" w:rsidRPr="00BA5E65" w:rsidRDefault="00CE3A3B" w:rsidP="00CE3A3B">
            <w:pPr>
              <w:jc w:val="both"/>
              <w:rPr>
                <w:sz w:val="28"/>
                <w:szCs w:val="28"/>
              </w:rPr>
            </w:pPr>
            <w:r w:rsidRPr="00BA5E65">
              <w:rPr>
                <w:sz w:val="28"/>
                <w:szCs w:val="28"/>
              </w:rPr>
              <w:t>Projekts šo jomu neskar.</w:t>
            </w:r>
          </w:p>
        </w:tc>
      </w:tr>
      <w:tr w:rsidR="00534988" w:rsidRPr="00BA5E65" w:rsidTr="00ED26B0">
        <w:tblPrEx>
          <w:tblLook w:val="01E0" w:firstRow="1" w:lastRow="1" w:firstColumn="1" w:lastColumn="1" w:noHBand="0" w:noVBand="0"/>
        </w:tblPrEx>
        <w:tc>
          <w:tcPr>
            <w:tcW w:w="1038" w:type="dxa"/>
          </w:tcPr>
          <w:p w:rsidR="00534988" w:rsidRPr="00BA5E65" w:rsidRDefault="00534988" w:rsidP="00ED26B0">
            <w:pPr>
              <w:pStyle w:val="naislab"/>
              <w:spacing w:before="0" w:after="0"/>
              <w:jc w:val="center"/>
              <w:outlineLvl w:val="0"/>
              <w:rPr>
                <w:sz w:val="28"/>
                <w:szCs w:val="28"/>
              </w:rPr>
            </w:pPr>
            <w:r w:rsidRPr="00BA5E65">
              <w:rPr>
                <w:sz w:val="28"/>
                <w:szCs w:val="28"/>
              </w:rPr>
              <w:t>3.</w:t>
            </w:r>
          </w:p>
        </w:tc>
        <w:tc>
          <w:tcPr>
            <w:tcW w:w="2649" w:type="dxa"/>
            <w:gridSpan w:val="2"/>
          </w:tcPr>
          <w:p w:rsidR="00534988" w:rsidRPr="00BA5E65" w:rsidRDefault="00534988" w:rsidP="00ED26B0">
            <w:pPr>
              <w:pStyle w:val="naislab"/>
              <w:spacing w:before="0" w:after="0"/>
              <w:jc w:val="left"/>
              <w:outlineLvl w:val="0"/>
              <w:rPr>
                <w:sz w:val="28"/>
                <w:szCs w:val="28"/>
              </w:rPr>
            </w:pPr>
            <w:r w:rsidRPr="00BA5E65">
              <w:rPr>
                <w:sz w:val="28"/>
                <w:szCs w:val="28"/>
              </w:rPr>
              <w:t>Tiesiskā regulējuma finansiālā ietekme</w:t>
            </w:r>
          </w:p>
        </w:tc>
        <w:tc>
          <w:tcPr>
            <w:tcW w:w="5374" w:type="dxa"/>
            <w:gridSpan w:val="2"/>
          </w:tcPr>
          <w:p w:rsidR="00534988" w:rsidRPr="00BA5E65" w:rsidRDefault="00CE3A3B" w:rsidP="00CE3A3B">
            <w:pPr>
              <w:jc w:val="both"/>
              <w:rPr>
                <w:sz w:val="28"/>
                <w:szCs w:val="28"/>
                <w:lang w:eastAsia="lv-LV"/>
              </w:rPr>
            </w:pPr>
            <w:r w:rsidRPr="00BA5E65">
              <w:rPr>
                <w:sz w:val="28"/>
                <w:szCs w:val="28"/>
                <w:lang w:eastAsia="lv-LV"/>
              </w:rPr>
              <w:t>P</w:t>
            </w:r>
            <w:r w:rsidR="00534988" w:rsidRPr="00BA5E65">
              <w:rPr>
                <w:sz w:val="28"/>
                <w:szCs w:val="28"/>
                <w:lang w:eastAsia="lv-LV"/>
              </w:rPr>
              <w:t>rojekts šo jomu neskar.</w:t>
            </w:r>
          </w:p>
        </w:tc>
      </w:tr>
      <w:tr w:rsidR="00CE3A3B" w:rsidRPr="00BA5E65" w:rsidTr="00ED26B0">
        <w:tblPrEx>
          <w:tblLook w:val="01E0" w:firstRow="1" w:lastRow="1" w:firstColumn="1" w:lastColumn="1" w:noHBand="0" w:noVBand="0"/>
        </w:tblPrEx>
        <w:tc>
          <w:tcPr>
            <w:tcW w:w="1038" w:type="dxa"/>
          </w:tcPr>
          <w:p w:rsidR="00CE3A3B" w:rsidRPr="00BA5E65" w:rsidRDefault="00CE3A3B" w:rsidP="00ED26B0">
            <w:pPr>
              <w:pStyle w:val="naislab"/>
              <w:spacing w:before="0" w:after="0"/>
              <w:jc w:val="center"/>
              <w:outlineLvl w:val="0"/>
              <w:rPr>
                <w:sz w:val="28"/>
                <w:szCs w:val="28"/>
              </w:rPr>
            </w:pPr>
            <w:r w:rsidRPr="00BA5E65">
              <w:rPr>
                <w:sz w:val="28"/>
                <w:szCs w:val="28"/>
              </w:rPr>
              <w:t>4.</w:t>
            </w:r>
          </w:p>
        </w:tc>
        <w:tc>
          <w:tcPr>
            <w:tcW w:w="2649" w:type="dxa"/>
            <w:gridSpan w:val="2"/>
          </w:tcPr>
          <w:p w:rsidR="00CE3A3B" w:rsidRPr="00BA5E65" w:rsidRDefault="00CE3A3B" w:rsidP="00ED26B0">
            <w:pPr>
              <w:pStyle w:val="naislab"/>
              <w:spacing w:before="0" w:after="0"/>
              <w:jc w:val="left"/>
              <w:outlineLvl w:val="0"/>
              <w:rPr>
                <w:sz w:val="28"/>
                <w:szCs w:val="28"/>
              </w:rPr>
            </w:pPr>
            <w:r w:rsidRPr="00BA5E65">
              <w:rPr>
                <w:sz w:val="28"/>
                <w:szCs w:val="28"/>
              </w:rPr>
              <w:t>Tiesiskā regulējuma nefinansiālā ietekme</w:t>
            </w:r>
          </w:p>
        </w:tc>
        <w:tc>
          <w:tcPr>
            <w:tcW w:w="5374" w:type="dxa"/>
            <w:gridSpan w:val="2"/>
          </w:tcPr>
          <w:p w:rsidR="00CE3A3B" w:rsidRPr="00BA5E65" w:rsidRDefault="00CE3A3B" w:rsidP="00ED26B0">
            <w:pPr>
              <w:jc w:val="both"/>
              <w:rPr>
                <w:sz w:val="28"/>
                <w:szCs w:val="28"/>
                <w:lang w:eastAsia="lv-LV"/>
              </w:rPr>
            </w:pPr>
            <w:r w:rsidRPr="00BA5E65">
              <w:rPr>
                <w:sz w:val="28"/>
                <w:szCs w:val="28"/>
                <w:lang w:eastAsia="lv-LV"/>
              </w:rPr>
              <w:t>Projekts šo jomu neskar.</w:t>
            </w:r>
          </w:p>
        </w:tc>
      </w:tr>
      <w:tr w:rsidR="00CE3A3B" w:rsidRPr="00BA5E65" w:rsidTr="00ED26B0">
        <w:tblPrEx>
          <w:tblLook w:val="01E0" w:firstRow="1" w:lastRow="1" w:firstColumn="1" w:lastColumn="1" w:noHBand="0" w:noVBand="0"/>
        </w:tblPrEx>
        <w:tc>
          <w:tcPr>
            <w:tcW w:w="1038" w:type="dxa"/>
          </w:tcPr>
          <w:p w:rsidR="00CE3A3B" w:rsidRPr="00BA5E65" w:rsidRDefault="00CE3A3B" w:rsidP="00ED26B0">
            <w:pPr>
              <w:pStyle w:val="naislab"/>
              <w:spacing w:before="0" w:after="0"/>
              <w:jc w:val="center"/>
              <w:outlineLvl w:val="0"/>
              <w:rPr>
                <w:sz w:val="28"/>
                <w:szCs w:val="28"/>
              </w:rPr>
            </w:pPr>
            <w:r w:rsidRPr="00BA5E65">
              <w:rPr>
                <w:sz w:val="28"/>
                <w:szCs w:val="28"/>
              </w:rPr>
              <w:t>5.</w:t>
            </w:r>
          </w:p>
        </w:tc>
        <w:tc>
          <w:tcPr>
            <w:tcW w:w="2649" w:type="dxa"/>
            <w:gridSpan w:val="2"/>
          </w:tcPr>
          <w:p w:rsidR="00CE3A3B" w:rsidRPr="00BA5E65" w:rsidRDefault="00CE3A3B" w:rsidP="00ED26B0">
            <w:pPr>
              <w:pStyle w:val="naislab"/>
              <w:spacing w:before="0" w:after="0"/>
              <w:jc w:val="left"/>
              <w:outlineLvl w:val="0"/>
              <w:rPr>
                <w:sz w:val="28"/>
                <w:szCs w:val="28"/>
              </w:rPr>
            </w:pPr>
            <w:r w:rsidRPr="00BA5E65">
              <w:rPr>
                <w:sz w:val="28"/>
                <w:szCs w:val="28"/>
              </w:rPr>
              <w:t>Administratīvās procedūras raksturojums</w:t>
            </w:r>
          </w:p>
        </w:tc>
        <w:tc>
          <w:tcPr>
            <w:tcW w:w="5374" w:type="dxa"/>
            <w:gridSpan w:val="2"/>
          </w:tcPr>
          <w:p w:rsidR="00CE3A3B" w:rsidRPr="00BA5E65" w:rsidRDefault="00CE3A3B" w:rsidP="00ED26B0">
            <w:pPr>
              <w:jc w:val="both"/>
              <w:rPr>
                <w:sz w:val="28"/>
                <w:szCs w:val="28"/>
                <w:lang w:eastAsia="lv-LV"/>
              </w:rPr>
            </w:pPr>
            <w:r w:rsidRPr="00BA5E65">
              <w:rPr>
                <w:sz w:val="28"/>
                <w:szCs w:val="28"/>
                <w:lang w:eastAsia="lv-LV"/>
              </w:rPr>
              <w:t>Projekts šo jomu neskar.</w:t>
            </w:r>
          </w:p>
        </w:tc>
      </w:tr>
      <w:tr w:rsidR="00CE3A3B" w:rsidRPr="00BA5E65" w:rsidTr="00ED26B0">
        <w:tblPrEx>
          <w:tblLook w:val="01E0" w:firstRow="1" w:lastRow="1" w:firstColumn="1" w:lastColumn="1" w:noHBand="0" w:noVBand="0"/>
        </w:tblPrEx>
        <w:tc>
          <w:tcPr>
            <w:tcW w:w="1038" w:type="dxa"/>
          </w:tcPr>
          <w:p w:rsidR="00CE3A3B" w:rsidRPr="00BA5E65" w:rsidRDefault="00CE3A3B" w:rsidP="00ED26B0">
            <w:pPr>
              <w:pStyle w:val="naislab"/>
              <w:spacing w:before="0" w:after="0"/>
              <w:jc w:val="center"/>
              <w:outlineLvl w:val="0"/>
              <w:rPr>
                <w:sz w:val="28"/>
                <w:szCs w:val="28"/>
              </w:rPr>
            </w:pPr>
            <w:r w:rsidRPr="00BA5E65">
              <w:rPr>
                <w:sz w:val="28"/>
                <w:szCs w:val="28"/>
              </w:rPr>
              <w:t>6.</w:t>
            </w:r>
          </w:p>
        </w:tc>
        <w:tc>
          <w:tcPr>
            <w:tcW w:w="2649" w:type="dxa"/>
            <w:gridSpan w:val="2"/>
          </w:tcPr>
          <w:p w:rsidR="00CE3A3B" w:rsidRPr="00BA5E65" w:rsidRDefault="00CE3A3B" w:rsidP="00ED26B0">
            <w:pPr>
              <w:pStyle w:val="naislab"/>
              <w:spacing w:before="0" w:after="0"/>
              <w:jc w:val="left"/>
              <w:outlineLvl w:val="0"/>
              <w:rPr>
                <w:sz w:val="28"/>
                <w:szCs w:val="28"/>
              </w:rPr>
            </w:pPr>
            <w:r w:rsidRPr="00BA5E65">
              <w:rPr>
                <w:sz w:val="28"/>
                <w:szCs w:val="28"/>
              </w:rPr>
              <w:t xml:space="preserve">Administratīvo izmaksu monetārs </w:t>
            </w:r>
            <w:r w:rsidRPr="00BA5E65">
              <w:rPr>
                <w:sz w:val="28"/>
                <w:szCs w:val="28"/>
              </w:rPr>
              <w:lastRenderedPageBreak/>
              <w:t>novērtējums</w:t>
            </w:r>
          </w:p>
        </w:tc>
        <w:tc>
          <w:tcPr>
            <w:tcW w:w="5374" w:type="dxa"/>
            <w:gridSpan w:val="2"/>
          </w:tcPr>
          <w:p w:rsidR="00CE3A3B" w:rsidRPr="00BA5E65" w:rsidRDefault="00CE3A3B" w:rsidP="00CE3A3B">
            <w:pPr>
              <w:jc w:val="both"/>
              <w:rPr>
                <w:sz w:val="28"/>
                <w:szCs w:val="28"/>
                <w:lang w:eastAsia="lv-LV"/>
              </w:rPr>
            </w:pPr>
            <w:r w:rsidRPr="00BA5E65">
              <w:rPr>
                <w:sz w:val="28"/>
                <w:szCs w:val="28"/>
                <w:lang w:eastAsia="lv-LV"/>
              </w:rPr>
              <w:lastRenderedPageBreak/>
              <w:t>Projekts šo jomu neskar.</w:t>
            </w:r>
          </w:p>
        </w:tc>
      </w:tr>
      <w:tr w:rsidR="00CE3A3B" w:rsidRPr="00BA5E65" w:rsidTr="00ED26B0">
        <w:tblPrEx>
          <w:tblLook w:val="01E0" w:firstRow="1" w:lastRow="1" w:firstColumn="1" w:lastColumn="1" w:noHBand="0" w:noVBand="0"/>
        </w:tblPrEx>
        <w:tc>
          <w:tcPr>
            <w:tcW w:w="1038" w:type="dxa"/>
          </w:tcPr>
          <w:p w:rsidR="00CE3A3B" w:rsidRPr="00BA5E65" w:rsidRDefault="00CE3A3B" w:rsidP="00ED26B0">
            <w:pPr>
              <w:pStyle w:val="naislab"/>
              <w:spacing w:before="0" w:after="0"/>
              <w:jc w:val="center"/>
              <w:outlineLvl w:val="0"/>
              <w:rPr>
                <w:sz w:val="28"/>
                <w:szCs w:val="28"/>
              </w:rPr>
            </w:pPr>
            <w:r w:rsidRPr="00BA5E65">
              <w:rPr>
                <w:sz w:val="28"/>
                <w:szCs w:val="28"/>
              </w:rPr>
              <w:lastRenderedPageBreak/>
              <w:t>7.</w:t>
            </w:r>
          </w:p>
        </w:tc>
        <w:tc>
          <w:tcPr>
            <w:tcW w:w="2649" w:type="dxa"/>
            <w:gridSpan w:val="2"/>
          </w:tcPr>
          <w:p w:rsidR="00CE3A3B" w:rsidRPr="00BA5E65" w:rsidRDefault="00CE3A3B" w:rsidP="00ED26B0">
            <w:pPr>
              <w:pStyle w:val="naislab"/>
              <w:spacing w:before="0" w:after="0"/>
              <w:jc w:val="left"/>
              <w:outlineLvl w:val="0"/>
              <w:rPr>
                <w:sz w:val="28"/>
                <w:szCs w:val="28"/>
              </w:rPr>
            </w:pPr>
            <w:r w:rsidRPr="00BA5E65">
              <w:rPr>
                <w:sz w:val="28"/>
                <w:szCs w:val="28"/>
              </w:rPr>
              <w:t>Cita informācija</w:t>
            </w:r>
          </w:p>
        </w:tc>
        <w:tc>
          <w:tcPr>
            <w:tcW w:w="5374" w:type="dxa"/>
            <w:gridSpan w:val="2"/>
          </w:tcPr>
          <w:p w:rsidR="00CE3A3B" w:rsidRPr="00BA5E65" w:rsidRDefault="00CE3A3B" w:rsidP="00CE3A3B">
            <w:pPr>
              <w:jc w:val="both"/>
              <w:rPr>
                <w:sz w:val="28"/>
                <w:szCs w:val="28"/>
                <w:lang w:eastAsia="lv-LV"/>
              </w:rPr>
            </w:pPr>
            <w:r w:rsidRPr="00BA5E65">
              <w:rPr>
                <w:sz w:val="28"/>
                <w:szCs w:val="28"/>
                <w:lang w:eastAsia="lv-LV"/>
              </w:rPr>
              <w:t>Nav.</w:t>
            </w:r>
          </w:p>
        </w:tc>
      </w:tr>
    </w:tbl>
    <w:p w:rsidR="00534988" w:rsidRPr="00BA5E65" w:rsidRDefault="00534988" w:rsidP="00534988">
      <w:pPr>
        <w:rPr>
          <w:sz w:val="28"/>
          <w:szCs w:val="28"/>
          <w:lang w:eastAsia="lv-LV"/>
        </w:rPr>
      </w:pPr>
    </w:p>
    <w:p w:rsidR="00D16979" w:rsidRPr="00BA5E65" w:rsidRDefault="00D16979" w:rsidP="00534988">
      <w:pPr>
        <w:rPr>
          <w:sz w:val="28"/>
          <w:szCs w:val="28"/>
          <w:lang w:eastAsia="lv-LV"/>
        </w:rPr>
      </w:pPr>
    </w:p>
    <w:p w:rsidR="00534988" w:rsidRPr="00BA5E65" w:rsidRDefault="005F2B9C" w:rsidP="00534988">
      <w:pPr>
        <w:rPr>
          <w:sz w:val="28"/>
          <w:szCs w:val="28"/>
          <w:lang w:eastAsia="lv-LV"/>
        </w:rPr>
      </w:pPr>
      <w:r>
        <w:rPr>
          <w:sz w:val="28"/>
          <w:szCs w:val="28"/>
          <w:lang w:eastAsia="lv-LV"/>
        </w:rPr>
        <w:t xml:space="preserve">Anotācijas III, IV, V, </w:t>
      </w:r>
      <w:r w:rsidR="00534988" w:rsidRPr="00BA5E65">
        <w:rPr>
          <w:sz w:val="28"/>
          <w:szCs w:val="28"/>
          <w:lang w:eastAsia="lv-LV"/>
        </w:rPr>
        <w:t xml:space="preserve">VI </w:t>
      </w:r>
      <w:r>
        <w:rPr>
          <w:sz w:val="28"/>
          <w:szCs w:val="28"/>
          <w:lang w:eastAsia="lv-LV"/>
        </w:rPr>
        <w:t xml:space="preserve">un VII </w:t>
      </w:r>
      <w:r w:rsidR="00534988" w:rsidRPr="00BA5E65">
        <w:rPr>
          <w:sz w:val="28"/>
          <w:szCs w:val="28"/>
          <w:lang w:eastAsia="lv-LV"/>
        </w:rPr>
        <w:t xml:space="preserve">sadaļa –projekts šīs jomas neskar. </w:t>
      </w:r>
    </w:p>
    <w:p w:rsidR="00534988" w:rsidRPr="00BA5E65" w:rsidRDefault="00534988" w:rsidP="00534988">
      <w:pPr>
        <w:rPr>
          <w:vanish/>
          <w:sz w:val="28"/>
          <w:szCs w:val="28"/>
          <w:lang w:eastAsia="lv-LV"/>
        </w:rPr>
      </w:pPr>
    </w:p>
    <w:p w:rsidR="00534988" w:rsidRPr="00BA5E65" w:rsidRDefault="00534988" w:rsidP="00534988">
      <w:pPr>
        <w:rPr>
          <w:sz w:val="28"/>
          <w:szCs w:val="28"/>
        </w:rPr>
      </w:pPr>
    </w:p>
    <w:p w:rsidR="00534988" w:rsidRPr="00BA5E65" w:rsidRDefault="00534988" w:rsidP="008C4239">
      <w:pPr>
        <w:jc w:val="both"/>
        <w:rPr>
          <w:sz w:val="28"/>
          <w:szCs w:val="28"/>
          <w:lang w:val="de-DE"/>
        </w:rPr>
      </w:pPr>
      <w:r w:rsidRPr="00BA5E65">
        <w:rPr>
          <w:sz w:val="28"/>
          <w:szCs w:val="28"/>
          <w:lang w:val="de-DE"/>
        </w:rPr>
        <w:t>Iekšlietu ministrs</w:t>
      </w:r>
      <w:r w:rsidRPr="00BA5E65">
        <w:rPr>
          <w:sz w:val="28"/>
          <w:szCs w:val="28"/>
          <w:lang w:val="de-DE"/>
        </w:rPr>
        <w:tab/>
      </w:r>
      <w:r w:rsidRPr="00BA5E65">
        <w:rPr>
          <w:sz w:val="28"/>
          <w:szCs w:val="28"/>
          <w:lang w:val="de-DE"/>
        </w:rPr>
        <w:tab/>
      </w:r>
      <w:r w:rsidRPr="00BA5E65">
        <w:rPr>
          <w:sz w:val="28"/>
          <w:szCs w:val="28"/>
          <w:lang w:val="de-DE"/>
        </w:rPr>
        <w:tab/>
      </w:r>
      <w:r w:rsidRPr="00BA5E65">
        <w:rPr>
          <w:sz w:val="28"/>
          <w:szCs w:val="28"/>
          <w:lang w:val="de-DE"/>
        </w:rPr>
        <w:tab/>
      </w:r>
      <w:r w:rsidR="00B352F5">
        <w:rPr>
          <w:sz w:val="28"/>
          <w:szCs w:val="28"/>
          <w:lang w:val="de-DE"/>
        </w:rPr>
        <w:tab/>
      </w:r>
      <w:r w:rsidR="00B352F5">
        <w:rPr>
          <w:sz w:val="28"/>
          <w:szCs w:val="28"/>
          <w:lang w:val="de-DE"/>
        </w:rPr>
        <w:tab/>
      </w:r>
      <w:r w:rsidRPr="00BA5E65">
        <w:rPr>
          <w:sz w:val="28"/>
          <w:szCs w:val="28"/>
          <w:lang w:val="de-DE"/>
        </w:rPr>
        <w:t>R. Kozlovskis</w:t>
      </w:r>
    </w:p>
    <w:p w:rsidR="00534988" w:rsidRPr="00BA5E65" w:rsidRDefault="00534988" w:rsidP="00534988">
      <w:pPr>
        <w:pStyle w:val="naisf"/>
        <w:rPr>
          <w:sz w:val="28"/>
          <w:szCs w:val="28"/>
        </w:rPr>
      </w:pPr>
      <w:r w:rsidRPr="00BA5E65">
        <w:rPr>
          <w:sz w:val="28"/>
          <w:szCs w:val="28"/>
        </w:rPr>
        <w:tab/>
      </w:r>
    </w:p>
    <w:p w:rsidR="00534988" w:rsidRPr="00BA5E65" w:rsidRDefault="00534988" w:rsidP="008C4239">
      <w:pPr>
        <w:pStyle w:val="naisf"/>
        <w:ind w:firstLine="0"/>
        <w:rPr>
          <w:sz w:val="28"/>
          <w:szCs w:val="28"/>
        </w:rPr>
      </w:pPr>
      <w:r w:rsidRPr="00BA5E65">
        <w:rPr>
          <w:sz w:val="28"/>
          <w:szCs w:val="28"/>
        </w:rPr>
        <w:t>Vīza: valsts sekretāre</w:t>
      </w:r>
      <w:r w:rsidRPr="00BA5E65">
        <w:rPr>
          <w:sz w:val="28"/>
          <w:szCs w:val="28"/>
        </w:rPr>
        <w:tab/>
      </w:r>
      <w:r w:rsidRPr="00BA5E65">
        <w:rPr>
          <w:sz w:val="28"/>
          <w:szCs w:val="28"/>
        </w:rPr>
        <w:tab/>
      </w:r>
      <w:r w:rsidRPr="00BA5E65">
        <w:rPr>
          <w:sz w:val="28"/>
          <w:szCs w:val="28"/>
        </w:rPr>
        <w:tab/>
      </w:r>
      <w:r w:rsidRPr="00BA5E65">
        <w:rPr>
          <w:sz w:val="28"/>
          <w:szCs w:val="28"/>
        </w:rPr>
        <w:tab/>
      </w:r>
      <w:r w:rsidR="00B352F5">
        <w:rPr>
          <w:sz w:val="28"/>
          <w:szCs w:val="28"/>
        </w:rPr>
        <w:tab/>
      </w:r>
      <w:r w:rsidRPr="00BA5E65">
        <w:rPr>
          <w:sz w:val="28"/>
          <w:szCs w:val="28"/>
        </w:rPr>
        <w:t>I.Pētersone-Godmane</w:t>
      </w:r>
    </w:p>
    <w:p w:rsidR="00534988" w:rsidRPr="00BA5E65" w:rsidRDefault="00534988" w:rsidP="00534988">
      <w:pPr>
        <w:rPr>
          <w:color w:val="000000"/>
          <w:sz w:val="28"/>
          <w:szCs w:val="28"/>
        </w:rPr>
      </w:pPr>
    </w:p>
    <w:p w:rsidR="00534988" w:rsidRPr="00BA5E65" w:rsidRDefault="00534988" w:rsidP="00534988">
      <w:pPr>
        <w:rPr>
          <w:color w:val="000000"/>
          <w:sz w:val="28"/>
          <w:szCs w:val="28"/>
        </w:rPr>
      </w:pPr>
    </w:p>
    <w:p w:rsidR="00534988" w:rsidRPr="00BA5E65" w:rsidRDefault="00534988" w:rsidP="00534988">
      <w:pPr>
        <w:rPr>
          <w:color w:val="000000"/>
          <w:sz w:val="28"/>
          <w:szCs w:val="28"/>
        </w:rPr>
      </w:pPr>
    </w:p>
    <w:p w:rsidR="00534988" w:rsidRPr="00BA5E65" w:rsidRDefault="00534988" w:rsidP="00534988">
      <w:pPr>
        <w:rPr>
          <w:color w:val="000000"/>
          <w:sz w:val="28"/>
          <w:szCs w:val="28"/>
        </w:rPr>
      </w:pPr>
    </w:p>
    <w:p w:rsidR="00534988" w:rsidRPr="00BA5E65" w:rsidRDefault="00534988" w:rsidP="00534988">
      <w:pPr>
        <w:rPr>
          <w:color w:val="000000"/>
          <w:sz w:val="28"/>
          <w:szCs w:val="28"/>
        </w:rPr>
      </w:pPr>
    </w:p>
    <w:p w:rsidR="00534988" w:rsidRPr="00BA5E65" w:rsidRDefault="00534988" w:rsidP="00534988">
      <w:pPr>
        <w:rPr>
          <w:color w:val="000000"/>
          <w:sz w:val="28"/>
          <w:szCs w:val="28"/>
        </w:rPr>
      </w:pPr>
    </w:p>
    <w:p w:rsidR="006811D5" w:rsidRDefault="006811D5" w:rsidP="00534988">
      <w:pPr>
        <w:rPr>
          <w:color w:val="000000"/>
          <w:sz w:val="28"/>
          <w:szCs w:val="28"/>
        </w:rPr>
      </w:pPr>
    </w:p>
    <w:p w:rsidR="006811D5" w:rsidRDefault="006811D5" w:rsidP="00534988">
      <w:pPr>
        <w:rPr>
          <w:color w:val="000000"/>
          <w:sz w:val="28"/>
          <w:szCs w:val="28"/>
        </w:rPr>
      </w:pPr>
    </w:p>
    <w:p w:rsidR="006811D5" w:rsidRDefault="006811D5" w:rsidP="00534988">
      <w:pPr>
        <w:rPr>
          <w:color w:val="000000"/>
          <w:sz w:val="28"/>
          <w:szCs w:val="28"/>
        </w:rPr>
      </w:pPr>
    </w:p>
    <w:p w:rsidR="006811D5" w:rsidRDefault="006811D5" w:rsidP="00534988">
      <w:pPr>
        <w:rPr>
          <w:color w:val="000000"/>
          <w:sz w:val="28"/>
          <w:szCs w:val="28"/>
        </w:rPr>
      </w:pPr>
    </w:p>
    <w:p w:rsidR="00A73F74" w:rsidRDefault="00A73F74" w:rsidP="00534988">
      <w:pPr>
        <w:rPr>
          <w:color w:val="000000"/>
          <w:sz w:val="20"/>
          <w:szCs w:val="20"/>
        </w:rPr>
      </w:pPr>
    </w:p>
    <w:p w:rsidR="003E6DAD" w:rsidRDefault="003E6DAD" w:rsidP="00534988">
      <w:pPr>
        <w:rPr>
          <w:color w:val="000000"/>
          <w:sz w:val="20"/>
          <w:szCs w:val="20"/>
        </w:rPr>
      </w:pPr>
    </w:p>
    <w:p w:rsidR="003E6DAD" w:rsidRDefault="003E6DAD" w:rsidP="00534988">
      <w:pPr>
        <w:rPr>
          <w:color w:val="000000"/>
          <w:sz w:val="20"/>
          <w:szCs w:val="20"/>
        </w:rPr>
      </w:pPr>
    </w:p>
    <w:p w:rsidR="00A73F74" w:rsidRDefault="00A73F74" w:rsidP="00534988">
      <w:pPr>
        <w:rPr>
          <w:color w:val="000000"/>
          <w:sz w:val="20"/>
          <w:szCs w:val="20"/>
        </w:rPr>
      </w:pPr>
    </w:p>
    <w:p w:rsidR="00626EC5" w:rsidRDefault="00626EC5" w:rsidP="00534988">
      <w:pPr>
        <w:rPr>
          <w:color w:val="000000"/>
          <w:sz w:val="20"/>
          <w:szCs w:val="20"/>
        </w:rPr>
      </w:pPr>
    </w:p>
    <w:p w:rsidR="00626EC5" w:rsidRDefault="00626EC5" w:rsidP="00534988">
      <w:pPr>
        <w:rPr>
          <w:color w:val="000000"/>
          <w:sz w:val="20"/>
          <w:szCs w:val="20"/>
        </w:rPr>
      </w:pPr>
    </w:p>
    <w:p w:rsidR="00626EC5" w:rsidRDefault="00626EC5" w:rsidP="00534988">
      <w:pPr>
        <w:rPr>
          <w:color w:val="000000"/>
          <w:sz w:val="20"/>
          <w:szCs w:val="20"/>
        </w:rPr>
      </w:pPr>
    </w:p>
    <w:p w:rsidR="00626EC5" w:rsidRDefault="00626EC5" w:rsidP="00534988">
      <w:pPr>
        <w:rPr>
          <w:color w:val="000000"/>
          <w:sz w:val="20"/>
          <w:szCs w:val="20"/>
        </w:rPr>
      </w:pPr>
    </w:p>
    <w:p w:rsidR="00626EC5" w:rsidRDefault="00626EC5" w:rsidP="00534988">
      <w:pPr>
        <w:rPr>
          <w:color w:val="000000"/>
          <w:sz w:val="20"/>
          <w:szCs w:val="20"/>
        </w:rPr>
      </w:pPr>
    </w:p>
    <w:p w:rsidR="00626EC5" w:rsidRDefault="00626EC5" w:rsidP="00534988">
      <w:pPr>
        <w:rPr>
          <w:color w:val="000000"/>
          <w:sz w:val="20"/>
          <w:szCs w:val="20"/>
        </w:rPr>
      </w:pPr>
    </w:p>
    <w:p w:rsidR="00626EC5" w:rsidRDefault="00626EC5" w:rsidP="00534988">
      <w:pPr>
        <w:rPr>
          <w:color w:val="000000"/>
          <w:sz w:val="20"/>
          <w:szCs w:val="20"/>
        </w:rPr>
      </w:pPr>
    </w:p>
    <w:p w:rsidR="00626EC5" w:rsidRDefault="00626EC5" w:rsidP="00534988">
      <w:pPr>
        <w:rPr>
          <w:color w:val="000000"/>
          <w:sz w:val="20"/>
          <w:szCs w:val="20"/>
        </w:rPr>
      </w:pPr>
    </w:p>
    <w:p w:rsidR="00626EC5" w:rsidRDefault="00626EC5" w:rsidP="00534988">
      <w:pPr>
        <w:rPr>
          <w:color w:val="000000"/>
          <w:sz w:val="20"/>
          <w:szCs w:val="20"/>
        </w:rPr>
      </w:pPr>
    </w:p>
    <w:p w:rsidR="00626EC5" w:rsidRDefault="00626EC5" w:rsidP="00534988">
      <w:pPr>
        <w:rPr>
          <w:color w:val="000000"/>
          <w:sz w:val="20"/>
          <w:szCs w:val="20"/>
        </w:rPr>
      </w:pPr>
    </w:p>
    <w:p w:rsidR="00626EC5" w:rsidRDefault="00626EC5" w:rsidP="00534988">
      <w:pPr>
        <w:rPr>
          <w:color w:val="000000"/>
          <w:sz w:val="20"/>
          <w:szCs w:val="20"/>
        </w:rPr>
      </w:pPr>
    </w:p>
    <w:p w:rsidR="00626EC5" w:rsidRDefault="00626EC5" w:rsidP="00534988">
      <w:pPr>
        <w:rPr>
          <w:color w:val="000000"/>
          <w:sz w:val="20"/>
          <w:szCs w:val="20"/>
        </w:rPr>
      </w:pPr>
    </w:p>
    <w:p w:rsidR="00626EC5" w:rsidRDefault="00626EC5" w:rsidP="00534988">
      <w:pPr>
        <w:rPr>
          <w:color w:val="000000"/>
          <w:sz w:val="20"/>
          <w:szCs w:val="20"/>
        </w:rPr>
      </w:pPr>
    </w:p>
    <w:p w:rsidR="00626EC5" w:rsidRDefault="00626EC5" w:rsidP="00534988">
      <w:pPr>
        <w:rPr>
          <w:color w:val="000000"/>
          <w:sz w:val="20"/>
          <w:szCs w:val="20"/>
        </w:rPr>
      </w:pPr>
    </w:p>
    <w:p w:rsidR="00626EC5" w:rsidRDefault="00626EC5" w:rsidP="00534988">
      <w:pPr>
        <w:rPr>
          <w:color w:val="000000"/>
          <w:sz w:val="20"/>
          <w:szCs w:val="20"/>
        </w:rPr>
      </w:pPr>
    </w:p>
    <w:p w:rsidR="00421973" w:rsidRDefault="00421973" w:rsidP="00534988">
      <w:pPr>
        <w:rPr>
          <w:color w:val="000000"/>
          <w:sz w:val="20"/>
          <w:szCs w:val="20"/>
        </w:rPr>
      </w:pPr>
    </w:p>
    <w:p w:rsidR="00421973" w:rsidRDefault="00421973" w:rsidP="00534988">
      <w:pPr>
        <w:rPr>
          <w:color w:val="000000"/>
          <w:sz w:val="20"/>
          <w:szCs w:val="20"/>
        </w:rPr>
      </w:pPr>
    </w:p>
    <w:p w:rsidR="00534988" w:rsidRPr="00A73F74" w:rsidRDefault="00DD3EBC" w:rsidP="00534988">
      <w:pPr>
        <w:rPr>
          <w:color w:val="000000"/>
          <w:sz w:val="20"/>
          <w:szCs w:val="20"/>
        </w:rPr>
      </w:pPr>
      <w:r>
        <w:rPr>
          <w:color w:val="000000"/>
          <w:sz w:val="20"/>
          <w:szCs w:val="20"/>
        </w:rPr>
        <w:t>1</w:t>
      </w:r>
      <w:r w:rsidR="00626EC5">
        <w:rPr>
          <w:color w:val="000000"/>
          <w:sz w:val="20"/>
          <w:szCs w:val="20"/>
        </w:rPr>
        <w:t>4</w:t>
      </w:r>
      <w:r w:rsidR="00534988" w:rsidRPr="00A73F74">
        <w:rPr>
          <w:color w:val="000000"/>
          <w:sz w:val="20"/>
          <w:szCs w:val="20"/>
        </w:rPr>
        <w:t>.</w:t>
      </w:r>
      <w:r w:rsidR="00CE3A3B" w:rsidRPr="00A73F74">
        <w:rPr>
          <w:color w:val="000000"/>
          <w:sz w:val="20"/>
          <w:szCs w:val="20"/>
        </w:rPr>
        <w:t>0</w:t>
      </w:r>
      <w:r>
        <w:rPr>
          <w:color w:val="000000"/>
          <w:sz w:val="20"/>
          <w:szCs w:val="20"/>
        </w:rPr>
        <w:t>5</w:t>
      </w:r>
      <w:r w:rsidR="00534988" w:rsidRPr="00A73F74">
        <w:rPr>
          <w:color w:val="000000"/>
          <w:sz w:val="20"/>
          <w:szCs w:val="20"/>
        </w:rPr>
        <w:t>.201</w:t>
      </w:r>
      <w:r w:rsidR="00CE3A3B" w:rsidRPr="00A73F74">
        <w:rPr>
          <w:color w:val="000000"/>
          <w:sz w:val="20"/>
          <w:szCs w:val="20"/>
        </w:rPr>
        <w:t>3</w:t>
      </w:r>
      <w:r w:rsidR="00534988" w:rsidRPr="00A73F74">
        <w:rPr>
          <w:color w:val="000000"/>
          <w:sz w:val="20"/>
          <w:szCs w:val="20"/>
        </w:rPr>
        <w:t>. 1</w:t>
      </w:r>
      <w:r>
        <w:rPr>
          <w:color w:val="000000"/>
          <w:sz w:val="20"/>
          <w:szCs w:val="20"/>
        </w:rPr>
        <w:t>3</w:t>
      </w:r>
      <w:r w:rsidR="00534988" w:rsidRPr="00A73F74">
        <w:rPr>
          <w:color w:val="000000"/>
          <w:sz w:val="20"/>
          <w:szCs w:val="20"/>
        </w:rPr>
        <w:t>:</w:t>
      </w:r>
      <w:r>
        <w:rPr>
          <w:color w:val="000000"/>
          <w:sz w:val="20"/>
          <w:szCs w:val="20"/>
        </w:rPr>
        <w:t>13</w:t>
      </w:r>
    </w:p>
    <w:p w:rsidR="00534988" w:rsidRPr="00A73F74" w:rsidRDefault="00815E7C" w:rsidP="00534988">
      <w:pPr>
        <w:rPr>
          <w:color w:val="000000"/>
          <w:sz w:val="20"/>
          <w:szCs w:val="20"/>
        </w:rPr>
      </w:pPr>
      <w:r>
        <w:rPr>
          <w:color w:val="000000"/>
          <w:sz w:val="20"/>
          <w:szCs w:val="20"/>
        </w:rPr>
        <w:t>1133</w:t>
      </w:r>
    </w:p>
    <w:p w:rsidR="00534988" w:rsidRPr="00A73F74" w:rsidRDefault="00534988" w:rsidP="00534988">
      <w:pPr>
        <w:rPr>
          <w:color w:val="000000"/>
          <w:sz w:val="20"/>
          <w:szCs w:val="20"/>
        </w:rPr>
      </w:pPr>
      <w:r w:rsidRPr="00A73F74">
        <w:rPr>
          <w:color w:val="000000"/>
          <w:sz w:val="20"/>
          <w:szCs w:val="20"/>
        </w:rPr>
        <w:t>D. Radzeviča</w:t>
      </w:r>
    </w:p>
    <w:p w:rsidR="00534988" w:rsidRPr="00A73F74" w:rsidRDefault="00534988" w:rsidP="00534988">
      <w:pPr>
        <w:rPr>
          <w:color w:val="000000"/>
          <w:sz w:val="20"/>
          <w:szCs w:val="20"/>
        </w:rPr>
      </w:pPr>
      <w:r w:rsidRPr="00A73F74">
        <w:rPr>
          <w:color w:val="000000"/>
          <w:sz w:val="20"/>
          <w:szCs w:val="20"/>
        </w:rPr>
        <w:t>67219418, dace.radzevica@iem.gov.lv</w:t>
      </w:r>
    </w:p>
    <w:p w:rsidR="00534988" w:rsidRPr="00A73F74" w:rsidRDefault="00534988" w:rsidP="00BA5E65">
      <w:pPr>
        <w:rPr>
          <w:iCs/>
          <w:sz w:val="20"/>
          <w:szCs w:val="20"/>
        </w:rPr>
      </w:pPr>
      <w:r w:rsidRPr="00A73F74">
        <w:rPr>
          <w:sz w:val="20"/>
          <w:szCs w:val="20"/>
        </w:rPr>
        <w:t xml:space="preserve">                                                                                                           </w:t>
      </w:r>
      <w:r w:rsidR="00BA5E65" w:rsidRPr="00A73F74">
        <w:rPr>
          <w:sz w:val="20"/>
          <w:szCs w:val="20"/>
        </w:rPr>
        <w:t xml:space="preserve">                              </w:t>
      </w:r>
    </w:p>
    <w:sectPr w:rsidR="00534988" w:rsidRPr="00A73F74" w:rsidSect="00626EC5">
      <w:headerReference w:type="even" r:id="rId8"/>
      <w:headerReference w:type="default" r:id="rId9"/>
      <w:footerReference w:type="default" r:id="rId10"/>
      <w:footerReference w:type="first" r:id="rId11"/>
      <w:pgSz w:w="11906" w:h="16838"/>
      <w:pgMar w:top="1814"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CD5" w:rsidRDefault="00C20CD5" w:rsidP="00CE3A3B">
      <w:r>
        <w:separator/>
      </w:r>
    </w:p>
  </w:endnote>
  <w:endnote w:type="continuationSeparator" w:id="0">
    <w:p w:rsidR="00C20CD5" w:rsidRDefault="00C20CD5" w:rsidP="00CE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BC" w:rsidRPr="00CE3A3B" w:rsidRDefault="00DD3EBC" w:rsidP="00DD3EBC">
    <w:pPr>
      <w:jc w:val="both"/>
      <w:rPr>
        <w:color w:val="000000"/>
        <w:sz w:val="20"/>
        <w:szCs w:val="20"/>
      </w:rPr>
    </w:pPr>
    <w:r w:rsidRPr="00A301A8">
      <w:rPr>
        <w:sz w:val="20"/>
        <w:szCs w:val="20"/>
      </w:rPr>
      <w:t>I</w:t>
    </w:r>
    <w:r w:rsidR="00980DE8">
      <w:rPr>
        <w:sz w:val="20"/>
        <w:szCs w:val="20"/>
      </w:rPr>
      <w:t>e</w:t>
    </w:r>
    <w:r w:rsidRPr="00A301A8">
      <w:rPr>
        <w:sz w:val="20"/>
        <w:szCs w:val="20"/>
      </w:rPr>
      <w:t>M</w:t>
    </w:r>
    <w:r>
      <w:rPr>
        <w:sz w:val="20"/>
        <w:szCs w:val="20"/>
      </w:rPr>
      <w:t>Anot</w:t>
    </w:r>
    <w:r w:rsidRPr="00A301A8">
      <w:rPr>
        <w:sz w:val="20"/>
        <w:szCs w:val="20"/>
      </w:rPr>
      <w:t>_</w:t>
    </w:r>
    <w:r>
      <w:rPr>
        <w:sz w:val="20"/>
        <w:szCs w:val="20"/>
      </w:rPr>
      <w:t>1405</w:t>
    </w:r>
    <w:r w:rsidRPr="00A301A8">
      <w:rPr>
        <w:sz w:val="20"/>
        <w:szCs w:val="20"/>
      </w:rPr>
      <w:t>2013</w:t>
    </w:r>
    <w:r>
      <w:rPr>
        <w:sz w:val="20"/>
      </w:rPr>
      <w:t>.doc</w:t>
    </w:r>
    <w:r w:rsidRPr="00A301A8">
      <w:rPr>
        <w:sz w:val="20"/>
        <w:szCs w:val="20"/>
      </w:rPr>
      <w:t xml:space="preserve">; Ministru kabineta noteikumu projekts </w:t>
    </w:r>
    <w:r>
      <w:rPr>
        <w:sz w:val="20"/>
      </w:rPr>
      <w:t>„</w:t>
    </w:r>
    <w:r w:rsidRPr="00A301A8">
      <w:rPr>
        <w:sz w:val="20"/>
        <w:szCs w:val="20"/>
      </w:rPr>
      <w:t>Grozījums</w:t>
    </w:r>
    <w:r w:rsidRPr="00A301A8">
      <w:rPr>
        <w:color w:val="000000"/>
        <w:sz w:val="20"/>
        <w:szCs w:val="20"/>
      </w:rPr>
      <w:t xml:space="preserve"> Ministru kabineta </w:t>
    </w:r>
    <w:r w:rsidRPr="00A301A8">
      <w:rPr>
        <w:sz w:val="20"/>
        <w:szCs w:val="20"/>
      </w:rPr>
      <w:t xml:space="preserve">2010.gada 1.jūnija </w:t>
    </w:r>
    <w:r w:rsidRPr="00A301A8">
      <w:rPr>
        <w:color w:val="000000"/>
        <w:sz w:val="20"/>
        <w:szCs w:val="20"/>
      </w:rPr>
      <w:t>noteikumos Nr.</w:t>
    </w:r>
    <w:r w:rsidRPr="00A301A8">
      <w:rPr>
        <w:bCs/>
        <w:sz w:val="20"/>
        <w:szCs w:val="20"/>
      </w:rPr>
      <w:t>496 „</w:t>
    </w:r>
    <w:r w:rsidRPr="00A301A8">
      <w:rPr>
        <w:sz w:val="20"/>
        <w:szCs w:val="20"/>
      </w:rPr>
      <w:t xml:space="preserve">Kritiskās infrastruktūras, tajā skaitā Eiropas kritiskās infrastruktūras, apzināšanas un drošības pasākumu plānošanas un īstenošanas </w:t>
    </w:r>
    <w:proofErr w:type="spellStart"/>
    <w:r w:rsidRPr="00A301A8">
      <w:rPr>
        <w:sz w:val="20"/>
        <w:szCs w:val="20"/>
      </w:rPr>
      <w:t>kārtība”</w:t>
    </w:r>
    <w:r>
      <w:rPr>
        <w:sz w:val="20"/>
      </w:rPr>
      <w:t>”</w:t>
    </w:r>
    <w:r w:rsidRPr="00F42004">
      <w:rPr>
        <w:sz w:val="20"/>
        <w:szCs w:val="20"/>
      </w:rPr>
      <w:t>sākotnējās</w:t>
    </w:r>
    <w:proofErr w:type="spellEnd"/>
    <w:r w:rsidRPr="00F42004">
      <w:rPr>
        <w:sz w:val="20"/>
        <w:szCs w:val="20"/>
      </w:rPr>
      <w:t xml:space="preserve"> ietekmes novērtējuma </w:t>
    </w:r>
    <w:smartTag w:uri="schemas-tilde-lv/tildestengine" w:element="veidnes">
      <w:smartTagPr>
        <w:attr w:name="text" w:val="ziņojums"/>
        <w:attr w:name="baseform" w:val="ziņojums"/>
        <w:attr w:name="id" w:val="-1"/>
      </w:smartTagPr>
      <w:r w:rsidRPr="00F42004">
        <w:rPr>
          <w:sz w:val="20"/>
          <w:szCs w:val="20"/>
        </w:rPr>
        <w:t>ziņojums</w:t>
      </w:r>
    </w:smartTag>
    <w:r>
      <w:rPr>
        <w:sz w:val="20"/>
        <w:szCs w:val="20"/>
      </w:rPr>
      <w:t xml:space="preserve"> (anotācija)</w:t>
    </w:r>
  </w:p>
  <w:p w:rsidR="00DD3EBC" w:rsidRPr="00F42004" w:rsidRDefault="00DD3EBC" w:rsidP="00DD3EBC">
    <w:pPr>
      <w:pStyle w:val="Footer"/>
      <w:jc w:val="both"/>
      <w:rPr>
        <w:sz w:val="20"/>
        <w:szCs w:val="20"/>
      </w:rPr>
    </w:pPr>
  </w:p>
  <w:p w:rsidR="00476475" w:rsidRPr="00DD3EBC" w:rsidRDefault="00C20CD5" w:rsidP="00DD3E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1D5" w:rsidRPr="00CE3A3B" w:rsidRDefault="00980DE8" w:rsidP="006811D5">
    <w:pPr>
      <w:jc w:val="both"/>
      <w:rPr>
        <w:color w:val="000000"/>
        <w:sz w:val="20"/>
        <w:szCs w:val="20"/>
      </w:rPr>
    </w:pPr>
    <w:r>
      <w:rPr>
        <w:sz w:val="20"/>
        <w:szCs w:val="20"/>
      </w:rPr>
      <w:t>Ie</w:t>
    </w:r>
    <w:r w:rsidR="006811D5" w:rsidRPr="00A301A8">
      <w:rPr>
        <w:sz w:val="20"/>
        <w:szCs w:val="20"/>
      </w:rPr>
      <w:t>M</w:t>
    </w:r>
    <w:r w:rsidR="006811D5">
      <w:rPr>
        <w:sz w:val="20"/>
        <w:szCs w:val="20"/>
      </w:rPr>
      <w:t>Anot</w:t>
    </w:r>
    <w:r w:rsidR="006811D5" w:rsidRPr="00A301A8">
      <w:rPr>
        <w:sz w:val="20"/>
        <w:szCs w:val="20"/>
      </w:rPr>
      <w:t>_</w:t>
    </w:r>
    <w:r w:rsidR="00DD3EBC">
      <w:rPr>
        <w:sz w:val="20"/>
        <w:szCs w:val="20"/>
      </w:rPr>
      <w:t>1405</w:t>
    </w:r>
    <w:r w:rsidR="006811D5" w:rsidRPr="00A301A8">
      <w:rPr>
        <w:sz w:val="20"/>
        <w:szCs w:val="20"/>
      </w:rPr>
      <w:t>2013</w:t>
    </w:r>
    <w:r w:rsidR="006811D5">
      <w:rPr>
        <w:sz w:val="20"/>
      </w:rPr>
      <w:t>.doc</w:t>
    </w:r>
    <w:r w:rsidR="006811D5" w:rsidRPr="00A301A8">
      <w:rPr>
        <w:sz w:val="20"/>
        <w:szCs w:val="20"/>
      </w:rPr>
      <w:t xml:space="preserve">; Ministru kabineta noteikumu projekts </w:t>
    </w:r>
    <w:r w:rsidR="006811D5">
      <w:rPr>
        <w:sz w:val="20"/>
      </w:rPr>
      <w:t>„</w:t>
    </w:r>
    <w:r w:rsidR="006811D5" w:rsidRPr="00A301A8">
      <w:rPr>
        <w:sz w:val="20"/>
        <w:szCs w:val="20"/>
      </w:rPr>
      <w:t>Grozījums</w:t>
    </w:r>
    <w:r w:rsidR="006811D5" w:rsidRPr="00A301A8">
      <w:rPr>
        <w:color w:val="000000"/>
        <w:sz w:val="20"/>
        <w:szCs w:val="20"/>
      </w:rPr>
      <w:t xml:space="preserve"> Ministru kabineta </w:t>
    </w:r>
    <w:r w:rsidR="006811D5" w:rsidRPr="00A301A8">
      <w:rPr>
        <w:sz w:val="20"/>
        <w:szCs w:val="20"/>
      </w:rPr>
      <w:t xml:space="preserve">2010.gada 1.jūnija </w:t>
    </w:r>
    <w:r w:rsidR="006811D5" w:rsidRPr="00A301A8">
      <w:rPr>
        <w:color w:val="000000"/>
        <w:sz w:val="20"/>
        <w:szCs w:val="20"/>
      </w:rPr>
      <w:t>noteikumos Nr.</w:t>
    </w:r>
    <w:r w:rsidR="006811D5" w:rsidRPr="00A301A8">
      <w:rPr>
        <w:bCs/>
        <w:sz w:val="20"/>
        <w:szCs w:val="20"/>
      </w:rPr>
      <w:t>496 „</w:t>
    </w:r>
    <w:r w:rsidR="006811D5" w:rsidRPr="00A301A8">
      <w:rPr>
        <w:sz w:val="20"/>
        <w:szCs w:val="20"/>
      </w:rPr>
      <w:t xml:space="preserve">Kritiskās infrastruktūras, tajā skaitā Eiropas kritiskās infrastruktūras, apzināšanas un drošības pasākumu plānošanas un īstenošanas </w:t>
    </w:r>
    <w:proofErr w:type="spellStart"/>
    <w:r w:rsidR="006811D5" w:rsidRPr="00A301A8">
      <w:rPr>
        <w:sz w:val="20"/>
        <w:szCs w:val="20"/>
      </w:rPr>
      <w:t>kārtība”</w:t>
    </w:r>
    <w:r w:rsidR="006811D5">
      <w:rPr>
        <w:sz w:val="20"/>
      </w:rPr>
      <w:t>”</w:t>
    </w:r>
    <w:r w:rsidR="006811D5" w:rsidRPr="00F42004">
      <w:rPr>
        <w:sz w:val="20"/>
        <w:szCs w:val="20"/>
      </w:rPr>
      <w:t>sākotnējās</w:t>
    </w:r>
    <w:proofErr w:type="spellEnd"/>
    <w:r w:rsidR="006811D5" w:rsidRPr="00F42004">
      <w:rPr>
        <w:sz w:val="20"/>
        <w:szCs w:val="20"/>
      </w:rPr>
      <w:t xml:space="preserve"> ietekmes novērtējuma </w:t>
    </w:r>
    <w:smartTag w:uri="schemas-tilde-lv/tildestengine" w:element="veidnes">
      <w:smartTagPr>
        <w:attr w:name="text" w:val="ziņojums"/>
        <w:attr w:name="baseform" w:val="ziņojums"/>
        <w:attr w:name="id" w:val="-1"/>
      </w:smartTagPr>
      <w:r w:rsidR="006811D5" w:rsidRPr="00F42004">
        <w:rPr>
          <w:sz w:val="20"/>
          <w:szCs w:val="20"/>
        </w:rPr>
        <w:t>ziņojums</w:t>
      </w:r>
    </w:smartTag>
    <w:r w:rsidR="006811D5">
      <w:rPr>
        <w:sz w:val="20"/>
        <w:szCs w:val="20"/>
      </w:rPr>
      <w:t xml:space="preserve"> (anotācija)</w:t>
    </w:r>
  </w:p>
  <w:p w:rsidR="006811D5" w:rsidRPr="00F42004" w:rsidRDefault="006811D5" w:rsidP="006811D5">
    <w:pPr>
      <w:pStyle w:val="Footer"/>
      <w:jc w:val="both"/>
      <w:rPr>
        <w:sz w:val="20"/>
        <w:szCs w:val="20"/>
      </w:rPr>
    </w:pPr>
  </w:p>
  <w:p w:rsidR="006811D5" w:rsidRPr="00361E9B" w:rsidRDefault="006811D5" w:rsidP="006811D5">
    <w:pPr>
      <w:pStyle w:val="Footer"/>
    </w:pPr>
  </w:p>
  <w:p w:rsidR="00476475" w:rsidRPr="00361E9B" w:rsidRDefault="00C20CD5" w:rsidP="00361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CD5" w:rsidRDefault="00C20CD5" w:rsidP="00CE3A3B">
      <w:r>
        <w:separator/>
      </w:r>
    </w:p>
  </w:footnote>
  <w:footnote w:type="continuationSeparator" w:id="0">
    <w:p w:rsidR="00C20CD5" w:rsidRDefault="00C20CD5" w:rsidP="00CE3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75" w:rsidRDefault="00634679" w:rsidP="006840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6475" w:rsidRDefault="00C20C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75" w:rsidRDefault="00634679" w:rsidP="006840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0DE8">
      <w:rPr>
        <w:rStyle w:val="PageNumber"/>
        <w:noProof/>
      </w:rPr>
      <w:t>2</w:t>
    </w:r>
    <w:r>
      <w:rPr>
        <w:rStyle w:val="PageNumber"/>
      </w:rPr>
      <w:fldChar w:fldCharType="end"/>
    </w:r>
  </w:p>
  <w:p w:rsidR="00476475" w:rsidRDefault="00C20C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88"/>
    <w:rsid w:val="000272A1"/>
    <w:rsid w:val="00121F3D"/>
    <w:rsid w:val="0026413D"/>
    <w:rsid w:val="002C51CD"/>
    <w:rsid w:val="00301D66"/>
    <w:rsid w:val="003E6DAD"/>
    <w:rsid w:val="00421973"/>
    <w:rsid w:val="00450FAD"/>
    <w:rsid w:val="00454240"/>
    <w:rsid w:val="00534988"/>
    <w:rsid w:val="005F2B9C"/>
    <w:rsid w:val="00626EC5"/>
    <w:rsid w:val="00634679"/>
    <w:rsid w:val="00664C65"/>
    <w:rsid w:val="006811D5"/>
    <w:rsid w:val="006A04AD"/>
    <w:rsid w:val="006F4939"/>
    <w:rsid w:val="00815E7C"/>
    <w:rsid w:val="008413FC"/>
    <w:rsid w:val="008C4239"/>
    <w:rsid w:val="009643F8"/>
    <w:rsid w:val="00980DE8"/>
    <w:rsid w:val="009A107A"/>
    <w:rsid w:val="00A147C3"/>
    <w:rsid w:val="00A703F2"/>
    <w:rsid w:val="00A73F74"/>
    <w:rsid w:val="00B352F5"/>
    <w:rsid w:val="00BA5E65"/>
    <w:rsid w:val="00C20CD5"/>
    <w:rsid w:val="00C3356E"/>
    <w:rsid w:val="00C96269"/>
    <w:rsid w:val="00CE3A3B"/>
    <w:rsid w:val="00D104D0"/>
    <w:rsid w:val="00D16979"/>
    <w:rsid w:val="00D22685"/>
    <w:rsid w:val="00D41803"/>
    <w:rsid w:val="00DD3EBC"/>
    <w:rsid w:val="00DE2A37"/>
    <w:rsid w:val="00E2503D"/>
    <w:rsid w:val="00E86023"/>
    <w:rsid w:val="00E90EC8"/>
    <w:rsid w:val="00EA4CBA"/>
    <w:rsid w:val="00EC136D"/>
    <w:rsid w:val="00F55675"/>
    <w:rsid w:val="00F633A7"/>
    <w:rsid w:val="00FC3E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9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4988"/>
    <w:pPr>
      <w:jc w:val="center"/>
    </w:pPr>
    <w:rPr>
      <w:b/>
      <w:bCs/>
      <w:sz w:val="28"/>
    </w:rPr>
  </w:style>
  <w:style w:type="character" w:customStyle="1" w:styleId="BodyTextChar">
    <w:name w:val="Body Text Char"/>
    <w:basedOn w:val="DefaultParagraphFont"/>
    <w:link w:val="BodyText"/>
    <w:rsid w:val="00534988"/>
    <w:rPr>
      <w:rFonts w:ascii="Times New Roman" w:eastAsia="Times New Roman" w:hAnsi="Times New Roman" w:cs="Times New Roman"/>
      <w:b/>
      <w:bCs/>
      <w:sz w:val="28"/>
      <w:szCs w:val="24"/>
    </w:rPr>
  </w:style>
  <w:style w:type="paragraph" w:customStyle="1" w:styleId="naisf">
    <w:name w:val="naisf"/>
    <w:basedOn w:val="Normal"/>
    <w:rsid w:val="00534988"/>
    <w:pPr>
      <w:spacing w:before="75" w:after="75"/>
      <w:ind w:firstLine="375"/>
      <w:jc w:val="both"/>
    </w:pPr>
    <w:rPr>
      <w:lang w:eastAsia="lv-LV"/>
    </w:rPr>
  </w:style>
  <w:style w:type="paragraph" w:customStyle="1" w:styleId="naisnod">
    <w:name w:val="naisnod"/>
    <w:basedOn w:val="Normal"/>
    <w:rsid w:val="00534988"/>
    <w:pPr>
      <w:spacing w:before="450" w:after="225"/>
      <w:jc w:val="center"/>
    </w:pPr>
    <w:rPr>
      <w:b/>
      <w:bCs/>
      <w:lang w:eastAsia="lv-LV"/>
    </w:rPr>
  </w:style>
  <w:style w:type="paragraph" w:styleId="Header">
    <w:name w:val="header"/>
    <w:basedOn w:val="Normal"/>
    <w:link w:val="HeaderChar"/>
    <w:rsid w:val="00534988"/>
    <w:pPr>
      <w:tabs>
        <w:tab w:val="center" w:pos="4153"/>
        <w:tab w:val="right" w:pos="8306"/>
      </w:tabs>
    </w:pPr>
    <w:rPr>
      <w:lang w:eastAsia="lv-LV"/>
    </w:rPr>
  </w:style>
  <w:style w:type="character" w:customStyle="1" w:styleId="HeaderChar">
    <w:name w:val="Header Char"/>
    <w:basedOn w:val="DefaultParagraphFont"/>
    <w:link w:val="Header"/>
    <w:rsid w:val="00534988"/>
    <w:rPr>
      <w:rFonts w:ascii="Times New Roman" w:eastAsia="Times New Roman" w:hAnsi="Times New Roman" w:cs="Times New Roman"/>
      <w:sz w:val="24"/>
      <w:szCs w:val="24"/>
      <w:lang w:eastAsia="lv-LV"/>
    </w:rPr>
  </w:style>
  <w:style w:type="paragraph" w:styleId="Footer">
    <w:name w:val="footer"/>
    <w:basedOn w:val="Normal"/>
    <w:link w:val="FooterChar"/>
    <w:rsid w:val="00534988"/>
    <w:pPr>
      <w:tabs>
        <w:tab w:val="center" w:pos="4153"/>
        <w:tab w:val="right" w:pos="8306"/>
      </w:tabs>
    </w:pPr>
    <w:rPr>
      <w:lang w:eastAsia="lv-LV"/>
    </w:rPr>
  </w:style>
  <w:style w:type="character" w:customStyle="1" w:styleId="FooterChar">
    <w:name w:val="Footer Char"/>
    <w:basedOn w:val="DefaultParagraphFont"/>
    <w:link w:val="Footer"/>
    <w:rsid w:val="00534988"/>
    <w:rPr>
      <w:rFonts w:ascii="Times New Roman" w:eastAsia="Times New Roman" w:hAnsi="Times New Roman" w:cs="Times New Roman"/>
      <w:sz w:val="24"/>
      <w:szCs w:val="24"/>
      <w:lang w:eastAsia="lv-LV"/>
    </w:rPr>
  </w:style>
  <w:style w:type="character" w:styleId="PageNumber">
    <w:name w:val="page number"/>
    <w:basedOn w:val="DefaultParagraphFont"/>
    <w:rsid w:val="00534988"/>
  </w:style>
  <w:style w:type="paragraph" w:customStyle="1" w:styleId="naislab">
    <w:name w:val="naislab"/>
    <w:basedOn w:val="Normal"/>
    <w:rsid w:val="00534988"/>
    <w:pPr>
      <w:spacing w:before="75" w:after="75"/>
      <w:jc w:val="right"/>
    </w:pPr>
    <w:rPr>
      <w:lang w:eastAsia="lv-LV"/>
    </w:rPr>
  </w:style>
  <w:style w:type="paragraph" w:customStyle="1" w:styleId="naiskr">
    <w:name w:val="naiskr"/>
    <w:basedOn w:val="Normal"/>
    <w:rsid w:val="00534988"/>
    <w:pPr>
      <w:spacing w:before="75" w:after="75"/>
    </w:pPr>
    <w:rPr>
      <w:lang w:eastAsia="lv-LV"/>
    </w:rPr>
  </w:style>
  <w:style w:type="paragraph" w:customStyle="1" w:styleId="tv213">
    <w:name w:val="tv213"/>
    <w:basedOn w:val="Normal"/>
    <w:rsid w:val="00D104D0"/>
    <w:pPr>
      <w:spacing w:before="100" w:beforeAutospacing="1" w:after="100" w:afterAutospacing="1"/>
    </w:pPr>
    <w:rPr>
      <w:lang w:eastAsia="lv-LV"/>
    </w:rPr>
  </w:style>
  <w:style w:type="paragraph" w:styleId="BodyTextIndent2">
    <w:name w:val="Body Text Indent 2"/>
    <w:basedOn w:val="Normal"/>
    <w:link w:val="BodyTextIndent2Char"/>
    <w:uiPriority w:val="99"/>
    <w:semiHidden/>
    <w:unhideWhenUsed/>
    <w:rsid w:val="00EC136D"/>
    <w:pPr>
      <w:spacing w:after="120" w:line="480" w:lineRule="auto"/>
      <w:ind w:left="283"/>
    </w:pPr>
  </w:style>
  <w:style w:type="character" w:customStyle="1" w:styleId="BodyTextIndent2Char">
    <w:name w:val="Body Text Indent 2 Char"/>
    <w:basedOn w:val="DefaultParagraphFont"/>
    <w:link w:val="BodyTextIndent2"/>
    <w:uiPriority w:val="99"/>
    <w:semiHidden/>
    <w:rsid w:val="00EC13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47C3"/>
    <w:rPr>
      <w:rFonts w:ascii="Tahoma" w:hAnsi="Tahoma" w:cs="Tahoma"/>
      <w:sz w:val="16"/>
      <w:szCs w:val="16"/>
    </w:rPr>
  </w:style>
  <w:style w:type="character" w:customStyle="1" w:styleId="BalloonTextChar">
    <w:name w:val="Balloon Text Char"/>
    <w:basedOn w:val="DefaultParagraphFont"/>
    <w:link w:val="BalloonText"/>
    <w:uiPriority w:val="99"/>
    <w:semiHidden/>
    <w:rsid w:val="00A147C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9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4988"/>
    <w:pPr>
      <w:jc w:val="center"/>
    </w:pPr>
    <w:rPr>
      <w:b/>
      <w:bCs/>
      <w:sz w:val="28"/>
    </w:rPr>
  </w:style>
  <w:style w:type="character" w:customStyle="1" w:styleId="BodyTextChar">
    <w:name w:val="Body Text Char"/>
    <w:basedOn w:val="DefaultParagraphFont"/>
    <w:link w:val="BodyText"/>
    <w:rsid w:val="00534988"/>
    <w:rPr>
      <w:rFonts w:ascii="Times New Roman" w:eastAsia="Times New Roman" w:hAnsi="Times New Roman" w:cs="Times New Roman"/>
      <w:b/>
      <w:bCs/>
      <w:sz w:val="28"/>
      <w:szCs w:val="24"/>
    </w:rPr>
  </w:style>
  <w:style w:type="paragraph" w:customStyle="1" w:styleId="naisf">
    <w:name w:val="naisf"/>
    <w:basedOn w:val="Normal"/>
    <w:rsid w:val="00534988"/>
    <w:pPr>
      <w:spacing w:before="75" w:after="75"/>
      <w:ind w:firstLine="375"/>
      <w:jc w:val="both"/>
    </w:pPr>
    <w:rPr>
      <w:lang w:eastAsia="lv-LV"/>
    </w:rPr>
  </w:style>
  <w:style w:type="paragraph" w:customStyle="1" w:styleId="naisnod">
    <w:name w:val="naisnod"/>
    <w:basedOn w:val="Normal"/>
    <w:rsid w:val="00534988"/>
    <w:pPr>
      <w:spacing w:before="450" w:after="225"/>
      <w:jc w:val="center"/>
    </w:pPr>
    <w:rPr>
      <w:b/>
      <w:bCs/>
      <w:lang w:eastAsia="lv-LV"/>
    </w:rPr>
  </w:style>
  <w:style w:type="paragraph" w:styleId="Header">
    <w:name w:val="header"/>
    <w:basedOn w:val="Normal"/>
    <w:link w:val="HeaderChar"/>
    <w:rsid w:val="00534988"/>
    <w:pPr>
      <w:tabs>
        <w:tab w:val="center" w:pos="4153"/>
        <w:tab w:val="right" w:pos="8306"/>
      </w:tabs>
    </w:pPr>
    <w:rPr>
      <w:lang w:eastAsia="lv-LV"/>
    </w:rPr>
  </w:style>
  <w:style w:type="character" w:customStyle="1" w:styleId="HeaderChar">
    <w:name w:val="Header Char"/>
    <w:basedOn w:val="DefaultParagraphFont"/>
    <w:link w:val="Header"/>
    <w:rsid w:val="00534988"/>
    <w:rPr>
      <w:rFonts w:ascii="Times New Roman" w:eastAsia="Times New Roman" w:hAnsi="Times New Roman" w:cs="Times New Roman"/>
      <w:sz w:val="24"/>
      <w:szCs w:val="24"/>
      <w:lang w:eastAsia="lv-LV"/>
    </w:rPr>
  </w:style>
  <w:style w:type="paragraph" w:styleId="Footer">
    <w:name w:val="footer"/>
    <w:basedOn w:val="Normal"/>
    <w:link w:val="FooterChar"/>
    <w:rsid w:val="00534988"/>
    <w:pPr>
      <w:tabs>
        <w:tab w:val="center" w:pos="4153"/>
        <w:tab w:val="right" w:pos="8306"/>
      </w:tabs>
    </w:pPr>
    <w:rPr>
      <w:lang w:eastAsia="lv-LV"/>
    </w:rPr>
  </w:style>
  <w:style w:type="character" w:customStyle="1" w:styleId="FooterChar">
    <w:name w:val="Footer Char"/>
    <w:basedOn w:val="DefaultParagraphFont"/>
    <w:link w:val="Footer"/>
    <w:rsid w:val="00534988"/>
    <w:rPr>
      <w:rFonts w:ascii="Times New Roman" w:eastAsia="Times New Roman" w:hAnsi="Times New Roman" w:cs="Times New Roman"/>
      <w:sz w:val="24"/>
      <w:szCs w:val="24"/>
      <w:lang w:eastAsia="lv-LV"/>
    </w:rPr>
  </w:style>
  <w:style w:type="character" w:styleId="PageNumber">
    <w:name w:val="page number"/>
    <w:basedOn w:val="DefaultParagraphFont"/>
    <w:rsid w:val="00534988"/>
  </w:style>
  <w:style w:type="paragraph" w:customStyle="1" w:styleId="naislab">
    <w:name w:val="naislab"/>
    <w:basedOn w:val="Normal"/>
    <w:rsid w:val="00534988"/>
    <w:pPr>
      <w:spacing w:before="75" w:after="75"/>
      <w:jc w:val="right"/>
    </w:pPr>
    <w:rPr>
      <w:lang w:eastAsia="lv-LV"/>
    </w:rPr>
  </w:style>
  <w:style w:type="paragraph" w:customStyle="1" w:styleId="naiskr">
    <w:name w:val="naiskr"/>
    <w:basedOn w:val="Normal"/>
    <w:rsid w:val="00534988"/>
    <w:pPr>
      <w:spacing w:before="75" w:after="75"/>
    </w:pPr>
    <w:rPr>
      <w:lang w:eastAsia="lv-LV"/>
    </w:rPr>
  </w:style>
  <w:style w:type="paragraph" w:customStyle="1" w:styleId="tv213">
    <w:name w:val="tv213"/>
    <w:basedOn w:val="Normal"/>
    <w:rsid w:val="00D104D0"/>
    <w:pPr>
      <w:spacing w:before="100" w:beforeAutospacing="1" w:after="100" w:afterAutospacing="1"/>
    </w:pPr>
    <w:rPr>
      <w:lang w:eastAsia="lv-LV"/>
    </w:rPr>
  </w:style>
  <w:style w:type="paragraph" w:styleId="BodyTextIndent2">
    <w:name w:val="Body Text Indent 2"/>
    <w:basedOn w:val="Normal"/>
    <w:link w:val="BodyTextIndent2Char"/>
    <w:uiPriority w:val="99"/>
    <w:semiHidden/>
    <w:unhideWhenUsed/>
    <w:rsid w:val="00EC136D"/>
    <w:pPr>
      <w:spacing w:after="120" w:line="480" w:lineRule="auto"/>
      <w:ind w:left="283"/>
    </w:pPr>
  </w:style>
  <w:style w:type="character" w:customStyle="1" w:styleId="BodyTextIndent2Char">
    <w:name w:val="Body Text Indent 2 Char"/>
    <w:basedOn w:val="DefaultParagraphFont"/>
    <w:link w:val="BodyTextIndent2"/>
    <w:uiPriority w:val="99"/>
    <w:semiHidden/>
    <w:rsid w:val="00EC13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47C3"/>
    <w:rPr>
      <w:rFonts w:ascii="Tahoma" w:hAnsi="Tahoma" w:cs="Tahoma"/>
      <w:sz w:val="16"/>
      <w:szCs w:val="16"/>
    </w:rPr>
  </w:style>
  <w:style w:type="character" w:customStyle="1" w:styleId="BalloonTextChar">
    <w:name w:val="Balloon Text Char"/>
    <w:basedOn w:val="DefaultParagraphFont"/>
    <w:link w:val="BalloonText"/>
    <w:uiPriority w:val="99"/>
    <w:semiHidden/>
    <w:rsid w:val="00A147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92510">
      <w:bodyDiv w:val="1"/>
      <w:marLeft w:val="0"/>
      <w:marRight w:val="0"/>
      <w:marTop w:val="0"/>
      <w:marBottom w:val="0"/>
      <w:divBdr>
        <w:top w:val="none" w:sz="0" w:space="0" w:color="auto"/>
        <w:left w:val="none" w:sz="0" w:space="0" w:color="auto"/>
        <w:bottom w:val="none" w:sz="0" w:space="0" w:color="auto"/>
        <w:right w:val="none" w:sz="0" w:space="0" w:color="auto"/>
      </w:divBdr>
    </w:div>
    <w:div w:id="1032414340">
      <w:bodyDiv w:val="1"/>
      <w:marLeft w:val="0"/>
      <w:marRight w:val="0"/>
      <w:marTop w:val="0"/>
      <w:marBottom w:val="0"/>
      <w:divBdr>
        <w:top w:val="none" w:sz="0" w:space="0" w:color="auto"/>
        <w:left w:val="none" w:sz="0" w:space="0" w:color="auto"/>
        <w:bottom w:val="none" w:sz="0" w:space="0" w:color="auto"/>
        <w:right w:val="none" w:sz="0" w:space="0" w:color="auto"/>
      </w:divBdr>
    </w:div>
    <w:div w:id="1862742666">
      <w:bodyDiv w:val="1"/>
      <w:marLeft w:val="0"/>
      <w:marRight w:val="0"/>
      <w:marTop w:val="0"/>
      <w:marBottom w:val="0"/>
      <w:divBdr>
        <w:top w:val="none" w:sz="0" w:space="0" w:color="auto"/>
        <w:left w:val="none" w:sz="0" w:space="0" w:color="auto"/>
        <w:bottom w:val="none" w:sz="0" w:space="0" w:color="auto"/>
        <w:right w:val="none" w:sz="0" w:space="0" w:color="auto"/>
      </w:divBdr>
    </w:div>
    <w:div w:id="198234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9A74C-C96A-4D0A-86A9-A6D230817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7</Pages>
  <Words>1086</Words>
  <Characters>8734</Characters>
  <Application>Microsoft Office Word</Application>
  <DocSecurity>0</DocSecurity>
  <Lines>513</Lines>
  <Paragraphs>192</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Dace Radzeviča</cp:lastModifiedBy>
  <cp:revision>20</cp:revision>
  <cp:lastPrinted>2013-05-14T10:27:00Z</cp:lastPrinted>
  <dcterms:created xsi:type="dcterms:W3CDTF">2013-02-19T12:43:00Z</dcterms:created>
  <dcterms:modified xsi:type="dcterms:W3CDTF">2013-05-14T12:27:00Z</dcterms:modified>
</cp:coreProperties>
</file>